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831F3" w14:textId="77777777" w:rsidR="00423FB7" w:rsidRDefault="00D27B34">
      <w:pPr>
        <w:pStyle w:val="Title"/>
      </w:pPr>
      <w:r>
        <w:t>Legal Protection of Endangered Fauna in India: Linking Species Conservation, Habitat Ecology, and Wildlife Law</w:t>
      </w:r>
    </w:p>
    <w:p w14:paraId="79946DAE" w14:textId="77777777" w:rsidR="00423FB7" w:rsidRDefault="00D27B34">
      <w:pPr>
        <w:pStyle w:val="Heading1"/>
      </w:pPr>
      <w:r>
        <w:t>Abstract</w:t>
      </w:r>
    </w:p>
    <w:p w14:paraId="7A313EF8" w14:textId="77777777" w:rsidR="00546785" w:rsidRDefault="00D27B34">
      <w:pPr>
        <w:jc w:val="both"/>
      </w:pPr>
      <w:r>
        <w:rPr>
          <w:b/>
        </w:rPr>
        <w:t>Background:</w:t>
      </w:r>
      <w:r>
        <w:t xml:space="preserve"> Legal protection of endangered fauna is usually expressed through prohibitions, species schedules, protected-area designations and regulatory decisions. The biological persistence of threatened populations also depends on processes tha</w:t>
      </w:r>
      <w:r>
        <w:t xml:space="preserve">t cross administrative boundaries, including dispersal, seasonal migration, river flow, recruitment, prey availability and habitat connectivity. </w:t>
      </w:r>
    </w:p>
    <w:p w14:paraId="4E40AA77" w14:textId="63D233BD" w:rsidR="00423FB7" w:rsidRDefault="00546785">
      <w:pPr>
        <w:jc w:val="both"/>
      </w:pPr>
      <w:r w:rsidRPr="00546785">
        <w:rPr>
          <w:b/>
          <w:bCs/>
        </w:rPr>
        <w:t>AIM</w:t>
      </w:r>
      <w:r>
        <w:t>: This article examines how ecological evidence can inform the application of wildlife and biodiversity law in India without conflating legal status with extinction risk or interpreting administrative activity as a conservation outcome.</w:t>
      </w:r>
    </w:p>
    <w:p w14:paraId="21D8739F" w14:textId="77777777" w:rsidR="00423FB7" w:rsidRDefault="00D27B34">
      <w:pPr>
        <w:jc w:val="both"/>
      </w:pPr>
      <w:r>
        <w:rPr>
          <w:b/>
        </w:rPr>
        <w:t>Methods:</w:t>
      </w:r>
      <w:r>
        <w:t xml:space="preserve"> A qualitative narrative legal-policy synthesis combines examination of Indian statutes and official regulatory materi</w:t>
      </w:r>
      <w:r>
        <w:t>als with selected peer-reviewed literature on landscape ecology, conservation monitoring, river dolphins, terrestrial mammals, community governance and protected-area effectiveness. Sources were selected for their relevance to the statutory mechanisms, eco</w:t>
      </w:r>
      <w:r>
        <w:t>logical processes and feasibility of measuring the proposed linkages. The analysis is conceptual and does not constitute a systematic review, primary field study or quantitative evaluation of legal interventions.</w:t>
      </w:r>
    </w:p>
    <w:p w14:paraId="07D84CD1" w14:textId="77777777" w:rsidR="00423FB7" w:rsidRDefault="00D27B34">
      <w:pPr>
        <w:jc w:val="both"/>
      </w:pPr>
      <w:r>
        <w:rPr>
          <w:b/>
        </w:rPr>
        <w:t>Synthesis:</w:t>
      </w:r>
      <w:r>
        <w:t xml:space="preserve"> India's Wild Life (Protection) A</w:t>
      </w:r>
      <w:r>
        <w:t>ct, 1972, as amended, supplies core mechanisms for species protection and protected-area management; biodiversity, environmental and forest-rights legislation contributes distinct but interacting instruments. Ecological evidence indicates that effective pr</w:t>
      </w:r>
      <w:r>
        <w:t>otection can require attention to habitat extent and configuration, movement pathways and threats beyond designated reserves. A five-component Species–Habitat–Law Integration Framework is developed around species-risk profiling, habitat and connectivity as</w:t>
      </w:r>
      <w:r>
        <w:t>sessment, threat-specific legal response, participation and coordination, and adaptive monitoring. Illustrative applications address river dolphins and wide-ranging terrestrial mammals. The framework proposes linked biological, administrative and participa</w:t>
      </w:r>
      <w:r>
        <w:t>tory indicators but has not been empirically validated.</w:t>
      </w:r>
    </w:p>
    <w:p w14:paraId="1007AE4B" w14:textId="77777777" w:rsidR="00423FB7" w:rsidRDefault="00D27B34">
      <w:pPr>
        <w:jc w:val="both"/>
      </w:pPr>
      <w:r>
        <w:rPr>
          <w:b/>
        </w:rPr>
        <w:t>Conclusion:</w:t>
      </w:r>
      <w:r>
        <w:t xml:space="preserve"> A structured link between ecological observations, legal authority, enforceable decisions and measurable outcomes may improve the transparency of conservation planning. Its value, feasibil</w:t>
      </w:r>
      <w:r>
        <w:t>ity, equity implications and conservation effectiveness require species- and landscape-specific testing, independently assessed indicators and attention to statutory jurisdiction.</w:t>
      </w:r>
    </w:p>
    <w:p w14:paraId="11B627D9" w14:textId="77777777" w:rsidR="00423FB7" w:rsidRDefault="00D27B34">
      <w:r>
        <w:rPr>
          <w:b/>
        </w:rPr>
        <w:t xml:space="preserve">Keywords: </w:t>
      </w:r>
      <w:r>
        <w:t>endangered fauna; biodiversity law; habitat connectivity; wildlife</w:t>
      </w:r>
      <w:r>
        <w:t xml:space="preserve"> corridors; river dolphins; conservation monitoring; India; adaptive governance</w:t>
      </w:r>
    </w:p>
    <w:p w14:paraId="142376F1" w14:textId="77777777" w:rsidR="00423FB7" w:rsidRDefault="00D27B34">
      <w:pPr>
        <w:pStyle w:val="Heading1"/>
      </w:pPr>
      <w:r>
        <w:t>1. Introduction</w:t>
      </w:r>
    </w:p>
    <w:p w14:paraId="2F96BD7D" w14:textId="77777777" w:rsidR="00423FB7" w:rsidRPr="00546785" w:rsidRDefault="00D27B34">
      <w:pPr>
        <w:jc w:val="both"/>
        <w:rPr>
          <w:bCs/>
        </w:rPr>
      </w:pPr>
      <w:r>
        <w:t>India's fauna inhabits a heterogeneous assemblage of mountains, tropical and temperate forests, grasslands, wetlands, deserts, river networks, coasts and marine</w:t>
      </w:r>
      <w:r>
        <w:t xml:space="preserve"> ecosystems. Species occupying these environments confront different pressures: degradation of breeding sites, changes in river discharge, disruption of seasonal movement, extraction, collisions with infrastructure, invasive species and altered habitat qua</w:t>
      </w:r>
      <w:r>
        <w:t>lity. Consequently, an individual animal may be protected from intentional killing while the ecological conditions required for recruitment and survival become less favourable. This distinction between direct protection and ecological persistence is centra</w:t>
      </w:r>
      <w:r>
        <w:t>l to the legal treatment of endangered fauna. The global biodiversity assessment assembled by the Intergovernmental Science-Policy Platform on Biodiversity and Ecosystem Services (IPBES, 2019) identifies land- and sea-use change and other interacting press</w:t>
      </w:r>
      <w:r>
        <w:t>ures as prominent drivers of biodiversity change, although the relative contribution of particular drivers differs by ecosystem and region.</w:t>
      </w:r>
      <w:r>
        <w:rPr>
          <w:b/>
          <w:highlight w:val="yellow"/>
        </w:rPr>
        <w:t xml:space="preserve"> </w:t>
      </w:r>
      <w:r w:rsidRPr="00546785">
        <w:rPr>
          <w:bCs/>
          <w:highlight w:val="yellow"/>
        </w:rPr>
        <w:t xml:space="preserve">A recent global assessment likewise found that </w:t>
      </w:r>
      <w:r w:rsidRPr="00546785">
        <w:rPr>
          <w:bCs/>
          <w:highlight w:val="yellow"/>
        </w:rPr>
        <w:lastRenderedPageBreak/>
        <w:t>protected-area designation does not uniformly prevent habitat loss, r</w:t>
      </w:r>
      <w:r w:rsidRPr="00546785">
        <w:rPr>
          <w:bCs/>
          <w:highlight w:val="yellow"/>
        </w:rPr>
        <w:t>einforcing the distinction between legal boundaries and measured ecological conditions (Li et al., 2024).</w:t>
      </w:r>
    </w:p>
    <w:p w14:paraId="44F03841" w14:textId="77777777" w:rsidR="00423FB7" w:rsidRPr="00546785" w:rsidRDefault="00D27B34">
      <w:pPr>
        <w:jc w:val="both"/>
        <w:rPr>
          <w:bCs/>
        </w:rPr>
      </w:pPr>
      <w:r>
        <w:t xml:space="preserve">For wildlife law, the fundamental question is not whether species protection or protected-area designation matters; both are important. It is whether </w:t>
      </w:r>
      <w:r>
        <w:t>the scale, timing and evidence requirements of a legal intervention correspond to the biology of the population at risk. A breeding site may lie within a national park while dispersal routes traverse agricultural holdings, settlements, working forests or t</w:t>
      </w:r>
      <w:r>
        <w:t xml:space="preserve">ransport corridors. An endangered freshwater mammal may move through reaches subjected to several administrative jurisdictions and changing seasonal flows. In these settings, species status and habitat boundaries describe different aspects of conservation </w:t>
      </w:r>
      <w:r>
        <w:t xml:space="preserve">need. Evidence on population distribution, demography, habitat condition and threat exposure must be interpreted together, while the power to regulate activity still depends on the applicable statutory instrument </w:t>
      </w:r>
      <w:r>
        <w:rPr>
          <w:highlight w:val="yellow"/>
        </w:rPr>
        <w:t>(Pandey et al., 2024; Srivastava &amp; Tyagi, 2</w:t>
      </w:r>
      <w:r>
        <w:rPr>
          <w:highlight w:val="yellow"/>
        </w:rPr>
        <w:t>016)</w:t>
      </w:r>
      <w:r>
        <w:t>.</w:t>
      </w:r>
      <w:r>
        <w:rPr>
          <w:b/>
          <w:highlight w:val="yellow"/>
        </w:rPr>
        <w:t xml:space="preserve"> </w:t>
      </w:r>
      <w:r w:rsidRPr="00546785">
        <w:rPr>
          <w:bCs/>
          <w:highlight w:val="yellow"/>
        </w:rPr>
        <w:t>A study of Asiatic lions in the Gir–Girnar landscape similarly illustrates the relevance of habitat management across a wider landscape to dispersal and the persistence of satellite populations (Ram et al., 2025).</w:t>
      </w:r>
    </w:p>
    <w:p w14:paraId="4EAAF944" w14:textId="77777777" w:rsidR="00423FB7" w:rsidRPr="00546785" w:rsidRDefault="00D27B34">
      <w:pPr>
        <w:jc w:val="both"/>
        <w:rPr>
          <w:bCs/>
        </w:rPr>
      </w:pPr>
      <w:r>
        <w:t>The ecological literature supplies r</w:t>
      </w:r>
      <w:r>
        <w:t>easons to avoid simplistic spatial assumptions. Habitat loss and fragmentation can influence population processes through reduced area, isolation, altered edge conditions and impaired recolonisation (Fahrig, 2003; Haddad et al., 2015). Yet habitat amount a</w:t>
      </w:r>
      <w:r>
        <w:t>nd fragmentation per se are different analytical quantities, and responses vary among taxa, land-cover contexts and spatial scales (Fahrig, 2017). A map labelled as a corridor therefore does not independently prove that animals traverse it, that genetic ex</w:t>
      </w:r>
      <w:r>
        <w:t>change occurs or that connectivity has improved. Appropriate evidence may include repeated detections, telemetry, genetic samples, demographic measures and documented movement through a particular landscape. A legal-policy framework that requires this dist</w:t>
      </w:r>
      <w:r>
        <w:t>inction can reduce the risk of turning a plausible ecological mechanism into an untested administrative conclusion.</w:t>
      </w:r>
      <w:r>
        <w:rPr>
          <w:b/>
          <w:highlight w:val="yellow"/>
        </w:rPr>
        <w:t xml:space="preserve"> </w:t>
      </w:r>
      <w:r w:rsidRPr="00546785">
        <w:rPr>
          <w:bCs/>
          <w:highlight w:val="yellow"/>
        </w:rPr>
        <w:t>An occupancy study of leopards in Maharashtra also evaluated habitat fragmentation and human disturbance while accounting for detection, ill</w:t>
      </w:r>
      <w:r w:rsidRPr="00546785">
        <w:rPr>
          <w:bCs/>
          <w:highlight w:val="yellow"/>
        </w:rPr>
        <w:t>ustrating why field records and inferred habitat use should be distinguished (Pawar &amp; Mule, 2026).</w:t>
      </w:r>
    </w:p>
    <w:p w14:paraId="102995E0" w14:textId="29341BAA" w:rsidR="00423FB7" w:rsidRDefault="00D27B34">
      <w:pPr>
        <w:jc w:val="both"/>
      </w:pPr>
      <w:r>
        <w:t>India's principal wildlife statute is the Wild Life (Protection) Act, 1972, as amended by subsequent legislation, including the Wild Life (Protection) Amendm</w:t>
      </w:r>
      <w:r>
        <w:t>ent Act, 2022 (Government of India, 1972, 2022). The latter altered schedules and introduced provisions associated with implementation of the Convention on International Trade in Endangered Species of Wild Fauna and Flora (CITES). It did not replace the na</w:t>
      </w:r>
      <w:r>
        <w:t xml:space="preserve">me or foundational date of the principal Act. The Biological Diversity Act, 2002, as amended in 2023, establishes complementary arrangements concerning biodiversity conservation, sustainable use and benefit sharing; the Environment (Protection) </w:t>
      </w:r>
      <w:r>
        <w:rPr>
          <w:highlight w:val="yellow"/>
        </w:rPr>
        <w:t xml:space="preserve">Act, 1986, </w:t>
      </w:r>
      <w:r>
        <w:rPr>
          <w:highlight w:val="yellow"/>
        </w:rPr>
        <w:t>provides</w:t>
      </w:r>
      <w:r>
        <w:t xml:space="preserve"> another statutory basis relevant to environmental regulation (Government of India, 1986, 200</w:t>
      </w:r>
      <w:r w:rsidR="00A77C0D">
        <w:t>3</w:t>
      </w:r>
      <w:r>
        <w:t>, 2023). These measures do not have interchangeable purposes, jurisdictions or enforcement mechanisms.</w:t>
      </w:r>
    </w:p>
    <w:p w14:paraId="266762A1" w14:textId="77777777" w:rsidR="00423FB7" w:rsidRPr="00546785" w:rsidRDefault="00D27B34">
      <w:pPr>
        <w:jc w:val="both"/>
        <w:rPr>
          <w:bCs/>
        </w:rPr>
      </w:pPr>
      <w:r>
        <w:t xml:space="preserve">A further layer concerns people who live in or use </w:t>
      </w:r>
      <w:r>
        <w:t xml:space="preserve">landscapes identified as valuable for wildlife movement. Habitat protection may intersect with recognised forest-resource rights, local livelihood dependence, land ownership, traditional ecological knowledge and the distribution of intervention costs. The </w:t>
      </w:r>
      <w:r>
        <w:t xml:space="preserve">Scheduled Tribes and Other Traditional Forest Dwellers (Recognition of Forest Rights) </w:t>
      </w:r>
      <w:r>
        <w:rPr>
          <w:highlight w:val="yellow"/>
        </w:rPr>
        <w:t>Act, 2006, recognises</w:t>
      </w:r>
      <w:r>
        <w:t xml:space="preserve">, among other rights, certain community forest-resource interests and associated conservation responsibilities (Government of India, 2006). Research </w:t>
      </w:r>
      <w:r>
        <w:t xml:space="preserve">on conservation in India underscores the importance of studying how legal objectives are experienced and negotiated at particular sites rather than presuming a uniform institutional or social outcome </w:t>
      </w:r>
      <w:r>
        <w:rPr>
          <w:highlight w:val="yellow"/>
        </w:rPr>
        <w:t>(Das, 2024; Mishra, 2016; Siddhartha, 2025)</w:t>
      </w:r>
      <w:r>
        <w:t>. Participati</w:t>
      </w:r>
      <w:r>
        <w:t>on is thus relevant both to procedural legitimacy and to the practical feasibility of ecological monitoring and locally appropriate management.</w:t>
      </w:r>
      <w:r>
        <w:rPr>
          <w:b/>
          <w:highlight w:val="yellow"/>
        </w:rPr>
        <w:t xml:space="preserve"> </w:t>
      </w:r>
      <w:r w:rsidRPr="00546785">
        <w:rPr>
          <w:bCs/>
          <w:highlight w:val="yellow"/>
        </w:rPr>
        <w:t>A recent review of human–wildlife conflict in India similarly emphasises community-focused and policy-oriented a</w:t>
      </w:r>
      <w:r w:rsidRPr="00546785">
        <w:rPr>
          <w:bCs/>
          <w:highlight w:val="yellow"/>
        </w:rPr>
        <w:t>pproaches to interactions between conservation pressures and local livelihoods (Routray &amp; Shameer, 2025). A case study of Amur falcon conservation in Nagaland also illustrates why institutional legitimacy, local participation and governance arrangements wa</w:t>
      </w:r>
      <w:r w:rsidRPr="00546785">
        <w:rPr>
          <w:bCs/>
          <w:highlight w:val="yellow"/>
        </w:rPr>
        <w:t>rrant examination alongside enforcement measures (Kudalkar &amp; Veríssimo, 2024).</w:t>
      </w:r>
    </w:p>
    <w:p w14:paraId="673F936D" w14:textId="77777777" w:rsidR="00423FB7" w:rsidRDefault="00D27B34">
      <w:pPr>
        <w:jc w:val="both"/>
      </w:pPr>
      <w:r>
        <w:lastRenderedPageBreak/>
        <w:t>The Kunming–Montreal Global Biodiversity Framework encourages area-based conservation that is ecologically representative, well connected and equitably governed (Convention on B</w:t>
      </w:r>
      <w:r>
        <w:t xml:space="preserve">iological Diversity [CBD], 2022). Its objectives provide policy context, not an independent statement of what Indian legislation currently requires at a given site. Similarly, a global Red List category is a scientific assessment of extinction risk rather </w:t>
      </w:r>
      <w:r>
        <w:t>than an automatic statement of domestic criminal or administrative liability (International Union for Conservation of Nature [IUCN], n.d.). A legally defensible approach must identify which decision-maker can act, under which instrument, on what evidence a</w:t>
      </w:r>
      <w:r>
        <w:t>nd with what safeguards. Scientific assessments and legal classifications can inform each other without being treated as equivalent.</w:t>
      </w:r>
    </w:p>
    <w:p w14:paraId="0D07ADBE" w14:textId="77777777" w:rsidR="00423FB7" w:rsidRPr="00546785" w:rsidRDefault="00D27B34">
      <w:pPr>
        <w:jc w:val="both"/>
        <w:rPr>
          <w:bCs/>
        </w:rPr>
      </w:pPr>
      <w:r w:rsidRPr="00546785">
        <w:rPr>
          <w:bCs/>
          <w:highlight w:val="yellow"/>
        </w:rPr>
        <w:t>The literature and legal materials brought together here leave an organisational question: how can species-specific ecologi</w:t>
      </w:r>
      <w:r w:rsidRPr="00546785">
        <w:rPr>
          <w:bCs/>
          <w:highlight w:val="yellow"/>
        </w:rPr>
        <w:t>cal observations be connected transparently to an applicable statutory authority, participatory decision-making and independently assessable conservation indicators? The framework proposed in this article addresses that question conceptually, without assum</w:t>
      </w:r>
      <w:r w:rsidRPr="00546785">
        <w:rPr>
          <w:bCs/>
          <w:highlight w:val="yellow"/>
        </w:rPr>
        <w:t>ing that its use produces improved conservation outcomes.</w:t>
      </w:r>
    </w:p>
    <w:p w14:paraId="7AA11023" w14:textId="77777777" w:rsidR="00423FB7" w:rsidRDefault="00D27B34">
      <w:pPr>
        <w:jc w:val="both"/>
      </w:pPr>
      <w:r>
        <w:t>This article develops an integrated species–habitat–law perspective through a targeted narrative synthesis. It interprets ecological threats alongside Indian statutory mechanisms, identifies where e</w:t>
      </w:r>
      <w:r>
        <w:t>vidence may be mismatched with decision-making scale, and sets out a five-component framework for future applications. The contribution is primarily organisational: an explicit chain from biological observation to ecological inference, statutory authority,</w:t>
      </w:r>
      <w:r>
        <w:t xml:space="preserve"> institutional action and evaluation. The proposed chain is not evidence of improved conservation outcomes by itself. Its usefulness depends on adequate baseline information, defensible uncertainty treatment, lawful implementation, community engagement and</w:t>
      </w:r>
      <w:r>
        <w:t xml:space="preserve"> independent empirical testing.</w:t>
      </w:r>
    </w:p>
    <w:p w14:paraId="0FF4FED0" w14:textId="77777777" w:rsidR="00423FB7" w:rsidRDefault="00D27B34">
      <w:pPr>
        <w:pStyle w:val="Heading2"/>
      </w:pPr>
      <w:r>
        <w:rPr>
          <w:highlight w:val="yellow"/>
        </w:rPr>
        <w:t>1.1</w:t>
      </w:r>
      <w:r>
        <w:t xml:space="preserve"> Objectives and research questions</w:t>
      </w:r>
    </w:p>
    <w:p w14:paraId="44E01AD9" w14:textId="77777777" w:rsidR="00423FB7" w:rsidRDefault="00D27B34">
      <w:pPr>
        <w:jc w:val="both"/>
      </w:pPr>
      <w:r>
        <w:t>The first objective is to describe the main Indian legal instruments relevant to endangered fauna and habitat protection without conflating their distinct purposes. The second is to expl</w:t>
      </w:r>
      <w:r>
        <w:t>ain how species ecology, habitat configuration, water dynamics and landscape connectivity condition the interpretation of conservation measures. The third is to identify recurrent questions of institutional coordination, cumulative impacts, evidential adeq</w:t>
      </w:r>
      <w:r>
        <w:t>uacy and participation. The fourth is to develop an evaluable conceptual framework linking ecological information, legal responses and transparent monitoring. These objectives concern analytical synthesis and framework design rather than estimation of nati</w:t>
      </w:r>
      <w:r>
        <w:t>onal population trends or attribution of causality to individual statutes.</w:t>
      </w:r>
    </w:p>
    <w:p w14:paraId="6472D3E4" w14:textId="77777777" w:rsidR="00423FB7" w:rsidRDefault="00D27B34">
      <w:pPr>
        <w:jc w:val="both"/>
      </w:pPr>
      <w:r>
        <w:t>Four questions guide the discussion. (1) Which legal instruments and institutional arrangements can be relevant to species and habitat conservation in India? (2) What kinds of zoolo</w:t>
      </w:r>
      <w:r>
        <w:t xml:space="preserve">gical and ecological evidence are needed to interpret a species' exposure to habitat-related threats? (3) How can statutory measures, permissions, management plans and participatory mechanisms be related to the scale of those threats? (4) Which indicators </w:t>
      </w:r>
      <w:r>
        <w:t>and study designs could help determine whether this linkage improves decisions or conservation outcomes? The fourth question is prospective: it identifies feasible measurements rather than reporting results from a programme that has already been implemente</w:t>
      </w:r>
      <w:r>
        <w:t>d.</w:t>
      </w:r>
    </w:p>
    <w:p w14:paraId="2437C299" w14:textId="77777777" w:rsidR="00423FB7" w:rsidRDefault="00D27B34">
      <w:pPr>
        <w:pStyle w:val="Heading1"/>
      </w:pPr>
      <w:r>
        <w:rPr>
          <w:highlight w:val="yellow"/>
        </w:rPr>
        <w:t>2.</w:t>
      </w:r>
      <w:r>
        <w:t xml:space="preserve"> Materials and methods</w:t>
      </w:r>
    </w:p>
    <w:p w14:paraId="0A312939" w14:textId="77777777" w:rsidR="00423FB7" w:rsidRDefault="00D27B34">
      <w:pPr>
        <w:pStyle w:val="Heading2"/>
      </w:pPr>
      <w:r>
        <w:rPr>
          <w:highlight w:val="yellow"/>
        </w:rPr>
        <w:t>2.1</w:t>
      </w:r>
      <w:r>
        <w:t xml:space="preserve"> Research design and scope</w:t>
      </w:r>
    </w:p>
    <w:p w14:paraId="1B0727AE" w14:textId="77777777" w:rsidR="00423FB7" w:rsidRDefault="00D27B34">
      <w:pPr>
        <w:jc w:val="both"/>
      </w:pPr>
      <w:r>
        <w:t>A qualitative narrative review and documentary legal analysis were used to develop an interdisciplinary conceptual synthesis. Primary legal materials comprise the Wild Life (Protection) Act, 1972 an</w:t>
      </w:r>
      <w:r>
        <w:t>d its 2022 amendment; the Biological Diversity Act, 2002 and its 2023 amendment; the Environment (Protection) Act, 1986; the Forest Rights Act, 2006; and accessible rules, notifications and institutional guidance relevant to the subjects discussed. Officia</w:t>
      </w:r>
      <w:r>
        <w:t xml:space="preserve">l material from the Ministry of Environment, Forest and Climate Change, National Biodiversity Authority, and Ministry of Tribal Affairs was consulted for regulatory context. International materials include the CBD </w:t>
      </w:r>
      <w:r>
        <w:lastRenderedPageBreak/>
        <w:t>framework, IPBES assessment and IUCN Red L</w:t>
      </w:r>
      <w:r>
        <w:t>ist. These documents were distinguished from peer-reviewed studies, which are used chiefly to substantiate ecological and governance propositions.</w:t>
      </w:r>
    </w:p>
    <w:p w14:paraId="7C8A0BFC" w14:textId="77777777" w:rsidR="00423FB7" w:rsidRDefault="00D27B34">
      <w:pPr>
        <w:pStyle w:val="Heading2"/>
      </w:pPr>
      <w:r>
        <w:rPr>
          <w:highlight w:val="yellow"/>
        </w:rPr>
        <w:t>2.2</w:t>
      </w:r>
      <w:r>
        <w:t xml:space="preserve"> Source identification and selection</w:t>
      </w:r>
    </w:p>
    <w:p w14:paraId="56FAB137" w14:textId="77777777" w:rsidR="00423FB7" w:rsidRDefault="00D27B34">
      <w:pPr>
        <w:jc w:val="both"/>
      </w:pPr>
      <w:r>
        <w:t xml:space="preserve">Targeted literature searches were undertaken using scholarly search </w:t>
      </w:r>
      <w:r>
        <w:t>results, bibliographic records and publishers' article pages, including publicly accessible indexing records and official institutional portals. Search expressions combined variants of wildlife legislation, India, biodiversity governance, species schedules</w:t>
      </w:r>
      <w:r>
        <w:t>, wildlife corridor, habitat fragmentation, ecological connectivity, Ganga river dolphin, elephant infrastructure, protected-area effectiveness, occupancy detection, conservation monitoring and community forest rights. Searches also used the names of the m</w:t>
      </w:r>
      <w:r>
        <w:t>ain statutes and amendments to retrieve relevant documentary sources. The emphasis was on authentic primary legal texts and peer-reviewed articles with sufficiently clear titles, authorship, bibliographic details and, where applicable, resolvable digital o</w:t>
      </w:r>
      <w:r>
        <w:t>bject identifiers.</w:t>
      </w:r>
    </w:p>
    <w:p w14:paraId="6A6D6FC2" w14:textId="77777777" w:rsidR="00423FB7" w:rsidRDefault="00D27B34">
      <w:pPr>
        <w:jc w:val="both"/>
      </w:pPr>
      <w:r>
        <w:t xml:space="preserve">Source inclusion was purposive rather than exhaustive. Legal documents were considered for their direct relevance to a proposition about powers, rights or legal instruments. Ecological studies were considered when they addressed a </w:t>
      </w:r>
      <w:r>
        <w:t xml:space="preserve">mechanism invoked in the argument, a concrete Indian conservation setting or a measurement issue relevant to the framework. International literature was used for methodological and conceptual questions that are not specific to India. Recent Indian studies </w:t>
      </w:r>
      <w:r>
        <w:t>were prioritised where they materially sharpened the discussion, while foundational scholarship was included where necessary to define fragmentation, occupancy estimation, monitoring or adaptive governance. No claim is made that all eligible databases, pub</w:t>
      </w:r>
      <w:r>
        <w:t>lications or judicial decisions were screened, and no pooled effect estimate, bibliometric calculation or systematic risk-of-bias assessment was undertaken.</w:t>
      </w:r>
    </w:p>
    <w:p w14:paraId="03654B15" w14:textId="77777777" w:rsidR="00423FB7" w:rsidRDefault="00D27B34">
      <w:pPr>
        <w:pStyle w:val="Heading2"/>
      </w:pPr>
      <w:r>
        <w:rPr>
          <w:highlight w:val="yellow"/>
        </w:rPr>
        <w:t>2.3</w:t>
      </w:r>
      <w:r>
        <w:t xml:space="preserve"> Analytical procedure and interpretation</w:t>
      </w:r>
    </w:p>
    <w:p w14:paraId="5FFE23CB" w14:textId="77777777" w:rsidR="00423FB7" w:rsidRDefault="00D27B34">
      <w:pPr>
        <w:jc w:val="both"/>
      </w:pPr>
      <w:r>
        <w:t>The legal materials were read for the type of intervent</w:t>
      </w:r>
      <w:r>
        <w:t>ion authorised, the subject matter regulated, the spatial jurisdiction implicated and the existence of conditions, procedural requirements or discretion. Ecological literature was interpreted according to the observation involved, the process reasonably in</w:t>
      </w:r>
      <w:r>
        <w:t>ferred, the uncertainty of the inference and the management response that might follow. The integration exercise therefore asked whether a proposed response has both ecological justification and an identifiable legal route. For example, evidence that anima</w:t>
      </w:r>
      <w:r>
        <w:t xml:space="preserve">ls use land outside a protected area may support corridor planning, but it does not alone establish that the land is under the same statutory restrictions as the protected area. Similarly, a legal reporting requirement is not itself evidence of population </w:t>
      </w:r>
      <w:r>
        <w:t>increase.</w:t>
      </w:r>
    </w:p>
    <w:p w14:paraId="33B0014F" w14:textId="77777777" w:rsidR="00423FB7" w:rsidRDefault="00D27B34">
      <w:pPr>
        <w:jc w:val="both"/>
      </w:pPr>
      <w:r>
        <w:t>The synthesis was organised around five recurring analytical components: biological risk, habitat and connectivity, specific threat and available legal mechanism, participation and inter-agency coordination, and outcome monitoring. Components wer</w:t>
      </w:r>
      <w:r>
        <w:t>e selected because each addresses a distinct step at which ecological evidence can lose relevance or legal action can lack an evaluable purpose. Suggested indicators were assessed conceptually for their measurability, interpretation and likely data require</w:t>
      </w:r>
      <w:r>
        <w:t>ments. A performance indicator was treated as meaningful only when it can be linked to a defined spatial unit, time period, measurement method, institutional actor and decision. This approach supplies a transparent basis for framework development without i</w:t>
      </w:r>
      <w:r>
        <w:t>mplying formal consensus validation or empirical effectiveness testing.</w:t>
      </w:r>
    </w:p>
    <w:p w14:paraId="022EF005" w14:textId="77777777" w:rsidR="00423FB7" w:rsidRDefault="00D27B34">
      <w:pPr>
        <w:pStyle w:val="Heading2"/>
      </w:pPr>
      <w:r>
        <w:rPr>
          <w:highlight w:val="yellow"/>
        </w:rPr>
        <w:t>2.4</w:t>
      </w:r>
      <w:r>
        <w:t xml:space="preserve"> Scope of inference</w:t>
      </w:r>
    </w:p>
    <w:p w14:paraId="5DBAABC2" w14:textId="77777777" w:rsidR="00423FB7" w:rsidRDefault="00D27B34">
      <w:pPr>
        <w:jc w:val="both"/>
      </w:pPr>
      <w:r>
        <w:t>The synthesis does not produce primary records of animal abundance, occupancy, movement, environmental quality, legal compliance or court outcomes. Examples invo</w:t>
      </w:r>
      <w:r>
        <w:t>lving dolphins, elephants and terrestrial corridors are drawn from published studies and official documents, not from new field investigations. Statements about institutional difficulties are framed as analytically plausible or reported in particular sourc</w:t>
      </w:r>
      <w:r>
        <w:t xml:space="preserve">es rather than as a quantitative national assessment. Legal summaries are necessarily selective: the applicability of any authorisation, </w:t>
      </w:r>
      <w:r>
        <w:lastRenderedPageBreak/>
        <w:t>restriction or notification must be determined from the instrument operative in the relevant location and period. These</w:t>
      </w:r>
      <w:r>
        <w:t xml:space="preserve"> boundaries are integral to the interpretation of the proposed framework.</w:t>
      </w:r>
    </w:p>
    <w:p w14:paraId="5D5C174E" w14:textId="77777777" w:rsidR="00423FB7" w:rsidRDefault="00D27B34">
      <w:pPr>
        <w:pStyle w:val="Heading1"/>
      </w:pPr>
      <w:r>
        <w:rPr>
          <w:highlight w:val="yellow"/>
        </w:rPr>
        <w:t>3.</w:t>
      </w:r>
      <w:r>
        <w:t xml:space="preserve"> Results and discussion: linking ecological needs and legal instruments</w:t>
      </w:r>
    </w:p>
    <w:p w14:paraId="30F6F669" w14:textId="77777777" w:rsidR="00423FB7" w:rsidRDefault="00D27B34">
      <w:pPr>
        <w:pStyle w:val="Heading2"/>
      </w:pPr>
      <w:r>
        <w:rPr>
          <w:highlight w:val="yellow"/>
        </w:rPr>
        <w:t>3.1</w:t>
      </w:r>
      <w:r>
        <w:t xml:space="preserve"> Statutory architecture and the distinction between legal status and biological risk</w:t>
      </w:r>
    </w:p>
    <w:p w14:paraId="0D57E347" w14:textId="77777777" w:rsidR="00423FB7" w:rsidRDefault="00D27B34">
      <w:pPr>
        <w:jc w:val="both"/>
      </w:pPr>
      <w:r>
        <w:t>The Wild Life (Prote</w:t>
      </w:r>
      <w:r>
        <w:t xml:space="preserve">ction) </w:t>
      </w:r>
      <w:r>
        <w:rPr>
          <w:highlight w:val="yellow"/>
        </w:rPr>
        <w:t>Act, 1972, provides</w:t>
      </w:r>
      <w:r>
        <w:t xml:space="preserve"> the central statutory structure for protecting wild animals and specified plants, regulating hunting and trade, and declaring and administering protected areas (Government of India, 1972). Its schedules are legal devices that ide</w:t>
      </w:r>
      <w:r>
        <w:t>ntify categories of protection and associated regulatory consequences. The 2022 amendment reorganised the schedules and introduced a chapter concerning international trade in listed specimens, among other changes (Government of India, 2022). These are sign</w:t>
      </w:r>
      <w:r>
        <w:t xml:space="preserve">ificant instruments of conservation governance, but a listing alone does not measure habitat condition, breeding success, range-wide connectivity or whether an administrative measure has achieved the intended ecological outcome. Scientific assessments and </w:t>
      </w:r>
      <w:r>
        <w:t>legal decisions therefore operate at different levels of explanation.</w:t>
      </w:r>
    </w:p>
    <w:p w14:paraId="7FB6D90E" w14:textId="77777777" w:rsidR="00423FB7" w:rsidRDefault="00D27B34">
      <w:pPr>
        <w:jc w:val="both"/>
      </w:pPr>
      <w:r>
        <w:t>The Ministry of Environment, Forest and Climate Change (MoEFCC, 2024) notes the separate inclusion of the Gangetic River Dolphin (</w:t>
      </w:r>
      <w:r>
        <w:rPr>
          <w:i/>
          <w:highlight w:val="yellow"/>
        </w:rPr>
        <w:t>Platanista gangetica</w:t>
      </w:r>
      <w:r>
        <w:t>) and Indus River Dolphin (</w:t>
      </w:r>
      <w:r>
        <w:rPr>
          <w:i/>
          <w:highlight w:val="yellow"/>
        </w:rPr>
        <w:t>Platanist</w:t>
      </w:r>
      <w:r>
        <w:rPr>
          <w:i/>
          <w:highlight w:val="yellow"/>
        </w:rPr>
        <w:t>a minor</w:t>
      </w:r>
      <w:r>
        <w:t>) in Schedule I following the amendment. This is a concrete illustration of taxonomic differentiation in a legal schedule. It should not be interpreted as proof that the scheduling change increased dolphin abundance or reduced mortality. Those outco</w:t>
      </w:r>
      <w:r>
        <w:t xml:space="preserve">mes would require ecological observations over an appropriate period and a design that considers variation in detectability, habitat conditions and other influences. A sound assessment separates the existence and meaning of a legal classification from the </w:t>
      </w:r>
      <w:r>
        <w:t>response of the organisms subject to it.</w:t>
      </w:r>
    </w:p>
    <w:p w14:paraId="24B1EC1E" w14:textId="77777777" w:rsidR="00423FB7" w:rsidRDefault="00D27B34">
      <w:pPr>
        <w:jc w:val="both"/>
      </w:pPr>
      <w:r>
        <w:t>Protected areas add a spatial dimension. Sanctuaries and national parks can regulate specified activities within legally defined boundaries and can provide an institutional focus for habitat management. Section 29 o</w:t>
      </w:r>
      <w:r>
        <w:t>f the Wild Life (Protection) Act addresses destruction, exploitation or removal of wildlife and damage or diversion of habitat within a sanctuary, subject to the statutory permit conditions; it is not a generic prohibition applying to every proposed corrid</w:t>
      </w:r>
      <w:r>
        <w:t>or outside a sanctuary (Government of India, 1972). Legal analysis should distinguish this sanctuary-specific provision from restrictions applicable under other sections, forest legislation, land-use controls or notified eco-sensitive zones. The breadth of</w:t>
      </w:r>
      <w:r>
        <w:t xml:space="preserve"> ecological need cannot expand a provision's jurisdiction without a legally supported basis.</w:t>
      </w:r>
    </w:p>
    <w:p w14:paraId="58BC0274" w14:textId="1D5FE599" w:rsidR="00423FB7" w:rsidRDefault="00D27B34">
      <w:pPr>
        <w:jc w:val="both"/>
      </w:pPr>
      <w:r>
        <w:t xml:space="preserve">The Biological Diversity </w:t>
      </w:r>
      <w:r>
        <w:rPr>
          <w:highlight w:val="yellow"/>
        </w:rPr>
        <w:t>Act, 2002, has</w:t>
      </w:r>
      <w:r>
        <w:t xml:space="preserve"> a complementary orientation: conservation, sustainable use and fair and equitable sharing of benefits arising from biologic</w:t>
      </w:r>
      <w:r>
        <w:t>al resources and associated knowledge (Government of India, 200</w:t>
      </w:r>
      <w:r w:rsidR="00A77C0D">
        <w:t>3</w:t>
      </w:r>
      <w:r>
        <w:t>). Its institutional arrangements encompass the National Biodiversity Authority, State Biodiversity Boards and Biodiversity Management Committees (BMCs). Section 41 provides a basis for BMCs t</w:t>
      </w:r>
      <w:r>
        <w:t>o promote conservation, sustainable use and documentation of biological diversity at the local level. The Biological Diversity (Amendment) Act, 2023 and subsequent implementation instruments are relevant when interpreting the current framework, including c</w:t>
      </w:r>
      <w:r>
        <w:t>hanges in access and benefit-sharing governance (Government of India, 2023; Mishra, 2025). These provisions do not displace the need to identify wildlife-specific powers in a habitat intervention.</w:t>
      </w:r>
    </w:p>
    <w:p w14:paraId="3FB707E3" w14:textId="77777777" w:rsidR="00423FB7" w:rsidRDefault="00D27B34">
      <w:pPr>
        <w:jc w:val="both"/>
      </w:pPr>
      <w:r>
        <w:t xml:space="preserve">The Biological Diversity </w:t>
      </w:r>
      <w:r>
        <w:rPr>
          <w:highlight w:val="yellow"/>
        </w:rPr>
        <w:t>Rules, 2024, came</w:t>
      </w:r>
      <w:r>
        <w:t xml:space="preserve"> into force on 21</w:t>
      </w:r>
      <w:r>
        <w:t xml:space="preserve"> December 2024, and the Biological Diversity (Amendment) Rules, 2025 came into force on 1 November 2025 (National Biodiversity Authority, n.d.). The 2025 changes concern </w:t>
      </w:r>
      <w:r>
        <w:rPr>
          <w:highlight w:val="yellow"/>
        </w:rPr>
        <w:t>matters, including the procedure</w:t>
      </w:r>
      <w:r>
        <w:t xml:space="preserve"> for certificates of origin for cultivated medicinal p</w:t>
      </w:r>
      <w:r>
        <w:t>lants; they should be recognised as part of the current rules context but not portrayed as a new direct source of compulsory corridor design or dolphin-habitat protection. Distinguishing legal chronology and subject matter prevents a general reference to a</w:t>
      </w:r>
      <w:r>
        <w:t xml:space="preserve"> recent rule from being used to support ecological duties that the rule does not create. The same caution applies to international commitments: policy relevance does not automatically translate into a particular statutory obligation.</w:t>
      </w:r>
    </w:p>
    <w:p w14:paraId="6BB670F2" w14:textId="77777777" w:rsidR="00423FB7" w:rsidRDefault="00D27B34">
      <w:pPr>
        <w:jc w:val="both"/>
      </w:pPr>
      <w:r>
        <w:lastRenderedPageBreak/>
        <w:t>The Environment (Prote</w:t>
      </w:r>
      <w:r>
        <w:t xml:space="preserve">ction) </w:t>
      </w:r>
      <w:r>
        <w:rPr>
          <w:highlight w:val="yellow"/>
        </w:rPr>
        <w:t>Act, 1986, provides</w:t>
      </w:r>
      <w:r>
        <w:t xml:space="preserve"> wider authority for environmental protection and regulation, including legal instruments that can be relevant to activities affecting habitats (Government of India, 1986). Eco-sensitive zones (ESZs) around protected areas are an </w:t>
      </w:r>
      <w:r>
        <w:t>example of spatially differentiated regulation through specific notifications; their boundaries and regulated, prohibited or permitted activities depend on the applicable notification (MoEFCC, n.d.). It would therefore be inaccurate to describe every corri</w:t>
      </w:r>
      <w:r>
        <w:t>dor outside a protected area as subject to identical ESZ requirements. An ecology-led assessment can identify a need for restrictions or mitigation, but its implementation must still follow the actual notification, approval conditions and lawful decision p</w:t>
      </w:r>
      <w:r>
        <w:t>rocess.</w:t>
      </w:r>
    </w:p>
    <w:p w14:paraId="5117D9D1" w14:textId="77777777" w:rsidR="00423FB7" w:rsidRDefault="00D27B34">
      <w:pPr>
        <w:pStyle w:val="Heading2"/>
      </w:pPr>
      <w:r>
        <w:rPr>
          <w:highlight w:val="yellow"/>
        </w:rPr>
        <w:t>3.2</w:t>
      </w:r>
      <w:r>
        <w:t xml:space="preserve"> Constitutional and community dimensions of conservation governance</w:t>
      </w:r>
    </w:p>
    <w:p w14:paraId="1B0C01F7" w14:textId="77777777" w:rsidR="00423FB7" w:rsidRDefault="00D27B34">
      <w:pPr>
        <w:jc w:val="both"/>
      </w:pPr>
      <w:r>
        <w:t>Environmental protection has a constitutional dimension in India. Article 48A directs the State to endeavour to protect and improve the environment and safeguard forests and wil</w:t>
      </w:r>
      <w:r>
        <w:t xml:space="preserve">dlife; Article 51A(g) articulates a fundamental duty of citizens to protect and improve the natural environment. These provisions are important expressions of public responsibility but do not, standing alone, resolve every question of statutory authority, </w:t>
      </w:r>
      <w:r>
        <w:t>land tenure or enforceable project conditions (Government of India, 1950). Their practical significance lies in complementing the interpretation and design of conservation measures within the wider legal framework. A responsible assessment avoids using con</w:t>
      </w:r>
      <w:r>
        <w:t>stitutional language as a substitute for the exact legal basis of a proposed administrative action.</w:t>
      </w:r>
    </w:p>
    <w:p w14:paraId="36B42ECF" w14:textId="77777777" w:rsidR="00423FB7" w:rsidRDefault="00D27B34">
      <w:pPr>
        <w:jc w:val="both"/>
      </w:pPr>
      <w:r>
        <w:t xml:space="preserve">The Forest Rights </w:t>
      </w:r>
      <w:r>
        <w:rPr>
          <w:highlight w:val="yellow"/>
        </w:rPr>
        <w:t>Act, 2006, introduces</w:t>
      </w:r>
      <w:r>
        <w:t xml:space="preserve"> additional considerations where conservation decisions intersect with recognised rights and customary management. Se</w:t>
      </w:r>
      <w:r>
        <w:t>ction 3(1)(i) recognises certain rights to protect, regenerate, conserve or manage community forest resources traditionally protected and conserved for sustainable use (Government of India, 2006). The significance of the provision is not that all groups ha</w:t>
      </w:r>
      <w:r>
        <w:t>ve identical rights or that every area is governed through the same institutions; rather, it requires attention to locally applicable rights and procedures. In a landscape intervention, the first task is to identify relevant legal interests, affected commu</w:t>
      </w:r>
      <w:r>
        <w:t>nities, responsible bodies and lawful mechanisms for consultation and participation.</w:t>
      </w:r>
    </w:p>
    <w:p w14:paraId="39747904" w14:textId="77777777" w:rsidR="00423FB7" w:rsidRDefault="00D27B34">
      <w:pPr>
        <w:jc w:val="both"/>
      </w:pPr>
      <w:r>
        <w:t>Research highlights why the social context cannot be treated as a secondary administrative matter. Mishra (2016), in a study of households associated with a sanctuary in O</w:t>
      </w:r>
      <w:r>
        <w:t>disha, investigated the relationship between forest rights, well-being and conservation-related attitudes. Das (2024) argues for closer consideration of forest legislation alongside protected-area approaches. Siddhartha (2025) describes tensions arising wh</w:t>
      </w:r>
      <w:r>
        <w:t>ere proposed elephant corridor land acquisition intersects with agricultural livelihoods in South India. These contributions do not support a universal claim that corridor protection causes harm or that community participation always produces better biodiv</w:t>
      </w:r>
      <w:r>
        <w:t>ersity outcomes. They instead demonstrate why a conservation proposal should examine distributional effects, the legal basis of land-use changes and the legitimacy of the decision process.</w:t>
      </w:r>
    </w:p>
    <w:p w14:paraId="445362AC" w14:textId="77777777" w:rsidR="00423FB7" w:rsidRDefault="00D27B34">
      <w:pPr>
        <w:jc w:val="both"/>
      </w:pPr>
      <w:r>
        <w:t xml:space="preserve">International discussion of inclusive conservation makes a similar </w:t>
      </w:r>
      <w:r>
        <w:t>distinction between area coverage and governance quality. The CBD (2022) framework emphasises effectiveness, representation, connectivity and equitable governance, while Sibanda et al. (2025) caution that area-based ambitions can generate tensions when com</w:t>
      </w:r>
      <w:r>
        <w:t>munity rights and conservation objectives are not adequately reconciled. In Indian legal-policy analysis, this implies that human participation should be specified in practical terms: whose knowledge is considered, who bears restrictions, who receives acce</w:t>
      </w:r>
      <w:r>
        <w:t>ssible information, how grievances are recorded and what legal duties remain with public authorities. Co-management literature identifies knowledge exchange and institutional learning as potential assets but not substitutes for clear accountability (Berkes</w:t>
      </w:r>
      <w:r>
        <w:t>, 2009).</w:t>
      </w:r>
    </w:p>
    <w:p w14:paraId="4DFD409E" w14:textId="77777777" w:rsidR="00423FB7" w:rsidRDefault="00D27B34">
      <w:pPr>
        <w:pStyle w:val="Heading2"/>
      </w:pPr>
      <w:r>
        <w:rPr>
          <w:highlight w:val="yellow"/>
        </w:rPr>
        <w:t>3.3</w:t>
      </w:r>
      <w:r>
        <w:t xml:space="preserve"> Habitat loss, fragmentation and the spatial mismatch</w:t>
      </w:r>
    </w:p>
    <w:p w14:paraId="07A4C8F7" w14:textId="77777777" w:rsidR="00423FB7" w:rsidRDefault="00D27B34">
      <w:pPr>
        <w:jc w:val="both"/>
      </w:pPr>
      <w:r>
        <w:t>The relationship between habitat configuration and extinction risk is multifaceted. Habitat loss can reduce the area available to support individuals, while changes in spatial arrangement ca</w:t>
      </w:r>
      <w:r>
        <w:t>n affect dispersal, recolonisation, edge exposure and access to resources. Fahrig (2003) reviews the considerable variation in methods and findings in fragmentation studies; Haddad et al. (2015) synthesise evidence of adverse ecological effects of fragment</w:t>
      </w:r>
      <w:r>
        <w:t xml:space="preserve">ation across several systems. However, the effects attributable specifically to configuration, after controlling for habitat </w:t>
      </w:r>
      <w:r>
        <w:lastRenderedPageBreak/>
        <w:t xml:space="preserve">amount, are not uniformly negative (Fahrig, 2017). A legal assessment should therefore ask </w:t>
      </w:r>
      <w:r>
        <w:rPr>
          <w:highlight w:val="yellow"/>
        </w:rPr>
        <w:t>which ecological process and which speci</w:t>
      </w:r>
      <w:r>
        <w:rPr>
          <w:highlight w:val="yellow"/>
        </w:rPr>
        <w:t>es are affected</w:t>
      </w:r>
      <w:r>
        <w:t xml:space="preserve"> and how the observation was obtained, rather than treating any visually fragmented landscape as equivalent evidence of reduced population viability.</w:t>
      </w:r>
    </w:p>
    <w:p w14:paraId="57BE5DDB" w14:textId="77777777" w:rsidR="00423FB7" w:rsidRDefault="00D27B34">
      <w:pPr>
        <w:jc w:val="both"/>
      </w:pPr>
      <w:r>
        <w:t xml:space="preserve">A designated protected-area boundary is not necessarily a boundary of ecological function. </w:t>
      </w:r>
      <w:r>
        <w:t>Wide-ranging mammals may depend on resources dispersed across several land-use categories. Migratory and semi-migratory species may depend on seasonally important places outside areas designated for conservation. Riverine fauna move within hydrologically c</w:t>
      </w:r>
      <w:r>
        <w:t>onnected networks and experience threats originating upstream or downstream. These mismatches do not imply that all unprotected land lacks conservation rules; outside protected areas, forest law, environmental approvals, water-related controls, land rights</w:t>
      </w:r>
      <w:r>
        <w:t xml:space="preserve"> and other instruments may still operate. The difficulty is one of identifying the appropriate legal lever, coordinating its use across places and evaluating whether it protects the actual ecological process </w:t>
      </w:r>
      <w:r>
        <w:rPr>
          <w:highlight w:val="yellow"/>
        </w:rPr>
        <w:t>(Pandey et al., 2024; Srivastava &amp; Tyagi, 2016)</w:t>
      </w:r>
      <w:r>
        <w:t>.</w:t>
      </w:r>
    </w:p>
    <w:p w14:paraId="3D238841" w14:textId="77777777" w:rsidR="00423FB7" w:rsidRDefault="00D27B34">
      <w:pPr>
        <w:jc w:val="both"/>
      </w:pPr>
      <w:r>
        <w:t>Figure 1 illustrates this analytical distinction by showing a core protected habitat surrounded by a human-used landscape containing routes, seasonal habitat and potential barriers. The purpose is to compare the spatial reach of a designation with the spa</w:t>
      </w:r>
      <w:r>
        <w:t>tial reach of biological processes, not to imply that a protected area's management has no value or that every surrounding location is legally unrestricted. The practical implication is the need to assess the full landscape relevant to a target species whi</w:t>
      </w:r>
      <w:r>
        <w:t>le mapping the legal status and responsible authority separately for each spatial component.</w:t>
      </w:r>
    </w:p>
    <w:p w14:paraId="172EFC75" w14:textId="77777777" w:rsidR="00423FB7" w:rsidRDefault="00D27B34">
      <w:pPr>
        <w:keepNext/>
        <w:spacing w:before="140" w:after="60"/>
        <w:jc w:val="center"/>
      </w:pPr>
      <w:r>
        <w:rPr>
          <w:noProof/>
        </w:rPr>
        <w:drawing>
          <wp:inline distT="0" distB="0" distL="0" distR="0" wp14:anchorId="5D7C8A1A" wp14:editId="0DCAE316">
            <wp:extent cx="5257800" cy="36845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source_upscaled.png"/>
                    <pic:cNvPicPr/>
                  </pic:nvPicPr>
                  <pic:blipFill>
                    <a:blip r:embed="rId6"/>
                    <a:stretch>
                      <a:fillRect/>
                    </a:stretch>
                  </pic:blipFill>
                  <pic:spPr>
                    <a:xfrm>
                      <a:off x="0" y="0"/>
                      <a:ext cx="5257800" cy="3684536"/>
                    </a:xfrm>
                    <a:prstGeom prst="rect">
                      <a:avLst/>
                    </a:prstGeom>
                  </pic:spPr>
                </pic:pic>
              </a:graphicData>
            </a:graphic>
          </wp:inline>
        </w:drawing>
      </w:r>
    </w:p>
    <w:p w14:paraId="0097DBFD" w14:textId="77777777" w:rsidR="00423FB7" w:rsidRDefault="00D27B34">
      <w:pPr>
        <w:pStyle w:val="FigureCaption"/>
      </w:pPr>
      <w:r>
        <w:rPr>
          <w:b/>
        </w:rPr>
        <w:t xml:space="preserve">Figure 1. </w:t>
      </w:r>
      <w:r>
        <w:t>Spatial and functional mismatch between an illustrative protected-area boundary and ecological processes operating across a wider landscape. Areas outs</w:t>
      </w:r>
      <w:r>
        <w:t>ide the depicted protected area are not necessarily free of other legal controls.</w:t>
      </w:r>
    </w:p>
    <w:p w14:paraId="5CDF3753" w14:textId="77777777" w:rsidR="00423FB7" w:rsidRDefault="00D27B34">
      <w:pPr>
        <w:pStyle w:val="Heading2"/>
      </w:pPr>
      <w:r>
        <w:rPr>
          <w:highlight w:val="yellow"/>
        </w:rPr>
        <w:t>3.4</w:t>
      </w:r>
      <w:r>
        <w:t xml:space="preserve"> Schedules, extinction-risk assessments and evidentiary limits</w:t>
      </w:r>
    </w:p>
    <w:p w14:paraId="7A5A50C1" w14:textId="77777777" w:rsidR="00423FB7" w:rsidRDefault="00D27B34">
      <w:pPr>
        <w:jc w:val="both"/>
      </w:pPr>
      <w:r>
        <w:t>An IUCN Red List category synthesises evidence regarding the extinction risk of an assessed taxon according to stated criteria (IUCN, n.d.). A domestic schedule identifies a legal protection category created through Indian legislation and delegated decisio</w:t>
      </w:r>
      <w:r>
        <w:t>n-making. Neither category should be automatically substituted for the other. Species not considered globally threatened may be locally rare or subject to geographically specific pressures; a highly threatened taxon may require interventions that go beyond</w:t>
      </w:r>
      <w:r>
        <w:t xml:space="preserve"> restrictions directed at specimens. Consequently, </w:t>
      </w:r>
      <w:r>
        <w:lastRenderedPageBreak/>
        <w:t>an integrated dossier should record the accepted taxonomic identity, relevant statutory listing, IUCN assessment and geographic scale of the biological evidence. These are complementary fields, not competi</w:t>
      </w:r>
      <w:r>
        <w:t>ng representations of the same quantity.</w:t>
      </w:r>
    </w:p>
    <w:p w14:paraId="75D8ED1A" w14:textId="77777777" w:rsidR="00423FB7" w:rsidRDefault="00D27B34">
      <w:pPr>
        <w:jc w:val="both"/>
      </w:pPr>
      <w:r>
        <w:t xml:space="preserve">Evidence quality also matters at the observation stage. A photographed or observed animal can establish presence at a particular place and time, subject to identification quality, but does not by itself demonstrate </w:t>
      </w:r>
      <w:r>
        <w:t>a viable breeding population. A change in encounter rate may arise from population change, survey effort, detection probability, seasonality or movement. MacKenzie et al. (2002) explain why imperfect detection must be considered when estimating site occupa</w:t>
      </w:r>
      <w:r>
        <w:t>ncy. For corridor assessments, a record of passage demonstrates use but not necessarily long-term functional connectivity or demographic benefit. The resulting legal explanation should state both what is observed and what remains uncertain, especially wher</w:t>
      </w:r>
      <w:r>
        <w:t>e a proposed action will affect land use, public expenditure or private interests.</w:t>
      </w:r>
    </w:p>
    <w:p w14:paraId="1E0CFB5A" w14:textId="77777777" w:rsidR="00423FB7" w:rsidRDefault="00D27B34">
      <w:pPr>
        <w:jc w:val="both"/>
      </w:pPr>
      <w:r>
        <w:t xml:space="preserve">The corresponding evidence chain has four parts. First, the biological observation is described with its method, spatial reference and date. Second, an ecological inference </w:t>
      </w:r>
      <w:r>
        <w:t>is offered with alternative explanations and uncertainty. Third, the applicable legal finding is identified, including jurisdiction and relevant statutory conditions. Fourth, the management response is specified, along with an observable result against whi</w:t>
      </w:r>
      <w:r>
        <w:t>ch it can be assessed. This chain prevents a habitat model from being treated as a legal verdict and prevents a legal permission from being treated as proof of ecological improvement. It also provides a tractable record for administrators, scientists, affe</w:t>
      </w:r>
      <w:r>
        <w:t>cted communities and, when relevant, judicial scrutiny.</w:t>
      </w:r>
    </w:p>
    <w:p w14:paraId="73137DBD" w14:textId="77777777" w:rsidR="00423FB7" w:rsidRDefault="00D27B34">
      <w:pPr>
        <w:pStyle w:val="Heading2"/>
      </w:pPr>
      <w:r>
        <w:rPr>
          <w:highlight w:val="yellow"/>
        </w:rPr>
        <w:t>3.5</w:t>
      </w:r>
      <w:r>
        <w:t xml:space="preserve"> Rivers as dynamic conservation landscapes</w:t>
      </w:r>
    </w:p>
    <w:p w14:paraId="4DCBB7E4" w14:textId="77777777" w:rsidR="00423FB7" w:rsidRDefault="00D27B34">
      <w:pPr>
        <w:jc w:val="both"/>
      </w:pPr>
      <w:r>
        <w:t xml:space="preserve">Freshwater conservation presents a particular challenge because the ecological unit is often a connected river network rather than a bounded terrestrial </w:t>
      </w:r>
      <w:r>
        <w:t>parcel. River dolphins depend on aquatic habitat conditions that can change with discharge, depth, channel morphology, prey availability and human use. A study of the Ganga River dolphin's hydraulic habitat between the Bijnor and Narora barrages illustrate</w:t>
      </w:r>
      <w:r>
        <w:t>s how spatially and seasonally variable flow conditions can affect habitat suitability, and how remote observations can assist when direct data are limited (Sonkar et al., 2023). It does not establish a uniform discharge threshold applicable throughout the</w:t>
      </w:r>
      <w:r>
        <w:t xml:space="preserve"> Ganga basin. Ecological thresholds require estimation for the particular reach and season under consideration.</w:t>
      </w:r>
    </w:p>
    <w:p w14:paraId="1B5A85F7" w14:textId="77777777" w:rsidR="00423FB7" w:rsidRDefault="00D27B34">
      <w:pPr>
        <w:jc w:val="both"/>
      </w:pPr>
      <w:r>
        <w:t>Basin-scale research also demonstrates the importance of separating data-supported priority areas from broad administrative labels. Das et al. (</w:t>
      </w:r>
      <w:r>
        <w:t>2022) used survey and model-based information on the Gangetic dolphin to evaluate priority river stretches, and reported the influence of river conditions and survey effort on ecological estimates. A river reach with relatively high predicted suitability i</w:t>
      </w:r>
      <w:r>
        <w:t xml:space="preserve">s an appropriate candidate for assessment, but predicted suitability is not confirmation of a protected status, a mandatory restriction or a causal conservation benefit. A planning process should therefore specify whether an indicator concerns occurrence, </w:t>
      </w:r>
      <w:r>
        <w:t>abundance, mortality, habitat condition or the implementation of a measure and should provide the uncertainty associated with the method.</w:t>
      </w:r>
    </w:p>
    <w:p w14:paraId="7AD209ED" w14:textId="77777777" w:rsidR="00423FB7" w:rsidRDefault="00D27B34">
      <w:pPr>
        <w:jc w:val="both"/>
      </w:pPr>
      <w:r>
        <w:t>The MoEFCC (2024) annual report refers to a proposal concerning a Gangetic dolphin conservation zone in the Chambal Ri</w:t>
      </w:r>
      <w:r>
        <w:t>ver system. A proposal is evidence of policy consideration, not proof of final notification, enforcement or effectiveness. The same approach applies to canal rescues, fishing-related threats and river restoration: an individual recorded incident or managem</w:t>
      </w:r>
      <w:r>
        <w:t xml:space="preserve">ent activity can identify a concern or response without establishing a basin-wide trend. The legal response may involve multiple authorities responsible for wildlife, fishing, pollution, infrastructure or water management. Integration therefore requires a </w:t>
      </w:r>
      <w:r>
        <w:t>carefully identified administrative pathway as well as an ecological explanation of the reach to be protected.</w:t>
      </w:r>
    </w:p>
    <w:p w14:paraId="66D3C7F3" w14:textId="77777777" w:rsidR="00423FB7" w:rsidRDefault="00D27B34">
      <w:pPr>
        <w:pStyle w:val="Heading2"/>
      </w:pPr>
      <w:r>
        <w:rPr>
          <w:highlight w:val="yellow"/>
        </w:rPr>
        <w:t>3.6</w:t>
      </w:r>
      <w:r>
        <w:t xml:space="preserve"> Terrestrial connectivity and linear infrastructure</w:t>
      </w:r>
    </w:p>
    <w:p w14:paraId="65AAA30C" w14:textId="77777777" w:rsidR="00423FB7" w:rsidRDefault="00D27B34">
      <w:pPr>
        <w:jc w:val="both"/>
      </w:pPr>
      <w:r>
        <w:t>Roads, railways, canals and other linear features can divide habitats, alter movement, cre</w:t>
      </w:r>
      <w:r>
        <w:t xml:space="preserve">ate collision risks and change animal behaviour. These effects are species- and site-dependent; a structure that is sufficient for one taxon </w:t>
      </w:r>
      <w:r>
        <w:lastRenderedPageBreak/>
        <w:t>or movement pattern may not function equivalently for another. Pandey et al. (2024) describe the intersection of el</w:t>
      </w:r>
      <w:r>
        <w:t>ephant conservation with infrastructure expansion and human–elephant interactions in India. More recent field research in and around Rajaji National Park recorded animal use and activity patterns associated with corridor underpasses, offering a useful exam</w:t>
      </w:r>
      <w:r>
        <w:t>ple of how camera-trap evidence can be employed in evaluating infrastructure mitigation (Verma et al., 2025). Such detections demonstrate use during the study period but do not alone establish a reduction in population extinction risk.</w:t>
      </w:r>
    </w:p>
    <w:p w14:paraId="5E3DE12B" w14:textId="77777777" w:rsidR="00423FB7" w:rsidRDefault="00D27B34">
      <w:pPr>
        <w:jc w:val="both"/>
      </w:pPr>
      <w:r>
        <w:t>Conservation plannin</w:t>
      </w:r>
      <w:r>
        <w:t>g for transport corridors should distinguish predicted routes, actual crossings, conflict locations and the effectiveness of mitigation. A mapped movement pathway may guide the placement of a crossing structure, but design and evaluation should consider sp</w:t>
      </w:r>
      <w:r>
        <w:t xml:space="preserve">ecies-specific behaviour, available habitat on both sides, access barriers, vegetation, disturbance, maintenance and potential effects on nearby communities. Monitoring may include verified passage events, collision rates adjusted for effort, connectivity </w:t>
      </w:r>
      <w:r>
        <w:t>indices and changes in habitat use. A decline in recorded incidents is encouraging but may also reflect differences in reporting; independent evidence and comparable time periods improve interpretation. The objective is not to assume that every crossing st</w:t>
      </w:r>
      <w:r>
        <w:t>ructure performs equally well, but to create measurable and revisable site-specific decisions.</w:t>
      </w:r>
    </w:p>
    <w:p w14:paraId="06F41859" w14:textId="77777777" w:rsidR="00423FB7" w:rsidRDefault="00D27B34">
      <w:pPr>
        <w:jc w:val="both"/>
      </w:pPr>
      <w:r>
        <w:t>This issue has a distinct legal dimension. A project approval may contain mitigation conditions, while an ESZ notification may regulate specified activities in i</w:t>
      </w:r>
      <w:r>
        <w:t>ts defined territory. The Wild Life (Protection) Act may apply differently inside a sanctuary from outside it. These potential mechanisms cannot be described collectively as a universal statutory requirement that all roads or railways have wildlife crossin</w:t>
      </w:r>
      <w:r>
        <w:t>gs. A legal-policy assessment should identify the project and its approvals, any relevant protected-area jurisdiction, the applicable notification, the competent authority and the precise condition being proposed or enforced (Government of India, 1972, 198</w:t>
      </w:r>
      <w:r>
        <w:t>6; MoEFCC, n.d.). Linking the ecological recommendation to that specific legal record is essential for feasibility and procedural fairness.</w:t>
      </w:r>
    </w:p>
    <w:p w14:paraId="5D56CD1F" w14:textId="77777777" w:rsidR="00423FB7" w:rsidRDefault="00D27B34">
      <w:pPr>
        <w:pStyle w:val="Heading2"/>
      </w:pPr>
      <w:r>
        <w:rPr>
          <w:highlight w:val="yellow"/>
        </w:rPr>
        <w:t>3.7</w:t>
      </w:r>
      <w:r>
        <w:t xml:space="preserve"> How effectiveness should be understood</w:t>
      </w:r>
    </w:p>
    <w:p w14:paraId="66080057" w14:textId="77777777" w:rsidR="00423FB7" w:rsidRDefault="00D27B34">
      <w:pPr>
        <w:jc w:val="both"/>
      </w:pPr>
      <w:r>
        <w:t>An ecological conservation programme can be active without being successf</w:t>
      </w:r>
      <w:r>
        <w:t>ul. Patrol days, cases registered, consultation meetings, expenditure and hectares designated describe administrative activity or coverage; they do not directly measure persistence, recruitment, movement or habitat quality. Comparative work on protected ar</w:t>
      </w:r>
      <w:r>
        <w:t>eas has shown that protected status is not automatically equivalent to lower anthropogenic pressure across every place or habitat category (Geldmann et al., 2019). Conversely, a population trend cannot be attributed to a legal measure merely because both o</w:t>
      </w:r>
      <w:r>
        <w:t>ccurred in the same period. Monitoring should therefore connect implementation records to biological and environmental indicators, while being explicit about plausible confounders and the absence of a causal evaluation where none exists.</w:t>
      </w:r>
    </w:p>
    <w:p w14:paraId="5C0200E4" w14:textId="77777777" w:rsidR="00423FB7" w:rsidRDefault="00D27B34">
      <w:pPr>
        <w:jc w:val="both"/>
      </w:pPr>
      <w:r>
        <w:t>Nichols and Willia</w:t>
      </w:r>
      <w:r>
        <w:t xml:space="preserve">ms (2006) argue that conservation monitoring is most useful when connected to decisions and management questions rather than conducted as isolated surveillance. Lindenmayer and Likens (2009) similarly frame adaptive monitoring as a structured process that </w:t>
      </w:r>
      <w:r>
        <w:t xml:space="preserve">responds to changing questions and evidence. For endangered fauna, this suggests designing a small set of decision-relevant metrics at the beginning of an intervention, establishing a baseline, documenting how observations will be interpreted and defining </w:t>
      </w:r>
      <w:r>
        <w:t>a schedule for review. The design should accommodate uncertainty without allowing uncertainty to become an excuse for not recording outcomes. Changes in monitoring method must be documented if temporal comparisons are to remain defensible.</w:t>
      </w:r>
    </w:p>
    <w:p w14:paraId="53E90B43" w14:textId="77777777" w:rsidR="00423FB7" w:rsidRDefault="00D27B34">
      <w:pPr>
        <w:jc w:val="both"/>
      </w:pPr>
      <w:r>
        <w:t>An integrated fr</w:t>
      </w:r>
      <w:r>
        <w:t>amework should also avoid equating scientific precision with administrative completeness. The most accurate ecological estimate may be unusable if its geographic jurisdiction is unclear; a meticulously documented legal approval may be ineffective if the bi</w:t>
      </w:r>
      <w:r>
        <w:t>ological objective is undefined. Conservation management therefore requires paired but distinct records: one documenting biological condition and its uncertainty, and one documenting the authority, actions and process through which relevant interventions o</w:t>
      </w:r>
      <w:r>
        <w:t xml:space="preserve">ccur. An evaluative study can subsequently ask whether changes in the second record are associated with changes in the first. Such a question </w:t>
      </w:r>
      <w:r>
        <w:lastRenderedPageBreak/>
        <w:t>is more informative than assuming a direct relationship and can guide the design of prospective comparative resear</w:t>
      </w:r>
      <w:r>
        <w:t>ch.</w:t>
      </w:r>
    </w:p>
    <w:p w14:paraId="2E61DA6A" w14:textId="77777777" w:rsidR="00423FB7" w:rsidRDefault="00D27B34">
      <w:pPr>
        <w:pStyle w:val="Heading1"/>
      </w:pPr>
      <w:r>
        <w:rPr>
          <w:highlight w:val="yellow"/>
        </w:rPr>
        <w:t>4.</w:t>
      </w:r>
      <w:r>
        <w:t xml:space="preserve"> Species–Habitat–Law Integration Framework</w:t>
      </w:r>
    </w:p>
    <w:p w14:paraId="7B04DC83" w14:textId="77777777" w:rsidR="00423FB7" w:rsidRDefault="00D27B34">
      <w:pPr>
        <w:jc w:val="both"/>
      </w:pPr>
      <w:r>
        <w:t>The Species–Habitat–Law Integration Framework is a decision structure for combining evidence rather than a new statutory classification or a predictive biological model. It asks an implementing team to consi</w:t>
      </w:r>
      <w:r>
        <w:t>der five connected domains: species-risk profile, habitat and connectivity mapping, threat-specific legal response, participation and coordination, and adaptive monitoring. The sequence is intended to make assumptions explicit and to ensure that an attract</w:t>
      </w:r>
      <w:r>
        <w:t>ive ecological proposal does not bypass the question of lawful authority. It can be applied at the scale of an individual site, a corridor, a river reach or a larger landscape, provided that the unit of analysis and the relevant statutory jurisdictions are</w:t>
      </w:r>
      <w:r>
        <w:t xml:space="preserve"> defined. The approach is deliberately modular because no single observation method or regulatory tool is suitable for all threatened taxa.</w:t>
      </w:r>
    </w:p>
    <w:p w14:paraId="048C7CCA" w14:textId="77777777" w:rsidR="00423FB7" w:rsidRDefault="00D27B34">
      <w:pPr>
        <w:jc w:val="both"/>
      </w:pPr>
      <w:r>
        <w:t>The proposed relationship between these domains is shown in Figure 2. Ecological evidence establishes the conservati</w:t>
      </w:r>
      <w:r>
        <w:t>on problem; spatial analysis specifies where processes and threats operate; legal assessment identifies what may lawfully be done; participation assesses procedural and practical conditions; and monitoring tests whether the activity was implemented and whe</w:t>
      </w:r>
      <w:r>
        <w:t>ther the biological objective is being approached. The feedback loop is critical: new observations may require a revised ecological hypothesis, a different management measure or a change in the allocation of responsibilities. The diagram represents this no</w:t>
      </w:r>
      <w:r>
        <w:t>rmative analytic sequence and does not claim that an actual authority has adopted or validated it.</w:t>
      </w:r>
    </w:p>
    <w:p w14:paraId="1C9BF3C7" w14:textId="77777777" w:rsidR="00423FB7" w:rsidRDefault="00D27B34">
      <w:pPr>
        <w:keepNext/>
        <w:spacing w:before="140" w:after="60"/>
        <w:jc w:val="center"/>
      </w:pPr>
      <w:r>
        <w:rPr>
          <w:noProof/>
        </w:rPr>
        <w:drawing>
          <wp:inline distT="0" distB="0" distL="0" distR="0" wp14:anchorId="3B767C17" wp14:editId="4B834191">
            <wp:extent cx="5760720" cy="36845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source_upscaled.png"/>
                    <pic:cNvPicPr/>
                  </pic:nvPicPr>
                  <pic:blipFill>
                    <a:blip r:embed="rId7"/>
                    <a:stretch>
                      <a:fillRect/>
                    </a:stretch>
                  </pic:blipFill>
                  <pic:spPr>
                    <a:xfrm>
                      <a:off x="0" y="0"/>
                      <a:ext cx="5760720" cy="3684563"/>
                    </a:xfrm>
                    <a:prstGeom prst="rect">
                      <a:avLst/>
                    </a:prstGeom>
                  </pic:spPr>
                </pic:pic>
              </a:graphicData>
            </a:graphic>
          </wp:inline>
        </w:drawing>
      </w:r>
    </w:p>
    <w:p w14:paraId="25E3DB15" w14:textId="77777777" w:rsidR="00423FB7" w:rsidRDefault="00D27B34">
      <w:pPr>
        <w:pStyle w:val="FigureCaption"/>
      </w:pPr>
      <w:r>
        <w:rPr>
          <w:b/>
        </w:rPr>
        <w:t xml:space="preserve">Figure 2. </w:t>
      </w:r>
      <w:r>
        <w:t>Five interacting components of the proposed Species–Habitat–Law Integration Framework. Feedback is intended to inform subsequent scientific and a</w:t>
      </w:r>
      <w:r>
        <w:t>dministrative review.</w:t>
      </w:r>
    </w:p>
    <w:p w14:paraId="31587A8A" w14:textId="77777777" w:rsidR="00423FB7" w:rsidRDefault="00D27B34">
      <w:pPr>
        <w:jc w:val="both"/>
      </w:pPr>
      <w:r>
        <w:t>Table 1 translates the five domains into illustrative evidence fields and indicators. For each indicator, measurement should specify the target taxon, spatial extent, time interval, method, baseline and responsible institution. The ex</w:t>
      </w:r>
      <w:r>
        <w:t xml:space="preserve">amples are not compulsory national benchmarks; an indicator inappropriate to the biology or sampling conditions of a particular species should not be used merely because it appears in the framework. The final column </w:t>
      </w:r>
      <w:r>
        <w:lastRenderedPageBreak/>
        <w:t>distinguishes possible data sources from</w:t>
      </w:r>
      <w:r>
        <w:t xml:space="preserve"> legal powers, avoiding the misconception that a biological measurement independently confers authority to restrict land or water use.</w:t>
      </w:r>
    </w:p>
    <w:p w14:paraId="2A61C5AB" w14:textId="77777777" w:rsidR="00423FB7" w:rsidRDefault="00D27B34">
      <w:pPr>
        <w:pStyle w:val="FigureCaption"/>
        <w:keepNext/>
        <w:pageBreakBefore/>
      </w:pPr>
      <w:r>
        <w:rPr>
          <w:b/>
        </w:rPr>
        <w:lastRenderedPageBreak/>
        <w:t xml:space="preserve">Table 1. </w:t>
      </w:r>
      <w:r>
        <w:t>Proposed Species–Habitat–Law Integration Framework: evidence, indicators and interpretation.</w:t>
      </w:r>
    </w:p>
    <w:tbl>
      <w:tblPr>
        <w:tblStyle w:val="TableGrid"/>
        <w:tblW w:w="0" w:type="auto"/>
        <w:jc w:val="center"/>
        <w:tblLayout w:type="fixed"/>
        <w:tblLook w:val="04A0" w:firstRow="1" w:lastRow="0" w:firstColumn="1" w:lastColumn="0" w:noHBand="0" w:noVBand="1"/>
      </w:tblPr>
      <w:tblGrid>
        <w:gridCol w:w="1469"/>
        <w:gridCol w:w="2880"/>
        <w:gridCol w:w="2650"/>
        <w:gridCol w:w="2506"/>
      </w:tblGrid>
      <w:tr w:rsidR="00423FB7" w14:paraId="3202C8E1" w14:textId="77777777">
        <w:trPr>
          <w:tblHeader/>
          <w:jc w:val="center"/>
        </w:trPr>
        <w:tc>
          <w:tcPr>
            <w:tcW w:w="1469" w:type="dxa"/>
            <w:shd w:val="clear" w:color="auto" w:fill="DCE9EF"/>
            <w:tcMar>
              <w:top w:w="90" w:type="dxa"/>
              <w:left w:w="92" w:type="dxa"/>
              <w:bottom w:w="90" w:type="dxa"/>
              <w:right w:w="92" w:type="dxa"/>
            </w:tcMar>
          </w:tcPr>
          <w:p w14:paraId="03E8FA2E" w14:textId="77777777" w:rsidR="00423FB7" w:rsidRDefault="00D27B34">
            <w:r>
              <w:rPr>
                <w:b/>
                <w:sz w:val="18"/>
              </w:rPr>
              <w:t>Component</w:t>
            </w:r>
          </w:p>
        </w:tc>
        <w:tc>
          <w:tcPr>
            <w:tcW w:w="2880" w:type="dxa"/>
            <w:shd w:val="clear" w:color="auto" w:fill="DCE9EF"/>
            <w:tcMar>
              <w:top w:w="90" w:type="dxa"/>
              <w:left w:w="92" w:type="dxa"/>
              <w:bottom w:w="90" w:type="dxa"/>
              <w:right w:w="92" w:type="dxa"/>
            </w:tcMar>
          </w:tcPr>
          <w:p w14:paraId="1BD26E03" w14:textId="77777777" w:rsidR="00423FB7" w:rsidRDefault="00D27B34">
            <w:r>
              <w:rPr>
                <w:b/>
                <w:sz w:val="18"/>
              </w:rPr>
              <w:t xml:space="preserve">Evidence </w:t>
            </w:r>
            <w:r>
              <w:rPr>
                <w:b/>
                <w:sz w:val="18"/>
              </w:rPr>
              <w:t>and legal question</w:t>
            </w:r>
          </w:p>
        </w:tc>
        <w:tc>
          <w:tcPr>
            <w:tcW w:w="2650" w:type="dxa"/>
            <w:shd w:val="clear" w:color="auto" w:fill="DCE9EF"/>
            <w:tcMar>
              <w:top w:w="90" w:type="dxa"/>
              <w:left w:w="92" w:type="dxa"/>
              <w:bottom w:w="90" w:type="dxa"/>
              <w:right w:w="92" w:type="dxa"/>
            </w:tcMar>
          </w:tcPr>
          <w:p w14:paraId="72D31E83" w14:textId="77777777" w:rsidR="00423FB7" w:rsidRDefault="00D27B34">
            <w:r>
              <w:rPr>
                <w:b/>
                <w:sz w:val="18"/>
              </w:rPr>
              <w:t>Illustrative indicator</w:t>
            </w:r>
          </w:p>
        </w:tc>
        <w:tc>
          <w:tcPr>
            <w:tcW w:w="2506" w:type="dxa"/>
            <w:shd w:val="clear" w:color="auto" w:fill="DCE9EF"/>
            <w:tcMar>
              <w:top w:w="90" w:type="dxa"/>
              <w:left w:w="92" w:type="dxa"/>
              <w:bottom w:w="90" w:type="dxa"/>
              <w:right w:w="92" w:type="dxa"/>
            </w:tcMar>
          </w:tcPr>
          <w:p w14:paraId="284674FD" w14:textId="77777777" w:rsidR="00423FB7" w:rsidRDefault="00D27B34">
            <w:r>
              <w:rPr>
                <w:b/>
                <w:sz w:val="18"/>
              </w:rPr>
              <w:t>Measurement and interpretation</w:t>
            </w:r>
          </w:p>
        </w:tc>
      </w:tr>
      <w:tr w:rsidR="00423FB7" w14:paraId="0C29D44E" w14:textId="77777777">
        <w:trPr>
          <w:jc w:val="center"/>
        </w:trPr>
        <w:tc>
          <w:tcPr>
            <w:tcW w:w="1469" w:type="dxa"/>
            <w:tcMar>
              <w:top w:w="90" w:type="dxa"/>
              <w:left w:w="92" w:type="dxa"/>
              <w:bottom w:w="90" w:type="dxa"/>
              <w:right w:w="92" w:type="dxa"/>
            </w:tcMar>
            <w:vAlign w:val="center"/>
          </w:tcPr>
          <w:p w14:paraId="2FE137B5" w14:textId="77777777" w:rsidR="00423FB7" w:rsidRDefault="00D27B34">
            <w:pPr>
              <w:spacing w:after="0" w:line="259" w:lineRule="auto"/>
            </w:pPr>
            <w:r>
              <w:rPr>
                <w:sz w:val="17"/>
              </w:rPr>
              <w:t>1. Species-risk profile</w:t>
            </w:r>
          </w:p>
        </w:tc>
        <w:tc>
          <w:tcPr>
            <w:tcW w:w="2880" w:type="dxa"/>
            <w:tcMar>
              <w:top w:w="90" w:type="dxa"/>
              <w:left w:w="92" w:type="dxa"/>
              <w:bottom w:w="90" w:type="dxa"/>
              <w:right w:w="92" w:type="dxa"/>
            </w:tcMar>
            <w:vAlign w:val="center"/>
          </w:tcPr>
          <w:p w14:paraId="6E22D7AB" w14:textId="77777777" w:rsidR="00423FB7" w:rsidRDefault="00D27B34">
            <w:pPr>
              <w:spacing w:after="0" w:line="259" w:lineRule="auto"/>
            </w:pPr>
            <w:r>
              <w:rPr>
                <w:sz w:val="17"/>
              </w:rPr>
              <w:t>Taxonomy; applicable wildlife schedule; IUCN category; distribution, population evidence and threats.</w:t>
            </w:r>
          </w:p>
        </w:tc>
        <w:tc>
          <w:tcPr>
            <w:tcW w:w="2650" w:type="dxa"/>
            <w:tcMar>
              <w:top w:w="90" w:type="dxa"/>
              <w:left w:w="92" w:type="dxa"/>
              <w:bottom w:w="90" w:type="dxa"/>
              <w:right w:w="92" w:type="dxa"/>
            </w:tcMar>
            <w:vAlign w:val="center"/>
          </w:tcPr>
          <w:p w14:paraId="49B8AECF" w14:textId="77777777" w:rsidR="00423FB7" w:rsidRDefault="00D27B34">
            <w:pPr>
              <w:spacing w:after="0" w:line="259" w:lineRule="auto"/>
            </w:pPr>
            <w:r>
              <w:rPr>
                <w:sz w:val="17"/>
              </w:rPr>
              <w:t xml:space="preserve">Trend in occupancy or abundance; breeding success or </w:t>
            </w:r>
            <w:r>
              <w:rPr>
                <w:sz w:val="17"/>
              </w:rPr>
              <w:t>verified mortality, where estimable.</w:t>
            </w:r>
          </w:p>
        </w:tc>
        <w:tc>
          <w:tcPr>
            <w:tcW w:w="2506" w:type="dxa"/>
            <w:tcMar>
              <w:top w:w="90" w:type="dxa"/>
              <w:left w:w="92" w:type="dxa"/>
              <w:bottom w:w="90" w:type="dxa"/>
              <w:right w:w="92" w:type="dxa"/>
            </w:tcMar>
            <w:vAlign w:val="center"/>
          </w:tcPr>
          <w:p w14:paraId="4D17266C" w14:textId="77777777" w:rsidR="00423FB7" w:rsidRDefault="00D27B34">
            <w:pPr>
              <w:spacing w:after="0" w:line="259" w:lineRule="auto"/>
            </w:pPr>
            <w:r>
              <w:rPr>
                <w:sz w:val="17"/>
              </w:rPr>
              <w:t>Species and survey area; survey dates; method, effort, detectability and uncertainty; wildlife authority and scientific partners.</w:t>
            </w:r>
          </w:p>
        </w:tc>
      </w:tr>
      <w:tr w:rsidR="00423FB7" w14:paraId="652C5A34" w14:textId="77777777">
        <w:trPr>
          <w:jc w:val="center"/>
        </w:trPr>
        <w:tc>
          <w:tcPr>
            <w:tcW w:w="1469" w:type="dxa"/>
            <w:tcMar>
              <w:top w:w="90" w:type="dxa"/>
              <w:left w:w="92" w:type="dxa"/>
              <w:bottom w:w="90" w:type="dxa"/>
              <w:right w:w="92" w:type="dxa"/>
            </w:tcMar>
            <w:vAlign w:val="center"/>
          </w:tcPr>
          <w:p w14:paraId="3BC26A5C" w14:textId="77777777" w:rsidR="00423FB7" w:rsidRDefault="00D27B34">
            <w:pPr>
              <w:spacing w:after="0" w:line="259" w:lineRule="auto"/>
            </w:pPr>
            <w:r>
              <w:rPr>
                <w:sz w:val="17"/>
              </w:rPr>
              <w:t>2. Habitat and connectivity</w:t>
            </w:r>
          </w:p>
        </w:tc>
        <w:tc>
          <w:tcPr>
            <w:tcW w:w="2880" w:type="dxa"/>
            <w:tcMar>
              <w:top w:w="90" w:type="dxa"/>
              <w:left w:w="92" w:type="dxa"/>
              <w:bottom w:w="90" w:type="dxa"/>
              <w:right w:w="92" w:type="dxa"/>
            </w:tcMar>
            <w:vAlign w:val="center"/>
          </w:tcPr>
          <w:p w14:paraId="2C7723D7" w14:textId="77777777" w:rsidR="00423FB7" w:rsidRDefault="00D27B34">
            <w:pPr>
              <w:spacing w:after="0" w:line="259" w:lineRule="auto"/>
            </w:pPr>
            <w:r>
              <w:rPr>
                <w:sz w:val="17"/>
              </w:rPr>
              <w:t xml:space="preserve">Habitat condition, seasonal movements, corridor resistance, </w:t>
            </w:r>
            <w:r>
              <w:rPr>
                <w:sz w:val="17"/>
              </w:rPr>
              <w:t>hydrology and cumulative impacts; overlay with legal boundaries.</w:t>
            </w:r>
          </w:p>
        </w:tc>
        <w:tc>
          <w:tcPr>
            <w:tcW w:w="2650" w:type="dxa"/>
            <w:tcMar>
              <w:top w:w="90" w:type="dxa"/>
              <w:left w:w="92" w:type="dxa"/>
              <w:bottom w:w="90" w:type="dxa"/>
              <w:right w:w="92" w:type="dxa"/>
            </w:tcMar>
            <w:vAlign w:val="center"/>
          </w:tcPr>
          <w:p w14:paraId="71A6AF77" w14:textId="77777777" w:rsidR="00423FB7" w:rsidRDefault="00D27B34">
            <w:pPr>
              <w:spacing w:after="0" w:line="259" w:lineRule="auto"/>
            </w:pPr>
            <w:r>
              <w:rPr>
                <w:sz w:val="17"/>
              </w:rPr>
              <w:t>Habitat condition; movement or use frequency; locally justified connectivity or fragmentation measure.</w:t>
            </w:r>
          </w:p>
        </w:tc>
        <w:tc>
          <w:tcPr>
            <w:tcW w:w="2506" w:type="dxa"/>
            <w:tcMar>
              <w:top w:w="90" w:type="dxa"/>
              <w:left w:w="92" w:type="dxa"/>
              <w:bottom w:w="90" w:type="dxa"/>
              <w:right w:w="92" w:type="dxa"/>
            </w:tcMar>
            <w:vAlign w:val="center"/>
          </w:tcPr>
          <w:p w14:paraId="22A6698F" w14:textId="77777777" w:rsidR="00423FB7" w:rsidRDefault="00D27B34">
            <w:pPr>
              <w:spacing w:after="0" w:line="259" w:lineRule="auto"/>
            </w:pPr>
            <w:r>
              <w:rPr>
                <w:sz w:val="17"/>
              </w:rPr>
              <w:t>Spatial and temporal scale; remotely sensed, field, genetic or telemetry data; uncertain</w:t>
            </w:r>
            <w:r>
              <w:rPr>
                <w:sz w:val="17"/>
              </w:rPr>
              <w:t>ty; relevant land/water authorities.</w:t>
            </w:r>
          </w:p>
        </w:tc>
      </w:tr>
      <w:tr w:rsidR="00423FB7" w14:paraId="2DE29D1B" w14:textId="77777777">
        <w:trPr>
          <w:jc w:val="center"/>
        </w:trPr>
        <w:tc>
          <w:tcPr>
            <w:tcW w:w="1469" w:type="dxa"/>
            <w:tcMar>
              <w:top w:w="90" w:type="dxa"/>
              <w:left w:w="92" w:type="dxa"/>
              <w:bottom w:w="90" w:type="dxa"/>
              <w:right w:w="92" w:type="dxa"/>
            </w:tcMar>
            <w:vAlign w:val="center"/>
          </w:tcPr>
          <w:p w14:paraId="718D7320" w14:textId="77777777" w:rsidR="00423FB7" w:rsidRDefault="00D27B34">
            <w:pPr>
              <w:spacing w:after="0" w:line="259" w:lineRule="auto"/>
            </w:pPr>
            <w:r>
              <w:rPr>
                <w:sz w:val="17"/>
              </w:rPr>
              <w:t>3. Threat-specific legal response</w:t>
            </w:r>
          </w:p>
        </w:tc>
        <w:tc>
          <w:tcPr>
            <w:tcW w:w="2880" w:type="dxa"/>
            <w:tcMar>
              <w:top w:w="90" w:type="dxa"/>
              <w:left w:w="92" w:type="dxa"/>
              <w:bottom w:w="90" w:type="dxa"/>
              <w:right w:w="92" w:type="dxa"/>
            </w:tcMar>
            <w:vAlign w:val="center"/>
          </w:tcPr>
          <w:p w14:paraId="5A868497" w14:textId="77777777" w:rsidR="00423FB7" w:rsidRDefault="00D27B34">
            <w:pPr>
              <w:spacing w:after="0" w:line="259" w:lineRule="auto"/>
            </w:pPr>
            <w:r>
              <w:rPr>
                <w:sz w:val="17"/>
              </w:rPr>
              <w:t>Relevant provisions, permissions, notifications, project conditions and documented response to an identified threat.</w:t>
            </w:r>
          </w:p>
        </w:tc>
        <w:tc>
          <w:tcPr>
            <w:tcW w:w="2650" w:type="dxa"/>
            <w:tcMar>
              <w:top w:w="90" w:type="dxa"/>
              <w:left w:w="92" w:type="dxa"/>
              <w:bottom w:w="90" w:type="dxa"/>
              <w:right w:w="92" w:type="dxa"/>
            </w:tcMar>
            <w:vAlign w:val="center"/>
          </w:tcPr>
          <w:p w14:paraId="75997955" w14:textId="77777777" w:rsidR="00423FB7" w:rsidRDefault="00D27B34">
            <w:pPr>
              <w:spacing w:after="0" w:line="259" w:lineRule="auto"/>
            </w:pPr>
            <w:r>
              <w:rPr>
                <w:sz w:val="17"/>
              </w:rPr>
              <w:t>Verified compliance; incidents by observation effort; time to remed</w:t>
            </w:r>
            <w:r>
              <w:rPr>
                <w:sz w:val="17"/>
              </w:rPr>
              <w:t>ial action; implementation of conditions.</w:t>
            </w:r>
          </w:p>
        </w:tc>
        <w:tc>
          <w:tcPr>
            <w:tcW w:w="2506" w:type="dxa"/>
            <w:tcMar>
              <w:top w:w="90" w:type="dxa"/>
              <w:left w:w="92" w:type="dxa"/>
              <w:bottom w:w="90" w:type="dxa"/>
              <w:right w:w="92" w:type="dxa"/>
            </w:tcMar>
            <w:vAlign w:val="center"/>
          </w:tcPr>
          <w:p w14:paraId="1BD0A1F9" w14:textId="77777777" w:rsidR="00423FB7" w:rsidRDefault="00D27B34">
            <w:pPr>
              <w:spacing w:after="0" w:line="259" w:lineRule="auto"/>
            </w:pPr>
            <w:r>
              <w:rPr>
                <w:sz w:val="17"/>
              </w:rPr>
              <w:t>Applicable provision and jurisdiction; baseline and reporting denominator; responsible enforcement or permitting body.</w:t>
            </w:r>
          </w:p>
        </w:tc>
      </w:tr>
      <w:tr w:rsidR="00423FB7" w14:paraId="56611B17" w14:textId="77777777">
        <w:trPr>
          <w:jc w:val="center"/>
        </w:trPr>
        <w:tc>
          <w:tcPr>
            <w:tcW w:w="1469" w:type="dxa"/>
            <w:tcMar>
              <w:top w:w="90" w:type="dxa"/>
              <w:left w:w="92" w:type="dxa"/>
              <w:bottom w:w="90" w:type="dxa"/>
              <w:right w:w="92" w:type="dxa"/>
            </w:tcMar>
            <w:vAlign w:val="center"/>
          </w:tcPr>
          <w:p w14:paraId="69B1F1DE" w14:textId="77777777" w:rsidR="00423FB7" w:rsidRDefault="00D27B34">
            <w:pPr>
              <w:spacing w:after="0" w:line="259" w:lineRule="auto"/>
            </w:pPr>
            <w:r>
              <w:rPr>
                <w:sz w:val="17"/>
              </w:rPr>
              <w:t>4. Participation and coordination</w:t>
            </w:r>
          </w:p>
        </w:tc>
        <w:tc>
          <w:tcPr>
            <w:tcW w:w="2880" w:type="dxa"/>
            <w:tcMar>
              <w:top w:w="90" w:type="dxa"/>
              <w:left w:w="92" w:type="dxa"/>
              <w:bottom w:w="90" w:type="dxa"/>
              <w:right w:w="92" w:type="dxa"/>
            </w:tcMar>
            <w:vAlign w:val="center"/>
          </w:tcPr>
          <w:p w14:paraId="6A98C26A" w14:textId="77777777" w:rsidR="00423FB7" w:rsidRDefault="00D27B34">
            <w:pPr>
              <w:spacing w:after="0" w:line="259" w:lineRule="auto"/>
            </w:pPr>
            <w:r>
              <w:rPr>
                <w:sz w:val="17"/>
              </w:rPr>
              <w:t>Rights and affected users; consultation and grievance channe</w:t>
            </w:r>
            <w:r>
              <w:rPr>
                <w:sz w:val="17"/>
              </w:rPr>
              <w:t>ls; coordination protocols across responsible bodies.</w:t>
            </w:r>
          </w:p>
        </w:tc>
        <w:tc>
          <w:tcPr>
            <w:tcW w:w="2650" w:type="dxa"/>
            <w:tcMar>
              <w:top w:w="90" w:type="dxa"/>
              <w:left w:w="92" w:type="dxa"/>
              <w:bottom w:w="90" w:type="dxa"/>
              <w:right w:w="92" w:type="dxa"/>
            </w:tcMar>
            <w:vAlign w:val="center"/>
          </w:tcPr>
          <w:p w14:paraId="01674483" w14:textId="77777777" w:rsidR="00423FB7" w:rsidRDefault="00D27B34">
            <w:pPr>
              <w:spacing w:after="0" w:line="259" w:lineRule="auto"/>
            </w:pPr>
            <w:r>
              <w:rPr>
                <w:sz w:val="17"/>
              </w:rPr>
              <w:t>Participation coverage; documented concern response; grievance-resolution time; joint decisions recorded.</w:t>
            </w:r>
          </w:p>
        </w:tc>
        <w:tc>
          <w:tcPr>
            <w:tcW w:w="2506" w:type="dxa"/>
            <w:tcMar>
              <w:top w:w="90" w:type="dxa"/>
              <w:left w:w="92" w:type="dxa"/>
              <w:bottom w:w="90" w:type="dxa"/>
              <w:right w:w="92" w:type="dxa"/>
            </w:tcMar>
            <w:vAlign w:val="center"/>
          </w:tcPr>
          <w:p w14:paraId="71BC0D8F" w14:textId="77777777" w:rsidR="00423FB7" w:rsidRDefault="00D27B34">
            <w:pPr>
              <w:spacing w:after="0" w:line="259" w:lineRule="auto"/>
            </w:pPr>
            <w:r>
              <w:rPr>
                <w:sz w:val="17"/>
              </w:rPr>
              <w:t xml:space="preserve">Meeting and consultation records; protection of personal information; relevant local bodies and </w:t>
            </w:r>
            <w:r>
              <w:rPr>
                <w:sz w:val="17"/>
              </w:rPr>
              <w:t>competent authorities.</w:t>
            </w:r>
          </w:p>
        </w:tc>
      </w:tr>
      <w:tr w:rsidR="00423FB7" w14:paraId="26016A01" w14:textId="77777777">
        <w:trPr>
          <w:jc w:val="center"/>
        </w:trPr>
        <w:tc>
          <w:tcPr>
            <w:tcW w:w="1469" w:type="dxa"/>
            <w:tcMar>
              <w:top w:w="90" w:type="dxa"/>
              <w:left w:w="92" w:type="dxa"/>
              <w:bottom w:w="90" w:type="dxa"/>
              <w:right w:w="92" w:type="dxa"/>
            </w:tcMar>
            <w:vAlign w:val="center"/>
          </w:tcPr>
          <w:p w14:paraId="66591533" w14:textId="77777777" w:rsidR="00423FB7" w:rsidRDefault="00D27B34">
            <w:pPr>
              <w:spacing w:after="0" w:line="259" w:lineRule="auto"/>
            </w:pPr>
            <w:r>
              <w:rPr>
                <w:sz w:val="17"/>
              </w:rPr>
              <w:t>5. Adaptive monitoring</w:t>
            </w:r>
          </w:p>
        </w:tc>
        <w:tc>
          <w:tcPr>
            <w:tcW w:w="2880" w:type="dxa"/>
            <w:tcMar>
              <w:top w:w="90" w:type="dxa"/>
              <w:left w:w="92" w:type="dxa"/>
              <w:bottom w:w="90" w:type="dxa"/>
              <w:right w:w="92" w:type="dxa"/>
            </w:tcMar>
            <w:vAlign w:val="center"/>
          </w:tcPr>
          <w:p w14:paraId="028F2930" w14:textId="77777777" w:rsidR="00423FB7" w:rsidRDefault="00D27B34">
            <w:pPr>
              <w:spacing w:after="0" w:line="259" w:lineRule="auto"/>
            </w:pPr>
            <w:r>
              <w:rPr>
                <w:sz w:val="17"/>
              </w:rPr>
              <w:t>Defined biological and process objectives; baseline, periodic sampling, reporting and review.</w:t>
            </w:r>
          </w:p>
        </w:tc>
        <w:tc>
          <w:tcPr>
            <w:tcW w:w="2650" w:type="dxa"/>
            <w:tcMar>
              <w:top w:w="90" w:type="dxa"/>
              <w:left w:w="92" w:type="dxa"/>
              <w:bottom w:w="90" w:type="dxa"/>
              <w:right w:w="92" w:type="dxa"/>
            </w:tcMar>
            <w:vAlign w:val="center"/>
          </w:tcPr>
          <w:p w14:paraId="492BB9E1" w14:textId="77777777" w:rsidR="00423FB7" w:rsidRDefault="00D27B34">
            <w:pPr>
              <w:spacing w:after="0" w:line="259" w:lineRule="auto"/>
            </w:pPr>
            <w:r>
              <w:rPr>
                <w:sz w:val="17"/>
              </w:rPr>
              <w:t>Change relative to baseline; indicator precision; review frequency; proportion of agreed actions completed.</w:t>
            </w:r>
          </w:p>
        </w:tc>
        <w:tc>
          <w:tcPr>
            <w:tcW w:w="2506" w:type="dxa"/>
            <w:tcMar>
              <w:top w:w="90" w:type="dxa"/>
              <w:left w:w="92" w:type="dxa"/>
              <w:bottom w:w="90" w:type="dxa"/>
              <w:right w:w="92" w:type="dxa"/>
            </w:tcMar>
            <w:vAlign w:val="center"/>
          </w:tcPr>
          <w:p w14:paraId="2D86C35C" w14:textId="77777777" w:rsidR="00423FB7" w:rsidRDefault="00D27B34">
            <w:pPr>
              <w:spacing w:after="0" w:line="259" w:lineRule="auto"/>
            </w:pPr>
            <w:r>
              <w:rPr>
                <w:sz w:val="17"/>
              </w:rPr>
              <w:t>Repeata</w:t>
            </w:r>
            <w:r>
              <w:rPr>
                <w:sz w:val="17"/>
              </w:rPr>
              <w:t>ble protocol; comparison period or site; ecological and administrative records; independent review where feasible.</w:t>
            </w:r>
          </w:p>
        </w:tc>
      </w:tr>
    </w:tbl>
    <w:p w14:paraId="1F4C6A14" w14:textId="77777777" w:rsidR="00423FB7" w:rsidRDefault="00D27B34">
      <w:pPr>
        <w:pStyle w:val="FigureCaption"/>
      </w:pPr>
      <w:r>
        <w:t xml:space="preserve">Note. All indicators are illustrative; no empirical values or validated benchmarks are reported. WLPA = Wild Life (Protection) Act; IUCN = </w:t>
      </w:r>
      <w:r>
        <w:t>International Union for Conservation of Nature.</w:t>
      </w:r>
    </w:p>
    <w:p w14:paraId="518E4034" w14:textId="77777777" w:rsidR="00423FB7" w:rsidRDefault="00D27B34">
      <w:pPr>
        <w:pStyle w:val="Heading2"/>
      </w:pPr>
      <w:r>
        <w:rPr>
          <w:highlight w:val="yellow"/>
        </w:rPr>
        <w:t>4.1</w:t>
      </w:r>
      <w:r>
        <w:t xml:space="preserve"> Component 1: species-risk profile</w:t>
      </w:r>
    </w:p>
    <w:p w14:paraId="5941FAE8" w14:textId="77777777" w:rsidR="00423FB7" w:rsidRDefault="00D27B34">
      <w:pPr>
        <w:jc w:val="both"/>
      </w:pPr>
      <w:r>
        <w:t xml:space="preserve">A species-risk profile starts with a defensible taxonomic identification and the legal classification applicable at the time of assessment. The profile then summarises </w:t>
      </w:r>
      <w:r>
        <w:t xml:space="preserve">distribution, seasonal movement, breeding ecology, available abundance or occupancy estimates, major known threats and important uncertainties. These fields should be recorded separately. A statutory listing identifies a legal category; an IUCN assessment </w:t>
      </w:r>
      <w:r>
        <w:t>provides a global extinction-risk classification; and a local field estimate describes the species at a specified place and period. Where nomenclature has changed or closely related taxa have been distinguished, the record should state the source of the cl</w:t>
      </w:r>
      <w:r>
        <w:t>assification and any implications for earlier datasets (Government of India, 2022; IUCN, n.d.).</w:t>
      </w:r>
    </w:p>
    <w:p w14:paraId="53438553" w14:textId="77777777" w:rsidR="00423FB7" w:rsidRDefault="00D27B34">
      <w:pPr>
        <w:jc w:val="both"/>
      </w:pPr>
      <w:r>
        <w:t>Where survey evidence is available, the profile should consider observation effort, detection probability and the adequacy of temporal coverage. MacKenzie et al</w:t>
      </w:r>
      <w:r>
        <w:t xml:space="preserve">. (2002) demonstrate that detection failure can influence occupancy estimates, and the same general principle cautions against treating inconsistent encounter counts as a complete population trend. An occupancy or abundance indicator should therefore have </w:t>
      </w:r>
      <w:r>
        <w:t>a documented model or survey method, sample frame, uncertainty and explicit relevance to the conservation decision. If observations are sparse, the profile can transparently identify a monitoring need rather than manufacturing an apparent trend. These safe</w:t>
      </w:r>
      <w:r>
        <w:t>guards make the biological part of the legal record reproducible and proportionate to the strength of available evidence.</w:t>
      </w:r>
    </w:p>
    <w:p w14:paraId="605EA255" w14:textId="77777777" w:rsidR="00423FB7" w:rsidRDefault="00D27B34">
      <w:pPr>
        <w:jc w:val="both"/>
      </w:pPr>
      <w:r>
        <w:t>A species profile also needs an explicit problem statement. For example, the relevant concern could be disruption of breeding habitat,</w:t>
      </w:r>
      <w:r>
        <w:t xml:space="preserve"> recurring mortality near infrastructure, seasonal loss of suitable water depth or a barrier to movement between habitat patches. Different threats justify different evidence and potentially different legal </w:t>
      </w:r>
      <w:r>
        <w:lastRenderedPageBreak/>
        <w:t>responses. A general reference to endangered stat</w:t>
      </w:r>
      <w:r>
        <w:t>us is not a substitute for analysing the mechanism by which the identified development or activity might affect the taxon. The conservation objective should be expressed in terms capable of later verification, such as maintaining a specified habitat functi</w:t>
      </w:r>
      <w:r>
        <w:t>on or reducing a defined, documented source of mortality, rather than in undefined language about complete safety or guaranteed recovery.</w:t>
      </w:r>
    </w:p>
    <w:p w14:paraId="29868746" w14:textId="77777777" w:rsidR="00423FB7" w:rsidRDefault="00D27B34">
      <w:pPr>
        <w:pStyle w:val="Heading2"/>
      </w:pPr>
      <w:r>
        <w:rPr>
          <w:highlight w:val="yellow"/>
        </w:rPr>
        <w:t>4.2</w:t>
      </w:r>
      <w:r>
        <w:t xml:space="preserve"> Component 2: habitat, connectivity and scale</w:t>
      </w:r>
    </w:p>
    <w:p w14:paraId="29004D97" w14:textId="77777777" w:rsidR="00423FB7" w:rsidRDefault="00D27B34">
      <w:pPr>
        <w:jc w:val="both"/>
      </w:pPr>
      <w:r>
        <w:t>Habitat mapping should be ecological before it is administrative, but</w:t>
      </w:r>
      <w:r>
        <w:t xml:space="preserve"> the two spatial layers must ultimately be compared. The ecological layer may include breeding and foraging sites, habitat quality, cover type, landscape resistance, seasonal water availability, documented movement pathways and cumulative pressures. The le</w:t>
      </w:r>
      <w:r>
        <w:t>gal layer should identify protected-area boundaries, applicable ESZ notifications, forest-related controls, land tenure, community rights and the authority relevant to each parcel or river stretch. Spatial overlay is an analytical aid; it must not be inter</w:t>
      </w:r>
      <w:r>
        <w:t>preted as creating rights, new boundaries or restrictions by itself. The comparison can reveal that a biologically important corridor crosses several distinct legal regimes and therefore requires coordination rather than a single undifferentiated instructi</w:t>
      </w:r>
      <w:r>
        <w:t>on.</w:t>
      </w:r>
    </w:p>
    <w:p w14:paraId="0BAD6670" w14:textId="77777777" w:rsidR="00423FB7" w:rsidRDefault="00D27B34">
      <w:pPr>
        <w:jc w:val="both"/>
      </w:pPr>
      <w:r>
        <w:t>A useful connectivity indicator needs a stated ecological meaning. Structural connectivity refers to physical arrangement, whereas functional connectivity depends on how animals actually move or exchange individuals or genes across the landscape. Sathy</w:t>
      </w:r>
      <w:r>
        <w:t>akumar et al. (2025) provide a recent example of geospatial analysis of structural forest connectivity across Indian states. Such mapping can identify patterns for further investigation, but conclusions about movement or demographic exchange require specie</w:t>
      </w:r>
      <w:r>
        <w:t>s-relevant evidence. In a legal dossier, modelled corridor suitability should be labelled as a prediction, while field-confirmed use should carry information about observation effort, period and species. Future fieldwork may then assess whether a mitigatio</w:t>
      </w:r>
      <w:r>
        <w:t>n measure has altered functional use, not just the appearance of the map.</w:t>
      </w:r>
    </w:p>
    <w:p w14:paraId="163F7C3B" w14:textId="77777777" w:rsidR="00423FB7" w:rsidRDefault="00D27B34">
      <w:pPr>
        <w:jc w:val="both"/>
      </w:pPr>
      <w:r>
        <w:t>Scale choice should follow the ecological question. A fine-resolution habitat map may be appropriate for an individual crossing, while seasonal changes in water depth may need reach-</w:t>
      </w:r>
      <w:r>
        <w:t>level and basin-level data. Population trends may require a different time interval from compliance inspections. When datasets employ inconsistent spatial grain or survey years, their differences should be described rather than silently averaged. A transpa</w:t>
      </w:r>
      <w:r>
        <w:t>rent map should also distinguish absent data from confirmed absence of a species. Sensitive location records may require restricted access or generalisation to prevent misuse, particularly for taxa vulnerable to illegal collection. Protecting confidentiali</w:t>
      </w:r>
      <w:r>
        <w:t>ty need not prevent public reporting of aggregate indicators and evaluation methods.</w:t>
      </w:r>
    </w:p>
    <w:p w14:paraId="1C8D96FD" w14:textId="77777777" w:rsidR="00423FB7" w:rsidRDefault="00D27B34">
      <w:pPr>
        <w:pStyle w:val="Heading2"/>
      </w:pPr>
      <w:r>
        <w:rPr>
          <w:highlight w:val="yellow"/>
        </w:rPr>
        <w:t>4.3</w:t>
      </w:r>
      <w:r>
        <w:t xml:space="preserve"> Component 3: threat-specific legal response</w:t>
      </w:r>
    </w:p>
    <w:p w14:paraId="7EE61A2F" w14:textId="77777777" w:rsidR="00423FB7" w:rsidRDefault="00D27B34">
      <w:pPr>
        <w:jc w:val="both"/>
      </w:pPr>
      <w:r>
        <w:t>This component begins with an identified threat and asks which action is ecologically justified, legally available and inst</w:t>
      </w:r>
      <w:r>
        <w:t>itutionally feasible. The answer may involve enforcement of wildlife provisions, conditions associated with an environmental approval, management planning inside a protected area, activity regulation under a relevant notification, habitat restoration or co</w:t>
      </w:r>
      <w:r>
        <w:t>ordination with authorities responsible for infrastructure or water use. The proposed response must include the responsible actor and a record of the legal basis or formal decision. Merely naming the Wild Life (Protection) Act or the Environment (Protectio</w:t>
      </w:r>
      <w:r>
        <w:t>n) Act is insufficient where the scope of a restriction depends on a specific section, notification, permit or approval condition (Government of India, 1972, 1986).</w:t>
      </w:r>
    </w:p>
    <w:p w14:paraId="5C8778B4" w14:textId="77777777" w:rsidR="00423FB7" w:rsidRDefault="00D27B34">
      <w:pPr>
        <w:jc w:val="both"/>
      </w:pPr>
      <w:r>
        <w:t xml:space="preserve">Legal proportionality and ecological relevance should be evaluated jointly. A response can </w:t>
      </w:r>
      <w:r>
        <w:t>be protective in intent but poorly matched to a threat, or it can impose substantial social costs without adequate evidence that it addresses the target ecological mechanism. For instance, a crossing location should be supported by movement evidence and en</w:t>
      </w:r>
      <w:r>
        <w:t>gineering assessment, while a seasonal activity restriction should correspond to a demonstrable period of breeding or disturbance sensitivity. The framework does not presume that the strongest restriction is always the most effective; it asks whether a spe</w:t>
      </w:r>
      <w:r>
        <w:t xml:space="preserve">cified intervention can address a documented mechanism within lawful and </w:t>
      </w:r>
      <w:r>
        <w:lastRenderedPageBreak/>
        <w:t>practical limits. This includes examining alternatives, opportunities for less restrictive mitigation and arrangements for follow-up monitoring.</w:t>
      </w:r>
    </w:p>
    <w:p w14:paraId="542E8681" w14:textId="77777777" w:rsidR="00423FB7" w:rsidRDefault="00D27B34">
      <w:pPr>
        <w:jc w:val="both"/>
      </w:pPr>
      <w:r>
        <w:t>Because different agencies control dif</w:t>
      </w:r>
      <w:r>
        <w:t>ferent permissions and activities, the legal response may require coordinated action rather than a single statute. Records should identify the relevant forest, wildlife, transport, water, pollution-control and local administrative bodies according to the c</w:t>
      </w:r>
      <w:r>
        <w:t>ase. A joint protocol can document the sequence of consultation, scientific assessment, decision, implementation and inspection. Such a protocol is an organisational suggestion rather than a claim that a uniform national procedure already exists. It become</w:t>
      </w:r>
      <w:r>
        <w:t>s defensible when adapted to the actual hierarchy of legal decision-making and when affected persons can understand the proposed intervention and relevant grievance procedures.</w:t>
      </w:r>
    </w:p>
    <w:p w14:paraId="17EAD909" w14:textId="77777777" w:rsidR="00423FB7" w:rsidRDefault="00D27B34">
      <w:pPr>
        <w:pStyle w:val="Heading2"/>
      </w:pPr>
      <w:r>
        <w:rPr>
          <w:highlight w:val="yellow"/>
        </w:rPr>
        <w:t>4.4</w:t>
      </w:r>
      <w:r>
        <w:t xml:space="preserve"> Component 4: participation, rights and inter-agency coordination</w:t>
      </w:r>
    </w:p>
    <w:p w14:paraId="2794DD67" w14:textId="7AFFBB90" w:rsidR="00423FB7" w:rsidRDefault="00D27B34">
      <w:pPr>
        <w:jc w:val="both"/>
      </w:pPr>
      <w:r>
        <w:t>Participat</w:t>
      </w:r>
      <w:r>
        <w:t>ion should involve more than recording attendance at an occasional meeting. Where local people rely on a landscape for agriculture, fishing, grazing or forest-resource use, conservation planning should identify those uses and their legal status; examine po</w:t>
      </w:r>
      <w:r>
        <w:t>tential effects on access, income and safety; and provide understandable information on expected benefits, costs and uncertainty. It should also distinguish consultation required by law from voluntary forms of co-operation. The Forest Rights Act and the in</w:t>
      </w:r>
      <w:r>
        <w:t>stitutional provisions of the Biological Diversity Act may be relevant in some contexts, but their applicability must be assessed according to the location, rights and institutional arrangements involved (Government of India, 200</w:t>
      </w:r>
      <w:r w:rsidR="00A77C0D">
        <w:t>3</w:t>
      </w:r>
      <w:r>
        <w:t>, 2006). Participation can</w:t>
      </w:r>
      <w:r>
        <w:t>not simply override statutory conservation obligations or replace government responsibility.</w:t>
      </w:r>
    </w:p>
    <w:p w14:paraId="14FE7590" w14:textId="77777777" w:rsidR="00423FB7" w:rsidRDefault="00D27B34">
      <w:pPr>
        <w:jc w:val="both"/>
      </w:pPr>
      <w:r>
        <w:t>Community knowledge can supply observations on seasonal animal movement, local habitat changes, river conditions and recurring conflict locations. Berkes (2009) em</w:t>
      </w:r>
      <w:r>
        <w:t>phasises the role of knowledge partnerships and social learning in co-management. Such knowledge should be documented respectfully and assessed alongside other data rather than either dismissed or treated as automatically conclusive. Clear procedures are n</w:t>
      </w:r>
      <w:r>
        <w:t>eeded for protecting sensitive information, obtaining consent where applicable, acknowledging contributions and addressing disputes about interpretation. The scientific record should distinguish locally reported observations from independently verified mon</w:t>
      </w:r>
      <w:r>
        <w:t>itoring, while recognising that both can inform the selection of questions for further field investigation.</w:t>
      </w:r>
    </w:p>
    <w:p w14:paraId="00F0D12F" w14:textId="77777777" w:rsidR="00423FB7" w:rsidRDefault="00D27B34">
      <w:pPr>
        <w:jc w:val="both"/>
      </w:pPr>
      <w:r>
        <w:t>Participation indicators may include representation of relevant stakeholder groups, response to documented concerns, availability of accessible info</w:t>
      </w:r>
      <w:r>
        <w:t>rmation and time taken to resolve grievances. Counts alone are imperfect: a large number of meetings need not indicate meaningful influence on decisions. Outcome evaluation can combine administrative records with qualitative assessments of whether particip</w:t>
      </w:r>
      <w:r>
        <w:t xml:space="preserve">ants understood the options and whether concerns were addressed through documented processes. Research from India demonstrates that the consequences of conservation restrictions and rights recognition differ by context and require local analysis </w:t>
      </w:r>
      <w:r>
        <w:rPr>
          <w:highlight w:val="yellow"/>
        </w:rPr>
        <w:t>(Das, 2024</w:t>
      </w:r>
      <w:r>
        <w:rPr>
          <w:highlight w:val="yellow"/>
        </w:rPr>
        <w:t>; Mishra, 2016; Siddhartha, 2025)</w:t>
      </w:r>
      <w:r>
        <w:t>. Equity should therefore be treated as a practical evaluative dimension, not merely as a statement of principle.</w:t>
      </w:r>
    </w:p>
    <w:p w14:paraId="3195B092" w14:textId="77777777" w:rsidR="00423FB7" w:rsidRDefault="00D27B34">
      <w:pPr>
        <w:pStyle w:val="Heading2"/>
      </w:pPr>
      <w:r>
        <w:rPr>
          <w:highlight w:val="yellow"/>
        </w:rPr>
        <w:t>4.5</w:t>
      </w:r>
      <w:r>
        <w:t xml:space="preserve"> Component 5: adaptive monitoring, comparison and review</w:t>
      </w:r>
    </w:p>
    <w:p w14:paraId="56A3A93B" w14:textId="77777777" w:rsidR="00423FB7" w:rsidRDefault="00D27B34">
      <w:pPr>
        <w:jc w:val="both"/>
      </w:pPr>
      <w:r>
        <w:t xml:space="preserve">Monitoring should begin with a decision question </w:t>
      </w:r>
      <w:r>
        <w:t>rather than an unrestricted list of possible variables. In the case of a suspected road mortality hotspot, the immediate questions might be whether the spatial concentration of incidents is well established, whether a proposed measure is installed and main</w:t>
      </w:r>
      <w:r>
        <w:t>tained, and whether comparable observations indicate a change in mortality. For a dolphin reach, the question might be whether habitat conditions during biologically important periods are stable and whether observed distribution changes are consistent with</w:t>
      </w:r>
      <w:r>
        <w:t xml:space="preserve"> those conditions. The analytical approach should specify measurement intervals, survey effort and plausible alternative explanations. Monitoring can then be adapted as evidence develops without erasing the baseline against which change is assessed </w:t>
      </w:r>
      <w:r>
        <w:rPr>
          <w:highlight w:val="yellow"/>
        </w:rPr>
        <w:t>(Linden</w:t>
      </w:r>
      <w:r>
        <w:rPr>
          <w:highlight w:val="yellow"/>
        </w:rPr>
        <w:t>mayer &amp; Likens, 2009; Nichols &amp; Williams, 2006)</w:t>
      </w:r>
      <w:r>
        <w:t>.</w:t>
      </w:r>
    </w:p>
    <w:p w14:paraId="5FA019C1" w14:textId="77777777" w:rsidR="00423FB7" w:rsidRDefault="00D27B34">
      <w:pPr>
        <w:jc w:val="both"/>
      </w:pPr>
      <w:r>
        <w:t>A useful scorecard separates inputs, processes, ecological pressures and conservation outcomes. Inputs include staff, equipment and funding; processes include permits issued or inspections completed; pressur</w:t>
      </w:r>
      <w:r>
        <w:t xml:space="preserve">e indicators </w:t>
      </w:r>
      <w:r>
        <w:lastRenderedPageBreak/>
        <w:t>include collision frequency, water-quality measures or extent of identified disturbance; and ecological outcomes include occupancy, abundance, reproduction, survival or functional connectivity where reliably estimated. An intervention should n</w:t>
      </w:r>
      <w:r>
        <w:t>ot be declared successful solely because inputs and activities increased. Conversely, poor outcome estimates may be too uncertain for a decisive inference. Each report should identify the direction and precision of any observed change and describe the limi</w:t>
      </w:r>
      <w:r>
        <w:t>tation of causal interpretation in the absence of a suitable comparison.</w:t>
      </w:r>
    </w:p>
    <w:p w14:paraId="1C08F70E" w14:textId="77777777" w:rsidR="00423FB7" w:rsidRDefault="00D27B34">
      <w:pPr>
        <w:jc w:val="both"/>
      </w:pPr>
      <w:r>
        <w:t>Where feasible, a future evaluation could use a before–after design with comparable sampling, a matched-site comparison or a phased implementation that allows observation of both inte</w:t>
      </w:r>
      <w:r>
        <w:t xml:space="preserve">rvention and comparison locations. Changes in season, detection, broader land use and reporting effort should be considered. An appropriate design cannot be chosen universally, because ecological and regulatory constraints vary. Administrative records can </w:t>
      </w:r>
      <w:r>
        <w:t>support a parallel assessment of whether actions were lawful, timely and transparent. Together these lines of evidence permit evaluation of the framework's proposed pathway without claiming that any particular law alone caused population recovery or habita</w:t>
      </w:r>
      <w:r>
        <w:t>t restoration.</w:t>
      </w:r>
    </w:p>
    <w:p w14:paraId="1EFA83D1" w14:textId="77777777" w:rsidR="00423FB7" w:rsidRDefault="00D27B34">
      <w:pPr>
        <w:pStyle w:val="Heading1"/>
      </w:pPr>
      <w:r>
        <w:rPr>
          <w:highlight w:val="yellow"/>
        </w:rPr>
        <w:t>5.</w:t>
      </w:r>
      <w:r>
        <w:t xml:space="preserve"> Illustrative application pathways</w:t>
      </w:r>
    </w:p>
    <w:p w14:paraId="0B9FB774" w14:textId="77777777" w:rsidR="00423FB7" w:rsidRDefault="00D27B34">
      <w:pPr>
        <w:pStyle w:val="Heading2"/>
      </w:pPr>
      <w:r>
        <w:rPr>
          <w:highlight w:val="yellow"/>
        </w:rPr>
        <w:t>5.1</w:t>
      </w:r>
      <w:r>
        <w:t xml:space="preserve"> River dolphin conservation at a river-reach scale</w:t>
      </w:r>
    </w:p>
    <w:p w14:paraId="094D9E68" w14:textId="77777777" w:rsidR="00423FB7" w:rsidRDefault="00D27B34">
      <w:pPr>
        <w:jc w:val="both"/>
      </w:pPr>
      <w:r>
        <w:t>For a river dolphin, an application would start by defining the taxon and the focal river reaches rather than assuming that a national scheduling deci</w:t>
      </w:r>
      <w:r>
        <w:t>sion identifies every high-priority habitat. Existing occurrence observations and survey records would be linked to reach-level information on channel depth, flow variability, fishing activity, barriers, relevant pollution pressures and seasonal prey habit</w:t>
      </w:r>
      <w:r>
        <w:t>at. Sonkar et al. (2023) provide an example of relating hydraulic conditions to dolphin habitat suitability in a particular upper-Ganga study reach. Das et al. (2022) demonstrate how basin-scale survey information and habitat modelling can identify candida</w:t>
      </w:r>
      <w:r>
        <w:t>te conservation priorities. These sources support the methodological feasibility of a reach-specific assessment, not an assumption that their results transfer unchanged to every river.</w:t>
      </w:r>
    </w:p>
    <w:p w14:paraId="01C2B747" w14:textId="77777777" w:rsidR="00423FB7" w:rsidRDefault="00D27B34">
      <w:pPr>
        <w:jc w:val="both"/>
      </w:pPr>
      <w:r>
        <w:t>A baseline should record the available occurrence or occupancy estimate</w:t>
      </w:r>
      <w:r>
        <w:t>, evidence of breeding or recurrent use where available, observation effort and the uncertainty of the data. Information about accidental entanglement, stranding, vessel interactions or other mortality causes should be classified by source and verification</w:t>
      </w:r>
      <w:r>
        <w:t xml:space="preserve"> status. Badola et al. (2025) examined documented dolphin mortality and rescue records to identify priority areas for mitigation in the Ganga basin. Their findings illustrate the value of integrating multiple evidence types while also highlighting the need</w:t>
      </w:r>
      <w:r>
        <w:t xml:space="preserve"> to distinguish confirmed incidents from spatial predictions and unobserved events. Such triangulation helps to select management questions while avoiding unwarranted statements about basin-wide causal effects.</w:t>
      </w:r>
    </w:p>
    <w:p w14:paraId="25FDDAD0" w14:textId="77777777" w:rsidR="00423FB7" w:rsidRDefault="00D27B34">
      <w:pPr>
        <w:jc w:val="both"/>
      </w:pPr>
      <w:r>
        <w:t>The legal map would next identify the particu</w:t>
      </w:r>
      <w:r>
        <w:t>lar wildlife protections applicable to the species and the jurisdiction of authorities responsible for the relevant river reach. Where an area-based conservation zone has been proposed, its documentary status should be checked. A proposal cited in a minist</w:t>
      </w:r>
      <w:r>
        <w:t>ry report, for example, must not be described as an enforceable final notification without corroborating legal material (MoEFCC, 2024). Potential measures might include targeted enforcement against prohibited activity, co-ordinated management of fishing pr</w:t>
      </w:r>
      <w:r>
        <w:t>actices, investigation of barrier impacts or improved environmental monitoring. Whether a given measure may be imposed, and by whom, depends on the specific legal basis and procedural requirements. The framework is intended to prompt that inquiry, not supp</w:t>
      </w:r>
      <w:r>
        <w:t>ly an automatic answer.</w:t>
      </w:r>
    </w:p>
    <w:p w14:paraId="16C02400" w14:textId="77777777" w:rsidR="00423FB7" w:rsidRDefault="00D27B34">
      <w:pPr>
        <w:jc w:val="both"/>
      </w:pPr>
      <w:r>
        <w:t>A monitoring plan would include both actions and environmental outcomes: whether inspections or consultations occurred, whether verified incidents change, whether hydraulic habitat measures remain within locally meaningful bounds, a</w:t>
      </w:r>
      <w:r>
        <w:t>nd whether repeatable biological observations indicate change. For dolphin work, comparing dry- and wet-season periods is often essential, and method changes can complicate trends. Fishing communities and riverside residents may contribute observations and</w:t>
      </w:r>
      <w:r>
        <w:t xml:space="preserve"> identify socially feasible mitigation choices, subject to appropriate consent and verification. Programme evaluation should explicitly state whether observations are </w:t>
      </w:r>
      <w:r>
        <w:lastRenderedPageBreak/>
        <w:t>descriptive or support a more stringent comparison. The central aim is a traceable connec</w:t>
      </w:r>
      <w:r>
        <w:t>tion between evidence, the selected legal response and the outcome being monitored.</w:t>
      </w:r>
    </w:p>
    <w:p w14:paraId="6431D496" w14:textId="77777777" w:rsidR="00423FB7" w:rsidRDefault="00D27B34">
      <w:pPr>
        <w:pStyle w:val="Heading2"/>
      </w:pPr>
      <w:r>
        <w:rPr>
          <w:highlight w:val="yellow"/>
        </w:rPr>
        <w:t>5.2</w:t>
      </w:r>
      <w:r>
        <w:t xml:space="preserve"> Large mammals and movement corridors</w:t>
      </w:r>
    </w:p>
    <w:p w14:paraId="66B56E5C" w14:textId="77777777" w:rsidR="00423FB7" w:rsidRDefault="00D27B34">
      <w:pPr>
        <w:jc w:val="both"/>
      </w:pPr>
      <w:r>
        <w:t>For wide-ranging terrestrial mammals, the starting point is a landscape containing potential movement routes, habitat patches, sett</w:t>
      </w:r>
      <w:r>
        <w:t>lements and linear infrastructure. The biological assessment should identify whether the concern is direct collision, long-term isolation, loss of seasonal resource access or a combination of these processes. Camera traps, telemetry, local observations, mo</w:t>
      </w:r>
      <w:r>
        <w:t xml:space="preserve">rtality records and suitable geospatial analyses offer different kinds of evidence. Recent Indian research on elephant conservation and underpass use illustrates the complementary value of ecological monitoring and infrastructure-focused mitigation, while </w:t>
      </w:r>
      <w:r>
        <w:t>also showing why results are specific to study sites and observation periods (Pandey et al., 2024; Verma et al., 2025).</w:t>
      </w:r>
    </w:p>
    <w:p w14:paraId="5957A087" w14:textId="77777777" w:rsidR="00423FB7" w:rsidRDefault="00D27B34">
      <w:pPr>
        <w:jc w:val="both"/>
      </w:pPr>
      <w:r>
        <w:t>The legal layer is not a blanket instruction to impose the same protected-area restrictions across all identified movement routes. It begins by mapping land status, statutory designations, notified regulations, existing project conditions and rights that m</w:t>
      </w:r>
      <w:r>
        <w:t xml:space="preserve">ay be affected. For a road or railway proposal, the relevant question may concern the mitigation measures authorised through a specific approval, the authority responsible for </w:t>
      </w:r>
      <w:r>
        <w:rPr>
          <w:highlight w:val="yellow"/>
        </w:rPr>
        <w:t>their implementation and the evidence required for subsequent assessment</w:t>
      </w:r>
      <w:r>
        <w:t>. Sectio</w:t>
      </w:r>
      <w:r>
        <w:t>n 29 of the wildlife statute may be relevant to an activity within a sanctuary but should not be cited as an indiscriminate power over external corridors (Government of India, 1972). Likewise, ESZ controls depend on particular notifications and their geogr</w:t>
      </w:r>
      <w:r>
        <w:t>aphic extent (MoEFCC, n.d.).</w:t>
      </w:r>
    </w:p>
    <w:p w14:paraId="11B64478" w14:textId="77777777" w:rsidR="00423FB7" w:rsidRDefault="00D27B34">
      <w:pPr>
        <w:jc w:val="both"/>
      </w:pPr>
      <w:r>
        <w:t>Figure 3 sets out these riverine and terrestrial pathways side by side. Each pathway begins with a defined ecological input, moves to potentially relevant legal and administrative mechanisms, and ends with measurable outputs an</w:t>
      </w:r>
      <w:r>
        <w:t>d outcomes. Its labels distinguish possible levers from universal statutory commands. The figure is an illustrative application of the framework and does not depict an already executed intervention or establish a mandatory nationwide legal sequence.</w:t>
      </w:r>
    </w:p>
    <w:p w14:paraId="186D78E0" w14:textId="77777777" w:rsidR="00423FB7" w:rsidRDefault="00D27B34">
      <w:pPr>
        <w:keepNext/>
        <w:spacing w:before="140" w:after="60"/>
        <w:jc w:val="center"/>
      </w:pPr>
      <w:r>
        <w:rPr>
          <w:noProof/>
        </w:rPr>
        <w:drawing>
          <wp:inline distT="0" distB="0" distL="0" distR="0" wp14:anchorId="05772EE5" wp14:editId="484ECB27">
            <wp:extent cx="5422392" cy="290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revised.png"/>
                    <pic:cNvPicPr/>
                  </pic:nvPicPr>
                  <pic:blipFill>
                    <a:blip r:embed="rId8"/>
                    <a:stretch>
                      <a:fillRect/>
                    </a:stretch>
                  </pic:blipFill>
                  <pic:spPr>
                    <a:xfrm>
                      <a:off x="0" y="0"/>
                      <a:ext cx="5422392" cy="2908374"/>
                    </a:xfrm>
                    <a:prstGeom prst="rect">
                      <a:avLst/>
                    </a:prstGeom>
                  </pic:spPr>
                </pic:pic>
              </a:graphicData>
            </a:graphic>
          </wp:inline>
        </w:drawing>
      </w:r>
    </w:p>
    <w:p w14:paraId="3AC2F594" w14:textId="77777777" w:rsidR="00423FB7" w:rsidRDefault="00D27B34">
      <w:pPr>
        <w:pStyle w:val="FigureCaption"/>
      </w:pPr>
      <w:r>
        <w:rPr>
          <w:b/>
        </w:rPr>
        <w:t>Figu</w:t>
      </w:r>
      <w:r>
        <w:rPr>
          <w:b/>
        </w:rPr>
        <w:t xml:space="preserve">re 3. </w:t>
      </w:r>
      <w:r>
        <w:t>Illustrative pathways for river-dolphin conservation and terrestrial mammal connectivity. Legal responses depend on the relevant site, statutory instrument, notification or approval; the pathways have not been empirically tested.</w:t>
      </w:r>
    </w:p>
    <w:p w14:paraId="6453FE30" w14:textId="77777777" w:rsidR="00423FB7" w:rsidRDefault="00D27B34">
      <w:pPr>
        <w:jc w:val="both"/>
      </w:pPr>
      <w:r>
        <w:t xml:space="preserve">Possible mitigation </w:t>
      </w:r>
      <w:r>
        <w:t>measures include changes to alignment or design, suitably located crossings, speed management, habitat restoration, fencing where justified and arrangements to maintain functional approaches to crossing structures. These are examples for ecological and eng</w:t>
      </w:r>
      <w:r>
        <w:t xml:space="preserve">ineering assessment rather than findings that one intervention is obligatory or sufficient. A monitoring design should record animal use, relevant collisions, habitat </w:t>
      </w:r>
      <w:r>
        <w:lastRenderedPageBreak/>
        <w:t>condition, maintenance and changes in nearby disturbance. Comparison periods should be se</w:t>
      </w:r>
      <w:r>
        <w:t>lected carefully, and camera-trap activity should not be equated directly with demographic recovery. In landscapes used by people, discussions of siting and access should address livelihood effects and procedural rights, not only species movement.</w:t>
      </w:r>
    </w:p>
    <w:p w14:paraId="054B65F6" w14:textId="77777777" w:rsidR="00423FB7" w:rsidRDefault="00D27B34">
      <w:pPr>
        <w:pStyle w:val="Heading2"/>
      </w:pPr>
      <w:r>
        <w:rPr>
          <w:highlight w:val="yellow"/>
        </w:rPr>
        <w:t>5.3</w:t>
      </w:r>
      <w:r>
        <w:t xml:space="preserve"> Tran</w:t>
      </w:r>
      <w:r>
        <w:t>sferability to wetlands, grasslands and seasonal habitats</w:t>
      </w:r>
    </w:p>
    <w:p w14:paraId="38933EC6" w14:textId="77777777" w:rsidR="00423FB7" w:rsidRDefault="00D27B34">
      <w:pPr>
        <w:jc w:val="both"/>
      </w:pPr>
      <w:r>
        <w:t>The framework could also guide assessments of wetland birds, amphibians or species dependent on ephemeral habitats, but the indicators would need substantial adaptation. Wetland conservation may cen</w:t>
      </w:r>
      <w:r>
        <w:t>tre on hydroperiod, water quality, nesting success, prey resources and seasonal disturbance rather than on the width of a terrestrial corridor. For certain species, an increase in area counted within a protected boundary may be less informative than whethe</w:t>
      </w:r>
      <w:r>
        <w:t xml:space="preserve">r critical breeding habitat remains suitable at the appropriate time. The legal mapping would need to identify the competent authorities and instruments for the water body and surrounding land, along with any protected-area status. No new empirical claims </w:t>
      </w:r>
      <w:r>
        <w:t>about these taxa are implied by including them as possible future applications.</w:t>
      </w:r>
    </w:p>
    <w:p w14:paraId="03DBF272" w14:textId="77777777" w:rsidR="00423FB7" w:rsidRDefault="00D27B34">
      <w:pPr>
        <w:jc w:val="both"/>
      </w:pPr>
      <w:r>
        <w:t xml:space="preserve">These contrasts underline the value of retaining a common evidence-to-decision structure while allowing the details of monitoring to differ. A species-specific framework is </w:t>
      </w:r>
      <w:r>
        <w:t>useful only if it resists the tendency to measure what is administratively convenient rather than what is biologically relevant. Indicators selected without regard to life history can make reporting appear complete even when critical ecological processes r</w:t>
      </w:r>
      <w:r>
        <w:t>emain unmeasured. Conversely, requiring expensive methods in every site could make evaluation impossible for institutions with limited resources. A staged approach can begin with clearly justified, feasible measurements and add stronger field designs where</w:t>
      </w:r>
      <w:r>
        <w:t xml:space="preserve"> the consequences or uncertainty of the decision warrant them.</w:t>
      </w:r>
    </w:p>
    <w:p w14:paraId="27F0C1F4" w14:textId="77777777" w:rsidR="00423FB7" w:rsidRDefault="00D27B34">
      <w:pPr>
        <w:pStyle w:val="Heading1"/>
      </w:pPr>
      <w:r>
        <w:rPr>
          <w:highlight w:val="yellow"/>
        </w:rPr>
        <w:t>6.</w:t>
      </w:r>
      <w:r>
        <w:t xml:space="preserve"> Implementing and evaluating the framework</w:t>
      </w:r>
    </w:p>
    <w:p w14:paraId="5A4D6C81" w14:textId="77777777" w:rsidR="00423FB7" w:rsidRDefault="00D27B34">
      <w:pPr>
        <w:pStyle w:val="Heading2"/>
      </w:pPr>
      <w:r>
        <w:rPr>
          <w:highlight w:val="yellow"/>
        </w:rPr>
        <w:t>6.1</w:t>
      </w:r>
      <w:r>
        <w:t xml:space="preserve"> A documentary evidence register</w:t>
      </w:r>
    </w:p>
    <w:p w14:paraId="674879E9" w14:textId="77777777" w:rsidR="00423FB7" w:rsidRDefault="00D27B34">
      <w:pPr>
        <w:jc w:val="both"/>
      </w:pPr>
      <w:r>
        <w:t>An application should maintain an evidence register with separate entries for biological observations, ecologica</w:t>
      </w:r>
      <w:r>
        <w:t>l interpretations, statutory provisions, formal decisions and monitoring outcomes. A source entry should include its author or institution, publication or decision date, geographic coverage, data collection method where applicable, and limitations relevant</w:t>
      </w:r>
      <w:r>
        <w:t xml:space="preserve"> to the decision. For law, the register should identify the current version of the instrument and the precise provision, notification or condition invoked. For field evidence, it should identify the survey period and whether a value is measured, estimated </w:t>
      </w:r>
      <w:r>
        <w:t>or modelled. This separation permits a reviewer to reconstruct how the conservation concern was converted into a proposed action without confusing evidence of risk with evidence of legal authority.</w:t>
      </w:r>
    </w:p>
    <w:p w14:paraId="6279D2CF" w14:textId="77777777" w:rsidR="00423FB7" w:rsidRDefault="00D27B34">
      <w:pPr>
        <w:jc w:val="both"/>
      </w:pPr>
      <w:r>
        <w:t>A small number of carefully chosen questions can structure</w:t>
      </w:r>
      <w:r>
        <w:t xml:space="preserve"> the register. Is the taxon correctly identified? Does the evidence show presence, recurring use, abundance change or only predicted suitability? What part of the relevant habitat lies within a legal designation and what lies elsewhere? Which authority can</w:t>
      </w:r>
      <w:r>
        <w:t xml:space="preserve"> act on the specified threat, and what approvals or rights are implicated? What observation would show that the action was implemented, and what separate observation would indicate a biological response? How might detection, weather, water conditions, repo</w:t>
      </w:r>
      <w:r>
        <w:t>rting intensity or changing land use affect interpretation? These questions create traceability while remaining adaptable to different species and scales.</w:t>
      </w:r>
    </w:p>
    <w:p w14:paraId="76993001" w14:textId="77777777" w:rsidR="00423FB7" w:rsidRDefault="00D27B34">
      <w:pPr>
        <w:pStyle w:val="Heading2"/>
      </w:pPr>
      <w:r>
        <w:rPr>
          <w:highlight w:val="yellow"/>
        </w:rPr>
        <w:t>6.2</w:t>
      </w:r>
      <w:r>
        <w:t xml:space="preserve"> Comparing biological, administrative and social outcomes</w:t>
      </w:r>
    </w:p>
    <w:p w14:paraId="6DD38A46" w14:textId="77777777" w:rsidR="00423FB7" w:rsidRDefault="00D27B34">
      <w:pPr>
        <w:jc w:val="both"/>
      </w:pPr>
      <w:r>
        <w:t>Evaluation should distinguish three rela</w:t>
      </w:r>
      <w:r>
        <w:t>ted but non-identical dimensions. Biological evidence concerns populations, habitats and ecological processes. Administrative evidence concerns whether decisions were made, communicated and implemented in accordance with applicable requirements. Social evi</w:t>
      </w:r>
      <w:r>
        <w:t>dence concerns access, participation, distribution of costs, quality of consultation and grievance handling. A favourable result in one dimension does not automatically establish success in the others. For example, a mitigation structure may be completed o</w:t>
      </w:r>
      <w:r>
        <w:t xml:space="preserve">n time without </w:t>
      </w:r>
      <w:r>
        <w:lastRenderedPageBreak/>
        <w:t>demonstrated use by the focal species; conversely, evidence of movement may improve while dispute resolution remains poor. Keeping the dimensions separate helps reveal trade-offs that a single aggregate score would hide.</w:t>
      </w:r>
    </w:p>
    <w:p w14:paraId="676C9FA1" w14:textId="77777777" w:rsidR="00423FB7" w:rsidRDefault="00D27B34">
      <w:pPr>
        <w:jc w:val="both"/>
      </w:pPr>
      <w:r>
        <w:t>The framework need n</w:t>
      </w:r>
      <w:r>
        <w:t xml:space="preserve">ot assign arbitrary numerical weights to these dimensions. Such weights could obscure value judgements and would be difficult to justify without a clear decision context and stakeholder process. Instead, evaluation may use a structured narrative alongside </w:t>
      </w:r>
      <w:r>
        <w:t>defined indicators, with a description of which outcomes have been measured and which remain uncertain. Where data permit quantitative analysis, estimates and uncertainty intervals should be reported with their methods. Where no reliable population data ex</w:t>
      </w:r>
      <w:r>
        <w:t>ist, the appropriate finding may be that implementation has been documented but ecological effectiveness cannot yet be determined. This conclusion is scientifically preferable to converting activity counts into unsubstantiated evidence of recovery.</w:t>
      </w:r>
    </w:p>
    <w:p w14:paraId="4D34DB99" w14:textId="77777777" w:rsidR="00423FB7" w:rsidRDefault="00D27B34">
      <w:pPr>
        <w:pStyle w:val="Heading2"/>
      </w:pPr>
      <w:r>
        <w:rPr>
          <w:highlight w:val="yellow"/>
        </w:rPr>
        <w:t>6.3</w:t>
      </w:r>
      <w:r>
        <w:t xml:space="preserve"> Man</w:t>
      </w:r>
      <w:r>
        <w:t>aging uncertainty and adaptive decisions</w:t>
      </w:r>
    </w:p>
    <w:p w14:paraId="7FD95CF0" w14:textId="77777777" w:rsidR="00423FB7" w:rsidRDefault="00D27B34">
      <w:pPr>
        <w:jc w:val="both"/>
      </w:pPr>
      <w:r>
        <w:t>Uncertainty enters at multiple points: species detection, habitat model assumptions, prediction of movement, future land use, interpretation of statutory powers and consequences for affected people. These forms of u</w:t>
      </w:r>
      <w:r>
        <w:t>ncertainty should not be combined into a single unspecified statement that more information is needed. Each requires a different response. Repeated surveys can address detection problems; alternative spatial models can examine sensitivity to resistance ass</w:t>
      </w:r>
      <w:r>
        <w:t>umptions; legal review can clarify jurisdiction; and consultation can identify unrecorded livelihood effects. An adaptive decision process should record which uncertainty was important, how it influenced the decision and what future information could chang</w:t>
      </w:r>
      <w:r>
        <w:t>e the selected measure.</w:t>
      </w:r>
    </w:p>
    <w:p w14:paraId="50CF53A7" w14:textId="77777777" w:rsidR="00423FB7" w:rsidRDefault="00D27B34">
      <w:pPr>
        <w:jc w:val="both"/>
      </w:pPr>
      <w:r>
        <w:t>A documented review interval supports accountability. The appropriate period should reflect the biological process and the resources available: a seasonal breeding habitat may require more frequent observations than a slowly changin</w:t>
      </w:r>
      <w:r>
        <w:t>g landscape-connectivity measure. Monitoring protocols should specify when a change in evidence would trigger renewed assessment, and which institution would respond. Such thresholds are most defensible when locally justified and discussed before implement</w:t>
      </w:r>
      <w:r>
        <w:t>ation. If monitoring reveals a mismatch between the original hypothesis and field observations, management should be able to adjust within the bounds of applicable law. Adaptive management is not permission to disregard statutory procedures; it is an organ</w:t>
      </w:r>
      <w:r>
        <w:t>ised means of learning from the consequences of lawful interventions (Lindenmayer &amp; Likens, 2009).</w:t>
      </w:r>
    </w:p>
    <w:p w14:paraId="3CC9203C" w14:textId="77777777" w:rsidR="00423FB7" w:rsidRDefault="00D27B34">
      <w:pPr>
        <w:pStyle w:val="Heading2"/>
      </w:pPr>
      <w:r>
        <w:rPr>
          <w:highlight w:val="yellow"/>
        </w:rPr>
        <w:t>6.4</w:t>
      </w:r>
      <w:r>
        <w:t xml:space="preserve"> Institutional feasibility and responsible data use</w:t>
      </w:r>
    </w:p>
    <w:p w14:paraId="0AE66D39" w14:textId="77777777" w:rsidR="00423FB7" w:rsidRDefault="00D27B34">
      <w:pPr>
        <w:jc w:val="both"/>
      </w:pPr>
      <w:r>
        <w:t>Implementation depends on capacities that cannot be assumed to be equally distributed across jurisdict</w:t>
      </w:r>
      <w:r>
        <w:t xml:space="preserve">ions. Training may be required in species identification, ecological uncertainty, spatial-data interpretation, wildlife forensics and the management of digital records. Common metadata and agreed definitions can facilitate comparison between agencies, but </w:t>
      </w:r>
      <w:r>
        <w:t>the purpose of sharing information should be specified. Sensitive occurrence records may need restricted access, and personal information collected through consultations should be protected according to applicable requirements. Public reporting can focus o</w:t>
      </w:r>
      <w:r>
        <w:t>n methods, aggregate measures, decisions and progress without disclosing locations that would expose vulnerable fauna or confidential personal information.</w:t>
      </w:r>
    </w:p>
    <w:p w14:paraId="44F8EBDD" w14:textId="77777777" w:rsidR="00423FB7" w:rsidRDefault="00D27B34">
      <w:pPr>
        <w:jc w:val="both"/>
      </w:pPr>
      <w:r>
        <w:t>Coordination mechanisms should define responsibilities rather than creating a vague expectation that</w:t>
      </w:r>
      <w:r>
        <w:t xml:space="preserve"> all institutions will collaborate. A practical protocol could identify the lead agency, scientific adviser, custodian of each dataset, affected local bodies and the procedure for obtaining specialist review. It could record deadlines for responding to doc</w:t>
      </w:r>
      <w:r>
        <w:t>umented environmental concerns and routes for referring matters outside the lead agency's jurisdiction. No claim is made that such an arrangement already operates nationally in this form. Its relevance lies in making responsibility observable and in permit</w:t>
      </w:r>
      <w:r>
        <w:t>ting future research to ask whether explicit coordination improves the timeliness, quality or ecological consequences of decisions.</w:t>
      </w:r>
    </w:p>
    <w:p w14:paraId="1C7D540E" w14:textId="77777777" w:rsidR="00423FB7" w:rsidRDefault="00D27B34">
      <w:pPr>
        <w:pStyle w:val="Heading1"/>
      </w:pPr>
      <w:r>
        <w:rPr>
          <w:highlight w:val="yellow"/>
        </w:rPr>
        <w:t>7.</w:t>
      </w:r>
      <w:r>
        <w:t xml:space="preserve"> Recommendations for evidence-responsive conservation</w:t>
      </w:r>
    </w:p>
    <w:p w14:paraId="0F0E5D9A" w14:textId="77777777" w:rsidR="00423FB7" w:rsidRDefault="00D27B34">
      <w:pPr>
        <w:jc w:val="both"/>
      </w:pPr>
      <w:r>
        <w:t>First, conservation assessments should articulate a species- and loc</w:t>
      </w:r>
      <w:r>
        <w:t xml:space="preserve">ation-specific ecological objective. The objective should identify a threat pathway and state the evidence needed to assess it. This reduces reliance on </w:t>
      </w:r>
      <w:r>
        <w:lastRenderedPageBreak/>
        <w:t>generic references to endangered status and directs scientific effort toward measures relevant to the d</w:t>
      </w:r>
      <w:r>
        <w:t>ecision. Habitat assessments should account for spatial configuration, seasonal use and relevant cumulative pressures while distinguishing predictions from observations (Fahrig, 2003, 2017; Haddad et al., 2015). The resulting dossier should include explici</w:t>
      </w:r>
      <w:r>
        <w:t>t uncertainty statements and a record of relevant data limitations, particularly where evidence will support legally significant restrictions or project conditions.</w:t>
      </w:r>
    </w:p>
    <w:p w14:paraId="35299F7C" w14:textId="7C39965E" w:rsidR="00423FB7" w:rsidRDefault="00D27B34">
      <w:pPr>
        <w:jc w:val="both"/>
      </w:pPr>
      <w:r>
        <w:t>Second, legal analysis should identify the precise instrument, provision and authority that</w:t>
      </w:r>
      <w:r>
        <w:t xml:space="preserve"> may support each proposed measure. The wildlife statute, biodiversity legislation, environmental controls, project permissions and forest-rights framework have different functions and should not be treated as interchangeable (Government of India, 1972, 19</w:t>
      </w:r>
      <w:r>
        <w:t>86, 200</w:t>
      </w:r>
      <w:r w:rsidR="00A77C0D">
        <w:t>3</w:t>
      </w:r>
      <w:r>
        <w:t>, 2006, 2022, 2023). The current version of each instrument and any location-specific notification should be checked during application. For proposed corridors or conservation zones, the ecological value of the area should be assessed separately fr</w:t>
      </w:r>
      <w:r>
        <w:t>om the question whether it has been formally designated or legally regulated. Where an additional mechanism is needed, that need should be stated as a policy consideration rather than described as an existing legal obligation.</w:t>
      </w:r>
    </w:p>
    <w:p w14:paraId="18D816EA" w14:textId="77777777" w:rsidR="00423FB7" w:rsidRDefault="00D27B34">
      <w:pPr>
        <w:jc w:val="both"/>
      </w:pPr>
      <w:r>
        <w:t>Third, monitoring plans shoul</w:t>
      </w:r>
      <w:r>
        <w:t>d differentiate implementation outputs from biological results. The number of inspections, consultations or structures is useful for accountability, but independently measured change in mortality, habitat use, occupancy or other relevant ecological variabl</w:t>
      </w:r>
      <w:r>
        <w:t>es is needed to assess conservation consequences. Where strong causal evaluation is infeasible, findings should be reported as descriptive and the main alternative explanations stated. Baselines, survey effort, temporal consistency and indicator definition</w:t>
      </w:r>
      <w:r>
        <w:t xml:space="preserve">s deserve priority over an excessive number of poorly interpretable measures </w:t>
      </w:r>
      <w:r>
        <w:rPr>
          <w:highlight w:val="yellow"/>
        </w:rPr>
        <w:t>(Geldmann et al., 2019; Nichols &amp; Williams, 2006)</w:t>
      </w:r>
      <w:r>
        <w:t>. Such reporting would support more cautious and comparable statements about effectiveness.</w:t>
      </w:r>
    </w:p>
    <w:p w14:paraId="34F3D1B2" w14:textId="77777777" w:rsidR="00423FB7" w:rsidRDefault="00D27B34">
      <w:pPr>
        <w:jc w:val="both"/>
      </w:pPr>
      <w:r>
        <w:t>Fourth, landscape and river conservati</w:t>
      </w:r>
      <w:r>
        <w:t>on should incorporate coordination and participation from the point at which the decision problem is defined. Agencies responsible for wildlife, forests, environmental regulation, transport, water and local governance may hold complementary responsibilitie</w:t>
      </w:r>
      <w:r>
        <w:t>s. Affected communities should receive relevant information and opportunities to contribute knowledge and raise concerns through appropriate procedures. Recognised rights, livelihood interests and grievance processes must be assessed for the particular pla</w:t>
      </w:r>
      <w:r>
        <w:t>ce and proposal. Co-operation may improve practical design and social legitimacy, but its value should be evaluated rather than assumed (Berkes, 2009; Das, 2024; Siddhartha, 2025).</w:t>
      </w:r>
    </w:p>
    <w:p w14:paraId="08C06678" w14:textId="77777777" w:rsidR="00423FB7" w:rsidRDefault="00D27B34">
      <w:pPr>
        <w:jc w:val="both"/>
      </w:pPr>
      <w:r>
        <w:t>Finally, pilot applications should be designed to test the framework rather</w:t>
      </w:r>
      <w:r>
        <w:t xml:space="preserve"> than simply demonstrate its use. A pilot should identify its initial conservation decision, specify the proposed mechanism of improvement, predefine the most informative indicators, document legal feasibility and describe how an independent evaluation wil</w:t>
      </w:r>
      <w:r>
        <w:t>l distinguish implementation from outcome. If practicable, comparable sites or periods should be incorporated. Publishing both positive and null findings would help determine whether the additional integration process adds value over existing procedures. A</w:t>
      </w:r>
      <w:r>
        <w:t xml:space="preserve"> framework that is transparent about unsuccessful or inconclusive applications is more useful for evidence-based governance than one presented as universally effective without comparative study.</w:t>
      </w:r>
    </w:p>
    <w:p w14:paraId="5827C409" w14:textId="77777777" w:rsidR="00423FB7" w:rsidRDefault="00D27B34">
      <w:pPr>
        <w:pStyle w:val="Heading1"/>
      </w:pPr>
      <w:r>
        <w:rPr>
          <w:highlight w:val="yellow"/>
        </w:rPr>
        <w:t>8.</w:t>
      </w:r>
      <w:r>
        <w:t xml:space="preserve"> Limitations and future research</w:t>
      </w:r>
    </w:p>
    <w:p w14:paraId="08988130" w14:textId="77777777" w:rsidR="00423FB7" w:rsidRDefault="00D27B34">
      <w:pPr>
        <w:jc w:val="both"/>
      </w:pPr>
      <w:r>
        <w:t xml:space="preserve">This article is a </w:t>
      </w:r>
      <w:r>
        <w:t>purposive narrative legal-policy synthesis, not a systematic literature review, exhaustive doctrinal analysis of every Indian jurisdiction or empirical test of a conservation intervention. It does not report original field observations, statistical analyse</w:t>
      </w:r>
      <w:r>
        <w:t>s, national compliance datasets or measured changes in species populations attributable to law. Legal instruments are described at a level sufficient to identify possible interactions, but particular decisions may depend on state rules, amendments, notific</w:t>
      </w:r>
      <w:r>
        <w:t>ations, official permissions and judicial interpretation not examined here. The ecological examples are drawn from selected studies whose sampling designs and geographic coverage cannot be generalised automatically to other taxa or landscapes.</w:t>
      </w:r>
    </w:p>
    <w:p w14:paraId="5DA0C1D6" w14:textId="77777777" w:rsidR="00423FB7" w:rsidRDefault="00D27B34">
      <w:pPr>
        <w:jc w:val="both"/>
      </w:pPr>
      <w:r>
        <w:t>The proposed</w:t>
      </w:r>
      <w:r>
        <w:t xml:space="preserve"> framework has not been validated for reliability, inter-agency feasibility, social acceptability, costs or effects on conservation outcomes. Its five components may overlap in application, and the ability to estimate </w:t>
      </w:r>
      <w:r>
        <w:lastRenderedPageBreak/>
        <w:t>suitable indicators will differ betwee</w:t>
      </w:r>
      <w:r>
        <w:t>n well-studied and data-poor species. Data on movement, detectability, mortality and habitat condition can be sparse or inconsistent, while governance indicators may reflect record-keeping practices rather than substantive performance. Explicitly documenti</w:t>
      </w:r>
      <w:r>
        <w:t>ng these limitations is essential before the framework informs decisions that could affect rights, budgets, infrastructure or land use.</w:t>
      </w:r>
    </w:p>
    <w:p w14:paraId="7B391FCE" w14:textId="77777777" w:rsidR="00423FB7" w:rsidRDefault="00D27B34">
      <w:pPr>
        <w:jc w:val="both"/>
      </w:pPr>
      <w:r>
        <w:t>Future work could pilot the framework for a defined taxon and landscape with a transparent ecological sampling protocol,</w:t>
      </w:r>
      <w:r>
        <w:t xml:space="preserve"> a mapped set of applicable legal mechanisms and an agreed schedule for monitoring. A river-dolphin application could integrate repeatable biological observations with seasonal hydraulic conditions and verified mortality data. A terrestrial corridor applic</w:t>
      </w:r>
      <w:r>
        <w:t>ation could combine movement records, habitat quality, infrastructure-mitigation implementation and carefully normalised collision observations. Where suitable comparison sites or phases exist, before–after or matched-site designs may help distinguish prog</w:t>
      </w:r>
      <w:r>
        <w:t>ramme effects from wider environmental change. Such studies should also assess the adequacy of participation, grievance response and distribution of intervention costs.</w:t>
      </w:r>
    </w:p>
    <w:p w14:paraId="598625B5" w14:textId="77777777" w:rsidR="00423FB7" w:rsidRDefault="00D27B34">
      <w:pPr>
        <w:jc w:val="both"/>
      </w:pPr>
      <w:r>
        <w:t>A second research direction concerns decision quality. Independent reviewers could eval</w:t>
      </w:r>
      <w:r>
        <w:t>uate whether the framework improves the traceability of scientific evidence in administrative records, the precision of legal citations, the clarity of stated uncertainties or the consistency of indicator definitions. These intermediate process outcomes ma</w:t>
      </w:r>
      <w:r>
        <w:t>y be measurable before population responses become detectable. Their evaluation should nevertheless remain separate from claims of long-term ecological success. Finally, research should examine whether the framework is practical for institutions with diffe</w:t>
      </w:r>
      <w:r>
        <w:t>rent capacities and whether its benefits justify additional monitoring and coordination demands. These questions determine whether the conceptual approach can be translated into responsible conservation practice.</w:t>
      </w:r>
    </w:p>
    <w:p w14:paraId="0A6184F9" w14:textId="77777777" w:rsidR="00423FB7" w:rsidRDefault="00D27B34">
      <w:pPr>
        <w:pStyle w:val="Heading1"/>
      </w:pPr>
      <w:r>
        <w:rPr>
          <w:highlight w:val="yellow"/>
        </w:rPr>
        <w:t>9.</w:t>
      </w:r>
      <w:r>
        <w:t xml:space="preserve"> Conclusion</w:t>
      </w:r>
    </w:p>
    <w:p w14:paraId="5A36ED5E" w14:textId="77777777" w:rsidR="00423FB7" w:rsidRDefault="00D27B34">
      <w:pPr>
        <w:jc w:val="both"/>
      </w:pPr>
      <w:r>
        <w:t>The conservation of endangere</w:t>
      </w:r>
      <w:r>
        <w:t xml:space="preserve">d fauna requires attention to both the reach of legal instruments and the ecological conditions that support population persistence. India's Wild Life (Protection) Act, 1972, as amended, supplies important species-protection and protected-area mechanisms; </w:t>
      </w:r>
      <w:r>
        <w:t>biodiversity, environmental and forest-rights legislation contributes additional but distinct powers, duties and rights. Scientific information on distribution, habitat condition, connectivity and specific threats can help identify the spatial and temporal</w:t>
      </w:r>
      <w:r>
        <w:t xml:space="preserve"> questions to which these instruments may be relevant. Neither statutory listing nor protected-area designation should, however, be equated automatically with a measured conservation outcome.</w:t>
      </w:r>
    </w:p>
    <w:p w14:paraId="083D0FBC" w14:textId="77777777" w:rsidR="00423FB7" w:rsidRDefault="00D27B34">
      <w:pPr>
        <w:jc w:val="both"/>
      </w:pPr>
      <w:r>
        <w:t>The Species–Habitat–Law Integration Framework links biological r</w:t>
      </w:r>
      <w:r>
        <w:t>isk, habitat analysis, threat-specific legal response, participation and adaptive monitoring in a traceable decision sequence. Its contribution is conceptual: it clarifies what evidence could support a proposed intervention, which legal questions must be a</w:t>
      </w:r>
      <w:r>
        <w:t>nswered and how the intervention might be evaluated. The framework's conservation value remains an empirical question. Carefully designed applications to specified species and landscapes, with independent ecological monitoring, lawful implementation and at</w:t>
      </w:r>
      <w:r>
        <w:t>tention to affected communities, are needed to establish its feasibility and effectiveness.</w:t>
      </w:r>
    </w:p>
    <w:p w14:paraId="299157F2" w14:textId="77777777" w:rsidR="00423FB7" w:rsidRDefault="00D27B34">
      <w:pPr>
        <w:pStyle w:val="Heading1"/>
      </w:pPr>
      <w:r>
        <w:t>Acknowledgements</w:t>
      </w:r>
    </w:p>
    <w:p w14:paraId="47E79EAE" w14:textId="77777777" w:rsidR="00423FB7" w:rsidRDefault="00D27B34">
      <w:pPr>
        <w:jc w:val="both"/>
      </w:pPr>
      <w:r>
        <w:t>The authors acknowledge Brainware University, School of Law, and its Law Library for providing an academic environment and access to legal and scho</w:t>
      </w:r>
      <w:r>
        <w:t>larly resources relevant to this work.</w:t>
      </w:r>
    </w:p>
    <w:p w14:paraId="1BBF42CB" w14:textId="77777777" w:rsidR="00423FB7" w:rsidRDefault="00D27B34">
      <w:pPr>
        <w:pStyle w:val="Heading1"/>
      </w:pPr>
      <w:r>
        <w:t>Competing interests</w:t>
      </w:r>
    </w:p>
    <w:p w14:paraId="13722776" w14:textId="77777777" w:rsidR="00423FB7" w:rsidRDefault="00D27B34">
      <w:pPr>
        <w:jc w:val="both"/>
      </w:pPr>
      <w:r>
        <w:t>The authors declare no competing interests.</w:t>
      </w:r>
    </w:p>
    <w:p w14:paraId="1D6098CF" w14:textId="77777777" w:rsidR="00423FB7" w:rsidRDefault="00D27B34">
      <w:pPr>
        <w:pStyle w:val="Heading1"/>
      </w:pPr>
      <w:r>
        <w:lastRenderedPageBreak/>
        <w:t>Data availability</w:t>
      </w:r>
    </w:p>
    <w:p w14:paraId="1DD306DB" w14:textId="05D99614" w:rsidR="00423FB7" w:rsidRDefault="00D27B34">
      <w:pPr>
        <w:jc w:val="both"/>
      </w:pPr>
      <w:r>
        <w:t>No new field observations or quantitative datasets were generated. The documentary and published research sources used for this narrati</w:t>
      </w:r>
      <w:r>
        <w:t>ve legal-policy synthesis are identified in the reference list.</w:t>
      </w:r>
    </w:p>
    <w:p w14:paraId="075F2FB2" w14:textId="69B57C81" w:rsidR="00D27B34" w:rsidRDefault="00D27B34">
      <w:pPr>
        <w:jc w:val="both"/>
      </w:pPr>
    </w:p>
    <w:p w14:paraId="3F8B3C79" w14:textId="77777777" w:rsidR="00D27B34" w:rsidRDefault="00D27B34" w:rsidP="00D27B34">
      <w:r>
        <w:t>Declaration of AI Use</w:t>
      </w:r>
    </w:p>
    <w:p w14:paraId="5B9BC4CC" w14:textId="77777777" w:rsidR="00D27B34" w:rsidRDefault="00D27B34" w:rsidP="00D27B34"/>
    <w:p w14:paraId="01D9B3F5" w14:textId="77777777" w:rsidR="00D27B34" w:rsidRDefault="00D27B34" w:rsidP="00D27B34">
      <w:r>
        <w:t>This manuscript was prepared through the intellectual contributions of the author(s) to the study design, data analysis, interpretation of results, and scholarly content. ChatGPT, Claude and Perplexity were used solely to assist with grammatical refinement and reference formatting during manuscript revision. The author(s) accept full responsibility for the accuracy, integrity, and final content of the manuscript.</w:t>
      </w:r>
    </w:p>
    <w:p w14:paraId="72764D95" w14:textId="77777777" w:rsidR="00D27B34" w:rsidRDefault="00D27B34">
      <w:pPr>
        <w:jc w:val="both"/>
      </w:pPr>
      <w:bookmarkStart w:id="0" w:name="_GoBack"/>
      <w:bookmarkEnd w:id="0"/>
    </w:p>
    <w:p w14:paraId="43BAC83D" w14:textId="77777777" w:rsidR="00423FB7" w:rsidRDefault="00D27B34">
      <w:pPr>
        <w:pStyle w:val="Heading1"/>
      </w:pPr>
      <w:r>
        <w:t>References</w:t>
      </w:r>
    </w:p>
    <w:p w14:paraId="1C87382C" w14:textId="77777777" w:rsidR="00A77C0D" w:rsidRDefault="00A77C0D" w:rsidP="00A77C0D">
      <w:pPr>
        <w:pStyle w:val="NormalWeb"/>
      </w:pPr>
      <w:r>
        <w:t xml:space="preserve">Badola, R., Das, G. C., Sharma, S. P., Usmani, A. A., Barthwal, S., Badola, S., &amp; Hussain, S. A. (2025). Mapping hotspots and unveiling drivers of mortality in the endangered Gangetic dolphin (Platanista gangetica) to mitigate human-mediated conservation conflicts in the Ganga River Basin, India. Ecological Informatics, 90, Article 103239. </w:t>
      </w:r>
      <w:hyperlink r:id="rId9" w:history="1">
        <w:r>
          <w:rPr>
            <w:rStyle w:val="Hyperlink"/>
          </w:rPr>
          <w:t>https://doi.org/10.1016/j.ecoinf.2025.103239</w:t>
        </w:r>
      </w:hyperlink>
    </w:p>
    <w:p w14:paraId="0A82A21D" w14:textId="77777777" w:rsidR="00A77C0D" w:rsidRDefault="00A77C0D" w:rsidP="00A77C0D">
      <w:pPr>
        <w:pStyle w:val="NormalWeb"/>
      </w:pPr>
      <w:r>
        <w:t xml:space="preserve">Berkes, F. (2009). Evolution of co-management: Role of knowledge generation, bridging organizations and social learning. Journal of Environmental Management, 90(5), 1692–1702. </w:t>
      </w:r>
      <w:hyperlink r:id="rId10" w:history="1">
        <w:r>
          <w:rPr>
            <w:rStyle w:val="Hyperlink"/>
          </w:rPr>
          <w:t>https://doi.org/10.1016/j.jenvman.2008.12.001</w:t>
        </w:r>
      </w:hyperlink>
    </w:p>
    <w:p w14:paraId="5091F9DE" w14:textId="77777777" w:rsidR="00A77C0D" w:rsidRDefault="00A77C0D" w:rsidP="00A77C0D">
      <w:pPr>
        <w:pStyle w:val="NormalWeb"/>
      </w:pPr>
      <w:r>
        <w:t xml:space="preserve">Convention on Biological Diversity. (2022). Kunming–Montreal global biodiversity framework. </w:t>
      </w:r>
      <w:hyperlink r:id="rId11" w:history="1">
        <w:r>
          <w:rPr>
            <w:rStyle w:val="Hyperlink"/>
          </w:rPr>
          <w:t>https://www.cbd.int/gbf</w:t>
        </w:r>
      </w:hyperlink>
    </w:p>
    <w:p w14:paraId="0B2B907E" w14:textId="77777777" w:rsidR="00A77C0D" w:rsidRDefault="00A77C0D" w:rsidP="00A77C0D">
      <w:pPr>
        <w:pStyle w:val="NormalWeb"/>
      </w:pPr>
      <w:r>
        <w:t xml:space="preserve">Das, B. K. (2024). Beyond the ‘protected area’ paradigm in conservation: Exploring India’s forest legislation as a new conservation model for developing countries. Environmental Management, 74(6), 1223–1238. </w:t>
      </w:r>
      <w:hyperlink r:id="rId12" w:history="1">
        <w:r>
          <w:rPr>
            <w:rStyle w:val="Hyperlink"/>
          </w:rPr>
          <w:t>https://doi.org/10.1007/s00267-024-02056-3</w:t>
        </w:r>
      </w:hyperlink>
    </w:p>
    <w:p w14:paraId="2152F942" w14:textId="77777777" w:rsidR="00A77C0D" w:rsidRDefault="00A77C0D" w:rsidP="00A77C0D">
      <w:pPr>
        <w:pStyle w:val="NormalWeb"/>
      </w:pPr>
      <w:r>
        <w:t xml:space="preserve">Das, G. C., Sharma, S. P., Ali, S. Z., Gawan, S., Usmani, A. A., Sarkar, A., Katdare, S., Rawat, A., Gangaimaran, P., Panda, A. K., Agnihotri, U., Ramachandran, A., Guha, S., Barthwal, S., Johnson, J. A., Badola, R., &amp; Hussain, S. A. (2022). Prioritising river stretches using multi-modelling habitat suitability of Gangetic dolphin (Platanista gangetica) as a flagship species for aquatic biodiversity conservation in the Ganga River Basin, India. Ecological Indicators, 145, Article 109680. </w:t>
      </w:r>
      <w:hyperlink r:id="rId13" w:history="1">
        <w:r>
          <w:rPr>
            <w:rStyle w:val="Hyperlink"/>
          </w:rPr>
          <w:t>https://doi.org/10.1016/j.ecolind.2022.109680</w:t>
        </w:r>
      </w:hyperlink>
    </w:p>
    <w:p w14:paraId="07311765" w14:textId="77777777" w:rsidR="00A77C0D" w:rsidRDefault="00A77C0D" w:rsidP="00A77C0D">
      <w:pPr>
        <w:pStyle w:val="NormalWeb"/>
      </w:pPr>
      <w:r>
        <w:t xml:space="preserve">Fahrig, L. (2003). Effects of habitat fragmentation on biodiversity. Annual Review of Ecology, Evolution, and Systematics, 34, 487–515. </w:t>
      </w:r>
      <w:hyperlink r:id="rId14" w:history="1">
        <w:r>
          <w:rPr>
            <w:rStyle w:val="Hyperlink"/>
          </w:rPr>
          <w:t>https://doi.org/10.1146/annurev.ecolsys.34.011802.132419</w:t>
        </w:r>
      </w:hyperlink>
    </w:p>
    <w:p w14:paraId="015B3CEF" w14:textId="77777777" w:rsidR="00A77C0D" w:rsidRDefault="00A77C0D" w:rsidP="00A77C0D">
      <w:pPr>
        <w:pStyle w:val="NormalWeb"/>
      </w:pPr>
      <w:r>
        <w:t xml:space="preserve">Fahrig, L. (2017). Ecological responses to habitat fragmentation per se. Annual Review of Ecology, Evolution, and Systematics, 48, 1–23. </w:t>
      </w:r>
      <w:hyperlink r:id="rId15" w:history="1">
        <w:r>
          <w:rPr>
            <w:rStyle w:val="Hyperlink"/>
          </w:rPr>
          <w:t>https://doi.org/10.1146/annurev-ecolsys-110316-022612</w:t>
        </w:r>
      </w:hyperlink>
    </w:p>
    <w:p w14:paraId="243D5BFE" w14:textId="77777777" w:rsidR="00A77C0D" w:rsidRDefault="00A77C0D" w:rsidP="00A77C0D">
      <w:pPr>
        <w:pStyle w:val="NormalWeb"/>
      </w:pPr>
      <w:r>
        <w:t xml:space="preserve">Geldmann, J., Manica, A., Burgess, N. D., Coad, L., &amp; Balmford, A. (2019). A global-level assessment of the effectiveness of protected areas at resisting anthropogenic pressures. Proceedings </w:t>
      </w:r>
      <w:r>
        <w:lastRenderedPageBreak/>
        <w:t xml:space="preserve">of the National Academy of Sciences, 116(46), 23209–23215. </w:t>
      </w:r>
      <w:hyperlink r:id="rId16" w:history="1">
        <w:r>
          <w:rPr>
            <w:rStyle w:val="Hyperlink"/>
          </w:rPr>
          <w:t>https://doi.org/10.1073/pnas.1908221116</w:t>
        </w:r>
      </w:hyperlink>
    </w:p>
    <w:p w14:paraId="60FED778" w14:textId="77777777" w:rsidR="00A77C0D" w:rsidRDefault="00A77C0D" w:rsidP="00A77C0D">
      <w:pPr>
        <w:pStyle w:val="NormalWeb"/>
      </w:pPr>
      <w:r>
        <w:t xml:space="preserve">Government of India. (1950). The Constitution of India (as amended). Legislative Department. </w:t>
      </w:r>
      <w:hyperlink r:id="rId17" w:history="1">
        <w:r>
          <w:rPr>
            <w:rStyle w:val="Hyperlink"/>
          </w:rPr>
          <w:t>https://legislative.gov.in/constitution-of-india/</w:t>
        </w:r>
      </w:hyperlink>
    </w:p>
    <w:p w14:paraId="2B9D04C7" w14:textId="77777777" w:rsidR="00A77C0D" w:rsidRDefault="00A77C0D" w:rsidP="00A77C0D">
      <w:pPr>
        <w:pStyle w:val="NormalWeb"/>
      </w:pPr>
      <w:r>
        <w:t xml:space="preserve">Government of India. (1972). The Wild Life (Protection) Act, 1972 (Act No. 53 of 1972, as amended). India Code. </w:t>
      </w:r>
      <w:hyperlink r:id="rId18" w:history="1">
        <w:r>
          <w:rPr>
            <w:rStyle w:val="Hyperlink"/>
          </w:rPr>
          <w:t>https://www.indiacode.nic.in/indiacode/handle/123456789/1726</w:t>
        </w:r>
      </w:hyperlink>
    </w:p>
    <w:p w14:paraId="41CD10EC" w14:textId="77777777" w:rsidR="00A77C0D" w:rsidRDefault="00A77C0D" w:rsidP="00A77C0D">
      <w:pPr>
        <w:pStyle w:val="NormalWeb"/>
      </w:pPr>
      <w:r>
        <w:t xml:space="preserve">Government of India. (1986). The Environment (Protection) Act, 1986 (Act No. 29 of 1986, as amended). India Code. </w:t>
      </w:r>
      <w:hyperlink r:id="rId19" w:history="1">
        <w:r>
          <w:rPr>
            <w:rStyle w:val="Hyperlink"/>
          </w:rPr>
          <w:t>https://www.indiacode.nic.in/indiacode/handle/123456789/1876</w:t>
        </w:r>
      </w:hyperlink>
    </w:p>
    <w:p w14:paraId="730F0446" w14:textId="77777777" w:rsidR="00A77C0D" w:rsidRDefault="00A77C0D" w:rsidP="00A77C0D">
      <w:pPr>
        <w:pStyle w:val="NormalWeb"/>
      </w:pPr>
      <w:r>
        <w:t xml:space="preserve">Government of India. (2003). The Biological Diversity Act, 2002 (Act No. 18 of 2003, as amended). India Code. </w:t>
      </w:r>
      <w:hyperlink r:id="rId20" w:history="1">
        <w:r>
          <w:rPr>
            <w:rStyle w:val="Hyperlink"/>
          </w:rPr>
          <w:t>https://www.indiacode.nic.in/indiacode/handle/123456789/2046</w:t>
        </w:r>
      </w:hyperlink>
    </w:p>
    <w:p w14:paraId="56CBD340" w14:textId="77777777" w:rsidR="00A77C0D" w:rsidRDefault="00A77C0D" w:rsidP="00A77C0D">
      <w:pPr>
        <w:pStyle w:val="NormalWeb"/>
      </w:pPr>
      <w:r>
        <w:t xml:space="preserve">Government of India. (2006). The Scheduled Tribes and Other Traditional Forest Dwellers (Recognition of Forest Rights) Act, 2006 (Act No. 2 of 2007). Ministry of Tribal Affairs. </w:t>
      </w:r>
      <w:hyperlink r:id="rId21" w:history="1">
        <w:r>
          <w:rPr>
            <w:rStyle w:val="Hyperlink"/>
          </w:rPr>
          <w:t>https://forestrights.tribal.gov.in/fra-2006</w:t>
        </w:r>
      </w:hyperlink>
    </w:p>
    <w:p w14:paraId="6474304A" w14:textId="77777777" w:rsidR="00A77C0D" w:rsidRDefault="00A77C0D" w:rsidP="00A77C0D">
      <w:pPr>
        <w:pStyle w:val="NormalWeb"/>
      </w:pPr>
      <w:r>
        <w:t xml:space="preserve">Government of India. (2022). The Wild Life (Protection) Amendment Act, 2022 (Act No. 18 of 2022). Ministry of Environment, Forest and Climate Change. </w:t>
      </w:r>
      <w:hyperlink r:id="rId22" w:history="1">
        <w:r>
          <w:rPr>
            <w:rStyle w:val="Hyperlink"/>
          </w:rPr>
          <w:t>https://ntca.gov.in/wp-content/uploads/2025/08/The-Wild-Life-Protection-Amendment-Act-2022_compressed.pdf</w:t>
        </w:r>
      </w:hyperlink>
    </w:p>
    <w:p w14:paraId="586D7241" w14:textId="77777777" w:rsidR="00A77C0D" w:rsidRDefault="00A77C0D" w:rsidP="00A77C0D">
      <w:pPr>
        <w:pStyle w:val="NormalWeb"/>
      </w:pPr>
      <w:r>
        <w:t xml:space="preserve">Government of India. (2023). The Biological Diversity (Amendment) Act, 2023 (Act No. 10 of 2023). Gazette of India. </w:t>
      </w:r>
      <w:hyperlink r:id="rId23" w:history="1">
        <w:r>
          <w:rPr>
            <w:rStyle w:val="Hyperlink"/>
          </w:rPr>
          <w:t>https://egazette.gov.in/WritereadData/2023/247815.pdf</w:t>
        </w:r>
      </w:hyperlink>
    </w:p>
    <w:p w14:paraId="79C50C9D" w14:textId="77777777" w:rsidR="00A77C0D" w:rsidRDefault="00A77C0D" w:rsidP="00A77C0D">
      <w:pPr>
        <w:pStyle w:val="NormalWeb"/>
      </w:pPr>
      <w:r>
        <w:t xml:space="preserve">Haddad, N. M., Brudvig, L. A., Clobert, J., Davies, K. F., Gonzalez, A., Holt, R. D., Lovejoy, T. E., Sexton, J. O., Austin, M. P., Collins, C. D., Cook, W. M., Damschen, E. I., Ewers, R. M., Foster, B. L., Jenkins, C. N., King, A. J., Laurance, W. F., Levey, D. J., Margules, C. R., . . . Townshend, J. R. (2015). Habitat fragmentation and its lasting impact on Earth’s ecosystems. Science Advances, 1(2), Article e1500052. </w:t>
      </w:r>
      <w:hyperlink r:id="rId24" w:history="1">
        <w:r>
          <w:rPr>
            <w:rStyle w:val="Hyperlink"/>
          </w:rPr>
          <w:t>https://doi.org/10.1126/sciadv.1500052</w:t>
        </w:r>
      </w:hyperlink>
    </w:p>
    <w:p w14:paraId="1781DD8C" w14:textId="77777777" w:rsidR="00A77C0D" w:rsidRDefault="00A77C0D" w:rsidP="00A77C0D">
      <w:pPr>
        <w:pStyle w:val="NormalWeb"/>
      </w:pPr>
      <w:r>
        <w:t xml:space="preserve">Intergovernmental Science-Policy Platform on Biodiversity and Ecosystem Services. (2019). Global assessment report on biodiversity and ecosystem services of the Intergovernmental Science-Policy Platform on Biodiversity and Ecosystem Services (E. S. Brondizio, J. Settele, S. Díaz, &amp; H. T. Ngo, Eds.). IPBES Secretariat. </w:t>
      </w:r>
      <w:hyperlink r:id="rId25" w:history="1">
        <w:r>
          <w:rPr>
            <w:rStyle w:val="Hyperlink"/>
          </w:rPr>
          <w:t>https://doi.org/10.5281/zenodo.3831673</w:t>
        </w:r>
      </w:hyperlink>
    </w:p>
    <w:p w14:paraId="6C1CF6BC" w14:textId="77777777" w:rsidR="00A77C0D" w:rsidRDefault="00A77C0D" w:rsidP="00A77C0D">
      <w:pPr>
        <w:pStyle w:val="NormalWeb"/>
      </w:pPr>
      <w:r>
        <w:t xml:space="preserve">International Union for Conservation of Nature. (n.d.). The IUCN Red List of Threatened Species. </w:t>
      </w:r>
      <w:hyperlink r:id="rId26" w:history="1">
        <w:r>
          <w:rPr>
            <w:rStyle w:val="Hyperlink"/>
          </w:rPr>
          <w:t>https://www.iucnredlist.org/</w:t>
        </w:r>
      </w:hyperlink>
    </w:p>
    <w:p w14:paraId="2E3270F3" w14:textId="77777777" w:rsidR="00A77C0D" w:rsidRDefault="00A77C0D" w:rsidP="00A77C0D">
      <w:pPr>
        <w:pStyle w:val="NormalWeb"/>
      </w:pPr>
      <w:r>
        <w:t xml:space="preserve">Kudalkar, S., &amp; Veríssimo, D. (2024). From media campaign to local governance transition: Lessons for community-based conservation from an Amur falcon hunting ban in Nagaland, India. Conservation Science and Practice, 6(8), Article e13191. </w:t>
      </w:r>
      <w:hyperlink r:id="rId27" w:history="1">
        <w:r>
          <w:rPr>
            <w:rStyle w:val="Hyperlink"/>
          </w:rPr>
          <w:t>https://doi.org/10.1111/csp2.13191</w:t>
        </w:r>
      </w:hyperlink>
    </w:p>
    <w:p w14:paraId="6023EE6C" w14:textId="77777777" w:rsidR="00A77C0D" w:rsidRDefault="00A77C0D" w:rsidP="00A77C0D">
      <w:pPr>
        <w:pStyle w:val="NormalWeb"/>
      </w:pPr>
      <w:r>
        <w:t xml:space="preserve">Li, G., Fang, C., Watson, J. E. M., Sun, S., Qi, W., Wang, Z., &amp; Liu, J. (2024). Mixed effectiveness of global protected areas in resisting habitat loss. Nature Communications, 15, Article 8389. </w:t>
      </w:r>
      <w:hyperlink r:id="rId28" w:history="1">
        <w:r>
          <w:rPr>
            <w:rStyle w:val="Hyperlink"/>
          </w:rPr>
          <w:t>https://doi.org/10.1038/s41467-024-52693-9</w:t>
        </w:r>
      </w:hyperlink>
    </w:p>
    <w:p w14:paraId="5D7E7E66" w14:textId="77777777" w:rsidR="00A77C0D" w:rsidRDefault="00A77C0D" w:rsidP="00A77C0D">
      <w:pPr>
        <w:pStyle w:val="NormalWeb"/>
      </w:pPr>
      <w:r>
        <w:lastRenderedPageBreak/>
        <w:t xml:space="preserve">Lindenmayer, D. B., &amp; Likens, G. E. (2009). Adaptive monitoring: A new paradigm for long-term research and monitoring. Trends in Ecology &amp; Evolution, 24(9), 482–486. </w:t>
      </w:r>
      <w:hyperlink r:id="rId29" w:history="1">
        <w:r>
          <w:rPr>
            <w:rStyle w:val="Hyperlink"/>
          </w:rPr>
          <w:t>https://doi.org/10.1016/j.tree.2009.03.005</w:t>
        </w:r>
      </w:hyperlink>
    </w:p>
    <w:p w14:paraId="58C3EEBD" w14:textId="77777777" w:rsidR="00A77C0D" w:rsidRDefault="00A77C0D" w:rsidP="00A77C0D">
      <w:pPr>
        <w:pStyle w:val="NormalWeb"/>
      </w:pPr>
      <w:r>
        <w:t xml:space="preserve">MacKenzie, D. I., Nichols, J. D., Lachman, G. B., Droege, S., Royle, J. A., &amp; Langtimm, C. A. (2002). Estimating site occupancy rates when detection probabilities are less than one. Ecology, 83(8), 2248–2255. </w:t>
      </w:r>
      <w:hyperlink r:id="rId30" w:history="1">
        <w:r>
          <w:rPr>
            <w:rStyle w:val="Hyperlink"/>
          </w:rPr>
          <w:t>https://doi.org/10.1890/0012-9658(2002)083[2248:ESORWD]2.0.CO;2</w:t>
        </w:r>
      </w:hyperlink>
    </w:p>
    <w:p w14:paraId="6FAAA0C6" w14:textId="77777777" w:rsidR="00A77C0D" w:rsidRDefault="00A77C0D" w:rsidP="00A77C0D">
      <w:pPr>
        <w:pStyle w:val="NormalWeb"/>
      </w:pPr>
      <w:r>
        <w:t xml:space="preserve">Mishra, B. (2016). Well-being and conservation implication of Forest Rights Act in the protected areas of Odisha, India. The Indian Economic Journal, 64(1–4), 186–202. </w:t>
      </w:r>
      <w:hyperlink r:id="rId31" w:history="1">
        <w:r>
          <w:rPr>
            <w:rStyle w:val="Hyperlink"/>
          </w:rPr>
          <w:t>https://doi.org/10.1177/0019466216652561</w:t>
        </w:r>
      </w:hyperlink>
    </w:p>
    <w:p w14:paraId="7FE6BD25" w14:textId="77777777" w:rsidR="00A77C0D" w:rsidRDefault="00A77C0D" w:rsidP="00A77C0D">
      <w:pPr>
        <w:pStyle w:val="NormalWeb"/>
      </w:pPr>
      <w:r>
        <w:t xml:space="preserve">Mishra, P. (2025). The Biological Diversity (Amendment) Act 2023: A gateway to sustainable access? Environmental Law Review, 27(1), 31–41. </w:t>
      </w:r>
      <w:hyperlink r:id="rId32" w:history="1">
        <w:r>
          <w:rPr>
            <w:rStyle w:val="Hyperlink"/>
          </w:rPr>
          <w:t>https://doi.org/10.1177/14614529251328784</w:t>
        </w:r>
      </w:hyperlink>
    </w:p>
    <w:p w14:paraId="51F31FF6" w14:textId="77777777" w:rsidR="00A77C0D" w:rsidRDefault="00A77C0D" w:rsidP="00A77C0D">
      <w:pPr>
        <w:pStyle w:val="NormalWeb"/>
      </w:pPr>
      <w:r>
        <w:t xml:space="preserve">Ministry of Environment, Forest and Climate Change. (2024). Annual report 2023–2024. Government of India. </w:t>
      </w:r>
      <w:hyperlink r:id="rId33" w:history="1">
        <w:r>
          <w:rPr>
            <w:rStyle w:val="Hyperlink"/>
          </w:rPr>
          <w:t>https://moef.gov.in/uploads/2023/05/Annual-Report-English-2023-24.pdf</w:t>
        </w:r>
      </w:hyperlink>
    </w:p>
    <w:p w14:paraId="771E1361" w14:textId="77777777" w:rsidR="00A77C0D" w:rsidRDefault="00A77C0D" w:rsidP="00A77C0D">
      <w:pPr>
        <w:pStyle w:val="NormalWeb"/>
      </w:pPr>
      <w:r>
        <w:t xml:space="preserve">Ministry of Environment, Forest and Climate Change. (n.d.). Eco-sensitive zone (ESZ): Purpose, objectives and notifications. Government of India. </w:t>
      </w:r>
      <w:hyperlink r:id="rId34" w:history="1">
        <w:r>
          <w:rPr>
            <w:rStyle w:val="Hyperlink"/>
          </w:rPr>
          <w:t>https://moef.gov.in/eco-sensitive-zone-esz?lang=en</w:t>
        </w:r>
      </w:hyperlink>
    </w:p>
    <w:p w14:paraId="57DA6979" w14:textId="77777777" w:rsidR="00A77C0D" w:rsidRDefault="00A77C0D" w:rsidP="00A77C0D">
      <w:pPr>
        <w:pStyle w:val="NormalWeb"/>
      </w:pPr>
      <w:r>
        <w:t xml:space="preserve">National Biodiversity Authority. (n.d.). Frequently asked questions. Government of India. </w:t>
      </w:r>
      <w:hyperlink r:id="rId35" w:history="1">
        <w:r>
          <w:rPr>
            <w:rStyle w:val="Hyperlink"/>
          </w:rPr>
          <w:t>https://www.nbaindia.nic.in/about-us/faqs</w:t>
        </w:r>
      </w:hyperlink>
    </w:p>
    <w:p w14:paraId="710D1CE6" w14:textId="77777777" w:rsidR="00A77C0D" w:rsidRDefault="00A77C0D" w:rsidP="00A77C0D">
      <w:pPr>
        <w:pStyle w:val="NormalWeb"/>
      </w:pPr>
      <w:r>
        <w:t xml:space="preserve">Nichols, J. D., &amp; Williams, B. K. (2006). Monitoring for conservation. Trends in Ecology &amp; Evolution, 21(12), 668–673. </w:t>
      </w:r>
      <w:hyperlink r:id="rId36" w:history="1">
        <w:r>
          <w:rPr>
            <w:rStyle w:val="Hyperlink"/>
          </w:rPr>
          <w:t>https://doi.org/10.1016/j.tree.2006.08.007</w:t>
        </w:r>
      </w:hyperlink>
    </w:p>
    <w:p w14:paraId="1F1A8A82" w14:textId="77777777" w:rsidR="00A77C0D" w:rsidRDefault="00A77C0D" w:rsidP="00A77C0D">
      <w:pPr>
        <w:pStyle w:val="NormalWeb"/>
      </w:pPr>
      <w:r>
        <w:t xml:space="preserve">Pandey, R. K., Yadav, S. P., Selvan, K. M., Natarajan, L., &amp; Nigam, P. (2024). Elephant conservation in India: Striking a balance between coexistence and conflicts. Integrative Conservation, 3(1), 1–11. </w:t>
      </w:r>
      <w:hyperlink r:id="rId37" w:history="1">
        <w:r>
          <w:rPr>
            <w:rStyle w:val="Hyperlink"/>
          </w:rPr>
          <w:t>https://doi.org/10.1002/inc3.38</w:t>
        </w:r>
      </w:hyperlink>
    </w:p>
    <w:p w14:paraId="584066E1" w14:textId="77777777" w:rsidR="00A77C0D" w:rsidRDefault="00A77C0D" w:rsidP="00A77C0D">
      <w:pPr>
        <w:pStyle w:val="NormalWeb"/>
      </w:pPr>
      <w:r>
        <w:t xml:space="preserve">Pawar, P., &amp; Mule, M. (2026). Dynamics of leopard occupancy and detection amid human disturbance and habitat fragmentation in Gautala-Autramghat Wildlife Sanctuary, Maharashtra, Western India. Journal of Biology and Nature, 18(1), 425–440. </w:t>
      </w:r>
      <w:hyperlink r:id="rId38" w:history="1">
        <w:r>
          <w:rPr>
            <w:rStyle w:val="Hyperlink"/>
          </w:rPr>
          <w:t>https://doi.org/10.56557/joban/2026/v18i110465</w:t>
        </w:r>
      </w:hyperlink>
    </w:p>
    <w:p w14:paraId="39B7B4C8" w14:textId="77777777" w:rsidR="00A77C0D" w:rsidRDefault="00A77C0D" w:rsidP="00A77C0D">
      <w:pPr>
        <w:pStyle w:val="NormalWeb"/>
      </w:pPr>
      <w:r>
        <w:t xml:space="preserve">Ram, M., Sahu, A., Srivastava, N., Jhala, L., Zala, Y., &amp; Venkataraman, M. (2025). Successful satellite population management: Girnar wildlife sanctuary as a habitat for Asiatic lions. Global Ecology and Conservation, 57, Article e03384. </w:t>
      </w:r>
      <w:hyperlink r:id="rId39" w:history="1">
        <w:r>
          <w:rPr>
            <w:rStyle w:val="Hyperlink"/>
          </w:rPr>
          <w:t>https://doi.org/10.1016/j.gecco.2024.e03384</w:t>
        </w:r>
      </w:hyperlink>
    </w:p>
    <w:p w14:paraId="579F3DD6" w14:textId="77777777" w:rsidR="00A77C0D" w:rsidRDefault="00A77C0D" w:rsidP="00A77C0D">
      <w:pPr>
        <w:pStyle w:val="NormalWeb"/>
      </w:pPr>
      <w:r>
        <w:t xml:space="preserve">Routray, P., &amp; Shameer, T. T. (2025). A decade of human-wildlife conflict in India: Systematic review of trends, hotspots, and key species. Annual Research &amp; Review in Biology, 40(8), 20–28. </w:t>
      </w:r>
      <w:hyperlink r:id="rId40" w:history="1">
        <w:r>
          <w:rPr>
            <w:rStyle w:val="Hyperlink"/>
          </w:rPr>
          <w:t>https://doi.org/10.9734/arrb/2025/v40i82282</w:t>
        </w:r>
      </w:hyperlink>
    </w:p>
    <w:p w14:paraId="13142B23" w14:textId="77777777" w:rsidR="00A77C0D" w:rsidRDefault="00A77C0D" w:rsidP="00A77C0D">
      <w:pPr>
        <w:pStyle w:val="NormalWeb"/>
      </w:pPr>
      <w:r>
        <w:t xml:space="preserve">Sathyakumar, V., Gowtham, S., &amp; Ramsankaran, R. (2025). Unveiling India’s forest cover: Geospatial perspectives on structural connectivity transitions across states. Environmental Monitoring and Assessment, 197, Article 830. </w:t>
      </w:r>
      <w:hyperlink r:id="rId41" w:history="1">
        <w:r>
          <w:rPr>
            <w:rStyle w:val="Hyperlink"/>
          </w:rPr>
          <w:t>https://doi.org/10.1007/s10661-025-14257-2</w:t>
        </w:r>
      </w:hyperlink>
    </w:p>
    <w:p w14:paraId="07C7A2E1" w14:textId="77777777" w:rsidR="00A77C0D" w:rsidRDefault="00A77C0D" w:rsidP="00A77C0D">
      <w:pPr>
        <w:pStyle w:val="NormalWeb"/>
      </w:pPr>
      <w:r>
        <w:lastRenderedPageBreak/>
        <w:t xml:space="preserve">Siddhartha, A. (2025). Capturing land for elephant corridors in South India through the conservation-agrarian squeeze. Environmental Management, 75, 2749–2762. </w:t>
      </w:r>
      <w:hyperlink r:id="rId42" w:history="1">
        <w:r>
          <w:rPr>
            <w:rStyle w:val="Hyperlink"/>
          </w:rPr>
          <w:t>https://doi.org/10.1007/s00267-025-02192-4</w:t>
        </w:r>
      </w:hyperlink>
    </w:p>
    <w:p w14:paraId="10C037F4" w14:textId="77777777" w:rsidR="00A77C0D" w:rsidRDefault="00A77C0D" w:rsidP="00A77C0D">
      <w:pPr>
        <w:pStyle w:val="NormalWeb"/>
      </w:pPr>
      <w:r>
        <w:t xml:space="preserve">Sibanda, L., Dickman, A., Hughes, C., Tacey, J., Madsen, E., Mandoloma, L., Mbizah, M. M., Mutinhima, Y., Rono, B., Kulunge, S., Kimaili, D., Bhujle, T., Macdonald, D. W., &amp; Hare, D. (2025). Avoiding an impending collision in international conservation. Conservation Biology, 39(2), Article e14450. </w:t>
      </w:r>
      <w:hyperlink r:id="rId43" w:history="1">
        <w:r>
          <w:rPr>
            <w:rStyle w:val="Hyperlink"/>
          </w:rPr>
          <w:t>https://doi.org/10.1111/cobi.14450</w:t>
        </w:r>
      </w:hyperlink>
    </w:p>
    <w:p w14:paraId="392F578B" w14:textId="77777777" w:rsidR="00A77C0D" w:rsidRDefault="00A77C0D" w:rsidP="00A77C0D">
      <w:pPr>
        <w:pStyle w:val="NormalWeb"/>
      </w:pPr>
      <w:r>
        <w:t xml:space="preserve">Sonkar, G. K., Gaurav, K., Rai, A. K., Taigor, S., &amp; Beg, Z. (2023). Integrating satellite altimeter data and geomorphic in-stream flow tool to assess reach average hydraulic habitat of the Ganga River dolphin. Ecohydrology, 16(2), Article e2497. </w:t>
      </w:r>
      <w:hyperlink r:id="rId44" w:history="1">
        <w:r>
          <w:rPr>
            <w:rStyle w:val="Hyperlink"/>
          </w:rPr>
          <w:t>https://doi.org/10.1002/eco.2497</w:t>
        </w:r>
      </w:hyperlink>
    </w:p>
    <w:p w14:paraId="683E4968" w14:textId="77777777" w:rsidR="00A77C0D" w:rsidRDefault="00A77C0D" w:rsidP="00A77C0D">
      <w:pPr>
        <w:pStyle w:val="NormalWeb"/>
      </w:pPr>
      <w:r>
        <w:t xml:space="preserve">Srivastava, R., &amp; Tyagi, R. (2016). Wildlife corridors in India: Viable legal tools for species conservation? Environmental Law Review, 18(3), 205–223. </w:t>
      </w:r>
      <w:hyperlink r:id="rId45" w:history="1">
        <w:r>
          <w:rPr>
            <w:rStyle w:val="Hyperlink"/>
          </w:rPr>
          <w:t>https://doi.org/10.1177/1461452916662114</w:t>
        </w:r>
      </w:hyperlink>
    </w:p>
    <w:p w14:paraId="389319C9" w14:textId="77777777" w:rsidR="00A77C0D" w:rsidRDefault="00A77C0D" w:rsidP="00A77C0D">
      <w:pPr>
        <w:pStyle w:val="NormalWeb"/>
      </w:pPr>
      <w:r>
        <w:t xml:space="preserve">Verma, N., Badola, S., &amp; Mondol, S. (2025). Evaluating wildlife activity and corridor functionality: A study of underpasses in and around Rajaji National Park, India. Journal of Threatened Taxa, 17(4), 26780–26788. </w:t>
      </w:r>
      <w:hyperlink r:id="rId46" w:history="1">
        <w:r>
          <w:rPr>
            <w:rStyle w:val="Hyperlink"/>
          </w:rPr>
          <w:t>https://doi.org/10.11609/jott.9621.17.4.26780-26788</w:t>
        </w:r>
      </w:hyperlink>
    </w:p>
    <w:p w14:paraId="19A70391" w14:textId="77777777" w:rsidR="00A77C0D" w:rsidRPr="00A77C0D" w:rsidRDefault="00A77C0D" w:rsidP="00A77C0D"/>
    <w:sectPr w:rsidR="00A77C0D" w:rsidRPr="00A77C0D" w:rsidSect="00034616">
      <w:pgSz w:w="12240" w:h="15840"/>
      <w:pgMar w:top="1109" w:right="1224" w:bottom="1109" w:left="1267" w:header="504"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C7D18"/>
    <w:rsid w:val="00423FB7"/>
    <w:rsid w:val="0049339E"/>
    <w:rsid w:val="00546785"/>
    <w:rsid w:val="00A77C0D"/>
    <w:rsid w:val="00AA1D8D"/>
    <w:rsid w:val="00B47730"/>
    <w:rsid w:val="00B93394"/>
    <w:rsid w:val="00CB0664"/>
    <w:rsid w:val="00D27B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D34CC"/>
  <w14:defaultImageDpi w14:val="300"/>
  <w15:docId w15:val="{C85D9B8F-67B0-4D43-AEF5-894C7313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line="281"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192D3B"/>
      <w:sz w:val="2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92D3B"/>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color w:val="192D3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before="100"/>
    </w:pPr>
    <w:rPr>
      <w:rFonts w:ascii="Times New Roman" w:hAnsi="Times New Roman"/>
      <w:i/>
      <w:sz w:val="18"/>
    </w:rPr>
  </w:style>
  <w:style w:type="paragraph" w:styleId="NormalWeb">
    <w:name w:val="Normal (Web)"/>
    <w:basedOn w:val="Normal"/>
    <w:uiPriority w:val="99"/>
    <w:semiHidden/>
    <w:unhideWhenUsed/>
    <w:rsid w:val="00A77C0D"/>
    <w:pPr>
      <w:spacing w:before="100" w:beforeAutospacing="1" w:after="100" w:afterAutospacing="1" w:line="240" w:lineRule="auto"/>
    </w:pPr>
    <w:rPr>
      <w:rFonts w:eastAsia="Times New Roman" w:cs="Times New Roman"/>
      <w:sz w:val="24"/>
      <w:szCs w:val="24"/>
      <w:lang w:val="en-IN" w:eastAsia="en-IN"/>
    </w:rPr>
  </w:style>
  <w:style w:type="character" w:styleId="Hyperlink">
    <w:name w:val="Hyperlink"/>
    <w:basedOn w:val="DefaultParagraphFont"/>
    <w:uiPriority w:val="99"/>
    <w:semiHidden/>
    <w:unhideWhenUsed/>
    <w:rsid w:val="00A77C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ecolind.2022.109680?utm_source=chatgpt.com" TargetMode="External"/><Relationship Id="rId18" Type="http://schemas.openxmlformats.org/officeDocument/2006/relationships/hyperlink" Target="https://www.indiacode.nic.in/indiacode/handle/123456789/1726?utm_source=chatgpt.com" TargetMode="External"/><Relationship Id="rId26" Type="http://schemas.openxmlformats.org/officeDocument/2006/relationships/hyperlink" Target="https://www.iucnredlist.org/?utm_source=chatgpt.com" TargetMode="External"/><Relationship Id="rId39" Type="http://schemas.openxmlformats.org/officeDocument/2006/relationships/hyperlink" Target="https://doi.org/10.1016/j.gecco.2024.e03384?utm_source=chatgpt.com" TargetMode="External"/><Relationship Id="rId21" Type="http://schemas.openxmlformats.org/officeDocument/2006/relationships/hyperlink" Target="https://forestrights.tribal.gov.in/fra-2006?utm_source=chatgpt.com" TargetMode="External"/><Relationship Id="rId34" Type="http://schemas.openxmlformats.org/officeDocument/2006/relationships/hyperlink" Target="https://moef.gov.in/eco-sensitive-zone-esz?lang=en&amp;utm_source=chatgpt.com" TargetMode="External"/><Relationship Id="rId42" Type="http://schemas.openxmlformats.org/officeDocument/2006/relationships/hyperlink" Target="https://doi.org/10.1007/s00267-025-02192-4?utm_source=chatgpt.com" TargetMode="External"/><Relationship Id="rId47"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doi.org/10.1073/pnas.1908221116?utm_source=chatgpt.com" TargetMode="External"/><Relationship Id="rId29" Type="http://schemas.openxmlformats.org/officeDocument/2006/relationships/hyperlink" Target="https://doi.org/10.1016/j.tree.2009.03.005?utm_source=chatgpt.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bd.int/gbf?utm_source=chatgpt.com" TargetMode="External"/><Relationship Id="rId24" Type="http://schemas.openxmlformats.org/officeDocument/2006/relationships/hyperlink" Target="https://doi.org/10.1126/sciadv.1500052?utm_source=chatgpt.com" TargetMode="External"/><Relationship Id="rId32" Type="http://schemas.openxmlformats.org/officeDocument/2006/relationships/hyperlink" Target="https://doi.org/10.1177/14614529251328784?utm_source=chatgpt.com" TargetMode="External"/><Relationship Id="rId37" Type="http://schemas.openxmlformats.org/officeDocument/2006/relationships/hyperlink" Target="https://doi.org/10.1002/inc3.38?utm_source=chatgpt.com" TargetMode="External"/><Relationship Id="rId40" Type="http://schemas.openxmlformats.org/officeDocument/2006/relationships/hyperlink" Target="https://doi.org/10.9734/arrb/2025/v40i82282?utm_source=chatgpt.com" TargetMode="External"/><Relationship Id="rId45" Type="http://schemas.openxmlformats.org/officeDocument/2006/relationships/hyperlink" Target="https://doi.org/10.1177/1461452916662114?utm_source=chatgpt.com" TargetMode="External"/><Relationship Id="rId5" Type="http://schemas.openxmlformats.org/officeDocument/2006/relationships/webSettings" Target="webSettings.xml"/><Relationship Id="rId15" Type="http://schemas.openxmlformats.org/officeDocument/2006/relationships/hyperlink" Target="https://doi.org/10.1146/annurev-ecolsys-110316-022612?utm_source=chatgpt.com" TargetMode="External"/><Relationship Id="rId23" Type="http://schemas.openxmlformats.org/officeDocument/2006/relationships/hyperlink" Target="https://egazette.gov.in/WritereadData/2023/247815.pdf?utm_source=chatgpt.com" TargetMode="External"/><Relationship Id="rId28" Type="http://schemas.openxmlformats.org/officeDocument/2006/relationships/hyperlink" Target="https://doi.org/10.1038/s41467-024-52693-9?utm_source=chatgpt.com" TargetMode="External"/><Relationship Id="rId36" Type="http://schemas.openxmlformats.org/officeDocument/2006/relationships/hyperlink" Target="https://doi.org/10.1016/j.tree.2006.08.007?utm_source=chatgpt.com" TargetMode="External"/><Relationship Id="rId10" Type="http://schemas.openxmlformats.org/officeDocument/2006/relationships/hyperlink" Target="https://doi.org/10.1016/j.jenvman.2008.12.001?utm_source=chatgpt.com" TargetMode="External"/><Relationship Id="rId19" Type="http://schemas.openxmlformats.org/officeDocument/2006/relationships/hyperlink" Target="https://www.indiacode.nic.in/indiacode/handle/123456789/1876?utm_source=chatgpt.com" TargetMode="External"/><Relationship Id="rId31" Type="http://schemas.openxmlformats.org/officeDocument/2006/relationships/hyperlink" Target="https://doi.org/10.1177/0019466216652561?utm_source=chatgpt.com" TargetMode="External"/><Relationship Id="rId44" Type="http://schemas.openxmlformats.org/officeDocument/2006/relationships/hyperlink" Target="https://doi.org/10.1002/eco.2497?utm_source=chatgpt.com" TargetMode="External"/><Relationship Id="rId4" Type="http://schemas.openxmlformats.org/officeDocument/2006/relationships/settings" Target="settings.xml"/><Relationship Id="rId9" Type="http://schemas.openxmlformats.org/officeDocument/2006/relationships/hyperlink" Target="https://doi.org/10.1016/j.ecoinf.2025.103239?utm_source=chatgpt.com" TargetMode="External"/><Relationship Id="rId14" Type="http://schemas.openxmlformats.org/officeDocument/2006/relationships/hyperlink" Target="https://doi.org/10.1146/annurev.ecolsys.34.011802.132419?utm_source=chatgpt.com" TargetMode="External"/><Relationship Id="rId22" Type="http://schemas.openxmlformats.org/officeDocument/2006/relationships/hyperlink" Target="https://ntca.gov.in/wp-content/uploads/2025/08/The-Wild-Life-Protection-Amendment-Act-2022_compressed.pdf?utm_source=chatgpt.com" TargetMode="External"/><Relationship Id="rId27" Type="http://schemas.openxmlformats.org/officeDocument/2006/relationships/hyperlink" Target="https://doi.org/10.1111/csp2.13191?utm_source=chatgpt.com" TargetMode="External"/><Relationship Id="rId30" Type="http://schemas.openxmlformats.org/officeDocument/2006/relationships/hyperlink" Target="https://doi.org/10.1890/0012-9658%282002%29083%5B2248%3AESORWD%5D2.0.CO%3B2?utm_source=chatgpt.com" TargetMode="External"/><Relationship Id="rId35" Type="http://schemas.openxmlformats.org/officeDocument/2006/relationships/hyperlink" Target="https://www.nbaindia.nic.in/about-us/faqs?utm_source=chatgpt.com" TargetMode="External"/><Relationship Id="rId43" Type="http://schemas.openxmlformats.org/officeDocument/2006/relationships/hyperlink" Target="https://doi.org/10.1111/cobi.14450?utm_source=chatgpt.com" TargetMode="External"/><Relationship Id="rId4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hyperlink" Target="https://doi.org/10.1007/s00267-024-02056-3?utm_source=chatgpt.com" TargetMode="External"/><Relationship Id="rId17" Type="http://schemas.openxmlformats.org/officeDocument/2006/relationships/hyperlink" Target="https://legislative.gov.in/constitution-of-india/?utm_source=chatgpt.com" TargetMode="External"/><Relationship Id="rId25" Type="http://schemas.openxmlformats.org/officeDocument/2006/relationships/hyperlink" Target="https://doi.org/10.5281/zenodo.3831673?utm_source=chatgpt.com" TargetMode="External"/><Relationship Id="rId33" Type="http://schemas.openxmlformats.org/officeDocument/2006/relationships/hyperlink" Target="https://moef.gov.in/uploads/2023/05/Annual-Report-English-2023-24.pdf?utm_source=chatgpt.com" TargetMode="External"/><Relationship Id="rId38" Type="http://schemas.openxmlformats.org/officeDocument/2006/relationships/hyperlink" Target="https://doi.org/10.56557/joban/2026/v18i110465?utm_source=chatgpt.com" TargetMode="External"/><Relationship Id="rId46" Type="http://schemas.openxmlformats.org/officeDocument/2006/relationships/hyperlink" Target="https://doi.org/10.11609/jott.9621.17.4.26780-26788?utm_source=chatgpt.com" TargetMode="External"/><Relationship Id="rId20" Type="http://schemas.openxmlformats.org/officeDocument/2006/relationships/hyperlink" Target="https://www.indiacode.nic.in/indiacode/handle/123456789/2046?utm_source=chatgpt.com" TargetMode="External"/><Relationship Id="rId41" Type="http://schemas.openxmlformats.org/officeDocument/2006/relationships/hyperlink" Target="https://doi.org/10.1007/s10661-025-14257-2?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361CB-2071-47D2-B000-6125649A0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13629</Words>
  <Characters>77688</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Protection of Endangered Fauna in India: Linking Species Conservation, Habitat Ecology, and Wildlife Law</dc:title>
  <dc:subject>Narrative legal-policy review and conceptual framework</dc:subject>
  <dc:creator>Paramita Bhattacharyya and Sudipta Adhikary</dc:creator>
  <cp:keywords/>
  <dc:description>generated by python-docx</dc:description>
  <cp:lastModifiedBy>user</cp:lastModifiedBy>
  <cp:revision>5</cp:revision>
  <dcterms:created xsi:type="dcterms:W3CDTF">2013-12-23T23:15:00Z</dcterms:created>
  <dcterms:modified xsi:type="dcterms:W3CDTF">2026-11-04T12:00:00Z</dcterms:modified>
  <cp:category/>
</cp:coreProperties>
</file>