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69B4F" w14:textId="77777777" w:rsidR="00C8037A" w:rsidRPr="00BF28F4" w:rsidRDefault="002A0AA8" w:rsidP="00C8037A">
      <w:pPr>
        <w:pStyle w:val="Author"/>
        <w:spacing w:line="240" w:lineRule="auto"/>
        <w:rPr>
          <w:rFonts w:ascii="Arial" w:hAnsi="Arial" w:cs="Arial"/>
          <w:bCs/>
          <w:iCs/>
          <w:kern w:val="28"/>
          <w:sz w:val="36"/>
        </w:rPr>
      </w:pPr>
      <w:r w:rsidRPr="00BF28F4">
        <w:rPr>
          <w:rFonts w:ascii="Arial" w:hAnsi="Arial" w:cs="Arial"/>
          <w:bCs/>
          <w:iCs/>
          <w:kern w:val="28"/>
          <w:sz w:val="36"/>
        </w:rPr>
        <w:t xml:space="preserve">Investigating </w:t>
      </w:r>
      <w:proofErr w:type="spellStart"/>
      <w:r w:rsidR="00C8037A" w:rsidRPr="00BF28F4">
        <w:rPr>
          <w:rFonts w:ascii="Arial" w:hAnsi="Arial" w:cs="Arial"/>
          <w:bCs/>
          <w:iCs/>
          <w:kern w:val="28"/>
          <w:sz w:val="36"/>
        </w:rPr>
        <w:t>Hypoglycaemic</w:t>
      </w:r>
      <w:proofErr w:type="spellEnd"/>
      <w:r w:rsidR="00C8037A" w:rsidRPr="00BF28F4">
        <w:rPr>
          <w:rFonts w:ascii="Arial" w:hAnsi="Arial" w:cs="Arial"/>
          <w:bCs/>
          <w:iCs/>
          <w:kern w:val="28"/>
          <w:sz w:val="36"/>
        </w:rPr>
        <w:t xml:space="preserve"> and </w:t>
      </w:r>
      <w:proofErr w:type="spellStart"/>
      <w:r w:rsidR="00C8037A" w:rsidRPr="00BF28F4">
        <w:rPr>
          <w:rFonts w:ascii="Arial" w:hAnsi="Arial" w:cs="Arial"/>
          <w:bCs/>
          <w:iCs/>
          <w:kern w:val="28"/>
          <w:sz w:val="36"/>
        </w:rPr>
        <w:t>Hypolipidaemic</w:t>
      </w:r>
      <w:proofErr w:type="spellEnd"/>
      <w:r w:rsidR="00C8037A" w:rsidRPr="00BF28F4">
        <w:rPr>
          <w:rFonts w:ascii="Arial" w:hAnsi="Arial" w:cs="Arial"/>
          <w:bCs/>
          <w:iCs/>
          <w:kern w:val="28"/>
          <w:sz w:val="36"/>
        </w:rPr>
        <w:t xml:space="preserve"> Effects of </w:t>
      </w:r>
      <w:r w:rsidRPr="00BF28F4">
        <w:rPr>
          <w:rFonts w:ascii="Arial" w:hAnsi="Arial" w:cs="Arial"/>
          <w:bCs/>
          <w:iCs/>
          <w:kern w:val="28"/>
          <w:sz w:val="36"/>
        </w:rPr>
        <w:t xml:space="preserve">Combined </w:t>
      </w:r>
      <w:r w:rsidR="00C8037A" w:rsidRPr="00BF28F4">
        <w:rPr>
          <w:rFonts w:ascii="Arial" w:hAnsi="Arial" w:cs="Arial"/>
          <w:bCs/>
          <w:iCs/>
          <w:kern w:val="28"/>
          <w:sz w:val="36"/>
        </w:rPr>
        <w:t xml:space="preserve">Rind Extracts of </w:t>
      </w:r>
      <w:r w:rsidRPr="00BF28F4">
        <w:rPr>
          <w:rFonts w:ascii="Arial" w:hAnsi="Arial" w:cs="Arial"/>
          <w:bCs/>
          <w:i/>
          <w:iCs/>
          <w:kern w:val="28"/>
          <w:sz w:val="36"/>
        </w:rPr>
        <w:t>Cucumis sativus</w:t>
      </w:r>
      <w:r w:rsidR="00C8037A" w:rsidRPr="00BF28F4">
        <w:rPr>
          <w:rFonts w:ascii="Arial" w:hAnsi="Arial" w:cs="Arial"/>
          <w:bCs/>
          <w:iCs/>
          <w:kern w:val="28"/>
          <w:sz w:val="36"/>
        </w:rPr>
        <w:t xml:space="preserve"> and </w:t>
      </w:r>
      <w:r w:rsidRPr="00BF28F4">
        <w:rPr>
          <w:rFonts w:ascii="Arial" w:hAnsi="Arial" w:cs="Arial"/>
          <w:bCs/>
          <w:i/>
          <w:iCs/>
          <w:kern w:val="28"/>
          <w:sz w:val="36"/>
        </w:rPr>
        <w:t>Citrullus lanatus</w:t>
      </w:r>
      <w:r w:rsidR="00C8037A" w:rsidRPr="00BF28F4">
        <w:rPr>
          <w:rFonts w:ascii="Arial" w:hAnsi="Arial" w:cs="Arial"/>
          <w:bCs/>
          <w:iCs/>
          <w:kern w:val="28"/>
          <w:sz w:val="36"/>
        </w:rPr>
        <w:t xml:space="preserve"> on Alloxan-induced Diabetic Wistar Rats</w:t>
      </w:r>
    </w:p>
    <w:p w14:paraId="00510324" w14:textId="77777777" w:rsidR="00A258C3" w:rsidRPr="00BF28F4" w:rsidRDefault="00A258C3" w:rsidP="00441B6F">
      <w:pPr>
        <w:pStyle w:val="Author"/>
        <w:spacing w:line="240" w:lineRule="auto"/>
        <w:jc w:val="both"/>
        <w:rPr>
          <w:rFonts w:ascii="Arial" w:hAnsi="Arial" w:cs="Arial"/>
          <w:sz w:val="36"/>
        </w:rPr>
      </w:pPr>
    </w:p>
    <w:p w14:paraId="3EF21C99" w14:textId="77777777" w:rsidR="002C57D2" w:rsidRPr="00BF28F4" w:rsidRDefault="002C57D2" w:rsidP="00441B6F">
      <w:pPr>
        <w:pStyle w:val="Affiliation"/>
        <w:spacing w:after="0" w:line="240" w:lineRule="auto"/>
        <w:jc w:val="both"/>
        <w:rPr>
          <w:rFonts w:ascii="Arial" w:hAnsi="Arial" w:cs="Arial"/>
        </w:rPr>
      </w:pPr>
    </w:p>
    <w:p w14:paraId="693FECFA" w14:textId="77777777" w:rsidR="00B01FCD" w:rsidRPr="00BF28F4" w:rsidRDefault="00E26B7B" w:rsidP="00441B6F">
      <w:pPr>
        <w:pStyle w:val="Copyright"/>
        <w:spacing w:after="0" w:line="240" w:lineRule="auto"/>
        <w:jc w:val="both"/>
        <w:rPr>
          <w:rFonts w:ascii="Arial" w:hAnsi="Arial" w:cs="Arial"/>
        </w:rPr>
        <w:sectPr w:rsidR="00B01FCD" w:rsidRPr="00BF28F4" w:rsidSect="00843D29">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sidRPr="00BF28F4">
        <w:rPr>
          <w:rFonts w:ascii="Arial" w:hAnsi="Arial" w:cs="Arial"/>
          <w:noProof/>
        </w:rPr>
        <mc:AlternateContent>
          <mc:Choice Requires="wps">
            <w:drawing>
              <wp:inline distT="0" distB="0" distL="0" distR="0" wp14:anchorId="5D1518E5" wp14:editId="01FC477E">
                <wp:extent cx="5303520" cy="635"/>
                <wp:effectExtent l="9525" t="12700" r="11430" b="15875"/>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734D349"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sidRPr="00BF28F4">
        <w:rPr>
          <w:rFonts w:ascii="Arial" w:hAnsi="Arial" w:cs="Arial"/>
        </w:rPr>
        <w:t>.</w:t>
      </w:r>
    </w:p>
    <w:p w14:paraId="5473216A" w14:textId="77777777" w:rsidR="00790ADA" w:rsidRPr="00BF28F4" w:rsidRDefault="00B01FCD" w:rsidP="00441B6F">
      <w:pPr>
        <w:pStyle w:val="AbstHead"/>
        <w:spacing w:after="0"/>
        <w:jc w:val="both"/>
        <w:rPr>
          <w:rFonts w:ascii="Arial" w:hAnsi="Arial" w:cs="Arial"/>
        </w:rPr>
      </w:pPr>
      <w:r w:rsidRPr="00BF28F4">
        <w:rPr>
          <w:rFonts w:ascii="Arial" w:hAnsi="Arial" w:cs="Arial"/>
        </w:rPr>
        <w:t>ABSTRACT</w:t>
      </w:r>
      <w:r w:rsidR="0066510A" w:rsidRPr="00BF28F4">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10616"/>
      </w:tblGrid>
      <w:tr w:rsidR="00296529" w:rsidRPr="00BF28F4" w14:paraId="25C9D648" w14:textId="77777777" w:rsidTr="009E2424">
        <w:trPr>
          <w:trHeight w:val="3420"/>
        </w:trPr>
        <w:tc>
          <w:tcPr>
            <w:tcW w:w="10616" w:type="dxa"/>
            <w:shd w:val="clear" w:color="auto" w:fill="F2F2F2"/>
          </w:tcPr>
          <w:p w14:paraId="10C59964" w14:textId="77777777" w:rsidR="00505F06" w:rsidRDefault="00BF28F4" w:rsidP="00441B6F">
            <w:pPr>
              <w:pStyle w:val="Body"/>
              <w:spacing w:after="0"/>
              <w:rPr>
                <w:rFonts w:ascii="Arial" w:eastAsia="Calibri" w:hAnsi="Arial" w:cs="Arial"/>
                <w:bCs/>
                <w:szCs w:val="22"/>
                <w:lang w:val="en-GB"/>
              </w:rPr>
            </w:pPr>
            <w:r w:rsidRPr="00BF28F4">
              <w:rPr>
                <w:rFonts w:ascii="Arial" w:eastAsia="Calibri" w:hAnsi="Arial" w:cs="Arial"/>
                <w:bCs/>
                <w:szCs w:val="22"/>
                <w:lang w:val="en-GB"/>
              </w:rPr>
              <w:t xml:space="preserve">Diabetes-associated hyperglycaemia and dyslipidaemia are metabolic disturbances for which plant-derived materials are being investigated. This study compared the hypoglycaemic and </w:t>
            </w:r>
            <w:proofErr w:type="spellStart"/>
            <w:r w:rsidRPr="00BF28F4">
              <w:rPr>
                <w:rFonts w:ascii="Arial" w:eastAsia="Calibri" w:hAnsi="Arial" w:cs="Arial"/>
                <w:bCs/>
                <w:szCs w:val="22"/>
                <w:lang w:val="en-GB"/>
              </w:rPr>
              <w:t>hypolipidaemic</w:t>
            </w:r>
            <w:proofErr w:type="spellEnd"/>
            <w:r w:rsidRPr="00BF28F4">
              <w:rPr>
                <w:rFonts w:ascii="Arial" w:eastAsia="Calibri" w:hAnsi="Arial" w:cs="Arial"/>
                <w:bCs/>
                <w:szCs w:val="22"/>
                <w:lang w:val="en-GB"/>
              </w:rPr>
              <w:t xml:space="preserve"> effects of methanolic rind extracts of Cucumis sativus and Citrullus lanatus, administered separately and together, in alloxan-induced diabetic Wistar rats. Thirty male Wistar rats were used. Diabetes was induced with alloxan monohydrate (150 mg/kg). The treatment regimens comprised C. sativus rind extract (200 mg/kg), C. lanatus rind extract (200 mg/kg), a combined preparation (100 mg/kg of each extract) and metformin, alongside control groups. Treatments were administered orally for 21 days. Fasting blood glucose, serum total cholesterol, high-density lipoprotein cholesterol, low-density lipoprotein cholesterol and triglycerides were assessed; qualitative phytochemical screening was also undertaken. Both extracts contained alkaloids, flavonoids, tannins, saponins, phenols and terpenoids. By day 21, fasting blood glucose was 6.22 mmol/L with C. sativus, 6.61 mmol/L with C. lanatus, 5.44 mmol/L with the combined preparation and 5.00 mmol/L with metformin, compared with 15.67 mmol/L in the diabetic control group. The combined preparation also showed lower total cholesterol, low-density lipoprotein cholesterol and triglycerides, and higher high-density lipoprotein cholesterol, than either individual extract. The combined rind extracts were associated with greater improvements in the measured metabolic indices than individual extracts under the experimental conditions. Additional studies are needed to characterise active constituents, mechanisms and longer-term safety.</w:t>
            </w:r>
          </w:p>
          <w:p w14:paraId="5FD5BD3E" w14:textId="5A813EBF" w:rsidR="00BF28F4" w:rsidRPr="00BF28F4" w:rsidRDefault="00BF28F4" w:rsidP="00441B6F">
            <w:pPr>
              <w:pStyle w:val="Body"/>
              <w:spacing w:after="0"/>
              <w:rPr>
                <w:rFonts w:ascii="Arial" w:eastAsia="Calibri" w:hAnsi="Arial" w:cs="Arial"/>
                <w:bCs/>
                <w:szCs w:val="22"/>
                <w:lang w:val="en-GB"/>
              </w:rPr>
            </w:pPr>
          </w:p>
        </w:tc>
      </w:tr>
    </w:tbl>
    <w:p w14:paraId="4B2E4B11" w14:textId="77777777" w:rsidR="00636EB2" w:rsidRPr="00BF28F4" w:rsidRDefault="00636EB2" w:rsidP="00441B6F">
      <w:pPr>
        <w:pStyle w:val="Body"/>
        <w:spacing w:after="0"/>
        <w:rPr>
          <w:rFonts w:ascii="Arial" w:hAnsi="Arial" w:cs="Arial"/>
          <w:i/>
        </w:rPr>
      </w:pPr>
    </w:p>
    <w:p w14:paraId="4A02ACE2" w14:textId="77777777" w:rsidR="00DB7D18" w:rsidRPr="00BF28F4" w:rsidRDefault="00A24E7E" w:rsidP="00DB7D18">
      <w:pPr>
        <w:pStyle w:val="Body"/>
        <w:spacing w:after="0"/>
        <w:rPr>
          <w:rFonts w:ascii="Arial" w:hAnsi="Arial" w:cs="Arial"/>
          <w:bCs/>
          <w:i/>
        </w:rPr>
      </w:pPr>
      <w:r w:rsidRPr="00BF28F4">
        <w:rPr>
          <w:rFonts w:ascii="Arial" w:hAnsi="Arial" w:cs="Arial"/>
          <w:i/>
        </w:rPr>
        <w:t>Keywords:</w:t>
      </w:r>
      <w:r w:rsidR="00DB7D18" w:rsidRPr="00BF28F4">
        <w:rPr>
          <w:rFonts w:ascii="Arial" w:hAnsi="Arial" w:cs="Arial"/>
          <w:i/>
        </w:rPr>
        <w:t xml:space="preserve"> </w:t>
      </w:r>
      <w:r w:rsidR="00DB7D18" w:rsidRPr="00BF28F4">
        <w:rPr>
          <w:rFonts w:ascii="Arial" w:hAnsi="Arial" w:cs="Arial"/>
          <w:bCs/>
          <w:i/>
          <w:iCs/>
          <w:lang w:val="en-GB"/>
        </w:rPr>
        <w:t>Cucumis sativus</w:t>
      </w:r>
      <w:r w:rsidR="00DB7D18" w:rsidRPr="00BF28F4">
        <w:rPr>
          <w:rFonts w:ascii="Arial" w:hAnsi="Arial" w:cs="Arial"/>
          <w:bCs/>
          <w:i/>
          <w:lang w:val="en-GB"/>
        </w:rPr>
        <w:t xml:space="preserve">; </w:t>
      </w:r>
      <w:r w:rsidR="00DB7D18" w:rsidRPr="00BF28F4">
        <w:rPr>
          <w:rFonts w:ascii="Arial" w:hAnsi="Arial" w:cs="Arial"/>
          <w:bCs/>
          <w:i/>
          <w:iCs/>
          <w:lang w:val="en-GB"/>
        </w:rPr>
        <w:t>Citrullus lanatus</w:t>
      </w:r>
      <w:r w:rsidR="00DB7D18" w:rsidRPr="00BF28F4">
        <w:rPr>
          <w:rFonts w:ascii="Arial" w:hAnsi="Arial" w:cs="Arial"/>
          <w:bCs/>
          <w:i/>
          <w:lang w:val="en-GB"/>
        </w:rPr>
        <w:t xml:space="preserve">; rind extracts; hypoglycaemic; </w:t>
      </w:r>
      <w:proofErr w:type="spellStart"/>
      <w:proofErr w:type="gramStart"/>
      <w:r w:rsidR="00DB7D18" w:rsidRPr="00BF28F4">
        <w:rPr>
          <w:rFonts w:ascii="Arial" w:hAnsi="Arial" w:cs="Arial"/>
          <w:bCs/>
          <w:i/>
          <w:lang w:val="en-GB"/>
        </w:rPr>
        <w:t>hypolipidaemic</w:t>
      </w:r>
      <w:proofErr w:type="spellEnd"/>
      <w:r w:rsidR="00DB7D18" w:rsidRPr="00BF28F4">
        <w:rPr>
          <w:rFonts w:ascii="Arial" w:hAnsi="Arial" w:cs="Arial"/>
          <w:bCs/>
          <w:i/>
          <w:lang w:val="en-GB"/>
        </w:rPr>
        <w:t xml:space="preserve"> ;</w:t>
      </w:r>
      <w:proofErr w:type="gramEnd"/>
      <w:r w:rsidR="00DB7D18" w:rsidRPr="00BF28F4">
        <w:rPr>
          <w:rFonts w:ascii="Arial" w:hAnsi="Arial" w:cs="Arial"/>
          <w:bCs/>
          <w:i/>
          <w:lang w:val="en-GB"/>
        </w:rPr>
        <w:t xml:space="preserve"> diabetes mellitus; fasting blood glucose; lipid profile; Wistar rats; phytochemicals.</w:t>
      </w:r>
    </w:p>
    <w:p w14:paraId="63AF2E8B" w14:textId="77777777" w:rsidR="00A24E7E" w:rsidRPr="00BF28F4" w:rsidRDefault="00A24E7E" w:rsidP="00441B6F">
      <w:pPr>
        <w:pStyle w:val="Body"/>
        <w:spacing w:after="0"/>
        <w:rPr>
          <w:rFonts w:ascii="Arial" w:hAnsi="Arial" w:cs="Arial"/>
          <w:i/>
        </w:rPr>
      </w:pPr>
    </w:p>
    <w:p w14:paraId="52997F89" w14:textId="77777777" w:rsidR="00505F06" w:rsidRPr="00BF28F4" w:rsidRDefault="00505F06" w:rsidP="00441B6F">
      <w:pPr>
        <w:pStyle w:val="Body"/>
        <w:spacing w:after="0"/>
        <w:rPr>
          <w:rFonts w:ascii="Arial" w:hAnsi="Arial" w:cs="Arial"/>
          <w:i/>
        </w:rPr>
      </w:pPr>
    </w:p>
    <w:p w14:paraId="65BE79F7" w14:textId="77777777" w:rsidR="007F7B32" w:rsidRPr="00BF28F4" w:rsidRDefault="00902823" w:rsidP="00441B6F">
      <w:pPr>
        <w:pStyle w:val="AbstHead"/>
        <w:spacing w:after="0"/>
        <w:jc w:val="both"/>
        <w:rPr>
          <w:rFonts w:ascii="Arial" w:hAnsi="Arial" w:cs="Arial"/>
        </w:rPr>
      </w:pPr>
      <w:r w:rsidRPr="00BF28F4">
        <w:rPr>
          <w:rFonts w:ascii="Arial" w:hAnsi="Arial" w:cs="Arial"/>
        </w:rPr>
        <w:t xml:space="preserve">1. </w:t>
      </w:r>
      <w:r w:rsidR="00B01FCD" w:rsidRPr="00BF28F4">
        <w:rPr>
          <w:rFonts w:ascii="Arial" w:hAnsi="Arial" w:cs="Arial"/>
        </w:rPr>
        <w:t>INTRODUCTION</w:t>
      </w:r>
      <w:r w:rsidR="007F7B32" w:rsidRPr="00BF28F4">
        <w:rPr>
          <w:rFonts w:ascii="Arial" w:hAnsi="Arial" w:cs="Arial"/>
        </w:rPr>
        <w:t xml:space="preserve"> </w:t>
      </w:r>
    </w:p>
    <w:p w14:paraId="5759F8B5" w14:textId="77777777" w:rsidR="00790ADA" w:rsidRPr="00BF28F4" w:rsidRDefault="00790ADA" w:rsidP="00441B6F">
      <w:pPr>
        <w:pStyle w:val="AbstHead"/>
        <w:spacing w:after="0"/>
        <w:jc w:val="both"/>
        <w:rPr>
          <w:rFonts w:ascii="Arial" w:hAnsi="Arial" w:cs="Arial"/>
        </w:rPr>
      </w:pPr>
    </w:p>
    <w:p w14:paraId="31A71AE3" w14:textId="77777777" w:rsidR="00DB7D18" w:rsidRPr="00BF28F4" w:rsidRDefault="00DB7D18" w:rsidP="00DB7D18">
      <w:pPr>
        <w:pStyle w:val="Body"/>
        <w:spacing w:after="0"/>
        <w:rPr>
          <w:rFonts w:ascii="Arial" w:hAnsi="Arial" w:cs="Arial"/>
          <w:bCs/>
        </w:rPr>
      </w:pPr>
      <w:r w:rsidRPr="00BF28F4">
        <w:rPr>
          <w:rFonts w:ascii="Arial" w:hAnsi="Arial" w:cs="Arial"/>
          <w:bCs/>
        </w:rPr>
        <w:t xml:space="preserve">Diabetes mellitus is a chronic metabolic disorder </w:t>
      </w:r>
      <w:proofErr w:type="spellStart"/>
      <w:r w:rsidRPr="00BF28F4">
        <w:rPr>
          <w:rFonts w:ascii="Arial" w:hAnsi="Arial" w:cs="Arial"/>
          <w:bCs/>
        </w:rPr>
        <w:t>characterised</w:t>
      </w:r>
      <w:proofErr w:type="spellEnd"/>
      <w:r w:rsidRPr="00BF28F4">
        <w:rPr>
          <w:rFonts w:ascii="Arial" w:hAnsi="Arial" w:cs="Arial"/>
          <w:bCs/>
        </w:rPr>
        <w:t xml:space="preserve"> by persistent </w:t>
      </w:r>
      <w:proofErr w:type="spellStart"/>
      <w:r w:rsidRPr="00BF28F4">
        <w:rPr>
          <w:rFonts w:ascii="Arial" w:hAnsi="Arial" w:cs="Arial"/>
          <w:bCs/>
        </w:rPr>
        <w:t>hyperglycaemia</w:t>
      </w:r>
      <w:proofErr w:type="spellEnd"/>
      <w:r w:rsidRPr="00BF28F4">
        <w:rPr>
          <w:rFonts w:ascii="Arial" w:hAnsi="Arial" w:cs="Arial"/>
          <w:bCs/>
        </w:rPr>
        <w:t xml:space="preserve"> resulting from impaired insulin secretion, insulin action, or both. Disturbances in lipid metabolism commonly accompany diabetes and may result in elevated serum cholesterol, triglycerides, and low-density lipoprotein cholesterol, thereby increasing the risk of cardiovascular complications (</w:t>
      </w:r>
      <w:r w:rsidR="00524596" w:rsidRPr="00BF28F4">
        <w:rPr>
          <w:rFonts w:ascii="Arial" w:hAnsi="Arial" w:cs="Arial"/>
          <w:bCs/>
          <w:lang w:val="en-GB"/>
        </w:rPr>
        <w:t xml:space="preserve">Dilworth </w:t>
      </w:r>
      <w:r w:rsidR="003E416C" w:rsidRPr="00BF28F4">
        <w:rPr>
          <w:rFonts w:ascii="Arial" w:hAnsi="Arial" w:cs="Arial"/>
          <w:bCs/>
          <w:i/>
          <w:iCs/>
        </w:rPr>
        <w:t>et al</w:t>
      </w:r>
      <w:r w:rsidRPr="00BF28F4">
        <w:rPr>
          <w:rFonts w:ascii="Arial" w:hAnsi="Arial" w:cs="Arial"/>
          <w:bCs/>
        </w:rPr>
        <w:t>., 202</w:t>
      </w:r>
      <w:r w:rsidR="00524596" w:rsidRPr="00BF28F4">
        <w:rPr>
          <w:rFonts w:ascii="Arial" w:hAnsi="Arial" w:cs="Arial"/>
          <w:bCs/>
        </w:rPr>
        <w:t>1</w:t>
      </w:r>
      <w:r w:rsidRPr="00BF28F4">
        <w:rPr>
          <w:rFonts w:ascii="Arial" w:hAnsi="Arial" w:cs="Arial"/>
          <w:bCs/>
        </w:rPr>
        <w:t xml:space="preserve">; </w:t>
      </w:r>
      <w:r w:rsidR="00524596" w:rsidRPr="00BF28F4">
        <w:rPr>
          <w:rFonts w:ascii="Arial" w:hAnsi="Arial" w:cs="Arial"/>
          <w:bCs/>
          <w:lang w:val="en-GB"/>
        </w:rPr>
        <w:t xml:space="preserve">Jadon </w:t>
      </w:r>
      <w:r w:rsidR="003E416C" w:rsidRPr="00BF28F4">
        <w:rPr>
          <w:rFonts w:ascii="Arial" w:hAnsi="Arial" w:cs="Arial"/>
          <w:bCs/>
          <w:i/>
          <w:iCs/>
        </w:rPr>
        <w:t>et al</w:t>
      </w:r>
      <w:r w:rsidRPr="00BF28F4">
        <w:rPr>
          <w:rFonts w:ascii="Arial" w:hAnsi="Arial" w:cs="Arial"/>
          <w:bCs/>
        </w:rPr>
        <w:t xml:space="preserve">., 2024). </w:t>
      </w:r>
      <w:r w:rsidRPr="00BF28F4">
        <w:rPr>
          <w:rFonts w:ascii="Arial" w:hAnsi="Arial"/>
          <w:b/>
        </w:rPr>
        <w:t xml:space="preserve"> In another alloxan-induced diabetic rat study, administration of a different plant extract was not associated with statistically significant reductions in the measured lipid indices, underscoring the importance of evaluating lipid responses directly (</w:t>
      </w:r>
      <w:proofErr w:type="spellStart"/>
      <w:r w:rsidRPr="00BF28F4">
        <w:rPr>
          <w:rFonts w:ascii="Arial" w:hAnsi="Arial"/>
          <w:b/>
        </w:rPr>
        <w:t>Azaka</w:t>
      </w:r>
      <w:proofErr w:type="spellEnd"/>
      <w:r w:rsidRPr="00BF28F4">
        <w:rPr>
          <w:rFonts w:ascii="Arial" w:hAnsi="Arial"/>
          <w:b/>
        </w:rPr>
        <w:t xml:space="preserve"> &amp; </w:t>
      </w:r>
      <w:proofErr w:type="spellStart"/>
      <w:r w:rsidRPr="00BF28F4">
        <w:rPr>
          <w:rFonts w:ascii="Arial" w:hAnsi="Arial"/>
          <w:b/>
        </w:rPr>
        <w:t>Ufele</w:t>
      </w:r>
      <w:proofErr w:type="spellEnd"/>
      <w:r w:rsidRPr="00BF28F4">
        <w:rPr>
          <w:rFonts w:ascii="Arial" w:hAnsi="Arial"/>
          <w:b/>
        </w:rPr>
        <w:t>-Obiesie, 2025).</w:t>
      </w:r>
    </w:p>
    <w:p w14:paraId="72BF35DA" w14:textId="77777777" w:rsidR="00524596" w:rsidRPr="00BF28F4" w:rsidRDefault="00524596" w:rsidP="00DB7D18">
      <w:pPr>
        <w:pStyle w:val="Body"/>
        <w:spacing w:after="0"/>
        <w:rPr>
          <w:rFonts w:ascii="Arial" w:hAnsi="Arial" w:cs="Arial"/>
          <w:bCs/>
        </w:rPr>
      </w:pPr>
    </w:p>
    <w:p w14:paraId="2C81DFA9" w14:textId="77777777" w:rsidR="0051313C" w:rsidRPr="00BF28F4" w:rsidRDefault="00DB7D18" w:rsidP="00DB7D18">
      <w:pPr>
        <w:pStyle w:val="Body"/>
        <w:spacing w:after="0"/>
        <w:rPr>
          <w:rFonts w:ascii="Arial" w:hAnsi="Arial" w:cs="Arial"/>
          <w:bCs/>
        </w:rPr>
      </w:pPr>
      <w:r w:rsidRPr="00BF28F4">
        <w:rPr>
          <w:rFonts w:ascii="Arial" w:hAnsi="Arial" w:cs="Arial"/>
          <w:bCs/>
        </w:rPr>
        <w:t>Plant materials contain diverse bioactive compounds capable of influencing glucose and lipid metabolism through antioxidant, enzyme-modulating, and insulin-related mechanisms</w:t>
      </w:r>
      <w:r w:rsidR="00524596" w:rsidRPr="00BF28F4">
        <w:rPr>
          <w:rFonts w:ascii="Arial" w:hAnsi="Arial" w:cs="Arial"/>
          <w:bCs/>
        </w:rPr>
        <w:t xml:space="preserve"> (</w:t>
      </w:r>
      <w:r w:rsidR="00524596" w:rsidRPr="00BF28F4">
        <w:rPr>
          <w:rFonts w:ascii="Arial" w:hAnsi="Arial" w:cs="Arial"/>
          <w:bCs/>
          <w:lang w:val="en-GB"/>
        </w:rPr>
        <w:t xml:space="preserve">Atta </w:t>
      </w:r>
      <w:r w:rsidR="003E416C" w:rsidRPr="00BF28F4">
        <w:rPr>
          <w:rFonts w:ascii="Arial" w:hAnsi="Arial" w:cs="Arial"/>
          <w:bCs/>
          <w:i/>
          <w:iCs/>
          <w:lang w:val="en-GB"/>
        </w:rPr>
        <w:t>et al</w:t>
      </w:r>
      <w:r w:rsidR="00524596" w:rsidRPr="00BF28F4">
        <w:rPr>
          <w:rFonts w:ascii="Arial" w:hAnsi="Arial" w:cs="Arial"/>
          <w:bCs/>
          <w:lang w:val="en-GB"/>
        </w:rPr>
        <w:t xml:space="preserve">., 2020; </w:t>
      </w:r>
      <w:r w:rsidR="00A83673" w:rsidRPr="00BF28F4">
        <w:rPr>
          <w:rFonts w:ascii="Arial" w:hAnsi="Arial" w:cs="Arial"/>
          <w:bCs/>
          <w:lang w:val="en-GB"/>
        </w:rPr>
        <w:t xml:space="preserve">Ansari </w:t>
      </w:r>
      <w:r w:rsidR="003E416C" w:rsidRPr="00BF28F4">
        <w:rPr>
          <w:rFonts w:ascii="Arial" w:hAnsi="Arial" w:cs="Arial"/>
          <w:bCs/>
          <w:i/>
          <w:iCs/>
          <w:lang w:val="en-GB"/>
        </w:rPr>
        <w:t>et al</w:t>
      </w:r>
      <w:r w:rsidR="00A83673" w:rsidRPr="00BF28F4">
        <w:rPr>
          <w:rFonts w:ascii="Arial" w:hAnsi="Arial" w:cs="Arial"/>
          <w:bCs/>
          <w:lang w:val="en-GB"/>
        </w:rPr>
        <w:t xml:space="preserve">., 2024; </w:t>
      </w:r>
      <w:r w:rsidR="00524596" w:rsidRPr="00BF28F4">
        <w:rPr>
          <w:rFonts w:ascii="Arial" w:hAnsi="Arial" w:cs="Arial"/>
          <w:bCs/>
        </w:rPr>
        <w:t xml:space="preserve">Singh </w:t>
      </w:r>
      <w:r w:rsidR="003E416C" w:rsidRPr="00BF28F4">
        <w:rPr>
          <w:rFonts w:ascii="Arial" w:hAnsi="Arial" w:cs="Arial"/>
          <w:bCs/>
          <w:i/>
          <w:iCs/>
        </w:rPr>
        <w:t>et al</w:t>
      </w:r>
      <w:r w:rsidR="00524596" w:rsidRPr="00BF28F4">
        <w:rPr>
          <w:rFonts w:ascii="Arial" w:hAnsi="Arial" w:cs="Arial"/>
          <w:bCs/>
        </w:rPr>
        <w:t>., 2026</w:t>
      </w:r>
      <w:r w:rsidR="00524596" w:rsidRPr="00BF28F4">
        <w:rPr>
          <w:rFonts w:ascii="Arial" w:hAnsi="Arial" w:cs="Arial"/>
          <w:bCs/>
          <w:lang w:val="en-GB"/>
        </w:rPr>
        <w:t>)</w:t>
      </w:r>
      <w:r w:rsidRPr="00BF28F4">
        <w:rPr>
          <w:rFonts w:ascii="Arial" w:hAnsi="Arial" w:cs="Arial"/>
          <w:bCs/>
        </w:rPr>
        <w:t xml:space="preserve">. Increasing attention is therefore being directed towards fruit by-products, particularly rinds, which are often discarded despite their potential therapeutic value. The rinds of </w:t>
      </w:r>
      <w:r w:rsidRPr="00BF28F4">
        <w:rPr>
          <w:rFonts w:ascii="Arial" w:hAnsi="Arial" w:cs="Arial"/>
          <w:bCs/>
          <w:i/>
          <w:iCs/>
        </w:rPr>
        <w:t>Cucumis sativus</w:t>
      </w:r>
      <w:r w:rsidRPr="00BF28F4">
        <w:rPr>
          <w:rFonts w:ascii="Arial" w:hAnsi="Arial" w:cs="Arial"/>
          <w:bCs/>
        </w:rPr>
        <w:t xml:space="preserve"> and </w:t>
      </w:r>
      <w:r w:rsidRPr="00BF28F4">
        <w:rPr>
          <w:rFonts w:ascii="Arial" w:hAnsi="Arial" w:cs="Arial"/>
          <w:bCs/>
          <w:i/>
          <w:iCs/>
        </w:rPr>
        <w:t>Citrullus lanatus</w:t>
      </w:r>
      <w:r w:rsidRPr="00BF28F4">
        <w:rPr>
          <w:rFonts w:ascii="Arial" w:hAnsi="Arial" w:cs="Arial"/>
          <w:bCs/>
        </w:rPr>
        <w:t xml:space="preserve"> have attracted interest because of their reported biological activities and their potential application in the management of metabolic disorders</w:t>
      </w:r>
      <w:r w:rsidR="00A83673" w:rsidRPr="00BF28F4">
        <w:rPr>
          <w:rFonts w:ascii="Arial" w:hAnsi="Arial" w:cs="Arial"/>
          <w:bCs/>
        </w:rPr>
        <w:t xml:space="preserve"> (Owo &amp; Beresford, 2020; </w:t>
      </w:r>
      <w:r w:rsidR="003E416C" w:rsidRPr="00BF28F4">
        <w:rPr>
          <w:rFonts w:ascii="Arial" w:hAnsi="Arial" w:cs="Arial"/>
          <w:bCs/>
        </w:rPr>
        <w:t xml:space="preserve">Javid </w:t>
      </w:r>
      <w:r w:rsidR="003E416C" w:rsidRPr="00BF28F4">
        <w:rPr>
          <w:rFonts w:ascii="Arial" w:hAnsi="Arial" w:cs="Arial"/>
          <w:bCs/>
          <w:i/>
          <w:iCs/>
        </w:rPr>
        <w:t>et al</w:t>
      </w:r>
      <w:r w:rsidR="00A83673" w:rsidRPr="00BF28F4">
        <w:rPr>
          <w:rFonts w:ascii="Arial" w:hAnsi="Arial" w:cs="Arial"/>
          <w:bCs/>
        </w:rPr>
        <w:t>., 202</w:t>
      </w:r>
      <w:r w:rsidR="003E416C" w:rsidRPr="00BF28F4">
        <w:rPr>
          <w:rFonts w:ascii="Arial" w:hAnsi="Arial" w:cs="Arial"/>
          <w:bCs/>
        </w:rPr>
        <w:t>4</w:t>
      </w:r>
      <w:r w:rsidR="00A83673" w:rsidRPr="00BF28F4">
        <w:rPr>
          <w:rFonts w:ascii="Arial" w:hAnsi="Arial" w:cs="Arial"/>
          <w:bCs/>
        </w:rPr>
        <w:t xml:space="preserve">; </w:t>
      </w:r>
      <w:r w:rsidR="00D51AB4" w:rsidRPr="00BF28F4">
        <w:rPr>
          <w:rFonts w:ascii="Arial" w:hAnsi="Arial" w:cs="Arial"/>
        </w:rPr>
        <w:t xml:space="preserve">Idemudia &amp; </w:t>
      </w:r>
      <w:proofErr w:type="spellStart"/>
      <w:r w:rsidR="00D51AB4" w:rsidRPr="00BF28F4">
        <w:rPr>
          <w:rFonts w:ascii="Arial" w:hAnsi="Arial" w:cs="Arial"/>
        </w:rPr>
        <w:t>Enogieru</w:t>
      </w:r>
      <w:proofErr w:type="spellEnd"/>
      <w:r w:rsidR="00D51AB4" w:rsidRPr="00BF28F4">
        <w:rPr>
          <w:rFonts w:ascii="Arial" w:hAnsi="Arial" w:cs="Arial"/>
        </w:rPr>
        <w:t>, 2024</w:t>
      </w:r>
      <w:r w:rsidR="00A83673" w:rsidRPr="00BF28F4">
        <w:rPr>
          <w:rFonts w:ascii="Arial" w:hAnsi="Arial" w:cs="Arial"/>
          <w:bCs/>
        </w:rPr>
        <w:t>)</w:t>
      </w:r>
      <w:r w:rsidRPr="00BF28F4">
        <w:rPr>
          <w:rFonts w:ascii="Arial" w:hAnsi="Arial" w:cs="Arial"/>
          <w:bCs/>
        </w:rPr>
        <w:t>.</w:t>
      </w:r>
      <w:r w:rsidRPr="00BF28F4">
        <w:rPr>
          <w:rFonts w:ascii="Arial" w:hAnsi="Arial"/>
          <w:b/>
        </w:rPr>
        <w:t xml:space="preserve"> Chemical </w:t>
      </w:r>
      <w:proofErr w:type="spellStart"/>
      <w:r w:rsidRPr="00BF28F4">
        <w:rPr>
          <w:rFonts w:ascii="Arial" w:hAnsi="Arial"/>
          <w:b/>
        </w:rPr>
        <w:t>characterisation</w:t>
      </w:r>
      <w:proofErr w:type="spellEnd"/>
      <w:r w:rsidRPr="00BF28F4">
        <w:rPr>
          <w:rFonts w:ascii="Arial" w:hAnsi="Arial"/>
          <w:b/>
        </w:rPr>
        <w:t xml:space="preserve"> of watermelon by-products has identified phenolic constituents in rind material, supporting further investigation of this </w:t>
      </w:r>
      <w:proofErr w:type="spellStart"/>
      <w:r w:rsidRPr="00BF28F4">
        <w:rPr>
          <w:rFonts w:ascii="Arial" w:hAnsi="Arial"/>
          <w:b/>
        </w:rPr>
        <w:t>underutilised</w:t>
      </w:r>
      <w:proofErr w:type="spellEnd"/>
      <w:r w:rsidRPr="00BF28F4">
        <w:rPr>
          <w:rFonts w:ascii="Arial" w:hAnsi="Arial"/>
          <w:b/>
        </w:rPr>
        <w:t xml:space="preserve"> fruit fraction (Acun et al., 2025).</w:t>
      </w:r>
    </w:p>
    <w:p w14:paraId="0D6E2CCA" w14:textId="77777777" w:rsidR="0051313C" w:rsidRPr="00BF28F4" w:rsidRDefault="0051313C" w:rsidP="00DB7D18">
      <w:pPr>
        <w:pStyle w:val="Body"/>
        <w:spacing w:after="0"/>
        <w:rPr>
          <w:rFonts w:ascii="Arial" w:hAnsi="Arial" w:cs="Arial"/>
          <w:bCs/>
          <w:color w:val="FF0000"/>
        </w:rPr>
      </w:pPr>
    </w:p>
    <w:p w14:paraId="56B9056B" w14:textId="77777777" w:rsidR="00DB7D18" w:rsidRPr="00BF28F4" w:rsidRDefault="00DB7D18" w:rsidP="00DB7D18">
      <w:pPr>
        <w:pStyle w:val="Body"/>
        <w:spacing w:after="0"/>
        <w:rPr>
          <w:rFonts w:ascii="Arial" w:hAnsi="Arial" w:cs="Arial"/>
          <w:bCs/>
        </w:rPr>
      </w:pPr>
      <w:r w:rsidRPr="00BF28F4">
        <w:rPr>
          <w:rFonts w:ascii="Arial" w:hAnsi="Arial" w:cs="Arial"/>
          <w:bCs/>
        </w:rPr>
        <w:t xml:space="preserve">Studies on </w:t>
      </w:r>
      <w:r w:rsidR="0051313C" w:rsidRPr="00BF28F4">
        <w:rPr>
          <w:rFonts w:ascii="Arial" w:hAnsi="Arial" w:cs="Arial"/>
          <w:bCs/>
          <w:i/>
          <w:iCs/>
        </w:rPr>
        <w:t>C.</w:t>
      </w:r>
      <w:r w:rsidRPr="00BF28F4">
        <w:rPr>
          <w:rFonts w:ascii="Arial" w:hAnsi="Arial" w:cs="Arial"/>
          <w:bCs/>
          <w:i/>
          <w:iCs/>
        </w:rPr>
        <w:t xml:space="preserve"> sativus</w:t>
      </w:r>
      <w:r w:rsidRPr="00BF28F4">
        <w:rPr>
          <w:rFonts w:ascii="Arial" w:hAnsi="Arial" w:cs="Arial"/>
          <w:bCs/>
        </w:rPr>
        <w:t xml:space="preserve"> rind have reported potential </w:t>
      </w:r>
      <w:proofErr w:type="spellStart"/>
      <w:r w:rsidRPr="00BF28F4">
        <w:rPr>
          <w:rFonts w:ascii="Arial" w:hAnsi="Arial" w:cs="Arial"/>
          <w:bCs/>
        </w:rPr>
        <w:t>antihyperglycaemic</w:t>
      </w:r>
      <w:proofErr w:type="spellEnd"/>
      <w:r w:rsidRPr="00BF28F4">
        <w:rPr>
          <w:rFonts w:ascii="Arial" w:hAnsi="Arial" w:cs="Arial"/>
          <w:bCs/>
        </w:rPr>
        <w:t xml:space="preserve"> and lipid-modulating activities</w:t>
      </w:r>
      <w:r w:rsidR="000474F0" w:rsidRPr="00BF28F4">
        <w:rPr>
          <w:rFonts w:ascii="Arial" w:hAnsi="Arial" w:cs="Arial"/>
          <w:bCs/>
        </w:rPr>
        <w:t xml:space="preserve"> (</w:t>
      </w:r>
      <w:r w:rsidR="000474F0" w:rsidRPr="00BF28F4">
        <w:rPr>
          <w:rFonts w:ascii="Arial" w:hAnsi="Arial" w:cs="Arial"/>
          <w:bCs/>
          <w:lang w:val="en-GB"/>
        </w:rPr>
        <w:t xml:space="preserve">Abbas </w:t>
      </w:r>
      <w:r w:rsidR="003E416C" w:rsidRPr="00BF28F4">
        <w:rPr>
          <w:rFonts w:ascii="Arial" w:hAnsi="Arial" w:cs="Arial"/>
          <w:bCs/>
          <w:i/>
          <w:iCs/>
          <w:lang w:val="en-GB"/>
        </w:rPr>
        <w:t>et al</w:t>
      </w:r>
      <w:r w:rsidR="000474F0" w:rsidRPr="00BF28F4">
        <w:rPr>
          <w:rFonts w:ascii="Arial" w:hAnsi="Arial" w:cs="Arial"/>
          <w:bCs/>
          <w:lang w:val="en-GB"/>
        </w:rPr>
        <w:t xml:space="preserve">., 2025; Dimeji </w:t>
      </w:r>
      <w:r w:rsidR="003E416C" w:rsidRPr="00BF28F4">
        <w:rPr>
          <w:rFonts w:ascii="Arial" w:hAnsi="Arial" w:cs="Arial"/>
          <w:bCs/>
          <w:i/>
          <w:iCs/>
          <w:lang w:val="en-GB"/>
        </w:rPr>
        <w:t>et al</w:t>
      </w:r>
      <w:r w:rsidR="000474F0" w:rsidRPr="00BF28F4">
        <w:rPr>
          <w:rFonts w:ascii="Arial" w:hAnsi="Arial" w:cs="Arial"/>
          <w:bCs/>
          <w:lang w:val="en-GB"/>
        </w:rPr>
        <w:t>., 2021)</w:t>
      </w:r>
      <w:r w:rsidRPr="00BF28F4">
        <w:rPr>
          <w:rFonts w:ascii="Arial" w:hAnsi="Arial" w:cs="Arial"/>
          <w:bCs/>
        </w:rPr>
        <w:t>. Extracts of the rind have been shown to contain phenolic and flavonoid compounds that may contribute to reductions in blood glucose through antioxidant activity and modulation of carbohydrate-</w:t>
      </w:r>
      <w:proofErr w:type="spellStart"/>
      <w:r w:rsidRPr="00BF28F4">
        <w:rPr>
          <w:rFonts w:ascii="Arial" w:hAnsi="Arial" w:cs="Arial"/>
          <w:bCs/>
        </w:rPr>
        <w:t>metabolising</w:t>
      </w:r>
      <w:proofErr w:type="spellEnd"/>
      <w:r w:rsidRPr="00BF28F4">
        <w:rPr>
          <w:rFonts w:ascii="Arial" w:hAnsi="Arial" w:cs="Arial"/>
          <w:bCs/>
        </w:rPr>
        <w:t xml:space="preserve"> pathways</w:t>
      </w:r>
      <w:r w:rsidR="000474F0" w:rsidRPr="00BF28F4">
        <w:rPr>
          <w:rFonts w:ascii="Arial" w:hAnsi="Arial" w:cs="Arial"/>
          <w:bCs/>
        </w:rPr>
        <w:t xml:space="preserve"> (</w:t>
      </w:r>
      <w:r w:rsidR="000474F0" w:rsidRPr="00BF28F4">
        <w:rPr>
          <w:rFonts w:ascii="Arial" w:hAnsi="Arial" w:cs="Arial"/>
          <w:bCs/>
          <w:lang w:val="en-GB"/>
        </w:rPr>
        <w:t xml:space="preserve">Tasleem </w:t>
      </w:r>
      <w:r w:rsidR="003E416C" w:rsidRPr="00BF28F4">
        <w:rPr>
          <w:rFonts w:ascii="Arial" w:hAnsi="Arial" w:cs="Arial"/>
          <w:bCs/>
          <w:i/>
          <w:iCs/>
          <w:lang w:val="en-GB"/>
        </w:rPr>
        <w:t>et al</w:t>
      </w:r>
      <w:r w:rsidR="000474F0" w:rsidRPr="00BF28F4">
        <w:rPr>
          <w:rFonts w:ascii="Arial" w:hAnsi="Arial" w:cs="Arial"/>
          <w:bCs/>
          <w:lang w:val="en-GB"/>
        </w:rPr>
        <w:t>., 2026)</w:t>
      </w:r>
      <w:r w:rsidRPr="00BF28F4">
        <w:rPr>
          <w:rFonts w:ascii="Arial" w:hAnsi="Arial" w:cs="Arial"/>
          <w:bCs/>
        </w:rPr>
        <w:t xml:space="preserve">. Experimental evidence also suggests that cucumber-derived preparations may improve lipid abnormalities by reducing circulating cholesterol and triglycerides while </w:t>
      </w:r>
      <w:proofErr w:type="spellStart"/>
      <w:r w:rsidRPr="00BF28F4">
        <w:rPr>
          <w:rFonts w:ascii="Arial" w:hAnsi="Arial" w:cs="Arial"/>
          <w:bCs/>
        </w:rPr>
        <w:t>favourably</w:t>
      </w:r>
      <w:proofErr w:type="spellEnd"/>
      <w:r w:rsidRPr="00BF28F4">
        <w:rPr>
          <w:rFonts w:ascii="Arial" w:hAnsi="Arial" w:cs="Arial"/>
          <w:bCs/>
        </w:rPr>
        <w:t xml:space="preserve"> influencing lipoprotein metabolism</w:t>
      </w:r>
      <w:r w:rsidR="00F01D10" w:rsidRPr="00BF28F4">
        <w:rPr>
          <w:rFonts w:ascii="Arial" w:hAnsi="Arial" w:cs="Arial"/>
          <w:bCs/>
        </w:rPr>
        <w:t xml:space="preserve"> (</w:t>
      </w:r>
      <w:r w:rsidR="00F01D10" w:rsidRPr="00BF28F4">
        <w:rPr>
          <w:rFonts w:ascii="Arial" w:hAnsi="Arial" w:cs="Arial"/>
          <w:bCs/>
          <w:lang w:val="en-GB"/>
        </w:rPr>
        <w:t xml:space="preserve">Dimeji </w:t>
      </w:r>
      <w:r w:rsidR="00F01D10" w:rsidRPr="00BF28F4">
        <w:rPr>
          <w:rFonts w:ascii="Arial" w:hAnsi="Arial" w:cs="Arial"/>
          <w:bCs/>
          <w:i/>
          <w:iCs/>
          <w:lang w:val="en-GB"/>
        </w:rPr>
        <w:t>et al</w:t>
      </w:r>
      <w:r w:rsidR="00F01D10" w:rsidRPr="00BF28F4">
        <w:rPr>
          <w:rFonts w:ascii="Arial" w:hAnsi="Arial" w:cs="Arial"/>
          <w:bCs/>
          <w:lang w:val="en-GB"/>
        </w:rPr>
        <w:t xml:space="preserve">., 2021; </w:t>
      </w:r>
      <w:r w:rsidR="00F01D10" w:rsidRPr="00BF28F4">
        <w:rPr>
          <w:rFonts w:ascii="Arial" w:hAnsi="Arial" w:cs="Arial"/>
          <w:bCs/>
        </w:rPr>
        <w:t xml:space="preserve">Ilyas </w:t>
      </w:r>
      <w:r w:rsidR="00F01D10" w:rsidRPr="00BF28F4">
        <w:rPr>
          <w:rFonts w:ascii="Arial" w:hAnsi="Arial" w:cs="Arial"/>
          <w:bCs/>
          <w:i/>
          <w:iCs/>
        </w:rPr>
        <w:t>et al</w:t>
      </w:r>
      <w:r w:rsidR="00F01D10" w:rsidRPr="00BF28F4">
        <w:rPr>
          <w:rFonts w:ascii="Arial" w:hAnsi="Arial" w:cs="Arial"/>
          <w:bCs/>
        </w:rPr>
        <w:t>., 2025</w:t>
      </w:r>
      <w:r w:rsidR="00F01D10" w:rsidRPr="00BF28F4">
        <w:rPr>
          <w:rFonts w:ascii="Arial" w:hAnsi="Arial" w:cs="Arial"/>
          <w:bCs/>
          <w:lang w:val="en-GB"/>
        </w:rPr>
        <w:t>)</w:t>
      </w:r>
      <w:r w:rsidRPr="00BF28F4">
        <w:rPr>
          <w:rFonts w:ascii="Arial" w:hAnsi="Arial" w:cs="Arial"/>
          <w:bCs/>
        </w:rPr>
        <w:t>.</w:t>
      </w:r>
      <w:r w:rsidR="00C12B8F" w:rsidRPr="00BF28F4">
        <w:rPr>
          <w:rFonts w:ascii="Arial" w:hAnsi="Arial" w:cs="Arial"/>
          <w:bCs/>
        </w:rPr>
        <w:t xml:space="preserve"> </w:t>
      </w:r>
      <w:r w:rsidRPr="00BF28F4">
        <w:rPr>
          <w:rFonts w:ascii="Arial" w:hAnsi="Arial" w:cs="Arial"/>
          <w:bCs/>
        </w:rPr>
        <w:t>These findings indicate that the rind, rather than being merely a waste material, may contain bioactive constituents with potential value in diabetes management</w:t>
      </w:r>
      <w:r w:rsidR="00C12B8F" w:rsidRPr="00BF28F4">
        <w:rPr>
          <w:rFonts w:ascii="Arial" w:hAnsi="Arial" w:cs="Arial"/>
          <w:bCs/>
        </w:rPr>
        <w:t xml:space="preserve"> (Kaur </w:t>
      </w:r>
      <w:r w:rsidR="00C12B8F" w:rsidRPr="00BF28F4">
        <w:rPr>
          <w:rFonts w:ascii="Arial" w:hAnsi="Arial" w:cs="Arial"/>
          <w:bCs/>
          <w:i/>
          <w:iCs/>
        </w:rPr>
        <w:t>et al</w:t>
      </w:r>
      <w:r w:rsidR="00C12B8F" w:rsidRPr="00BF28F4">
        <w:rPr>
          <w:rFonts w:ascii="Arial" w:hAnsi="Arial" w:cs="Arial"/>
          <w:bCs/>
        </w:rPr>
        <w:t>., 2026</w:t>
      </w:r>
      <w:r w:rsidR="00F01D10" w:rsidRPr="00BF28F4">
        <w:rPr>
          <w:rFonts w:ascii="Arial" w:hAnsi="Arial" w:cs="Arial"/>
          <w:bCs/>
        </w:rPr>
        <w:t xml:space="preserve">; Khalid </w:t>
      </w:r>
      <w:r w:rsidR="00F01D10" w:rsidRPr="00BF28F4">
        <w:rPr>
          <w:rFonts w:ascii="Arial" w:hAnsi="Arial" w:cs="Arial"/>
          <w:bCs/>
          <w:i/>
          <w:iCs/>
        </w:rPr>
        <w:t>et al</w:t>
      </w:r>
      <w:r w:rsidR="00F01D10" w:rsidRPr="00BF28F4">
        <w:rPr>
          <w:rFonts w:ascii="Arial" w:hAnsi="Arial" w:cs="Arial"/>
          <w:bCs/>
        </w:rPr>
        <w:t>., 2026</w:t>
      </w:r>
      <w:r w:rsidR="00C12B8F" w:rsidRPr="00BF28F4">
        <w:rPr>
          <w:rFonts w:ascii="Arial" w:hAnsi="Arial" w:cs="Arial"/>
          <w:bCs/>
        </w:rPr>
        <w:t>)</w:t>
      </w:r>
      <w:r w:rsidRPr="00BF28F4">
        <w:rPr>
          <w:rFonts w:ascii="Arial" w:hAnsi="Arial" w:cs="Arial"/>
          <w:bCs/>
        </w:rPr>
        <w:t>.</w:t>
      </w:r>
      <w:r w:rsidRPr="00BF28F4">
        <w:rPr>
          <w:rFonts w:ascii="Arial" w:hAnsi="Arial"/>
          <w:b/>
        </w:rPr>
        <w:t xml:space="preserve"> An experiment involving alloxan-induced diabetic rats also reported lower blood glucose following administration of cucumber juice, although those findings cannot be assumed to apply directly to rind extracts (</w:t>
      </w:r>
      <w:proofErr w:type="spellStart"/>
      <w:r w:rsidRPr="00BF28F4">
        <w:rPr>
          <w:rFonts w:ascii="Arial" w:hAnsi="Arial"/>
          <w:b/>
        </w:rPr>
        <w:t>Odoemelam</w:t>
      </w:r>
      <w:proofErr w:type="spellEnd"/>
      <w:r w:rsidRPr="00BF28F4">
        <w:rPr>
          <w:rFonts w:ascii="Arial" w:hAnsi="Arial"/>
          <w:b/>
        </w:rPr>
        <w:t xml:space="preserve"> et al., 2022).</w:t>
      </w:r>
    </w:p>
    <w:p w14:paraId="1311B104" w14:textId="77777777" w:rsidR="0051313C" w:rsidRPr="00BF28F4" w:rsidRDefault="0051313C" w:rsidP="00DB7D18">
      <w:pPr>
        <w:pStyle w:val="Body"/>
        <w:spacing w:after="0"/>
        <w:rPr>
          <w:rFonts w:ascii="Arial" w:hAnsi="Arial" w:cs="Arial"/>
          <w:bCs/>
          <w:color w:val="FF0000"/>
        </w:rPr>
      </w:pPr>
    </w:p>
    <w:p w14:paraId="28C0A372" w14:textId="77777777" w:rsidR="00DB7D18" w:rsidRPr="00BF28F4" w:rsidRDefault="00DB7D18" w:rsidP="00DB7D18">
      <w:pPr>
        <w:pStyle w:val="Body"/>
        <w:spacing w:after="0"/>
        <w:rPr>
          <w:rFonts w:ascii="Arial" w:hAnsi="Arial" w:cs="Arial"/>
          <w:bCs/>
        </w:rPr>
      </w:pPr>
      <w:r w:rsidRPr="00BF28F4">
        <w:rPr>
          <w:rFonts w:ascii="Arial" w:hAnsi="Arial" w:cs="Arial"/>
          <w:bCs/>
          <w:i/>
          <w:iCs/>
        </w:rPr>
        <w:t>Citrullus lanatus</w:t>
      </w:r>
      <w:r w:rsidRPr="00BF28F4">
        <w:rPr>
          <w:rFonts w:ascii="Arial" w:hAnsi="Arial" w:cs="Arial"/>
          <w:bCs/>
        </w:rPr>
        <w:t xml:space="preserve"> rind has likewise been investigated for its potential metabolic benefits. Studies have described reductions in blood glucose following administration of watermelon-derived preparations in diabetic animal models</w:t>
      </w:r>
      <w:r w:rsidR="00E5279D" w:rsidRPr="00BF28F4">
        <w:rPr>
          <w:rFonts w:ascii="Arial" w:hAnsi="Arial" w:cs="Arial"/>
          <w:bCs/>
        </w:rPr>
        <w:t xml:space="preserve"> (Adewumi </w:t>
      </w:r>
      <w:r w:rsidR="00E5279D" w:rsidRPr="00BF28F4">
        <w:rPr>
          <w:rFonts w:ascii="Arial" w:hAnsi="Arial" w:cs="Arial"/>
          <w:bCs/>
          <w:i/>
          <w:iCs/>
        </w:rPr>
        <w:t>et al</w:t>
      </w:r>
      <w:r w:rsidR="00E5279D" w:rsidRPr="00BF28F4">
        <w:rPr>
          <w:rFonts w:ascii="Arial" w:hAnsi="Arial" w:cs="Arial"/>
          <w:bCs/>
        </w:rPr>
        <w:t xml:space="preserve">., 2023; Mehreen </w:t>
      </w:r>
      <w:r w:rsidR="00E5279D" w:rsidRPr="00BF28F4">
        <w:rPr>
          <w:rFonts w:ascii="Arial" w:hAnsi="Arial" w:cs="Arial"/>
          <w:bCs/>
          <w:i/>
          <w:iCs/>
        </w:rPr>
        <w:t>et al</w:t>
      </w:r>
      <w:r w:rsidR="00E5279D" w:rsidRPr="00BF28F4">
        <w:rPr>
          <w:rFonts w:ascii="Arial" w:hAnsi="Arial" w:cs="Arial"/>
          <w:bCs/>
        </w:rPr>
        <w:t>., 2024)</w:t>
      </w:r>
      <w:r w:rsidRPr="00BF28F4">
        <w:rPr>
          <w:rFonts w:ascii="Arial" w:hAnsi="Arial" w:cs="Arial"/>
          <w:bCs/>
        </w:rPr>
        <w:t xml:space="preserve">. The </w:t>
      </w:r>
      <w:proofErr w:type="spellStart"/>
      <w:r w:rsidRPr="00BF28F4">
        <w:rPr>
          <w:rFonts w:ascii="Arial" w:hAnsi="Arial" w:cs="Arial"/>
          <w:bCs/>
        </w:rPr>
        <w:t>hypoglycaemic</w:t>
      </w:r>
      <w:proofErr w:type="spellEnd"/>
      <w:r w:rsidRPr="00BF28F4">
        <w:rPr>
          <w:rFonts w:ascii="Arial" w:hAnsi="Arial" w:cs="Arial"/>
          <w:bCs/>
        </w:rPr>
        <w:t xml:space="preserve"> activity has been associated with the presence of phenolic compounds, flavonoids, and other antioxidant constituents that may help attenuate oxidative stress and improve glucose </w:t>
      </w:r>
      <w:proofErr w:type="spellStart"/>
      <w:r w:rsidR="00E5279D" w:rsidRPr="00BF28F4">
        <w:rPr>
          <w:rFonts w:ascii="Arial" w:hAnsi="Arial" w:cs="Arial"/>
          <w:bCs/>
        </w:rPr>
        <w:t>utilisation</w:t>
      </w:r>
      <w:proofErr w:type="spellEnd"/>
      <w:r w:rsidR="00E5279D" w:rsidRPr="00BF28F4">
        <w:rPr>
          <w:rFonts w:ascii="Arial" w:hAnsi="Arial" w:cs="Arial"/>
          <w:bCs/>
        </w:rPr>
        <w:t xml:space="preserve"> (</w:t>
      </w:r>
      <w:proofErr w:type="spellStart"/>
      <w:r w:rsidR="00E5279D" w:rsidRPr="00BF28F4">
        <w:rPr>
          <w:rFonts w:ascii="Arial" w:hAnsi="Arial" w:cs="Arial"/>
          <w:bCs/>
        </w:rPr>
        <w:t>Rezq</w:t>
      </w:r>
      <w:proofErr w:type="spellEnd"/>
      <w:r w:rsidR="00E5279D" w:rsidRPr="00BF28F4">
        <w:rPr>
          <w:rFonts w:ascii="Arial" w:hAnsi="Arial" w:cs="Arial"/>
          <w:bCs/>
        </w:rPr>
        <w:t xml:space="preserve">, 2017; Ajiboye </w:t>
      </w:r>
      <w:r w:rsidR="00E5279D" w:rsidRPr="00BF28F4">
        <w:rPr>
          <w:rFonts w:ascii="Arial" w:hAnsi="Arial" w:cs="Arial"/>
          <w:bCs/>
          <w:i/>
          <w:iCs/>
        </w:rPr>
        <w:t>et al</w:t>
      </w:r>
      <w:r w:rsidR="00E5279D" w:rsidRPr="00BF28F4">
        <w:rPr>
          <w:rFonts w:ascii="Arial" w:hAnsi="Arial" w:cs="Arial"/>
          <w:bCs/>
        </w:rPr>
        <w:t>., 2020)</w:t>
      </w:r>
      <w:r w:rsidRPr="00BF28F4">
        <w:rPr>
          <w:rFonts w:ascii="Arial" w:hAnsi="Arial" w:cs="Arial"/>
          <w:bCs/>
        </w:rPr>
        <w:t xml:space="preserve">. Watermelon rind extracts have also shown potential </w:t>
      </w:r>
      <w:proofErr w:type="spellStart"/>
      <w:r w:rsidRPr="00BF28F4">
        <w:rPr>
          <w:rFonts w:ascii="Arial" w:hAnsi="Arial" w:cs="Arial"/>
          <w:bCs/>
        </w:rPr>
        <w:t>hypolipidaemic</w:t>
      </w:r>
      <w:proofErr w:type="spellEnd"/>
      <w:r w:rsidRPr="00BF28F4">
        <w:rPr>
          <w:rFonts w:ascii="Arial" w:hAnsi="Arial" w:cs="Arial"/>
          <w:bCs/>
        </w:rPr>
        <w:t xml:space="preserve"> effects, including reductions in serum total cholesterol and triglycerides and improvement of lipid-related parameters</w:t>
      </w:r>
      <w:r w:rsidR="0062163A" w:rsidRPr="00BF28F4">
        <w:rPr>
          <w:rFonts w:ascii="Arial" w:hAnsi="Arial" w:cs="Arial"/>
          <w:bCs/>
        </w:rPr>
        <w:t xml:space="preserve"> (Abu-</w:t>
      </w:r>
      <w:proofErr w:type="spellStart"/>
      <w:r w:rsidR="0062163A" w:rsidRPr="00BF28F4">
        <w:rPr>
          <w:rFonts w:ascii="Arial" w:hAnsi="Arial" w:cs="Arial"/>
          <w:bCs/>
        </w:rPr>
        <w:t>Hiamed</w:t>
      </w:r>
      <w:proofErr w:type="spellEnd"/>
      <w:r w:rsidR="0062163A" w:rsidRPr="00BF28F4">
        <w:rPr>
          <w:rFonts w:ascii="Arial" w:hAnsi="Arial" w:cs="Arial"/>
          <w:bCs/>
        </w:rPr>
        <w:t>, 2018)</w:t>
      </w:r>
      <w:r w:rsidRPr="00BF28F4">
        <w:rPr>
          <w:rFonts w:ascii="Arial" w:hAnsi="Arial" w:cs="Arial"/>
          <w:bCs/>
        </w:rPr>
        <w:t>. However, the available evidence remains less extensive than that for conventional antidiabetic plant preparations.</w:t>
      </w:r>
      <w:r w:rsidRPr="00BF28F4">
        <w:rPr>
          <w:rFonts w:ascii="Arial" w:hAnsi="Arial"/>
          <w:b/>
        </w:rPr>
        <w:t xml:space="preserve"> In a separate model of doxorubicin-induced cardiotoxicity, a polyphenol-rich </w:t>
      </w:r>
      <w:r w:rsidRPr="00BF28F4">
        <w:rPr>
          <w:rFonts w:ascii="Arial" w:hAnsi="Arial"/>
          <w:b/>
          <w:i/>
        </w:rPr>
        <w:t>Citrullus lanatus</w:t>
      </w:r>
      <w:r w:rsidRPr="00BF28F4">
        <w:rPr>
          <w:rFonts w:ascii="Arial" w:hAnsi="Arial"/>
          <w:b/>
        </w:rPr>
        <w:t xml:space="preserve"> rind extract was associated with improvements in antioxidant and serum lipid parameters, although this does not establish antidiabetic efficacy (</w:t>
      </w:r>
      <w:proofErr w:type="spellStart"/>
      <w:r w:rsidRPr="00BF28F4">
        <w:rPr>
          <w:rFonts w:ascii="Arial" w:hAnsi="Arial"/>
          <w:b/>
        </w:rPr>
        <w:t>Alsuwayt</w:t>
      </w:r>
      <w:proofErr w:type="spellEnd"/>
      <w:r w:rsidRPr="00BF28F4">
        <w:rPr>
          <w:rFonts w:ascii="Arial" w:hAnsi="Arial"/>
          <w:b/>
        </w:rPr>
        <w:t>, 2025). A recent review also described the potential metabolic relevance of bioactive compounds in watermelon by-products, while identifying a continuing need for further investigation (Zafar et al., 2026).</w:t>
      </w:r>
    </w:p>
    <w:p w14:paraId="014B20B6" w14:textId="77777777" w:rsidR="0051313C" w:rsidRPr="00BF28F4" w:rsidRDefault="0051313C" w:rsidP="00DB7D18">
      <w:pPr>
        <w:pStyle w:val="Body"/>
        <w:spacing w:after="0"/>
        <w:rPr>
          <w:rFonts w:ascii="Arial" w:hAnsi="Arial" w:cs="Arial"/>
          <w:bCs/>
          <w:color w:val="FF0000"/>
        </w:rPr>
      </w:pPr>
    </w:p>
    <w:p w14:paraId="3A32A6DB" w14:textId="77777777" w:rsidR="00DB7D18" w:rsidRPr="00BF28F4" w:rsidRDefault="00DB7D18" w:rsidP="00DB7D18">
      <w:pPr>
        <w:pStyle w:val="Body"/>
        <w:spacing w:after="0"/>
        <w:rPr>
          <w:rFonts w:ascii="Arial" w:hAnsi="Arial" w:cs="Arial"/>
          <w:bCs/>
        </w:rPr>
      </w:pPr>
      <w:r w:rsidRPr="00BF28F4">
        <w:rPr>
          <w:rFonts w:ascii="Arial" w:hAnsi="Arial" w:cs="Arial"/>
          <w:bCs/>
        </w:rPr>
        <w:t xml:space="preserve">Diabetes-associated </w:t>
      </w:r>
      <w:proofErr w:type="spellStart"/>
      <w:r w:rsidRPr="00BF28F4">
        <w:rPr>
          <w:rFonts w:ascii="Arial" w:hAnsi="Arial" w:cs="Arial"/>
          <w:bCs/>
        </w:rPr>
        <w:t>hyperglycaemia</w:t>
      </w:r>
      <w:proofErr w:type="spellEnd"/>
      <w:r w:rsidRPr="00BF28F4">
        <w:rPr>
          <w:rFonts w:ascii="Arial" w:hAnsi="Arial" w:cs="Arial"/>
          <w:bCs/>
        </w:rPr>
        <w:t xml:space="preserve"> and </w:t>
      </w:r>
      <w:proofErr w:type="spellStart"/>
      <w:r w:rsidRPr="00BF28F4">
        <w:rPr>
          <w:rFonts w:ascii="Arial" w:hAnsi="Arial" w:cs="Arial"/>
          <w:bCs/>
        </w:rPr>
        <w:t>dyslipidaemia</w:t>
      </w:r>
      <w:proofErr w:type="spellEnd"/>
      <w:r w:rsidRPr="00BF28F4">
        <w:rPr>
          <w:rFonts w:ascii="Arial" w:hAnsi="Arial" w:cs="Arial"/>
          <w:bCs/>
        </w:rPr>
        <w:t xml:space="preserve"> remain important therapeutic challenges</w:t>
      </w:r>
      <w:r w:rsidR="00AD5419" w:rsidRPr="00BF28F4">
        <w:rPr>
          <w:rFonts w:ascii="Arial" w:hAnsi="Arial" w:cs="Arial"/>
          <w:bCs/>
        </w:rPr>
        <w:t xml:space="preserve"> (</w:t>
      </w:r>
      <w:r w:rsidR="00AD5419" w:rsidRPr="00BF28F4">
        <w:rPr>
          <w:rFonts w:ascii="Arial" w:hAnsi="Arial" w:cs="Arial"/>
        </w:rPr>
        <w:t xml:space="preserve">Zhao </w:t>
      </w:r>
      <w:r w:rsidR="00AD5419" w:rsidRPr="00BF28F4">
        <w:rPr>
          <w:rFonts w:ascii="Arial" w:hAnsi="Arial" w:cs="Arial"/>
          <w:i/>
          <w:iCs/>
        </w:rPr>
        <w:t>et al</w:t>
      </w:r>
      <w:r w:rsidR="00AD5419" w:rsidRPr="00BF28F4">
        <w:rPr>
          <w:rFonts w:ascii="Arial" w:hAnsi="Arial" w:cs="Arial"/>
        </w:rPr>
        <w:t>., 2026)</w:t>
      </w:r>
      <w:r w:rsidRPr="00BF28F4">
        <w:rPr>
          <w:rFonts w:ascii="Arial" w:hAnsi="Arial" w:cs="Arial"/>
          <w:bCs/>
        </w:rPr>
        <w:t xml:space="preserve">. Although preliminary studies indicate that </w:t>
      </w:r>
      <w:r w:rsidRPr="00BF28F4">
        <w:rPr>
          <w:rFonts w:ascii="Arial" w:hAnsi="Arial" w:cs="Arial"/>
          <w:bCs/>
          <w:i/>
          <w:iCs/>
        </w:rPr>
        <w:t>C. sativus</w:t>
      </w:r>
      <w:r w:rsidRPr="00BF28F4">
        <w:rPr>
          <w:rFonts w:ascii="Arial" w:hAnsi="Arial" w:cs="Arial"/>
          <w:bCs/>
        </w:rPr>
        <w:t xml:space="preserve"> and </w:t>
      </w:r>
      <w:r w:rsidRPr="00BF28F4">
        <w:rPr>
          <w:rFonts w:ascii="Arial" w:hAnsi="Arial" w:cs="Arial"/>
          <w:bCs/>
          <w:i/>
          <w:iCs/>
        </w:rPr>
        <w:t>C. lanatus</w:t>
      </w:r>
      <w:r w:rsidRPr="00BF28F4">
        <w:rPr>
          <w:rFonts w:ascii="Arial" w:hAnsi="Arial" w:cs="Arial"/>
          <w:bCs/>
        </w:rPr>
        <w:t xml:space="preserve"> rinds may possess </w:t>
      </w:r>
      <w:proofErr w:type="spellStart"/>
      <w:r w:rsidRPr="00BF28F4">
        <w:rPr>
          <w:rFonts w:ascii="Arial" w:hAnsi="Arial" w:cs="Arial"/>
          <w:bCs/>
        </w:rPr>
        <w:t>hypoglycaemic</w:t>
      </w:r>
      <w:proofErr w:type="spellEnd"/>
      <w:r w:rsidRPr="00BF28F4">
        <w:rPr>
          <w:rFonts w:ascii="Arial" w:hAnsi="Arial" w:cs="Arial"/>
          <w:bCs/>
        </w:rPr>
        <w:t xml:space="preserve"> and </w:t>
      </w:r>
      <w:proofErr w:type="spellStart"/>
      <w:r w:rsidRPr="00BF28F4">
        <w:rPr>
          <w:rFonts w:ascii="Arial" w:hAnsi="Arial" w:cs="Arial"/>
          <w:bCs/>
        </w:rPr>
        <w:t>hypolipidaemic</w:t>
      </w:r>
      <w:proofErr w:type="spellEnd"/>
      <w:r w:rsidRPr="00BF28F4">
        <w:rPr>
          <w:rFonts w:ascii="Arial" w:hAnsi="Arial" w:cs="Arial"/>
          <w:bCs/>
        </w:rPr>
        <w:t xml:space="preserve"> properties, comparative evidence regarding their effectiveness is limited. In addition, the potential advantage of combining the two rind extracts has not been adequately established. This highlights the need for controlled experimental studies comparing their individual and combined effects in diabetic models. Accordingly, this study aims to compare the </w:t>
      </w:r>
      <w:proofErr w:type="spellStart"/>
      <w:r w:rsidRPr="00BF28F4">
        <w:rPr>
          <w:rFonts w:ascii="Arial" w:hAnsi="Arial" w:cs="Arial"/>
          <w:bCs/>
        </w:rPr>
        <w:t>hypoglycaemic</w:t>
      </w:r>
      <w:proofErr w:type="spellEnd"/>
      <w:r w:rsidRPr="00BF28F4">
        <w:rPr>
          <w:rFonts w:ascii="Arial" w:hAnsi="Arial" w:cs="Arial"/>
          <w:bCs/>
        </w:rPr>
        <w:t xml:space="preserve"> and </w:t>
      </w:r>
      <w:proofErr w:type="spellStart"/>
      <w:r w:rsidRPr="00BF28F4">
        <w:rPr>
          <w:rFonts w:ascii="Arial" w:hAnsi="Arial" w:cs="Arial"/>
          <w:bCs/>
        </w:rPr>
        <w:t>hypolipidaemic</w:t>
      </w:r>
      <w:proofErr w:type="spellEnd"/>
      <w:r w:rsidRPr="00BF28F4">
        <w:rPr>
          <w:rFonts w:ascii="Arial" w:hAnsi="Arial" w:cs="Arial"/>
          <w:bCs/>
        </w:rPr>
        <w:t xml:space="preserve"> effects of methanolic rind extracts of </w:t>
      </w:r>
      <w:r w:rsidRPr="00BF28F4">
        <w:rPr>
          <w:rFonts w:ascii="Arial" w:hAnsi="Arial" w:cs="Arial"/>
          <w:bCs/>
          <w:i/>
          <w:iCs/>
        </w:rPr>
        <w:t>C. sativus</w:t>
      </w:r>
      <w:r w:rsidRPr="00BF28F4">
        <w:rPr>
          <w:rFonts w:ascii="Arial" w:hAnsi="Arial" w:cs="Arial"/>
          <w:bCs/>
        </w:rPr>
        <w:t xml:space="preserve"> and </w:t>
      </w:r>
      <w:r w:rsidRPr="00BF28F4">
        <w:rPr>
          <w:rFonts w:ascii="Arial" w:hAnsi="Arial" w:cs="Arial"/>
          <w:bCs/>
          <w:i/>
          <w:iCs/>
        </w:rPr>
        <w:t>C. lanatus</w:t>
      </w:r>
      <w:r w:rsidRPr="00BF28F4">
        <w:rPr>
          <w:rFonts w:ascii="Arial" w:hAnsi="Arial" w:cs="Arial"/>
          <w:bCs/>
        </w:rPr>
        <w:t>, administered individually and in combination, in alloxan-induced diabetic Wistar rats.</w:t>
      </w:r>
    </w:p>
    <w:p w14:paraId="4437F700" w14:textId="77777777" w:rsidR="00B01FCD" w:rsidRPr="00BF28F4" w:rsidRDefault="00B01FCD" w:rsidP="00441B6F">
      <w:pPr>
        <w:pStyle w:val="Body"/>
        <w:spacing w:after="0"/>
        <w:rPr>
          <w:rFonts w:ascii="Arial" w:hAnsi="Arial" w:cs="Arial"/>
          <w:color w:val="FF0000"/>
        </w:rPr>
      </w:pPr>
    </w:p>
    <w:p w14:paraId="320B9F55" w14:textId="77777777" w:rsidR="00790ADA" w:rsidRPr="00BF28F4" w:rsidRDefault="00790ADA" w:rsidP="00441B6F">
      <w:pPr>
        <w:pStyle w:val="Body"/>
        <w:spacing w:after="0"/>
        <w:rPr>
          <w:rFonts w:ascii="Arial" w:hAnsi="Arial" w:cs="Arial"/>
        </w:rPr>
      </w:pPr>
    </w:p>
    <w:p w14:paraId="02EC3BAD" w14:textId="77777777" w:rsidR="00790ADA" w:rsidRPr="00BF28F4" w:rsidRDefault="00902823" w:rsidP="00441B6F">
      <w:pPr>
        <w:pStyle w:val="AbstHead"/>
        <w:spacing w:after="0"/>
        <w:jc w:val="both"/>
        <w:rPr>
          <w:rFonts w:ascii="Arial" w:hAnsi="Arial" w:cs="Arial"/>
        </w:rPr>
      </w:pPr>
      <w:r w:rsidRPr="00BF28F4">
        <w:rPr>
          <w:rFonts w:ascii="Arial" w:hAnsi="Arial" w:cs="Arial"/>
        </w:rPr>
        <w:t xml:space="preserve">2. </w:t>
      </w:r>
      <w:r w:rsidR="00DB7D18" w:rsidRPr="00BF28F4">
        <w:rPr>
          <w:rFonts w:ascii="Arial" w:hAnsi="Arial" w:cs="Arial"/>
        </w:rPr>
        <w:t>Materials</w:t>
      </w:r>
      <w:r w:rsidRPr="00BF28F4">
        <w:rPr>
          <w:rFonts w:ascii="Arial" w:hAnsi="Arial" w:cs="Arial"/>
        </w:rPr>
        <w:t xml:space="preserve"> and method</w:t>
      </w:r>
      <w:r w:rsidR="00000F8F" w:rsidRPr="00BF28F4">
        <w:rPr>
          <w:rFonts w:ascii="Arial" w:hAnsi="Arial" w:cs="Arial"/>
        </w:rPr>
        <w:t xml:space="preserve">s </w:t>
      </w:r>
    </w:p>
    <w:p w14:paraId="3BBA0D60" w14:textId="77777777" w:rsidR="00DB7D18" w:rsidRPr="00BF28F4" w:rsidRDefault="00DB7D18" w:rsidP="00441B6F">
      <w:pPr>
        <w:pStyle w:val="AbstHead"/>
        <w:spacing w:after="0"/>
        <w:jc w:val="both"/>
        <w:rPr>
          <w:rFonts w:ascii="Arial" w:hAnsi="Arial" w:cs="Arial"/>
        </w:rPr>
      </w:pPr>
    </w:p>
    <w:p w14:paraId="6B9FF830" w14:textId="77777777" w:rsidR="00DB7D18" w:rsidRPr="00BF28F4" w:rsidRDefault="00DB7D18" w:rsidP="00DB7D18">
      <w:pPr>
        <w:pStyle w:val="Body"/>
        <w:rPr>
          <w:rFonts w:ascii="Arial" w:hAnsi="Arial" w:cs="Arial"/>
          <w:b/>
          <w:bCs/>
          <w:sz w:val="22"/>
          <w:szCs w:val="22"/>
        </w:rPr>
      </w:pPr>
      <w:r w:rsidRPr="00BF28F4">
        <w:rPr>
          <w:rFonts w:ascii="Arial" w:hAnsi="Arial" w:cs="Arial"/>
          <w:b/>
          <w:bCs/>
          <w:sz w:val="22"/>
          <w:szCs w:val="22"/>
        </w:rPr>
        <w:t>2.1 Sample Collection and Identification</w:t>
      </w:r>
    </w:p>
    <w:p w14:paraId="730131E2" w14:textId="77777777" w:rsidR="00DB7D18" w:rsidRPr="00BF28F4" w:rsidRDefault="00DB7D18" w:rsidP="00DB7D18">
      <w:pPr>
        <w:pStyle w:val="Body"/>
        <w:rPr>
          <w:rFonts w:ascii="Arial" w:hAnsi="Arial" w:cs="Arial"/>
          <w:bCs/>
        </w:rPr>
      </w:pPr>
      <w:r w:rsidRPr="00BF28F4">
        <w:rPr>
          <w:rFonts w:ascii="Arial" w:hAnsi="Arial" w:cs="Arial"/>
          <w:bCs/>
        </w:rPr>
        <w:t xml:space="preserve">Fresh </w:t>
      </w:r>
      <w:r w:rsidRPr="00BF28F4">
        <w:rPr>
          <w:rFonts w:ascii="Arial" w:hAnsi="Arial" w:cs="Arial"/>
          <w:bCs/>
          <w:i/>
          <w:iCs/>
        </w:rPr>
        <w:t>Cucumis sativus</w:t>
      </w:r>
      <w:r w:rsidRPr="00BF28F4">
        <w:rPr>
          <w:rFonts w:ascii="Arial" w:hAnsi="Arial" w:cs="Arial"/>
          <w:bCs/>
        </w:rPr>
        <w:t xml:space="preserve"> and </w:t>
      </w:r>
      <w:r w:rsidRPr="00BF28F4">
        <w:rPr>
          <w:rFonts w:ascii="Arial" w:hAnsi="Arial" w:cs="Arial"/>
          <w:bCs/>
          <w:i/>
          <w:iCs/>
        </w:rPr>
        <w:t>Citrullus lanatus</w:t>
      </w:r>
      <w:r w:rsidRPr="00BF28F4">
        <w:rPr>
          <w:rFonts w:ascii="Arial" w:hAnsi="Arial" w:cs="Arial"/>
          <w:bCs/>
        </w:rPr>
        <w:t xml:space="preserve"> fruits were purchased from Oil-Mill Market, Port Harcourt, Nigeria. The plants were authenticated by Professor Bio Louis Nyananyo, Department of Plant Science and Biotechnology, University of Port Harcourt. Voucher specimens were deposited in the departmental herbarium as UPH/V/1322 (</w:t>
      </w:r>
      <w:r w:rsidRPr="00BF28F4">
        <w:rPr>
          <w:rFonts w:ascii="Arial" w:hAnsi="Arial" w:cs="Arial"/>
          <w:bCs/>
          <w:i/>
          <w:iCs/>
        </w:rPr>
        <w:t>C. sativus</w:t>
      </w:r>
      <w:r w:rsidRPr="00BF28F4">
        <w:rPr>
          <w:rFonts w:ascii="Arial" w:hAnsi="Arial" w:cs="Arial"/>
          <w:bCs/>
        </w:rPr>
        <w:t>) and UPH/V/1323 (</w:t>
      </w:r>
      <w:r w:rsidRPr="00BF28F4">
        <w:rPr>
          <w:rFonts w:ascii="Arial" w:hAnsi="Arial" w:cs="Arial"/>
          <w:bCs/>
          <w:i/>
          <w:iCs/>
        </w:rPr>
        <w:t>C. lanatus</w:t>
      </w:r>
      <w:r w:rsidRPr="00BF28F4">
        <w:rPr>
          <w:rFonts w:ascii="Arial" w:hAnsi="Arial" w:cs="Arial"/>
          <w:bCs/>
        </w:rPr>
        <w:t>).</w:t>
      </w:r>
    </w:p>
    <w:p w14:paraId="0FE3B366" w14:textId="77777777" w:rsidR="00DB7D18" w:rsidRPr="00BF28F4" w:rsidRDefault="00DB7D18" w:rsidP="00DB7D18">
      <w:pPr>
        <w:pStyle w:val="Body"/>
        <w:rPr>
          <w:rFonts w:ascii="Arial" w:hAnsi="Arial" w:cs="Arial"/>
          <w:b/>
          <w:bCs/>
          <w:sz w:val="22"/>
          <w:szCs w:val="22"/>
        </w:rPr>
      </w:pPr>
      <w:r w:rsidRPr="00BF28F4">
        <w:rPr>
          <w:rFonts w:ascii="Arial" w:hAnsi="Arial" w:cs="Arial"/>
          <w:b/>
          <w:bCs/>
          <w:sz w:val="22"/>
          <w:szCs w:val="22"/>
        </w:rPr>
        <w:t>2.2 Preparation of Methanolic Extracts</w:t>
      </w:r>
    </w:p>
    <w:p w14:paraId="2D66131E" w14:textId="77777777" w:rsidR="00DB7D18" w:rsidRPr="00BF28F4" w:rsidRDefault="00DB7D18" w:rsidP="00DB7D18">
      <w:pPr>
        <w:pStyle w:val="Body"/>
        <w:rPr>
          <w:rFonts w:ascii="Arial" w:hAnsi="Arial" w:cs="Arial"/>
          <w:bCs/>
        </w:rPr>
      </w:pPr>
      <w:r w:rsidRPr="00BF28F4">
        <w:rPr>
          <w:rFonts w:ascii="Arial" w:hAnsi="Arial" w:cs="Arial"/>
          <w:bCs/>
        </w:rPr>
        <w:t xml:space="preserve">The fruit rinds were separated, washed, air-dried for two weeks, and </w:t>
      </w:r>
      <w:proofErr w:type="spellStart"/>
      <w:r w:rsidRPr="00BF28F4">
        <w:rPr>
          <w:rFonts w:ascii="Arial" w:hAnsi="Arial" w:cs="Arial"/>
          <w:bCs/>
        </w:rPr>
        <w:t>pulverised</w:t>
      </w:r>
      <w:proofErr w:type="spellEnd"/>
      <w:r w:rsidRPr="00BF28F4">
        <w:rPr>
          <w:rFonts w:ascii="Arial" w:hAnsi="Arial" w:cs="Arial"/>
          <w:bCs/>
        </w:rPr>
        <w:t>. Two hundred grams of each powdered rind was macerated separately in 1.5 L of 80% methanol for 72 h with occasional stirring. The mixtures were filtered and concentrated at 40°C using a rotary evaporator. The resulting extracts weighed 2.0 g (</w:t>
      </w:r>
      <w:r w:rsidRPr="00BF28F4">
        <w:rPr>
          <w:rFonts w:ascii="Arial" w:hAnsi="Arial" w:cs="Arial"/>
          <w:bCs/>
          <w:i/>
          <w:iCs/>
        </w:rPr>
        <w:t>C. sativus</w:t>
      </w:r>
      <w:r w:rsidRPr="00BF28F4">
        <w:rPr>
          <w:rFonts w:ascii="Arial" w:hAnsi="Arial" w:cs="Arial"/>
          <w:bCs/>
        </w:rPr>
        <w:t>) and 1.8 g (</w:t>
      </w:r>
      <w:r w:rsidRPr="00BF28F4">
        <w:rPr>
          <w:rFonts w:ascii="Arial" w:hAnsi="Arial" w:cs="Arial"/>
          <w:bCs/>
          <w:i/>
          <w:iCs/>
        </w:rPr>
        <w:t>C. lanatus</w:t>
      </w:r>
      <w:r w:rsidRPr="00BF28F4">
        <w:rPr>
          <w:rFonts w:ascii="Arial" w:hAnsi="Arial" w:cs="Arial"/>
          <w:bCs/>
        </w:rPr>
        <w:t>) and were stored at 4°C.</w:t>
      </w:r>
    </w:p>
    <w:p w14:paraId="3FF82F2E" w14:textId="77777777" w:rsidR="00DB7D18" w:rsidRPr="00BF28F4" w:rsidRDefault="00DB7D18" w:rsidP="00DB7D18">
      <w:pPr>
        <w:pStyle w:val="Body"/>
        <w:rPr>
          <w:rFonts w:ascii="Arial" w:hAnsi="Arial" w:cs="Arial"/>
          <w:b/>
          <w:bCs/>
          <w:sz w:val="22"/>
          <w:szCs w:val="22"/>
        </w:rPr>
      </w:pPr>
      <w:r w:rsidRPr="00BF28F4">
        <w:rPr>
          <w:rFonts w:ascii="Arial" w:hAnsi="Arial" w:cs="Arial"/>
          <w:b/>
          <w:bCs/>
          <w:sz w:val="22"/>
          <w:szCs w:val="22"/>
        </w:rPr>
        <w:t>2.3 Phytochemical Screening</w:t>
      </w:r>
    </w:p>
    <w:p w14:paraId="2F36C3EA" w14:textId="77777777" w:rsidR="00DB7D18" w:rsidRPr="00BF28F4" w:rsidRDefault="00DB7D18" w:rsidP="00DB7D18">
      <w:pPr>
        <w:pStyle w:val="Body"/>
        <w:rPr>
          <w:rFonts w:ascii="Arial" w:hAnsi="Arial" w:cs="Arial"/>
          <w:bCs/>
        </w:rPr>
      </w:pPr>
      <w:r w:rsidRPr="00BF28F4">
        <w:rPr>
          <w:rFonts w:ascii="Arial" w:hAnsi="Arial" w:cs="Arial"/>
          <w:bCs/>
        </w:rPr>
        <w:t xml:space="preserve">Qualitative phytochemical screening was conducted using methods described by Harborne and Baxter (1993), Evans (1989), and </w:t>
      </w:r>
      <w:proofErr w:type="spellStart"/>
      <w:r w:rsidRPr="00BF28F4">
        <w:rPr>
          <w:rFonts w:ascii="Arial" w:hAnsi="Arial" w:cs="Arial"/>
          <w:bCs/>
        </w:rPr>
        <w:t>Adekanmi</w:t>
      </w:r>
      <w:proofErr w:type="spellEnd"/>
      <w:r w:rsidRPr="00BF28F4">
        <w:rPr>
          <w:rFonts w:ascii="Arial" w:hAnsi="Arial" w:cs="Arial"/>
          <w:bCs/>
        </w:rPr>
        <w:t xml:space="preserve"> </w:t>
      </w:r>
      <w:r w:rsidR="003E416C" w:rsidRPr="00BF28F4">
        <w:rPr>
          <w:rFonts w:ascii="Arial" w:hAnsi="Arial" w:cs="Arial"/>
          <w:bCs/>
          <w:i/>
          <w:iCs/>
        </w:rPr>
        <w:t>et al</w:t>
      </w:r>
      <w:r w:rsidRPr="00BF28F4">
        <w:rPr>
          <w:rFonts w:ascii="Arial" w:hAnsi="Arial" w:cs="Arial"/>
          <w:bCs/>
        </w:rPr>
        <w:t>. (2020). Alkaloids, flavonoids, tannins, saponins, phenols, and terpenoids were screened.</w:t>
      </w:r>
    </w:p>
    <w:p w14:paraId="6306B76E" w14:textId="77777777" w:rsidR="00DB7D18" w:rsidRPr="00BF28F4" w:rsidRDefault="00DB7D18" w:rsidP="00DB7D18">
      <w:pPr>
        <w:pStyle w:val="Body"/>
        <w:rPr>
          <w:rFonts w:ascii="Arial" w:hAnsi="Arial" w:cs="Arial"/>
          <w:b/>
          <w:bCs/>
          <w:sz w:val="22"/>
          <w:szCs w:val="22"/>
        </w:rPr>
      </w:pPr>
      <w:r w:rsidRPr="00BF28F4">
        <w:rPr>
          <w:rFonts w:ascii="Arial" w:hAnsi="Arial" w:cs="Arial"/>
          <w:b/>
          <w:bCs/>
          <w:sz w:val="22"/>
          <w:szCs w:val="22"/>
        </w:rPr>
        <w:t>2.4 Experimental Animals</w:t>
      </w:r>
    </w:p>
    <w:p w14:paraId="13B7E57C" w14:textId="77777777" w:rsidR="00DB7D18" w:rsidRPr="00BF28F4" w:rsidRDefault="00DB7D18" w:rsidP="00DB7D18">
      <w:pPr>
        <w:pStyle w:val="Body"/>
        <w:rPr>
          <w:rFonts w:ascii="Arial" w:hAnsi="Arial" w:cs="Arial"/>
          <w:bCs/>
        </w:rPr>
      </w:pPr>
      <w:r w:rsidRPr="00BF28F4">
        <w:rPr>
          <w:rFonts w:ascii="Arial" w:hAnsi="Arial" w:cs="Arial"/>
          <w:bCs/>
        </w:rPr>
        <w:t xml:space="preserve">Thirty male Wistar rats weighing 150–200 g were used. The animals were </w:t>
      </w:r>
      <w:proofErr w:type="spellStart"/>
      <w:r w:rsidRPr="00BF28F4">
        <w:rPr>
          <w:rFonts w:ascii="Arial" w:hAnsi="Arial" w:cs="Arial"/>
          <w:bCs/>
        </w:rPr>
        <w:t>acclimatised</w:t>
      </w:r>
      <w:proofErr w:type="spellEnd"/>
      <w:r w:rsidRPr="00BF28F4">
        <w:rPr>
          <w:rFonts w:ascii="Arial" w:hAnsi="Arial" w:cs="Arial"/>
          <w:bCs/>
        </w:rPr>
        <w:t xml:space="preserve"> for one week under standard laboratory conditions with free access to feed and water. Ethical approval was obtained from the Research Ethics </w:t>
      </w:r>
      <w:r w:rsidRPr="00BF28F4">
        <w:rPr>
          <w:rFonts w:ascii="Arial" w:hAnsi="Arial" w:cs="Arial"/>
          <w:bCs/>
        </w:rPr>
        <w:lastRenderedPageBreak/>
        <w:t>Committee, Faculty of Basic Medical Sciences, Rivers State University. Animal handling followed accepted guidelines for laboratory animal care and use.</w:t>
      </w:r>
    </w:p>
    <w:p w14:paraId="10EB7674" w14:textId="77777777" w:rsidR="00DB7D18" w:rsidRPr="00BF28F4" w:rsidRDefault="00DB7D18" w:rsidP="00DB7D18">
      <w:pPr>
        <w:pStyle w:val="Body"/>
        <w:rPr>
          <w:rFonts w:ascii="Arial" w:hAnsi="Arial" w:cs="Arial"/>
          <w:b/>
          <w:bCs/>
          <w:sz w:val="22"/>
          <w:szCs w:val="22"/>
        </w:rPr>
      </w:pPr>
      <w:r w:rsidRPr="00BF28F4">
        <w:rPr>
          <w:rFonts w:ascii="Arial" w:hAnsi="Arial" w:cs="Arial"/>
          <w:b/>
          <w:bCs/>
          <w:sz w:val="22"/>
          <w:szCs w:val="22"/>
        </w:rPr>
        <w:t>2.5 Induction of Diabetes</w:t>
      </w:r>
    </w:p>
    <w:p w14:paraId="342C00A8" w14:textId="77777777" w:rsidR="00DB7D18" w:rsidRPr="00BF28F4" w:rsidRDefault="00DB7D18" w:rsidP="00DB7D18">
      <w:pPr>
        <w:pStyle w:val="Body"/>
        <w:rPr>
          <w:rFonts w:ascii="Arial" w:hAnsi="Arial" w:cs="Arial"/>
          <w:bCs/>
        </w:rPr>
      </w:pPr>
      <w:r w:rsidRPr="00BF28F4">
        <w:rPr>
          <w:rFonts w:ascii="Arial" w:hAnsi="Arial" w:cs="Arial"/>
          <w:bCs/>
        </w:rPr>
        <w:t>Diabetes was induced by intraperitoneal administration of alloxan monohydrate (150 mg/kg body weight). After 72 h, fasting blood glucose was measured, and rats with glucose levels ≥200 mg/dL were considered diabetic and included in the study.</w:t>
      </w:r>
    </w:p>
    <w:p w14:paraId="1721EF92" w14:textId="77777777" w:rsidR="00DB7D18" w:rsidRPr="00BF28F4" w:rsidRDefault="00DB7D18" w:rsidP="00DB7D18">
      <w:pPr>
        <w:pStyle w:val="Body"/>
        <w:rPr>
          <w:rFonts w:ascii="Arial" w:hAnsi="Arial" w:cs="Arial"/>
          <w:b/>
          <w:bCs/>
          <w:sz w:val="22"/>
          <w:szCs w:val="22"/>
        </w:rPr>
      </w:pPr>
      <w:r w:rsidRPr="00BF28F4">
        <w:rPr>
          <w:rFonts w:ascii="Arial" w:hAnsi="Arial" w:cs="Arial"/>
          <w:b/>
          <w:bCs/>
          <w:sz w:val="22"/>
          <w:szCs w:val="22"/>
        </w:rPr>
        <w:t>2.6 Acute Toxicity Study</w:t>
      </w:r>
    </w:p>
    <w:p w14:paraId="0BF072E8" w14:textId="77777777" w:rsidR="00DB7D18" w:rsidRPr="00BF28F4" w:rsidRDefault="00F46C8B" w:rsidP="00DB7D18">
      <w:pPr>
        <w:pStyle w:val="Body"/>
        <w:rPr>
          <w:rFonts w:ascii="Arial" w:hAnsi="Arial" w:cs="Arial"/>
          <w:bCs/>
        </w:rPr>
      </w:pPr>
      <w:r w:rsidRPr="00BF28F4">
        <w:rPr>
          <w:rFonts w:ascii="Arial" w:hAnsi="Arial" w:cs="Arial"/>
          <w:bCs/>
        </w:rPr>
        <w:t xml:space="preserve">Acute toxicity was evaluated using the method described by </w:t>
      </w:r>
      <w:proofErr w:type="spellStart"/>
      <w:r w:rsidRPr="00BF28F4">
        <w:rPr>
          <w:rFonts w:ascii="Arial" w:hAnsi="Arial" w:cs="Arial"/>
          <w:bCs/>
        </w:rPr>
        <w:t>Lorke</w:t>
      </w:r>
      <w:proofErr w:type="spellEnd"/>
      <w:r w:rsidRPr="00BF28F4">
        <w:rPr>
          <w:rFonts w:ascii="Arial" w:hAnsi="Arial" w:cs="Arial"/>
          <w:bCs/>
        </w:rPr>
        <w:t xml:space="preserve"> (1983). Twenty-four rats were randomly assigned to six groups of four animals each. Groups I–V received the respective extracts at doses of </w:t>
      </w:r>
      <w:r w:rsidR="00416583" w:rsidRPr="00BF28F4">
        <w:rPr>
          <w:rFonts w:ascii="Arial" w:hAnsi="Arial" w:cs="Arial"/>
          <w:bCs/>
        </w:rPr>
        <w:t>1</w:t>
      </w:r>
      <w:r w:rsidR="00FF71B0" w:rsidRPr="00BF28F4">
        <w:rPr>
          <w:rFonts w:ascii="Arial" w:hAnsi="Arial" w:cs="Arial"/>
          <w:bCs/>
        </w:rPr>
        <w:t>0</w:t>
      </w:r>
      <w:r w:rsidRPr="00BF28F4">
        <w:rPr>
          <w:rFonts w:ascii="Arial" w:hAnsi="Arial" w:cs="Arial"/>
          <w:bCs/>
        </w:rPr>
        <w:t xml:space="preserve">00, </w:t>
      </w:r>
      <w:r w:rsidR="00416583" w:rsidRPr="00BF28F4">
        <w:rPr>
          <w:rFonts w:ascii="Arial" w:hAnsi="Arial" w:cs="Arial"/>
          <w:bCs/>
        </w:rPr>
        <w:t>2</w:t>
      </w:r>
      <w:r w:rsidRPr="00BF28F4">
        <w:rPr>
          <w:rFonts w:ascii="Arial" w:hAnsi="Arial" w:cs="Arial"/>
          <w:bCs/>
        </w:rPr>
        <w:t xml:space="preserve">000, </w:t>
      </w:r>
      <w:r w:rsidR="00FF71B0" w:rsidRPr="00BF28F4">
        <w:rPr>
          <w:rFonts w:ascii="Arial" w:hAnsi="Arial" w:cs="Arial"/>
          <w:bCs/>
        </w:rPr>
        <w:t>3000</w:t>
      </w:r>
      <w:r w:rsidRPr="00BF28F4">
        <w:rPr>
          <w:rFonts w:ascii="Arial" w:hAnsi="Arial" w:cs="Arial"/>
          <w:bCs/>
        </w:rPr>
        <w:t xml:space="preserve">, </w:t>
      </w:r>
      <w:r w:rsidR="00FF71B0" w:rsidRPr="00BF28F4">
        <w:rPr>
          <w:rFonts w:ascii="Arial" w:hAnsi="Arial" w:cs="Arial"/>
          <w:bCs/>
        </w:rPr>
        <w:t>4</w:t>
      </w:r>
      <w:r w:rsidRPr="00BF28F4">
        <w:rPr>
          <w:rFonts w:ascii="Arial" w:hAnsi="Arial" w:cs="Arial"/>
          <w:bCs/>
        </w:rPr>
        <w:t>000, and 500</w:t>
      </w:r>
      <w:r w:rsidR="00FF71B0" w:rsidRPr="00BF28F4">
        <w:rPr>
          <w:rFonts w:ascii="Arial" w:hAnsi="Arial" w:cs="Arial"/>
          <w:bCs/>
        </w:rPr>
        <w:t>0</w:t>
      </w:r>
      <w:r w:rsidRPr="00BF28F4">
        <w:rPr>
          <w:rFonts w:ascii="Arial" w:hAnsi="Arial" w:cs="Arial"/>
          <w:bCs/>
        </w:rPr>
        <w:t xml:space="preserve"> mg/kg body weight, respectively, while the control group received distilled water. The animals were observed for signs of toxicity and mortality over 14 days. The median lethal dose (LD</w:t>
      </w:r>
      <w:r w:rsidRPr="00BF28F4">
        <w:rPr>
          <w:rFonts w:ascii="Cambria Math" w:hAnsi="Cambria Math" w:cs="Cambria Math"/>
          <w:bCs/>
        </w:rPr>
        <w:t>₅₀</w:t>
      </w:r>
      <w:r w:rsidRPr="00BF28F4">
        <w:rPr>
          <w:rFonts w:ascii="Arial" w:hAnsi="Arial" w:cs="Arial"/>
          <w:bCs/>
        </w:rPr>
        <w:t xml:space="preserve">) was estimated from </w:t>
      </w:r>
      <w:r w:rsidR="00E85B09" w:rsidRPr="00BF28F4">
        <w:rPr>
          <w:rFonts w:ascii="Arial" w:hAnsi="Arial" w:cs="Arial"/>
          <w:bCs/>
        </w:rPr>
        <w:t>the observed dose–mortality relationship</w:t>
      </w:r>
      <w:r w:rsidR="00DB7D18" w:rsidRPr="00BF28F4">
        <w:rPr>
          <w:rFonts w:ascii="Arial" w:hAnsi="Arial" w:cs="Arial"/>
          <w:bCs/>
        </w:rPr>
        <w:t>.</w:t>
      </w:r>
    </w:p>
    <w:p w14:paraId="2274F0F8" w14:textId="77777777" w:rsidR="00DB7D18" w:rsidRPr="00BF28F4" w:rsidRDefault="00DB7D18" w:rsidP="00DB7D18">
      <w:pPr>
        <w:pStyle w:val="Body"/>
        <w:rPr>
          <w:rFonts w:ascii="Arial" w:hAnsi="Arial" w:cs="Arial"/>
          <w:b/>
          <w:bCs/>
          <w:sz w:val="22"/>
          <w:szCs w:val="22"/>
        </w:rPr>
      </w:pPr>
      <w:r w:rsidRPr="00BF28F4">
        <w:rPr>
          <w:rFonts w:ascii="Arial" w:hAnsi="Arial" w:cs="Arial"/>
          <w:b/>
          <w:bCs/>
          <w:sz w:val="22"/>
          <w:szCs w:val="22"/>
        </w:rPr>
        <w:t>2.7 Experimental Design</w:t>
      </w:r>
    </w:p>
    <w:p w14:paraId="7B4D26E4" w14:textId="77777777" w:rsidR="00DB7D18" w:rsidRPr="00BF28F4" w:rsidRDefault="00DB7D18" w:rsidP="00DB7D18">
      <w:pPr>
        <w:pStyle w:val="Body"/>
        <w:rPr>
          <w:rFonts w:ascii="Arial" w:hAnsi="Arial" w:cs="Arial"/>
          <w:bCs/>
        </w:rPr>
      </w:pPr>
      <w:r w:rsidRPr="00BF28F4">
        <w:rPr>
          <w:rFonts w:ascii="Arial" w:hAnsi="Arial" w:cs="Arial"/>
          <w:bCs/>
        </w:rPr>
        <w:t>Diabetic rats were randomly assigned to six groups (n = 5):</w:t>
      </w:r>
    </w:p>
    <w:p w14:paraId="59D9FFFF" w14:textId="77777777" w:rsidR="00DB7D18" w:rsidRPr="00BF28F4" w:rsidRDefault="00DB7D18" w:rsidP="00DB7D18">
      <w:pPr>
        <w:pStyle w:val="Body"/>
        <w:rPr>
          <w:rFonts w:ascii="Arial" w:hAnsi="Arial" w:cs="Arial"/>
        </w:rPr>
      </w:pPr>
      <w:r w:rsidRPr="00BF28F4">
        <w:rPr>
          <w:rFonts w:ascii="Arial" w:hAnsi="Arial" w:cs="Arial"/>
        </w:rPr>
        <w:t>Group 1: Normal control.</w:t>
      </w:r>
    </w:p>
    <w:p w14:paraId="1B3ECD8E" w14:textId="77777777" w:rsidR="00DB7D18" w:rsidRPr="00BF28F4" w:rsidRDefault="00DB7D18" w:rsidP="00DB7D18">
      <w:pPr>
        <w:pStyle w:val="Body"/>
        <w:rPr>
          <w:rFonts w:ascii="Arial" w:hAnsi="Arial" w:cs="Arial"/>
        </w:rPr>
      </w:pPr>
      <w:r w:rsidRPr="00BF28F4">
        <w:rPr>
          <w:rFonts w:ascii="Arial" w:hAnsi="Arial" w:cs="Arial"/>
        </w:rPr>
        <w:t>Group 2: Diabetic untreated control.</w:t>
      </w:r>
    </w:p>
    <w:p w14:paraId="536073FC" w14:textId="77777777" w:rsidR="00DB7D18" w:rsidRPr="00BF28F4" w:rsidRDefault="00DB7D18" w:rsidP="00DB7D18">
      <w:pPr>
        <w:pStyle w:val="Body"/>
        <w:rPr>
          <w:rFonts w:ascii="Arial" w:hAnsi="Arial" w:cs="Arial"/>
        </w:rPr>
      </w:pPr>
      <w:r w:rsidRPr="00BF28F4">
        <w:rPr>
          <w:rFonts w:ascii="Arial" w:hAnsi="Arial" w:cs="Arial"/>
        </w:rPr>
        <w:t xml:space="preserve">Group 3: Diabetic + </w:t>
      </w:r>
      <w:r w:rsidRPr="00BF28F4">
        <w:rPr>
          <w:rFonts w:ascii="Arial" w:hAnsi="Arial" w:cs="Arial"/>
          <w:i/>
          <w:iCs/>
        </w:rPr>
        <w:t>C. sativus</w:t>
      </w:r>
      <w:r w:rsidRPr="00BF28F4">
        <w:rPr>
          <w:rFonts w:ascii="Arial" w:hAnsi="Arial" w:cs="Arial"/>
        </w:rPr>
        <w:t xml:space="preserve"> rind extract (200 mg/kg).</w:t>
      </w:r>
    </w:p>
    <w:p w14:paraId="364E7B9D" w14:textId="77777777" w:rsidR="00DB7D18" w:rsidRPr="00BF28F4" w:rsidRDefault="00DB7D18" w:rsidP="00DB7D18">
      <w:pPr>
        <w:pStyle w:val="Body"/>
        <w:rPr>
          <w:rFonts w:ascii="Arial" w:hAnsi="Arial" w:cs="Arial"/>
        </w:rPr>
      </w:pPr>
      <w:r w:rsidRPr="00BF28F4">
        <w:rPr>
          <w:rFonts w:ascii="Arial" w:hAnsi="Arial" w:cs="Arial"/>
        </w:rPr>
        <w:t xml:space="preserve">Group 4: Diabetic + </w:t>
      </w:r>
      <w:r w:rsidRPr="00BF28F4">
        <w:rPr>
          <w:rFonts w:ascii="Arial" w:hAnsi="Arial" w:cs="Arial"/>
          <w:i/>
          <w:iCs/>
        </w:rPr>
        <w:t>C. lanatus</w:t>
      </w:r>
      <w:r w:rsidRPr="00BF28F4">
        <w:rPr>
          <w:rFonts w:ascii="Arial" w:hAnsi="Arial" w:cs="Arial"/>
        </w:rPr>
        <w:t xml:space="preserve"> rind extract (200 mg/kg).</w:t>
      </w:r>
    </w:p>
    <w:p w14:paraId="7BE9138B" w14:textId="77777777" w:rsidR="00DB7D18" w:rsidRPr="00BF28F4" w:rsidRDefault="00DB7D18" w:rsidP="00DB7D18">
      <w:pPr>
        <w:pStyle w:val="Body"/>
        <w:rPr>
          <w:rFonts w:ascii="Arial" w:hAnsi="Arial" w:cs="Arial"/>
        </w:rPr>
      </w:pPr>
      <w:r w:rsidRPr="00BF28F4">
        <w:rPr>
          <w:rFonts w:ascii="Arial" w:hAnsi="Arial" w:cs="Arial"/>
        </w:rPr>
        <w:t xml:space="preserve">Group 5: Diabetic + combined </w:t>
      </w:r>
      <w:r w:rsidRPr="00BF28F4">
        <w:rPr>
          <w:rFonts w:ascii="Arial" w:hAnsi="Arial" w:cs="Arial"/>
          <w:i/>
          <w:iCs/>
        </w:rPr>
        <w:t>C. sativus</w:t>
      </w:r>
      <w:r w:rsidRPr="00BF28F4">
        <w:rPr>
          <w:rFonts w:ascii="Arial" w:hAnsi="Arial" w:cs="Arial"/>
        </w:rPr>
        <w:t xml:space="preserve"> and </w:t>
      </w:r>
      <w:r w:rsidRPr="00BF28F4">
        <w:rPr>
          <w:rFonts w:ascii="Arial" w:hAnsi="Arial" w:cs="Arial"/>
          <w:i/>
          <w:iCs/>
        </w:rPr>
        <w:t>C. lanatus</w:t>
      </w:r>
      <w:r w:rsidRPr="00BF28F4">
        <w:rPr>
          <w:rFonts w:ascii="Arial" w:hAnsi="Arial" w:cs="Arial"/>
        </w:rPr>
        <w:t xml:space="preserve"> rind extracts (100 mg/kg each).</w:t>
      </w:r>
    </w:p>
    <w:p w14:paraId="379FAFB6" w14:textId="77777777" w:rsidR="00DB7D18" w:rsidRPr="00BF28F4" w:rsidRDefault="00DB7D18" w:rsidP="00DB7D18">
      <w:pPr>
        <w:pStyle w:val="Body"/>
        <w:rPr>
          <w:rFonts w:ascii="Arial" w:hAnsi="Arial" w:cs="Arial"/>
        </w:rPr>
      </w:pPr>
      <w:r w:rsidRPr="00BF28F4">
        <w:rPr>
          <w:rFonts w:ascii="Arial" w:hAnsi="Arial" w:cs="Arial"/>
        </w:rPr>
        <w:t>Group 6: Diabetic + metformin (500 mg/kg).</w:t>
      </w:r>
    </w:p>
    <w:p w14:paraId="0424A878" w14:textId="77777777" w:rsidR="00DB7D18" w:rsidRPr="00BF28F4" w:rsidRDefault="00DB7D18" w:rsidP="00DB7D18">
      <w:pPr>
        <w:pStyle w:val="Body"/>
        <w:rPr>
          <w:rFonts w:ascii="Arial" w:hAnsi="Arial" w:cs="Arial"/>
          <w:bCs/>
        </w:rPr>
      </w:pPr>
      <w:r w:rsidRPr="00BF28F4">
        <w:rPr>
          <w:rFonts w:ascii="Arial" w:hAnsi="Arial" w:cs="Arial"/>
          <w:bCs/>
        </w:rPr>
        <w:t>Treatments were administered orally once daily for 21 days using an orogastric tube.</w:t>
      </w:r>
    </w:p>
    <w:p w14:paraId="0D5FC4C9" w14:textId="77777777" w:rsidR="00DB7D18" w:rsidRPr="00BF28F4" w:rsidRDefault="00DB7D18" w:rsidP="00DB7D18">
      <w:pPr>
        <w:pStyle w:val="Body"/>
        <w:rPr>
          <w:rFonts w:ascii="Arial" w:hAnsi="Arial" w:cs="Arial"/>
          <w:b/>
          <w:bCs/>
          <w:sz w:val="22"/>
          <w:szCs w:val="22"/>
        </w:rPr>
      </w:pPr>
      <w:r w:rsidRPr="00BF28F4">
        <w:rPr>
          <w:rFonts w:ascii="Arial" w:hAnsi="Arial" w:cs="Arial"/>
          <w:b/>
          <w:bCs/>
          <w:sz w:val="22"/>
          <w:szCs w:val="22"/>
        </w:rPr>
        <w:t>2.8 Biochemical Analyses</w:t>
      </w:r>
    </w:p>
    <w:p w14:paraId="2E0D078C" w14:textId="77777777" w:rsidR="00DB7D18" w:rsidRPr="00BF28F4" w:rsidRDefault="00DB7D18" w:rsidP="00DB7D18">
      <w:pPr>
        <w:pStyle w:val="Body"/>
        <w:rPr>
          <w:rFonts w:ascii="Arial" w:hAnsi="Arial" w:cs="Arial"/>
          <w:b/>
          <w:bCs/>
        </w:rPr>
      </w:pPr>
      <w:r w:rsidRPr="00BF28F4">
        <w:rPr>
          <w:rFonts w:ascii="Arial" w:hAnsi="Arial" w:cs="Arial"/>
          <w:b/>
          <w:bCs/>
        </w:rPr>
        <w:t>2.8.1 Blood Collection</w:t>
      </w:r>
    </w:p>
    <w:p w14:paraId="44E745FF" w14:textId="77777777" w:rsidR="00DB7D18" w:rsidRPr="00BF28F4" w:rsidRDefault="00DB7D18" w:rsidP="00DB7D18">
      <w:pPr>
        <w:pStyle w:val="Body"/>
        <w:rPr>
          <w:rFonts w:ascii="Arial" w:hAnsi="Arial" w:cs="Arial"/>
          <w:bCs/>
        </w:rPr>
      </w:pPr>
      <w:r w:rsidRPr="00BF28F4">
        <w:rPr>
          <w:rFonts w:ascii="Arial" w:hAnsi="Arial" w:cs="Arial"/>
          <w:bCs/>
        </w:rPr>
        <w:t xml:space="preserve">Following an overnight fast at the end of treatment, blood was collected under light </w:t>
      </w:r>
      <w:proofErr w:type="spellStart"/>
      <w:r w:rsidRPr="00BF28F4">
        <w:rPr>
          <w:rFonts w:ascii="Arial" w:hAnsi="Arial" w:cs="Arial"/>
          <w:bCs/>
        </w:rPr>
        <w:t>anaesthesia</w:t>
      </w:r>
      <w:proofErr w:type="spellEnd"/>
      <w:r w:rsidRPr="00BF28F4">
        <w:rPr>
          <w:rFonts w:ascii="Arial" w:hAnsi="Arial" w:cs="Arial"/>
          <w:bCs/>
        </w:rPr>
        <w:t xml:space="preserve"> by cardiac puncture. Blood for glucose measurement was obtained from the tail vein.</w:t>
      </w:r>
    </w:p>
    <w:p w14:paraId="7775340E" w14:textId="77777777" w:rsidR="00DB7D18" w:rsidRPr="00BF28F4" w:rsidRDefault="00DB7D18" w:rsidP="00DB7D18">
      <w:pPr>
        <w:pStyle w:val="Body"/>
        <w:rPr>
          <w:rFonts w:ascii="Arial" w:hAnsi="Arial" w:cs="Arial"/>
          <w:b/>
          <w:bCs/>
        </w:rPr>
      </w:pPr>
      <w:r w:rsidRPr="00BF28F4">
        <w:rPr>
          <w:rFonts w:ascii="Arial" w:hAnsi="Arial" w:cs="Arial"/>
          <w:b/>
          <w:bCs/>
        </w:rPr>
        <w:t>2.8.2 Blood Glucose Measurement</w:t>
      </w:r>
    </w:p>
    <w:p w14:paraId="665AF6EB" w14:textId="77777777" w:rsidR="00DB7D18" w:rsidRPr="00BF28F4" w:rsidRDefault="00DB7D18" w:rsidP="00DB7D18">
      <w:pPr>
        <w:pStyle w:val="Body"/>
        <w:rPr>
          <w:rFonts w:ascii="Arial" w:hAnsi="Arial" w:cs="Arial"/>
          <w:bCs/>
        </w:rPr>
      </w:pPr>
      <w:r w:rsidRPr="00BF28F4">
        <w:rPr>
          <w:rFonts w:ascii="Arial" w:hAnsi="Arial" w:cs="Arial"/>
          <w:bCs/>
        </w:rPr>
        <w:t>Fasting blood glucose was measured from tail-vein blood using a glucometer on days 0, 7, 14, and 21.</w:t>
      </w:r>
    </w:p>
    <w:p w14:paraId="4ABF7CB2" w14:textId="77777777" w:rsidR="00DB7D18" w:rsidRPr="00BF28F4" w:rsidRDefault="00DB7D18" w:rsidP="00DB7D18">
      <w:pPr>
        <w:pStyle w:val="Body"/>
        <w:rPr>
          <w:rFonts w:ascii="Arial" w:hAnsi="Arial" w:cs="Arial"/>
          <w:b/>
          <w:bCs/>
        </w:rPr>
      </w:pPr>
      <w:r w:rsidRPr="00BF28F4">
        <w:rPr>
          <w:rFonts w:ascii="Arial" w:hAnsi="Arial" w:cs="Arial"/>
          <w:b/>
          <w:bCs/>
        </w:rPr>
        <w:t>2.8.3 Determination of Serum Lipid Profile</w:t>
      </w:r>
    </w:p>
    <w:p w14:paraId="2F1FA503" w14:textId="77777777" w:rsidR="00DB7D18" w:rsidRPr="00BF28F4" w:rsidRDefault="00DB7D18" w:rsidP="00DB7D18">
      <w:pPr>
        <w:pStyle w:val="Body"/>
        <w:rPr>
          <w:rFonts w:ascii="Arial" w:hAnsi="Arial" w:cs="Arial"/>
          <w:bCs/>
        </w:rPr>
      </w:pPr>
      <w:r w:rsidRPr="00BF28F4">
        <w:rPr>
          <w:rFonts w:ascii="Arial" w:hAnsi="Arial" w:cs="Arial"/>
          <w:bCs/>
        </w:rPr>
        <w:t>Serum total cholesterol, triglycerides, HDL-cholesterol, and LDL-cholesterol were determined using Randox diagnostic kits (Randox Laboratories, UK) according to the manufacturer's instructions.</w:t>
      </w:r>
    </w:p>
    <w:p w14:paraId="6C0A3097" w14:textId="77777777" w:rsidR="00DB7D18" w:rsidRPr="00BF28F4" w:rsidRDefault="00DB7D18" w:rsidP="00DB7D18">
      <w:pPr>
        <w:pStyle w:val="Body"/>
        <w:rPr>
          <w:rFonts w:ascii="Arial" w:hAnsi="Arial" w:cs="Arial"/>
          <w:b/>
          <w:bCs/>
          <w:sz w:val="22"/>
          <w:szCs w:val="22"/>
        </w:rPr>
      </w:pPr>
      <w:r w:rsidRPr="00BF28F4">
        <w:rPr>
          <w:rFonts w:ascii="Arial" w:hAnsi="Arial" w:cs="Arial"/>
          <w:b/>
          <w:bCs/>
          <w:sz w:val="22"/>
          <w:szCs w:val="22"/>
        </w:rPr>
        <w:t>2.9 Statistical Analysis</w:t>
      </w:r>
    </w:p>
    <w:p w14:paraId="5DF6FC27" w14:textId="77777777" w:rsidR="00DB7D18" w:rsidRPr="00BF28F4" w:rsidRDefault="00DB7D18" w:rsidP="00DB7D18">
      <w:pPr>
        <w:pStyle w:val="Body"/>
        <w:rPr>
          <w:rFonts w:ascii="Arial" w:hAnsi="Arial" w:cs="Arial"/>
          <w:bCs/>
        </w:rPr>
      </w:pPr>
      <w:r w:rsidRPr="00BF28F4">
        <w:rPr>
          <w:rFonts w:ascii="Arial" w:hAnsi="Arial" w:cs="Arial"/>
          <w:bCs/>
        </w:rPr>
        <w:t xml:space="preserve">Data were expressed as mean ± SEM. Differences among groups were </w:t>
      </w:r>
      <w:proofErr w:type="spellStart"/>
      <w:r w:rsidRPr="00BF28F4">
        <w:rPr>
          <w:rFonts w:ascii="Arial" w:hAnsi="Arial" w:cs="Arial"/>
          <w:bCs/>
        </w:rPr>
        <w:t>analysed</w:t>
      </w:r>
      <w:proofErr w:type="spellEnd"/>
      <w:r w:rsidRPr="00BF28F4">
        <w:rPr>
          <w:rFonts w:ascii="Arial" w:hAnsi="Arial" w:cs="Arial"/>
          <w:bCs/>
        </w:rPr>
        <w:t xml:space="preserve"> using one-way ANOVA followed by Tukey's multiple comparison test. Statistical significance was set at </w:t>
      </w:r>
      <w:r w:rsidRPr="00BF28F4">
        <w:rPr>
          <w:rFonts w:ascii="Arial" w:hAnsi="Arial" w:cs="Arial"/>
          <w:bCs/>
          <w:i/>
          <w:iCs/>
        </w:rPr>
        <w:t>p</w:t>
      </w:r>
      <w:r w:rsidRPr="00BF28F4">
        <w:rPr>
          <w:rFonts w:ascii="Arial" w:hAnsi="Arial" w:cs="Arial"/>
          <w:bCs/>
        </w:rPr>
        <w:t xml:space="preserve"> &lt; 0.05. Analysis was performed using SPSS version 27.</w:t>
      </w:r>
    </w:p>
    <w:p w14:paraId="67344233" w14:textId="77777777" w:rsidR="00790ADA" w:rsidRPr="00BF28F4" w:rsidRDefault="00790ADA" w:rsidP="00441B6F">
      <w:pPr>
        <w:pStyle w:val="Body"/>
        <w:spacing w:after="0"/>
        <w:rPr>
          <w:rFonts w:ascii="Arial" w:hAnsi="Arial" w:cs="Arial"/>
        </w:rPr>
      </w:pPr>
    </w:p>
    <w:p w14:paraId="5ADC9D28" w14:textId="77777777" w:rsidR="00902823" w:rsidRPr="00BF28F4" w:rsidRDefault="00000F8F" w:rsidP="00441B6F">
      <w:pPr>
        <w:pStyle w:val="Head1"/>
        <w:spacing w:after="0"/>
        <w:jc w:val="both"/>
        <w:rPr>
          <w:rFonts w:ascii="Arial" w:hAnsi="Arial" w:cs="Arial"/>
        </w:rPr>
      </w:pPr>
      <w:r w:rsidRPr="00BF28F4">
        <w:rPr>
          <w:rFonts w:ascii="Arial" w:hAnsi="Arial" w:cs="Arial"/>
        </w:rPr>
        <w:lastRenderedPageBreak/>
        <w:t>3</w:t>
      </w:r>
      <w:r w:rsidR="00902823" w:rsidRPr="00BF28F4">
        <w:rPr>
          <w:rFonts w:ascii="Arial" w:hAnsi="Arial" w:cs="Arial"/>
        </w:rPr>
        <w:t xml:space="preserve">. </w:t>
      </w:r>
      <w:r w:rsidR="00DB7D18" w:rsidRPr="00BF28F4">
        <w:rPr>
          <w:rFonts w:ascii="Arial" w:hAnsi="Arial" w:cs="Arial"/>
        </w:rPr>
        <w:t>Results</w:t>
      </w:r>
      <w:r w:rsidRPr="00BF28F4">
        <w:rPr>
          <w:rFonts w:ascii="Arial" w:hAnsi="Arial" w:cs="Arial"/>
        </w:rPr>
        <w:t xml:space="preserve"> </w:t>
      </w:r>
    </w:p>
    <w:p w14:paraId="5C85E052" w14:textId="77777777" w:rsidR="00DB7D18" w:rsidRPr="00BF28F4" w:rsidRDefault="00DB7D18" w:rsidP="00441B6F">
      <w:pPr>
        <w:pStyle w:val="Head1"/>
        <w:spacing w:after="0"/>
        <w:jc w:val="both"/>
        <w:rPr>
          <w:rFonts w:ascii="Arial" w:hAnsi="Arial" w:cs="Arial"/>
        </w:rPr>
      </w:pPr>
    </w:p>
    <w:p w14:paraId="16FB8CFF" w14:textId="77777777" w:rsidR="00DB7D18" w:rsidRPr="00BF28F4" w:rsidRDefault="00DB7D18" w:rsidP="00DB7D18">
      <w:pPr>
        <w:pStyle w:val="Body"/>
        <w:spacing w:after="0"/>
        <w:rPr>
          <w:rFonts w:ascii="Arial" w:hAnsi="Arial" w:cs="Arial"/>
          <w:b/>
          <w:lang w:val="en-GB"/>
        </w:rPr>
      </w:pPr>
      <w:r w:rsidRPr="00BF28F4">
        <w:rPr>
          <w:rFonts w:ascii="Arial" w:hAnsi="Arial" w:cs="Arial"/>
          <w:b/>
          <w:lang w:val="en-GB"/>
        </w:rPr>
        <w:t>3.1. Phytochemical Composition of Extracts</w:t>
      </w:r>
    </w:p>
    <w:p w14:paraId="4B5CD8FE" w14:textId="77777777" w:rsidR="00B53517" w:rsidRPr="00BF28F4" w:rsidRDefault="00B53517" w:rsidP="00DB7D18">
      <w:pPr>
        <w:pStyle w:val="Body"/>
        <w:spacing w:after="0"/>
        <w:rPr>
          <w:rFonts w:ascii="Arial" w:hAnsi="Arial" w:cs="Arial"/>
          <w:b/>
          <w:lang w:val="en-GB"/>
        </w:rPr>
      </w:pPr>
    </w:p>
    <w:p w14:paraId="43FD779E" w14:textId="77777777" w:rsidR="00DB7D18" w:rsidRPr="00BF28F4" w:rsidRDefault="00DB7D18" w:rsidP="00DB7D18">
      <w:pPr>
        <w:pStyle w:val="Body"/>
        <w:spacing w:after="0"/>
        <w:rPr>
          <w:rFonts w:ascii="Arial" w:hAnsi="Arial" w:cs="Arial"/>
          <w:b/>
          <w:bCs/>
          <w:lang w:val="en-GB"/>
        </w:rPr>
      </w:pPr>
      <w:r w:rsidRPr="00BF28F4">
        <w:rPr>
          <w:rFonts w:ascii="Arial" w:hAnsi="Arial" w:cs="Arial"/>
          <w:lang w:val="en-GB"/>
        </w:rPr>
        <w:t>Table 1</w:t>
      </w:r>
      <w:r w:rsidRPr="00BF28F4">
        <w:rPr>
          <w:rFonts w:ascii="Arial" w:hAnsi="Arial" w:cs="Arial"/>
          <w:b/>
          <w:bCs/>
          <w:lang w:val="en-GB"/>
        </w:rPr>
        <w:t xml:space="preserve"> </w:t>
      </w:r>
      <w:r w:rsidRPr="00BF28F4">
        <w:rPr>
          <w:rFonts w:ascii="Arial" w:hAnsi="Arial" w:cs="Arial"/>
          <w:lang w:val="en-GB"/>
        </w:rPr>
        <w:t xml:space="preserve">shows the qualitative phytochemical constituents present in the methanolic extracts of </w:t>
      </w:r>
      <w:r w:rsidRPr="00BF28F4">
        <w:rPr>
          <w:rFonts w:ascii="Arial" w:hAnsi="Arial" w:cs="Arial"/>
          <w:i/>
          <w:iCs/>
          <w:lang w:val="en-GB"/>
        </w:rPr>
        <w:t>C. sativus</w:t>
      </w:r>
      <w:r w:rsidRPr="00BF28F4">
        <w:rPr>
          <w:rFonts w:ascii="Arial" w:hAnsi="Arial" w:cs="Arial"/>
          <w:lang w:val="en-GB"/>
        </w:rPr>
        <w:t xml:space="preserve"> and </w:t>
      </w:r>
      <w:r w:rsidRPr="00BF28F4">
        <w:rPr>
          <w:rFonts w:ascii="Arial" w:hAnsi="Arial" w:cs="Arial"/>
          <w:i/>
          <w:iCs/>
          <w:lang w:val="en-GB"/>
        </w:rPr>
        <w:t>C. lanatus</w:t>
      </w:r>
      <w:r w:rsidRPr="00BF28F4">
        <w:rPr>
          <w:rFonts w:ascii="Arial" w:hAnsi="Arial" w:cs="Arial"/>
          <w:lang w:val="en-GB"/>
        </w:rPr>
        <w:t>.</w:t>
      </w:r>
      <w:r w:rsidRPr="00BF28F4">
        <w:rPr>
          <w:rFonts w:ascii="Arial" w:hAnsi="Arial" w:cs="Arial"/>
          <w:b/>
          <w:bCs/>
          <w:lang w:val="en-GB"/>
        </w:rPr>
        <w:t xml:space="preserve"> </w:t>
      </w:r>
      <w:r w:rsidRPr="00BF28F4">
        <w:rPr>
          <w:rFonts w:ascii="Arial" w:hAnsi="Arial" w:cs="Arial"/>
          <w:lang w:val="en-GB"/>
        </w:rPr>
        <w:t>The extracts tested positive for</w:t>
      </w:r>
      <w:r w:rsidRPr="00BF28F4">
        <w:rPr>
          <w:rFonts w:ascii="Arial" w:hAnsi="Arial" w:cs="Arial"/>
          <w:b/>
          <w:bCs/>
          <w:lang w:val="en-GB"/>
        </w:rPr>
        <w:t xml:space="preserve"> </w:t>
      </w:r>
      <w:r w:rsidRPr="00BF28F4">
        <w:rPr>
          <w:rFonts w:ascii="Arial" w:hAnsi="Arial" w:cs="Arial"/>
          <w:lang w:val="en-GB"/>
        </w:rPr>
        <w:t>alkaloids, flavonoids, tannins, saponins, phenols, and terpenoids</w:t>
      </w:r>
      <w:r w:rsidRPr="00BF28F4">
        <w:rPr>
          <w:rFonts w:ascii="Arial" w:hAnsi="Arial" w:cs="Arial"/>
          <w:b/>
          <w:bCs/>
          <w:lang w:val="en-GB"/>
        </w:rPr>
        <w:t xml:space="preserve">.  </w:t>
      </w:r>
    </w:p>
    <w:p w14:paraId="6DE2BF17" w14:textId="77777777" w:rsidR="00B53517" w:rsidRPr="00BF28F4" w:rsidRDefault="00B53517" w:rsidP="00DB7D18">
      <w:pPr>
        <w:pStyle w:val="Body"/>
        <w:spacing w:after="0"/>
        <w:rPr>
          <w:rFonts w:ascii="Arial" w:hAnsi="Arial" w:cs="Arial"/>
          <w:b/>
          <w:bCs/>
          <w:lang w:val="en-GB"/>
        </w:rPr>
      </w:pPr>
    </w:p>
    <w:p w14:paraId="2EC9B544" w14:textId="77777777" w:rsidR="00DB7D18" w:rsidRPr="00BF28F4" w:rsidRDefault="00DB7D18" w:rsidP="00B53517">
      <w:pPr>
        <w:pStyle w:val="Body"/>
        <w:spacing w:after="0"/>
        <w:rPr>
          <w:rFonts w:ascii="Arial" w:hAnsi="Arial" w:cs="Arial"/>
          <w:b/>
          <w:bCs/>
          <w:lang w:val="en-GB"/>
        </w:rPr>
      </w:pPr>
      <w:r w:rsidRPr="00BF28F4">
        <w:rPr>
          <w:rFonts w:ascii="Arial" w:hAnsi="Arial" w:cs="Arial"/>
          <w:b/>
          <w:bCs/>
          <w:lang w:val="en-GB"/>
        </w:rPr>
        <w:t>Table 1: Qualitative Phytochemical Constituents</w:t>
      </w:r>
    </w:p>
    <w:tbl>
      <w:tblPr>
        <w:tblStyle w:val="PlainTable2"/>
        <w:tblW w:w="0" w:type="auto"/>
        <w:tblLook w:val="0720" w:firstRow="1" w:lastRow="0" w:firstColumn="0" w:lastColumn="1" w:noHBand="1" w:noVBand="1"/>
      </w:tblPr>
      <w:tblGrid>
        <w:gridCol w:w="3941"/>
        <w:gridCol w:w="3150"/>
        <w:gridCol w:w="2447"/>
      </w:tblGrid>
      <w:tr w:rsidR="00DB7D18" w:rsidRPr="00BF28F4" w14:paraId="409D9968" w14:textId="77777777" w:rsidTr="00B53517">
        <w:trPr>
          <w:cnfStyle w:val="100000000000" w:firstRow="1" w:lastRow="0" w:firstColumn="0" w:lastColumn="0" w:oddVBand="0" w:evenVBand="0" w:oddHBand="0" w:evenHBand="0" w:firstRowFirstColumn="0" w:firstRowLastColumn="0" w:lastRowFirstColumn="0" w:lastRowLastColumn="0"/>
          <w:trHeight w:val="661"/>
        </w:trPr>
        <w:tc>
          <w:tcPr>
            <w:tcW w:w="3941" w:type="dxa"/>
          </w:tcPr>
          <w:p w14:paraId="0B3BB85D" w14:textId="77777777" w:rsidR="00DB7D18" w:rsidRPr="00BF28F4" w:rsidRDefault="00DB7D18" w:rsidP="00DB7D18">
            <w:pPr>
              <w:pStyle w:val="Body"/>
              <w:rPr>
                <w:rFonts w:ascii="Arial" w:hAnsi="Arial" w:cs="Arial"/>
                <w:b w:val="0"/>
                <w:bCs w:val="0"/>
                <w:lang w:val="en-GB"/>
              </w:rPr>
            </w:pPr>
            <w:r w:rsidRPr="00BF28F4">
              <w:rPr>
                <w:rFonts w:ascii="Arial" w:hAnsi="Arial" w:cs="Arial"/>
                <w:b w:val="0"/>
                <w:bCs w:val="0"/>
                <w:lang w:val="en-GB"/>
              </w:rPr>
              <w:tab/>
            </w:r>
            <w:r w:rsidRPr="00BF28F4">
              <w:rPr>
                <w:rFonts w:ascii="Arial" w:hAnsi="Arial" w:cs="Arial"/>
                <w:b w:val="0"/>
                <w:bCs w:val="0"/>
                <w:lang w:val="en-GB"/>
              </w:rPr>
              <w:tab/>
              <w:t>Phytochemical</w:t>
            </w:r>
          </w:p>
        </w:tc>
        <w:tc>
          <w:tcPr>
            <w:tcW w:w="3150" w:type="dxa"/>
          </w:tcPr>
          <w:p w14:paraId="0D1C8647" w14:textId="77777777" w:rsidR="00DB7D18" w:rsidRPr="00BF28F4" w:rsidRDefault="00DB7D18" w:rsidP="00DB7D18">
            <w:pPr>
              <w:pStyle w:val="Body"/>
              <w:rPr>
                <w:rFonts w:ascii="Arial" w:hAnsi="Arial" w:cs="Arial"/>
                <w:b w:val="0"/>
                <w:bCs w:val="0"/>
                <w:i/>
                <w:iCs/>
                <w:lang w:val="en-GB"/>
              </w:rPr>
            </w:pPr>
            <w:r w:rsidRPr="00BF28F4">
              <w:rPr>
                <w:rFonts w:ascii="Arial" w:hAnsi="Arial" w:cs="Arial"/>
                <w:b w:val="0"/>
                <w:bCs w:val="0"/>
                <w:i/>
                <w:iCs/>
                <w:lang w:val="en-GB"/>
              </w:rPr>
              <w:t>C. sativus</w:t>
            </w:r>
          </w:p>
        </w:tc>
        <w:tc>
          <w:tcPr>
            <w:cnfStyle w:val="000100000000" w:firstRow="0" w:lastRow="0" w:firstColumn="0" w:lastColumn="1" w:oddVBand="0" w:evenVBand="0" w:oddHBand="0" w:evenHBand="0" w:firstRowFirstColumn="0" w:firstRowLastColumn="0" w:lastRowFirstColumn="0" w:lastRowLastColumn="0"/>
            <w:tcW w:w="2447" w:type="dxa"/>
          </w:tcPr>
          <w:p w14:paraId="1A581801" w14:textId="77777777" w:rsidR="00DB7D18" w:rsidRPr="00BF28F4" w:rsidRDefault="00DB7D18" w:rsidP="00DB7D18">
            <w:pPr>
              <w:pStyle w:val="Body"/>
              <w:rPr>
                <w:rFonts w:ascii="Arial" w:hAnsi="Arial" w:cs="Arial"/>
                <w:b w:val="0"/>
                <w:bCs w:val="0"/>
                <w:i/>
                <w:iCs/>
                <w:lang w:val="en-GB"/>
              </w:rPr>
            </w:pPr>
            <w:r w:rsidRPr="00BF28F4">
              <w:rPr>
                <w:rFonts w:ascii="Arial" w:hAnsi="Arial" w:cs="Arial"/>
                <w:b w:val="0"/>
                <w:bCs w:val="0"/>
                <w:i/>
                <w:iCs/>
                <w:lang w:val="en-GB"/>
              </w:rPr>
              <w:t>C. lanatus</w:t>
            </w:r>
          </w:p>
        </w:tc>
      </w:tr>
      <w:tr w:rsidR="00DB7D18" w:rsidRPr="00BF28F4" w14:paraId="3280983C" w14:textId="77777777" w:rsidTr="00B53517">
        <w:trPr>
          <w:trHeight w:val="557"/>
        </w:trPr>
        <w:tc>
          <w:tcPr>
            <w:tcW w:w="3941" w:type="dxa"/>
          </w:tcPr>
          <w:p w14:paraId="791309B6" w14:textId="77777777" w:rsidR="00DB7D18" w:rsidRPr="00BF28F4" w:rsidRDefault="00DB7D18" w:rsidP="00DB7D18">
            <w:pPr>
              <w:pStyle w:val="Body"/>
              <w:rPr>
                <w:rFonts w:ascii="Arial" w:hAnsi="Arial" w:cs="Arial"/>
                <w:lang w:val="en-GB"/>
              </w:rPr>
            </w:pPr>
            <w:r w:rsidRPr="00BF28F4">
              <w:rPr>
                <w:rFonts w:ascii="Arial" w:hAnsi="Arial" w:cs="Arial"/>
                <w:lang w:val="en-GB"/>
              </w:rPr>
              <w:t>Alkaloids</w:t>
            </w:r>
          </w:p>
        </w:tc>
        <w:tc>
          <w:tcPr>
            <w:tcW w:w="3150" w:type="dxa"/>
          </w:tcPr>
          <w:p w14:paraId="6A6890A3" w14:textId="77777777" w:rsidR="00DB7D18" w:rsidRPr="00BF28F4" w:rsidRDefault="00DB7D18" w:rsidP="00DB7D18">
            <w:pPr>
              <w:pStyle w:val="Body"/>
              <w:rPr>
                <w:rFonts w:ascii="Arial" w:hAnsi="Arial" w:cs="Arial"/>
                <w:lang w:val="en-GB"/>
              </w:rPr>
            </w:pPr>
            <w:r w:rsidRPr="00BF28F4">
              <w:rPr>
                <w:rFonts w:ascii="Arial" w:hAnsi="Arial" w:cs="Arial"/>
                <w:lang w:val="en-GB"/>
              </w:rPr>
              <w:t>+</w:t>
            </w:r>
          </w:p>
        </w:tc>
        <w:tc>
          <w:tcPr>
            <w:cnfStyle w:val="000100000000" w:firstRow="0" w:lastRow="0" w:firstColumn="0" w:lastColumn="1" w:oddVBand="0" w:evenVBand="0" w:oddHBand="0" w:evenHBand="0" w:firstRowFirstColumn="0" w:firstRowLastColumn="0" w:lastRowFirstColumn="0" w:lastRowLastColumn="0"/>
            <w:tcW w:w="2447" w:type="dxa"/>
          </w:tcPr>
          <w:p w14:paraId="4881B16E" w14:textId="77777777" w:rsidR="00DB7D18" w:rsidRPr="00BF28F4" w:rsidRDefault="00DB7D18" w:rsidP="00DB7D18">
            <w:pPr>
              <w:pStyle w:val="Body"/>
              <w:rPr>
                <w:rFonts w:ascii="Arial" w:hAnsi="Arial" w:cs="Arial"/>
                <w:b w:val="0"/>
                <w:bCs w:val="0"/>
                <w:lang w:val="en-GB"/>
              </w:rPr>
            </w:pPr>
            <w:r w:rsidRPr="00BF28F4">
              <w:rPr>
                <w:rFonts w:ascii="Arial" w:hAnsi="Arial" w:cs="Arial"/>
                <w:b w:val="0"/>
                <w:bCs w:val="0"/>
                <w:lang w:val="en-GB"/>
              </w:rPr>
              <w:t>+</w:t>
            </w:r>
          </w:p>
        </w:tc>
      </w:tr>
      <w:tr w:rsidR="00DB7D18" w:rsidRPr="00BF28F4" w14:paraId="6E631408" w14:textId="77777777" w:rsidTr="00B53517">
        <w:trPr>
          <w:trHeight w:val="449"/>
        </w:trPr>
        <w:tc>
          <w:tcPr>
            <w:tcW w:w="3941" w:type="dxa"/>
          </w:tcPr>
          <w:p w14:paraId="0A5D1662" w14:textId="77777777" w:rsidR="00DB7D18" w:rsidRPr="00BF28F4" w:rsidRDefault="00DB7D18" w:rsidP="00DB7D18">
            <w:pPr>
              <w:pStyle w:val="Body"/>
              <w:rPr>
                <w:rFonts w:ascii="Arial" w:hAnsi="Arial" w:cs="Arial"/>
                <w:lang w:val="en-GB"/>
              </w:rPr>
            </w:pPr>
            <w:r w:rsidRPr="00BF28F4">
              <w:rPr>
                <w:rFonts w:ascii="Arial" w:hAnsi="Arial" w:cs="Arial"/>
                <w:lang w:val="en-GB"/>
              </w:rPr>
              <w:t>Flavonoids</w:t>
            </w:r>
          </w:p>
        </w:tc>
        <w:tc>
          <w:tcPr>
            <w:tcW w:w="3150" w:type="dxa"/>
          </w:tcPr>
          <w:p w14:paraId="30306640" w14:textId="77777777" w:rsidR="00DB7D18" w:rsidRPr="00BF28F4" w:rsidRDefault="00DB7D18" w:rsidP="00DB7D18">
            <w:pPr>
              <w:pStyle w:val="Body"/>
              <w:rPr>
                <w:rFonts w:ascii="Arial" w:hAnsi="Arial" w:cs="Arial"/>
                <w:lang w:val="en-GB"/>
              </w:rPr>
            </w:pPr>
            <w:r w:rsidRPr="00BF28F4">
              <w:rPr>
                <w:rFonts w:ascii="Arial" w:hAnsi="Arial" w:cs="Arial"/>
                <w:lang w:val="en-GB"/>
              </w:rPr>
              <w:t>+++</w:t>
            </w:r>
          </w:p>
        </w:tc>
        <w:tc>
          <w:tcPr>
            <w:cnfStyle w:val="000100000000" w:firstRow="0" w:lastRow="0" w:firstColumn="0" w:lastColumn="1" w:oddVBand="0" w:evenVBand="0" w:oddHBand="0" w:evenHBand="0" w:firstRowFirstColumn="0" w:firstRowLastColumn="0" w:lastRowFirstColumn="0" w:lastRowLastColumn="0"/>
            <w:tcW w:w="2447" w:type="dxa"/>
          </w:tcPr>
          <w:p w14:paraId="4BCF6503" w14:textId="77777777" w:rsidR="00DB7D18" w:rsidRPr="00BF28F4" w:rsidRDefault="00DB7D18" w:rsidP="00DB7D18">
            <w:pPr>
              <w:pStyle w:val="Body"/>
              <w:rPr>
                <w:rFonts w:ascii="Arial" w:hAnsi="Arial" w:cs="Arial"/>
                <w:b w:val="0"/>
                <w:bCs w:val="0"/>
                <w:lang w:val="en-GB"/>
              </w:rPr>
            </w:pPr>
            <w:r w:rsidRPr="00BF28F4">
              <w:rPr>
                <w:rFonts w:ascii="Arial" w:hAnsi="Arial" w:cs="Arial"/>
                <w:b w:val="0"/>
                <w:bCs w:val="0"/>
                <w:lang w:val="en-GB"/>
              </w:rPr>
              <w:t>++</w:t>
            </w:r>
          </w:p>
        </w:tc>
      </w:tr>
      <w:tr w:rsidR="00DB7D18" w:rsidRPr="00BF28F4" w14:paraId="29AEF7C0" w14:textId="77777777" w:rsidTr="00B53517">
        <w:trPr>
          <w:trHeight w:val="487"/>
        </w:trPr>
        <w:tc>
          <w:tcPr>
            <w:tcW w:w="3941" w:type="dxa"/>
          </w:tcPr>
          <w:p w14:paraId="6A045EFB" w14:textId="77777777" w:rsidR="00DB7D18" w:rsidRPr="00BF28F4" w:rsidRDefault="00DB7D18" w:rsidP="00DB7D18">
            <w:pPr>
              <w:pStyle w:val="Body"/>
              <w:rPr>
                <w:rFonts w:ascii="Arial" w:hAnsi="Arial" w:cs="Arial"/>
                <w:lang w:val="en-GB"/>
              </w:rPr>
            </w:pPr>
            <w:r w:rsidRPr="00BF28F4">
              <w:rPr>
                <w:rFonts w:ascii="Arial" w:hAnsi="Arial" w:cs="Arial"/>
                <w:lang w:val="en-GB"/>
              </w:rPr>
              <w:t>Tannins</w:t>
            </w:r>
          </w:p>
        </w:tc>
        <w:tc>
          <w:tcPr>
            <w:tcW w:w="3150" w:type="dxa"/>
          </w:tcPr>
          <w:p w14:paraId="44BCA890" w14:textId="77777777" w:rsidR="00DB7D18" w:rsidRPr="00BF28F4" w:rsidRDefault="00DB7D18" w:rsidP="00DB7D18">
            <w:pPr>
              <w:pStyle w:val="Body"/>
              <w:rPr>
                <w:rFonts w:ascii="Arial" w:hAnsi="Arial" w:cs="Arial"/>
                <w:lang w:val="en-GB"/>
              </w:rPr>
            </w:pPr>
            <w:r w:rsidRPr="00BF28F4">
              <w:rPr>
                <w:rFonts w:ascii="Arial" w:hAnsi="Arial" w:cs="Arial"/>
                <w:lang w:val="en-GB"/>
              </w:rPr>
              <w:t>++</w:t>
            </w:r>
          </w:p>
        </w:tc>
        <w:tc>
          <w:tcPr>
            <w:cnfStyle w:val="000100000000" w:firstRow="0" w:lastRow="0" w:firstColumn="0" w:lastColumn="1" w:oddVBand="0" w:evenVBand="0" w:oddHBand="0" w:evenHBand="0" w:firstRowFirstColumn="0" w:firstRowLastColumn="0" w:lastRowFirstColumn="0" w:lastRowLastColumn="0"/>
            <w:tcW w:w="2447" w:type="dxa"/>
          </w:tcPr>
          <w:p w14:paraId="149B6CF0" w14:textId="77777777" w:rsidR="00DB7D18" w:rsidRPr="00BF28F4" w:rsidRDefault="00DB7D18" w:rsidP="00DB7D18">
            <w:pPr>
              <w:pStyle w:val="Body"/>
              <w:rPr>
                <w:rFonts w:ascii="Arial" w:hAnsi="Arial" w:cs="Arial"/>
                <w:b w:val="0"/>
                <w:bCs w:val="0"/>
                <w:lang w:val="en-GB"/>
              </w:rPr>
            </w:pPr>
            <w:r w:rsidRPr="00BF28F4">
              <w:rPr>
                <w:rFonts w:ascii="Arial" w:hAnsi="Arial" w:cs="Arial"/>
                <w:b w:val="0"/>
                <w:bCs w:val="0"/>
                <w:lang w:val="en-GB"/>
              </w:rPr>
              <w:t>++</w:t>
            </w:r>
          </w:p>
        </w:tc>
      </w:tr>
      <w:tr w:rsidR="00DB7D18" w:rsidRPr="00BF28F4" w14:paraId="086CD59F" w14:textId="77777777" w:rsidTr="00B53517">
        <w:trPr>
          <w:trHeight w:val="525"/>
        </w:trPr>
        <w:tc>
          <w:tcPr>
            <w:tcW w:w="3941" w:type="dxa"/>
          </w:tcPr>
          <w:p w14:paraId="38633BF2" w14:textId="77777777" w:rsidR="00DB7D18" w:rsidRPr="00BF28F4" w:rsidRDefault="00DB7D18" w:rsidP="00DB7D18">
            <w:pPr>
              <w:pStyle w:val="Body"/>
              <w:rPr>
                <w:rFonts w:ascii="Arial" w:hAnsi="Arial" w:cs="Arial"/>
                <w:lang w:val="en-GB"/>
              </w:rPr>
            </w:pPr>
            <w:r w:rsidRPr="00BF28F4">
              <w:rPr>
                <w:rFonts w:ascii="Arial" w:hAnsi="Arial" w:cs="Arial"/>
                <w:lang w:val="en-GB"/>
              </w:rPr>
              <w:t>Saponins</w:t>
            </w:r>
          </w:p>
        </w:tc>
        <w:tc>
          <w:tcPr>
            <w:tcW w:w="3150" w:type="dxa"/>
          </w:tcPr>
          <w:p w14:paraId="51FF796C" w14:textId="77777777" w:rsidR="00DB7D18" w:rsidRPr="00BF28F4" w:rsidRDefault="00DB7D18" w:rsidP="00DB7D18">
            <w:pPr>
              <w:pStyle w:val="Body"/>
              <w:rPr>
                <w:rFonts w:ascii="Arial" w:hAnsi="Arial" w:cs="Arial"/>
                <w:lang w:val="en-GB"/>
              </w:rPr>
            </w:pPr>
            <w:r w:rsidRPr="00BF28F4">
              <w:rPr>
                <w:rFonts w:ascii="Arial" w:hAnsi="Arial" w:cs="Arial"/>
                <w:lang w:val="en-GB"/>
              </w:rPr>
              <w:t>+++</w:t>
            </w:r>
          </w:p>
        </w:tc>
        <w:tc>
          <w:tcPr>
            <w:cnfStyle w:val="000100000000" w:firstRow="0" w:lastRow="0" w:firstColumn="0" w:lastColumn="1" w:oddVBand="0" w:evenVBand="0" w:oddHBand="0" w:evenHBand="0" w:firstRowFirstColumn="0" w:firstRowLastColumn="0" w:lastRowFirstColumn="0" w:lastRowLastColumn="0"/>
            <w:tcW w:w="2447" w:type="dxa"/>
          </w:tcPr>
          <w:p w14:paraId="50E1FB27" w14:textId="77777777" w:rsidR="00DB7D18" w:rsidRPr="00BF28F4" w:rsidRDefault="00DB7D18" w:rsidP="00DB7D18">
            <w:pPr>
              <w:pStyle w:val="Body"/>
              <w:rPr>
                <w:rFonts w:ascii="Arial" w:hAnsi="Arial" w:cs="Arial"/>
                <w:b w:val="0"/>
                <w:bCs w:val="0"/>
                <w:lang w:val="en-GB"/>
              </w:rPr>
            </w:pPr>
            <w:r w:rsidRPr="00BF28F4">
              <w:rPr>
                <w:rFonts w:ascii="Arial" w:hAnsi="Arial" w:cs="Arial"/>
                <w:b w:val="0"/>
                <w:bCs w:val="0"/>
                <w:lang w:val="en-GB"/>
              </w:rPr>
              <w:t>++</w:t>
            </w:r>
          </w:p>
        </w:tc>
      </w:tr>
      <w:tr w:rsidR="00DB7D18" w:rsidRPr="00BF28F4" w14:paraId="317FEF3F" w14:textId="77777777" w:rsidTr="00B53517">
        <w:trPr>
          <w:trHeight w:val="435"/>
        </w:trPr>
        <w:tc>
          <w:tcPr>
            <w:tcW w:w="3941" w:type="dxa"/>
          </w:tcPr>
          <w:p w14:paraId="524BEF0E" w14:textId="77777777" w:rsidR="00DB7D18" w:rsidRPr="00BF28F4" w:rsidRDefault="00DB7D18" w:rsidP="00DB7D18">
            <w:pPr>
              <w:pStyle w:val="Body"/>
              <w:rPr>
                <w:rFonts w:ascii="Arial" w:hAnsi="Arial" w:cs="Arial"/>
                <w:lang w:val="en-GB"/>
              </w:rPr>
            </w:pPr>
            <w:r w:rsidRPr="00BF28F4">
              <w:rPr>
                <w:rFonts w:ascii="Arial" w:hAnsi="Arial" w:cs="Arial"/>
                <w:lang w:val="en-GB"/>
              </w:rPr>
              <w:t>Phenols</w:t>
            </w:r>
          </w:p>
        </w:tc>
        <w:tc>
          <w:tcPr>
            <w:tcW w:w="3150" w:type="dxa"/>
          </w:tcPr>
          <w:p w14:paraId="461ED210" w14:textId="77777777" w:rsidR="00DB7D18" w:rsidRPr="00BF28F4" w:rsidRDefault="00DB7D18" w:rsidP="00DB7D18">
            <w:pPr>
              <w:pStyle w:val="Body"/>
              <w:rPr>
                <w:rFonts w:ascii="Arial" w:hAnsi="Arial" w:cs="Arial"/>
                <w:lang w:val="en-GB"/>
              </w:rPr>
            </w:pPr>
            <w:r w:rsidRPr="00BF28F4">
              <w:rPr>
                <w:rFonts w:ascii="Arial" w:hAnsi="Arial" w:cs="Arial"/>
                <w:lang w:val="en-GB"/>
              </w:rPr>
              <w:t>++</w:t>
            </w:r>
          </w:p>
        </w:tc>
        <w:tc>
          <w:tcPr>
            <w:cnfStyle w:val="000100000000" w:firstRow="0" w:lastRow="0" w:firstColumn="0" w:lastColumn="1" w:oddVBand="0" w:evenVBand="0" w:oddHBand="0" w:evenHBand="0" w:firstRowFirstColumn="0" w:firstRowLastColumn="0" w:lastRowFirstColumn="0" w:lastRowLastColumn="0"/>
            <w:tcW w:w="2447" w:type="dxa"/>
          </w:tcPr>
          <w:p w14:paraId="276D91D2" w14:textId="77777777" w:rsidR="00DB7D18" w:rsidRPr="00BF28F4" w:rsidRDefault="00DB7D18" w:rsidP="00DB7D18">
            <w:pPr>
              <w:pStyle w:val="Body"/>
              <w:rPr>
                <w:rFonts w:ascii="Arial" w:hAnsi="Arial" w:cs="Arial"/>
                <w:b w:val="0"/>
                <w:bCs w:val="0"/>
                <w:lang w:val="en-GB"/>
              </w:rPr>
            </w:pPr>
            <w:r w:rsidRPr="00BF28F4">
              <w:rPr>
                <w:rFonts w:ascii="Arial" w:hAnsi="Arial" w:cs="Arial"/>
                <w:b w:val="0"/>
                <w:bCs w:val="0"/>
                <w:lang w:val="en-GB"/>
              </w:rPr>
              <w:t>+++</w:t>
            </w:r>
          </w:p>
        </w:tc>
      </w:tr>
      <w:tr w:rsidR="00DB7D18" w:rsidRPr="00BF28F4" w14:paraId="18E7856A" w14:textId="77777777" w:rsidTr="00B53517">
        <w:trPr>
          <w:trHeight w:val="60"/>
        </w:trPr>
        <w:tc>
          <w:tcPr>
            <w:tcW w:w="3941" w:type="dxa"/>
          </w:tcPr>
          <w:p w14:paraId="140A0215" w14:textId="77777777" w:rsidR="00DB7D18" w:rsidRPr="00BF28F4" w:rsidRDefault="00DB7D18" w:rsidP="00DB7D18">
            <w:pPr>
              <w:pStyle w:val="Body"/>
              <w:rPr>
                <w:rFonts w:ascii="Arial" w:hAnsi="Arial" w:cs="Arial"/>
                <w:lang w:val="en-GB"/>
              </w:rPr>
            </w:pPr>
            <w:r w:rsidRPr="00BF28F4">
              <w:rPr>
                <w:rFonts w:ascii="Arial" w:hAnsi="Arial" w:cs="Arial"/>
                <w:lang w:val="en-GB"/>
              </w:rPr>
              <w:t>Terpenoids</w:t>
            </w:r>
          </w:p>
        </w:tc>
        <w:tc>
          <w:tcPr>
            <w:tcW w:w="3150" w:type="dxa"/>
          </w:tcPr>
          <w:p w14:paraId="5EFE89F6" w14:textId="77777777" w:rsidR="00DB7D18" w:rsidRPr="00BF28F4" w:rsidRDefault="00DB7D18" w:rsidP="00DB7D18">
            <w:pPr>
              <w:pStyle w:val="Body"/>
              <w:rPr>
                <w:rFonts w:ascii="Arial" w:hAnsi="Arial" w:cs="Arial"/>
                <w:lang w:val="en-GB"/>
              </w:rPr>
            </w:pPr>
            <w:r w:rsidRPr="00BF28F4">
              <w:rPr>
                <w:rFonts w:ascii="Arial" w:hAnsi="Arial" w:cs="Arial"/>
                <w:lang w:val="en-GB"/>
              </w:rPr>
              <w:t>+</w:t>
            </w:r>
          </w:p>
        </w:tc>
        <w:tc>
          <w:tcPr>
            <w:cnfStyle w:val="000100000000" w:firstRow="0" w:lastRow="0" w:firstColumn="0" w:lastColumn="1" w:oddVBand="0" w:evenVBand="0" w:oddHBand="0" w:evenHBand="0" w:firstRowFirstColumn="0" w:firstRowLastColumn="0" w:lastRowFirstColumn="0" w:lastRowLastColumn="0"/>
            <w:tcW w:w="2447" w:type="dxa"/>
          </w:tcPr>
          <w:p w14:paraId="65FF9442" w14:textId="77777777" w:rsidR="00DB7D18" w:rsidRPr="00BF28F4" w:rsidRDefault="00DB7D18" w:rsidP="00DB7D18">
            <w:pPr>
              <w:pStyle w:val="Body"/>
              <w:rPr>
                <w:rFonts w:ascii="Arial" w:hAnsi="Arial" w:cs="Arial"/>
                <w:b w:val="0"/>
                <w:bCs w:val="0"/>
                <w:lang w:val="en-GB"/>
              </w:rPr>
            </w:pPr>
            <w:r w:rsidRPr="00BF28F4">
              <w:rPr>
                <w:rFonts w:ascii="Arial" w:hAnsi="Arial" w:cs="Arial"/>
                <w:b w:val="0"/>
                <w:bCs w:val="0"/>
                <w:lang w:val="en-GB"/>
              </w:rPr>
              <w:t>+</w:t>
            </w:r>
          </w:p>
        </w:tc>
      </w:tr>
    </w:tbl>
    <w:p w14:paraId="04F5FA65" w14:textId="77777777" w:rsidR="00DB7D18" w:rsidRPr="00BF28F4" w:rsidRDefault="00DB7D18" w:rsidP="00DB7D18">
      <w:pPr>
        <w:pStyle w:val="Body"/>
        <w:rPr>
          <w:rFonts w:ascii="Arial" w:hAnsi="Arial" w:cs="Arial"/>
          <w:lang w:val="en-GB"/>
        </w:rPr>
      </w:pPr>
      <w:r w:rsidRPr="00BF28F4">
        <w:rPr>
          <w:rFonts w:ascii="Arial" w:hAnsi="Arial" w:cs="Arial"/>
          <w:lang w:val="en-GB"/>
        </w:rPr>
        <w:t>(+ = low, ++ = moderate, +++ = high presence)</w:t>
      </w:r>
    </w:p>
    <w:p w14:paraId="6B93A1B9" w14:textId="77777777" w:rsidR="00B53517" w:rsidRPr="00BF28F4" w:rsidRDefault="00B53517" w:rsidP="00DB7D18">
      <w:pPr>
        <w:pStyle w:val="Body"/>
        <w:spacing w:after="0"/>
        <w:rPr>
          <w:rFonts w:ascii="Arial" w:hAnsi="Arial" w:cs="Arial"/>
          <w:b/>
          <w:lang w:val="en-GB"/>
        </w:rPr>
      </w:pPr>
    </w:p>
    <w:p w14:paraId="19B0166B" w14:textId="77777777" w:rsidR="00DB7D18" w:rsidRPr="00BF28F4" w:rsidRDefault="00DB7D18" w:rsidP="00DB7D18">
      <w:pPr>
        <w:pStyle w:val="Body"/>
        <w:spacing w:after="0"/>
        <w:rPr>
          <w:rFonts w:ascii="Arial" w:hAnsi="Arial" w:cs="Arial"/>
          <w:b/>
          <w:lang w:val="en-GB"/>
        </w:rPr>
      </w:pPr>
      <w:r w:rsidRPr="00BF28F4">
        <w:rPr>
          <w:rFonts w:ascii="Arial" w:hAnsi="Arial" w:cs="Arial"/>
          <w:b/>
          <w:lang w:val="en-GB"/>
        </w:rPr>
        <w:t>3.2 Effects of Extracts on Fasting Blood Glucose Levels</w:t>
      </w:r>
    </w:p>
    <w:p w14:paraId="1358C30B" w14:textId="77777777" w:rsidR="00B53517" w:rsidRPr="00BF28F4" w:rsidRDefault="00B53517" w:rsidP="00DB7D18">
      <w:pPr>
        <w:pStyle w:val="Body"/>
        <w:spacing w:after="0"/>
        <w:rPr>
          <w:rFonts w:ascii="Arial" w:hAnsi="Arial" w:cs="Arial"/>
          <w:b/>
          <w:lang w:val="en-GB"/>
        </w:rPr>
      </w:pPr>
    </w:p>
    <w:p w14:paraId="4F3F2B00" w14:textId="77777777" w:rsidR="00DB7D18" w:rsidRPr="00BF28F4" w:rsidRDefault="00DB7D18" w:rsidP="00DB7D18">
      <w:pPr>
        <w:pStyle w:val="Body"/>
        <w:spacing w:after="0"/>
        <w:rPr>
          <w:rFonts w:ascii="Arial" w:hAnsi="Arial" w:cs="Arial"/>
        </w:rPr>
      </w:pPr>
      <w:r w:rsidRPr="00BF28F4">
        <w:rPr>
          <w:rFonts w:ascii="Arial" w:hAnsi="Arial" w:cs="Arial"/>
          <w:b/>
          <w:bCs/>
        </w:rPr>
        <w:t>Table 2 and Figure 1</w:t>
      </w:r>
      <w:r w:rsidRPr="00BF28F4">
        <w:rPr>
          <w:rFonts w:ascii="Arial" w:hAnsi="Arial" w:cs="Arial"/>
        </w:rPr>
        <w:t xml:space="preserve"> present the fasting blood glucose levels of the experimental groups during the 21-day treatment period. The normal control maintained stable glucose levels, while the diabetic control showed sustained </w:t>
      </w:r>
      <w:proofErr w:type="spellStart"/>
      <w:r w:rsidRPr="00BF28F4">
        <w:rPr>
          <w:rFonts w:ascii="Arial" w:hAnsi="Arial" w:cs="Arial"/>
        </w:rPr>
        <w:t>hyperglycaemia</w:t>
      </w:r>
      <w:proofErr w:type="spellEnd"/>
      <w:r w:rsidRPr="00BF28F4">
        <w:rPr>
          <w:rFonts w:ascii="Arial" w:hAnsi="Arial" w:cs="Arial"/>
        </w:rPr>
        <w:t xml:space="preserve"> throughout the study (</w:t>
      </w:r>
      <w:r w:rsidRPr="00BF28F4">
        <w:rPr>
          <w:rFonts w:ascii="Arial" w:hAnsi="Arial" w:cs="Arial"/>
          <w:i/>
          <w:iCs/>
        </w:rPr>
        <w:t>p</w:t>
      </w:r>
      <w:r w:rsidRPr="00BF28F4">
        <w:rPr>
          <w:rFonts w:ascii="Arial" w:hAnsi="Arial" w:cs="Arial"/>
        </w:rPr>
        <w:t xml:space="preserve"> &lt; 0.05). Treatment with </w:t>
      </w:r>
      <w:r w:rsidRPr="00BF28F4">
        <w:rPr>
          <w:rFonts w:ascii="Arial" w:hAnsi="Arial" w:cs="Arial"/>
          <w:i/>
          <w:iCs/>
        </w:rPr>
        <w:t>C. sativus</w:t>
      </w:r>
      <w:r w:rsidRPr="00BF28F4">
        <w:rPr>
          <w:rFonts w:ascii="Arial" w:hAnsi="Arial" w:cs="Arial"/>
        </w:rPr>
        <w:t xml:space="preserve"> and </w:t>
      </w:r>
      <w:r w:rsidRPr="00BF28F4">
        <w:rPr>
          <w:rFonts w:ascii="Arial" w:hAnsi="Arial" w:cs="Arial"/>
          <w:i/>
          <w:iCs/>
        </w:rPr>
        <w:t>C. lanatus</w:t>
      </w:r>
      <w:r w:rsidRPr="00BF28F4">
        <w:rPr>
          <w:rFonts w:ascii="Arial" w:hAnsi="Arial" w:cs="Arial"/>
        </w:rPr>
        <w:t xml:space="preserve"> rind extracts reduced fasting blood glucose levels, with a greater reduction observed with the combined extract (5.44 ± 0.11 mmol/L) than the individual extracts (6.22 ± 0.07 and 6.61 ± 0.09 mmol/L, respectively) by day 21. Metformin produced the greatest reduction (5.00 ± 0.08 mmol/L).</w:t>
      </w:r>
    </w:p>
    <w:p w14:paraId="45618D12" w14:textId="77777777" w:rsidR="00B53517" w:rsidRPr="00BF28F4" w:rsidRDefault="00B53517" w:rsidP="00DB7D18">
      <w:pPr>
        <w:pStyle w:val="Body"/>
        <w:spacing w:after="0"/>
        <w:rPr>
          <w:rFonts w:ascii="Arial" w:hAnsi="Arial" w:cs="Arial"/>
        </w:rPr>
      </w:pPr>
    </w:p>
    <w:p w14:paraId="4A6DBEDC" w14:textId="77777777" w:rsidR="00DB7D18" w:rsidRPr="00BF28F4" w:rsidRDefault="00DB7D18" w:rsidP="00B53517">
      <w:pPr>
        <w:pStyle w:val="Body"/>
        <w:spacing w:after="0"/>
        <w:rPr>
          <w:rFonts w:ascii="Arial" w:hAnsi="Arial" w:cs="Arial"/>
          <w:b/>
          <w:bCs/>
        </w:rPr>
      </w:pPr>
      <w:r w:rsidRPr="00BF28F4">
        <w:rPr>
          <w:rFonts w:ascii="Arial" w:hAnsi="Arial" w:cs="Arial"/>
          <w:b/>
          <w:bCs/>
        </w:rPr>
        <w:t>Table 2: Fasting Blood Glucose Levels (mmol/L)</w:t>
      </w:r>
    </w:p>
    <w:tbl>
      <w:tblPr>
        <w:tblStyle w:val="PlainTable2"/>
        <w:tblW w:w="9374" w:type="dxa"/>
        <w:tblLook w:val="07A0" w:firstRow="1" w:lastRow="0" w:firstColumn="1" w:lastColumn="1" w:noHBand="1" w:noVBand="1"/>
      </w:tblPr>
      <w:tblGrid>
        <w:gridCol w:w="2552"/>
        <w:gridCol w:w="1778"/>
        <w:gridCol w:w="1668"/>
        <w:gridCol w:w="1699"/>
        <w:gridCol w:w="1677"/>
      </w:tblGrid>
      <w:tr w:rsidR="00DB7D18" w:rsidRPr="00BF28F4" w14:paraId="1920DB94" w14:textId="77777777" w:rsidTr="00B53517">
        <w:trPr>
          <w:cnfStyle w:val="100000000000" w:firstRow="1" w:lastRow="0" w:firstColumn="0" w:lastColumn="0" w:oddVBand="0" w:evenVBand="0" w:oddHBand="0"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2552" w:type="dxa"/>
            <w:hideMark/>
          </w:tcPr>
          <w:p w14:paraId="6F3FD729" w14:textId="77777777" w:rsidR="00DB7D18" w:rsidRPr="00BF28F4" w:rsidRDefault="00DB7D18" w:rsidP="00DB7D18">
            <w:pPr>
              <w:pStyle w:val="Body"/>
              <w:rPr>
                <w:rFonts w:ascii="Arial" w:hAnsi="Arial" w:cs="Arial"/>
                <w:b w:val="0"/>
                <w:bCs w:val="0"/>
              </w:rPr>
            </w:pPr>
            <w:r w:rsidRPr="00BF28F4">
              <w:rPr>
                <w:rFonts w:ascii="Arial" w:hAnsi="Arial" w:cs="Arial"/>
                <w:b w:val="0"/>
                <w:bCs w:val="0"/>
              </w:rPr>
              <w:t>Group</w:t>
            </w:r>
          </w:p>
        </w:tc>
        <w:tc>
          <w:tcPr>
            <w:tcW w:w="1778" w:type="dxa"/>
            <w:hideMark/>
          </w:tcPr>
          <w:p w14:paraId="7F2E268B" w14:textId="77777777" w:rsidR="00DB7D18" w:rsidRPr="00BF28F4" w:rsidRDefault="00DB7D18" w:rsidP="00DB7D18">
            <w:pPr>
              <w:pStyle w:val="Body"/>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BF28F4">
              <w:rPr>
                <w:rFonts w:ascii="Arial" w:hAnsi="Arial" w:cs="Arial"/>
                <w:b w:val="0"/>
                <w:bCs w:val="0"/>
                <w:lang w:val="en-GB"/>
              </w:rPr>
              <w:t>Post-induction (Day 0)</w:t>
            </w:r>
          </w:p>
        </w:tc>
        <w:tc>
          <w:tcPr>
            <w:tcW w:w="1668" w:type="dxa"/>
            <w:hideMark/>
          </w:tcPr>
          <w:p w14:paraId="28899D01" w14:textId="77777777" w:rsidR="00DB7D18" w:rsidRPr="00BF28F4" w:rsidRDefault="00DB7D18" w:rsidP="00DB7D18">
            <w:pPr>
              <w:pStyle w:val="Body"/>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BF28F4">
              <w:rPr>
                <w:rFonts w:ascii="Arial" w:hAnsi="Arial" w:cs="Arial"/>
                <w:b w:val="0"/>
                <w:bCs w:val="0"/>
              </w:rPr>
              <w:t>Day 7</w:t>
            </w:r>
          </w:p>
        </w:tc>
        <w:tc>
          <w:tcPr>
            <w:tcW w:w="1699" w:type="dxa"/>
            <w:hideMark/>
          </w:tcPr>
          <w:p w14:paraId="4259089A" w14:textId="77777777" w:rsidR="00DB7D18" w:rsidRPr="00BF28F4" w:rsidRDefault="00DB7D18" w:rsidP="00DB7D18">
            <w:pPr>
              <w:pStyle w:val="Body"/>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BF28F4">
              <w:rPr>
                <w:rFonts w:ascii="Arial" w:hAnsi="Arial" w:cs="Arial"/>
                <w:b w:val="0"/>
                <w:bCs w:val="0"/>
              </w:rPr>
              <w:t>Day 14</w:t>
            </w:r>
          </w:p>
        </w:tc>
        <w:tc>
          <w:tcPr>
            <w:cnfStyle w:val="000100000000" w:firstRow="0" w:lastRow="0" w:firstColumn="0" w:lastColumn="1" w:oddVBand="0" w:evenVBand="0" w:oddHBand="0" w:evenHBand="0" w:firstRowFirstColumn="0" w:firstRowLastColumn="0" w:lastRowFirstColumn="0" w:lastRowLastColumn="0"/>
            <w:tcW w:w="1677" w:type="dxa"/>
            <w:hideMark/>
          </w:tcPr>
          <w:p w14:paraId="6CABE298" w14:textId="77777777" w:rsidR="00DB7D18" w:rsidRPr="00BF28F4" w:rsidRDefault="00DB7D18" w:rsidP="00DB7D18">
            <w:pPr>
              <w:pStyle w:val="Body"/>
              <w:rPr>
                <w:rFonts w:ascii="Arial" w:hAnsi="Arial" w:cs="Arial"/>
                <w:b w:val="0"/>
                <w:bCs w:val="0"/>
              </w:rPr>
            </w:pPr>
            <w:r w:rsidRPr="00BF28F4">
              <w:rPr>
                <w:rFonts w:ascii="Arial" w:hAnsi="Arial" w:cs="Arial"/>
                <w:b w:val="0"/>
                <w:bCs w:val="0"/>
              </w:rPr>
              <w:t>Day 21</w:t>
            </w:r>
          </w:p>
        </w:tc>
      </w:tr>
      <w:tr w:rsidR="00DB7D18" w:rsidRPr="00BF28F4" w14:paraId="4C6082A7" w14:textId="77777777" w:rsidTr="00B53517">
        <w:trPr>
          <w:trHeight w:val="560"/>
        </w:trPr>
        <w:tc>
          <w:tcPr>
            <w:cnfStyle w:val="001000000000" w:firstRow="0" w:lastRow="0" w:firstColumn="1" w:lastColumn="0" w:oddVBand="0" w:evenVBand="0" w:oddHBand="0" w:evenHBand="0" w:firstRowFirstColumn="0" w:firstRowLastColumn="0" w:lastRowFirstColumn="0" w:lastRowLastColumn="0"/>
            <w:tcW w:w="2552" w:type="dxa"/>
            <w:hideMark/>
          </w:tcPr>
          <w:p w14:paraId="1C948812" w14:textId="77777777" w:rsidR="00DB7D18" w:rsidRPr="00BF28F4" w:rsidRDefault="00DB7D18" w:rsidP="00DB7D18">
            <w:pPr>
              <w:pStyle w:val="Body"/>
              <w:rPr>
                <w:rFonts w:ascii="Arial" w:hAnsi="Arial" w:cs="Arial"/>
                <w:b w:val="0"/>
                <w:bCs w:val="0"/>
              </w:rPr>
            </w:pPr>
            <w:r w:rsidRPr="00BF28F4">
              <w:rPr>
                <w:rFonts w:ascii="Arial" w:hAnsi="Arial" w:cs="Arial"/>
                <w:b w:val="0"/>
                <w:bCs w:val="0"/>
              </w:rPr>
              <w:t>Normal Control</w:t>
            </w:r>
          </w:p>
        </w:tc>
        <w:tc>
          <w:tcPr>
            <w:tcW w:w="1778" w:type="dxa"/>
            <w:hideMark/>
          </w:tcPr>
          <w:p w14:paraId="0934E313"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4.72 ± 0.19ᵃ</w:t>
            </w:r>
          </w:p>
        </w:tc>
        <w:tc>
          <w:tcPr>
            <w:tcW w:w="1668" w:type="dxa"/>
            <w:hideMark/>
          </w:tcPr>
          <w:p w14:paraId="4CF7FCC9"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4.83 ± 0.19ᵃ</w:t>
            </w:r>
          </w:p>
        </w:tc>
        <w:tc>
          <w:tcPr>
            <w:tcW w:w="1699" w:type="dxa"/>
            <w:hideMark/>
          </w:tcPr>
          <w:p w14:paraId="60A97D4A"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4.67 ± 0.17ᵃ</w:t>
            </w:r>
          </w:p>
        </w:tc>
        <w:tc>
          <w:tcPr>
            <w:cnfStyle w:val="000100000000" w:firstRow="0" w:lastRow="0" w:firstColumn="0" w:lastColumn="1" w:oddVBand="0" w:evenVBand="0" w:oddHBand="0" w:evenHBand="0" w:firstRowFirstColumn="0" w:firstRowLastColumn="0" w:lastRowFirstColumn="0" w:lastRowLastColumn="0"/>
            <w:tcW w:w="1677" w:type="dxa"/>
            <w:hideMark/>
          </w:tcPr>
          <w:p w14:paraId="61386AA7" w14:textId="77777777" w:rsidR="00DB7D18" w:rsidRPr="00BF28F4" w:rsidRDefault="00DB7D18" w:rsidP="00DB7D18">
            <w:pPr>
              <w:pStyle w:val="Body"/>
              <w:rPr>
                <w:rFonts w:ascii="Arial" w:hAnsi="Arial" w:cs="Arial"/>
                <w:b w:val="0"/>
                <w:bCs w:val="0"/>
              </w:rPr>
            </w:pPr>
            <w:r w:rsidRPr="00BF28F4">
              <w:rPr>
                <w:rFonts w:ascii="Arial" w:hAnsi="Arial" w:cs="Arial"/>
                <w:b w:val="0"/>
                <w:bCs w:val="0"/>
              </w:rPr>
              <w:t>4.78 ± 0.17ᵃ</w:t>
            </w:r>
          </w:p>
        </w:tc>
      </w:tr>
      <w:tr w:rsidR="00DB7D18" w:rsidRPr="00BF28F4" w14:paraId="78964933" w14:textId="77777777" w:rsidTr="00B53517">
        <w:trPr>
          <w:trHeight w:val="422"/>
        </w:trPr>
        <w:tc>
          <w:tcPr>
            <w:cnfStyle w:val="001000000000" w:firstRow="0" w:lastRow="0" w:firstColumn="1" w:lastColumn="0" w:oddVBand="0" w:evenVBand="0" w:oddHBand="0" w:evenHBand="0" w:firstRowFirstColumn="0" w:firstRowLastColumn="0" w:lastRowFirstColumn="0" w:lastRowLastColumn="0"/>
            <w:tcW w:w="2552" w:type="dxa"/>
            <w:hideMark/>
          </w:tcPr>
          <w:p w14:paraId="2D810F6B" w14:textId="77777777" w:rsidR="00DB7D18" w:rsidRPr="00BF28F4" w:rsidRDefault="00DB7D18" w:rsidP="00DB7D18">
            <w:pPr>
              <w:pStyle w:val="Body"/>
              <w:rPr>
                <w:rFonts w:ascii="Arial" w:hAnsi="Arial" w:cs="Arial"/>
                <w:b w:val="0"/>
                <w:bCs w:val="0"/>
              </w:rPr>
            </w:pPr>
            <w:r w:rsidRPr="00BF28F4">
              <w:rPr>
                <w:rFonts w:ascii="Arial" w:hAnsi="Arial" w:cs="Arial"/>
                <w:b w:val="0"/>
                <w:bCs w:val="0"/>
              </w:rPr>
              <w:t>Diabetic Control</w:t>
            </w:r>
          </w:p>
        </w:tc>
        <w:tc>
          <w:tcPr>
            <w:tcW w:w="1778" w:type="dxa"/>
            <w:hideMark/>
          </w:tcPr>
          <w:p w14:paraId="4B39520A"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14.56 ± 0.12ᵇ</w:t>
            </w:r>
          </w:p>
        </w:tc>
        <w:tc>
          <w:tcPr>
            <w:tcW w:w="1668" w:type="dxa"/>
            <w:hideMark/>
          </w:tcPr>
          <w:p w14:paraId="710D1F20"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15.00 ± 0.10ᵇ</w:t>
            </w:r>
          </w:p>
        </w:tc>
        <w:tc>
          <w:tcPr>
            <w:tcW w:w="1699" w:type="dxa"/>
            <w:hideMark/>
          </w:tcPr>
          <w:p w14:paraId="1F6FF222"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15.33 ± 0.07ᵇ</w:t>
            </w:r>
          </w:p>
        </w:tc>
        <w:tc>
          <w:tcPr>
            <w:cnfStyle w:val="000100000000" w:firstRow="0" w:lastRow="0" w:firstColumn="0" w:lastColumn="1" w:oddVBand="0" w:evenVBand="0" w:oddHBand="0" w:evenHBand="0" w:firstRowFirstColumn="0" w:firstRowLastColumn="0" w:lastRowFirstColumn="0" w:lastRowLastColumn="0"/>
            <w:tcW w:w="1677" w:type="dxa"/>
            <w:hideMark/>
          </w:tcPr>
          <w:p w14:paraId="24A8BE39" w14:textId="77777777" w:rsidR="00DB7D18" w:rsidRPr="00BF28F4" w:rsidRDefault="00DB7D18" w:rsidP="00DB7D18">
            <w:pPr>
              <w:pStyle w:val="Body"/>
              <w:rPr>
                <w:rFonts w:ascii="Arial" w:hAnsi="Arial" w:cs="Arial"/>
                <w:b w:val="0"/>
                <w:bCs w:val="0"/>
              </w:rPr>
            </w:pPr>
            <w:r w:rsidRPr="00BF28F4">
              <w:rPr>
                <w:rFonts w:ascii="Arial" w:hAnsi="Arial" w:cs="Arial"/>
                <w:b w:val="0"/>
                <w:bCs w:val="0"/>
              </w:rPr>
              <w:t>15.67 ± 0.09ᵇ</w:t>
            </w:r>
          </w:p>
        </w:tc>
      </w:tr>
      <w:tr w:rsidR="00DB7D18" w:rsidRPr="00BF28F4" w14:paraId="2760028E" w14:textId="77777777" w:rsidTr="00B53517">
        <w:trPr>
          <w:trHeight w:val="571"/>
        </w:trPr>
        <w:tc>
          <w:tcPr>
            <w:cnfStyle w:val="001000000000" w:firstRow="0" w:lastRow="0" w:firstColumn="1" w:lastColumn="0" w:oddVBand="0" w:evenVBand="0" w:oddHBand="0" w:evenHBand="0" w:firstRowFirstColumn="0" w:firstRowLastColumn="0" w:lastRowFirstColumn="0" w:lastRowLastColumn="0"/>
            <w:tcW w:w="2552" w:type="dxa"/>
            <w:hideMark/>
          </w:tcPr>
          <w:p w14:paraId="38832815" w14:textId="77777777" w:rsidR="00DB7D18" w:rsidRPr="00BF28F4" w:rsidRDefault="00DB7D18" w:rsidP="00DB7D18">
            <w:pPr>
              <w:pStyle w:val="Body"/>
              <w:rPr>
                <w:rFonts w:ascii="Arial" w:hAnsi="Arial" w:cs="Arial"/>
                <w:b w:val="0"/>
                <w:bCs w:val="0"/>
              </w:rPr>
            </w:pPr>
            <w:r w:rsidRPr="00BF28F4">
              <w:rPr>
                <w:rFonts w:ascii="Arial" w:hAnsi="Arial" w:cs="Arial"/>
                <w:b w:val="0"/>
                <w:bCs w:val="0"/>
                <w:i/>
                <w:iCs/>
              </w:rPr>
              <w:t>C. sativus</w:t>
            </w:r>
            <w:r w:rsidRPr="00BF28F4">
              <w:rPr>
                <w:rFonts w:ascii="Arial" w:hAnsi="Arial" w:cs="Arial"/>
                <w:b w:val="0"/>
                <w:bCs w:val="0"/>
              </w:rPr>
              <w:t xml:space="preserve"> (200 mg/kg)</w:t>
            </w:r>
          </w:p>
        </w:tc>
        <w:tc>
          <w:tcPr>
            <w:tcW w:w="1778" w:type="dxa"/>
            <w:hideMark/>
          </w:tcPr>
          <w:p w14:paraId="1AA57F87"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14.61 ± 0.08ᵇ</w:t>
            </w:r>
          </w:p>
        </w:tc>
        <w:tc>
          <w:tcPr>
            <w:tcW w:w="1668" w:type="dxa"/>
            <w:hideMark/>
          </w:tcPr>
          <w:p w14:paraId="5A1A25F9"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11.00 ± 0.07ᶜ</w:t>
            </w:r>
          </w:p>
        </w:tc>
        <w:tc>
          <w:tcPr>
            <w:tcW w:w="1699" w:type="dxa"/>
            <w:hideMark/>
          </w:tcPr>
          <w:p w14:paraId="382FA9AF"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8.11 ± 0.06ᶜ</w:t>
            </w:r>
          </w:p>
        </w:tc>
        <w:tc>
          <w:tcPr>
            <w:cnfStyle w:val="000100000000" w:firstRow="0" w:lastRow="0" w:firstColumn="0" w:lastColumn="1" w:oddVBand="0" w:evenVBand="0" w:oddHBand="0" w:evenHBand="0" w:firstRowFirstColumn="0" w:firstRowLastColumn="0" w:lastRowFirstColumn="0" w:lastRowLastColumn="0"/>
            <w:tcW w:w="1677" w:type="dxa"/>
            <w:hideMark/>
          </w:tcPr>
          <w:p w14:paraId="178D6B74" w14:textId="77777777" w:rsidR="00DB7D18" w:rsidRPr="00BF28F4" w:rsidRDefault="00DB7D18" w:rsidP="00DB7D18">
            <w:pPr>
              <w:pStyle w:val="Body"/>
              <w:rPr>
                <w:rFonts w:ascii="Arial" w:hAnsi="Arial" w:cs="Arial"/>
                <w:b w:val="0"/>
                <w:bCs w:val="0"/>
              </w:rPr>
            </w:pPr>
            <w:r w:rsidRPr="00BF28F4">
              <w:rPr>
                <w:rFonts w:ascii="Arial" w:hAnsi="Arial" w:cs="Arial"/>
                <w:b w:val="0"/>
                <w:bCs w:val="0"/>
              </w:rPr>
              <w:t>6.22 ± 0.07ᶜ</w:t>
            </w:r>
          </w:p>
        </w:tc>
      </w:tr>
      <w:tr w:rsidR="00DB7D18" w:rsidRPr="00BF28F4" w14:paraId="661EC846" w14:textId="77777777" w:rsidTr="00B53517">
        <w:trPr>
          <w:trHeight w:val="564"/>
        </w:trPr>
        <w:tc>
          <w:tcPr>
            <w:cnfStyle w:val="001000000000" w:firstRow="0" w:lastRow="0" w:firstColumn="1" w:lastColumn="0" w:oddVBand="0" w:evenVBand="0" w:oddHBand="0" w:evenHBand="0" w:firstRowFirstColumn="0" w:firstRowLastColumn="0" w:lastRowFirstColumn="0" w:lastRowLastColumn="0"/>
            <w:tcW w:w="2552" w:type="dxa"/>
            <w:hideMark/>
          </w:tcPr>
          <w:p w14:paraId="294ECB04" w14:textId="77777777" w:rsidR="00DB7D18" w:rsidRPr="00BF28F4" w:rsidRDefault="00DB7D18" w:rsidP="00DB7D18">
            <w:pPr>
              <w:pStyle w:val="Body"/>
              <w:rPr>
                <w:rFonts w:ascii="Arial" w:hAnsi="Arial" w:cs="Arial"/>
                <w:b w:val="0"/>
                <w:bCs w:val="0"/>
              </w:rPr>
            </w:pPr>
            <w:r w:rsidRPr="00BF28F4">
              <w:rPr>
                <w:rFonts w:ascii="Arial" w:hAnsi="Arial" w:cs="Arial"/>
                <w:b w:val="0"/>
                <w:bCs w:val="0"/>
                <w:i/>
                <w:iCs/>
              </w:rPr>
              <w:t>C. lanatus</w:t>
            </w:r>
            <w:r w:rsidRPr="00BF28F4">
              <w:rPr>
                <w:rFonts w:ascii="Arial" w:hAnsi="Arial" w:cs="Arial"/>
                <w:b w:val="0"/>
                <w:bCs w:val="0"/>
              </w:rPr>
              <w:t xml:space="preserve"> (200 mg/kg)</w:t>
            </w:r>
          </w:p>
        </w:tc>
        <w:tc>
          <w:tcPr>
            <w:tcW w:w="1778" w:type="dxa"/>
            <w:hideMark/>
          </w:tcPr>
          <w:p w14:paraId="4ECF3297"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14.72 ± 0.09ᵇ</w:t>
            </w:r>
          </w:p>
        </w:tc>
        <w:tc>
          <w:tcPr>
            <w:tcW w:w="1668" w:type="dxa"/>
            <w:hideMark/>
          </w:tcPr>
          <w:p w14:paraId="7DD4B866"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11.28 ± 0.12ᶜ</w:t>
            </w:r>
          </w:p>
        </w:tc>
        <w:tc>
          <w:tcPr>
            <w:tcW w:w="1699" w:type="dxa"/>
            <w:hideMark/>
          </w:tcPr>
          <w:p w14:paraId="64B31052"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8.56 ± 0.08ᶜ</w:t>
            </w:r>
          </w:p>
        </w:tc>
        <w:tc>
          <w:tcPr>
            <w:cnfStyle w:val="000100000000" w:firstRow="0" w:lastRow="0" w:firstColumn="0" w:lastColumn="1" w:oddVBand="0" w:evenVBand="0" w:oddHBand="0" w:evenHBand="0" w:firstRowFirstColumn="0" w:firstRowLastColumn="0" w:lastRowFirstColumn="0" w:lastRowLastColumn="0"/>
            <w:tcW w:w="1677" w:type="dxa"/>
            <w:hideMark/>
          </w:tcPr>
          <w:p w14:paraId="44860FF3" w14:textId="77777777" w:rsidR="00DB7D18" w:rsidRPr="00BF28F4" w:rsidRDefault="00DB7D18" w:rsidP="00DB7D18">
            <w:pPr>
              <w:pStyle w:val="Body"/>
              <w:rPr>
                <w:rFonts w:ascii="Arial" w:hAnsi="Arial" w:cs="Arial"/>
                <w:b w:val="0"/>
                <w:bCs w:val="0"/>
              </w:rPr>
            </w:pPr>
            <w:r w:rsidRPr="00BF28F4">
              <w:rPr>
                <w:rFonts w:ascii="Arial" w:hAnsi="Arial" w:cs="Arial"/>
                <w:b w:val="0"/>
                <w:bCs w:val="0"/>
              </w:rPr>
              <w:t>6.61 ± 0.09ᶜ</w:t>
            </w:r>
          </w:p>
        </w:tc>
      </w:tr>
      <w:tr w:rsidR="00DB7D18" w:rsidRPr="00BF28F4" w14:paraId="3DC12D8C" w14:textId="77777777" w:rsidTr="00B53517">
        <w:trPr>
          <w:trHeight w:val="714"/>
        </w:trPr>
        <w:tc>
          <w:tcPr>
            <w:cnfStyle w:val="001000000000" w:firstRow="0" w:lastRow="0" w:firstColumn="1" w:lastColumn="0" w:oddVBand="0" w:evenVBand="0" w:oddHBand="0" w:evenHBand="0" w:firstRowFirstColumn="0" w:firstRowLastColumn="0" w:lastRowFirstColumn="0" w:lastRowLastColumn="0"/>
            <w:tcW w:w="2552" w:type="dxa"/>
            <w:hideMark/>
          </w:tcPr>
          <w:p w14:paraId="45F60DF4" w14:textId="77777777" w:rsidR="00DB7D18" w:rsidRPr="00BF28F4" w:rsidRDefault="00DB7D18" w:rsidP="00DB7D18">
            <w:pPr>
              <w:pStyle w:val="Body"/>
              <w:rPr>
                <w:rFonts w:ascii="Arial" w:hAnsi="Arial" w:cs="Arial"/>
                <w:b w:val="0"/>
                <w:bCs w:val="0"/>
              </w:rPr>
            </w:pPr>
            <w:r w:rsidRPr="00BF28F4">
              <w:rPr>
                <w:rFonts w:ascii="Arial" w:hAnsi="Arial" w:cs="Arial"/>
                <w:b w:val="0"/>
                <w:bCs w:val="0"/>
              </w:rPr>
              <w:t>Combined Extract (100 mg/kg each)</w:t>
            </w:r>
          </w:p>
        </w:tc>
        <w:tc>
          <w:tcPr>
            <w:tcW w:w="1778" w:type="dxa"/>
            <w:hideMark/>
          </w:tcPr>
          <w:p w14:paraId="0B823265"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14.50 ± 0.14ᵇ</w:t>
            </w:r>
          </w:p>
        </w:tc>
        <w:tc>
          <w:tcPr>
            <w:tcW w:w="1668" w:type="dxa"/>
            <w:hideMark/>
          </w:tcPr>
          <w:p w14:paraId="1CD3FD9F"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10.22 ± 0.11ᶜ</w:t>
            </w:r>
          </w:p>
        </w:tc>
        <w:tc>
          <w:tcPr>
            <w:tcW w:w="1699" w:type="dxa"/>
            <w:hideMark/>
          </w:tcPr>
          <w:p w14:paraId="0BB587B2"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7.33 ± 0.09ᵈ</w:t>
            </w:r>
          </w:p>
        </w:tc>
        <w:tc>
          <w:tcPr>
            <w:cnfStyle w:val="000100000000" w:firstRow="0" w:lastRow="0" w:firstColumn="0" w:lastColumn="1" w:oddVBand="0" w:evenVBand="0" w:oddHBand="0" w:evenHBand="0" w:firstRowFirstColumn="0" w:firstRowLastColumn="0" w:lastRowFirstColumn="0" w:lastRowLastColumn="0"/>
            <w:tcW w:w="1677" w:type="dxa"/>
            <w:hideMark/>
          </w:tcPr>
          <w:p w14:paraId="4E235D5A" w14:textId="77777777" w:rsidR="00DB7D18" w:rsidRPr="00BF28F4" w:rsidRDefault="00DB7D18" w:rsidP="00DB7D18">
            <w:pPr>
              <w:pStyle w:val="Body"/>
              <w:rPr>
                <w:rFonts w:ascii="Arial" w:hAnsi="Arial" w:cs="Arial"/>
                <w:b w:val="0"/>
                <w:bCs w:val="0"/>
              </w:rPr>
            </w:pPr>
            <w:r w:rsidRPr="00BF28F4">
              <w:rPr>
                <w:rFonts w:ascii="Arial" w:hAnsi="Arial" w:cs="Arial"/>
                <w:b w:val="0"/>
                <w:bCs w:val="0"/>
              </w:rPr>
              <w:t>5.44 ± 0.11ᵈ</w:t>
            </w:r>
          </w:p>
        </w:tc>
      </w:tr>
      <w:tr w:rsidR="00DB7D18" w:rsidRPr="00BF28F4" w14:paraId="13A3C983" w14:textId="77777777" w:rsidTr="00B53517">
        <w:trPr>
          <w:trHeight w:val="682"/>
        </w:trPr>
        <w:tc>
          <w:tcPr>
            <w:cnfStyle w:val="001000000000" w:firstRow="0" w:lastRow="0" w:firstColumn="1" w:lastColumn="0" w:oddVBand="0" w:evenVBand="0" w:oddHBand="0" w:evenHBand="0" w:firstRowFirstColumn="0" w:firstRowLastColumn="0" w:lastRowFirstColumn="0" w:lastRowLastColumn="0"/>
            <w:tcW w:w="2552" w:type="dxa"/>
            <w:hideMark/>
          </w:tcPr>
          <w:p w14:paraId="36FD2442" w14:textId="77777777" w:rsidR="00DB7D18" w:rsidRPr="00BF28F4" w:rsidRDefault="00DB7D18" w:rsidP="00DB7D18">
            <w:pPr>
              <w:pStyle w:val="Body"/>
              <w:rPr>
                <w:rFonts w:ascii="Arial" w:hAnsi="Arial" w:cs="Arial"/>
                <w:b w:val="0"/>
                <w:bCs w:val="0"/>
              </w:rPr>
            </w:pPr>
            <w:r w:rsidRPr="00BF28F4">
              <w:rPr>
                <w:rFonts w:ascii="Arial" w:hAnsi="Arial" w:cs="Arial"/>
                <w:b w:val="0"/>
                <w:bCs w:val="0"/>
              </w:rPr>
              <w:t>Metformin (</w:t>
            </w:r>
            <w:r w:rsidR="008B60C6" w:rsidRPr="00BF28F4">
              <w:rPr>
                <w:rFonts w:ascii="Arial" w:hAnsi="Arial" w:cs="Arial"/>
                <w:b w:val="0"/>
                <w:bCs w:val="0"/>
              </w:rPr>
              <w:t>2</w:t>
            </w:r>
            <w:r w:rsidRPr="00BF28F4">
              <w:rPr>
                <w:rFonts w:ascii="Arial" w:hAnsi="Arial" w:cs="Arial"/>
                <w:b w:val="0"/>
                <w:bCs w:val="0"/>
              </w:rPr>
              <w:t>00 mg/kg)</w:t>
            </w:r>
          </w:p>
        </w:tc>
        <w:tc>
          <w:tcPr>
            <w:tcW w:w="1778" w:type="dxa"/>
            <w:hideMark/>
          </w:tcPr>
          <w:p w14:paraId="2864CDFF"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14.67 ± 0.21ᵇ</w:t>
            </w:r>
          </w:p>
        </w:tc>
        <w:tc>
          <w:tcPr>
            <w:tcW w:w="1668" w:type="dxa"/>
            <w:hideMark/>
          </w:tcPr>
          <w:p w14:paraId="3E3F7732"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9.72 ± 0.18ᶜ</w:t>
            </w:r>
          </w:p>
        </w:tc>
        <w:tc>
          <w:tcPr>
            <w:tcW w:w="1699" w:type="dxa"/>
            <w:hideMark/>
          </w:tcPr>
          <w:p w14:paraId="23CC7E8D"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6.67 ± 0.14ᵈ</w:t>
            </w:r>
          </w:p>
        </w:tc>
        <w:tc>
          <w:tcPr>
            <w:cnfStyle w:val="000100000000" w:firstRow="0" w:lastRow="0" w:firstColumn="0" w:lastColumn="1" w:oddVBand="0" w:evenVBand="0" w:oddHBand="0" w:evenHBand="0" w:firstRowFirstColumn="0" w:firstRowLastColumn="0" w:lastRowFirstColumn="0" w:lastRowLastColumn="0"/>
            <w:tcW w:w="1677" w:type="dxa"/>
            <w:hideMark/>
          </w:tcPr>
          <w:p w14:paraId="771FA257" w14:textId="77777777" w:rsidR="00DB7D18" w:rsidRPr="00BF28F4" w:rsidRDefault="00DB7D18" w:rsidP="00DB7D18">
            <w:pPr>
              <w:pStyle w:val="Body"/>
              <w:rPr>
                <w:rFonts w:ascii="Arial" w:hAnsi="Arial" w:cs="Arial"/>
                <w:b w:val="0"/>
                <w:bCs w:val="0"/>
              </w:rPr>
            </w:pPr>
            <w:r w:rsidRPr="00BF28F4">
              <w:rPr>
                <w:rFonts w:ascii="Arial" w:hAnsi="Arial" w:cs="Arial"/>
                <w:b w:val="0"/>
                <w:bCs w:val="0"/>
              </w:rPr>
              <w:t>5.00 ± 0.08ᵉ</w:t>
            </w:r>
          </w:p>
        </w:tc>
      </w:tr>
    </w:tbl>
    <w:p w14:paraId="0D765B45" w14:textId="77777777" w:rsidR="00DB7D18" w:rsidRPr="00BF28F4" w:rsidRDefault="00DB7D18" w:rsidP="00DB7D18">
      <w:pPr>
        <w:pStyle w:val="Body"/>
        <w:rPr>
          <w:rFonts w:ascii="Arial" w:hAnsi="Arial" w:cs="Arial"/>
        </w:rPr>
      </w:pPr>
      <w:r w:rsidRPr="00BF28F4">
        <w:rPr>
          <w:rFonts w:ascii="Arial" w:hAnsi="Arial" w:cs="Arial"/>
        </w:rPr>
        <w:t>Values are expressed as mean ± SEM (n = 6). Means within the same column with different superscript letters (a–e) are significantly different at p &lt; 0.05, as determined by one-way ANOVA followed by Tukey’s HSD post hoc test.</w:t>
      </w:r>
    </w:p>
    <w:p w14:paraId="10980DC8" w14:textId="77777777" w:rsidR="00DB7D18" w:rsidRPr="00BF28F4" w:rsidRDefault="00DB7D18" w:rsidP="00B53517">
      <w:pPr>
        <w:pStyle w:val="Body"/>
        <w:spacing w:after="0"/>
        <w:rPr>
          <w:rFonts w:ascii="Arial" w:hAnsi="Arial" w:cs="Arial"/>
        </w:rPr>
      </w:pPr>
      <w:r w:rsidRPr="00BF28F4">
        <w:rPr>
          <w:rFonts w:ascii="Arial" w:hAnsi="Arial" w:cs="Arial"/>
          <w:noProof/>
        </w:rPr>
        <w:lastRenderedPageBreak/>
        <w:drawing>
          <wp:inline distT="0" distB="0" distL="0" distR="0" wp14:anchorId="5984D867" wp14:editId="654D6F36">
            <wp:extent cx="5484495" cy="2844800"/>
            <wp:effectExtent l="0" t="0" r="0" b="0"/>
            <wp:docPr id="143710700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4930"/>
                    <a:stretch>
                      <a:fillRect/>
                    </a:stretch>
                  </pic:blipFill>
                  <pic:spPr bwMode="auto">
                    <a:xfrm>
                      <a:off x="0" y="0"/>
                      <a:ext cx="5520838" cy="2863651"/>
                    </a:xfrm>
                    <a:prstGeom prst="rect">
                      <a:avLst/>
                    </a:prstGeom>
                    <a:noFill/>
                    <a:ln>
                      <a:noFill/>
                    </a:ln>
                    <a:extLst>
                      <a:ext uri="{53640926-AAD7-44D8-BBD7-CCE9431645EC}">
                        <a14:shadowObscured xmlns:a14="http://schemas.microsoft.com/office/drawing/2010/main"/>
                      </a:ext>
                    </a:extLst>
                  </pic:spPr>
                </pic:pic>
              </a:graphicData>
            </a:graphic>
          </wp:inline>
        </w:drawing>
      </w:r>
    </w:p>
    <w:p w14:paraId="34556F79" w14:textId="77777777" w:rsidR="00DB7D18" w:rsidRPr="00BF28F4" w:rsidRDefault="00DB7D18" w:rsidP="00DB7D18">
      <w:pPr>
        <w:pStyle w:val="Body"/>
        <w:rPr>
          <w:rFonts w:ascii="Arial" w:hAnsi="Arial" w:cs="Arial"/>
          <w:b/>
          <w:bCs/>
          <w:lang w:val="en-GB"/>
        </w:rPr>
      </w:pPr>
      <w:r w:rsidRPr="00BF28F4">
        <w:rPr>
          <w:rFonts w:ascii="Arial" w:hAnsi="Arial" w:cs="Arial"/>
          <w:b/>
          <w:bCs/>
          <w:lang w:val="en-GB"/>
        </w:rPr>
        <w:t>Figure 1: Fasting blood glucose levels</w:t>
      </w:r>
    </w:p>
    <w:p w14:paraId="4CA2492D" w14:textId="77777777" w:rsidR="00DB7D18" w:rsidRPr="00BF28F4" w:rsidRDefault="00DB7D18" w:rsidP="00B53517">
      <w:pPr>
        <w:pStyle w:val="Body"/>
        <w:rPr>
          <w:rFonts w:ascii="Arial" w:hAnsi="Arial" w:cs="Arial"/>
          <w:b/>
          <w:lang w:val="en-GB"/>
        </w:rPr>
      </w:pPr>
      <w:r w:rsidRPr="00BF28F4">
        <w:rPr>
          <w:rFonts w:ascii="Arial" w:hAnsi="Arial" w:cs="Arial"/>
          <w:b/>
          <w:lang w:val="en-GB"/>
        </w:rPr>
        <w:t>3.3 Effects of Extracts on Serum Lipid Profile</w:t>
      </w:r>
    </w:p>
    <w:p w14:paraId="08DE237C" w14:textId="77777777" w:rsidR="00DB7D18" w:rsidRPr="00BF28F4" w:rsidRDefault="00DB7D18" w:rsidP="00B53517">
      <w:pPr>
        <w:pStyle w:val="Body"/>
        <w:rPr>
          <w:rFonts w:ascii="Arial" w:hAnsi="Arial" w:cs="Arial"/>
          <w:b/>
          <w:lang w:val="en-GB"/>
        </w:rPr>
      </w:pPr>
      <w:r w:rsidRPr="00BF28F4">
        <w:rPr>
          <w:rFonts w:ascii="Arial" w:hAnsi="Arial" w:cs="Arial"/>
          <w:b/>
          <w:i/>
          <w:iCs/>
          <w:lang w:val="en-GB"/>
        </w:rPr>
        <w:t xml:space="preserve">3.3.1 Effects of Extracts on Serum </w:t>
      </w:r>
      <w:r w:rsidRPr="00BF28F4">
        <w:rPr>
          <w:rFonts w:ascii="Arial" w:hAnsi="Arial" w:cs="Arial"/>
          <w:b/>
          <w:lang w:val="en-GB"/>
        </w:rPr>
        <w:t xml:space="preserve">Total Cholesterol Levels </w:t>
      </w:r>
    </w:p>
    <w:p w14:paraId="4D04013F" w14:textId="77777777" w:rsidR="00DB7D18" w:rsidRPr="00BF28F4" w:rsidRDefault="00DB7D18" w:rsidP="00DB7D18">
      <w:pPr>
        <w:pStyle w:val="Body"/>
        <w:spacing w:after="0"/>
        <w:rPr>
          <w:rFonts w:ascii="Arial" w:hAnsi="Arial" w:cs="Arial"/>
          <w:b/>
          <w:lang w:val="en-GB"/>
        </w:rPr>
      </w:pPr>
      <w:r w:rsidRPr="00BF28F4">
        <w:rPr>
          <w:rFonts w:ascii="Arial" w:hAnsi="Arial" w:cs="Arial"/>
          <w:b/>
          <w:bCs/>
          <w:lang w:val="en-GB"/>
        </w:rPr>
        <w:t>Table 3</w:t>
      </w:r>
      <w:r w:rsidRPr="00BF28F4">
        <w:rPr>
          <w:rFonts w:ascii="Arial" w:hAnsi="Arial" w:cs="Arial"/>
          <w:lang w:val="en-GB"/>
        </w:rPr>
        <w:t xml:space="preserve"> and </w:t>
      </w:r>
      <w:r w:rsidRPr="00BF28F4">
        <w:rPr>
          <w:rFonts w:ascii="Arial" w:hAnsi="Arial" w:cs="Arial"/>
          <w:b/>
          <w:bCs/>
          <w:lang w:val="en-GB"/>
        </w:rPr>
        <w:t>Figure 2</w:t>
      </w:r>
      <w:r w:rsidRPr="00BF28F4">
        <w:rPr>
          <w:rFonts w:ascii="Arial" w:hAnsi="Arial" w:cs="Arial"/>
          <w:lang w:val="en-GB"/>
        </w:rPr>
        <w:t xml:space="preserve"> present the effects of </w:t>
      </w:r>
      <w:r w:rsidRPr="00BF28F4">
        <w:rPr>
          <w:rFonts w:ascii="Arial" w:hAnsi="Arial" w:cs="Arial"/>
          <w:i/>
          <w:iCs/>
          <w:lang w:val="en-GB"/>
        </w:rPr>
        <w:t>C. sativus</w:t>
      </w:r>
      <w:r w:rsidRPr="00BF28F4">
        <w:rPr>
          <w:rFonts w:ascii="Arial" w:hAnsi="Arial" w:cs="Arial"/>
          <w:lang w:val="en-GB"/>
        </w:rPr>
        <w:t xml:space="preserve">, </w:t>
      </w:r>
      <w:r w:rsidRPr="00BF28F4">
        <w:rPr>
          <w:rFonts w:ascii="Arial" w:hAnsi="Arial" w:cs="Arial"/>
          <w:i/>
          <w:iCs/>
          <w:lang w:val="en-GB"/>
        </w:rPr>
        <w:t>C. lanatus</w:t>
      </w:r>
      <w:r w:rsidRPr="00BF28F4">
        <w:rPr>
          <w:rFonts w:ascii="Arial" w:hAnsi="Arial" w:cs="Arial"/>
          <w:lang w:val="en-GB"/>
        </w:rPr>
        <w:t>, and their combined extract on total cholesterol levels across the experimental groups over 21 days. The results</w:t>
      </w:r>
      <w:r w:rsidRPr="00BF28F4">
        <w:rPr>
          <w:rFonts w:ascii="Arial" w:hAnsi="Arial" w:cs="Arial"/>
        </w:rPr>
        <w:t xml:space="preserve"> indicate that the normal control group maintained relatively stable total cholesterol levels throughout the study period, with only minor fluctuations (2.85–2.93 mmol/L), confirming metabolic homeostasis.</w:t>
      </w:r>
      <w:r w:rsidRPr="00BF28F4">
        <w:rPr>
          <w:rFonts w:ascii="Arial" w:hAnsi="Arial" w:cs="Arial"/>
          <w:lang w:val="en-GB"/>
        </w:rPr>
        <w:t xml:space="preserve">  </w:t>
      </w:r>
      <w:r w:rsidRPr="00BF28F4">
        <w:rPr>
          <w:rFonts w:ascii="Arial" w:hAnsi="Arial" w:cs="Arial"/>
        </w:rPr>
        <w:t xml:space="preserve">In contrast, the diabetic control group showed a progressive increase from Day 0 (4.66 mmol/L) to Day 21 (4.82 mmol/L), reflecting worsening </w:t>
      </w:r>
      <w:proofErr w:type="spellStart"/>
      <w:r w:rsidRPr="00BF28F4">
        <w:rPr>
          <w:rFonts w:ascii="Arial" w:hAnsi="Arial" w:cs="Arial"/>
        </w:rPr>
        <w:t>hypercholesterolaemia</w:t>
      </w:r>
      <w:proofErr w:type="spellEnd"/>
      <w:r w:rsidRPr="00BF28F4">
        <w:rPr>
          <w:rFonts w:ascii="Arial" w:hAnsi="Arial" w:cs="Arial"/>
        </w:rPr>
        <w:t>. This group remained significantly higher (p &lt; 0.05) than the normal control across all time points.</w:t>
      </w:r>
    </w:p>
    <w:p w14:paraId="2DB0A661" w14:textId="77777777" w:rsidR="00DB7D18" w:rsidRPr="00BF28F4" w:rsidRDefault="00DB7D18" w:rsidP="00DB7D18">
      <w:pPr>
        <w:pStyle w:val="Body"/>
        <w:spacing w:after="0"/>
        <w:rPr>
          <w:rFonts w:ascii="Arial" w:hAnsi="Arial" w:cs="Arial"/>
        </w:rPr>
      </w:pPr>
      <w:r w:rsidRPr="00BF28F4">
        <w:rPr>
          <w:rFonts w:ascii="Arial" w:hAnsi="Arial" w:cs="Arial"/>
        </w:rPr>
        <w:t xml:space="preserve">Treatment with </w:t>
      </w:r>
      <w:r w:rsidRPr="00BF28F4">
        <w:rPr>
          <w:rFonts w:ascii="Arial" w:hAnsi="Arial" w:cs="Arial"/>
          <w:i/>
          <w:iCs/>
        </w:rPr>
        <w:t>C. sativus</w:t>
      </w:r>
      <w:r w:rsidRPr="00BF28F4">
        <w:rPr>
          <w:rFonts w:ascii="Arial" w:hAnsi="Arial" w:cs="Arial"/>
        </w:rPr>
        <w:t xml:space="preserve"> and </w:t>
      </w:r>
      <w:r w:rsidRPr="00BF28F4">
        <w:rPr>
          <w:rFonts w:ascii="Arial" w:hAnsi="Arial" w:cs="Arial"/>
          <w:i/>
          <w:iCs/>
        </w:rPr>
        <w:t>C. lanatus</w:t>
      </w:r>
      <w:r w:rsidRPr="00BF28F4">
        <w:rPr>
          <w:rFonts w:ascii="Arial" w:hAnsi="Arial" w:cs="Arial"/>
        </w:rPr>
        <w:t xml:space="preserve"> extracts resulted in a time-dependent reduction in total cholesterol. By Day 21, values decreased to 3.60 mmol/L and 3.68 mmol/L, respectively, both significantly lower than those of the diabetic control (p &lt; 0.05). The combined extract demonstrated enhanced efficacy, reducing cholesterol to 3.32 mmol/L by Day 21, indicating a stronger </w:t>
      </w:r>
      <w:proofErr w:type="spellStart"/>
      <w:r w:rsidRPr="00BF28F4">
        <w:rPr>
          <w:rFonts w:ascii="Arial" w:hAnsi="Arial" w:cs="Arial"/>
        </w:rPr>
        <w:t>hypocholesterolaemic</w:t>
      </w:r>
      <w:proofErr w:type="spellEnd"/>
      <w:r w:rsidRPr="00BF28F4">
        <w:rPr>
          <w:rFonts w:ascii="Arial" w:hAnsi="Arial" w:cs="Arial"/>
        </w:rPr>
        <w:t xml:space="preserve"> effect than the individual extracts. The metformin-treated group exhibited the greatest reduction, reaching 3.13 mmol/L at Day 21, which was significantly different from all other groups (p &lt; 0.05), highlighting its superior therapeutic performance.</w:t>
      </w:r>
    </w:p>
    <w:p w14:paraId="6CEB9E91" w14:textId="77777777" w:rsidR="00B53517" w:rsidRPr="00BF28F4" w:rsidRDefault="00B53517" w:rsidP="00DB7D18">
      <w:pPr>
        <w:pStyle w:val="Body"/>
        <w:spacing w:after="0"/>
        <w:rPr>
          <w:rFonts w:ascii="Arial" w:hAnsi="Arial" w:cs="Arial"/>
        </w:rPr>
      </w:pPr>
    </w:p>
    <w:p w14:paraId="262F1DE2" w14:textId="77777777" w:rsidR="00DB7D18" w:rsidRPr="00BF28F4" w:rsidRDefault="00DB7D18" w:rsidP="00B53517">
      <w:pPr>
        <w:pStyle w:val="Body"/>
        <w:spacing w:after="0"/>
        <w:rPr>
          <w:rFonts w:ascii="Arial" w:hAnsi="Arial" w:cs="Arial"/>
          <w:b/>
          <w:bCs/>
        </w:rPr>
      </w:pPr>
      <w:r w:rsidRPr="00BF28F4">
        <w:rPr>
          <w:rFonts w:ascii="Arial" w:hAnsi="Arial" w:cs="Arial"/>
          <w:b/>
          <w:bCs/>
        </w:rPr>
        <w:t xml:space="preserve">Table 3: </w:t>
      </w:r>
      <w:r w:rsidRPr="00BF28F4">
        <w:rPr>
          <w:rFonts w:ascii="Arial" w:hAnsi="Arial" w:cs="Arial"/>
          <w:b/>
          <w:bCs/>
          <w:lang w:val="en-GB"/>
        </w:rPr>
        <w:t xml:space="preserve">Effects of Extracts on </w:t>
      </w:r>
      <w:r w:rsidRPr="00BF28F4">
        <w:rPr>
          <w:rFonts w:ascii="Arial" w:hAnsi="Arial" w:cs="Arial"/>
          <w:b/>
          <w:bCs/>
        </w:rPr>
        <w:t>Total Cholesterol (mmol/L)</w:t>
      </w:r>
    </w:p>
    <w:tbl>
      <w:tblPr>
        <w:tblStyle w:val="PlainTable2"/>
        <w:tblW w:w="8963" w:type="dxa"/>
        <w:tblLook w:val="07A0" w:firstRow="1" w:lastRow="0" w:firstColumn="1" w:lastColumn="1" w:noHBand="1" w:noVBand="1"/>
      </w:tblPr>
      <w:tblGrid>
        <w:gridCol w:w="1850"/>
        <w:gridCol w:w="1702"/>
        <w:gridCol w:w="1691"/>
        <w:gridCol w:w="1945"/>
        <w:gridCol w:w="1775"/>
      </w:tblGrid>
      <w:tr w:rsidR="00DB7D18" w:rsidRPr="00BF28F4" w14:paraId="25CFAB18" w14:textId="77777777" w:rsidTr="00B53517">
        <w:trPr>
          <w:cnfStyle w:val="100000000000" w:firstRow="1" w:lastRow="0" w:firstColumn="0" w:lastColumn="0" w:oddVBand="0" w:evenVBand="0" w:oddHBand="0" w:evenHBand="0" w:firstRowFirstColumn="0" w:firstRowLastColumn="0" w:lastRowFirstColumn="0" w:lastRowLastColumn="0"/>
          <w:trHeight w:val="921"/>
        </w:trPr>
        <w:tc>
          <w:tcPr>
            <w:cnfStyle w:val="001000000000" w:firstRow="0" w:lastRow="0" w:firstColumn="1" w:lastColumn="0" w:oddVBand="0" w:evenVBand="0" w:oddHBand="0" w:evenHBand="0" w:firstRowFirstColumn="0" w:firstRowLastColumn="0" w:lastRowFirstColumn="0" w:lastRowLastColumn="0"/>
            <w:tcW w:w="0" w:type="auto"/>
            <w:hideMark/>
          </w:tcPr>
          <w:p w14:paraId="789A2EA8" w14:textId="77777777" w:rsidR="00DB7D18" w:rsidRPr="00BF28F4" w:rsidRDefault="00DB7D18" w:rsidP="00DB7D18">
            <w:pPr>
              <w:pStyle w:val="Body"/>
              <w:rPr>
                <w:rFonts w:ascii="Arial" w:hAnsi="Arial" w:cs="Arial"/>
                <w:b w:val="0"/>
                <w:bCs w:val="0"/>
              </w:rPr>
            </w:pPr>
            <w:r w:rsidRPr="00BF28F4">
              <w:rPr>
                <w:rFonts w:ascii="Arial" w:hAnsi="Arial" w:cs="Arial"/>
                <w:b w:val="0"/>
                <w:bCs w:val="0"/>
              </w:rPr>
              <w:t>Group</w:t>
            </w:r>
          </w:p>
        </w:tc>
        <w:tc>
          <w:tcPr>
            <w:tcW w:w="1702" w:type="dxa"/>
            <w:hideMark/>
          </w:tcPr>
          <w:p w14:paraId="4DFCCEC7" w14:textId="77777777" w:rsidR="00DB7D18" w:rsidRPr="00BF28F4" w:rsidRDefault="00DB7D18" w:rsidP="00DB7D18">
            <w:pPr>
              <w:pStyle w:val="Body"/>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BF28F4">
              <w:rPr>
                <w:rFonts w:ascii="Arial" w:hAnsi="Arial" w:cs="Arial"/>
                <w:b w:val="0"/>
                <w:bCs w:val="0"/>
                <w:lang w:val="en-GB"/>
              </w:rPr>
              <w:t>Post-induction (Day 0)</w:t>
            </w:r>
          </w:p>
        </w:tc>
        <w:tc>
          <w:tcPr>
            <w:tcW w:w="1691" w:type="dxa"/>
            <w:hideMark/>
          </w:tcPr>
          <w:p w14:paraId="769589EC" w14:textId="77777777" w:rsidR="00DB7D18" w:rsidRPr="00BF28F4" w:rsidRDefault="00DB7D18" w:rsidP="00DB7D18">
            <w:pPr>
              <w:pStyle w:val="Body"/>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BF28F4">
              <w:rPr>
                <w:rFonts w:ascii="Arial" w:hAnsi="Arial" w:cs="Arial"/>
                <w:b w:val="0"/>
                <w:bCs w:val="0"/>
              </w:rPr>
              <w:t>Day 7</w:t>
            </w:r>
          </w:p>
        </w:tc>
        <w:tc>
          <w:tcPr>
            <w:tcW w:w="1945" w:type="dxa"/>
            <w:hideMark/>
          </w:tcPr>
          <w:p w14:paraId="61D91692" w14:textId="77777777" w:rsidR="00DB7D18" w:rsidRPr="00BF28F4" w:rsidRDefault="00DB7D18" w:rsidP="00DB7D18">
            <w:pPr>
              <w:pStyle w:val="Body"/>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BF28F4">
              <w:rPr>
                <w:rFonts w:ascii="Arial" w:hAnsi="Arial" w:cs="Arial"/>
                <w:b w:val="0"/>
                <w:bCs w:val="0"/>
              </w:rPr>
              <w:t>Day 14</w:t>
            </w:r>
          </w:p>
        </w:tc>
        <w:tc>
          <w:tcPr>
            <w:cnfStyle w:val="000100000000" w:firstRow="0" w:lastRow="0" w:firstColumn="0" w:lastColumn="1" w:oddVBand="0" w:evenVBand="0" w:oddHBand="0" w:evenHBand="0" w:firstRowFirstColumn="0" w:firstRowLastColumn="0" w:lastRowFirstColumn="0" w:lastRowLastColumn="0"/>
            <w:tcW w:w="1775" w:type="dxa"/>
            <w:hideMark/>
          </w:tcPr>
          <w:p w14:paraId="6043D859" w14:textId="77777777" w:rsidR="00DB7D18" w:rsidRPr="00BF28F4" w:rsidRDefault="00DB7D18" w:rsidP="00DB7D18">
            <w:pPr>
              <w:pStyle w:val="Body"/>
              <w:rPr>
                <w:rFonts w:ascii="Arial" w:hAnsi="Arial" w:cs="Arial"/>
                <w:b w:val="0"/>
                <w:bCs w:val="0"/>
              </w:rPr>
            </w:pPr>
            <w:r w:rsidRPr="00BF28F4">
              <w:rPr>
                <w:rFonts w:ascii="Arial" w:hAnsi="Arial" w:cs="Arial"/>
                <w:b w:val="0"/>
                <w:bCs w:val="0"/>
              </w:rPr>
              <w:t>Day 21</w:t>
            </w:r>
          </w:p>
        </w:tc>
      </w:tr>
      <w:tr w:rsidR="00DB7D18" w:rsidRPr="00BF28F4" w14:paraId="330CC454" w14:textId="77777777" w:rsidTr="00B53517">
        <w:trPr>
          <w:trHeight w:val="457"/>
        </w:trPr>
        <w:tc>
          <w:tcPr>
            <w:cnfStyle w:val="001000000000" w:firstRow="0" w:lastRow="0" w:firstColumn="1" w:lastColumn="0" w:oddVBand="0" w:evenVBand="0" w:oddHBand="0" w:evenHBand="0" w:firstRowFirstColumn="0" w:firstRowLastColumn="0" w:lastRowFirstColumn="0" w:lastRowLastColumn="0"/>
            <w:tcW w:w="0" w:type="auto"/>
            <w:hideMark/>
          </w:tcPr>
          <w:p w14:paraId="2AE38C9D" w14:textId="77777777" w:rsidR="00DB7D18" w:rsidRPr="00BF28F4" w:rsidRDefault="00DB7D18" w:rsidP="00DB7D18">
            <w:pPr>
              <w:pStyle w:val="Body"/>
              <w:rPr>
                <w:rFonts w:ascii="Arial" w:hAnsi="Arial" w:cs="Arial"/>
                <w:b w:val="0"/>
                <w:bCs w:val="0"/>
              </w:rPr>
            </w:pPr>
            <w:r w:rsidRPr="00BF28F4">
              <w:rPr>
                <w:rFonts w:ascii="Arial" w:hAnsi="Arial" w:cs="Arial"/>
                <w:b w:val="0"/>
                <w:bCs w:val="0"/>
              </w:rPr>
              <w:t>Normal Control</w:t>
            </w:r>
          </w:p>
        </w:tc>
        <w:tc>
          <w:tcPr>
            <w:tcW w:w="1702" w:type="dxa"/>
            <w:hideMark/>
          </w:tcPr>
          <w:p w14:paraId="76963527"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2.85 ± 0.08ᵃ</w:t>
            </w:r>
          </w:p>
        </w:tc>
        <w:tc>
          <w:tcPr>
            <w:tcW w:w="1691" w:type="dxa"/>
            <w:hideMark/>
          </w:tcPr>
          <w:p w14:paraId="7B821C5D"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2.87 ± 0.08ᵃ</w:t>
            </w:r>
          </w:p>
        </w:tc>
        <w:tc>
          <w:tcPr>
            <w:tcW w:w="1945" w:type="dxa"/>
            <w:hideMark/>
          </w:tcPr>
          <w:p w14:paraId="49871E16"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2.93 ± 0.08ᵃ</w:t>
            </w:r>
          </w:p>
        </w:tc>
        <w:tc>
          <w:tcPr>
            <w:cnfStyle w:val="000100000000" w:firstRow="0" w:lastRow="0" w:firstColumn="0" w:lastColumn="1" w:oddVBand="0" w:evenVBand="0" w:oddHBand="0" w:evenHBand="0" w:firstRowFirstColumn="0" w:firstRowLastColumn="0" w:lastRowFirstColumn="0" w:lastRowLastColumn="0"/>
            <w:tcW w:w="1775" w:type="dxa"/>
            <w:hideMark/>
          </w:tcPr>
          <w:p w14:paraId="5F9A0709" w14:textId="77777777" w:rsidR="00DB7D18" w:rsidRPr="00BF28F4" w:rsidRDefault="00DB7D18" w:rsidP="00DB7D18">
            <w:pPr>
              <w:pStyle w:val="Body"/>
              <w:rPr>
                <w:rFonts w:ascii="Arial" w:hAnsi="Arial" w:cs="Arial"/>
                <w:b w:val="0"/>
                <w:bCs w:val="0"/>
              </w:rPr>
            </w:pPr>
            <w:r w:rsidRPr="00BF28F4">
              <w:rPr>
                <w:rFonts w:ascii="Arial" w:hAnsi="Arial" w:cs="Arial"/>
                <w:b w:val="0"/>
                <w:bCs w:val="0"/>
              </w:rPr>
              <w:t>2.90 ± 0.08ᵃ</w:t>
            </w:r>
          </w:p>
        </w:tc>
      </w:tr>
      <w:tr w:rsidR="00DB7D18" w:rsidRPr="00BF28F4" w14:paraId="6D150FB0" w14:textId="77777777" w:rsidTr="00B53517">
        <w:trPr>
          <w:trHeight w:val="548"/>
        </w:trPr>
        <w:tc>
          <w:tcPr>
            <w:cnfStyle w:val="001000000000" w:firstRow="0" w:lastRow="0" w:firstColumn="1" w:lastColumn="0" w:oddVBand="0" w:evenVBand="0" w:oddHBand="0" w:evenHBand="0" w:firstRowFirstColumn="0" w:firstRowLastColumn="0" w:lastRowFirstColumn="0" w:lastRowLastColumn="0"/>
            <w:tcW w:w="0" w:type="auto"/>
            <w:hideMark/>
          </w:tcPr>
          <w:p w14:paraId="0BD49F1D" w14:textId="77777777" w:rsidR="00DB7D18" w:rsidRPr="00BF28F4" w:rsidRDefault="00DB7D18" w:rsidP="00DB7D18">
            <w:pPr>
              <w:pStyle w:val="Body"/>
              <w:rPr>
                <w:rFonts w:ascii="Arial" w:hAnsi="Arial" w:cs="Arial"/>
                <w:b w:val="0"/>
                <w:bCs w:val="0"/>
              </w:rPr>
            </w:pPr>
            <w:r w:rsidRPr="00BF28F4">
              <w:rPr>
                <w:rFonts w:ascii="Arial" w:hAnsi="Arial" w:cs="Arial"/>
                <w:b w:val="0"/>
                <w:bCs w:val="0"/>
              </w:rPr>
              <w:t>Diabetic Control</w:t>
            </w:r>
          </w:p>
        </w:tc>
        <w:tc>
          <w:tcPr>
            <w:tcW w:w="1702" w:type="dxa"/>
            <w:hideMark/>
          </w:tcPr>
          <w:p w14:paraId="76E8D1C8"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4.66 ± 0.11ᵇ</w:t>
            </w:r>
          </w:p>
        </w:tc>
        <w:tc>
          <w:tcPr>
            <w:tcW w:w="1691" w:type="dxa"/>
            <w:hideMark/>
          </w:tcPr>
          <w:p w14:paraId="5CC4D2FA"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4.74 ± 0.11ᵇ</w:t>
            </w:r>
          </w:p>
        </w:tc>
        <w:tc>
          <w:tcPr>
            <w:tcW w:w="1945" w:type="dxa"/>
            <w:hideMark/>
          </w:tcPr>
          <w:p w14:paraId="05DE9B43"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4.79 ± 0.11ᵇ</w:t>
            </w:r>
          </w:p>
        </w:tc>
        <w:tc>
          <w:tcPr>
            <w:cnfStyle w:val="000100000000" w:firstRow="0" w:lastRow="0" w:firstColumn="0" w:lastColumn="1" w:oddVBand="0" w:evenVBand="0" w:oddHBand="0" w:evenHBand="0" w:firstRowFirstColumn="0" w:firstRowLastColumn="0" w:lastRowFirstColumn="0" w:lastRowLastColumn="0"/>
            <w:tcW w:w="1775" w:type="dxa"/>
            <w:hideMark/>
          </w:tcPr>
          <w:p w14:paraId="47F71608" w14:textId="77777777" w:rsidR="00DB7D18" w:rsidRPr="00BF28F4" w:rsidRDefault="00DB7D18" w:rsidP="00DB7D18">
            <w:pPr>
              <w:pStyle w:val="Body"/>
              <w:rPr>
                <w:rFonts w:ascii="Arial" w:hAnsi="Arial" w:cs="Arial"/>
                <w:b w:val="0"/>
                <w:bCs w:val="0"/>
              </w:rPr>
            </w:pPr>
            <w:r w:rsidRPr="00BF28F4">
              <w:rPr>
                <w:rFonts w:ascii="Arial" w:hAnsi="Arial" w:cs="Arial"/>
                <w:b w:val="0"/>
                <w:bCs w:val="0"/>
              </w:rPr>
              <w:t>4.82 ± 0.11ᵇ</w:t>
            </w:r>
          </w:p>
        </w:tc>
      </w:tr>
      <w:tr w:rsidR="00DB7D18" w:rsidRPr="00BF28F4" w14:paraId="7030CF17" w14:textId="77777777" w:rsidTr="00B53517">
        <w:trPr>
          <w:trHeight w:val="360"/>
        </w:trPr>
        <w:tc>
          <w:tcPr>
            <w:cnfStyle w:val="001000000000" w:firstRow="0" w:lastRow="0" w:firstColumn="1" w:lastColumn="0" w:oddVBand="0" w:evenVBand="0" w:oddHBand="0" w:evenHBand="0" w:firstRowFirstColumn="0" w:firstRowLastColumn="0" w:lastRowFirstColumn="0" w:lastRowLastColumn="0"/>
            <w:tcW w:w="0" w:type="auto"/>
            <w:hideMark/>
          </w:tcPr>
          <w:p w14:paraId="5C07CA86" w14:textId="77777777" w:rsidR="00DB7D18" w:rsidRPr="00BF28F4" w:rsidRDefault="00DB7D18" w:rsidP="00DB7D18">
            <w:pPr>
              <w:pStyle w:val="Body"/>
              <w:rPr>
                <w:rFonts w:ascii="Arial" w:hAnsi="Arial" w:cs="Arial"/>
                <w:b w:val="0"/>
                <w:bCs w:val="0"/>
              </w:rPr>
            </w:pPr>
            <w:r w:rsidRPr="00BF28F4">
              <w:rPr>
                <w:rFonts w:ascii="Arial" w:hAnsi="Arial" w:cs="Arial"/>
                <w:b w:val="0"/>
                <w:bCs w:val="0"/>
                <w:i/>
                <w:iCs/>
              </w:rPr>
              <w:t>C. sativus</w:t>
            </w:r>
          </w:p>
        </w:tc>
        <w:tc>
          <w:tcPr>
            <w:tcW w:w="1702" w:type="dxa"/>
            <w:hideMark/>
          </w:tcPr>
          <w:p w14:paraId="31F14CA0"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4.64 ± 0.10ᵇ</w:t>
            </w:r>
          </w:p>
        </w:tc>
        <w:tc>
          <w:tcPr>
            <w:tcW w:w="1691" w:type="dxa"/>
            <w:hideMark/>
          </w:tcPr>
          <w:p w14:paraId="111556B7"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4.14 ± 0.10ᶜ</w:t>
            </w:r>
          </w:p>
        </w:tc>
        <w:tc>
          <w:tcPr>
            <w:tcW w:w="1945" w:type="dxa"/>
            <w:hideMark/>
          </w:tcPr>
          <w:p w14:paraId="7AAC73FB"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3.76 ± 0.09ᶜ</w:t>
            </w:r>
          </w:p>
        </w:tc>
        <w:tc>
          <w:tcPr>
            <w:cnfStyle w:val="000100000000" w:firstRow="0" w:lastRow="0" w:firstColumn="0" w:lastColumn="1" w:oddVBand="0" w:evenVBand="0" w:oddHBand="0" w:evenHBand="0" w:firstRowFirstColumn="0" w:firstRowLastColumn="0" w:lastRowFirstColumn="0" w:lastRowLastColumn="0"/>
            <w:tcW w:w="1775" w:type="dxa"/>
            <w:hideMark/>
          </w:tcPr>
          <w:p w14:paraId="44EA6BA7" w14:textId="77777777" w:rsidR="00DB7D18" w:rsidRPr="00BF28F4" w:rsidRDefault="00DB7D18" w:rsidP="00DB7D18">
            <w:pPr>
              <w:pStyle w:val="Body"/>
              <w:rPr>
                <w:rFonts w:ascii="Arial" w:hAnsi="Arial" w:cs="Arial"/>
                <w:b w:val="0"/>
                <w:bCs w:val="0"/>
              </w:rPr>
            </w:pPr>
            <w:r w:rsidRPr="00BF28F4">
              <w:rPr>
                <w:rFonts w:ascii="Arial" w:hAnsi="Arial" w:cs="Arial"/>
                <w:b w:val="0"/>
                <w:bCs w:val="0"/>
              </w:rPr>
              <w:t>3.60 ± 0.09ᶜ</w:t>
            </w:r>
          </w:p>
        </w:tc>
      </w:tr>
      <w:tr w:rsidR="00DB7D18" w:rsidRPr="00BF28F4" w14:paraId="3D63FEBD" w14:textId="77777777" w:rsidTr="00B53517">
        <w:trPr>
          <w:trHeight w:val="594"/>
        </w:trPr>
        <w:tc>
          <w:tcPr>
            <w:cnfStyle w:val="001000000000" w:firstRow="0" w:lastRow="0" w:firstColumn="1" w:lastColumn="0" w:oddVBand="0" w:evenVBand="0" w:oddHBand="0" w:evenHBand="0" w:firstRowFirstColumn="0" w:firstRowLastColumn="0" w:lastRowFirstColumn="0" w:lastRowLastColumn="0"/>
            <w:tcW w:w="0" w:type="auto"/>
            <w:hideMark/>
          </w:tcPr>
          <w:p w14:paraId="1B859500" w14:textId="77777777" w:rsidR="00DB7D18" w:rsidRPr="00BF28F4" w:rsidRDefault="00DB7D18" w:rsidP="00DB7D18">
            <w:pPr>
              <w:pStyle w:val="Body"/>
              <w:rPr>
                <w:rFonts w:ascii="Arial" w:hAnsi="Arial" w:cs="Arial"/>
                <w:b w:val="0"/>
                <w:bCs w:val="0"/>
              </w:rPr>
            </w:pPr>
            <w:r w:rsidRPr="00BF28F4">
              <w:rPr>
                <w:rFonts w:ascii="Arial" w:hAnsi="Arial" w:cs="Arial"/>
                <w:b w:val="0"/>
                <w:bCs w:val="0"/>
                <w:i/>
                <w:iCs/>
              </w:rPr>
              <w:t>C. lanatus</w:t>
            </w:r>
          </w:p>
        </w:tc>
        <w:tc>
          <w:tcPr>
            <w:tcW w:w="1702" w:type="dxa"/>
            <w:hideMark/>
          </w:tcPr>
          <w:p w14:paraId="6EB1ED59"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4.66 ± 0.10ᵇ</w:t>
            </w:r>
          </w:p>
        </w:tc>
        <w:tc>
          <w:tcPr>
            <w:tcW w:w="1691" w:type="dxa"/>
            <w:hideMark/>
          </w:tcPr>
          <w:p w14:paraId="3AEB730E"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4.22 ± 0.09ᶜ</w:t>
            </w:r>
          </w:p>
        </w:tc>
        <w:tc>
          <w:tcPr>
            <w:tcW w:w="1945" w:type="dxa"/>
            <w:hideMark/>
          </w:tcPr>
          <w:p w14:paraId="75A9C683"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3.81 ± 0.09ᶜ</w:t>
            </w:r>
          </w:p>
        </w:tc>
        <w:tc>
          <w:tcPr>
            <w:cnfStyle w:val="000100000000" w:firstRow="0" w:lastRow="0" w:firstColumn="0" w:lastColumn="1" w:oddVBand="0" w:evenVBand="0" w:oddHBand="0" w:evenHBand="0" w:firstRowFirstColumn="0" w:firstRowLastColumn="0" w:lastRowFirstColumn="0" w:lastRowLastColumn="0"/>
            <w:tcW w:w="1775" w:type="dxa"/>
            <w:hideMark/>
          </w:tcPr>
          <w:p w14:paraId="0D31750C" w14:textId="77777777" w:rsidR="00DB7D18" w:rsidRPr="00BF28F4" w:rsidRDefault="00DB7D18" w:rsidP="00DB7D18">
            <w:pPr>
              <w:pStyle w:val="Body"/>
              <w:rPr>
                <w:rFonts w:ascii="Arial" w:hAnsi="Arial" w:cs="Arial"/>
                <w:b w:val="0"/>
                <w:bCs w:val="0"/>
              </w:rPr>
            </w:pPr>
            <w:r w:rsidRPr="00BF28F4">
              <w:rPr>
                <w:rFonts w:ascii="Arial" w:hAnsi="Arial" w:cs="Arial"/>
                <w:b w:val="0"/>
                <w:bCs w:val="0"/>
              </w:rPr>
              <w:t>3.68 ± 0.09ᶜ</w:t>
            </w:r>
          </w:p>
        </w:tc>
      </w:tr>
      <w:tr w:rsidR="00DB7D18" w:rsidRPr="00BF28F4" w14:paraId="6C2DF8D1" w14:textId="77777777" w:rsidTr="00B53517">
        <w:trPr>
          <w:trHeight w:val="716"/>
        </w:trPr>
        <w:tc>
          <w:tcPr>
            <w:cnfStyle w:val="001000000000" w:firstRow="0" w:lastRow="0" w:firstColumn="1" w:lastColumn="0" w:oddVBand="0" w:evenVBand="0" w:oddHBand="0" w:evenHBand="0" w:firstRowFirstColumn="0" w:firstRowLastColumn="0" w:lastRowFirstColumn="0" w:lastRowLastColumn="0"/>
            <w:tcW w:w="0" w:type="auto"/>
            <w:hideMark/>
          </w:tcPr>
          <w:p w14:paraId="40306709" w14:textId="77777777" w:rsidR="00DB7D18" w:rsidRPr="00BF28F4" w:rsidRDefault="00DB7D18" w:rsidP="00DB7D18">
            <w:pPr>
              <w:pStyle w:val="Body"/>
              <w:rPr>
                <w:rFonts w:ascii="Arial" w:hAnsi="Arial" w:cs="Arial"/>
                <w:b w:val="0"/>
                <w:bCs w:val="0"/>
              </w:rPr>
            </w:pPr>
            <w:r w:rsidRPr="00BF28F4">
              <w:rPr>
                <w:rFonts w:ascii="Arial" w:hAnsi="Arial" w:cs="Arial"/>
                <w:b w:val="0"/>
                <w:bCs w:val="0"/>
              </w:rPr>
              <w:t>Combined Extract</w:t>
            </w:r>
          </w:p>
        </w:tc>
        <w:tc>
          <w:tcPr>
            <w:tcW w:w="1702" w:type="dxa"/>
            <w:hideMark/>
          </w:tcPr>
          <w:p w14:paraId="1BED9DF6"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4.69 ± 0.10ᵇ</w:t>
            </w:r>
          </w:p>
        </w:tc>
        <w:tc>
          <w:tcPr>
            <w:tcW w:w="1691" w:type="dxa"/>
            <w:hideMark/>
          </w:tcPr>
          <w:p w14:paraId="05D1AA1B"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4.01 ± 0.09ᶜ</w:t>
            </w:r>
          </w:p>
        </w:tc>
        <w:tc>
          <w:tcPr>
            <w:tcW w:w="1945" w:type="dxa"/>
            <w:hideMark/>
          </w:tcPr>
          <w:p w14:paraId="57778913"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3.50 ± 0.08ᵈ</w:t>
            </w:r>
          </w:p>
        </w:tc>
        <w:tc>
          <w:tcPr>
            <w:cnfStyle w:val="000100000000" w:firstRow="0" w:lastRow="0" w:firstColumn="0" w:lastColumn="1" w:oddVBand="0" w:evenVBand="0" w:oddHBand="0" w:evenHBand="0" w:firstRowFirstColumn="0" w:firstRowLastColumn="0" w:lastRowFirstColumn="0" w:lastRowLastColumn="0"/>
            <w:tcW w:w="1775" w:type="dxa"/>
            <w:hideMark/>
          </w:tcPr>
          <w:p w14:paraId="1FD291BE" w14:textId="77777777" w:rsidR="00DB7D18" w:rsidRPr="00BF28F4" w:rsidRDefault="00DB7D18" w:rsidP="00DB7D18">
            <w:pPr>
              <w:pStyle w:val="Body"/>
              <w:rPr>
                <w:rFonts w:ascii="Arial" w:hAnsi="Arial" w:cs="Arial"/>
                <w:b w:val="0"/>
                <w:bCs w:val="0"/>
              </w:rPr>
            </w:pPr>
            <w:r w:rsidRPr="00BF28F4">
              <w:rPr>
                <w:rFonts w:ascii="Arial" w:hAnsi="Arial" w:cs="Arial"/>
                <w:b w:val="0"/>
                <w:bCs w:val="0"/>
              </w:rPr>
              <w:t>3.32 ± 0.08ᵈ</w:t>
            </w:r>
          </w:p>
        </w:tc>
      </w:tr>
      <w:tr w:rsidR="00DB7D18" w:rsidRPr="00BF28F4" w14:paraId="50F6B9F6" w14:textId="77777777" w:rsidTr="00B53517">
        <w:trPr>
          <w:trHeight w:val="273"/>
        </w:trPr>
        <w:tc>
          <w:tcPr>
            <w:cnfStyle w:val="001000000000" w:firstRow="0" w:lastRow="0" w:firstColumn="1" w:lastColumn="0" w:oddVBand="0" w:evenVBand="0" w:oddHBand="0" w:evenHBand="0" w:firstRowFirstColumn="0" w:firstRowLastColumn="0" w:lastRowFirstColumn="0" w:lastRowLastColumn="0"/>
            <w:tcW w:w="0" w:type="auto"/>
            <w:hideMark/>
          </w:tcPr>
          <w:p w14:paraId="3AAF5F1D" w14:textId="77777777" w:rsidR="00DB7D18" w:rsidRPr="00BF28F4" w:rsidRDefault="00DB7D18" w:rsidP="00DB7D18">
            <w:pPr>
              <w:pStyle w:val="Body"/>
              <w:rPr>
                <w:rFonts w:ascii="Arial" w:hAnsi="Arial" w:cs="Arial"/>
                <w:b w:val="0"/>
                <w:bCs w:val="0"/>
              </w:rPr>
            </w:pPr>
            <w:r w:rsidRPr="00BF28F4">
              <w:rPr>
                <w:rFonts w:ascii="Arial" w:hAnsi="Arial" w:cs="Arial"/>
                <w:b w:val="0"/>
                <w:bCs w:val="0"/>
              </w:rPr>
              <w:t>Metformin</w:t>
            </w:r>
          </w:p>
        </w:tc>
        <w:tc>
          <w:tcPr>
            <w:tcW w:w="1702" w:type="dxa"/>
            <w:hideMark/>
          </w:tcPr>
          <w:p w14:paraId="74E0B8AB"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4.66 ± 0.09ᵇ</w:t>
            </w:r>
          </w:p>
        </w:tc>
        <w:tc>
          <w:tcPr>
            <w:tcW w:w="1691" w:type="dxa"/>
            <w:hideMark/>
          </w:tcPr>
          <w:p w14:paraId="6C196FDB"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3.89 ± 0.08ᶜ</w:t>
            </w:r>
          </w:p>
        </w:tc>
        <w:tc>
          <w:tcPr>
            <w:tcW w:w="1945" w:type="dxa"/>
            <w:hideMark/>
          </w:tcPr>
          <w:p w14:paraId="26E50897"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3.37 ± 0.07ᵈ</w:t>
            </w:r>
          </w:p>
        </w:tc>
        <w:tc>
          <w:tcPr>
            <w:cnfStyle w:val="000100000000" w:firstRow="0" w:lastRow="0" w:firstColumn="0" w:lastColumn="1" w:oddVBand="0" w:evenVBand="0" w:oddHBand="0" w:evenHBand="0" w:firstRowFirstColumn="0" w:firstRowLastColumn="0" w:lastRowFirstColumn="0" w:lastRowLastColumn="0"/>
            <w:tcW w:w="1775" w:type="dxa"/>
            <w:hideMark/>
          </w:tcPr>
          <w:p w14:paraId="3B874F37" w14:textId="77777777" w:rsidR="00DB7D18" w:rsidRPr="00BF28F4" w:rsidRDefault="00DB7D18" w:rsidP="00DB7D18">
            <w:pPr>
              <w:pStyle w:val="Body"/>
              <w:rPr>
                <w:rFonts w:ascii="Arial" w:hAnsi="Arial" w:cs="Arial"/>
                <w:b w:val="0"/>
                <w:bCs w:val="0"/>
              </w:rPr>
            </w:pPr>
            <w:r w:rsidRPr="00BF28F4">
              <w:rPr>
                <w:rFonts w:ascii="Arial" w:hAnsi="Arial" w:cs="Arial"/>
                <w:b w:val="0"/>
                <w:bCs w:val="0"/>
              </w:rPr>
              <w:t>3.13 ± 0.06ᵉ</w:t>
            </w:r>
          </w:p>
        </w:tc>
      </w:tr>
    </w:tbl>
    <w:p w14:paraId="2448E910" w14:textId="77777777" w:rsidR="00DB7D18" w:rsidRPr="00BF28F4" w:rsidRDefault="00DB7D18" w:rsidP="00DB7D18">
      <w:pPr>
        <w:pStyle w:val="Body"/>
        <w:rPr>
          <w:rFonts w:ascii="Arial" w:hAnsi="Arial" w:cs="Arial"/>
          <w:bCs/>
          <w:lang w:val="en-GB"/>
        </w:rPr>
      </w:pPr>
      <w:r w:rsidRPr="00BF28F4">
        <w:rPr>
          <w:rFonts w:ascii="Arial" w:hAnsi="Arial" w:cs="Arial"/>
          <w:bCs/>
          <w:lang w:val="en-GB"/>
        </w:rPr>
        <w:lastRenderedPageBreak/>
        <w:t>Values are expressed as mean ± SEM (n = 6). Means within the same column with different superscript letters (a–e) are significantly different at p &lt; 0.05, as determined by one-way analysis of variance (ANOVA) followed by Tukey’s Honestly Significant Difference (HSD) post hoc test.</w:t>
      </w:r>
    </w:p>
    <w:p w14:paraId="1C21C45C" w14:textId="77777777" w:rsidR="00DB7D18" w:rsidRPr="00BF28F4" w:rsidRDefault="00DB7D18" w:rsidP="00DB7D18">
      <w:pPr>
        <w:pStyle w:val="Body"/>
        <w:rPr>
          <w:rFonts w:ascii="Arial" w:hAnsi="Arial" w:cs="Arial"/>
          <w:bCs/>
          <w:lang w:val="en-GB"/>
        </w:rPr>
      </w:pPr>
    </w:p>
    <w:p w14:paraId="5676C414" w14:textId="77777777" w:rsidR="00DB7D18" w:rsidRPr="00BF28F4" w:rsidRDefault="00DB7D18" w:rsidP="00DB7D18">
      <w:pPr>
        <w:pStyle w:val="Body"/>
        <w:rPr>
          <w:rFonts w:ascii="Arial" w:hAnsi="Arial" w:cs="Arial"/>
          <w:bCs/>
          <w:lang w:val="en-GB"/>
        </w:rPr>
      </w:pPr>
      <w:r w:rsidRPr="00BF28F4">
        <w:rPr>
          <w:rFonts w:ascii="Arial" w:hAnsi="Arial" w:cs="Arial"/>
          <w:noProof/>
        </w:rPr>
        <w:drawing>
          <wp:inline distT="0" distB="0" distL="0" distR="0" wp14:anchorId="2B71B8BA" wp14:editId="7A4BEDB2">
            <wp:extent cx="5378450" cy="2178050"/>
            <wp:effectExtent l="0" t="0" r="0" b="0"/>
            <wp:docPr id="1129877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5026"/>
                    <a:stretch>
                      <a:fillRect/>
                    </a:stretch>
                  </pic:blipFill>
                  <pic:spPr bwMode="auto">
                    <a:xfrm>
                      <a:off x="0" y="0"/>
                      <a:ext cx="5386799" cy="2181431"/>
                    </a:xfrm>
                    <a:prstGeom prst="rect">
                      <a:avLst/>
                    </a:prstGeom>
                    <a:noFill/>
                    <a:ln>
                      <a:noFill/>
                    </a:ln>
                    <a:extLst>
                      <a:ext uri="{53640926-AAD7-44D8-BBD7-CCE9431645EC}">
                        <a14:shadowObscured xmlns:a14="http://schemas.microsoft.com/office/drawing/2010/main"/>
                      </a:ext>
                    </a:extLst>
                  </pic:spPr>
                </pic:pic>
              </a:graphicData>
            </a:graphic>
          </wp:inline>
        </w:drawing>
      </w:r>
    </w:p>
    <w:p w14:paraId="254D181F" w14:textId="77777777" w:rsidR="00DB7D18" w:rsidRPr="00BF28F4" w:rsidRDefault="00DB7D18" w:rsidP="00DB7D18">
      <w:pPr>
        <w:pStyle w:val="Body"/>
        <w:rPr>
          <w:rFonts w:ascii="Arial" w:hAnsi="Arial" w:cs="Arial"/>
          <w:b/>
          <w:bCs/>
          <w:i/>
          <w:iCs/>
        </w:rPr>
      </w:pPr>
      <w:r w:rsidRPr="00BF28F4">
        <w:rPr>
          <w:rFonts w:ascii="Arial" w:hAnsi="Arial" w:cs="Arial"/>
          <w:b/>
          <w:bCs/>
          <w:i/>
          <w:iCs/>
        </w:rPr>
        <w:t>Figure 2. Mean total cholesterol</w:t>
      </w:r>
    </w:p>
    <w:p w14:paraId="19A32379" w14:textId="77777777" w:rsidR="00DB7D18" w:rsidRPr="00BF28F4" w:rsidRDefault="00DB7D18" w:rsidP="00DB7D18">
      <w:pPr>
        <w:pStyle w:val="Body"/>
        <w:spacing w:after="0"/>
        <w:rPr>
          <w:rFonts w:ascii="Arial" w:hAnsi="Arial" w:cs="Arial"/>
          <w:b/>
          <w:i/>
          <w:iCs/>
          <w:lang w:val="en-GB"/>
        </w:rPr>
      </w:pPr>
      <w:r w:rsidRPr="00BF28F4">
        <w:rPr>
          <w:rFonts w:ascii="Arial" w:hAnsi="Arial" w:cs="Arial"/>
          <w:b/>
          <w:bCs/>
        </w:rPr>
        <w:t xml:space="preserve">3.3.2 </w:t>
      </w:r>
      <w:r w:rsidRPr="00BF28F4">
        <w:rPr>
          <w:rFonts w:ascii="Arial" w:hAnsi="Arial" w:cs="Arial"/>
          <w:b/>
          <w:i/>
          <w:iCs/>
          <w:lang w:val="en-GB"/>
        </w:rPr>
        <w:t>Effects of Extracts on Serum High-Density Lipoprotein (HDL)</w:t>
      </w:r>
    </w:p>
    <w:p w14:paraId="22949401" w14:textId="77777777" w:rsidR="00B53517" w:rsidRPr="00BF28F4" w:rsidRDefault="00B53517" w:rsidP="00DB7D18">
      <w:pPr>
        <w:pStyle w:val="Body"/>
        <w:spacing w:after="0"/>
        <w:rPr>
          <w:rFonts w:ascii="Arial" w:hAnsi="Arial" w:cs="Arial"/>
          <w:b/>
          <w:i/>
          <w:iCs/>
          <w:lang w:val="en-GB"/>
        </w:rPr>
      </w:pPr>
    </w:p>
    <w:p w14:paraId="38FEA2EF" w14:textId="77777777" w:rsidR="00DB7D18" w:rsidRPr="00BF28F4" w:rsidRDefault="00DB7D18" w:rsidP="00DB7D18">
      <w:pPr>
        <w:pStyle w:val="Body"/>
        <w:spacing w:after="0"/>
        <w:rPr>
          <w:rFonts w:ascii="Arial" w:hAnsi="Arial" w:cs="Arial"/>
          <w:bCs/>
        </w:rPr>
      </w:pPr>
      <w:r w:rsidRPr="00BF28F4">
        <w:rPr>
          <w:rFonts w:ascii="Arial" w:hAnsi="Arial" w:cs="Arial"/>
          <w:b/>
        </w:rPr>
        <w:t>Table 4</w:t>
      </w:r>
      <w:r w:rsidRPr="00BF28F4">
        <w:rPr>
          <w:rFonts w:ascii="Arial" w:hAnsi="Arial" w:cs="Arial"/>
          <w:bCs/>
        </w:rPr>
        <w:t xml:space="preserve"> and </w:t>
      </w:r>
      <w:r w:rsidRPr="00BF28F4">
        <w:rPr>
          <w:rFonts w:ascii="Arial" w:hAnsi="Arial" w:cs="Arial"/>
          <w:b/>
        </w:rPr>
        <w:t>Figure 3</w:t>
      </w:r>
      <w:r w:rsidRPr="00BF28F4">
        <w:rPr>
          <w:rFonts w:ascii="Arial" w:hAnsi="Arial" w:cs="Arial"/>
          <w:bCs/>
        </w:rPr>
        <w:t xml:space="preserve"> indicate the changes in high-density lipoprotein (HDL) levels in normal, diabetic, and treated groups during the study period. The normal control group maintained stable HDL levels (1.45–1.53 mmol/L), indicative of normal lipid metabolism. The diabetic control group showed a decline in HDL from 0.98 mmol/L at Day 0 to 0.91 mmol/L at Day 21, confirming impaired lipid regulation. These values were significantly lower than the normal control (p &lt; 0.05).</w:t>
      </w:r>
    </w:p>
    <w:p w14:paraId="1BBD89FC" w14:textId="77777777" w:rsidR="00DB7D18" w:rsidRPr="00BF28F4" w:rsidRDefault="00DB7D18" w:rsidP="00DB7D18">
      <w:pPr>
        <w:pStyle w:val="Body"/>
        <w:spacing w:after="0"/>
        <w:rPr>
          <w:rFonts w:ascii="Arial" w:hAnsi="Arial" w:cs="Arial"/>
          <w:bCs/>
        </w:rPr>
      </w:pPr>
      <w:r w:rsidRPr="00BF28F4">
        <w:rPr>
          <w:rFonts w:ascii="Arial" w:hAnsi="Arial" w:cs="Arial"/>
          <w:bCs/>
        </w:rPr>
        <w:t xml:space="preserve">Administration of rind extracts of </w:t>
      </w:r>
      <w:r w:rsidRPr="00BF28F4">
        <w:rPr>
          <w:rFonts w:ascii="Arial" w:hAnsi="Arial" w:cs="Arial"/>
          <w:bCs/>
          <w:i/>
          <w:iCs/>
        </w:rPr>
        <w:t>C. sativus</w:t>
      </w:r>
      <w:r w:rsidRPr="00BF28F4">
        <w:rPr>
          <w:rFonts w:ascii="Arial" w:hAnsi="Arial" w:cs="Arial"/>
          <w:bCs/>
        </w:rPr>
        <w:t xml:space="preserve"> and </w:t>
      </w:r>
      <w:r w:rsidRPr="00BF28F4">
        <w:rPr>
          <w:rFonts w:ascii="Arial" w:hAnsi="Arial" w:cs="Arial"/>
          <w:bCs/>
          <w:i/>
          <w:iCs/>
        </w:rPr>
        <w:t>C. lanatus</w:t>
      </w:r>
      <w:r w:rsidRPr="00BF28F4">
        <w:rPr>
          <w:rFonts w:ascii="Arial" w:hAnsi="Arial" w:cs="Arial"/>
          <w:bCs/>
        </w:rPr>
        <w:t xml:space="preserve"> resulted in progressive increases in HDL levels, reaching 1.24 mmol/L and 1.22 mmol/L, respectively, by Day 21. These increases were significant compared with the diabetic control (p &lt; 0.05). The combined extract produced a more pronounced elevation (1.35 mmol/L), suggesting a synergistic enhancement of HDL restoration.   The metformin group recorded the highest HDL level (1.40 mmol/L) at Day 21, significantly higher than all other groups (p &lt; 0.05), reinforcing its efficacy in improving lipid profiles.</w:t>
      </w:r>
    </w:p>
    <w:p w14:paraId="5163563F" w14:textId="77777777" w:rsidR="00B53517" w:rsidRPr="00BF28F4" w:rsidRDefault="00B53517" w:rsidP="00DB7D18">
      <w:pPr>
        <w:pStyle w:val="Body"/>
        <w:spacing w:after="0"/>
        <w:rPr>
          <w:rFonts w:ascii="Arial" w:hAnsi="Arial" w:cs="Arial"/>
          <w:bCs/>
        </w:rPr>
      </w:pPr>
    </w:p>
    <w:p w14:paraId="6AF09696" w14:textId="77777777" w:rsidR="00DB7D18" w:rsidRPr="00BF28F4" w:rsidRDefault="00DB7D18" w:rsidP="00B53517">
      <w:pPr>
        <w:pStyle w:val="Body"/>
        <w:spacing w:after="0"/>
        <w:rPr>
          <w:rFonts w:ascii="Arial" w:hAnsi="Arial" w:cs="Arial"/>
          <w:b/>
          <w:bCs/>
        </w:rPr>
      </w:pPr>
      <w:r w:rsidRPr="00BF28F4">
        <w:rPr>
          <w:rFonts w:ascii="Arial" w:hAnsi="Arial" w:cs="Arial"/>
          <w:b/>
          <w:bCs/>
        </w:rPr>
        <w:t>Table 4: High-Density Lipoprotein (HDL) (mmol/L)</w:t>
      </w:r>
    </w:p>
    <w:tbl>
      <w:tblPr>
        <w:tblStyle w:val="PlainTable2"/>
        <w:tblW w:w="9453" w:type="dxa"/>
        <w:tblLook w:val="07A0" w:firstRow="1" w:lastRow="0" w:firstColumn="1" w:lastColumn="1" w:noHBand="1" w:noVBand="1"/>
      </w:tblPr>
      <w:tblGrid>
        <w:gridCol w:w="2324"/>
        <w:gridCol w:w="1752"/>
        <w:gridCol w:w="1561"/>
        <w:gridCol w:w="1646"/>
        <w:gridCol w:w="2170"/>
      </w:tblGrid>
      <w:tr w:rsidR="00DB7D18" w:rsidRPr="00BF28F4" w14:paraId="45A9365A" w14:textId="77777777" w:rsidTr="00B53517">
        <w:trPr>
          <w:cnfStyle w:val="100000000000" w:firstRow="1" w:lastRow="0" w:firstColumn="0" w:lastColumn="0" w:oddVBand="0" w:evenVBand="0" w:oddHBand="0"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2324" w:type="dxa"/>
            <w:hideMark/>
          </w:tcPr>
          <w:p w14:paraId="2ACDE152" w14:textId="77777777" w:rsidR="00DB7D18" w:rsidRPr="00BF28F4" w:rsidRDefault="00DB7D18" w:rsidP="00DB7D18">
            <w:pPr>
              <w:pStyle w:val="Body"/>
              <w:rPr>
                <w:rFonts w:ascii="Arial" w:hAnsi="Arial" w:cs="Arial"/>
                <w:b w:val="0"/>
                <w:bCs w:val="0"/>
              </w:rPr>
            </w:pPr>
            <w:r w:rsidRPr="00BF28F4">
              <w:rPr>
                <w:rFonts w:ascii="Arial" w:hAnsi="Arial" w:cs="Arial"/>
                <w:b w:val="0"/>
                <w:bCs w:val="0"/>
              </w:rPr>
              <w:t>Group</w:t>
            </w:r>
          </w:p>
        </w:tc>
        <w:tc>
          <w:tcPr>
            <w:tcW w:w="1752" w:type="dxa"/>
            <w:hideMark/>
          </w:tcPr>
          <w:p w14:paraId="3749BEC3" w14:textId="77777777" w:rsidR="00DB7D18" w:rsidRPr="00BF28F4" w:rsidRDefault="00DB7D18" w:rsidP="00DB7D18">
            <w:pPr>
              <w:pStyle w:val="Body"/>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BF28F4">
              <w:rPr>
                <w:rFonts w:ascii="Arial" w:hAnsi="Arial" w:cs="Arial"/>
                <w:b w:val="0"/>
                <w:bCs w:val="0"/>
                <w:lang w:val="en-GB"/>
              </w:rPr>
              <w:t>Post-induction (Day 0)</w:t>
            </w:r>
          </w:p>
        </w:tc>
        <w:tc>
          <w:tcPr>
            <w:tcW w:w="1561" w:type="dxa"/>
            <w:hideMark/>
          </w:tcPr>
          <w:p w14:paraId="23280C9E" w14:textId="77777777" w:rsidR="00DB7D18" w:rsidRPr="00BF28F4" w:rsidRDefault="00DB7D18" w:rsidP="00DB7D18">
            <w:pPr>
              <w:pStyle w:val="Body"/>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BF28F4">
              <w:rPr>
                <w:rFonts w:ascii="Arial" w:hAnsi="Arial" w:cs="Arial"/>
                <w:b w:val="0"/>
                <w:bCs w:val="0"/>
              </w:rPr>
              <w:t>Day 7</w:t>
            </w:r>
          </w:p>
        </w:tc>
        <w:tc>
          <w:tcPr>
            <w:tcW w:w="1646" w:type="dxa"/>
            <w:hideMark/>
          </w:tcPr>
          <w:p w14:paraId="5278D1B4" w14:textId="77777777" w:rsidR="00DB7D18" w:rsidRPr="00BF28F4" w:rsidRDefault="00DB7D18" w:rsidP="00DB7D18">
            <w:pPr>
              <w:pStyle w:val="Body"/>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BF28F4">
              <w:rPr>
                <w:rFonts w:ascii="Arial" w:hAnsi="Arial" w:cs="Arial"/>
                <w:b w:val="0"/>
                <w:bCs w:val="0"/>
              </w:rPr>
              <w:t>Day 14</w:t>
            </w:r>
          </w:p>
        </w:tc>
        <w:tc>
          <w:tcPr>
            <w:cnfStyle w:val="000100000000" w:firstRow="0" w:lastRow="0" w:firstColumn="0" w:lastColumn="1" w:oddVBand="0" w:evenVBand="0" w:oddHBand="0" w:evenHBand="0" w:firstRowFirstColumn="0" w:firstRowLastColumn="0" w:lastRowFirstColumn="0" w:lastRowLastColumn="0"/>
            <w:tcW w:w="2170" w:type="dxa"/>
            <w:hideMark/>
          </w:tcPr>
          <w:p w14:paraId="0011CB19" w14:textId="77777777" w:rsidR="00DB7D18" w:rsidRPr="00BF28F4" w:rsidRDefault="00DB7D18" w:rsidP="00DB7D18">
            <w:pPr>
              <w:pStyle w:val="Body"/>
              <w:rPr>
                <w:rFonts w:ascii="Arial" w:hAnsi="Arial" w:cs="Arial"/>
                <w:b w:val="0"/>
                <w:bCs w:val="0"/>
              </w:rPr>
            </w:pPr>
            <w:r w:rsidRPr="00BF28F4">
              <w:rPr>
                <w:rFonts w:ascii="Arial" w:hAnsi="Arial" w:cs="Arial"/>
                <w:b w:val="0"/>
                <w:bCs w:val="0"/>
              </w:rPr>
              <w:t>Day 21</w:t>
            </w:r>
          </w:p>
        </w:tc>
      </w:tr>
      <w:tr w:rsidR="00DB7D18" w:rsidRPr="00BF28F4" w14:paraId="20713642" w14:textId="77777777" w:rsidTr="00B53517">
        <w:trPr>
          <w:trHeight w:val="427"/>
        </w:trPr>
        <w:tc>
          <w:tcPr>
            <w:cnfStyle w:val="001000000000" w:firstRow="0" w:lastRow="0" w:firstColumn="1" w:lastColumn="0" w:oddVBand="0" w:evenVBand="0" w:oddHBand="0" w:evenHBand="0" w:firstRowFirstColumn="0" w:firstRowLastColumn="0" w:lastRowFirstColumn="0" w:lastRowLastColumn="0"/>
            <w:tcW w:w="2324" w:type="dxa"/>
            <w:hideMark/>
          </w:tcPr>
          <w:p w14:paraId="07970459" w14:textId="77777777" w:rsidR="00DB7D18" w:rsidRPr="00BF28F4" w:rsidRDefault="00DB7D18" w:rsidP="00DB7D18">
            <w:pPr>
              <w:pStyle w:val="Body"/>
              <w:rPr>
                <w:rFonts w:ascii="Arial" w:hAnsi="Arial" w:cs="Arial"/>
                <w:b w:val="0"/>
                <w:bCs w:val="0"/>
              </w:rPr>
            </w:pPr>
            <w:r w:rsidRPr="00BF28F4">
              <w:rPr>
                <w:rFonts w:ascii="Arial" w:hAnsi="Arial" w:cs="Arial"/>
                <w:b w:val="0"/>
                <w:bCs w:val="0"/>
              </w:rPr>
              <w:t>Normal Control</w:t>
            </w:r>
          </w:p>
        </w:tc>
        <w:tc>
          <w:tcPr>
            <w:tcW w:w="1752" w:type="dxa"/>
            <w:hideMark/>
          </w:tcPr>
          <w:p w14:paraId="478E8FCA"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1.48 ± 0.05ᵃ</w:t>
            </w:r>
          </w:p>
        </w:tc>
        <w:tc>
          <w:tcPr>
            <w:tcW w:w="1561" w:type="dxa"/>
            <w:hideMark/>
          </w:tcPr>
          <w:p w14:paraId="432F20D5"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1.50 ± 0.05ᵃ</w:t>
            </w:r>
          </w:p>
        </w:tc>
        <w:tc>
          <w:tcPr>
            <w:tcW w:w="1646" w:type="dxa"/>
            <w:hideMark/>
          </w:tcPr>
          <w:p w14:paraId="020B6D2A"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1.45 ± 0.05ᵃ</w:t>
            </w:r>
          </w:p>
        </w:tc>
        <w:tc>
          <w:tcPr>
            <w:cnfStyle w:val="000100000000" w:firstRow="0" w:lastRow="0" w:firstColumn="0" w:lastColumn="1" w:oddVBand="0" w:evenVBand="0" w:oddHBand="0" w:evenHBand="0" w:firstRowFirstColumn="0" w:firstRowLastColumn="0" w:lastRowFirstColumn="0" w:lastRowLastColumn="0"/>
            <w:tcW w:w="2170" w:type="dxa"/>
            <w:hideMark/>
          </w:tcPr>
          <w:p w14:paraId="0B679950" w14:textId="77777777" w:rsidR="00DB7D18" w:rsidRPr="00BF28F4" w:rsidRDefault="00DB7D18" w:rsidP="00DB7D18">
            <w:pPr>
              <w:pStyle w:val="Body"/>
              <w:rPr>
                <w:rFonts w:ascii="Arial" w:hAnsi="Arial" w:cs="Arial"/>
                <w:b w:val="0"/>
                <w:bCs w:val="0"/>
              </w:rPr>
            </w:pPr>
            <w:r w:rsidRPr="00BF28F4">
              <w:rPr>
                <w:rFonts w:ascii="Arial" w:hAnsi="Arial" w:cs="Arial"/>
                <w:b w:val="0"/>
                <w:bCs w:val="0"/>
              </w:rPr>
              <w:t>1.53 ± 0.05ᵃ</w:t>
            </w:r>
          </w:p>
        </w:tc>
      </w:tr>
      <w:tr w:rsidR="00DB7D18" w:rsidRPr="00BF28F4" w14:paraId="6DF6D1FB" w14:textId="77777777" w:rsidTr="00B53517">
        <w:trPr>
          <w:trHeight w:val="336"/>
        </w:trPr>
        <w:tc>
          <w:tcPr>
            <w:cnfStyle w:val="001000000000" w:firstRow="0" w:lastRow="0" w:firstColumn="1" w:lastColumn="0" w:oddVBand="0" w:evenVBand="0" w:oddHBand="0" w:evenHBand="0" w:firstRowFirstColumn="0" w:firstRowLastColumn="0" w:lastRowFirstColumn="0" w:lastRowLastColumn="0"/>
            <w:tcW w:w="2324" w:type="dxa"/>
            <w:hideMark/>
          </w:tcPr>
          <w:p w14:paraId="323B422F" w14:textId="77777777" w:rsidR="00DB7D18" w:rsidRPr="00BF28F4" w:rsidRDefault="00DB7D18" w:rsidP="00DB7D18">
            <w:pPr>
              <w:pStyle w:val="Body"/>
              <w:rPr>
                <w:rFonts w:ascii="Arial" w:hAnsi="Arial" w:cs="Arial"/>
                <w:b w:val="0"/>
                <w:bCs w:val="0"/>
              </w:rPr>
            </w:pPr>
            <w:r w:rsidRPr="00BF28F4">
              <w:rPr>
                <w:rFonts w:ascii="Arial" w:hAnsi="Arial" w:cs="Arial"/>
                <w:b w:val="0"/>
                <w:bCs w:val="0"/>
              </w:rPr>
              <w:t>Diabetic Control</w:t>
            </w:r>
          </w:p>
        </w:tc>
        <w:tc>
          <w:tcPr>
            <w:tcW w:w="1752" w:type="dxa"/>
            <w:hideMark/>
          </w:tcPr>
          <w:p w14:paraId="2666C2DB"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0.98 ± 0.06ᵇ</w:t>
            </w:r>
          </w:p>
        </w:tc>
        <w:tc>
          <w:tcPr>
            <w:tcW w:w="1561" w:type="dxa"/>
            <w:hideMark/>
          </w:tcPr>
          <w:p w14:paraId="4F4E091D"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0.93 ± 0.06ᵇ</w:t>
            </w:r>
          </w:p>
        </w:tc>
        <w:tc>
          <w:tcPr>
            <w:tcW w:w="1646" w:type="dxa"/>
            <w:hideMark/>
          </w:tcPr>
          <w:p w14:paraId="7FC06C8B"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0.91 ± 0.06ᵇ</w:t>
            </w:r>
          </w:p>
        </w:tc>
        <w:tc>
          <w:tcPr>
            <w:cnfStyle w:val="000100000000" w:firstRow="0" w:lastRow="0" w:firstColumn="0" w:lastColumn="1" w:oddVBand="0" w:evenVBand="0" w:oddHBand="0" w:evenHBand="0" w:firstRowFirstColumn="0" w:firstRowLastColumn="0" w:lastRowFirstColumn="0" w:lastRowLastColumn="0"/>
            <w:tcW w:w="2170" w:type="dxa"/>
            <w:hideMark/>
          </w:tcPr>
          <w:p w14:paraId="14111246" w14:textId="77777777" w:rsidR="00DB7D18" w:rsidRPr="00BF28F4" w:rsidRDefault="00DB7D18" w:rsidP="00DB7D18">
            <w:pPr>
              <w:pStyle w:val="Body"/>
              <w:rPr>
                <w:rFonts w:ascii="Arial" w:hAnsi="Arial" w:cs="Arial"/>
                <w:b w:val="0"/>
                <w:bCs w:val="0"/>
              </w:rPr>
            </w:pPr>
            <w:r w:rsidRPr="00BF28F4">
              <w:rPr>
                <w:rFonts w:ascii="Arial" w:hAnsi="Arial" w:cs="Arial"/>
                <w:b w:val="0"/>
                <w:bCs w:val="0"/>
              </w:rPr>
              <w:t>0.91 ± 0.06ᵇ</w:t>
            </w:r>
          </w:p>
        </w:tc>
      </w:tr>
      <w:tr w:rsidR="00DB7D18" w:rsidRPr="00BF28F4" w14:paraId="5A157AFE" w14:textId="77777777" w:rsidTr="00B53517">
        <w:trPr>
          <w:trHeight w:val="383"/>
        </w:trPr>
        <w:tc>
          <w:tcPr>
            <w:cnfStyle w:val="001000000000" w:firstRow="0" w:lastRow="0" w:firstColumn="1" w:lastColumn="0" w:oddVBand="0" w:evenVBand="0" w:oddHBand="0" w:evenHBand="0" w:firstRowFirstColumn="0" w:firstRowLastColumn="0" w:lastRowFirstColumn="0" w:lastRowLastColumn="0"/>
            <w:tcW w:w="2324" w:type="dxa"/>
            <w:hideMark/>
          </w:tcPr>
          <w:p w14:paraId="30E2801F" w14:textId="77777777" w:rsidR="00DB7D18" w:rsidRPr="00BF28F4" w:rsidRDefault="00DB7D18" w:rsidP="00DB7D18">
            <w:pPr>
              <w:pStyle w:val="Body"/>
              <w:rPr>
                <w:rFonts w:ascii="Arial" w:hAnsi="Arial" w:cs="Arial"/>
                <w:b w:val="0"/>
                <w:bCs w:val="0"/>
              </w:rPr>
            </w:pPr>
            <w:r w:rsidRPr="00BF28F4">
              <w:rPr>
                <w:rFonts w:ascii="Arial" w:hAnsi="Arial" w:cs="Arial"/>
                <w:b w:val="0"/>
                <w:bCs w:val="0"/>
                <w:i/>
                <w:iCs/>
              </w:rPr>
              <w:t>C. sativus</w:t>
            </w:r>
          </w:p>
        </w:tc>
        <w:tc>
          <w:tcPr>
            <w:tcW w:w="1752" w:type="dxa"/>
            <w:hideMark/>
          </w:tcPr>
          <w:p w14:paraId="7C59FB80"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0.96 ± 0.06ᵇ</w:t>
            </w:r>
          </w:p>
        </w:tc>
        <w:tc>
          <w:tcPr>
            <w:tcW w:w="1561" w:type="dxa"/>
            <w:hideMark/>
          </w:tcPr>
          <w:p w14:paraId="23126054"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1.09 ± 0.05ᶜ</w:t>
            </w:r>
          </w:p>
        </w:tc>
        <w:tc>
          <w:tcPr>
            <w:tcW w:w="1646" w:type="dxa"/>
            <w:hideMark/>
          </w:tcPr>
          <w:p w14:paraId="13062FB0"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1.19 ± 0.05ᶜ</w:t>
            </w:r>
          </w:p>
        </w:tc>
        <w:tc>
          <w:tcPr>
            <w:cnfStyle w:val="000100000000" w:firstRow="0" w:lastRow="0" w:firstColumn="0" w:lastColumn="1" w:oddVBand="0" w:evenVBand="0" w:oddHBand="0" w:evenHBand="0" w:firstRowFirstColumn="0" w:firstRowLastColumn="0" w:lastRowFirstColumn="0" w:lastRowLastColumn="0"/>
            <w:tcW w:w="2170" w:type="dxa"/>
            <w:hideMark/>
          </w:tcPr>
          <w:p w14:paraId="6F603D1D" w14:textId="77777777" w:rsidR="00DB7D18" w:rsidRPr="00BF28F4" w:rsidRDefault="00DB7D18" w:rsidP="00DB7D18">
            <w:pPr>
              <w:pStyle w:val="Body"/>
              <w:rPr>
                <w:rFonts w:ascii="Arial" w:hAnsi="Arial" w:cs="Arial"/>
                <w:b w:val="0"/>
                <w:bCs w:val="0"/>
              </w:rPr>
            </w:pPr>
            <w:r w:rsidRPr="00BF28F4">
              <w:rPr>
                <w:rFonts w:ascii="Arial" w:hAnsi="Arial" w:cs="Arial"/>
                <w:b w:val="0"/>
                <w:bCs w:val="0"/>
              </w:rPr>
              <w:t>1.24 ± 0.05ᶜ</w:t>
            </w:r>
          </w:p>
        </w:tc>
      </w:tr>
      <w:tr w:rsidR="00DB7D18" w:rsidRPr="00BF28F4" w14:paraId="77A7B872" w14:textId="77777777" w:rsidTr="00B53517">
        <w:trPr>
          <w:trHeight w:val="430"/>
        </w:trPr>
        <w:tc>
          <w:tcPr>
            <w:cnfStyle w:val="001000000000" w:firstRow="0" w:lastRow="0" w:firstColumn="1" w:lastColumn="0" w:oddVBand="0" w:evenVBand="0" w:oddHBand="0" w:evenHBand="0" w:firstRowFirstColumn="0" w:firstRowLastColumn="0" w:lastRowFirstColumn="0" w:lastRowLastColumn="0"/>
            <w:tcW w:w="2324" w:type="dxa"/>
            <w:hideMark/>
          </w:tcPr>
          <w:p w14:paraId="051C4D0D" w14:textId="77777777" w:rsidR="00DB7D18" w:rsidRPr="00BF28F4" w:rsidRDefault="00DB7D18" w:rsidP="00DB7D18">
            <w:pPr>
              <w:pStyle w:val="Body"/>
              <w:rPr>
                <w:rFonts w:ascii="Arial" w:hAnsi="Arial" w:cs="Arial"/>
                <w:b w:val="0"/>
                <w:bCs w:val="0"/>
              </w:rPr>
            </w:pPr>
            <w:r w:rsidRPr="00BF28F4">
              <w:rPr>
                <w:rFonts w:ascii="Arial" w:hAnsi="Arial" w:cs="Arial"/>
                <w:b w:val="0"/>
                <w:bCs w:val="0"/>
                <w:i/>
                <w:iCs/>
              </w:rPr>
              <w:t>C. lanatus</w:t>
            </w:r>
          </w:p>
        </w:tc>
        <w:tc>
          <w:tcPr>
            <w:tcW w:w="1752" w:type="dxa"/>
            <w:hideMark/>
          </w:tcPr>
          <w:p w14:paraId="29C498FB"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0.96 ± 0.06ᵇ</w:t>
            </w:r>
          </w:p>
        </w:tc>
        <w:tc>
          <w:tcPr>
            <w:tcW w:w="1561" w:type="dxa"/>
            <w:hideMark/>
          </w:tcPr>
          <w:p w14:paraId="762DA3EE"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1.06 ± 0.06ᶜ</w:t>
            </w:r>
          </w:p>
        </w:tc>
        <w:tc>
          <w:tcPr>
            <w:tcW w:w="1646" w:type="dxa"/>
            <w:hideMark/>
          </w:tcPr>
          <w:p w14:paraId="4FF6DDFE"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1.17 ± 0.05ᶜ</w:t>
            </w:r>
          </w:p>
        </w:tc>
        <w:tc>
          <w:tcPr>
            <w:cnfStyle w:val="000100000000" w:firstRow="0" w:lastRow="0" w:firstColumn="0" w:lastColumn="1" w:oddVBand="0" w:evenVBand="0" w:oddHBand="0" w:evenHBand="0" w:firstRowFirstColumn="0" w:firstRowLastColumn="0" w:lastRowFirstColumn="0" w:lastRowLastColumn="0"/>
            <w:tcW w:w="2170" w:type="dxa"/>
            <w:hideMark/>
          </w:tcPr>
          <w:p w14:paraId="4CAF2EEB" w14:textId="77777777" w:rsidR="00DB7D18" w:rsidRPr="00BF28F4" w:rsidRDefault="00DB7D18" w:rsidP="00DB7D18">
            <w:pPr>
              <w:pStyle w:val="Body"/>
              <w:rPr>
                <w:rFonts w:ascii="Arial" w:hAnsi="Arial" w:cs="Arial"/>
                <w:b w:val="0"/>
                <w:bCs w:val="0"/>
              </w:rPr>
            </w:pPr>
            <w:r w:rsidRPr="00BF28F4">
              <w:rPr>
                <w:rFonts w:ascii="Arial" w:hAnsi="Arial" w:cs="Arial"/>
                <w:b w:val="0"/>
                <w:bCs w:val="0"/>
              </w:rPr>
              <w:t>1.22 ± 0.05ᶜ</w:t>
            </w:r>
          </w:p>
        </w:tc>
      </w:tr>
      <w:tr w:rsidR="00DB7D18" w:rsidRPr="00BF28F4" w14:paraId="755DEF6C" w14:textId="77777777" w:rsidTr="00B53517">
        <w:trPr>
          <w:trHeight w:val="342"/>
        </w:trPr>
        <w:tc>
          <w:tcPr>
            <w:cnfStyle w:val="001000000000" w:firstRow="0" w:lastRow="0" w:firstColumn="1" w:lastColumn="0" w:oddVBand="0" w:evenVBand="0" w:oddHBand="0" w:evenHBand="0" w:firstRowFirstColumn="0" w:firstRowLastColumn="0" w:lastRowFirstColumn="0" w:lastRowLastColumn="0"/>
            <w:tcW w:w="2324" w:type="dxa"/>
            <w:hideMark/>
          </w:tcPr>
          <w:p w14:paraId="785BEDC3" w14:textId="77777777" w:rsidR="00DB7D18" w:rsidRPr="00BF28F4" w:rsidRDefault="00DB7D18" w:rsidP="00DB7D18">
            <w:pPr>
              <w:pStyle w:val="Body"/>
              <w:rPr>
                <w:rFonts w:ascii="Arial" w:hAnsi="Arial" w:cs="Arial"/>
                <w:b w:val="0"/>
                <w:bCs w:val="0"/>
              </w:rPr>
            </w:pPr>
            <w:r w:rsidRPr="00BF28F4">
              <w:rPr>
                <w:rFonts w:ascii="Arial" w:hAnsi="Arial" w:cs="Arial"/>
                <w:b w:val="0"/>
                <w:bCs w:val="0"/>
              </w:rPr>
              <w:t>Combined Extract</w:t>
            </w:r>
          </w:p>
        </w:tc>
        <w:tc>
          <w:tcPr>
            <w:tcW w:w="1752" w:type="dxa"/>
            <w:hideMark/>
          </w:tcPr>
          <w:p w14:paraId="79BD57E2"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0.93 ± 0.06ᵇ</w:t>
            </w:r>
          </w:p>
        </w:tc>
        <w:tc>
          <w:tcPr>
            <w:tcW w:w="1561" w:type="dxa"/>
            <w:hideMark/>
          </w:tcPr>
          <w:p w14:paraId="6FE177A7"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1.14 ± 0.05ᶜ</w:t>
            </w:r>
          </w:p>
        </w:tc>
        <w:tc>
          <w:tcPr>
            <w:tcW w:w="1646" w:type="dxa"/>
            <w:hideMark/>
          </w:tcPr>
          <w:p w14:paraId="37B839EE"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1.30 ± 0.05ᵈ</w:t>
            </w:r>
          </w:p>
        </w:tc>
        <w:tc>
          <w:tcPr>
            <w:cnfStyle w:val="000100000000" w:firstRow="0" w:lastRow="0" w:firstColumn="0" w:lastColumn="1" w:oddVBand="0" w:evenVBand="0" w:oddHBand="0" w:evenHBand="0" w:firstRowFirstColumn="0" w:firstRowLastColumn="0" w:lastRowFirstColumn="0" w:lastRowLastColumn="0"/>
            <w:tcW w:w="2170" w:type="dxa"/>
            <w:hideMark/>
          </w:tcPr>
          <w:p w14:paraId="31932778" w14:textId="77777777" w:rsidR="00DB7D18" w:rsidRPr="00BF28F4" w:rsidRDefault="00DB7D18" w:rsidP="00DB7D18">
            <w:pPr>
              <w:pStyle w:val="Body"/>
              <w:rPr>
                <w:rFonts w:ascii="Arial" w:hAnsi="Arial" w:cs="Arial"/>
                <w:b w:val="0"/>
                <w:bCs w:val="0"/>
              </w:rPr>
            </w:pPr>
            <w:r w:rsidRPr="00BF28F4">
              <w:rPr>
                <w:rFonts w:ascii="Arial" w:hAnsi="Arial" w:cs="Arial"/>
                <w:b w:val="0"/>
                <w:bCs w:val="0"/>
              </w:rPr>
              <w:t>1.35 ± 0.05ᵈ</w:t>
            </w:r>
          </w:p>
        </w:tc>
      </w:tr>
      <w:tr w:rsidR="00DB7D18" w:rsidRPr="00BF28F4" w14:paraId="1340B765" w14:textId="77777777" w:rsidTr="00B53517">
        <w:trPr>
          <w:trHeight w:val="391"/>
        </w:trPr>
        <w:tc>
          <w:tcPr>
            <w:cnfStyle w:val="001000000000" w:firstRow="0" w:lastRow="0" w:firstColumn="1" w:lastColumn="0" w:oddVBand="0" w:evenVBand="0" w:oddHBand="0" w:evenHBand="0" w:firstRowFirstColumn="0" w:firstRowLastColumn="0" w:lastRowFirstColumn="0" w:lastRowLastColumn="0"/>
            <w:tcW w:w="2324" w:type="dxa"/>
            <w:hideMark/>
          </w:tcPr>
          <w:p w14:paraId="2FB6F15B" w14:textId="77777777" w:rsidR="00DB7D18" w:rsidRPr="00BF28F4" w:rsidRDefault="00DB7D18" w:rsidP="00DB7D18">
            <w:pPr>
              <w:pStyle w:val="Body"/>
              <w:rPr>
                <w:rFonts w:ascii="Arial" w:hAnsi="Arial" w:cs="Arial"/>
                <w:b w:val="0"/>
                <w:bCs w:val="0"/>
              </w:rPr>
            </w:pPr>
            <w:r w:rsidRPr="00BF28F4">
              <w:rPr>
                <w:rFonts w:ascii="Arial" w:hAnsi="Arial" w:cs="Arial"/>
                <w:b w:val="0"/>
                <w:bCs w:val="0"/>
              </w:rPr>
              <w:t>Metformin</w:t>
            </w:r>
          </w:p>
        </w:tc>
        <w:tc>
          <w:tcPr>
            <w:tcW w:w="1752" w:type="dxa"/>
            <w:hideMark/>
          </w:tcPr>
          <w:p w14:paraId="1855F1EC"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0.96 ± 0.05ᵇ</w:t>
            </w:r>
          </w:p>
        </w:tc>
        <w:tc>
          <w:tcPr>
            <w:tcW w:w="1561" w:type="dxa"/>
            <w:hideMark/>
          </w:tcPr>
          <w:p w14:paraId="342EB79D"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1.19 ± 0.05ᶜ</w:t>
            </w:r>
          </w:p>
        </w:tc>
        <w:tc>
          <w:tcPr>
            <w:tcW w:w="1646" w:type="dxa"/>
            <w:hideMark/>
          </w:tcPr>
          <w:p w14:paraId="7F46C372"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1.35 ± 0.05ᵈ</w:t>
            </w:r>
          </w:p>
        </w:tc>
        <w:tc>
          <w:tcPr>
            <w:cnfStyle w:val="000100000000" w:firstRow="0" w:lastRow="0" w:firstColumn="0" w:lastColumn="1" w:oddVBand="0" w:evenVBand="0" w:oddHBand="0" w:evenHBand="0" w:firstRowFirstColumn="0" w:firstRowLastColumn="0" w:lastRowFirstColumn="0" w:lastRowLastColumn="0"/>
            <w:tcW w:w="2170" w:type="dxa"/>
            <w:hideMark/>
          </w:tcPr>
          <w:p w14:paraId="58C4DC35" w14:textId="77777777" w:rsidR="00DB7D18" w:rsidRPr="00BF28F4" w:rsidRDefault="00DB7D18" w:rsidP="00DB7D18">
            <w:pPr>
              <w:pStyle w:val="Body"/>
              <w:rPr>
                <w:rFonts w:ascii="Arial" w:hAnsi="Arial" w:cs="Arial"/>
                <w:b w:val="0"/>
                <w:bCs w:val="0"/>
              </w:rPr>
            </w:pPr>
            <w:r w:rsidRPr="00BF28F4">
              <w:rPr>
                <w:rFonts w:ascii="Arial" w:hAnsi="Arial" w:cs="Arial"/>
                <w:b w:val="0"/>
                <w:bCs w:val="0"/>
              </w:rPr>
              <w:t>1.40 ± 0.04ᵉ</w:t>
            </w:r>
          </w:p>
        </w:tc>
      </w:tr>
    </w:tbl>
    <w:p w14:paraId="34C864E0" w14:textId="77777777" w:rsidR="00DB7D18" w:rsidRPr="00BF28F4" w:rsidRDefault="00DB7D18" w:rsidP="00DB7D18">
      <w:pPr>
        <w:pStyle w:val="Body"/>
        <w:rPr>
          <w:rFonts w:ascii="Arial" w:hAnsi="Arial" w:cs="Arial"/>
          <w:bCs/>
          <w:lang w:val="en-GB"/>
        </w:rPr>
      </w:pPr>
      <w:r w:rsidRPr="00BF28F4">
        <w:rPr>
          <w:rFonts w:ascii="Arial" w:hAnsi="Arial" w:cs="Arial"/>
          <w:bCs/>
          <w:lang w:val="en-GB"/>
        </w:rPr>
        <w:t>Values are expressed as mean ± SEM (n = 6). Means within the same column with different superscript letters (a–e) are significantly different at p &lt; 0.05, as determined by one-way analysis of variance (ANOVA) followed by Tukey’s Honestly Significant Difference (HSD) post hoc test.</w:t>
      </w:r>
    </w:p>
    <w:p w14:paraId="06D2AE49" w14:textId="77777777" w:rsidR="00DB7D18" w:rsidRPr="00BF28F4" w:rsidRDefault="00DB7D18" w:rsidP="00B53517">
      <w:pPr>
        <w:pStyle w:val="Body"/>
        <w:spacing w:after="0"/>
        <w:rPr>
          <w:rFonts w:ascii="Arial" w:hAnsi="Arial" w:cs="Arial"/>
          <w:bCs/>
          <w:lang w:val="en-GB"/>
        </w:rPr>
      </w:pPr>
      <w:r w:rsidRPr="00BF28F4">
        <w:rPr>
          <w:rFonts w:ascii="Arial" w:hAnsi="Arial" w:cs="Arial"/>
          <w:bCs/>
          <w:noProof/>
        </w:rPr>
        <w:lastRenderedPageBreak/>
        <w:drawing>
          <wp:inline distT="0" distB="0" distL="0" distR="0" wp14:anchorId="5DB5D85C" wp14:editId="243A193D">
            <wp:extent cx="5867400" cy="2990850"/>
            <wp:effectExtent l="0" t="0" r="0" b="0"/>
            <wp:docPr id="8435659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t="5771"/>
                    <a:stretch>
                      <a:fillRect/>
                    </a:stretch>
                  </pic:blipFill>
                  <pic:spPr bwMode="auto">
                    <a:xfrm>
                      <a:off x="0" y="0"/>
                      <a:ext cx="5923221" cy="3019304"/>
                    </a:xfrm>
                    <a:prstGeom prst="rect">
                      <a:avLst/>
                    </a:prstGeom>
                    <a:noFill/>
                    <a:ln>
                      <a:noFill/>
                    </a:ln>
                    <a:extLst>
                      <a:ext uri="{53640926-AAD7-44D8-BBD7-CCE9431645EC}">
                        <a14:shadowObscured xmlns:a14="http://schemas.microsoft.com/office/drawing/2010/main"/>
                      </a:ext>
                    </a:extLst>
                  </pic:spPr>
                </pic:pic>
              </a:graphicData>
            </a:graphic>
          </wp:inline>
        </w:drawing>
      </w:r>
    </w:p>
    <w:p w14:paraId="5B74CFE1" w14:textId="77777777" w:rsidR="00DB7D18" w:rsidRPr="00BF28F4" w:rsidRDefault="00DB7D18" w:rsidP="00DB7D18">
      <w:pPr>
        <w:pStyle w:val="Body"/>
        <w:rPr>
          <w:rFonts w:ascii="Arial" w:hAnsi="Arial" w:cs="Arial"/>
          <w:b/>
          <w:bCs/>
        </w:rPr>
      </w:pPr>
      <w:r w:rsidRPr="00BF28F4">
        <w:rPr>
          <w:rFonts w:ascii="Arial" w:hAnsi="Arial" w:cs="Arial"/>
          <w:b/>
          <w:bCs/>
        </w:rPr>
        <w:t>Figure 3. Mean HDL cholesterol</w:t>
      </w:r>
    </w:p>
    <w:p w14:paraId="2B57CEC5" w14:textId="77777777" w:rsidR="00DB7D18" w:rsidRPr="00BF28F4" w:rsidRDefault="00DB7D18" w:rsidP="00DB7D18">
      <w:pPr>
        <w:pStyle w:val="Body"/>
        <w:spacing w:after="0"/>
        <w:rPr>
          <w:rFonts w:ascii="Arial" w:hAnsi="Arial" w:cs="Arial"/>
          <w:b/>
          <w:bCs/>
          <w:i/>
          <w:iCs/>
        </w:rPr>
      </w:pPr>
      <w:r w:rsidRPr="00BF28F4">
        <w:rPr>
          <w:rFonts w:ascii="Arial" w:hAnsi="Arial" w:cs="Arial"/>
          <w:b/>
          <w:bCs/>
          <w:i/>
          <w:iCs/>
        </w:rPr>
        <w:t>3.3.3 Effect of Extracts on Serum Low-Density Lipoprotein (LDL) Levels</w:t>
      </w:r>
    </w:p>
    <w:p w14:paraId="62A421D9" w14:textId="77777777" w:rsidR="00B53517" w:rsidRPr="00BF28F4" w:rsidRDefault="00B53517" w:rsidP="00DB7D18">
      <w:pPr>
        <w:pStyle w:val="Body"/>
        <w:spacing w:after="0"/>
        <w:rPr>
          <w:rFonts w:ascii="Arial" w:hAnsi="Arial" w:cs="Arial"/>
          <w:b/>
          <w:bCs/>
          <w:i/>
          <w:iCs/>
        </w:rPr>
      </w:pPr>
    </w:p>
    <w:p w14:paraId="4DB36A35" w14:textId="77777777" w:rsidR="00DB7D18" w:rsidRPr="00BF28F4" w:rsidRDefault="00DB7D18" w:rsidP="00DB7D18">
      <w:pPr>
        <w:pStyle w:val="Body"/>
        <w:spacing w:after="0"/>
        <w:rPr>
          <w:rFonts w:ascii="Arial" w:hAnsi="Arial" w:cs="Arial"/>
        </w:rPr>
      </w:pPr>
      <w:r w:rsidRPr="00BF28F4">
        <w:rPr>
          <w:rFonts w:ascii="Arial" w:hAnsi="Arial" w:cs="Arial"/>
          <w:b/>
          <w:bCs/>
        </w:rPr>
        <w:t>Table 5</w:t>
      </w:r>
      <w:r w:rsidRPr="00BF28F4">
        <w:rPr>
          <w:rFonts w:ascii="Arial" w:hAnsi="Arial" w:cs="Arial"/>
        </w:rPr>
        <w:t xml:space="preserve"> and </w:t>
      </w:r>
      <w:r w:rsidRPr="00BF28F4">
        <w:rPr>
          <w:rFonts w:ascii="Arial" w:hAnsi="Arial" w:cs="Arial"/>
          <w:b/>
          <w:bCs/>
        </w:rPr>
        <w:t>Figure 4</w:t>
      </w:r>
      <w:r w:rsidRPr="00BF28F4">
        <w:rPr>
          <w:rFonts w:ascii="Arial" w:hAnsi="Arial" w:cs="Arial"/>
        </w:rPr>
        <w:t xml:space="preserve"> highlight the variations in low-density lipoprotein (LDL) concentrations among the control and treatment groups from Day 0 to Day 21. The normal control group exhibited stable LDL levels (0.75–0.83 mmol/L), reflecting normal physiological balance, while the diabetic control group showed a gradual increase from 2.33 mmol/L to 2.43 mmol/L, indicating progressive deterioration in lipid metabolism. This group was significantly higher than all other groups (p &lt; 0.05). Treatment with </w:t>
      </w:r>
      <w:r w:rsidRPr="00BF28F4">
        <w:rPr>
          <w:rFonts w:ascii="Arial" w:hAnsi="Arial" w:cs="Arial"/>
          <w:i/>
          <w:iCs/>
        </w:rPr>
        <w:t>C. sativus</w:t>
      </w:r>
      <w:r w:rsidRPr="00BF28F4">
        <w:rPr>
          <w:rFonts w:ascii="Arial" w:hAnsi="Arial" w:cs="Arial"/>
        </w:rPr>
        <w:t xml:space="preserve"> and </w:t>
      </w:r>
      <w:r w:rsidRPr="00BF28F4">
        <w:rPr>
          <w:rFonts w:ascii="Arial" w:hAnsi="Arial" w:cs="Arial"/>
          <w:i/>
          <w:iCs/>
        </w:rPr>
        <w:t>C. lanatus</w:t>
      </w:r>
      <w:r w:rsidRPr="00BF28F4">
        <w:rPr>
          <w:rFonts w:ascii="Arial" w:hAnsi="Arial" w:cs="Arial"/>
        </w:rPr>
        <w:t xml:space="preserve"> significantly reduced LDL levels over time, reaching 1.45 mmol/L and 1.50 mmol/L, respectively, by Day 21. The combined extract further improved LDL reduction to 1.22 mmol/L, demonstrating greater efficacy than individual treatments. The metformin group showed the most substantial reduction, achieving 1.09 mmol/L at Day 21, which was significantly lower than all other treatment groups (p &lt; 0.05).</w:t>
      </w:r>
    </w:p>
    <w:p w14:paraId="76FE4E10" w14:textId="77777777" w:rsidR="00B53517" w:rsidRPr="00BF28F4" w:rsidRDefault="00B53517" w:rsidP="00DB7D18">
      <w:pPr>
        <w:pStyle w:val="Body"/>
        <w:spacing w:after="0"/>
        <w:rPr>
          <w:rFonts w:ascii="Arial" w:hAnsi="Arial" w:cs="Arial"/>
        </w:rPr>
      </w:pPr>
    </w:p>
    <w:p w14:paraId="1505C1B6" w14:textId="77777777" w:rsidR="00DB7D18" w:rsidRPr="00BF28F4" w:rsidRDefault="00B53517" w:rsidP="00B53517">
      <w:pPr>
        <w:pStyle w:val="Body"/>
        <w:spacing w:after="0"/>
        <w:rPr>
          <w:rFonts w:ascii="Arial" w:hAnsi="Arial" w:cs="Arial"/>
          <w:b/>
          <w:bCs/>
        </w:rPr>
      </w:pPr>
      <w:r w:rsidRPr="00BF28F4">
        <w:rPr>
          <w:rFonts w:ascii="Arial" w:hAnsi="Arial" w:cs="Arial"/>
          <w:b/>
          <w:bCs/>
        </w:rPr>
        <w:t xml:space="preserve">Table </w:t>
      </w:r>
      <w:r w:rsidR="00DB7D18" w:rsidRPr="00BF28F4">
        <w:rPr>
          <w:rFonts w:ascii="Arial" w:hAnsi="Arial" w:cs="Arial"/>
          <w:b/>
          <w:bCs/>
        </w:rPr>
        <w:t>5: Low-Density Lipoprotein (LDL) (mmol/L)</w:t>
      </w:r>
    </w:p>
    <w:tbl>
      <w:tblPr>
        <w:tblStyle w:val="PlainTable2"/>
        <w:tblW w:w="9344" w:type="dxa"/>
        <w:tblLook w:val="07A0" w:firstRow="1" w:lastRow="0" w:firstColumn="1" w:lastColumn="1" w:noHBand="1" w:noVBand="1"/>
      </w:tblPr>
      <w:tblGrid>
        <w:gridCol w:w="2110"/>
        <w:gridCol w:w="1821"/>
        <w:gridCol w:w="1688"/>
        <w:gridCol w:w="1775"/>
        <w:gridCol w:w="1950"/>
      </w:tblGrid>
      <w:tr w:rsidR="00DB7D18" w:rsidRPr="00BF28F4" w14:paraId="12C8F35C" w14:textId="77777777" w:rsidTr="00B53517">
        <w:trPr>
          <w:cnfStyle w:val="100000000000" w:firstRow="1" w:lastRow="0" w:firstColumn="0" w:lastColumn="0" w:oddVBand="0" w:evenVBand="0" w:oddHBand="0"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2110" w:type="dxa"/>
            <w:hideMark/>
          </w:tcPr>
          <w:p w14:paraId="18E52D60" w14:textId="77777777" w:rsidR="00DB7D18" w:rsidRPr="00BF28F4" w:rsidRDefault="00DB7D18" w:rsidP="00DB7D18">
            <w:pPr>
              <w:pStyle w:val="Body"/>
              <w:spacing w:after="0"/>
              <w:rPr>
                <w:rFonts w:ascii="Arial" w:hAnsi="Arial" w:cs="Arial"/>
                <w:b w:val="0"/>
                <w:bCs w:val="0"/>
              </w:rPr>
            </w:pPr>
            <w:r w:rsidRPr="00BF28F4">
              <w:rPr>
                <w:rFonts w:ascii="Arial" w:hAnsi="Arial" w:cs="Arial"/>
                <w:b w:val="0"/>
                <w:bCs w:val="0"/>
              </w:rPr>
              <w:t>Group</w:t>
            </w:r>
          </w:p>
        </w:tc>
        <w:tc>
          <w:tcPr>
            <w:tcW w:w="1821" w:type="dxa"/>
            <w:hideMark/>
          </w:tcPr>
          <w:p w14:paraId="2B0A6F94" w14:textId="77777777" w:rsidR="00DB7D18" w:rsidRPr="00BF28F4" w:rsidRDefault="00DB7D18" w:rsidP="00DB7D18">
            <w:pPr>
              <w:pStyle w:val="Body"/>
              <w:spacing w:after="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BF28F4">
              <w:rPr>
                <w:rFonts w:ascii="Arial" w:hAnsi="Arial" w:cs="Arial"/>
                <w:b w:val="0"/>
                <w:bCs w:val="0"/>
                <w:lang w:val="en-GB"/>
              </w:rPr>
              <w:t>Post-induction (Day 0)</w:t>
            </w:r>
          </w:p>
        </w:tc>
        <w:tc>
          <w:tcPr>
            <w:tcW w:w="1688" w:type="dxa"/>
            <w:hideMark/>
          </w:tcPr>
          <w:p w14:paraId="4A6740FB" w14:textId="77777777" w:rsidR="00DB7D18" w:rsidRPr="00BF28F4" w:rsidRDefault="00DB7D18" w:rsidP="00DB7D18">
            <w:pPr>
              <w:pStyle w:val="Body"/>
              <w:spacing w:after="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BF28F4">
              <w:rPr>
                <w:rFonts w:ascii="Arial" w:hAnsi="Arial" w:cs="Arial"/>
                <w:b w:val="0"/>
                <w:bCs w:val="0"/>
              </w:rPr>
              <w:t>Day 7</w:t>
            </w:r>
          </w:p>
        </w:tc>
        <w:tc>
          <w:tcPr>
            <w:tcW w:w="1775" w:type="dxa"/>
            <w:hideMark/>
          </w:tcPr>
          <w:p w14:paraId="7634AA35" w14:textId="77777777" w:rsidR="00DB7D18" w:rsidRPr="00BF28F4" w:rsidRDefault="00DB7D18" w:rsidP="00DB7D18">
            <w:pPr>
              <w:pStyle w:val="Body"/>
              <w:spacing w:after="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BF28F4">
              <w:rPr>
                <w:rFonts w:ascii="Arial" w:hAnsi="Arial" w:cs="Arial"/>
                <w:b w:val="0"/>
                <w:bCs w:val="0"/>
              </w:rPr>
              <w:t>Day 14</w:t>
            </w:r>
          </w:p>
        </w:tc>
        <w:tc>
          <w:tcPr>
            <w:cnfStyle w:val="000100000000" w:firstRow="0" w:lastRow="0" w:firstColumn="0" w:lastColumn="1" w:oddVBand="0" w:evenVBand="0" w:oddHBand="0" w:evenHBand="0" w:firstRowFirstColumn="0" w:firstRowLastColumn="0" w:lastRowFirstColumn="0" w:lastRowLastColumn="0"/>
            <w:tcW w:w="1950" w:type="dxa"/>
            <w:hideMark/>
          </w:tcPr>
          <w:p w14:paraId="5D72A8F7" w14:textId="77777777" w:rsidR="00DB7D18" w:rsidRPr="00BF28F4" w:rsidRDefault="00DB7D18" w:rsidP="00DB7D18">
            <w:pPr>
              <w:pStyle w:val="Body"/>
              <w:spacing w:after="0"/>
              <w:rPr>
                <w:rFonts w:ascii="Arial" w:hAnsi="Arial" w:cs="Arial"/>
                <w:b w:val="0"/>
                <w:bCs w:val="0"/>
              </w:rPr>
            </w:pPr>
            <w:r w:rsidRPr="00BF28F4">
              <w:rPr>
                <w:rFonts w:ascii="Arial" w:hAnsi="Arial" w:cs="Arial"/>
                <w:b w:val="0"/>
                <w:bCs w:val="0"/>
              </w:rPr>
              <w:t>Day 21</w:t>
            </w:r>
          </w:p>
        </w:tc>
      </w:tr>
      <w:tr w:rsidR="00DB7D18" w:rsidRPr="00BF28F4" w14:paraId="4FBC2FEC" w14:textId="77777777" w:rsidTr="00B53517">
        <w:trPr>
          <w:trHeight w:val="360"/>
        </w:trPr>
        <w:tc>
          <w:tcPr>
            <w:cnfStyle w:val="001000000000" w:firstRow="0" w:lastRow="0" w:firstColumn="1" w:lastColumn="0" w:oddVBand="0" w:evenVBand="0" w:oddHBand="0" w:evenHBand="0" w:firstRowFirstColumn="0" w:firstRowLastColumn="0" w:lastRowFirstColumn="0" w:lastRowLastColumn="0"/>
            <w:tcW w:w="2110" w:type="dxa"/>
            <w:hideMark/>
          </w:tcPr>
          <w:p w14:paraId="422CCBEA" w14:textId="77777777" w:rsidR="00DB7D18" w:rsidRPr="00BF28F4" w:rsidRDefault="00DB7D18" w:rsidP="00DB7D18">
            <w:pPr>
              <w:pStyle w:val="Body"/>
              <w:spacing w:after="0"/>
              <w:rPr>
                <w:rFonts w:ascii="Arial" w:hAnsi="Arial" w:cs="Arial"/>
                <w:b w:val="0"/>
                <w:bCs w:val="0"/>
              </w:rPr>
            </w:pPr>
            <w:r w:rsidRPr="00BF28F4">
              <w:rPr>
                <w:rFonts w:ascii="Arial" w:hAnsi="Arial" w:cs="Arial"/>
                <w:b w:val="0"/>
                <w:bCs w:val="0"/>
              </w:rPr>
              <w:t>Normal Control</w:t>
            </w:r>
          </w:p>
        </w:tc>
        <w:tc>
          <w:tcPr>
            <w:tcW w:w="1821" w:type="dxa"/>
            <w:hideMark/>
          </w:tcPr>
          <w:p w14:paraId="4B97B263" w14:textId="77777777" w:rsidR="00DB7D18" w:rsidRPr="00BF28F4"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0.80 ± 0.04ᵃ</w:t>
            </w:r>
          </w:p>
        </w:tc>
        <w:tc>
          <w:tcPr>
            <w:tcW w:w="1688" w:type="dxa"/>
            <w:hideMark/>
          </w:tcPr>
          <w:p w14:paraId="15A36CC3" w14:textId="77777777" w:rsidR="00DB7D18" w:rsidRPr="00BF28F4"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0.78 ± 0.04ᵃ</w:t>
            </w:r>
          </w:p>
        </w:tc>
        <w:tc>
          <w:tcPr>
            <w:tcW w:w="1775" w:type="dxa"/>
            <w:hideMark/>
          </w:tcPr>
          <w:p w14:paraId="399044CA" w14:textId="77777777" w:rsidR="00DB7D18" w:rsidRPr="00BF28F4"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0.83 ± 0.04ᵃ</w:t>
            </w:r>
          </w:p>
        </w:tc>
        <w:tc>
          <w:tcPr>
            <w:cnfStyle w:val="000100000000" w:firstRow="0" w:lastRow="0" w:firstColumn="0" w:lastColumn="1" w:oddVBand="0" w:evenVBand="0" w:oddHBand="0" w:evenHBand="0" w:firstRowFirstColumn="0" w:firstRowLastColumn="0" w:lastRowFirstColumn="0" w:lastRowLastColumn="0"/>
            <w:tcW w:w="1950" w:type="dxa"/>
            <w:hideMark/>
          </w:tcPr>
          <w:p w14:paraId="6EABCBF4" w14:textId="77777777" w:rsidR="00DB7D18" w:rsidRPr="00BF28F4" w:rsidRDefault="00DB7D18" w:rsidP="00DB7D18">
            <w:pPr>
              <w:pStyle w:val="Body"/>
              <w:spacing w:after="0"/>
              <w:rPr>
                <w:rFonts w:ascii="Arial" w:hAnsi="Arial" w:cs="Arial"/>
                <w:b w:val="0"/>
                <w:bCs w:val="0"/>
              </w:rPr>
            </w:pPr>
            <w:r w:rsidRPr="00BF28F4">
              <w:rPr>
                <w:rFonts w:ascii="Arial" w:hAnsi="Arial" w:cs="Arial"/>
                <w:b w:val="0"/>
                <w:bCs w:val="0"/>
              </w:rPr>
              <w:t>0.75 ± 0.04ᵃ</w:t>
            </w:r>
          </w:p>
        </w:tc>
      </w:tr>
      <w:tr w:rsidR="00DB7D18" w:rsidRPr="00BF28F4" w14:paraId="71421EB7" w14:textId="77777777" w:rsidTr="00B53517">
        <w:trPr>
          <w:trHeight w:val="373"/>
        </w:trPr>
        <w:tc>
          <w:tcPr>
            <w:cnfStyle w:val="001000000000" w:firstRow="0" w:lastRow="0" w:firstColumn="1" w:lastColumn="0" w:oddVBand="0" w:evenVBand="0" w:oddHBand="0" w:evenHBand="0" w:firstRowFirstColumn="0" w:firstRowLastColumn="0" w:lastRowFirstColumn="0" w:lastRowLastColumn="0"/>
            <w:tcW w:w="2110" w:type="dxa"/>
            <w:hideMark/>
          </w:tcPr>
          <w:p w14:paraId="01875A50" w14:textId="77777777" w:rsidR="00DB7D18" w:rsidRPr="00BF28F4" w:rsidRDefault="00DB7D18" w:rsidP="00DB7D18">
            <w:pPr>
              <w:pStyle w:val="Body"/>
              <w:spacing w:after="0"/>
              <w:rPr>
                <w:rFonts w:ascii="Arial" w:hAnsi="Arial" w:cs="Arial"/>
                <w:b w:val="0"/>
                <w:bCs w:val="0"/>
              </w:rPr>
            </w:pPr>
            <w:r w:rsidRPr="00BF28F4">
              <w:rPr>
                <w:rFonts w:ascii="Arial" w:hAnsi="Arial" w:cs="Arial"/>
                <w:b w:val="0"/>
                <w:bCs w:val="0"/>
              </w:rPr>
              <w:t>Diabetic Control</w:t>
            </w:r>
          </w:p>
        </w:tc>
        <w:tc>
          <w:tcPr>
            <w:tcW w:w="1821" w:type="dxa"/>
            <w:hideMark/>
          </w:tcPr>
          <w:p w14:paraId="40A05FEB" w14:textId="77777777" w:rsidR="00DB7D18" w:rsidRPr="00BF28F4"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2.33 ± 0.08ᵇ</w:t>
            </w:r>
          </w:p>
        </w:tc>
        <w:tc>
          <w:tcPr>
            <w:tcW w:w="1688" w:type="dxa"/>
            <w:hideMark/>
          </w:tcPr>
          <w:p w14:paraId="638C7E55" w14:textId="77777777" w:rsidR="00DB7D18" w:rsidRPr="00BF28F4"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2.38 ± 0.08ᵇ</w:t>
            </w:r>
          </w:p>
        </w:tc>
        <w:tc>
          <w:tcPr>
            <w:tcW w:w="1775" w:type="dxa"/>
            <w:hideMark/>
          </w:tcPr>
          <w:p w14:paraId="1FD75E85" w14:textId="77777777" w:rsidR="00DB7D18" w:rsidRPr="00BF28F4"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2.41 ± 0.08ᵇ</w:t>
            </w:r>
          </w:p>
        </w:tc>
        <w:tc>
          <w:tcPr>
            <w:cnfStyle w:val="000100000000" w:firstRow="0" w:lastRow="0" w:firstColumn="0" w:lastColumn="1" w:oddVBand="0" w:evenVBand="0" w:oddHBand="0" w:evenHBand="0" w:firstRowFirstColumn="0" w:firstRowLastColumn="0" w:lastRowFirstColumn="0" w:lastRowLastColumn="0"/>
            <w:tcW w:w="1950" w:type="dxa"/>
            <w:hideMark/>
          </w:tcPr>
          <w:p w14:paraId="2451CD6A" w14:textId="77777777" w:rsidR="00DB7D18" w:rsidRPr="00BF28F4" w:rsidRDefault="00DB7D18" w:rsidP="00DB7D18">
            <w:pPr>
              <w:pStyle w:val="Body"/>
              <w:spacing w:after="0"/>
              <w:rPr>
                <w:rFonts w:ascii="Arial" w:hAnsi="Arial" w:cs="Arial"/>
                <w:b w:val="0"/>
                <w:bCs w:val="0"/>
              </w:rPr>
            </w:pPr>
            <w:r w:rsidRPr="00BF28F4">
              <w:rPr>
                <w:rFonts w:ascii="Arial" w:hAnsi="Arial" w:cs="Arial"/>
                <w:b w:val="0"/>
                <w:bCs w:val="0"/>
              </w:rPr>
              <w:t>2.43 ± 0.08ᵇ</w:t>
            </w:r>
          </w:p>
        </w:tc>
      </w:tr>
      <w:tr w:rsidR="00DB7D18" w:rsidRPr="00BF28F4" w14:paraId="7764DF4A" w14:textId="77777777" w:rsidTr="00B53517">
        <w:trPr>
          <w:trHeight w:val="389"/>
        </w:trPr>
        <w:tc>
          <w:tcPr>
            <w:cnfStyle w:val="001000000000" w:firstRow="0" w:lastRow="0" w:firstColumn="1" w:lastColumn="0" w:oddVBand="0" w:evenVBand="0" w:oddHBand="0" w:evenHBand="0" w:firstRowFirstColumn="0" w:firstRowLastColumn="0" w:lastRowFirstColumn="0" w:lastRowLastColumn="0"/>
            <w:tcW w:w="2110" w:type="dxa"/>
            <w:hideMark/>
          </w:tcPr>
          <w:p w14:paraId="10A15010" w14:textId="77777777" w:rsidR="00DB7D18" w:rsidRPr="00BF28F4" w:rsidRDefault="00DB7D18" w:rsidP="00DB7D18">
            <w:pPr>
              <w:pStyle w:val="Body"/>
              <w:spacing w:after="0"/>
              <w:rPr>
                <w:rFonts w:ascii="Arial" w:hAnsi="Arial" w:cs="Arial"/>
                <w:b w:val="0"/>
                <w:bCs w:val="0"/>
              </w:rPr>
            </w:pPr>
            <w:r w:rsidRPr="00BF28F4">
              <w:rPr>
                <w:rFonts w:ascii="Arial" w:hAnsi="Arial" w:cs="Arial"/>
                <w:b w:val="0"/>
                <w:bCs w:val="0"/>
                <w:i/>
                <w:iCs/>
              </w:rPr>
              <w:t>C. sativus</w:t>
            </w:r>
          </w:p>
        </w:tc>
        <w:tc>
          <w:tcPr>
            <w:tcW w:w="1821" w:type="dxa"/>
            <w:hideMark/>
          </w:tcPr>
          <w:p w14:paraId="178939C6" w14:textId="77777777" w:rsidR="00DB7D18" w:rsidRPr="00BF28F4"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2.31 ± 0.07ᵇ</w:t>
            </w:r>
          </w:p>
        </w:tc>
        <w:tc>
          <w:tcPr>
            <w:tcW w:w="1688" w:type="dxa"/>
            <w:hideMark/>
          </w:tcPr>
          <w:p w14:paraId="067A311B" w14:textId="77777777" w:rsidR="00DB7D18" w:rsidRPr="00BF28F4"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1.86 ± 0.07ᶜ</w:t>
            </w:r>
          </w:p>
        </w:tc>
        <w:tc>
          <w:tcPr>
            <w:tcW w:w="1775" w:type="dxa"/>
            <w:hideMark/>
          </w:tcPr>
          <w:p w14:paraId="18BA99ED" w14:textId="77777777" w:rsidR="00DB7D18" w:rsidRPr="00BF28F4"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1.55 ± 0.06ᶜ</w:t>
            </w:r>
          </w:p>
        </w:tc>
        <w:tc>
          <w:tcPr>
            <w:cnfStyle w:val="000100000000" w:firstRow="0" w:lastRow="0" w:firstColumn="0" w:lastColumn="1" w:oddVBand="0" w:evenVBand="0" w:oddHBand="0" w:evenHBand="0" w:firstRowFirstColumn="0" w:firstRowLastColumn="0" w:lastRowFirstColumn="0" w:lastRowLastColumn="0"/>
            <w:tcW w:w="1950" w:type="dxa"/>
            <w:hideMark/>
          </w:tcPr>
          <w:p w14:paraId="49AFC6A7" w14:textId="77777777" w:rsidR="00DB7D18" w:rsidRPr="00BF28F4" w:rsidRDefault="00DB7D18" w:rsidP="00DB7D18">
            <w:pPr>
              <w:pStyle w:val="Body"/>
              <w:spacing w:after="0"/>
              <w:rPr>
                <w:rFonts w:ascii="Arial" w:hAnsi="Arial" w:cs="Arial"/>
                <w:b w:val="0"/>
                <w:bCs w:val="0"/>
              </w:rPr>
            </w:pPr>
            <w:r w:rsidRPr="00BF28F4">
              <w:rPr>
                <w:rFonts w:ascii="Arial" w:hAnsi="Arial" w:cs="Arial"/>
                <w:b w:val="0"/>
                <w:bCs w:val="0"/>
              </w:rPr>
              <w:t>1.45 ± 0.06ᶜ</w:t>
            </w:r>
          </w:p>
        </w:tc>
      </w:tr>
      <w:tr w:rsidR="00DB7D18" w:rsidRPr="00BF28F4" w14:paraId="60B4F47A" w14:textId="77777777" w:rsidTr="00B53517">
        <w:trPr>
          <w:trHeight w:val="418"/>
        </w:trPr>
        <w:tc>
          <w:tcPr>
            <w:cnfStyle w:val="001000000000" w:firstRow="0" w:lastRow="0" w:firstColumn="1" w:lastColumn="0" w:oddVBand="0" w:evenVBand="0" w:oddHBand="0" w:evenHBand="0" w:firstRowFirstColumn="0" w:firstRowLastColumn="0" w:lastRowFirstColumn="0" w:lastRowLastColumn="0"/>
            <w:tcW w:w="2110" w:type="dxa"/>
            <w:hideMark/>
          </w:tcPr>
          <w:p w14:paraId="73D705ED" w14:textId="77777777" w:rsidR="00DB7D18" w:rsidRPr="00BF28F4" w:rsidRDefault="00DB7D18" w:rsidP="00DB7D18">
            <w:pPr>
              <w:pStyle w:val="Body"/>
              <w:spacing w:after="0"/>
              <w:rPr>
                <w:rFonts w:ascii="Arial" w:hAnsi="Arial" w:cs="Arial"/>
                <w:b w:val="0"/>
                <w:bCs w:val="0"/>
              </w:rPr>
            </w:pPr>
            <w:r w:rsidRPr="00BF28F4">
              <w:rPr>
                <w:rFonts w:ascii="Arial" w:hAnsi="Arial" w:cs="Arial"/>
                <w:b w:val="0"/>
                <w:bCs w:val="0"/>
                <w:i/>
                <w:iCs/>
              </w:rPr>
              <w:t>C. lanatus</w:t>
            </w:r>
          </w:p>
        </w:tc>
        <w:tc>
          <w:tcPr>
            <w:tcW w:w="1821" w:type="dxa"/>
            <w:hideMark/>
          </w:tcPr>
          <w:p w14:paraId="1B0B529B" w14:textId="77777777" w:rsidR="00DB7D18" w:rsidRPr="00BF28F4"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2.33 ± 0.08ᵇ</w:t>
            </w:r>
          </w:p>
        </w:tc>
        <w:tc>
          <w:tcPr>
            <w:tcW w:w="1688" w:type="dxa"/>
            <w:hideMark/>
          </w:tcPr>
          <w:p w14:paraId="1C6CC161" w14:textId="77777777" w:rsidR="00DB7D18" w:rsidRPr="00BF28F4"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1.92 ± 0.07ᶜ</w:t>
            </w:r>
          </w:p>
        </w:tc>
        <w:tc>
          <w:tcPr>
            <w:tcW w:w="1775" w:type="dxa"/>
            <w:hideMark/>
          </w:tcPr>
          <w:p w14:paraId="13435B24" w14:textId="77777777" w:rsidR="00DB7D18" w:rsidRPr="00BF28F4"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1.61 ± 0.07ᶜ</w:t>
            </w:r>
          </w:p>
        </w:tc>
        <w:tc>
          <w:tcPr>
            <w:cnfStyle w:val="000100000000" w:firstRow="0" w:lastRow="0" w:firstColumn="0" w:lastColumn="1" w:oddVBand="0" w:evenVBand="0" w:oddHBand="0" w:evenHBand="0" w:firstRowFirstColumn="0" w:firstRowLastColumn="0" w:lastRowFirstColumn="0" w:lastRowLastColumn="0"/>
            <w:tcW w:w="1950" w:type="dxa"/>
            <w:hideMark/>
          </w:tcPr>
          <w:p w14:paraId="1A0C30B3" w14:textId="77777777" w:rsidR="00DB7D18" w:rsidRPr="00BF28F4" w:rsidRDefault="00DB7D18" w:rsidP="00DB7D18">
            <w:pPr>
              <w:pStyle w:val="Body"/>
              <w:spacing w:after="0"/>
              <w:rPr>
                <w:rFonts w:ascii="Arial" w:hAnsi="Arial" w:cs="Arial"/>
                <w:b w:val="0"/>
                <w:bCs w:val="0"/>
              </w:rPr>
            </w:pPr>
            <w:r w:rsidRPr="00BF28F4">
              <w:rPr>
                <w:rFonts w:ascii="Arial" w:hAnsi="Arial" w:cs="Arial"/>
                <w:b w:val="0"/>
                <w:bCs w:val="0"/>
              </w:rPr>
              <w:t>1.50 ± 0.06ᶜ</w:t>
            </w:r>
          </w:p>
        </w:tc>
      </w:tr>
      <w:tr w:rsidR="00DB7D18" w:rsidRPr="00BF28F4" w14:paraId="079CA6AD" w14:textId="77777777" w:rsidTr="00B53517">
        <w:trPr>
          <w:trHeight w:val="307"/>
        </w:trPr>
        <w:tc>
          <w:tcPr>
            <w:cnfStyle w:val="001000000000" w:firstRow="0" w:lastRow="0" w:firstColumn="1" w:lastColumn="0" w:oddVBand="0" w:evenVBand="0" w:oddHBand="0" w:evenHBand="0" w:firstRowFirstColumn="0" w:firstRowLastColumn="0" w:lastRowFirstColumn="0" w:lastRowLastColumn="0"/>
            <w:tcW w:w="2110" w:type="dxa"/>
            <w:hideMark/>
          </w:tcPr>
          <w:p w14:paraId="1913E808" w14:textId="77777777" w:rsidR="00DB7D18" w:rsidRPr="00BF28F4" w:rsidRDefault="00DB7D18" w:rsidP="00DB7D18">
            <w:pPr>
              <w:pStyle w:val="Body"/>
              <w:spacing w:after="0"/>
              <w:rPr>
                <w:rFonts w:ascii="Arial" w:hAnsi="Arial" w:cs="Arial"/>
                <w:b w:val="0"/>
                <w:bCs w:val="0"/>
              </w:rPr>
            </w:pPr>
            <w:r w:rsidRPr="00BF28F4">
              <w:rPr>
                <w:rFonts w:ascii="Arial" w:hAnsi="Arial" w:cs="Arial"/>
                <w:b w:val="0"/>
                <w:bCs w:val="0"/>
              </w:rPr>
              <w:t>Combined Extract</w:t>
            </w:r>
          </w:p>
        </w:tc>
        <w:tc>
          <w:tcPr>
            <w:tcW w:w="1821" w:type="dxa"/>
            <w:hideMark/>
          </w:tcPr>
          <w:p w14:paraId="2BB92A1D" w14:textId="77777777" w:rsidR="00DB7D18" w:rsidRPr="00BF28F4"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2.36 ± 0.07ᵇ</w:t>
            </w:r>
          </w:p>
        </w:tc>
        <w:tc>
          <w:tcPr>
            <w:tcW w:w="1688" w:type="dxa"/>
            <w:hideMark/>
          </w:tcPr>
          <w:p w14:paraId="79915EA4" w14:textId="77777777" w:rsidR="00DB7D18" w:rsidRPr="00BF28F4"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1.76 ± 0.06ᶜ</w:t>
            </w:r>
          </w:p>
        </w:tc>
        <w:tc>
          <w:tcPr>
            <w:tcW w:w="1775" w:type="dxa"/>
            <w:hideMark/>
          </w:tcPr>
          <w:p w14:paraId="58E8BE0D" w14:textId="77777777" w:rsidR="00DB7D18" w:rsidRPr="00BF28F4"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1.30 ± 0.06ᵈ</w:t>
            </w:r>
          </w:p>
        </w:tc>
        <w:tc>
          <w:tcPr>
            <w:cnfStyle w:val="000100000000" w:firstRow="0" w:lastRow="0" w:firstColumn="0" w:lastColumn="1" w:oddVBand="0" w:evenVBand="0" w:oddHBand="0" w:evenHBand="0" w:firstRowFirstColumn="0" w:firstRowLastColumn="0" w:lastRowFirstColumn="0" w:lastRowLastColumn="0"/>
            <w:tcW w:w="1950" w:type="dxa"/>
            <w:hideMark/>
          </w:tcPr>
          <w:p w14:paraId="73CFD7F4" w14:textId="77777777" w:rsidR="00DB7D18" w:rsidRPr="00BF28F4" w:rsidRDefault="00DB7D18" w:rsidP="00DB7D18">
            <w:pPr>
              <w:pStyle w:val="Body"/>
              <w:spacing w:after="0"/>
              <w:rPr>
                <w:rFonts w:ascii="Arial" w:hAnsi="Arial" w:cs="Arial"/>
                <w:b w:val="0"/>
                <w:bCs w:val="0"/>
              </w:rPr>
            </w:pPr>
            <w:r w:rsidRPr="00BF28F4">
              <w:rPr>
                <w:rFonts w:ascii="Arial" w:hAnsi="Arial" w:cs="Arial"/>
                <w:b w:val="0"/>
                <w:bCs w:val="0"/>
              </w:rPr>
              <w:t>1.22 ± 0.05ᵈ</w:t>
            </w:r>
          </w:p>
        </w:tc>
      </w:tr>
      <w:tr w:rsidR="00DB7D18" w:rsidRPr="00BF28F4" w14:paraId="012C0B80" w14:textId="77777777" w:rsidTr="00B53517">
        <w:trPr>
          <w:trHeight w:val="257"/>
        </w:trPr>
        <w:tc>
          <w:tcPr>
            <w:cnfStyle w:val="001000000000" w:firstRow="0" w:lastRow="0" w:firstColumn="1" w:lastColumn="0" w:oddVBand="0" w:evenVBand="0" w:oddHBand="0" w:evenHBand="0" w:firstRowFirstColumn="0" w:firstRowLastColumn="0" w:lastRowFirstColumn="0" w:lastRowLastColumn="0"/>
            <w:tcW w:w="2110" w:type="dxa"/>
            <w:hideMark/>
          </w:tcPr>
          <w:p w14:paraId="1FB2F837" w14:textId="77777777" w:rsidR="00DB7D18" w:rsidRPr="00BF28F4" w:rsidRDefault="00DB7D18" w:rsidP="00DB7D18">
            <w:pPr>
              <w:pStyle w:val="Body"/>
              <w:spacing w:after="0"/>
              <w:rPr>
                <w:rFonts w:ascii="Arial" w:hAnsi="Arial" w:cs="Arial"/>
                <w:b w:val="0"/>
                <w:bCs w:val="0"/>
              </w:rPr>
            </w:pPr>
            <w:r w:rsidRPr="00BF28F4">
              <w:rPr>
                <w:rFonts w:ascii="Arial" w:hAnsi="Arial" w:cs="Arial"/>
                <w:b w:val="0"/>
                <w:bCs w:val="0"/>
              </w:rPr>
              <w:t>Metformin</w:t>
            </w:r>
          </w:p>
        </w:tc>
        <w:tc>
          <w:tcPr>
            <w:tcW w:w="1821" w:type="dxa"/>
            <w:hideMark/>
          </w:tcPr>
          <w:p w14:paraId="2FE926C1" w14:textId="77777777" w:rsidR="00DB7D18" w:rsidRPr="00BF28F4"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2.33 ± 0.07ᵇ</w:t>
            </w:r>
          </w:p>
        </w:tc>
        <w:tc>
          <w:tcPr>
            <w:tcW w:w="1688" w:type="dxa"/>
            <w:hideMark/>
          </w:tcPr>
          <w:p w14:paraId="1E808C9D" w14:textId="77777777" w:rsidR="00DB7D18" w:rsidRPr="00BF28F4"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1.68 ± 0.06ᶜ</w:t>
            </w:r>
          </w:p>
        </w:tc>
        <w:tc>
          <w:tcPr>
            <w:tcW w:w="1775" w:type="dxa"/>
            <w:hideMark/>
          </w:tcPr>
          <w:p w14:paraId="449F15FD" w14:textId="77777777" w:rsidR="00DB7D18" w:rsidRPr="00BF28F4"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1.17 ± 0.05ᵈ</w:t>
            </w:r>
          </w:p>
        </w:tc>
        <w:tc>
          <w:tcPr>
            <w:cnfStyle w:val="000100000000" w:firstRow="0" w:lastRow="0" w:firstColumn="0" w:lastColumn="1" w:oddVBand="0" w:evenVBand="0" w:oddHBand="0" w:evenHBand="0" w:firstRowFirstColumn="0" w:firstRowLastColumn="0" w:lastRowFirstColumn="0" w:lastRowLastColumn="0"/>
            <w:tcW w:w="1950" w:type="dxa"/>
            <w:hideMark/>
          </w:tcPr>
          <w:p w14:paraId="261B522B" w14:textId="77777777" w:rsidR="00DB7D18" w:rsidRPr="00BF28F4" w:rsidRDefault="00DB7D18" w:rsidP="00DB7D18">
            <w:pPr>
              <w:pStyle w:val="Body"/>
              <w:spacing w:after="0"/>
              <w:rPr>
                <w:rFonts w:ascii="Arial" w:hAnsi="Arial" w:cs="Arial"/>
                <w:b w:val="0"/>
                <w:bCs w:val="0"/>
              </w:rPr>
            </w:pPr>
            <w:r w:rsidRPr="00BF28F4">
              <w:rPr>
                <w:rFonts w:ascii="Arial" w:hAnsi="Arial" w:cs="Arial"/>
                <w:b w:val="0"/>
                <w:bCs w:val="0"/>
              </w:rPr>
              <w:t>1.09 ± 0.05ᵉ</w:t>
            </w:r>
          </w:p>
        </w:tc>
      </w:tr>
    </w:tbl>
    <w:p w14:paraId="11C1D2BE" w14:textId="77777777" w:rsidR="00DB7D18" w:rsidRPr="00BF28F4" w:rsidRDefault="00DB7D18" w:rsidP="00DB7D18">
      <w:pPr>
        <w:pStyle w:val="Body"/>
        <w:spacing w:after="0"/>
        <w:rPr>
          <w:rFonts w:ascii="Arial" w:hAnsi="Arial" w:cs="Arial"/>
          <w:bCs/>
          <w:lang w:val="en-GB"/>
        </w:rPr>
      </w:pPr>
      <w:r w:rsidRPr="00BF28F4">
        <w:rPr>
          <w:rFonts w:ascii="Arial" w:hAnsi="Arial" w:cs="Arial"/>
          <w:bCs/>
          <w:lang w:val="en-GB"/>
        </w:rPr>
        <w:t>Values are expressed as mean ± SEM (n = 6). Means within the same column with different superscript letters (a–e) are significantly different at p &lt; 0.05, as determined by one-way analysis of variance (ANOVA) followed by Tukey’s Honestly Significant Difference (HSD) post hoc test.</w:t>
      </w:r>
    </w:p>
    <w:p w14:paraId="53BE8110" w14:textId="77777777" w:rsidR="00B53517" w:rsidRPr="00BF28F4" w:rsidRDefault="00B53517" w:rsidP="00DB7D18">
      <w:pPr>
        <w:pStyle w:val="Body"/>
        <w:spacing w:after="0"/>
        <w:rPr>
          <w:rFonts w:ascii="Arial" w:hAnsi="Arial" w:cs="Arial"/>
          <w:bCs/>
          <w:lang w:val="en-GB"/>
        </w:rPr>
      </w:pPr>
    </w:p>
    <w:p w14:paraId="4E6A3770" w14:textId="77777777" w:rsidR="00DB7D18" w:rsidRPr="00BF28F4" w:rsidRDefault="00DB7D18" w:rsidP="00DB7D18">
      <w:pPr>
        <w:pStyle w:val="Body"/>
        <w:spacing w:after="0"/>
        <w:rPr>
          <w:rFonts w:ascii="Arial" w:hAnsi="Arial" w:cs="Arial"/>
          <w:bCs/>
          <w:lang w:val="en-GB"/>
        </w:rPr>
      </w:pPr>
      <w:r w:rsidRPr="00BF28F4">
        <w:rPr>
          <w:rFonts w:ascii="Arial" w:hAnsi="Arial" w:cs="Arial"/>
          <w:bCs/>
          <w:noProof/>
        </w:rPr>
        <w:lastRenderedPageBreak/>
        <w:drawing>
          <wp:inline distT="0" distB="0" distL="0" distR="0" wp14:anchorId="63E70E80" wp14:editId="3224406F">
            <wp:extent cx="5600700" cy="3163358"/>
            <wp:effectExtent l="0" t="0" r="0" b="0"/>
            <wp:docPr id="14896916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a:extLst>
                        <a:ext uri="{28A0092B-C50C-407E-A947-70E740481C1C}">
                          <a14:useLocalDpi xmlns:a14="http://schemas.microsoft.com/office/drawing/2010/main" val="0"/>
                        </a:ext>
                      </a:extLst>
                    </a:blip>
                    <a:srcRect t="6124"/>
                    <a:stretch>
                      <a:fillRect/>
                    </a:stretch>
                  </pic:blipFill>
                  <pic:spPr bwMode="auto">
                    <a:xfrm>
                      <a:off x="0" y="0"/>
                      <a:ext cx="5605433" cy="3166031"/>
                    </a:xfrm>
                    <a:prstGeom prst="rect">
                      <a:avLst/>
                    </a:prstGeom>
                    <a:noFill/>
                    <a:ln>
                      <a:noFill/>
                    </a:ln>
                    <a:extLst>
                      <a:ext uri="{53640926-AAD7-44D8-BBD7-CCE9431645EC}">
                        <a14:shadowObscured xmlns:a14="http://schemas.microsoft.com/office/drawing/2010/main"/>
                      </a:ext>
                    </a:extLst>
                  </pic:spPr>
                </pic:pic>
              </a:graphicData>
            </a:graphic>
          </wp:inline>
        </w:drawing>
      </w:r>
    </w:p>
    <w:p w14:paraId="5BDDA624" w14:textId="77777777" w:rsidR="00DB7D18" w:rsidRPr="00BF28F4" w:rsidRDefault="00DB7D18" w:rsidP="00DB7D18">
      <w:pPr>
        <w:pStyle w:val="Body"/>
        <w:spacing w:after="0"/>
        <w:rPr>
          <w:rFonts w:ascii="Arial" w:hAnsi="Arial" w:cs="Arial"/>
          <w:b/>
          <w:bCs/>
        </w:rPr>
      </w:pPr>
      <w:r w:rsidRPr="00BF28F4">
        <w:rPr>
          <w:rFonts w:ascii="Arial" w:hAnsi="Arial" w:cs="Arial"/>
          <w:b/>
          <w:bCs/>
        </w:rPr>
        <w:t>Figure 4. Mean LDL cholesterol</w:t>
      </w:r>
    </w:p>
    <w:p w14:paraId="613BA6D7" w14:textId="77777777" w:rsidR="00DB7D18" w:rsidRPr="00BF28F4" w:rsidRDefault="00DB7D18" w:rsidP="00DB7D18">
      <w:pPr>
        <w:pStyle w:val="Body"/>
        <w:spacing w:after="0"/>
        <w:rPr>
          <w:rFonts w:ascii="Arial" w:hAnsi="Arial" w:cs="Arial"/>
          <w:i/>
          <w:iCs/>
        </w:rPr>
      </w:pPr>
    </w:p>
    <w:p w14:paraId="487C784C" w14:textId="77777777" w:rsidR="00DB7D18" w:rsidRPr="00BF28F4" w:rsidRDefault="00DB7D18" w:rsidP="00DB7D18">
      <w:pPr>
        <w:pStyle w:val="Body"/>
        <w:spacing w:after="0"/>
        <w:rPr>
          <w:rFonts w:ascii="Arial" w:hAnsi="Arial" w:cs="Arial"/>
          <w:b/>
          <w:bCs/>
          <w:i/>
          <w:iCs/>
        </w:rPr>
      </w:pPr>
      <w:r w:rsidRPr="00BF28F4">
        <w:rPr>
          <w:rFonts w:ascii="Arial" w:hAnsi="Arial" w:cs="Arial"/>
          <w:b/>
          <w:bCs/>
          <w:i/>
          <w:iCs/>
        </w:rPr>
        <w:t>3.3.4 Effect of Extracts on Serum Triglyceride Levels</w:t>
      </w:r>
    </w:p>
    <w:p w14:paraId="6A1FCE8E" w14:textId="77777777" w:rsidR="00DB7D18" w:rsidRPr="00BF28F4" w:rsidRDefault="00DB7D18" w:rsidP="00DB7D18">
      <w:pPr>
        <w:pStyle w:val="Body"/>
        <w:spacing w:after="0"/>
        <w:rPr>
          <w:rFonts w:ascii="Arial" w:hAnsi="Arial" w:cs="Arial"/>
          <w:b/>
          <w:bCs/>
          <w:i/>
          <w:iCs/>
        </w:rPr>
      </w:pPr>
    </w:p>
    <w:p w14:paraId="6143FA58" w14:textId="77777777" w:rsidR="00DB7D18" w:rsidRPr="00BF28F4" w:rsidRDefault="00DB7D18" w:rsidP="00DB7D18">
      <w:pPr>
        <w:pStyle w:val="Body"/>
        <w:spacing w:after="0"/>
        <w:rPr>
          <w:rFonts w:ascii="Arial" w:hAnsi="Arial" w:cs="Arial"/>
        </w:rPr>
      </w:pPr>
      <w:r w:rsidRPr="00BF28F4">
        <w:rPr>
          <w:rFonts w:ascii="Arial" w:hAnsi="Arial" w:cs="Arial"/>
          <w:lang w:val="en-GB"/>
        </w:rPr>
        <w:t xml:space="preserve">The effects of the extracts and metformin on triglyceride levels across all groups over the experimental period are presented in </w:t>
      </w:r>
      <w:r w:rsidRPr="00BF28F4">
        <w:rPr>
          <w:rFonts w:ascii="Arial" w:hAnsi="Arial" w:cs="Arial"/>
          <w:b/>
          <w:bCs/>
        </w:rPr>
        <w:t>Table 6</w:t>
      </w:r>
      <w:r w:rsidRPr="00BF28F4">
        <w:rPr>
          <w:rFonts w:ascii="Arial" w:hAnsi="Arial" w:cs="Arial"/>
        </w:rPr>
        <w:t xml:space="preserve"> and </w:t>
      </w:r>
      <w:r w:rsidRPr="00BF28F4">
        <w:rPr>
          <w:rFonts w:ascii="Arial" w:hAnsi="Arial" w:cs="Arial"/>
          <w:b/>
          <w:bCs/>
        </w:rPr>
        <w:t>Figure 5</w:t>
      </w:r>
      <w:r w:rsidRPr="00BF28F4">
        <w:rPr>
          <w:rFonts w:ascii="Arial" w:hAnsi="Arial" w:cs="Arial"/>
        </w:rPr>
        <w:t xml:space="preserve">. The normal control group maintained stable triglyceride levels (0.84–0.87 mmol/L), indicating metabolic stability. The diabetic control group exhibited a steady increase from 1.53 mmol/L to 1.59 mmol/L, reflecting worsening </w:t>
      </w:r>
      <w:proofErr w:type="spellStart"/>
      <w:r w:rsidRPr="00BF28F4">
        <w:rPr>
          <w:rFonts w:ascii="Arial" w:hAnsi="Arial" w:cs="Arial"/>
        </w:rPr>
        <w:t>hypertriglyceridaemia</w:t>
      </w:r>
      <w:proofErr w:type="spellEnd"/>
      <w:r w:rsidRPr="00BF28F4">
        <w:rPr>
          <w:rFonts w:ascii="Arial" w:hAnsi="Arial" w:cs="Arial"/>
        </w:rPr>
        <w:t>. These values were significantly higher than the normal control (p &lt; 0.05).</w:t>
      </w:r>
    </w:p>
    <w:p w14:paraId="07E7FD3B" w14:textId="77777777" w:rsidR="00DB7D18" w:rsidRPr="00BF28F4" w:rsidRDefault="00DB7D18" w:rsidP="00DB7D18">
      <w:pPr>
        <w:pStyle w:val="Body"/>
        <w:spacing w:after="0"/>
        <w:rPr>
          <w:rFonts w:ascii="Arial" w:hAnsi="Arial" w:cs="Arial"/>
        </w:rPr>
      </w:pPr>
      <w:r w:rsidRPr="00BF28F4">
        <w:rPr>
          <w:rFonts w:ascii="Arial" w:hAnsi="Arial" w:cs="Arial"/>
        </w:rPr>
        <w:t xml:space="preserve">Treatment with </w:t>
      </w:r>
      <w:r w:rsidRPr="00BF28F4">
        <w:rPr>
          <w:rFonts w:ascii="Arial" w:hAnsi="Arial" w:cs="Arial"/>
          <w:i/>
          <w:iCs/>
        </w:rPr>
        <w:t>C. sativus</w:t>
      </w:r>
      <w:r w:rsidRPr="00BF28F4">
        <w:rPr>
          <w:rFonts w:ascii="Arial" w:hAnsi="Arial" w:cs="Arial"/>
        </w:rPr>
        <w:t xml:space="preserve"> and </w:t>
      </w:r>
      <w:r w:rsidRPr="00BF28F4">
        <w:rPr>
          <w:rFonts w:ascii="Arial" w:hAnsi="Arial" w:cs="Arial"/>
          <w:i/>
          <w:iCs/>
        </w:rPr>
        <w:t>C. lanatus</w:t>
      </w:r>
      <w:r w:rsidRPr="00BF28F4">
        <w:rPr>
          <w:rFonts w:ascii="Arial" w:hAnsi="Arial" w:cs="Arial"/>
        </w:rPr>
        <w:t xml:space="preserve"> extracts resulted in significant reductions in triglyceride levels, reaching 1.14 mmol/L and 1.18 mmol/L, respectively, at Day 21. The combined extract showed improved efficacy, reducing triglycerides further to 1.04 mmol/L. The metformin-treated group demonstrated the greatest reduction (0.99 mmol/L), significantly lower than all other groups (p &lt; 0.05), confirming its superior lipid-lowering effect.</w:t>
      </w:r>
    </w:p>
    <w:p w14:paraId="69EA6C31" w14:textId="77777777" w:rsidR="00DB7D18" w:rsidRPr="00BF28F4" w:rsidRDefault="00DB7D18" w:rsidP="00DB7D18">
      <w:pPr>
        <w:pStyle w:val="Body"/>
        <w:spacing w:after="0"/>
        <w:rPr>
          <w:rFonts w:ascii="Arial" w:hAnsi="Arial" w:cs="Arial"/>
        </w:rPr>
      </w:pPr>
    </w:p>
    <w:p w14:paraId="614570A3" w14:textId="77777777" w:rsidR="00DB7D18" w:rsidRPr="00BF28F4" w:rsidRDefault="00DB7D18" w:rsidP="00DB7D18">
      <w:pPr>
        <w:pStyle w:val="Body"/>
        <w:rPr>
          <w:rFonts w:ascii="Arial" w:hAnsi="Arial" w:cs="Arial"/>
          <w:b/>
          <w:bCs/>
        </w:rPr>
      </w:pPr>
      <w:r w:rsidRPr="00BF28F4">
        <w:rPr>
          <w:rFonts w:ascii="Arial" w:hAnsi="Arial" w:cs="Arial"/>
          <w:b/>
          <w:bCs/>
        </w:rPr>
        <w:t>Table 6: Triglycerides (mmol/L)</w:t>
      </w:r>
    </w:p>
    <w:tbl>
      <w:tblPr>
        <w:tblStyle w:val="PlainTable2"/>
        <w:tblW w:w="9085" w:type="dxa"/>
        <w:tblLook w:val="07A0" w:firstRow="1" w:lastRow="0" w:firstColumn="1" w:lastColumn="1" w:noHBand="1" w:noVBand="1"/>
      </w:tblPr>
      <w:tblGrid>
        <w:gridCol w:w="1998"/>
        <w:gridCol w:w="1907"/>
        <w:gridCol w:w="1670"/>
        <w:gridCol w:w="1670"/>
        <w:gridCol w:w="1840"/>
      </w:tblGrid>
      <w:tr w:rsidR="00DB7D18" w:rsidRPr="00BF28F4" w14:paraId="76220370" w14:textId="77777777" w:rsidTr="00DB7D18">
        <w:trPr>
          <w:cnfStyle w:val="100000000000" w:firstRow="1" w:lastRow="0" w:firstColumn="0" w:lastColumn="0" w:oddVBand="0" w:evenVBand="0" w:oddHBand="0"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1998" w:type="dxa"/>
            <w:hideMark/>
          </w:tcPr>
          <w:p w14:paraId="3FFEF914" w14:textId="77777777" w:rsidR="00DB7D18" w:rsidRPr="00BF28F4" w:rsidRDefault="00DB7D18" w:rsidP="00DB7D18">
            <w:pPr>
              <w:pStyle w:val="Body"/>
              <w:rPr>
                <w:rFonts w:ascii="Arial" w:hAnsi="Arial" w:cs="Arial"/>
                <w:b w:val="0"/>
                <w:bCs w:val="0"/>
              </w:rPr>
            </w:pPr>
            <w:r w:rsidRPr="00BF28F4">
              <w:rPr>
                <w:rFonts w:ascii="Arial" w:hAnsi="Arial" w:cs="Arial"/>
                <w:b w:val="0"/>
                <w:bCs w:val="0"/>
              </w:rPr>
              <w:t>Group</w:t>
            </w:r>
          </w:p>
        </w:tc>
        <w:tc>
          <w:tcPr>
            <w:tcW w:w="1907" w:type="dxa"/>
            <w:hideMark/>
          </w:tcPr>
          <w:p w14:paraId="33A64244" w14:textId="77777777" w:rsidR="00DB7D18" w:rsidRPr="00BF28F4" w:rsidRDefault="00DB7D18" w:rsidP="00DB7D18">
            <w:pPr>
              <w:pStyle w:val="Body"/>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BF28F4">
              <w:rPr>
                <w:rFonts w:ascii="Arial" w:hAnsi="Arial" w:cs="Arial"/>
                <w:b w:val="0"/>
                <w:bCs w:val="0"/>
                <w:lang w:val="en-GB"/>
              </w:rPr>
              <w:t>Post-induction (Day 0)</w:t>
            </w:r>
          </w:p>
        </w:tc>
        <w:tc>
          <w:tcPr>
            <w:tcW w:w="1670" w:type="dxa"/>
            <w:hideMark/>
          </w:tcPr>
          <w:p w14:paraId="0C4907EB" w14:textId="77777777" w:rsidR="00DB7D18" w:rsidRPr="00BF28F4" w:rsidRDefault="00DB7D18" w:rsidP="00DB7D18">
            <w:pPr>
              <w:pStyle w:val="Body"/>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BF28F4">
              <w:rPr>
                <w:rFonts w:ascii="Arial" w:hAnsi="Arial" w:cs="Arial"/>
                <w:b w:val="0"/>
                <w:bCs w:val="0"/>
              </w:rPr>
              <w:t>Day 7</w:t>
            </w:r>
          </w:p>
        </w:tc>
        <w:tc>
          <w:tcPr>
            <w:tcW w:w="1670" w:type="dxa"/>
            <w:hideMark/>
          </w:tcPr>
          <w:p w14:paraId="68C17459" w14:textId="77777777" w:rsidR="00DB7D18" w:rsidRPr="00BF28F4" w:rsidRDefault="00DB7D18" w:rsidP="00DB7D18">
            <w:pPr>
              <w:pStyle w:val="Body"/>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BF28F4">
              <w:rPr>
                <w:rFonts w:ascii="Arial" w:hAnsi="Arial" w:cs="Arial"/>
                <w:b w:val="0"/>
                <w:bCs w:val="0"/>
              </w:rPr>
              <w:t>Day 14</w:t>
            </w:r>
          </w:p>
        </w:tc>
        <w:tc>
          <w:tcPr>
            <w:cnfStyle w:val="000100000000" w:firstRow="0" w:lastRow="0" w:firstColumn="0" w:lastColumn="1" w:oddVBand="0" w:evenVBand="0" w:oddHBand="0" w:evenHBand="0" w:firstRowFirstColumn="0" w:firstRowLastColumn="0" w:lastRowFirstColumn="0" w:lastRowLastColumn="0"/>
            <w:tcW w:w="1840" w:type="dxa"/>
            <w:hideMark/>
          </w:tcPr>
          <w:p w14:paraId="60995A17" w14:textId="77777777" w:rsidR="00DB7D18" w:rsidRPr="00BF28F4" w:rsidRDefault="00DB7D18" w:rsidP="00DB7D18">
            <w:pPr>
              <w:pStyle w:val="Body"/>
              <w:rPr>
                <w:rFonts w:ascii="Arial" w:hAnsi="Arial" w:cs="Arial"/>
                <w:b w:val="0"/>
                <w:bCs w:val="0"/>
              </w:rPr>
            </w:pPr>
            <w:r w:rsidRPr="00BF28F4">
              <w:rPr>
                <w:rFonts w:ascii="Arial" w:hAnsi="Arial" w:cs="Arial"/>
                <w:b w:val="0"/>
                <w:bCs w:val="0"/>
              </w:rPr>
              <w:t>Day 21</w:t>
            </w:r>
          </w:p>
        </w:tc>
      </w:tr>
      <w:tr w:rsidR="00DB7D18" w:rsidRPr="00BF28F4" w14:paraId="3FE3B998" w14:textId="77777777" w:rsidTr="00DB7D18">
        <w:trPr>
          <w:trHeight w:val="531"/>
        </w:trPr>
        <w:tc>
          <w:tcPr>
            <w:cnfStyle w:val="001000000000" w:firstRow="0" w:lastRow="0" w:firstColumn="1" w:lastColumn="0" w:oddVBand="0" w:evenVBand="0" w:oddHBand="0" w:evenHBand="0" w:firstRowFirstColumn="0" w:firstRowLastColumn="0" w:lastRowFirstColumn="0" w:lastRowLastColumn="0"/>
            <w:tcW w:w="1998" w:type="dxa"/>
            <w:hideMark/>
          </w:tcPr>
          <w:p w14:paraId="11EACCC9" w14:textId="77777777" w:rsidR="00DB7D18" w:rsidRPr="00BF28F4" w:rsidRDefault="00DB7D18" w:rsidP="00DB7D18">
            <w:pPr>
              <w:pStyle w:val="Body"/>
              <w:rPr>
                <w:rFonts w:ascii="Arial" w:hAnsi="Arial" w:cs="Arial"/>
                <w:b w:val="0"/>
                <w:bCs w:val="0"/>
              </w:rPr>
            </w:pPr>
            <w:r w:rsidRPr="00BF28F4">
              <w:rPr>
                <w:rFonts w:ascii="Arial" w:hAnsi="Arial" w:cs="Arial"/>
                <w:b w:val="0"/>
                <w:bCs w:val="0"/>
              </w:rPr>
              <w:t>Normal Control</w:t>
            </w:r>
          </w:p>
        </w:tc>
        <w:tc>
          <w:tcPr>
            <w:tcW w:w="1907" w:type="dxa"/>
            <w:hideMark/>
          </w:tcPr>
          <w:p w14:paraId="77BF007A"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0.85 ± 0.02ᵃ</w:t>
            </w:r>
          </w:p>
        </w:tc>
        <w:tc>
          <w:tcPr>
            <w:tcW w:w="1670" w:type="dxa"/>
            <w:hideMark/>
          </w:tcPr>
          <w:p w14:paraId="758230C4"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0.86 ± 0.02ᵃ</w:t>
            </w:r>
          </w:p>
        </w:tc>
        <w:tc>
          <w:tcPr>
            <w:tcW w:w="1670" w:type="dxa"/>
            <w:hideMark/>
          </w:tcPr>
          <w:p w14:paraId="1E95D780"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0.84 ± 0.02ᵃ</w:t>
            </w:r>
          </w:p>
        </w:tc>
        <w:tc>
          <w:tcPr>
            <w:cnfStyle w:val="000100000000" w:firstRow="0" w:lastRow="0" w:firstColumn="0" w:lastColumn="1" w:oddVBand="0" w:evenVBand="0" w:oddHBand="0" w:evenHBand="0" w:firstRowFirstColumn="0" w:firstRowLastColumn="0" w:lastRowFirstColumn="0" w:lastRowLastColumn="0"/>
            <w:tcW w:w="1840" w:type="dxa"/>
            <w:hideMark/>
          </w:tcPr>
          <w:p w14:paraId="75790C8F" w14:textId="77777777" w:rsidR="00DB7D18" w:rsidRPr="00BF28F4" w:rsidRDefault="00DB7D18" w:rsidP="00DB7D18">
            <w:pPr>
              <w:pStyle w:val="Body"/>
              <w:rPr>
                <w:rFonts w:ascii="Arial" w:hAnsi="Arial" w:cs="Arial"/>
                <w:b w:val="0"/>
                <w:bCs w:val="0"/>
              </w:rPr>
            </w:pPr>
            <w:r w:rsidRPr="00BF28F4">
              <w:rPr>
                <w:rFonts w:ascii="Arial" w:hAnsi="Arial" w:cs="Arial"/>
                <w:b w:val="0"/>
                <w:bCs w:val="0"/>
              </w:rPr>
              <w:t>0.87 ± 0.02ᵃ</w:t>
            </w:r>
          </w:p>
        </w:tc>
      </w:tr>
      <w:tr w:rsidR="00DB7D18" w:rsidRPr="00BF28F4" w14:paraId="67772532" w14:textId="77777777" w:rsidTr="00DB7D18">
        <w:trPr>
          <w:trHeight w:val="434"/>
        </w:trPr>
        <w:tc>
          <w:tcPr>
            <w:cnfStyle w:val="001000000000" w:firstRow="0" w:lastRow="0" w:firstColumn="1" w:lastColumn="0" w:oddVBand="0" w:evenVBand="0" w:oddHBand="0" w:evenHBand="0" w:firstRowFirstColumn="0" w:firstRowLastColumn="0" w:lastRowFirstColumn="0" w:lastRowLastColumn="0"/>
            <w:tcW w:w="1998" w:type="dxa"/>
            <w:hideMark/>
          </w:tcPr>
          <w:p w14:paraId="1E53C893" w14:textId="77777777" w:rsidR="00DB7D18" w:rsidRPr="00BF28F4" w:rsidRDefault="00DB7D18" w:rsidP="00DB7D18">
            <w:pPr>
              <w:pStyle w:val="Body"/>
              <w:rPr>
                <w:rFonts w:ascii="Arial" w:hAnsi="Arial" w:cs="Arial"/>
                <w:b w:val="0"/>
                <w:bCs w:val="0"/>
              </w:rPr>
            </w:pPr>
            <w:r w:rsidRPr="00BF28F4">
              <w:rPr>
                <w:rFonts w:ascii="Arial" w:hAnsi="Arial" w:cs="Arial"/>
                <w:b w:val="0"/>
                <w:bCs w:val="0"/>
              </w:rPr>
              <w:t>Diabetic Control</w:t>
            </w:r>
          </w:p>
        </w:tc>
        <w:tc>
          <w:tcPr>
            <w:tcW w:w="1907" w:type="dxa"/>
            <w:hideMark/>
          </w:tcPr>
          <w:p w14:paraId="0F426667"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1.53 ± 0.04ᵇ</w:t>
            </w:r>
          </w:p>
        </w:tc>
        <w:tc>
          <w:tcPr>
            <w:tcW w:w="1670" w:type="dxa"/>
            <w:hideMark/>
          </w:tcPr>
          <w:p w14:paraId="015F3D56"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1.56 ± 0.04ᵇ</w:t>
            </w:r>
          </w:p>
        </w:tc>
        <w:tc>
          <w:tcPr>
            <w:tcW w:w="1670" w:type="dxa"/>
            <w:hideMark/>
          </w:tcPr>
          <w:p w14:paraId="3DC0BD65"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1.58 ± 0.04ᵇ</w:t>
            </w:r>
          </w:p>
        </w:tc>
        <w:tc>
          <w:tcPr>
            <w:cnfStyle w:val="000100000000" w:firstRow="0" w:lastRow="0" w:firstColumn="0" w:lastColumn="1" w:oddVBand="0" w:evenVBand="0" w:oddHBand="0" w:evenHBand="0" w:firstRowFirstColumn="0" w:firstRowLastColumn="0" w:lastRowFirstColumn="0" w:lastRowLastColumn="0"/>
            <w:tcW w:w="1840" w:type="dxa"/>
            <w:hideMark/>
          </w:tcPr>
          <w:p w14:paraId="262EAB87" w14:textId="77777777" w:rsidR="00DB7D18" w:rsidRPr="00BF28F4" w:rsidRDefault="00DB7D18" w:rsidP="00DB7D18">
            <w:pPr>
              <w:pStyle w:val="Body"/>
              <w:rPr>
                <w:rFonts w:ascii="Arial" w:hAnsi="Arial" w:cs="Arial"/>
                <w:b w:val="0"/>
                <w:bCs w:val="0"/>
              </w:rPr>
            </w:pPr>
            <w:r w:rsidRPr="00BF28F4">
              <w:rPr>
                <w:rFonts w:ascii="Arial" w:hAnsi="Arial" w:cs="Arial"/>
                <w:b w:val="0"/>
                <w:bCs w:val="0"/>
              </w:rPr>
              <w:t>1.59 ± 0.04ᵇ</w:t>
            </w:r>
          </w:p>
        </w:tc>
      </w:tr>
      <w:tr w:rsidR="00DB7D18" w:rsidRPr="00BF28F4" w14:paraId="71259B0A" w14:textId="77777777" w:rsidTr="00DB7D18">
        <w:trPr>
          <w:trHeight w:val="426"/>
        </w:trPr>
        <w:tc>
          <w:tcPr>
            <w:cnfStyle w:val="001000000000" w:firstRow="0" w:lastRow="0" w:firstColumn="1" w:lastColumn="0" w:oddVBand="0" w:evenVBand="0" w:oddHBand="0" w:evenHBand="0" w:firstRowFirstColumn="0" w:firstRowLastColumn="0" w:lastRowFirstColumn="0" w:lastRowLastColumn="0"/>
            <w:tcW w:w="1998" w:type="dxa"/>
            <w:hideMark/>
          </w:tcPr>
          <w:p w14:paraId="60DAD01F" w14:textId="77777777" w:rsidR="00DB7D18" w:rsidRPr="00BF28F4" w:rsidRDefault="00DB7D18" w:rsidP="00DB7D18">
            <w:pPr>
              <w:pStyle w:val="Body"/>
              <w:rPr>
                <w:rFonts w:ascii="Arial" w:hAnsi="Arial" w:cs="Arial"/>
                <w:b w:val="0"/>
                <w:bCs w:val="0"/>
              </w:rPr>
            </w:pPr>
            <w:r w:rsidRPr="00BF28F4">
              <w:rPr>
                <w:rFonts w:ascii="Arial" w:hAnsi="Arial" w:cs="Arial"/>
                <w:b w:val="0"/>
                <w:bCs w:val="0"/>
                <w:i/>
                <w:iCs/>
              </w:rPr>
              <w:t>C. sativus</w:t>
            </w:r>
          </w:p>
        </w:tc>
        <w:tc>
          <w:tcPr>
            <w:tcW w:w="1907" w:type="dxa"/>
            <w:hideMark/>
          </w:tcPr>
          <w:p w14:paraId="456F10C0"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1.51 ± 0.04ᵇ</w:t>
            </w:r>
          </w:p>
        </w:tc>
        <w:tc>
          <w:tcPr>
            <w:tcW w:w="1670" w:type="dxa"/>
            <w:hideMark/>
          </w:tcPr>
          <w:p w14:paraId="50E26745"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1.33 ± 0.04ᶜ</w:t>
            </w:r>
          </w:p>
        </w:tc>
        <w:tc>
          <w:tcPr>
            <w:tcW w:w="1670" w:type="dxa"/>
            <w:hideMark/>
          </w:tcPr>
          <w:p w14:paraId="18A0B3E3"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1.19 ± 0.03ᶜ</w:t>
            </w:r>
          </w:p>
        </w:tc>
        <w:tc>
          <w:tcPr>
            <w:cnfStyle w:val="000100000000" w:firstRow="0" w:lastRow="0" w:firstColumn="0" w:lastColumn="1" w:oddVBand="0" w:evenVBand="0" w:oddHBand="0" w:evenHBand="0" w:firstRowFirstColumn="0" w:firstRowLastColumn="0" w:lastRowFirstColumn="0" w:lastRowLastColumn="0"/>
            <w:tcW w:w="1840" w:type="dxa"/>
            <w:hideMark/>
          </w:tcPr>
          <w:p w14:paraId="6821BB91" w14:textId="77777777" w:rsidR="00DB7D18" w:rsidRPr="00BF28F4" w:rsidRDefault="00DB7D18" w:rsidP="00DB7D18">
            <w:pPr>
              <w:pStyle w:val="Body"/>
              <w:rPr>
                <w:rFonts w:ascii="Arial" w:hAnsi="Arial" w:cs="Arial"/>
                <w:b w:val="0"/>
                <w:bCs w:val="0"/>
              </w:rPr>
            </w:pPr>
            <w:r w:rsidRPr="00BF28F4">
              <w:rPr>
                <w:rFonts w:ascii="Arial" w:hAnsi="Arial" w:cs="Arial"/>
                <w:b w:val="0"/>
                <w:bCs w:val="0"/>
              </w:rPr>
              <w:t>1.14 ± 0.03ᶜ</w:t>
            </w:r>
          </w:p>
        </w:tc>
      </w:tr>
      <w:tr w:rsidR="00DB7D18" w:rsidRPr="00BF28F4" w14:paraId="2E62B082" w14:textId="77777777" w:rsidTr="00DB7D18">
        <w:trPr>
          <w:trHeight w:val="362"/>
        </w:trPr>
        <w:tc>
          <w:tcPr>
            <w:cnfStyle w:val="001000000000" w:firstRow="0" w:lastRow="0" w:firstColumn="1" w:lastColumn="0" w:oddVBand="0" w:evenVBand="0" w:oddHBand="0" w:evenHBand="0" w:firstRowFirstColumn="0" w:firstRowLastColumn="0" w:lastRowFirstColumn="0" w:lastRowLastColumn="0"/>
            <w:tcW w:w="1998" w:type="dxa"/>
            <w:hideMark/>
          </w:tcPr>
          <w:p w14:paraId="4AB9C804" w14:textId="77777777" w:rsidR="00DB7D18" w:rsidRPr="00BF28F4" w:rsidRDefault="00DB7D18" w:rsidP="00DB7D18">
            <w:pPr>
              <w:pStyle w:val="Body"/>
              <w:rPr>
                <w:rFonts w:ascii="Arial" w:hAnsi="Arial" w:cs="Arial"/>
                <w:b w:val="0"/>
                <w:bCs w:val="0"/>
              </w:rPr>
            </w:pPr>
            <w:r w:rsidRPr="00BF28F4">
              <w:rPr>
                <w:rFonts w:ascii="Arial" w:hAnsi="Arial" w:cs="Arial"/>
                <w:b w:val="0"/>
                <w:bCs w:val="0"/>
                <w:i/>
                <w:iCs/>
              </w:rPr>
              <w:t>C. lanatus</w:t>
            </w:r>
          </w:p>
        </w:tc>
        <w:tc>
          <w:tcPr>
            <w:tcW w:w="1907" w:type="dxa"/>
            <w:hideMark/>
          </w:tcPr>
          <w:p w14:paraId="543B252F"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1.53 ± 0.04ᵇ</w:t>
            </w:r>
          </w:p>
        </w:tc>
        <w:tc>
          <w:tcPr>
            <w:tcW w:w="1670" w:type="dxa"/>
            <w:hideMark/>
          </w:tcPr>
          <w:p w14:paraId="7C0E4CD8"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1.36 ± 0.04ᶜ</w:t>
            </w:r>
          </w:p>
        </w:tc>
        <w:tc>
          <w:tcPr>
            <w:tcW w:w="1670" w:type="dxa"/>
            <w:hideMark/>
          </w:tcPr>
          <w:p w14:paraId="4BA6F354"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1.22 ± 0.04ᶜ</w:t>
            </w:r>
          </w:p>
        </w:tc>
        <w:tc>
          <w:tcPr>
            <w:cnfStyle w:val="000100000000" w:firstRow="0" w:lastRow="0" w:firstColumn="0" w:lastColumn="1" w:oddVBand="0" w:evenVBand="0" w:oddHBand="0" w:evenHBand="0" w:firstRowFirstColumn="0" w:firstRowLastColumn="0" w:lastRowFirstColumn="0" w:lastRowLastColumn="0"/>
            <w:tcW w:w="1840" w:type="dxa"/>
            <w:hideMark/>
          </w:tcPr>
          <w:p w14:paraId="5ED1B6E7" w14:textId="77777777" w:rsidR="00DB7D18" w:rsidRPr="00BF28F4" w:rsidRDefault="00DB7D18" w:rsidP="00DB7D18">
            <w:pPr>
              <w:pStyle w:val="Body"/>
              <w:rPr>
                <w:rFonts w:ascii="Arial" w:hAnsi="Arial" w:cs="Arial"/>
                <w:b w:val="0"/>
                <w:bCs w:val="0"/>
              </w:rPr>
            </w:pPr>
            <w:r w:rsidRPr="00BF28F4">
              <w:rPr>
                <w:rFonts w:ascii="Arial" w:hAnsi="Arial" w:cs="Arial"/>
                <w:b w:val="0"/>
                <w:bCs w:val="0"/>
              </w:rPr>
              <w:t>1.18 ± 0.03ᶜ</w:t>
            </w:r>
          </w:p>
        </w:tc>
      </w:tr>
      <w:tr w:rsidR="00DB7D18" w:rsidRPr="00BF28F4" w14:paraId="56DB3F55" w14:textId="77777777" w:rsidTr="00DB7D18">
        <w:trPr>
          <w:trHeight w:val="296"/>
        </w:trPr>
        <w:tc>
          <w:tcPr>
            <w:cnfStyle w:val="001000000000" w:firstRow="0" w:lastRow="0" w:firstColumn="1" w:lastColumn="0" w:oddVBand="0" w:evenVBand="0" w:oddHBand="0" w:evenHBand="0" w:firstRowFirstColumn="0" w:firstRowLastColumn="0" w:lastRowFirstColumn="0" w:lastRowLastColumn="0"/>
            <w:tcW w:w="1998" w:type="dxa"/>
            <w:hideMark/>
          </w:tcPr>
          <w:p w14:paraId="1B1A36FB" w14:textId="77777777" w:rsidR="00DB7D18" w:rsidRPr="00BF28F4" w:rsidRDefault="00DB7D18" w:rsidP="00DB7D18">
            <w:pPr>
              <w:pStyle w:val="Body"/>
              <w:rPr>
                <w:rFonts w:ascii="Arial" w:hAnsi="Arial" w:cs="Arial"/>
                <w:b w:val="0"/>
                <w:bCs w:val="0"/>
              </w:rPr>
            </w:pPr>
            <w:r w:rsidRPr="00BF28F4">
              <w:rPr>
                <w:rFonts w:ascii="Arial" w:hAnsi="Arial" w:cs="Arial"/>
                <w:b w:val="0"/>
                <w:bCs w:val="0"/>
              </w:rPr>
              <w:t>Combined Extract</w:t>
            </w:r>
          </w:p>
        </w:tc>
        <w:tc>
          <w:tcPr>
            <w:tcW w:w="1907" w:type="dxa"/>
            <w:hideMark/>
          </w:tcPr>
          <w:p w14:paraId="57BC0729"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1.54 ± 0.04ᵇ</w:t>
            </w:r>
          </w:p>
        </w:tc>
        <w:tc>
          <w:tcPr>
            <w:tcW w:w="1670" w:type="dxa"/>
            <w:hideMark/>
          </w:tcPr>
          <w:p w14:paraId="636B90C6"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1.27 ± 0.03ᶜ</w:t>
            </w:r>
          </w:p>
        </w:tc>
        <w:tc>
          <w:tcPr>
            <w:tcW w:w="1670" w:type="dxa"/>
            <w:hideMark/>
          </w:tcPr>
          <w:p w14:paraId="309DF6D0"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1.08 ± 0.03ᵈ</w:t>
            </w:r>
          </w:p>
        </w:tc>
        <w:tc>
          <w:tcPr>
            <w:cnfStyle w:val="000100000000" w:firstRow="0" w:lastRow="0" w:firstColumn="0" w:lastColumn="1" w:oddVBand="0" w:evenVBand="0" w:oddHBand="0" w:evenHBand="0" w:firstRowFirstColumn="0" w:firstRowLastColumn="0" w:lastRowFirstColumn="0" w:lastRowLastColumn="0"/>
            <w:tcW w:w="1840" w:type="dxa"/>
            <w:hideMark/>
          </w:tcPr>
          <w:p w14:paraId="37125F35" w14:textId="77777777" w:rsidR="00DB7D18" w:rsidRPr="00BF28F4" w:rsidRDefault="00DB7D18" w:rsidP="00DB7D18">
            <w:pPr>
              <w:pStyle w:val="Body"/>
              <w:rPr>
                <w:rFonts w:ascii="Arial" w:hAnsi="Arial" w:cs="Arial"/>
                <w:b w:val="0"/>
                <w:bCs w:val="0"/>
              </w:rPr>
            </w:pPr>
            <w:r w:rsidRPr="00BF28F4">
              <w:rPr>
                <w:rFonts w:ascii="Arial" w:hAnsi="Arial" w:cs="Arial"/>
                <w:b w:val="0"/>
                <w:bCs w:val="0"/>
              </w:rPr>
              <w:t>1.04 ± 0.03ᵈ</w:t>
            </w:r>
          </w:p>
        </w:tc>
      </w:tr>
      <w:tr w:rsidR="00DB7D18" w:rsidRPr="00BF28F4" w14:paraId="52314A29" w14:textId="77777777" w:rsidTr="00DB7D18">
        <w:trPr>
          <w:trHeight w:val="110"/>
        </w:trPr>
        <w:tc>
          <w:tcPr>
            <w:cnfStyle w:val="001000000000" w:firstRow="0" w:lastRow="0" w:firstColumn="1" w:lastColumn="0" w:oddVBand="0" w:evenVBand="0" w:oddHBand="0" w:evenHBand="0" w:firstRowFirstColumn="0" w:firstRowLastColumn="0" w:lastRowFirstColumn="0" w:lastRowLastColumn="0"/>
            <w:tcW w:w="1998" w:type="dxa"/>
            <w:hideMark/>
          </w:tcPr>
          <w:p w14:paraId="341979DE" w14:textId="77777777" w:rsidR="00DB7D18" w:rsidRPr="00BF28F4" w:rsidRDefault="00DB7D18" w:rsidP="00DB7D18">
            <w:pPr>
              <w:pStyle w:val="Body"/>
              <w:rPr>
                <w:rFonts w:ascii="Arial" w:hAnsi="Arial" w:cs="Arial"/>
                <w:b w:val="0"/>
                <w:bCs w:val="0"/>
              </w:rPr>
            </w:pPr>
            <w:r w:rsidRPr="00BF28F4">
              <w:rPr>
                <w:rFonts w:ascii="Arial" w:hAnsi="Arial" w:cs="Arial"/>
                <w:b w:val="0"/>
                <w:bCs w:val="0"/>
              </w:rPr>
              <w:t>Metformin</w:t>
            </w:r>
          </w:p>
        </w:tc>
        <w:tc>
          <w:tcPr>
            <w:tcW w:w="1907" w:type="dxa"/>
            <w:hideMark/>
          </w:tcPr>
          <w:p w14:paraId="50651942"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1.53 ± 0.04ᵇ</w:t>
            </w:r>
          </w:p>
        </w:tc>
        <w:tc>
          <w:tcPr>
            <w:tcW w:w="1670" w:type="dxa"/>
            <w:hideMark/>
          </w:tcPr>
          <w:p w14:paraId="5186CA20"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1.24 ± 0.03ᶜ</w:t>
            </w:r>
          </w:p>
        </w:tc>
        <w:tc>
          <w:tcPr>
            <w:tcW w:w="1670" w:type="dxa"/>
            <w:hideMark/>
          </w:tcPr>
          <w:p w14:paraId="3B04FC9A" w14:textId="77777777" w:rsidR="00DB7D18" w:rsidRPr="00BF28F4"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1.04 ± 0.03ᵈ</w:t>
            </w:r>
          </w:p>
        </w:tc>
        <w:tc>
          <w:tcPr>
            <w:cnfStyle w:val="000100000000" w:firstRow="0" w:lastRow="0" w:firstColumn="0" w:lastColumn="1" w:oddVBand="0" w:evenVBand="0" w:oddHBand="0" w:evenHBand="0" w:firstRowFirstColumn="0" w:firstRowLastColumn="0" w:lastRowFirstColumn="0" w:lastRowLastColumn="0"/>
            <w:tcW w:w="1840" w:type="dxa"/>
            <w:hideMark/>
          </w:tcPr>
          <w:p w14:paraId="495B64A8" w14:textId="77777777" w:rsidR="00DB7D18" w:rsidRPr="00BF28F4" w:rsidRDefault="00DB7D18" w:rsidP="00DB7D18">
            <w:pPr>
              <w:pStyle w:val="Body"/>
              <w:rPr>
                <w:rFonts w:ascii="Arial" w:hAnsi="Arial" w:cs="Arial"/>
                <w:b w:val="0"/>
                <w:bCs w:val="0"/>
              </w:rPr>
            </w:pPr>
            <w:r w:rsidRPr="00BF28F4">
              <w:rPr>
                <w:rFonts w:ascii="Arial" w:hAnsi="Arial" w:cs="Arial"/>
                <w:b w:val="0"/>
                <w:bCs w:val="0"/>
              </w:rPr>
              <w:t>0.99 ± 0.03ᵉ</w:t>
            </w:r>
          </w:p>
        </w:tc>
      </w:tr>
    </w:tbl>
    <w:p w14:paraId="47F6EB86" w14:textId="77777777" w:rsidR="00DB7D18" w:rsidRPr="00BF28F4" w:rsidRDefault="00DB7D18" w:rsidP="00DB7D18">
      <w:pPr>
        <w:pStyle w:val="Body"/>
        <w:spacing w:after="0"/>
        <w:rPr>
          <w:rFonts w:ascii="Arial" w:hAnsi="Arial" w:cs="Arial"/>
          <w:bCs/>
          <w:lang w:val="en-GB"/>
        </w:rPr>
      </w:pPr>
      <w:r w:rsidRPr="00BF28F4">
        <w:rPr>
          <w:rFonts w:ascii="Arial" w:hAnsi="Arial" w:cs="Arial"/>
          <w:bCs/>
          <w:lang w:val="en-GB"/>
        </w:rPr>
        <w:t>Values are expressed as mean ± SEM (n = 6). Means within the same column with different superscript letters (a–e) are significantly different at p &lt; 0.05, as determined by one-way analysis of variance (ANOVA) followed by Tukey’s Honestly Significant Difference (HSD) post hoc test.</w:t>
      </w:r>
    </w:p>
    <w:p w14:paraId="66B64B58" w14:textId="77777777" w:rsidR="00DB7D18" w:rsidRPr="00BF28F4" w:rsidRDefault="00DB7D18" w:rsidP="00B53517">
      <w:pPr>
        <w:pStyle w:val="Body"/>
        <w:spacing w:after="0"/>
        <w:rPr>
          <w:rFonts w:ascii="Arial" w:hAnsi="Arial" w:cs="Arial"/>
          <w:lang w:val="en-GB"/>
        </w:rPr>
      </w:pPr>
      <w:r w:rsidRPr="00BF28F4">
        <w:rPr>
          <w:rFonts w:ascii="Arial" w:hAnsi="Arial" w:cs="Arial"/>
          <w:noProof/>
        </w:rPr>
        <w:lastRenderedPageBreak/>
        <w:drawing>
          <wp:inline distT="0" distB="0" distL="0" distR="0" wp14:anchorId="33C8A66F" wp14:editId="33A5CE6F">
            <wp:extent cx="5943361" cy="2851150"/>
            <wp:effectExtent l="0" t="0" r="635" b="6350"/>
            <wp:docPr id="1619771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a:extLst>
                        <a:ext uri="{28A0092B-C50C-407E-A947-70E740481C1C}">
                          <a14:useLocalDpi xmlns:a14="http://schemas.microsoft.com/office/drawing/2010/main" val="0"/>
                        </a:ext>
                      </a:extLst>
                    </a:blip>
                    <a:srcRect t="6569" b="1"/>
                    <a:stretch>
                      <a:fillRect/>
                    </a:stretch>
                  </pic:blipFill>
                  <pic:spPr bwMode="auto">
                    <a:xfrm>
                      <a:off x="0" y="0"/>
                      <a:ext cx="5945580" cy="2852215"/>
                    </a:xfrm>
                    <a:prstGeom prst="rect">
                      <a:avLst/>
                    </a:prstGeom>
                    <a:noFill/>
                    <a:ln>
                      <a:noFill/>
                    </a:ln>
                    <a:extLst>
                      <a:ext uri="{53640926-AAD7-44D8-BBD7-CCE9431645EC}">
                        <a14:shadowObscured xmlns:a14="http://schemas.microsoft.com/office/drawing/2010/main"/>
                      </a:ext>
                    </a:extLst>
                  </pic:spPr>
                </pic:pic>
              </a:graphicData>
            </a:graphic>
          </wp:inline>
        </w:drawing>
      </w:r>
    </w:p>
    <w:p w14:paraId="7A755CBC" w14:textId="77777777" w:rsidR="008954C1" w:rsidRPr="00BF28F4" w:rsidRDefault="00DB7D18" w:rsidP="00F46C8B">
      <w:pPr>
        <w:pStyle w:val="Body"/>
        <w:rPr>
          <w:rFonts w:ascii="Arial" w:hAnsi="Arial" w:cs="Arial"/>
          <w:b/>
          <w:bCs/>
        </w:rPr>
      </w:pPr>
      <w:r w:rsidRPr="00BF28F4">
        <w:rPr>
          <w:rFonts w:ascii="Arial" w:hAnsi="Arial" w:cs="Arial"/>
          <w:b/>
          <w:bCs/>
        </w:rPr>
        <w:t>Figure 5. Mean Triglyceride</w:t>
      </w:r>
    </w:p>
    <w:p w14:paraId="03739C79" w14:textId="77777777" w:rsidR="00F46C8B" w:rsidRPr="00BF28F4" w:rsidRDefault="00F46C8B" w:rsidP="00F46C8B">
      <w:pPr>
        <w:pStyle w:val="Body"/>
        <w:rPr>
          <w:rFonts w:ascii="Arial" w:hAnsi="Arial" w:cs="Arial"/>
          <w:b/>
          <w:bCs/>
        </w:rPr>
      </w:pPr>
      <w:r w:rsidRPr="00BF28F4">
        <w:rPr>
          <w:rFonts w:ascii="Arial" w:hAnsi="Arial" w:cs="Arial"/>
          <w:b/>
          <w:bCs/>
        </w:rPr>
        <w:t>3.4. Acute toxicity results of the r</w:t>
      </w:r>
      <w:r w:rsidR="00CD7EE8" w:rsidRPr="00BF28F4">
        <w:rPr>
          <w:rFonts w:ascii="Arial" w:hAnsi="Arial" w:cs="Arial"/>
          <w:b/>
          <w:bCs/>
        </w:rPr>
        <w:t>ind</w:t>
      </w:r>
      <w:r w:rsidRPr="00BF28F4">
        <w:rPr>
          <w:rFonts w:ascii="Arial" w:hAnsi="Arial" w:cs="Arial"/>
          <w:b/>
          <w:bCs/>
        </w:rPr>
        <w:t xml:space="preserve"> extract</w:t>
      </w:r>
      <w:r w:rsidR="00CD7EE8" w:rsidRPr="00BF28F4">
        <w:rPr>
          <w:rFonts w:ascii="Arial" w:hAnsi="Arial" w:cs="Arial"/>
          <w:b/>
          <w:bCs/>
        </w:rPr>
        <w:t xml:space="preserve"> of </w:t>
      </w:r>
      <w:r w:rsidR="00CD7EE8" w:rsidRPr="00BF28F4">
        <w:rPr>
          <w:rFonts w:ascii="Arial" w:hAnsi="Arial" w:cs="Arial"/>
          <w:b/>
          <w:bCs/>
          <w:i/>
          <w:iCs/>
        </w:rPr>
        <w:t>C. sativus</w:t>
      </w:r>
      <w:r w:rsidRPr="00BF28F4">
        <w:rPr>
          <w:rFonts w:ascii="Arial" w:hAnsi="Arial" w:cs="Arial"/>
          <w:b/>
          <w:bCs/>
        </w:rPr>
        <w:t xml:space="preserve"> in rats</w:t>
      </w:r>
    </w:p>
    <w:p w14:paraId="05469152" w14:textId="77777777" w:rsidR="00396771" w:rsidRPr="00BF28F4" w:rsidRDefault="00681C7C" w:rsidP="00396771">
      <w:pPr>
        <w:pStyle w:val="Body"/>
        <w:rPr>
          <w:rFonts w:ascii="Arial" w:hAnsi="Arial" w:cs="Arial"/>
        </w:rPr>
      </w:pPr>
      <w:r w:rsidRPr="00BF28F4">
        <w:rPr>
          <w:rFonts w:ascii="Arial" w:hAnsi="Arial" w:cs="Arial"/>
        </w:rPr>
        <w:t>Table 7 presents the acute toxicity results of the rind extract of C. sativus in rats. No mortality was recorded in the control group or in any of the treatment groups administered doses ranging from 1,000 to 5,000 mg/kg body weight. The absence of mortality at all tested doses indicates that the extract exhibited no acute lethal effect within the tested dose range. Therefore, the median lethal dose (LD</w:t>
      </w:r>
      <w:r w:rsidRPr="00BF28F4">
        <w:rPr>
          <w:rFonts w:ascii="Cambria Math" w:hAnsi="Cambria Math" w:cs="Cambria Math"/>
        </w:rPr>
        <w:t>₅₀</w:t>
      </w:r>
      <w:r w:rsidRPr="00BF28F4">
        <w:rPr>
          <w:rFonts w:ascii="Arial" w:hAnsi="Arial" w:cs="Arial"/>
        </w:rPr>
        <w:t xml:space="preserve">) of the rind extract of C. sativus was estimated to be greater than 5000 mg/kg body weight using the method described by </w:t>
      </w:r>
      <w:proofErr w:type="spellStart"/>
      <w:r w:rsidRPr="00BF28F4">
        <w:rPr>
          <w:rFonts w:ascii="Arial" w:hAnsi="Arial" w:cs="Arial"/>
        </w:rPr>
        <w:t>Lorke</w:t>
      </w:r>
      <w:proofErr w:type="spellEnd"/>
      <w:r w:rsidRPr="00BF28F4">
        <w:rPr>
          <w:rFonts w:ascii="Arial" w:hAnsi="Arial" w:cs="Arial"/>
        </w:rPr>
        <w:t xml:space="preserve"> (1983)</w:t>
      </w:r>
      <w:r w:rsidR="00396771" w:rsidRPr="00BF28F4">
        <w:rPr>
          <w:rFonts w:ascii="Arial" w:hAnsi="Arial" w:cs="Arial"/>
        </w:rPr>
        <w:t>.</w:t>
      </w:r>
    </w:p>
    <w:p w14:paraId="7F41B593" w14:textId="77777777" w:rsidR="00F46C8B" w:rsidRPr="00BF28F4" w:rsidRDefault="00F46C8B" w:rsidP="00F46C8B">
      <w:pPr>
        <w:pStyle w:val="Body"/>
        <w:spacing w:after="0"/>
        <w:rPr>
          <w:rFonts w:ascii="Arial" w:hAnsi="Arial" w:cs="Arial"/>
        </w:rPr>
      </w:pPr>
      <w:r w:rsidRPr="00BF28F4">
        <w:rPr>
          <w:rFonts w:ascii="Arial" w:hAnsi="Arial" w:cs="Arial"/>
        </w:rPr>
        <w:t xml:space="preserve">Table 7. Acute toxicity results of the </w:t>
      </w:r>
      <w:r w:rsidR="00396771" w:rsidRPr="00BF28F4">
        <w:rPr>
          <w:rFonts w:ascii="Arial" w:hAnsi="Arial" w:cs="Arial"/>
        </w:rPr>
        <w:t xml:space="preserve">rind </w:t>
      </w:r>
      <w:r w:rsidRPr="00BF28F4">
        <w:rPr>
          <w:rFonts w:ascii="Arial" w:hAnsi="Arial" w:cs="Arial"/>
        </w:rPr>
        <w:t>extract</w:t>
      </w:r>
      <w:r w:rsidR="00396771" w:rsidRPr="00BF28F4">
        <w:rPr>
          <w:rFonts w:ascii="Arial" w:hAnsi="Arial" w:cs="Arial"/>
        </w:rPr>
        <w:t xml:space="preserve"> of </w:t>
      </w:r>
      <w:r w:rsidR="00396771" w:rsidRPr="00BF28F4">
        <w:rPr>
          <w:rFonts w:ascii="Arial" w:hAnsi="Arial" w:cs="Arial"/>
          <w:i/>
          <w:iCs/>
        </w:rPr>
        <w:t>C. sativus</w:t>
      </w:r>
      <w:r w:rsidRPr="00BF28F4">
        <w:rPr>
          <w:rFonts w:ascii="Arial" w:hAnsi="Arial" w:cs="Arial"/>
        </w:rPr>
        <w:t xml:space="preserve"> in rats</w:t>
      </w:r>
    </w:p>
    <w:tbl>
      <w:tblPr>
        <w:tblStyle w:val="PlainTable2"/>
        <w:tblW w:w="0" w:type="auto"/>
        <w:tblLook w:val="07A0" w:firstRow="1" w:lastRow="0" w:firstColumn="1" w:lastColumn="1" w:noHBand="1" w:noVBand="1"/>
      </w:tblPr>
      <w:tblGrid>
        <w:gridCol w:w="1510"/>
        <w:gridCol w:w="3188"/>
        <w:gridCol w:w="2181"/>
        <w:gridCol w:w="2013"/>
        <w:gridCol w:w="1455"/>
      </w:tblGrid>
      <w:tr w:rsidR="00F46C8B" w:rsidRPr="00BF28F4" w14:paraId="38C61794" w14:textId="77777777" w:rsidTr="00F46C8B">
        <w:trPr>
          <w:cnfStyle w:val="100000000000" w:firstRow="1" w:lastRow="0" w:firstColumn="0" w:lastColumn="0" w:oddVBand="0" w:evenVBand="0" w:oddHBand="0"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1510" w:type="dxa"/>
            <w:hideMark/>
          </w:tcPr>
          <w:p w14:paraId="16DFD0D9" w14:textId="77777777" w:rsidR="00F46C8B" w:rsidRPr="00BF28F4" w:rsidRDefault="00F46C8B" w:rsidP="00F46C8B">
            <w:pPr>
              <w:pStyle w:val="Body"/>
              <w:spacing w:after="0"/>
              <w:rPr>
                <w:rFonts w:ascii="Arial" w:hAnsi="Arial" w:cs="Arial"/>
                <w:b w:val="0"/>
                <w:bCs w:val="0"/>
              </w:rPr>
            </w:pPr>
            <w:r w:rsidRPr="00BF28F4">
              <w:rPr>
                <w:rFonts w:ascii="Arial" w:hAnsi="Arial" w:cs="Arial"/>
                <w:b w:val="0"/>
                <w:bCs w:val="0"/>
              </w:rPr>
              <w:t>Group</w:t>
            </w:r>
          </w:p>
        </w:tc>
        <w:tc>
          <w:tcPr>
            <w:tcW w:w="3188" w:type="dxa"/>
            <w:hideMark/>
          </w:tcPr>
          <w:p w14:paraId="235BE5D5" w14:textId="77777777" w:rsidR="00F46C8B" w:rsidRPr="00BF28F4" w:rsidRDefault="00F46C8B" w:rsidP="00F46C8B">
            <w:pPr>
              <w:pStyle w:val="Body"/>
              <w:spacing w:after="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BF28F4">
              <w:rPr>
                <w:rFonts w:ascii="Arial" w:hAnsi="Arial" w:cs="Arial"/>
                <w:b w:val="0"/>
                <w:bCs w:val="0"/>
              </w:rPr>
              <w:t>Dose (mg/kg body weight)</w:t>
            </w:r>
          </w:p>
        </w:tc>
        <w:tc>
          <w:tcPr>
            <w:tcW w:w="2181" w:type="dxa"/>
            <w:hideMark/>
          </w:tcPr>
          <w:p w14:paraId="178CDD6B" w14:textId="77777777" w:rsidR="00F46C8B" w:rsidRPr="00BF28F4" w:rsidRDefault="00F46C8B" w:rsidP="00F46C8B">
            <w:pPr>
              <w:pStyle w:val="Body"/>
              <w:spacing w:after="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BF28F4">
              <w:rPr>
                <w:rFonts w:ascii="Arial" w:hAnsi="Arial" w:cs="Arial"/>
                <w:b w:val="0"/>
                <w:bCs w:val="0"/>
              </w:rPr>
              <w:t>Number of rats</w:t>
            </w:r>
          </w:p>
        </w:tc>
        <w:tc>
          <w:tcPr>
            <w:tcW w:w="2013" w:type="dxa"/>
            <w:hideMark/>
          </w:tcPr>
          <w:p w14:paraId="12171ED3" w14:textId="77777777" w:rsidR="00F46C8B" w:rsidRPr="00BF28F4" w:rsidRDefault="00F46C8B" w:rsidP="00F46C8B">
            <w:pPr>
              <w:pStyle w:val="Body"/>
              <w:spacing w:after="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BF28F4">
              <w:rPr>
                <w:rFonts w:ascii="Arial" w:hAnsi="Arial" w:cs="Arial"/>
                <w:b w:val="0"/>
                <w:bCs w:val="0"/>
              </w:rPr>
              <w:t>Number of deaths</w:t>
            </w:r>
          </w:p>
        </w:tc>
        <w:tc>
          <w:tcPr>
            <w:cnfStyle w:val="000100000000" w:firstRow="0" w:lastRow="0" w:firstColumn="0" w:lastColumn="1" w:oddVBand="0" w:evenVBand="0" w:oddHBand="0" w:evenHBand="0" w:firstRowFirstColumn="0" w:firstRowLastColumn="0" w:lastRowFirstColumn="0" w:lastRowLastColumn="0"/>
            <w:tcW w:w="1455" w:type="dxa"/>
            <w:hideMark/>
          </w:tcPr>
          <w:p w14:paraId="1C064D09" w14:textId="77777777" w:rsidR="00F46C8B" w:rsidRPr="00BF28F4" w:rsidRDefault="00F46C8B" w:rsidP="00F46C8B">
            <w:pPr>
              <w:pStyle w:val="Body"/>
              <w:spacing w:after="0"/>
              <w:rPr>
                <w:rFonts w:ascii="Arial" w:hAnsi="Arial" w:cs="Arial"/>
                <w:b w:val="0"/>
                <w:bCs w:val="0"/>
              </w:rPr>
            </w:pPr>
            <w:r w:rsidRPr="00BF28F4">
              <w:rPr>
                <w:rFonts w:ascii="Arial" w:hAnsi="Arial" w:cs="Arial"/>
                <w:b w:val="0"/>
                <w:bCs w:val="0"/>
              </w:rPr>
              <w:t>Mortality (%)</w:t>
            </w:r>
          </w:p>
        </w:tc>
      </w:tr>
      <w:tr w:rsidR="00F46C8B" w:rsidRPr="00BF28F4" w14:paraId="395A6CA9" w14:textId="77777777" w:rsidTr="00F46C8B">
        <w:trPr>
          <w:trHeight w:val="298"/>
        </w:trPr>
        <w:tc>
          <w:tcPr>
            <w:cnfStyle w:val="001000000000" w:firstRow="0" w:lastRow="0" w:firstColumn="1" w:lastColumn="0" w:oddVBand="0" w:evenVBand="0" w:oddHBand="0" w:evenHBand="0" w:firstRowFirstColumn="0" w:firstRowLastColumn="0" w:lastRowFirstColumn="0" w:lastRowLastColumn="0"/>
            <w:tcW w:w="1510" w:type="dxa"/>
            <w:hideMark/>
          </w:tcPr>
          <w:p w14:paraId="22836348" w14:textId="77777777" w:rsidR="00F46C8B" w:rsidRPr="00BF28F4" w:rsidRDefault="00F46C8B" w:rsidP="00F46C8B">
            <w:pPr>
              <w:pStyle w:val="Body"/>
              <w:spacing w:after="0"/>
              <w:rPr>
                <w:rFonts w:ascii="Arial" w:hAnsi="Arial" w:cs="Arial"/>
                <w:b w:val="0"/>
                <w:bCs w:val="0"/>
              </w:rPr>
            </w:pPr>
            <w:r w:rsidRPr="00BF28F4">
              <w:rPr>
                <w:rFonts w:ascii="Arial" w:hAnsi="Arial" w:cs="Arial"/>
                <w:b w:val="0"/>
                <w:bCs w:val="0"/>
              </w:rPr>
              <w:t>Control</w:t>
            </w:r>
          </w:p>
        </w:tc>
        <w:tc>
          <w:tcPr>
            <w:tcW w:w="3188" w:type="dxa"/>
            <w:hideMark/>
          </w:tcPr>
          <w:p w14:paraId="258484D2" w14:textId="77777777" w:rsidR="00F46C8B" w:rsidRPr="00BF28F4" w:rsidRDefault="00FF71B0"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 (</w:t>
            </w:r>
            <w:r w:rsidR="00F46C8B" w:rsidRPr="00BF28F4">
              <w:rPr>
                <w:rFonts w:ascii="Arial" w:hAnsi="Arial" w:cs="Arial"/>
              </w:rPr>
              <w:t>Distilled water</w:t>
            </w:r>
            <w:r w:rsidRPr="00BF28F4">
              <w:rPr>
                <w:rFonts w:ascii="Arial" w:hAnsi="Arial" w:cs="Arial"/>
              </w:rPr>
              <w:t>)</w:t>
            </w:r>
          </w:p>
        </w:tc>
        <w:tc>
          <w:tcPr>
            <w:tcW w:w="2181" w:type="dxa"/>
            <w:hideMark/>
          </w:tcPr>
          <w:p w14:paraId="67E82096" w14:textId="77777777" w:rsidR="00F46C8B" w:rsidRPr="00BF28F4" w:rsidRDefault="00F46C8B"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w:t>
            </w:r>
          </w:p>
        </w:tc>
        <w:tc>
          <w:tcPr>
            <w:tcW w:w="2013" w:type="dxa"/>
            <w:hideMark/>
          </w:tcPr>
          <w:p w14:paraId="4F371274" w14:textId="77777777" w:rsidR="00F46C8B" w:rsidRPr="00BF28F4" w:rsidRDefault="00F46C8B"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w:t>
            </w:r>
          </w:p>
        </w:tc>
        <w:tc>
          <w:tcPr>
            <w:cnfStyle w:val="000100000000" w:firstRow="0" w:lastRow="0" w:firstColumn="0" w:lastColumn="1" w:oddVBand="0" w:evenVBand="0" w:oddHBand="0" w:evenHBand="0" w:firstRowFirstColumn="0" w:firstRowLastColumn="0" w:lastRowFirstColumn="0" w:lastRowLastColumn="0"/>
            <w:tcW w:w="1455" w:type="dxa"/>
            <w:hideMark/>
          </w:tcPr>
          <w:p w14:paraId="0ECBBE91" w14:textId="77777777" w:rsidR="00F46C8B" w:rsidRPr="00BF28F4" w:rsidRDefault="00F46C8B" w:rsidP="00F46C8B">
            <w:pPr>
              <w:pStyle w:val="Body"/>
              <w:spacing w:after="0"/>
              <w:rPr>
                <w:rFonts w:ascii="Arial" w:hAnsi="Arial" w:cs="Arial"/>
                <w:b w:val="0"/>
                <w:bCs w:val="0"/>
              </w:rPr>
            </w:pPr>
            <w:r w:rsidRPr="00BF28F4">
              <w:rPr>
                <w:rFonts w:ascii="Arial" w:hAnsi="Arial" w:cs="Arial"/>
                <w:b w:val="0"/>
                <w:bCs w:val="0"/>
              </w:rPr>
              <w:t>0</w:t>
            </w:r>
          </w:p>
        </w:tc>
      </w:tr>
      <w:tr w:rsidR="00F46C8B" w:rsidRPr="00BF28F4" w14:paraId="1C30009D" w14:textId="77777777" w:rsidTr="00F46C8B">
        <w:trPr>
          <w:trHeight w:val="313"/>
        </w:trPr>
        <w:tc>
          <w:tcPr>
            <w:cnfStyle w:val="001000000000" w:firstRow="0" w:lastRow="0" w:firstColumn="1" w:lastColumn="0" w:oddVBand="0" w:evenVBand="0" w:oddHBand="0" w:evenHBand="0" w:firstRowFirstColumn="0" w:firstRowLastColumn="0" w:lastRowFirstColumn="0" w:lastRowLastColumn="0"/>
            <w:tcW w:w="1510" w:type="dxa"/>
            <w:hideMark/>
          </w:tcPr>
          <w:p w14:paraId="5D075AC5" w14:textId="77777777" w:rsidR="00F46C8B" w:rsidRPr="00BF28F4" w:rsidRDefault="00F46C8B" w:rsidP="00F46C8B">
            <w:pPr>
              <w:pStyle w:val="Body"/>
              <w:spacing w:after="0"/>
              <w:rPr>
                <w:rFonts w:ascii="Arial" w:hAnsi="Arial" w:cs="Arial"/>
                <w:b w:val="0"/>
                <w:bCs w:val="0"/>
              </w:rPr>
            </w:pPr>
            <w:r w:rsidRPr="00BF28F4">
              <w:rPr>
                <w:rFonts w:ascii="Arial" w:hAnsi="Arial" w:cs="Arial"/>
                <w:b w:val="0"/>
                <w:bCs w:val="0"/>
              </w:rPr>
              <w:t>I</w:t>
            </w:r>
          </w:p>
        </w:tc>
        <w:tc>
          <w:tcPr>
            <w:tcW w:w="3188" w:type="dxa"/>
            <w:hideMark/>
          </w:tcPr>
          <w:p w14:paraId="7E322D6D" w14:textId="77777777" w:rsidR="00F46C8B" w:rsidRPr="00BF28F4" w:rsidRDefault="00FF71B0"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1000</w:t>
            </w:r>
          </w:p>
        </w:tc>
        <w:tc>
          <w:tcPr>
            <w:tcW w:w="2181" w:type="dxa"/>
            <w:hideMark/>
          </w:tcPr>
          <w:p w14:paraId="6605A415" w14:textId="77777777" w:rsidR="00F46C8B" w:rsidRPr="00BF28F4" w:rsidRDefault="00F46C8B"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w:t>
            </w:r>
          </w:p>
        </w:tc>
        <w:tc>
          <w:tcPr>
            <w:tcW w:w="2013" w:type="dxa"/>
            <w:hideMark/>
          </w:tcPr>
          <w:p w14:paraId="0174B2A4" w14:textId="77777777" w:rsidR="00F46C8B" w:rsidRPr="00BF28F4" w:rsidRDefault="00F46C8B"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w:t>
            </w:r>
          </w:p>
        </w:tc>
        <w:tc>
          <w:tcPr>
            <w:cnfStyle w:val="000100000000" w:firstRow="0" w:lastRow="0" w:firstColumn="0" w:lastColumn="1" w:oddVBand="0" w:evenVBand="0" w:oddHBand="0" w:evenHBand="0" w:firstRowFirstColumn="0" w:firstRowLastColumn="0" w:lastRowFirstColumn="0" w:lastRowLastColumn="0"/>
            <w:tcW w:w="1455" w:type="dxa"/>
            <w:hideMark/>
          </w:tcPr>
          <w:p w14:paraId="74F5FE77" w14:textId="77777777" w:rsidR="00F46C8B" w:rsidRPr="00BF28F4" w:rsidRDefault="00F46C8B" w:rsidP="00F46C8B">
            <w:pPr>
              <w:pStyle w:val="Body"/>
              <w:spacing w:after="0"/>
              <w:rPr>
                <w:rFonts w:ascii="Arial" w:hAnsi="Arial" w:cs="Arial"/>
                <w:b w:val="0"/>
                <w:bCs w:val="0"/>
              </w:rPr>
            </w:pPr>
            <w:r w:rsidRPr="00BF28F4">
              <w:rPr>
                <w:rFonts w:ascii="Arial" w:hAnsi="Arial" w:cs="Arial"/>
                <w:b w:val="0"/>
                <w:bCs w:val="0"/>
              </w:rPr>
              <w:t>0</w:t>
            </w:r>
          </w:p>
        </w:tc>
      </w:tr>
      <w:tr w:rsidR="00F46C8B" w:rsidRPr="00BF28F4" w14:paraId="74FF116F" w14:textId="77777777" w:rsidTr="00F46C8B">
        <w:trPr>
          <w:trHeight w:val="303"/>
        </w:trPr>
        <w:tc>
          <w:tcPr>
            <w:cnfStyle w:val="001000000000" w:firstRow="0" w:lastRow="0" w:firstColumn="1" w:lastColumn="0" w:oddVBand="0" w:evenVBand="0" w:oddHBand="0" w:evenHBand="0" w:firstRowFirstColumn="0" w:firstRowLastColumn="0" w:lastRowFirstColumn="0" w:lastRowLastColumn="0"/>
            <w:tcW w:w="1510" w:type="dxa"/>
            <w:hideMark/>
          </w:tcPr>
          <w:p w14:paraId="78943CE8" w14:textId="77777777" w:rsidR="00F46C8B" w:rsidRPr="00BF28F4" w:rsidRDefault="00F46C8B" w:rsidP="00F46C8B">
            <w:pPr>
              <w:pStyle w:val="Body"/>
              <w:spacing w:after="0"/>
              <w:rPr>
                <w:rFonts w:ascii="Arial" w:hAnsi="Arial" w:cs="Arial"/>
                <w:b w:val="0"/>
                <w:bCs w:val="0"/>
              </w:rPr>
            </w:pPr>
            <w:r w:rsidRPr="00BF28F4">
              <w:rPr>
                <w:rFonts w:ascii="Arial" w:hAnsi="Arial" w:cs="Arial"/>
                <w:b w:val="0"/>
                <w:bCs w:val="0"/>
              </w:rPr>
              <w:t>II</w:t>
            </w:r>
          </w:p>
        </w:tc>
        <w:tc>
          <w:tcPr>
            <w:tcW w:w="3188" w:type="dxa"/>
            <w:hideMark/>
          </w:tcPr>
          <w:p w14:paraId="69F1811F" w14:textId="77777777" w:rsidR="00F46C8B" w:rsidRPr="00BF28F4" w:rsidRDefault="00FF71B0"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2</w:t>
            </w:r>
            <w:r w:rsidR="00F46C8B" w:rsidRPr="00BF28F4">
              <w:rPr>
                <w:rFonts w:ascii="Arial" w:hAnsi="Arial" w:cs="Arial"/>
              </w:rPr>
              <w:t>000</w:t>
            </w:r>
          </w:p>
        </w:tc>
        <w:tc>
          <w:tcPr>
            <w:tcW w:w="2181" w:type="dxa"/>
            <w:hideMark/>
          </w:tcPr>
          <w:p w14:paraId="70F37161" w14:textId="77777777" w:rsidR="00F46C8B" w:rsidRPr="00BF28F4" w:rsidRDefault="00F46C8B"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w:t>
            </w:r>
          </w:p>
        </w:tc>
        <w:tc>
          <w:tcPr>
            <w:tcW w:w="2013" w:type="dxa"/>
            <w:hideMark/>
          </w:tcPr>
          <w:p w14:paraId="46517E63" w14:textId="77777777" w:rsidR="00F46C8B" w:rsidRPr="00BF28F4" w:rsidRDefault="00F46C8B"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w:t>
            </w:r>
          </w:p>
        </w:tc>
        <w:tc>
          <w:tcPr>
            <w:cnfStyle w:val="000100000000" w:firstRow="0" w:lastRow="0" w:firstColumn="0" w:lastColumn="1" w:oddVBand="0" w:evenVBand="0" w:oddHBand="0" w:evenHBand="0" w:firstRowFirstColumn="0" w:firstRowLastColumn="0" w:lastRowFirstColumn="0" w:lastRowLastColumn="0"/>
            <w:tcW w:w="1455" w:type="dxa"/>
            <w:hideMark/>
          </w:tcPr>
          <w:p w14:paraId="3F6A8863" w14:textId="77777777" w:rsidR="00F46C8B" w:rsidRPr="00BF28F4" w:rsidRDefault="00F46C8B" w:rsidP="00F46C8B">
            <w:pPr>
              <w:pStyle w:val="Body"/>
              <w:spacing w:after="0"/>
              <w:rPr>
                <w:rFonts w:ascii="Arial" w:hAnsi="Arial" w:cs="Arial"/>
                <w:b w:val="0"/>
                <w:bCs w:val="0"/>
              </w:rPr>
            </w:pPr>
            <w:r w:rsidRPr="00BF28F4">
              <w:rPr>
                <w:rFonts w:ascii="Arial" w:hAnsi="Arial" w:cs="Arial"/>
                <w:b w:val="0"/>
                <w:bCs w:val="0"/>
              </w:rPr>
              <w:t>0</w:t>
            </w:r>
          </w:p>
        </w:tc>
      </w:tr>
      <w:tr w:rsidR="00F46C8B" w:rsidRPr="00BF28F4" w14:paraId="0E2315CF" w14:textId="77777777" w:rsidTr="00F46C8B">
        <w:trPr>
          <w:trHeight w:val="152"/>
        </w:trPr>
        <w:tc>
          <w:tcPr>
            <w:cnfStyle w:val="001000000000" w:firstRow="0" w:lastRow="0" w:firstColumn="1" w:lastColumn="0" w:oddVBand="0" w:evenVBand="0" w:oddHBand="0" w:evenHBand="0" w:firstRowFirstColumn="0" w:firstRowLastColumn="0" w:lastRowFirstColumn="0" w:lastRowLastColumn="0"/>
            <w:tcW w:w="1510" w:type="dxa"/>
            <w:hideMark/>
          </w:tcPr>
          <w:p w14:paraId="784CB67F" w14:textId="77777777" w:rsidR="00F46C8B" w:rsidRPr="00BF28F4" w:rsidRDefault="00F46C8B" w:rsidP="00F46C8B">
            <w:pPr>
              <w:pStyle w:val="Body"/>
              <w:spacing w:after="0"/>
              <w:rPr>
                <w:rFonts w:ascii="Arial" w:hAnsi="Arial" w:cs="Arial"/>
                <w:b w:val="0"/>
                <w:bCs w:val="0"/>
              </w:rPr>
            </w:pPr>
            <w:r w:rsidRPr="00BF28F4">
              <w:rPr>
                <w:rFonts w:ascii="Arial" w:hAnsi="Arial" w:cs="Arial"/>
                <w:b w:val="0"/>
                <w:bCs w:val="0"/>
              </w:rPr>
              <w:t>III</w:t>
            </w:r>
          </w:p>
        </w:tc>
        <w:tc>
          <w:tcPr>
            <w:tcW w:w="3188" w:type="dxa"/>
            <w:hideMark/>
          </w:tcPr>
          <w:p w14:paraId="32022AFC" w14:textId="77777777" w:rsidR="00F46C8B" w:rsidRPr="00BF28F4" w:rsidRDefault="00FF71B0"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30</w:t>
            </w:r>
            <w:r w:rsidR="00F46C8B" w:rsidRPr="00BF28F4">
              <w:rPr>
                <w:rFonts w:ascii="Arial" w:hAnsi="Arial" w:cs="Arial"/>
              </w:rPr>
              <w:t>00</w:t>
            </w:r>
          </w:p>
        </w:tc>
        <w:tc>
          <w:tcPr>
            <w:tcW w:w="2181" w:type="dxa"/>
            <w:hideMark/>
          </w:tcPr>
          <w:p w14:paraId="1837E156" w14:textId="77777777" w:rsidR="00F46C8B" w:rsidRPr="00BF28F4" w:rsidRDefault="00F46C8B"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w:t>
            </w:r>
          </w:p>
        </w:tc>
        <w:tc>
          <w:tcPr>
            <w:tcW w:w="2013" w:type="dxa"/>
            <w:hideMark/>
          </w:tcPr>
          <w:p w14:paraId="32CC6746" w14:textId="77777777" w:rsidR="00F46C8B" w:rsidRPr="00BF28F4" w:rsidRDefault="00FF71B0"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w:t>
            </w:r>
          </w:p>
        </w:tc>
        <w:tc>
          <w:tcPr>
            <w:cnfStyle w:val="000100000000" w:firstRow="0" w:lastRow="0" w:firstColumn="0" w:lastColumn="1" w:oddVBand="0" w:evenVBand="0" w:oddHBand="0" w:evenHBand="0" w:firstRowFirstColumn="0" w:firstRowLastColumn="0" w:lastRowFirstColumn="0" w:lastRowLastColumn="0"/>
            <w:tcW w:w="1455" w:type="dxa"/>
            <w:hideMark/>
          </w:tcPr>
          <w:p w14:paraId="66A2C9C2" w14:textId="77777777" w:rsidR="00F46C8B" w:rsidRPr="00BF28F4" w:rsidRDefault="00FF71B0" w:rsidP="00F46C8B">
            <w:pPr>
              <w:pStyle w:val="Body"/>
              <w:spacing w:after="0"/>
              <w:rPr>
                <w:rFonts w:ascii="Arial" w:hAnsi="Arial" w:cs="Arial"/>
                <w:b w:val="0"/>
                <w:bCs w:val="0"/>
              </w:rPr>
            </w:pPr>
            <w:r w:rsidRPr="00BF28F4">
              <w:rPr>
                <w:rFonts w:ascii="Arial" w:hAnsi="Arial" w:cs="Arial"/>
                <w:b w:val="0"/>
                <w:bCs w:val="0"/>
              </w:rPr>
              <w:t>0</w:t>
            </w:r>
          </w:p>
        </w:tc>
      </w:tr>
      <w:tr w:rsidR="00F46C8B" w:rsidRPr="00BF28F4" w14:paraId="00DCF461" w14:textId="77777777" w:rsidTr="00F46C8B">
        <w:trPr>
          <w:trHeight w:val="218"/>
        </w:trPr>
        <w:tc>
          <w:tcPr>
            <w:cnfStyle w:val="001000000000" w:firstRow="0" w:lastRow="0" w:firstColumn="1" w:lastColumn="0" w:oddVBand="0" w:evenVBand="0" w:oddHBand="0" w:evenHBand="0" w:firstRowFirstColumn="0" w:firstRowLastColumn="0" w:lastRowFirstColumn="0" w:lastRowLastColumn="0"/>
            <w:tcW w:w="1510" w:type="dxa"/>
            <w:hideMark/>
          </w:tcPr>
          <w:p w14:paraId="7308631D" w14:textId="77777777" w:rsidR="00F46C8B" w:rsidRPr="00BF28F4" w:rsidRDefault="00F46C8B" w:rsidP="00F46C8B">
            <w:pPr>
              <w:pStyle w:val="Body"/>
              <w:spacing w:after="0"/>
              <w:rPr>
                <w:rFonts w:ascii="Arial" w:hAnsi="Arial" w:cs="Arial"/>
                <w:b w:val="0"/>
                <w:bCs w:val="0"/>
              </w:rPr>
            </w:pPr>
            <w:r w:rsidRPr="00BF28F4">
              <w:rPr>
                <w:rFonts w:ascii="Arial" w:hAnsi="Arial" w:cs="Arial"/>
                <w:b w:val="0"/>
                <w:bCs w:val="0"/>
              </w:rPr>
              <w:t>IV</w:t>
            </w:r>
          </w:p>
        </w:tc>
        <w:tc>
          <w:tcPr>
            <w:tcW w:w="3188" w:type="dxa"/>
            <w:hideMark/>
          </w:tcPr>
          <w:p w14:paraId="23CF433A" w14:textId="77777777" w:rsidR="00F46C8B" w:rsidRPr="00BF28F4" w:rsidRDefault="00FF71B0"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w:t>
            </w:r>
            <w:r w:rsidR="00F46C8B" w:rsidRPr="00BF28F4">
              <w:rPr>
                <w:rFonts w:ascii="Arial" w:hAnsi="Arial" w:cs="Arial"/>
              </w:rPr>
              <w:t>000</w:t>
            </w:r>
          </w:p>
        </w:tc>
        <w:tc>
          <w:tcPr>
            <w:tcW w:w="2181" w:type="dxa"/>
            <w:hideMark/>
          </w:tcPr>
          <w:p w14:paraId="6152CCED" w14:textId="77777777" w:rsidR="00F46C8B" w:rsidRPr="00BF28F4" w:rsidRDefault="00F46C8B"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w:t>
            </w:r>
          </w:p>
        </w:tc>
        <w:tc>
          <w:tcPr>
            <w:tcW w:w="2013" w:type="dxa"/>
            <w:hideMark/>
          </w:tcPr>
          <w:p w14:paraId="408C9D87" w14:textId="77777777" w:rsidR="00F46C8B" w:rsidRPr="00BF28F4" w:rsidRDefault="00FF71B0"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w:t>
            </w:r>
          </w:p>
        </w:tc>
        <w:tc>
          <w:tcPr>
            <w:cnfStyle w:val="000100000000" w:firstRow="0" w:lastRow="0" w:firstColumn="0" w:lastColumn="1" w:oddVBand="0" w:evenVBand="0" w:oddHBand="0" w:evenHBand="0" w:firstRowFirstColumn="0" w:firstRowLastColumn="0" w:lastRowFirstColumn="0" w:lastRowLastColumn="0"/>
            <w:tcW w:w="1455" w:type="dxa"/>
            <w:hideMark/>
          </w:tcPr>
          <w:p w14:paraId="6D84206D" w14:textId="77777777" w:rsidR="00F46C8B" w:rsidRPr="00BF28F4" w:rsidRDefault="00FF71B0" w:rsidP="00F46C8B">
            <w:pPr>
              <w:pStyle w:val="Body"/>
              <w:spacing w:after="0"/>
              <w:rPr>
                <w:rFonts w:ascii="Arial" w:hAnsi="Arial" w:cs="Arial"/>
                <w:b w:val="0"/>
                <w:bCs w:val="0"/>
              </w:rPr>
            </w:pPr>
            <w:r w:rsidRPr="00BF28F4">
              <w:rPr>
                <w:rFonts w:ascii="Arial" w:hAnsi="Arial" w:cs="Arial"/>
                <w:b w:val="0"/>
                <w:bCs w:val="0"/>
              </w:rPr>
              <w:t>0</w:t>
            </w:r>
          </w:p>
        </w:tc>
      </w:tr>
      <w:tr w:rsidR="00F46C8B" w:rsidRPr="00BF28F4" w14:paraId="2EB3253A" w14:textId="77777777" w:rsidTr="00F46C8B">
        <w:trPr>
          <w:trHeight w:val="113"/>
        </w:trPr>
        <w:tc>
          <w:tcPr>
            <w:cnfStyle w:val="001000000000" w:firstRow="0" w:lastRow="0" w:firstColumn="1" w:lastColumn="0" w:oddVBand="0" w:evenVBand="0" w:oddHBand="0" w:evenHBand="0" w:firstRowFirstColumn="0" w:firstRowLastColumn="0" w:lastRowFirstColumn="0" w:lastRowLastColumn="0"/>
            <w:tcW w:w="1510" w:type="dxa"/>
            <w:hideMark/>
          </w:tcPr>
          <w:p w14:paraId="3797ED9A" w14:textId="77777777" w:rsidR="00F46C8B" w:rsidRPr="00BF28F4" w:rsidRDefault="00F46C8B" w:rsidP="00F46C8B">
            <w:pPr>
              <w:pStyle w:val="Body"/>
              <w:spacing w:after="0"/>
              <w:rPr>
                <w:rFonts w:ascii="Arial" w:hAnsi="Arial" w:cs="Arial"/>
                <w:b w:val="0"/>
                <w:bCs w:val="0"/>
              </w:rPr>
            </w:pPr>
            <w:r w:rsidRPr="00BF28F4">
              <w:rPr>
                <w:rFonts w:ascii="Arial" w:hAnsi="Arial" w:cs="Arial"/>
                <w:b w:val="0"/>
                <w:bCs w:val="0"/>
              </w:rPr>
              <w:t>V</w:t>
            </w:r>
          </w:p>
        </w:tc>
        <w:tc>
          <w:tcPr>
            <w:tcW w:w="3188" w:type="dxa"/>
            <w:hideMark/>
          </w:tcPr>
          <w:p w14:paraId="5A8307E8" w14:textId="77777777" w:rsidR="00F46C8B" w:rsidRPr="00BF28F4" w:rsidRDefault="00F46C8B"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50</w:t>
            </w:r>
            <w:r w:rsidR="00FF71B0" w:rsidRPr="00BF28F4">
              <w:rPr>
                <w:rFonts w:ascii="Arial" w:hAnsi="Arial" w:cs="Arial"/>
              </w:rPr>
              <w:t>00</w:t>
            </w:r>
          </w:p>
        </w:tc>
        <w:tc>
          <w:tcPr>
            <w:tcW w:w="2181" w:type="dxa"/>
            <w:hideMark/>
          </w:tcPr>
          <w:p w14:paraId="6FD34837" w14:textId="77777777" w:rsidR="00F46C8B" w:rsidRPr="00BF28F4" w:rsidRDefault="00F46C8B"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w:t>
            </w:r>
          </w:p>
        </w:tc>
        <w:tc>
          <w:tcPr>
            <w:tcW w:w="2013" w:type="dxa"/>
            <w:hideMark/>
          </w:tcPr>
          <w:p w14:paraId="17864644" w14:textId="77777777" w:rsidR="00F46C8B" w:rsidRPr="00BF28F4" w:rsidRDefault="00FF71B0"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w:t>
            </w:r>
          </w:p>
        </w:tc>
        <w:tc>
          <w:tcPr>
            <w:cnfStyle w:val="000100000000" w:firstRow="0" w:lastRow="0" w:firstColumn="0" w:lastColumn="1" w:oddVBand="0" w:evenVBand="0" w:oddHBand="0" w:evenHBand="0" w:firstRowFirstColumn="0" w:firstRowLastColumn="0" w:lastRowFirstColumn="0" w:lastRowLastColumn="0"/>
            <w:tcW w:w="1455" w:type="dxa"/>
            <w:hideMark/>
          </w:tcPr>
          <w:p w14:paraId="154261EB" w14:textId="77777777" w:rsidR="00F46C8B" w:rsidRPr="00BF28F4" w:rsidRDefault="00FF71B0" w:rsidP="00F46C8B">
            <w:pPr>
              <w:pStyle w:val="Body"/>
              <w:spacing w:after="0"/>
              <w:rPr>
                <w:rFonts w:ascii="Arial" w:hAnsi="Arial" w:cs="Arial"/>
                <w:b w:val="0"/>
                <w:bCs w:val="0"/>
              </w:rPr>
            </w:pPr>
            <w:r w:rsidRPr="00BF28F4">
              <w:rPr>
                <w:rFonts w:ascii="Arial" w:hAnsi="Arial" w:cs="Arial"/>
                <w:b w:val="0"/>
                <w:bCs w:val="0"/>
              </w:rPr>
              <w:t>0</w:t>
            </w:r>
          </w:p>
        </w:tc>
      </w:tr>
    </w:tbl>
    <w:p w14:paraId="29A7E608" w14:textId="77777777" w:rsidR="00F46C8B" w:rsidRPr="00BF28F4" w:rsidRDefault="00F46C8B" w:rsidP="00F46C8B">
      <w:pPr>
        <w:pStyle w:val="Body"/>
        <w:rPr>
          <w:rFonts w:ascii="Arial" w:hAnsi="Arial" w:cs="Arial"/>
          <w:i/>
          <w:iCs/>
        </w:rPr>
      </w:pPr>
      <w:r w:rsidRPr="00BF28F4">
        <w:rPr>
          <w:rFonts w:ascii="Arial" w:hAnsi="Arial" w:cs="Arial"/>
          <w:i/>
          <w:iCs/>
        </w:rPr>
        <w:t xml:space="preserve"> LD</w:t>
      </w:r>
      <w:r w:rsidRPr="00BF28F4">
        <w:rPr>
          <w:rFonts w:ascii="Cambria Math" w:hAnsi="Cambria Math" w:cs="Cambria Math"/>
          <w:i/>
          <w:iCs/>
        </w:rPr>
        <w:t>₅₀</w:t>
      </w:r>
      <w:r w:rsidRPr="00BF28F4">
        <w:rPr>
          <w:rFonts w:ascii="Arial" w:hAnsi="Arial" w:cs="Arial"/>
          <w:i/>
          <w:iCs/>
        </w:rPr>
        <w:t xml:space="preserve"> = </w:t>
      </w:r>
      <w:bookmarkStart w:id="0" w:name="_Hlk237933313"/>
      <w:r w:rsidR="00FF71B0" w:rsidRPr="00BF28F4">
        <w:rPr>
          <w:rFonts w:ascii="Arial" w:hAnsi="Arial" w:cs="Arial"/>
          <w:i/>
          <w:iCs/>
        </w:rPr>
        <w:t>&gt;5000</w:t>
      </w:r>
      <w:r w:rsidRPr="00BF28F4">
        <w:rPr>
          <w:rFonts w:ascii="Arial" w:hAnsi="Arial" w:cs="Arial"/>
          <w:i/>
          <w:iCs/>
        </w:rPr>
        <w:t xml:space="preserve"> </w:t>
      </w:r>
      <w:bookmarkEnd w:id="0"/>
      <w:r w:rsidRPr="00BF28F4">
        <w:rPr>
          <w:rFonts w:ascii="Arial" w:hAnsi="Arial" w:cs="Arial"/>
          <w:i/>
          <w:iCs/>
        </w:rPr>
        <w:t>mg/kg body weight.</w:t>
      </w:r>
    </w:p>
    <w:p w14:paraId="29309115" w14:textId="77777777" w:rsidR="00CD7EE8" w:rsidRPr="00BF28F4" w:rsidRDefault="00CD7EE8" w:rsidP="00CD7EE8">
      <w:pPr>
        <w:pStyle w:val="Body"/>
        <w:rPr>
          <w:rFonts w:ascii="Arial" w:hAnsi="Arial" w:cs="Arial"/>
          <w:b/>
          <w:bCs/>
        </w:rPr>
      </w:pPr>
      <w:r w:rsidRPr="00BF28F4">
        <w:rPr>
          <w:rFonts w:ascii="Arial" w:hAnsi="Arial" w:cs="Arial"/>
          <w:b/>
          <w:bCs/>
        </w:rPr>
        <w:t xml:space="preserve">3.4. Acute toxicity results of the rind extract of </w:t>
      </w:r>
      <w:r w:rsidRPr="00BF28F4">
        <w:rPr>
          <w:rFonts w:ascii="Arial" w:hAnsi="Arial" w:cs="Arial"/>
          <w:b/>
          <w:bCs/>
          <w:i/>
          <w:iCs/>
        </w:rPr>
        <w:t>C. lanatus</w:t>
      </w:r>
      <w:r w:rsidRPr="00BF28F4">
        <w:rPr>
          <w:rFonts w:ascii="Arial" w:hAnsi="Arial" w:cs="Arial"/>
          <w:b/>
          <w:bCs/>
        </w:rPr>
        <w:t xml:space="preserve"> in rats</w:t>
      </w:r>
    </w:p>
    <w:p w14:paraId="473A93BE" w14:textId="77777777" w:rsidR="00966480" w:rsidRPr="00BF28F4" w:rsidRDefault="001B412B" w:rsidP="00966480">
      <w:pPr>
        <w:pStyle w:val="Body"/>
        <w:rPr>
          <w:rFonts w:ascii="Arial" w:hAnsi="Arial" w:cs="Arial"/>
        </w:rPr>
      </w:pPr>
      <w:r w:rsidRPr="00BF28F4">
        <w:rPr>
          <w:rFonts w:ascii="Arial" w:hAnsi="Arial" w:cs="Arial"/>
        </w:rPr>
        <w:t>Table 8 presents the acute toxicity results of the rind extract of C. sativus in rats. No mortality was recorded in the control group or in any of the treatment groups administered doses ranging from 1,000 to 5,000 mg/kg body weight. The absence of mortality at all tested doses indicates that the extract exhibited no acute lethal effect within the tested dose range. Therefore, the median lethal dose (LD</w:t>
      </w:r>
      <w:r w:rsidRPr="00BF28F4">
        <w:rPr>
          <w:rFonts w:ascii="Cambria Math" w:hAnsi="Cambria Math" w:cs="Cambria Math"/>
        </w:rPr>
        <w:t>₅₀</w:t>
      </w:r>
      <w:r w:rsidRPr="00BF28F4">
        <w:rPr>
          <w:rFonts w:ascii="Arial" w:hAnsi="Arial" w:cs="Arial"/>
        </w:rPr>
        <w:t xml:space="preserve">) of the rind extract of C. sativus was estimated to be greater than 5000 mg/kg body weight using the method described by </w:t>
      </w:r>
      <w:proofErr w:type="spellStart"/>
      <w:r w:rsidRPr="00BF28F4">
        <w:rPr>
          <w:rFonts w:ascii="Arial" w:hAnsi="Arial" w:cs="Arial"/>
        </w:rPr>
        <w:t>Lorke</w:t>
      </w:r>
      <w:proofErr w:type="spellEnd"/>
      <w:r w:rsidRPr="00BF28F4">
        <w:rPr>
          <w:rFonts w:ascii="Arial" w:hAnsi="Arial" w:cs="Arial"/>
        </w:rPr>
        <w:t xml:space="preserve"> (1983).</w:t>
      </w:r>
    </w:p>
    <w:p w14:paraId="2D42B3F2" w14:textId="77777777" w:rsidR="001B412B" w:rsidRPr="00BF28F4" w:rsidRDefault="001B412B" w:rsidP="001B412B">
      <w:pPr>
        <w:pStyle w:val="Body"/>
        <w:spacing w:after="0"/>
        <w:rPr>
          <w:rFonts w:ascii="Arial" w:hAnsi="Arial" w:cs="Arial"/>
        </w:rPr>
      </w:pPr>
      <w:r w:rsidRPr="00BF28F4">
        <w:rPr>
          <w:rFonts w:ascii="Arial" w:hAnsi="Arial" w:cs="Arial"/>
        </w:rPr>
        <w:t xml:space="preserve">Table 8. Acute toxicity results of the rind extract of </w:t>
      </w:r>
      <w:r w:rsidRPr="00BF28F4">
        <w:rPr>
          <w:rFonts w:ascii="Arial" w:hAnsi="Arial" w:cs="Arial"/>
          <w:i/>
          <w:iCs/>
        </w:rPr>
        <w:t>C. lanatus</w:t>
      </w:r>
      <w:r w:rsidRPr="00BF28F4">
        <w:rPr>
          <w:rFonts w:ascii="Arial" w:hAnsi="Arial" w:cs="Arial"/>
        </w:rPr>
        <w:t xml:space="preserve"> in rats</w:t>
      </w:r>
    </w:p>
    <w:tbl>
      <w:tblPr>
        <w:tblStyle w:val="PlainTable2"/>
        <w:tblW w:w="0" w:type="auto"/>
        <w:tblLook w:val="07A0" w:firstRow="1" w:lastRow="0" w:firstColumn="1" w:lastColumn="1" w:noHBand="1" w:noVBand="1"/>
      </w:tblPr>
      <w:tblGrid>
        <w:gridCol w:w="1510"/>
        <w:gridCol w:w="3188"/>
        <w:gridCol w:w="2181"/>
        <w:gridCol w:w="2013"/>
        <w:gridCol w:w="1455"/>
      </w:tblGrid>
      <w:tr w:rsidR="001B412B" w:rsidRPr="00BF28F4" w14:paraId="055D1309" w14:textId="77777777" w:rsidTr="00AF2680">
        <w:trPr>
          <w:cnfStyle w:val="100000000000" w:firstRow="1" w:lastRow="0" w:firstColumn="0" w:lastColumn="0" w:oddVBand="0" w:evenVBand="0" w:oddHBand="0"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1510" w:type="dxa"/>
            <w:hideMark/>
          </w:tcPr>
          <w:p w14:paraId="72FE0F2C" w14:textId="77777777" w:rsidR="001B412B" w:rsidRPr="00BF28F4" w:rsidRDefault="001B412B" w:rsidP="00AF2680">
            <w:pPr>
              <w:pStyle w:val="Body"/>
              <w:spacing w:after="0"/>
              <w:rPr>
                <w:rFonts w:ascii="Arial" w:hAnsi="Arial" w:cs="Arial"/>
                <w:b w:val="0"/>
                <w:bCs w:val="0"/>
              </w:rPr>
            </w:pPr>
            <w:r w:rsidRPr="00BF28F4">
              <w:rPr>
                <w:rFonts w:ascii="Arial" w:hAnsi="Arial" w:cs="Arial"/>
                <w:b w:val="0"/>
                <w:bCs w:val="0"/>
              </w:rPr>
              <w:t>Group</w:t>
            </w:r>
          </w:p>
        </w:tc>
        <w:tc>
          <w:tcPr>
            <w:tcW w:w="3188" w:type="dxa"/>
            <w:hideMark/>
          </w:tcPr>
          <w:p w14:paraId="1798F709" w14:textId="77777777" w:rsidR="001B412B" w:rsidRPr="00BF28F4" w:rsidRDefault="001B412B" w:rsidP="00AF2680">
            <w:pPr>
              <w:pStyle w:val="Body"/>
              <w:spacing w:after="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BF28F4">
              <w:rPr>
                <w:rFonts w:ascii="Arial" w:hAnsi="Arial" w:cs="Arial"/>
                <w:b w:val="0"/>
                <w:bCs w:val="0"/>
              </w:rPr>
              <w:t>Dose (mg/kg body weight)</w:t>
            </w:r>
          </w:p>
        </w:tc>
        <w:tc>
          <w:tcPr>
            <w:tcW w:w="2181" w:type="dxa"/>
            <w:hideMark/>
          </w:tcPr>
          <w:p w14:paraId="6249C50C" w14:textId="77777777" w:rsidR="001B412B" w:rsidRPr="00BF28F4" w:rsidRDefault="001B412B" w:rsidP="00AF2680">
            <w:pPr>
              <w:pStyle w:val="Body"/>
              <w:spacing w:after="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BF28F4">
              <w:rPr>
                <w:rFonts w:ascii="Arial" w:hAnsi="Arial" w:cs="Arial"/>
                <w:b w:val="0"/>
                <w:bCs w:val="0"/>
              </w:rPr>
              <w:t>Number of rats</w:t>
            </w:r>
          </w:p>
        </w:tc>
        <w:tc>
          <w:tcPr>
            <w:tcW w:w="2013" w:type="dxa"/>
            <w:hideMark/>
          </w:tcPr>
          <w:p w14:paraId="431940B7" w14:textId="77777777" w:rsidR="001B412B" w:rsidRPr="00BF28F4" w:rsidRDefault="001B412B" w:rsidP="00AF2680">
            <w:pPr>
              <w:pStyle w:val="Body"/>
              <w:spacing w:after="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BF28F4">
              <w:rPr>
                <w:rFonts w:ascii="Arial" w:hAnsi="Arial" w:cs="Arial"/>
                <w:b w:val="0"/>
                <w:bCs w:val="0"/>
              </w:rPr>
              <w:t>Number of deaths</w:t>
            </w:r>
          </w:p>
        </w:tc>
        <w:tc>
          <w:tcPr>
            <w:cnfStyle w:val="000100000000" w:firstRow="0" w:lastRow="0" w:firstColumn="0" w:lastColumn="1" w:oddVBand="0" w:evenVBand="0" w:oddHBand="0" w:evenHBand="0" w:firstRowFirstColumn="0" w:firstRowLastColumn="0" w:lastRowFirstColumn="0" w:lastRowLastColumn="0"/>
            <w:tcW w:w="1455" w:type="dxa"/>
            <w:hideMark/>
          </w:tcPr>
          <w:p w14:paraId="3AD480C7" w14:textId="77777777" w:rsidR="001B412B" w:rsidRPr="00BF28F4" w:rsidRDefault="001B412B" w:rsidP="00AF2680">
            <w:pPr>
              <w:pStyle w:val="Body"/>
              <w:spacing w:after="0"/>
              <w:rPr>
                <w:rFonts w:ascii="Arial" w:hAnsi="Arial" w:cs="Arial"/>
                <w:b w:val="0"/>
                <w:bCs w:val="0"/>
              </w:rPr>
            </w:pPr>
            <w:r w:rsidRPr="00BF28F4">
              <w:rPr>
                <w:rFonts w:ascii="Arial" w:hAnsi="Arial" w:cs="Arial"/>
                <w:b w:val="0"/>
                <w:bCs w:val="0"/>
              </w:rPr>
              <w:t>Mortality (%)</w:t>
            </w:r>
          </w:p>
        </w:tc>
      </w:tr>
      <w:tr w:rsidR="001B412B" w:rsidRPr="00BF28F4" w14:paraId="5B4A83D2" w14:textId="77777777" w:rsidTr="00AF2680">
        <w:trPr>
          <w:trHeight w:val="298"/>
        </w:trPr>
        <w:tc>
          <w:tcPr>
            <w:cnfStyle w:val="001000000000" w:firstRow="0" w:lastRow="0" w:firstColumn="1" w:lastColumn="0" w:oddVBand="0" w:evenVBand="0" w:oddHBand="0" w:evenHBand="0" w:firstRowFirstColumn="0" w:firstRowLastColumn="0" w:lastRowFirstColumn="0" w:lastRowLastColumn="0"/>
            <w:tcW w:w="1510" w:type="dxa"/>
            <w:hideMark/>
          </w:tcPr>
          <w:p w14:paraId="5EAFF159" w14:textId="77777777" w:rsidR="001B412B" w:rsidRPr="00BF28F4" w:rsidRDefault="001B412B" w:rsidP="00AF2680">
            <w:pPr>
              <w:pStyle w:val="Body"/>
              <w:spacing w:after="0"/>
              <w:rPr>
                <w:rFonts w:ascii="Arial" w:hAnsi="Arial" w:cs="Arial"/>
                <w:b w:val="0"/>
                <w:bCs w:val="0"/>
              </w:rPr>
            </w:pPr>
            <w:r w:rsidRPr="00BF28F4">
              <w:rPr>
                <w:rFonts w:ascii="Arial" w:hAnsi="Arial" w:cs="Arial"/>
                <w:b w:val="0"/>
                <w:bCs w:val="0"/>
              </w:rPr>
              <w:t>Control</w:t>
            </w:r>
          </w:p>
        </w:tc>
        <w:tc>
          <w:tcPr>
            <w:tcW w:w="3188" w:type="dxa"/>
            <w:hideMark/>
          </w:tcPr>
          <w:p w14:paraId="1ECABC33" w14:textId="77777777" w:rsidR="001B412B" w:rsidRPr="00BF28F4"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 (Distilled water)</w:t>
            </w:r>
          </w:p>
        </w:tc>
        <w:tc>
          <w:tcPr>
            <w:tcW w:w="2181" w:type="dxa"/>
            <w:hideMark/>
          </w:tcPr>
          <w:p w14:paraId="62A2B456" w14:textId="77777777" w:rsidR="001B412B" w:rsidRPr="00BF28F4"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w:t>
            </w:r>
          </w:p>
        </w:tc>
        <w:tc>
          <w:tcPr>
            <w:tcW w:w="2013" w:type="dxa"/>
            <w:hideMark/>
          </w:tcPr>
          <w:p w14:paraId="16ED2FD8" w14:textId="77777777" w:rsidR="001B412B" w:rsidRPr="00BF28F4"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w:t>
            </w:r>
          </w:p>
        </w:tc>
        <w:tc>
          <w:tcPr>
            <w:cnfStyle w:val="000100000000" w:firstRow="0" w:lastRow="0" w:firstColumn="0" w:lastColumn="1" w:oddVBand="0" w:evenVBand="0" w:oddHBand="0" w:evenHBand="0" w:firstRowFirstColumn="0" w:firstRowLastColumn="0" w:lastRowFirstColumn="0" w:lastRowLastColumn="0"/>
            <w:tcW w:w="1455" w:type="dxa"/>
            <w:hideMark/>
          </w:tcPr>
          <w:p w14:paraId="24513AD3" w14:textId="77777777" w:rsidR="001B412B" w:rsidRPr="00BF28F4" w:rsidRDefault="001B412B" w:rsidP="00AF2680">
            <w:pPr>
              <w:pStyle w:val="Body"/>
              <w:spacing w:after="0"/>
              <w:rPr>
                <w:rFonts w:ascii="Arial" w:hAnsi="Arial" w:cs="Arial"/>
                <w:b w:val="0"/>
                <w:bCs w:val="0"/>
              </w:rPr>
            </w:pPr>
            <w:r w:rsidRPr="00BF28F4">
              <w:rPr>
                <w:rFonts w:ascii="Arial" w:hAnsi="Arial" w:cs="Arial"/>
                <w:b w:val="0"/>
                <w:bCs w:val="0"/>
              </w:rPr>
              <w:t>0</w:t>
            </w:r>
          </w:p>
        </w:tc>
      </w:tr>
      <w:tr w:rsidR="001B412B" w:rsidRPr="00BF28F4" w14:paraId="26268AB2" w14:textId="77777777" w:rsidTr="00AF2680">
        <w:trPr>
          <w:trHeight w:val="313"/>
        </w:trPr>
        <w:tc>
          <w:tcPr>
            <w:cnfStyle w:val="001000000000" w:firstRow="0" w:lastRow="0" w:firstColumn="1" w:lastColumn="0" w:oddVBand="0" w:evenVBand="0" w:oddHBand="0" w:evenHBand="0" w:firstRowFirstColumn="0" w:firstRowLastColumn="0" w:lastRowFirstColumn="0" w:lastRowLastColumn="0"/>
            <w:tcW w:w="1510" w:type="dxa"/>
            <w:hideMark/>
          </w:tcPr>
          <w:p w14:paraId="54B000F4" w14:textId="77777777" w:rsidR="001B412B" w:rsidRPr="00BF28F4" w:rsidRDefault="001B412B" w:rsidP="00AF2680">
            <w:pPr>
              <w:pStyle w:val="Body"/>
              <w:spacing w:after="0"/>
              <w:rPr>
                <w:rFonts w:ascii="Arial" w:hAnsi="Arial" w:cs="Arial"/>
                <w:b w:val="0"/>
                <w:bCs w:val="0"/>
              </w:rPr>
            </w:pPr>
            <w:r w:rsidRPr="00BF28F4">
              <w:rPr>
                <w:rFonts w:ascii="Arial" w:hAnsi="Arial" w:cs="Arial"/>
                <w:b w:val="0"/>
                <w:bCs w:val="0"/>
              </w:rPr>
              <w:t>I</w:t>
            </w:r>
          </w:p>
        </w:tc>
        <w:tc>
          <w:tcPr>
            <w:tcW w:w="3188" w:type="dxa"/>
            <w:hideMark/>
          </w:tcPr>
          <w:p w14:paraId="7F217F88" w14:textId="77777777" w:rsidR="001B412B" w:rsidRPr="00BF28F4"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1000</w:t>
            </w:r>
          </w:p>
        </w:tc>
        <w:tc>
          <w:tcPr>
            <w:tcW w:w="2181" w:type="dxa"/>
            <w:hideMark/>
          </w:tcPr>
          <w:p w14:paraId="43267E04" w14:textId="77777777" w:rsidR="001B412B" w:rsidRPr="00BF28F4"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w:t>
            </w:r>
          </w:p>
        </w:tc>
        <w:tc>
          <w:tcPr>
            <w:tcW w:w="2013" w:type="dxa"/>
            <w:hideMark/>
          </w:tcPr>
          <w:p w14:paraId="36BD31CD" w14:textId="77777777" w:rsidR="001B412B" w:rsidRPr="00BF28F4"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w:t>
            </w:r>
          </w:p>
        </w:tc>
        <w:tc>
          <w:tcPr>
            <w:cnfStyle w:val="000100000000" w:firstRow="0" w:lastRow="0" w:firstColumn="0" w:lastColumn="1" w:oddVBand="0" w:evenVBand="0" w:oddHBand="0" w:evenHBand="0" w:firstRowFirstColumn="0" w:firstRowLastColumn="0" w:lastRowFirstColumn="0" w:lastRowLastColumn="0"/>
            <w:tcW w:w="1455" w:type="dxa"/>
            <w:hideMark/>
          </w:tcPr>
          <w:p w14:paraId="132C50DB" w14:textId="77777777" w:rsidR="001B412B" w:rsidRPr="00BF28F4" w:rsidRDefault="001B412B" w:rsidP="00AF2680">
            <w:pPr>
              <w:pStyle w:val="Body"/>
              <w:spacing w:after="0"/>
              <w:rPr>
                <w:rFonts w:ascii="Arial" w:hAnsi="Arial" w:cs="Arial"/>
                <w:b w:val="0"/>
                <w:bCs w:val="0"/>
              </w:rPr>
            </w:pPr>
            <w:r w:rsidRPr="00BF28F4">
              <w:rPr>
                <w:rFonts w:ascii="Arial" w:hAnsi="Arial" w:cs="Arial"/>
                <w:b w:val="0"/>
                <w:bCs w:val="0"/>
              </w:rPr>
              <w:t>0</w:t>
            </w:r>
          </w:p>
        </w:tc>
      </w:tr>
      <w:tr w:rsidR="001B412B" w:rsidRPr="00BF28F4" w14:paraId="7F2C50CE" w14:textId="77777777" w:rsidTr="00AF2680">
        <w:trPr>
          <w:trHeight w:val="303"/>
        </w:trPr>
        <w:tc>
          <w:tcPr>
            <w:cnfStyle w:val="001000000000" w:firstRow="0" w:lastRow="0" w:firstColumn="1" w:lastColumn="0" w:oddVBand="0" w:evenVBand="0" w:oddHBand="0" w:evenHBand="0" w:firstRowFirstColumn="0" w:firstRowLastColumn="0" w:lastRowFirstColumn="0" w:lastRowLastColumn="0"/>
            <w:tcW w:w="1510" w:type="dxa"/>
            <w:hideMark/>
          </w:tcPr>
          <w:p w14:paraId="2FA39DCA" w14:textId="77777777" w:rsidR="001B412B" w:rsidRPr="00BF28F4" w:rsidRDefault="001B412B" w:rsidP="00AF2680">
            <w:pPr>
              <w:pStyle w:val="Body"/>
              <w:spacing w:after="0"/>
              <w:rPr>
                <w:rFonts w:ascii="Arial" w:hAnsi="Arial" w:cs="Arial"/>
                <w:b w:val="0"/>
                <w:bCs w:val="0"/>
              </w:rPr>
            </w:pPr>
            <w:r w:rsidRPr="00BF28F4">
              <w:rPr>
                <w:rFonts w:ascii="Arial" w:hAnsi="Arial" w:cs="Arial"/>
                <w:b w:val="0"/>
                <w:bCs w:val="0"/>
              </w:rPr>
              <w:t>II</w:t>
            </w:r>
          </w:p>
        </w:tc>
        <w:tc>
          <w:tcPr>
            <w:tcW w:w="3188" w:type="dxa"/>
            <w:hideMark/>
          </w:tcPr>
          <w:p w14:paraId="32E92108" w14:textId="77777777" w:rsidR="001B412B" w:rsidRPr="00BF28F4"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2000</w:t>
            </w:r>
          </w:p>
        </w:tc>
        <w:tc>
          <w:tcPr>
            <w:tcW w:w="2181" w:type="dxa"/>
            <w:hideMark/>
          </w:tcPr>
          <w:p w14:paraId="34A4F0CC" w14:textId="77777777" w:rsidR="001B412B" w:rsidRPr="00BF28F4"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w:t>
            </w:r>
          </w:p>
        </w:tc>
        <w:tc>
          <w:tcPr>
            <w:tcW w:w="2013" w:type="dxa"/>
            <w:hideMark/>
          </w:tcPr>
          <w:p w14:paraId="36B68120" w14:textId="77777777" w:rsidR="001B412B" w:rsidRPr="00BF28F4"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w:t>
            </w:r>
          </w:p>
        </w:tc>
        <w:tc>
          <w:tcPr>
            <w:cnfStyle w:val="000100000000" w:firstRow="0" w:lastRow="0" w:firstColumn="0" w:lastColumn="1" w:oddVBand="0" w:evenVBand="0" w:oddHBand="0" w:evenHBand="0" w:firstRowFirstColumn="0" w:firstRowLastColumn="0" w:lastRowFirstColumn="0" w:lastRowLastColumn="0"/>
            <w:tcW w:w="1455" w:type="dxa"/>
            <w:hideMark/>
          </w:tcPr>
          <w:p w14:paraId="12847940" w14:textId="77777777" w:rsidR="001B412B" w:rsidRPr="00BF28F4" w:rsidRDefault="001B412B" w:rsidP="00AF2680">
            <w:pPr>
              <w:pStyle w:val="Body"/>
              <w:spacing w:after="0"/>
              <w:rPr>
                <w:rFonts w:ascii="Arial" w:hAnsi="Arial" w:cs="Arial"/>
                <w:b w:val="0"/>
                <w:bCs w:val="0"/>
              </w:rPr>
            </w:pPr>
            <w:r w:rsidRPr="00BF28F4">
              <w:rPr>
                <w:rFonts w:ascii="Arial" w:hAnsi="Arial" w:cs="Arial"/>
                <w:b w:val="0"/>
                <w:bCs w:val="0"/>
              </w:rPr>
              <w:t>0</w:t>
            </w:r>
          </w:p>
        </w:tc>
      </w:tr>
      <w:tr w:rsidR="001B412B" w:rsidRPr="00BF28F4" w14:paraId="0A4B335E" w14:textId="77777777" w:rsidTr="00AF2680">
        <w:trPr>
          <w:trHeight w:val="152"/>
        </w:trPr>
        <w:tc>
          <w:tcPr>
            <w:cnfStyle w:val="001000000000" w:firstRow="0" w:lastRow="0" w:firstColumn="1" w:lastColumn="0" w:oddVBand="0" w:evenVBand="0" w:oddHBand="0" w:evenHBand="0" w:firstRowFirstColumn="0" w:firstRowLastColumn="0" w:lastRowFirstColumn="0" w:lastRowLastColumn="0"/>
            <w:tcW w:w="1510" w:type="dxa"/>
            <w:hideMark/>
          </w:tcPr>
          <w:p w14:paraId="6224F6C1" w14:textId="77777777" w:rsidR="001B412B" w:rsidRPr="00BF28F4" w:rsidRDefault="001B412B" w:rsidP="00AF2680">
            <w:pPr>
              <w:pStyle w:val="Body"/>
              <w:spacing w:after="0"/>
              <w:rPr>
                <w:rFonts w:ascii="Arial" w:hAnsi="Arial" w:cs="Arial"/>
                <w:b w:val="0"/>
                <w:bCs w:val="0"/>
              </w:rPr>
            </w:pPr>
            <w:r w:rsidRPr="00BF28F4">
              <w:rPr>
                <w:rFonts w:ascii="Arial" w:hAnsi="Arial" w:cs="Arial"/>
                <w:b w:val="0"/>
                <w:bCs w:val="0"/>
              </w:rPr>
              <w:t>III</w:t>
            </w:r>
          </w:p>
        </w:tc>
        <w:tc>
          <w:tcPr>
            <w:tcW w:w="3188" w:type="dxa"/>
            <w:hideMark/>
          </w:tcPr>
          <w:p w14:paraId="3F1B3722" w14:textId="77777777" w:rsidR="001B412B" w:rsidRPr="00BF28F4"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3000</w:t>
            </w:r>
          </w:p>
        </w:tc>
        <w:tc>
          <w:tcPr>
            <w:tcW w:w="2181" w:type="dxa"/>
            <w:hideMark/>
          </w:tcPr>
          <w:p w14:paraId="121EF835" w14:textId="77777777" w:rsidR="001B412B" w:rsidRPr="00BF28F4"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w:t>
            </w:r>
          </w:p>
        </w:tc>
        <w:tc>
          <w:tcPr>
            <w:tcW w:w="2013" w:type="dxa"/>
            <w:hideMark/>
          </w:tcPr>
          <w:p w14:paraId="4924CF76" w14:textId="77777777" w:rsidR="001B412B" w:rsidRPr="00BF28F4"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w:t>
            </w:r>
          </w:p>
        </w:tc>
        <w:tc>
          <w:tcPr>
            <w:cnfStyle w:val="000100000000" w:firstRow="0" w:lastRow="0" w:firstColumn="0" w:lastColumn="1" w:oddVBand="0" w:evenVBand="0" w:oddHBand="0" w:evenHBand="0" w:firstRowFirstColumn="0" w:firstRowLastColumn="0" w:lastRowFirstColumn="0" w:lastRowLastColumn="0"/>
            <w:tcW w:w="1455" w:type="dxa"/>
            <w:hideMark/>
          </w:tcPr>
          <w:p w14:paraId="2437C347" w14:textId="77777777" w:rsidR="001B412B" w:rsidRPr="00BF28F4" w:rsidRDefault="001B412B" w:rsidP="00AF2680">
            <w:pPr>
              <w:pStyle w:val="Body"/>
              <w:spacing w:after="0"/>
              <w:rPr>
                <w:rFonts w:ascii="Arial" w:hAnsi="Arial" w:cs="Arial"/>
                <w:b w:val="0"/>
                <w:bCs w:val="0"/>
              </w:rPr>
            </w:pPr>
            <w:r w:rsidRPr="00BF28F4">
              <w:rPr>
                <w:rFonts w:ascii="Arial" w:hAnsi="Arial" w:cs="Arial"/>
                <w:b w:val="0"/>
                <w:bCs w:val="0"/>
              </w:rPr>
              <w:t>0</w:t>
            </w:r>
          </w:p>
        </w:tc>
      </w:tr>
      <w:tr w:rsidR="001B412B" w:rsidRPr="00BF28F4" w14:paraId="388FA3FF" w14:textId="77777777" w:rsidTr="00AF2680">
        <w:trPr>
          <w:trHeight w:val="218"/>
        </w:trPr>
        <w:tc>
          <w:tcPr>
            <w:cnfStyle w:val="001000000000" w:firstRow="0" w:lastRow="0" w:firstColumn="1" w:lastColumn="0" w:oddVBand="0" w:evenVBand="0" w:oddHBand="0" w:evenHBand="0" w:firstRowFirstColumn="0" w:firstRowLastColumn="0" w:lastRowFirstColumn="0" w:lastRowLastColumn="0"/>
            <w:tcW w:w="1510" w:type="dxa"/>
            <w:hideMark/>
          </w:tcPr>
          <w:p w14:paraId="01FE55F3" w14:textId="77777777" w:rsidR="001B412B" w:rsidRPr="00BF28F4" w:rsidRDefault="001B412B" w:rsidP="00AF2680">
            <w:pPr>
              <w:pStyle w:val="Body"/>
              <w:spacing w:after="0"/>
              <w:rPr>
                <w:rFonts w:ascii="Arial" w:hAnsi="Arial" w:cs="Arial"/>
                <w:b w:val="0"/>
                <w:bCs w:val="0"/>
              </w:rPr>
            </w:pPr>
            <w:r w:rsidRPr="00BF28F4">
              <w:rPr>
                <w:rFonts w:ascii="Arial" w:hAnsi="Arial" w:cs="Arial"/>
                <w:b w:val="0"/>
                <w:bCs w:val="0"/>
              </w:rPr>
              <w:t>IV</w:t>
            </w:r>
          </w:p>
        </w:tc>
        <w:tc>
          <w:tcPr>
            <w:tcW w:w="3188" w:type="dxa"/>
            <w:hideMark/>
          </w:tcPr>
          <w:p w14:paraId="1533F29E" w14:textId="77777777" w:rsidR="001B412B" w:rsidRPr="00BF28F4"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4000</w:t>
            </w:r>
          </w:p>
        </w:tc>
        <w:tc>
          <w:tcPr>
            <w:tcW w:w="2181" w:type="dxa"/>
            <w:hideMark/>
          </w:tcPr>
          <w:p w14:paraId="04EF58BE" w14:textId="77777777" w:rsidR="001B412B" w:rsidRPr="00BF28F4"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w:t>
            </w:r>
          </w:p>
        </w:tc>
        <w:tc>
          <w:tcPr>
            <w:tcW w:w="2013" w:type="dxa"/>
            <w:hideMark/>
          </w:tcPr>
          <w:p w14:paraId="6D2C241F" w14:textId="77777777" w:rsidR="001B412B" w:rsidRPr="00BF28F4"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w:t>
            </w:r>
          </w:p>
        </w:tc>
        <w:tc>
          <w:tcPr>
            <w:cnfStyle w:val="000100000000" w:firstRow="0" w:lastRow="0" w:firstColumn="0" w:lastColumn="1" w:oddVBand="0" w:evenVBand="0" w:oddHBand="0" w:evenHBand="0" w:firstRowFirstColumn="0" w:firstRowLastColumn="0" w:lastRowFirstColumn="0" w:lastRowLastColumn="0"/>
            <w:tcW w:w="1455" w:type="dxa"/>
            <w:hideMark/>
          </w:tcPr>
          <w:p w14:paraId="5172B4D1" w14:textId="77777777" w:rsidR="001B412B" w:rsidRPr="00BF28F4" w:rsidRDefault="001B412B" w:rsidP="00AF2680">
            <w:pPr>
              <w:pStyle w:val="Body"/>
              <w:spacing w:after="0"/>
              <w:rPr>
                <w:rFonts w:ascii="Arial" w:hAnsi="Arial" w:cs="Arial"/>
                <w:b w:val="0"/>
                <w:bCs w:val="0"/>
              </w:rPr>
            </w:pPr>
            <w:r w:rsidRPr="00BF28F4">
              <w:rPr>
                <w:rFonts w:ascii="Arial" w:hAnsi="Arial" w:cs="Arial"/>
                <w:b w:val="0"/>
                <w:bCs w:val="0"/>
              </w:rPr>
              <w:t>0</w:t>
            </w:r>
          </w:p>
        </w:tc>
      </w:tr>
      <w:tr w:rsidR="001B412B" w:rsidRPr="00BF28F4" w14:paraId="0AAA4C4C" w14:textId="77777777" w:rsidTr="00AF2680">
        <w:trPr>
          <w:trHeight w:val="113"/>
        </w:trPr>
        <w:tc>
          <w:tcPr>
            <w:cnfStyle w:val="001000000000" w:firstRow="0" w:lastRow="0" w:firstColumn="1" w:lastColumn="0" w:oddVBand="0" w:evenVBand="0" w:oddHBand="0" w:evenHBand="0" w:firstRowFirstColumn="0" w:firstRowLastColumn="0" w:lastRowFirstColumn="0" w:lastRowLastColumn="0"/>
            <w:tcW w:w="1510" w:type="dxa"/>
            <w:hideMark/>
          </w:tcPr>
          <w:p w14:paraId="799340F4" w14:textId="77777777" w:rsidR="001B412B" w:rsidRPr="00BF28F4" w:rsidRDefault="001B412B" w:rsidP="00AF2680">
            <w:pPr>
              <w:pStyle w:val="Body"/>
              <w:spacing w:after="0"/>
              <w:rPr>
                <w:rFonts w:ascii="Arial" w:hAnsi="Arial" w:cs="Arial"/>
                <w:b w:val="0"/>
                <w:bCs w:val="0"/>
              </w:rPr>
            </w:pPr>
            <w:r w:rsidRPr="00BF28F4">
              <w:rPr>
                <w:rFonts w:ascii="Arial" w:hAnsi="Arial" w:cs="Arial"/>
                <w:b w:val="0"/>
                <w:bCs w:val="0"/>
              </w:rPr>
              <w:t>V</w:t>
            </w:r>
          </w:p>
        </w:tc>
        <w:tc>
          <w:tcPr>
            <w:tcW w:w="3188" w:type="dxa"/>
            <w:hideMark/>
          </w:tcPr>
          <w:p w14:paraId="212FD03F" w14:textId="77777777" w:rsidR="001B412B" w:rsidRPr="00BF28F4"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5000</w:t>
            </w:r>
          </w:p>
        </w:tc>
        <w:tc>
          <w:tcPr>
            <w:tcW w:w="2181" w:type="dxa"/>
            <w:hideMark/>
          </w:tcPr>
          <w:p w14:paraId="4254C140" w14:textId="77777777" w:rsidR="001B412B" w:rsidRPr="00BF28F4"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4</w:t>
            </w:r>
          </w:p>
        </w:tc>
        <w:tc>
          <w:tcPr>
            <w:tcW w:w="2013" w:type="dxa"/>
            <w:hideMark/>
          </w:tcPr>
          <w:p w14:paraId="48868F36" w14:textId="77777777" w:rsidR="001B412B" w:rsidRPr="00BF28F4"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BF28F4">
              <w:rPr>
                <w:rFonts w:ascii="Arial" w:hAnsi="Arial" w:cs="Arial"/>
              </w:rPr>
              <w:t>0</w:t>
            </w:r>
          </w:p>
        </w:tc>
        <w:tc>
          <w:tcPr>
            <w:cnfStyle w:val="000100000000" w:firstRow="0" w:lastRow="0" w:firstColumn="0" w:lastColumn="1" w:oddVBand="0" w:evenVBand="0" w:oddHBand="0" w:evenHBand="0" w:firstRowFirstColumn="0" w:firstRowLastColumn="0" w:lastRowFirstColumn="0" w:lastRowLastColumn="0"/>
            <w:tcW w:w="1455" w:type="dxa"/>
            <w:hideMark/>
          </w:tcPr>
          <w:p w14:paraId="6D30F816" w14:textId="77777777" w:rsidR="001B412B" w:rsidRPr="00BF28F4" w:rsidRDefault="001B412B" w:rsidP="00AF2680">
            <w:pPr>
              <w:pStyle w:val="Body"/>
              <w:spacing w:after="0"/>
              <w:rPr>
                <w:rFonts w:ascii="Arial" w:hAnsi="Arial" w:cs="Arial"/>
                <w:b w:val="0"/>
                <w:bCs w:val="0"/>
              </w:rPr>
            </w:pPr>
            <w:r w:rsidRPr="00BF28F4">
              <w:rPr>
                <w:rFonts w:ascii="Arial" w:hAnsi="Arial" w:cs="Arial"/>
                <w:b w:val="0"/>
                <w:bCs w:val="0"/>
              </w:rPr>
              <w:t>0</w:t>
            </w:r>
          </w:p>
        </w:tc>
      </w:tr>
    </w:tbl>
    <w:p w14:paraId="423DAD17" w14:textId="77777777" w:rsidR="001B412B" w:rsidRPr="00BF28F4" w:rsidRDefault="001B412B" w:rsidP="001B412B">
      <w:pPr>
        <w:pStyle w:val="Body"/>
        <w:rPr>
          <w:rFonts w:ascii="Arial" w:hAnsi="Arial" w:cs="Arial"/>
          <w:i/>
          <w:iCs/>
        </w:rPr>
      </w:pPr>
      <w:r w:rsidRPr="00BF28F4">
        <w:rPr>
          <w:rFonts w:ascii="Arial" w:hAnsi="Arial" w:cs="Arial"/>
          <w:i/>
          <w:iCs/>
        </w:rPr>
        <w:t xml:space="preserve"> LD</w:t>
      </w:r>
      <w:r w:rsidRPr="00BF28F4">
        <w:rPr>
          <w:rFonts w:ascii="Cambria Math" w:hAnsi="Cambria Math" w:cs="Cambria Math"/>
          <w:i/>
          <w:iCs/>
        </w:rPr>
        <w:t>₅₀</w:t>
      </w:r>
      <w:r w:rsidRPr="00BF28F4">
        <w:rPr>
          <w:rFonts w:ascii="Arial" w:hAnsi="Arial" w:cs="Arial"/>
          <w:i/>
          <w:iCs/>
        </w:rPr>
        <w:t xml:space="preserve"> = &gt;5000 mg/kg body weight.</w:t>
      </w:r>
    </w:p>
    <w:p w14:paraId="53262F02" w14:textId="77777777" w:rsidR="001B412B" w:rsidRPr="00BF28F4" w:rsidRDefault="001B412B" w:rsidP="00966480">
      <w:pPr>
        <w:pStyle w:val="Body"/>
        <w:rPr>
          <w:rFonts w:ascii="Arial" w:hAnsi="Arial" w:cs="Arial"/>
        </w:rPr>
      </w:pPr>
    </w:p>
    <w:p w14:paraId="7AE64FE4" w14:textId="77777777" w:rsidR="00B01FCD" w:rsidRPr="00BF28F4" w:rsidRDefault="00000F8F" w:rsidP="00441B6F">
      <w:pPr>
        <w:pStyle w:val="ConcHead"/>
        <w:spacing w:after="0"/>
        <w:jc w:val="both"/>
        <w:rPr>
          <w:rFonts w:ascii="Arial" w:hAnsi="Arial" w:cs="Arial"/>
        </w:rPr>
      </w:pPr>
      <w:r w:rsidRPr="00BF28F4">
        <w:rPr>
          <w:rFonts w:ascii="Arial" w:hAnsi="Arial" w:cs="Arial"/>
        </w:rPr>
        <w:t xml:space="preserve">4. </w:t>
      </w:r>
      <w:r w:rsidR="00DB7D18" w:rsidRPr="00BF28F4">
        <w:rPr>
          <w:rFonts w:ascii="Arial" w:hAnsi="Arial" w:cs="Arial"/>
        </w:rPr>
        <w:t>DISCUSSION</w:t>
      </w:r>
    </w:p>
    <w:p w14:paraId="7093DACE" w14:textId="77777777" w:rsidR="00790ADA" w:rsidRPr="00BF28F4" w:rsidRDefault="00790ADA" w:rsidP="00441B6F">
      <w:pPr>
        <w:pStyle w:val="ConcHead"/>
        <w:spacing w:after="0"/>
        <w:jc w:val="both"/>
        <w:rPr>
          <w:rFonts w:ascii="Arial" w:hAnsi="Arial" w:cs="Arial"/>
        </w:rPr>
      </w:pPr>
    </w:p>
    <w:p w14:paraId="733E1023" w14:textId="77777777" w:rsidR="00B53517" w:rsidRPr="00BF28F4" w:rsidRDefault="00B53517" w:rsidP="00B53517">
      <w:pPr>
        <w:pStyle w:val="Body"/>
        <w:rPr>
          <w:rFonts w:ascii="Arial" w:hAnsi="Arial" w:cs="Arial"/>
          <w:b/>
          <w:bCs/>
          <w:sz w:val="22"/>
          <w:szCs w:val="22"/>
        </w:rPr>
      </w:pPr>
      <w:r w:rsidRPr="00BF28F4">
        <w:rPr>
          <w:rFonts w:ascii="Arial" w:hAnsi="Arial" w:cs="Arial"/>
          <w:b/>
          <w:bCs/>
          <w:sz w:val="22"/>
          <w:szCs w:val="22"/>
        </w:rPr>
        <w:t>4.1. Phytochemical Composition of the Extracts</w:t>
      </w:r>
    </w:p>
    <w:p w14:paraId="2EFDFFEF" w14:textId="77777777" w:rsidR="00B53517" w:rsidRPr="00BF28F4" w:rsidRDefault="00B53517" w:rsidP="00B53517">
      <w:pPr>
        <w:pStyle w:val="Body"/>
        <w:spacing w:after="0"/>
        <w:rPr>
          <w:rFonts w:ascii="Arial" w:hAnsi="Arial" w:cs="Arial"/>
        </w:rPr>
      </w:pPr>
      <w:r w:rsidRPr="00BF28F4">
        <w:rPr>
          <w:rFonts w:ascii="Arial" w:hAnsi="Arial" w:cs="Arial"/>
        </w:rPr>
        <w:t xml:space="preserve">The methanolic rind extracts of </w:t>
      </w:r>
      <w:r w:rsidRPr="00BF28F4">
        <w:rPr>
          <w:rFonts w:ascii="Arial" w:hAnsi="Arial" w:cs="Arial"/>
          <w:i/>
          <w:iCs/>
        </w:rPr>
        <w:t>C. sativus</w:t>
      </w:r>
      <w:r w:rsidRPr="00BF28F4">
        <w:rPr>
          <w:rFonts w:ascii="Arial" w:hAnsi="Arial" w:cs="Arial"/>
        </w:rPr>
        <w:t xml:space="preserve"> and </w:t>
      </w:r>
      <w:r w:rsidRPr="00BF28F4">
        <w:rPr>
          <w:rFonts w:ascii="Arial" w:hAnsi="Arial" w:cs="Arial"/>
          <w:i/>
          <w:iCs/>
        </w:rPr>
        <w:t>C. lanatus</w:t>
      </w:r>
      <w:r w:rsidRPr="00BF28F4">
        <w:rPr>
          <w:rFonts w:ascii="Arial" w:hAnsi="Arial" w:cs="Arial"/>
        </w:rPr>
        <w:t xml:space="preserve"> contained flavonoids, saponins, phenols, alkaloids, and terpenoids. The presence of these bioactive constituents may contribute to the antioxidant, </w:t>
      </w:r>
      <w:proofErr w:type="spellStart"/>
      <w:r w:rsidRPr="00BF28F4">
        <w:rPr>
          <w:rFonts w:ascii="Arial" w:hAnsi="Arial" w:cs="Arial"/>
        </w:rPr>
        <w:t>hypoglycaemic</w:t>
      </w:r>
      <w:proofErr w:type="spellEnd"/>
      <w:r w:rsidRPr="00BF28F4">
        <w:rPr>
          <w:rFonts w:ascii="Arial" w:hAnsi="Arial" w:cs="Arial"/>
        </w:rPr>
        <w:t xml:space="preserve"> and </w:t>
      </w:r>
      <w:proofErr w:type="spellStart"/>
      <w:r w:rsidRPr="00BF28F4">
        <w:rPr>
          <w:rFonts w:ascii="Arial" w:hAnsi="Arial" w:cs="Arial"/>
        </w:rPr>
        <w:t>hypolipidaemic</w:t>
      </w:r>
      <w:proofErr w:type="spellEnd"/>
      <w:r w:rsidRPr="00BF28F4">
        <w:rPr>
          <w:rFonts w:ascii="Arial" w:hAnsi="Arial" w:cs="Arial"/>
        </w:rPr>
        <w:t xml:space="preserve"> activities observed in the present study. Similar biological effects have been reported for </w:t>
      </w:r>
      <w:r w:rsidRPr="00BF28F4">
        <w:rPr>
          <w:rFonts w:ascii="Arial" w:hAnsi="Arial" w:cs="Arial"/>
          <w:i/>
          <w:iCs/>
        </w:rPr>
        <w:t>C. lanatus</w:t>
      </w:r>
      <w:r w:rsidRPr="00BF28F4">
        <w:rPr>
          <w:rFonts w:ascii="Arial" w:hAnsi="Arial" w:cs="Arial"/>
        </w:rPr>
        <w:t xml:space="preserve"> rind extracts, which have demonstrated </w:t>
      </w:r>
      <w:proofErr w:type="spellStart"/>
      <w:r w:rsidRPr="00BF28F4">
        <w:rPr>
          <w:rFonts w:ascii="Arial" w:hAnsi="Arial" w:cs="Arial"/>
        </w:rPr>
        <w:t>antihyperglycaemic</w:t>
      </w:r>
      <w:proofErr w:type="spellEnd"/>
      <w:r w:rsidRPr="00BF28F4">
        <w:rPr>
          <w:rFonts w:ascii="Arial" w:hAnsi="Arial" w:cs="Arial"/>
        </w:rPr>
        <w:t xml:space="preserve"> and lipid-modulating activities in experimental diabetic models (Owo &amp; Beresford, 2020), while the reported bioactive constituents of </w:t>
      </w:r>
      <w:r w:rsidRPr="00BF28F4">
        <w:rPr>
          <w:rFonts w:ascii="Arial" w:hAnsi="Arial" w:cs="Arial"/>
          <w:i/>
          <w:iCs/>
        </w:rPr>
        <w:t>C. sativus</w:t>
      </w:r>
      <w:r w:rsidRPr="00BF28F4">
        <w:rPr>
          <w:rFonts w:ascii="Arial" w:hAnsi="Arial" w:cs="Arial"/>
        </w:rPr>
        <w:t xml:space="preserve"> have also been associated with glucose- and lipid-lowering effects (</w:t>
      </w:r>
      <w:proofErr w:type="spellStart"/>
      <w:r w:rsidRPr="00BF28F4">
        <w:rPr>
          <w:rFonts w:ascii="Arial" w:hAnsi="Arial" w:cs="Arial"/>
        </w:rPr>
        <w:t>Uthpala</w:t>
      </w:r>
      <w:proofErr w:type="spellEnd"/>
      <w:r w:rsidRPr="00BF28F4">
        <w:rPr>
          <w:rFonts w:ascii="Arial" w:hAnsi="Arial" w:cs="Arial"/>
        </w:rPr>
        <w:t xml:space="preserve"> </w:t>
      </w:r>
      <w:r w:rsidR="003E416C" w:rsidRPr="00BF28F4">
        <w:rPr>
          <w:rFonts w:ascii="Arial" w:hAnsi="Arial" w:cs="Arial"/>
          <w:i/>
          <w:iCs/>
        </w:rPr>
        <w:t>et al</w:t>
      </w:r>
      <w:r w:rsidRPr="00BF28F4">
        <w:rPr>
          <w:rFonts w:ascii="Arial" w:hAnsi="Arial" w:cs="Arial"/>
        </w:rPr>
        <w:t xml:space="preserve">., 2020; </w:t>
      </w:r>
      <w:proofErr w:type="spellStart"/>
      <w:r w:rsidRPr="00BF28F4">
        <w:rPr>
          <w:rFonts w:ascii="Arial" w:hAnsi="Arial" w:cs="Arial"/>
        </w:rPr>
        <w:t>Obembe</w:t>
      </w:r>
      <w:proofErr w:type="spellEnd"/>
      <w:r w:rsidRPr="00BF28F4">
        <w:rPr>
          <w:rFonts w:ascii="Arial" w:hAnsi="Arial" w:cs="Arial"/>
        </w:rPr>
        <w:t xml:space="preserve"> </w:t>
      </w:r>
      <w:r w:rsidR="003E416C" w:rsidRPr="00BF28F4">
        <w:rPr>
          <w:rFonts w:ascii="Arial" w:hAnsi="Arial" w:cs="Arial"/>
          <w:i/>
          <w:iCs/>
        </w:rPr>
        <w:t>et al</w:t>
      </w:r>
      <w:r w:rsidRPr="00BF28F4">
        <w:rPr>
          <w:rFonts w:ascii="Arial" w:hAnsi="Arial" w:cs="Arial"/>
        </w:rPr>
        <w:t>., 2023). These findings support the potential contribution of the identified phytochemicals to the metabolic effects of both rind extracts.</w:t>
      </w:r>
    </w:p>
    <w:p w14:paraId="615038FB" w14:textId="77777777" w:rsidR="00B53517" w:rsidRPr="00BF28F4" w:rsidRDefault="00B53517" w:rsidP="00B53517">
      <w:pPr>
        <w:pStyle w:val="Body"/>
        <w:spacing w:before="240"/>
        <w:rPr>
          <w:rFonts w:ascii="Arial" w:hAnsi="Arial" w:cs="Arial"/>
          <w:b/>
          <w:bCs/>
          <w:sz w:val="22"/>
          <w:szCs w:val="22"/>
        </w:rPr>
      </w:pPr>
      <w:r w:rsidRPr="00BF28F4">
        <w:rPr>
          <w:rFonts w:ascii="Arial" w:hAnsi="Arial" w:cs="Arial"/>
          <w:b/>
          <w:bCs/>
          <w:sz w:val="22"/>
          <w:szCs w:val="22"/>
        </w:rPr>
        <w:t>4.2. Effects of the Extracts on Fasting Blood Glucose Levels</w:t>
      </w:r>
    </w:p>
    <w:p w14:paraId="5DA6E81F" w14:textId="77777777" w:rsidR="00B53517" w:rsidRPr="00BF28F4" w:rsidRDefault="00B53517" w:rsidP="00B53517">
      <w:pPr>
        <w:pStyle w:val="Body"/>
        <w:spacing w:after="0"/>
        <w:rPr>
          <w:rFonts w:ascii="Arial" w:hAnsi="Arial" w:cs="Arial"/>
        </w:rPr>
      </w:pPr>
      <w:r w:rsidRPr="00BF28F4">
        <w:rPr>
          <w:rFonts w:ascii="Arial" w:hAnsi="Arial" w:cs="Arial"/>
        </w:rPr>
        <w:t xml:space="preserve">The reduction in fasting blood glucose following treatment with the rind extracts indicates improved carbohydrate homeostasis. Alloxan-induced β-cell damage reduces insulin secretion, thereby limiting peripheral glucose uptake and glycolytic </w:t>
      </w:r>
      <w:proofErr w:type="spellStart"/>
      <w:r w:rsidRPr="00BF28F4">
        <w:rPr>
          <w:rFonts w:ascii="Arial" w:hAnsi="Arial" w:cs="Arial"/>
        </w:rPr>
        <w:t>utilisation</w:t>
      </w:r>
      <w:proofErr w:type="spellEnd"/>
      <w:r w:rsidRPr="00BF28F4">
        <w:rPr>
          <w:rFonts w:ascii="Arial" w:hAnsi="Arial" w:cs="Arial"/>
        </w:rPr>
        <w:t xml:space="preserve"> while promoting hepatic glycogenolysis and gluconeogenesis. This increases blood glucose and shifts energy metabolism towards greater reliance on fatty acid oxidation (</w:t>
      </w:r>
      <w:r w:rsidR="00E85589" w:rsidRPr="00BF28F4">
        <w:rPr>
          <w:rFonts w:ascii="Arial" w:hAnsi="Arial" w:cs="Arial"/>
          <w:lang w:val="en-GB"/>
        </w:rPr>
        <w:t xml:space="preserve">Jaiyesimi </w:t>
      </w:r>
      <w:r w:rsidR="003E416C" w:rsidRPr="00BF28F4">
        <w:rPr>
          <w:rFonts w:ascii="Arial" w:hAnsi="Arial" w:cs="Arial"/>
          <w:i/>
          <w:iCs/>
        </w:rPr>
        <w:t>et al</w:t>
      </w:r>
      <w:r w:rsidRPr="00BF28F4">
        <w:rPr>
          <w:rFonts w:ascii="Arial" w:hAnsi="Arial" w:cs="Arial"/>
        </w:rPr>
        <w:t>., 20</w:t>
      </w:r>
      <w:r w:rsidR="00E85589" w:rsidRPr="00BF28F4">
        <w:rPr>
          <w:rFonts w:ascii="Arial" w:hAnsi="Arial" w:cs="Arial"/>
        </w:rPr>
        <w:t xml:space="preserve">20; </w:t>
      </w:r>
      <w:r w:rsidR="00E85589" w:rsidRPr="00BF28F4">
        <w:rPr>
          <w:rFonts w:ascii="Arial" w:hAnsi="Arial" w:cs="Arial"/>
          <w:lang w:val="en-GB"/>
        </w:rPr>
        <w:t xml:space="preserve">Palmer &amp; Clegg, 2022; Liu </w:t>
      </w:r>
      <w:r w:rsidR="003E416C" w:rsidRPr="00BF28F4">
        <w:rPr>
          <w:rFonts w:ascii="Arial" w:hAnsi="Arial" w:cs="Arial"/>
          <w:i/>
          <w:iCs/>
          <w:lang w:val="en-GB"/>
        </w:rPr>
        <w:t>et al</w:t>
      </w:r>
      <w:r w:rsidR="00E85589" w:rsidRPr="00BF28F4">
        <w:rPr>
          <w:rFonts w:ascii="Arial" w:hAnsi="Arial" w:cs="Arial"/>
          <w:lang w:val="en-GB"/>
        </w:rPr>
        <w:t>., 2025</w:t>
      </w:r>
      <w:r w:rsidRPr="00BF28F4">
        <w:rPr>
          <w:rFonts w:ascii="Arial" w:hAnsi="Arial" w:cs="Arial"/>
        </w:rPr>
        <w:t xml:space="preserve">). The glucose-lowering effects of </w:t>
      </w:r>
      <w:r w:rsidRPr="00BF28F4">
        <w:rPr>
          <w:rFonts w:ascii="Arial" w:hAnsi="Arial" w:cs="Arial"/>
          <w:i/>
          <w:iCs/>
        </w:rPr>
        <w:t>C. lanatus</w:t>
      </w:r>
      <w:r w:rsidRPr="00BF28F4">
        <w:rPr>
          <w:rFonts w:ascii="Arial" w:hAnsi="Arial" w:cs="Arial"/>
        </w:rPr>
        <w:t xml:space="preserve"> and </w:t>
      </w:r>
      <w:r w:rsidRPr="00BF28F4">
        <w:rPr>
          <w:rFonts w:ascii="Arial" w:hAnsi="Arial" w:cs="Arial"/>
          <w:i/>
          <w:iCs/>
        </w:rPr>
        <w:t>C. sativus</w:t>
      </w:r>
      <w:r w:rsidRPr="00BF28F4">
        <w:rPr>
          <w:rFonts w:ascii="Arial" w:hAnsi="Arial" w:cs="Arial"/>
        </w:rPr>
        <w:t xml:space="preserve"> may therefore reflect improved insulin action, enhanced peripheral glucose </w:t>
      </w:r>
      <w:proofErr w:type="spellStart"/>
      <w:r w:rsidRPr="00BF28F4">
        <w:rPr>
          <w:rFonts w:ascii="Arial" w:hAnsi="Arial" w:cs="Arial"/>
        </w:rPr>
        <w:t>utilisation</w:t>
      </w:r>
      <w:proofErr w:type="spellEnd"/>
      <w:r w:rsidRPr="00BF28F4">
        <w:rPr>
          <w:rFonts w:ascii="Arial" w:hAnsi="Arial" w:cs="Arial"/>
        </w:rPr>
        <w:t>, increased glycogen synthesis and reduced hepatic glucose output (</w:t>
      </w:r>
      <w:proofErr w:type="spellStart"/>
      <w:r w:rsidRPr="00BF28F4">
        <w:rPr>
          <w:rFonts w:ascii="Arial" w:hAnsi="Arial" w:cs="Arial"/>
        </w:rPr>
        <w:t>Uthpala</w:t>
      </w:r>
      <w:proofErr w:type="spellEnd"/>
      <w:r w:rsidRPr="00BF28F4">
        <w:rPr>
          <w:rFonts w:ascii="Arial" w:hAnsi="Arial" w:cs="Arial"/>
        </w:rPr>
        <w:t xml:space="preserve"> </w:t>
      </w:r>
      <w:r w:rsidR="003E416C" w:rsidRPr="00BF28F4">
        <w:rPr>
          <w:rFonts w:ascii="Arial" w:hAnsi="Arial" w:cs="Arial"/>
          <w:i/>
          <w:iCs/>
        </w:rPr>
        <w:t>et al</w:t>
      </w:r>
      <w:r w:rsidRPr="00BF28F4">
        <w:rPr>
          <w:rFonts w:ascii="Arial" w:hAnsi="Arial" w:cs="Arial"/>
        </w:rPr>
        <w:t xml:space="preserve">., 2020; </w:t>
      </w:r>
      <w:proofErr w:type="spellStart"/>
      <w:r w:rsidRPr="00BF28F4">
        <w:rPr>
          <w:rFonts w:ascii="Arial" w:hAnsi="Arial" w:cs="Arial"/>
        </w:rPr>
        <w:t>Ezekwe</w:t>
      </w:r>
      <w:proofErr w:type="spellEnd"/>
      <w:r w:rsidRPr="00BF28F4">
        <w:rPr>
          <w:rFonts w:ascii="Arial" w:hAnsi="Arial" w:cs="Arial"/>
        </w:rPr>
        <w:t xml:space="preserve"> </w:t>
      </w:r>
      <w:r w:rsidR="003E416C" w:rsidRPr="00BF28F4">
        <w:rPr>
          <w:rFonts w:ascii="Arial" w:hAnsi="Arial" w:cs="Arial"/>
          <w:i/>
          <w:iCs/>
        </w:rPr>
        <w:t>et al</w:t>
      </w:r>
      <w:r w:rsidRPr="00BF28F4">
        <w:rPr>
          <w:rFonts w:ascii="Arial" w:hAnsi="Arial" w:cs="Arial"/>
        </w:rPr>
        <w:t>., 2020</w:t>
      </w:r>
      <w:r w:rsidR="00D611E7" w:rsidRPr="00BF28F4">
        <w:rPr>
          <w:rFonts w:ascii="Arial" w:hAnsi="Arial" w:cs="Arial"/>
        </w:rPr>
        <w:t xml:space="preserve">; </w:t>
      </w:r>
      <w:proofErr w:type="spellStart"/>
      <w:r w:rsidR="00D611E7" w:rsidRPr="00BF28F4">
        <w:rPr>
          <w:rFonts w:ascii="Arial" w:hAnsi="Arial" w:cs="Arial"/>
          <w:lang w:val="en-GB"/>
        </w:rPr>
        <w:t>Enyindah</w:t>
      </w:r>
      <w:proofErr w:type="spellEnd"/>
      <w:r w:rsidR="00D611E7" w:rsidRPr="00BF28F4">
        <w:rPr>
          <w:rFonts w:ascii="Arial" w:hAnsi="Arial" w:cs="Arial"/>
          <w:lang w:val="en-GB"/>
        </w:rPr>
        <w:t xml:space="preserve"> &amp; Owo, 2026</w:t>
      </w:r>
      <w:r w:rsidRPr="00BF28F4">
        <w:rPr>
          <w:rFonts w:ascii="Arial" w:hAnsi="Arial" w:cs="Arial"/>
        </w:rPr>
        <w:t xml:space="preserve">). The greater response to the combined extract suggests complementary actions of their bioactive constituents on carbohydrate </w:t>
      </w:r>
      <w:proofErr w:type="spellStart"/>
      <w:r w:rsidRPr="00BF28F4">
        <w:rPr>
          <w:rFonts w:ascii="Arial" w:hAnsi="Arial" w:cs="Arial"/>
        </w:rPr>
        <w:t>utilisation</w:t>
      </w:r>
      <w:proofErr w:type="spellEnd"/>
      <w:r w:rsidRPr="00BF28F4">
        <w:rPr>
          <w:rFonts w:ascii="Arial" w:hAnsi="Arial" w:cs="Arial"/>
        </w:rPr>
        <w:t xml:space="preserve"> and energy metabolism (Uro-Chukwu </w:t>
      </w:r>
      <w:r w:rsidR="003E416C" w:rsidRPr="00BF28F4">
        <w:rPr>
          <w:rFonts w:ascii="Arial" w:hAnsi="Arial" w:cs="Arial"/>
          <w:i/>
          <w:iCs/>
        </w:rPr>
        <w:t>et al</w:t>
      </w:r>
      <w:r w:rsidRPr="00BF28F4">
        <w:rPr>
          <w:rFonts w:ascii="Arial" w:hAnsi="Arial" w:cs="Arial"/>
        </w:rPr>
        <w:t xml:space="preserve">., 2024; Atta </w:t>
      </w:r>
      <w:r w:rsidR="003E416C" w:rsidRPr="00BF28F4">
        <w:rPr>
          <w:rFonts w:ascii="Arial" w:hAnsi="Arial" w:cs="Arial"/>
          <w:i/>
          <w:iCs/>
        </w:rPr>
        <w:t>et al</w:t>
      </w:r>
      <w:r w:rsidRPr="00BF28F4">
        <w:rPr>
          <w:rFonts w:ascii="Arial" w:hAnsi="Arial" w:cs="Arial"/>
        </w:rPr>
        <w:t>., 2020).</w:t>
      </w:r>
    </w:p>
    <w:p w14:paraId="6723DF86" w14:textId="77777777" w:rsidR="00B53517" w:rsidRPr="00BF28F4" w:rsidRDefault="00B53517" w:rsidP="00B53517">
      <w:pPr>
        <w:pStyle w:val="Body"/>
        <w:spacing w:after="0"/>
        <w:rPr>
          <w:rFonts w:ascii="Arial" w:hAnsi="Arial" w:cs="Arial"/>
          <w:sz w:val="22"/>
          <w:szCs w:val="22"/>
        </w:rPr>
      </w:pPr>
    </w:p>
    <w:p w14:paraId="664317F4" w14:textId="77777777" w:rsidR="00B53517" w:rsidRPr="00BF28F4" w:rsidRDefault="00B53517" w:rsidP="00B53517">
      <w:pPr>
        <w:pStyle w:val="Body"/>
        <w:spacing w:after="0"/>
        <w:rPr>
          <w:rFonts w:ascii="Arial" w:hAnsi="Arial" w:cs="Arial"/>
          <w:b/>
          <w:bCs/>
          <w:sz w:val="22"/>
          <w:szCs w:val="22"/>
        </w:rPr>
      </w:pPr>
      <w:r w:rsidRPr="00BF28F4">
        <w:rPr>
          <w:rFonts w:ascii="Arial" w:hAnsi="Arial" w:cs="Arial"/>
          <w:b/>
          <w:bCs/>
          <w:sz w:val="22"/>
          <w:szCs w:val="22"/>
        </w:rPr>
        <w:t>4.3. Effects of the Extracts on Serum Lipid Profile</w:t>
      </w:r>
    </w:p>
    <w:p w14:paraId="36FAEAA5" w14:textId="77777777" w:rsidR="00B53517" w:rsidRPr="00BF28F4" w:rsidRDefault="00B53517" w:rsidP="00B53517">
      <w:pPr>
        <w:pStyle w:val="Body"/>
        <w:spacing w:after="0"/>
        <w:rPr>
          <w:rFonts w:ascii="Arial" w:hAnsi="Arial" w:cs="Arial"/>
          <w:b/>
          <w:bCs/>
        </w:rPr>
      </w:pPr>
    </w:p>
    <w:p w14:paraId="53089135" w14:textId="77777777" w:rsidR="00B53517" w:rsidRPr="00BF28F4" w:rsidRDefault="00B53517" w:rsidP="00B53517">
      <w:pPr>
        <w:pStyle w:val="Body"/>
        <w:spacing w:after="0"/>
        <w:rPr>
          <w:rFonts w:ascii="Arial" w:hAnsi="Arial" w:cs="Arial"/>
        </w:rPr>
      </w:pPr>
      <w:r w:rsidRPr="00BF28F4">
        <w:rPr>
          <w:rFonts w:ascii="Arial" w:hAnsi="Arial" w:cs="Arial"/>
        </w:rPr>
        <w:t xml:space="preserve">The </w:t>
      </w:r>
      <w:proofErr w:type="spellStart"/>
      <w:r w:rsidRPr="00BF28F4">
        <w:rPr>
          <w:rFonts w:ascii="Arial" w:hAnsi="Arial" w:cs="Arial"/>
        </w:rPr>
        <w:t>dyslipidaemia</w:t>
      </w:r>
      <w:proofErr w:type="spellEnd"/>
      <w:r w:rsidRPr="00BF28F4">
        <w:rPr>
          <w:rFonts w:ascii="Arial" w:hAnsi="Arial" w:cs="Arial"/>
        </w:rPr>
        <w:t xml:space="preserve"> observed in the diabetic control group reflects disruption of normal energy metabolism associated with insulin deficiency. Reduced insulin action promotes adipose lipolysis and increases the release of fatty acids for hepatic uptake, where they are </w:t>
      </w:r>
      <w:proofErr w:type="spellStart"/>
      <w:r w:rsidRPr="00BF28F4">
        <w:rPr>
          <w:rFonts w:ascii="Arial" w:hAnsi="Arial" w:cs="Arial"/>
        </w:rPr>
        <w:t>utilised</w:t>
      </w:r>
      <w:proofErr w:type="spellEnd"/>
      <w:r w:rsidRPr="00BF28F4">
        <w:rPr>
          <w:rFonts w:ascii="Arial" w:hAnsi="Arial" w:cs="Arial"/>
        </w:rPr>
        <w:t xml:space="preserve"> for triglyceride synthesis and VLDL production. Treatment with the extracts improved the lipid profile, suggesting better regulation of fatty acid </w:t>
      </w:r>
      <w:proofErr w:type="spellStart"/>
      <w:r w:rsidRPr="00BF28F4">
        <w:rPr>
          <w:rFonts w:ascii="Arial" w:hAnsi="Arial" w:cs="Arial"/>
        </w:rPr>
        <w:t>utilisation</w:t>
      </w:r>
      <w:proofErr w:type="spellEnd"/>
      <w:r w:rsidRPr="00BF28F4">
        <w:rPr>
          <w:rFonts w:ascii="Arial" w:hAnsi="Arial" w:cs="Arial"/>
        </w:rPr>
        <w:t xml:space="preserve"> and storage and restoration of metabolic balance (Zhang </w:t>
      </w:r>
      <w:r w:rsidR="003E416C" w:rsidRPr="00BF28F4">
        <w:rPr>
          <w:rFonts w:ascii="Arial" w:hAnsi="Arial" w:cs="Arial"/>
          <w:i/>
          <w:iCs/>
        </w:rPr>
        <w:t>et al</w:t>
      </w:r>
      <w:r w:rsidRPr="00BF28F4">
        <w:rPr>
          <w:rFonts w:ascii="Arial" w:hAnsi="Arial" w:cs="Arial"/>
        </w:rPr>
        <w:t xml:space="preserve">., 2022). The effects of </w:t>
      </w:r>
      <w:r w:rsidRPr="00BF28F4">
        <w:rPr>
          <w:rFonts w:ascii="Arial" w:hAnsi="Arial" w:cs="Arial"/>
          <w:i/>
          <w:iCs/>
        </w:rPr>
        <w:t>C. lanatus</w:t>
      </w:r>
      <w:r w:rsidRPr="00BF28F4">
        <w:rPr>
          <w:rFonts w:ascii="Arial" w:hAnsi="Arial" w:cs="Arial"/>
        </w:rPr>
        <w:t xml:space="preserve"> may be related to its flavonoids, lycopene and other bioactive compounds, while </w:t>
      </w:r>
      <w:r w:rsidRPr="00BF28F4">
        <w:rPr>
          <w:rFonts w:ascii="Arial" w:hAnsi="Arial" w:cs="Arial"/>
          <w:i/>
          <w:iCs/>
        </w:rPr>
        <w:t>C. sativus</w:t>
      </w:r>
      <w:r w:rsidRPr="00BF28F4">
        <w:rPr>
          <w:rFonts w:ascii="Arial" w:hAnsi="Arial" w:cs="Arial"/>
        </w:rPr>
        <w:t xml:space="preserve"> may act through flavonoids, phytosterols and phenolic constituents that influence lipid synthesis, oxidation and cholesterol metabolism (</w:t>
      </w:r>
      <w:proofErr w:type="spellStart"/>
      <w:r w:rsidRPr="00BF28F4">
        <w:rPr>
          <w:rFonts w:ascii="Arial" w:hAnsi="Arial" w:cs="Arial"/>
        </w:rPr>
        <w:t>Rejali</w:t>
      </w:r>
      <w:proofErr w:type="spellEnd"/>
      <w:r w:rsidRPr="00BF28F4">
        <w:rPr>
          <w:rFonts w:ascii="Arial" w:hAnsi="Arial" w:cs="Arial"/>
        </w:rPr>
        <w:t xml:space="preserve"> </w:t>
      </w:r>
      <w:r w:rsidR="003E416C" w:rsidRPr="00BF28F4">
        <w:rPr>
          <w:rFonts w:ascii="Arial" w:hAnsi="Arial" w:cs="Arial"/>
          <w:i/>
          <w:iCs/>
        </w:rPr>
        <w:t>et al</w:t>
      </w:r>
      <w:r w:rsidRPr="00BF28F4">
        <w:rPr>
          <w:rFonts w:ascii="Arial" w:hAnsi="Arial" w:cs="Arial"/>
        </w:rPr>
        <w:t xml:space="preserve">., 2022; </w:t>
      </w:r>
      <w:proofErr w:type="spellStart"/>
      <w:r w:rsidRPr="00BF28F4">
        <w:rPr>
          <w:rFonts w:ascii="Arial" w:hAnsi="Arial" w:cs="Arial"/>
        </w:rPr>
        <w:t>Obembe</w:t>
      </w:r>
      <w:proofErr w:type="spellEnd"/>
      <w:r w:rsidRPr="00BF28F4">
        <w:rPr>
          <w:rFonts w:ascii="Arial" w:hAnsi="Arial" w:cs="Arial"/>
        </w:rPr>
        <w:t xml:space="preserve"> </w:t>
      </w:r>
      <w:r w:rsidR="003E416C" w:rsidRPr="00BF28F4">
        <w:rPr>
          <w:rFonts w:ascii="Arial" w:hAnsi="Arial" w:cs="Arial"/>
          <w:i/>
          <w:iCs/>
        </w:rPr>
        <w:t>et al</w:t>
      </w:r>
      <w:r w:rsidRPr="00BF28F4">
        <w:rPr>
          <w:rFonts w:ascii="Arial" w:hAnsi="Arial" w:cs="Arial"/>
        </w:rPr>
        <w:t xml:space="preserve">., 2023). The superior response to the combined extract may reflect complementary effects on carbohydrate </w:t>
      </w:r>
      <w:proofErr w:type="spellStart"/>
      <w:r w:rsidRPr="00BF28F4">
        <w:rPr>
          <w:rFonts w:ascii="Arial" w:hAnsi="Arial" w:cs="Arial"/>
        </w:rPr>
        <w:t>utilisation</w:t>
      </w:r>
      <w:proofErr w:type="spellEnd"/>
      <w:r w:rsidRPr="00BF28F4">
        <w:rPr>
          <w:rFonts w:ascii="Arial" w:hAnsi="Arial" w:cs="Arial"/>
        </w:rPr>
        <w:t xml:space="preserve">, fatty acid metabolism and overall energy homeostasis. Metformin produced the greatest improvement, consistent with its effects on insulin sensitivity and hepatic energy metabolism through AMPK-related pathways (Szymczak-Pajor </w:t>
      </w:r>
      <w:r w:rsidR="003E416C" w:rsidRPr="00BF28F4">
        <w:rPr>
          <w:rFonts w:ascii="Arial" w:hAnsi="Arial" w:cs="Arial"/>
          <w:i/>
          <w:iCs/>
        </w:rPr>
        <w:t>et al</w:t>
      </w:r>
      <w:r w:rsidRPr="00BF28F4">
        <w:rPr>
          <w:rFonts w:ascii="Arial" w:hAnsi="Arial" w:cs="Arial"/>
        </w:rPr>
        <w:t>., 2022).</w:t>
      </w:r>
    </w:p>
    <w:p w14:paraId="0AB79338" w14:textId="77777777" w:rsidR="001B412B" w:rsidRPr="00BF28F4" w:rsidRDefault="001B412B" w:rsidP="00B53517">
      <w:pPr>
        <w:pStyle w:val="Body"/>
        <w:spacing w:after="0"/>
        <w:rPr>
          <w:rFonts w:ascii="Arial" w:hAnsi="Arial" w:cs="Arial"/>
        </w:rPr>
      </w:pPr>
    </w:p>
    <w:p w14:paraId="3F979393" w14:textId="77777777" w:rsidR="001B412B" w:rsidRPr="00BF28F4" w:rsidRDefault="001B412B" w:rsidP="00B53517">
      <w:pPr>
        <w:pStyle w:val="Body"/>
        <w:spacing w:after="0"/>
        <w:rPr>
          <w:rFonts w:ascii="Arial" w:hAnsi="Arial" w:cs="Arial"/>
          <w:b/>
          <w:bCs/>
        </w:rPr>
      </w:pPr>
      <w:r w:rsidRPr="00BF28F4">
        <w:rPr>
          <w:rFonts w:ascii="Arial" w:hAnsi="Arial" w:cs="Arial"/>
          <w:b/>
          <w:bCs/>
        </w:rPr>
        <w:t>4.4. Acute Toxicity of Extracts</w:t>
      </w:r>
    </w:p>
    <w:p w14:paraId="35054C23" w14:textId="77777777" w:rsidR="001B412B" w:rsidRPr="00BF28F4" w:rsidRDefault="001B412B" w:rsidP="00B53517">
      <w:pPr>
        <w:pStyle w:val="Body"/>
        <w:spacing w:after="0"/>
        <w:rPr>
          <w:rFonts w:ascii="Arial" w:hAnsi="Arial" w:cs="Arial"/>
        </w:rPr>
      </w:pPr>
    </w:p>
    <w:p w14:paraId="2746BD79" w14:textId="77777777" w:rsidR="001B412B" w:rsidRPr="00BF28F4" w:rsidRDefault="001B412B" w:rsidP="00B53517">
      <w:pPr>
        <w:pStyle w:val="Body"/>
        <w:spacing w:after="0"/>
        <w:rPr>
          <w:rFonts w:ascii="Arial" w:hAnsi="Arial" w:cs="Arial"/>
        </w:rPr>
      </w:pPr>
      <w:r w:rsidRPr="00BF28F4">
        <w:rPr>
          <w:rFonts w:ascii="Arial" w:hAnsi="Arial" w:cs="Arial"/>
        </w:rPr>
        <w:t xml:space="preserve">The acute toxicity results showed that no mortality occurred in rats administered </w:t>
      </w:r>
      <w:r w:rsidRPr="00BF28F4">
        <w:rPr>
          <w:rFonts w:ascii="Arial" w:hAnsi="Arial" w:cs="Arial"/>
          <w:i/>
          <w:iCs/>
        </w:rPr>
        <w:t>C. sativus</w:t>
      </w:r>
      <w:r w:rsidRPr="00BF28F4">
        <w:rPr>
          <w:rFonts w:ascii="Arial" w:hAnsi="Arial" w:cs="Arial"/>
        </w:rPr>
        <w:t xml:space="preserve"> and </w:t>
      </w:r>
      <w:r w:rsidRPr="00BF28F4">
        <w:rPr>
          <w:rFonts w:ascii="Arial" w:hAnsi="Arial" w:cs="Arial"/>
          <w:i/>
          <w:iCs/>
        </w:rPr>
        <w:t>C. lanatus</w:t>
      </w:r>
      <w:r w:rsidRPr="00BF28F4">
        <w:rPr>
          <w:rFonts w:ascii="Arial" w:hAnsi="Arial" w:cs="Arial"/>
        </w:rPr>
        <w:t xml:space="preserve"> rind extracts at doses ranging from 1,000 to 5,000 mg/kg body weight, suggesting low observed acute lethality under the experimental conditions. This finding is consistent with </w:t>
      </w:r>
      <w:proofErr w:type="spellStart"/>
      <w:r w:rsidRPr="00BF28F4">
        <w:rPr>
          <w:rFonts w:ascii="Arial" w:hAnsi="Arial" w:cs="Arial"/>
        </w:rPr>
        <w:t>Ebhohon</w:t>
      </w:r>
      <w:proofErr w:type="spellEnd"/>
      <w:r w:rsidRPr="00BF28F4">
        <w:rPr>
          <w:rFonts w:ascii="Arial" w:hAnsi="Arial" w:cs="Arial"/>
        </w:rPr>
        <w:t xml:space="preserve"> et al. (2023), who reported an oral median lethal dose (LD</w:t>
      </w:r>
      <w:r w:rsidRPr="00BF28F4">
        <w:rPr>
          <w:rFonts w:ascii="Cambria Math" w:hAnsi="Cambria Math" w:cs="Cambria Math"/>
        </w:rPr>
        <w:t>₅₀</w:t>
      </w:r>
      <w:r w:rsidRPr="00BF28F4">
        <w:rPr>
          <w:rFonts w:ascii="Arial" w:hAnsi="Arial" w:cs="Arial"/>
        </w:rPr>
        <w:t xml:space="preserve">) greater than 5,000 mg/kg for a methanol extract of C. lanatus rind, and Kothari et al. (2018), who reported no mortality following administration of a </w:t>
      </w:r>
      <w:proofErr w:type="spellStart"/>
      <w:r w:rsidRPr="00BF28F4">
        <w:rPr>
          <w:rFonts w:ascii="Arial" w:hAnsi="Arial" w:cs="Arial"/>
        </w:rPr>
        <w:t>standardised</w:t>
      </w:r>
      <w:proofErr w:type="spellEnd"/>
      <w:r w:rsidRPr="00BF28F4">
        <w:rPr>
          <w:rFonts w:ascii="Arial" w:hAnsi="Arial" w:cs="Arial"/>
        </w:rPr>
        <w:t xml:space="preserve"> cucumber extract at 2,000 mg/kg in rats. These findings are also consistent with the acute oral toxicity testing guidelines of the </w:t>
      </w:r>
      <w:proofErr w:type="spellStart"/>
      <w:r w:rsidRPr="00BF28F4">
        <w:rPr>
          <w:rFonts w:ascii="Arial" w:hAnsi="Arial" w:cs="Arial"/>
        </w:rPr>
        <w:t>Organisation</w:t>
      </w:r>
      <w:proofErr w:type="spellEnd"/>
      <w:r w:rsidRPr="00BF28F4">
        <w:rPr>
          <w:rFonts w:ascii="Arial" w:hAnsi="Arial" w:cs="Arial"/>
        </w:rPr>
        <w:t xml:space="preserve"> for Economic Co-operation and Development (OECD, 2002), which describe procedures for evaluating acute toxicity using limit-dose approaches. However, the absence of mortality does not establish complete safety, as biochemical alterations, </w:t>
      </w:r>
      <w:proofErr w:type="spellStart"/>
      <w:r w:rsidRPr="00BF28F4">
        <w:rPr>
          <w:rFonts w:ascii="Arial" w:hAnsi="Arial" w:cs="Arial"/>
        </w:rPr>
        <w:t>haematological</w:t>
      </w:r>
      <w:proofErr w:type="spellEnd"/>
      <w:r w:rsidRPr="00BF28F4">
        <w:rPr>
          <w:rFonts w:ascii="Arial" w:hAnsi="Arial" w:cs="Arial"/>
        </w:rPr>
        <w:t xml:space="preserve"> abnormalities or tissue damage may occur without death; therefore, further toxicological assessments are necessary to evaluate the effects of repeated exposure.</w:t>
      </w:r>
    </w:p>
    <w:p w14:paraId="5FDF8DDE" w14:textId="77777777" w:rsidR="00DB7D18" w:rsidRPr="00BF28F4" w:rsidRDefault="00DB7D18" w:rsidP="00441B6F">
      <w:pPr>
        <w:pStyle w:val="Body"/>
        <w:spacing w:after="0"/>
        <w:rPr>
          <w:rFonts w:ascii="Arial" w:hAnsi="Arial" w:cs="Arial"/>
        </w:rPr>
      </w:pPr>
    </w:p>
    <w:p w14:paraId="1E525F5B" w14:textId="77777777" w:rsidR="00DB7D18" w:rsidRPr="00BF28F4" w:rsidRDefault="00DB7D18" w:rsidP="00DB7D18">
      <w:pPr>
        <w:pStyle w:val="ConcHead"/>
        <w:spacing w:after="0"/>
        <w:jc w:val="both"/>
        <w:rPr>
          <w:rFonts w:ascii="Arial" w:hAnsi="Arial" w:cs="Arial"/>
        </w:rPr>
      </w:pPr>
      <w:r w:rsidRPr="00BF28F4">
        <w:rPr>
          <w:rFonts w:ascii="Arial" w:hAnsi="Arial" w:cs="Arial"/>
        </w:rPr>
        <w:t>5. Conclusion</w:t>
      </w:r>
    </w:p>
    <w:p w14:paraId="5920FA80" w14:textId="77777777" w:rsidR="00DB7D18" w:rsidRPr="00BF28F4" w:rsidRDefault="00DB7D18" w:rsidP="00DB7D18">
      <w:pPr>
        <w:pStyle w:val="ConcHead"/>
        <w:spacing w:after="0"/>
        <w:jc w:val="both"/>
        <w:rPr>
          <w:rFonts w:ascii="Arial" w:hAnsi="Arial" w:cs="Arial"/>
        </w:rPr>
      </w:pPr>
    </w:p>
    <w:p w14:paraId="6136F589" w14:textId="5CECB5BC" w:rsidR="00B53517" w:rsidRPr="00BF28F4" w:rsidRDefault="00BF28F4" w:rsidP="00B53517">
      <w:pPr>
        <w:pStyle w:val="Body"/>
        <w:spacing w:after="0"/>
        <w:rPr>
          <w:rFonts w:ascii="Arial" w:hAnsi="Arial" w:cs="Arial"/>
        </w:rPr>
      </w:pPr>
      <w:r w:rsidRPr="00BF28F4">
        <w:rPr>
          <w:rFonts w:ascii="Arial" w:hAnsi="Arial" w:cs="Arial"/>
        </w:rPr>
        <w:t xml:space="preserve">The findings of this study indicate that methanolic rind extracts of Cucumis sativus and Citrullus lanatus were associated with improvements in fasting blood glucose and serum lipid indices in alloxan-induced diabetic Wistar rats during the 21-day treatment period. Both extracts administered individually reduced fasting blood glucose, total cholesterol, low-density lipoprotein cholesterol and triglycerides relative to the untreated diabetic control, while high-density lipoprotein cholesterol increased. The combination of the two extracts produced greater changes in these measured parameters than either extract alone, although metformin generally yielded the most </w:t>
      </w:r>
      <w:proofErr w:type="spellStart"/>
      <w:r w:rsidRPr="00BF28F4">
        <w:rPr>
          <w:rFonts w:ascii="Arial" w:hAnsi="Arial" w:cs="Arial"/>
        </w:rPr>
        <w:t>favourable</w:t>
      </w:r>
      <w:proofErr w:type="spellEnd"/>
      <w:r w:rsidRPr="00BF28F4">
        <w:rPr>
          <w:rFonts w:ascii="Arial" w:hAnsi="Arial" w:cs="Arial"/>
        </w:rPr>
        <w:t xml:space="preserve"> results. Qualitative screening detected alkaloids, </w:t>
      </w:r>
      <w:r w:rsidRPr="00BF28F4">
        <w:rPr>
          <w:rFonts w:ascii="Arial" w:hAnsi="Arial" w:cs="Arial"/>
        </w:rPr>
        <w:lastRenderedPageBreak/>
        <w:t>flavonoids, tannins, saponins, phenols and terpenoids, but the study did not establish which constituents were responsible for the observed responses or how they acted. The acute-toxicity observations revealed no mortality at the doses tested; however, this finding alone cannot establish long-term safety. Overall, these results provide preliminary experimental support for further investigation of the combined rind extracts as potential complementary agents for diabetes-associated metabolic abnormalities. Confirmatory studies should establish the active constituents, assess mechanisms and evaluate longer-term efficacy and safety before any clinical relevance is inferred.</w:t>
      </w:r>
    </w:p>
    <w:p w14:paraId="20D95C7F" w14:textId="77777777" w:rsidR="00EC1B43" w:rsidRDefault="00EC1B43" w:rsidP="00441B6F">
      <w:pPr>
        <w:pStyle w:val="ReferHead"/>
        <w:spacing w:after="0"/>
        <w:jc w:val="both"/>
        <w:rPr>
          <w:rFonts w:ascii="Arial" w:hAnsi="Arial" w:cs="Arial"/>
          <w:b w:val="0"/>
          <w:caps w:val="0"/>
          <w:sz w:val="20"/>
        </w:rPr>
      </w:pPr>
    </w:p>
    <w:p w14:paraId="5458045E" w14:textId="1384094E" w:rsidR="00BF28F4" w:rsidRPr="00BF28F4" w:rsidRDefault="00BF28F4" w:rsidP="00441B6F">
      <w:pPr>
        <w:pStyle w:val="ReferHead"/>
        <w:spacing w:after="0"/>
        <w:jc w:val="both"/>
        <w:rPr>
          <w:rFonts w:ascii="Arial" w:hAnsi="Arial" w:cs="Arial"/>
          <w:bCs/>
          <w:caps w:val="0"/>
          <w:sz w:val="24"/>
          <w:szCs w:val="24"/>
        </w:rPr>
      </w:pPr>
      <w:r w:rsidRPr="00BF28F4">
        <w:rPr>
          <w:rFonts w:ascii="Arial" w:hAnsi="Arial" w:cs="Arial"/>
          <w:bCs/>
          <w:caps w:val="0"/>
          <w:sz w:val="24"/>
          <w:szCs w:val="24"/>
        </w:rPr>
        <w:t>Limitations</w:t>
      </w:r>
    </w:p>
    <w:p w14:paraId="19CFD9C9" w14:textId="77777777" w:rsidR="00BF28F4" w:rsidRDefault="00BF28F4" w:rsidP="00441B6F">
      <w:pPr>
        <w:pStyle w:val="ReferHead"/>
        <w:spacing w:after="0"/>
        <w:jc w:val="both"/>
        <w:rPr>
          <w:rFonts w:ascii="Arial" w:hAnsi="Arial" w:cs="Arial"/>
          <w:b w:val="0"/>
          <w:caps w:val="0"/>
          <w:sz w:val="20"/>
        </w:rPr>
      </w:pPr>
    </w:p>
    <w:p w14:paraId="72A54BCA" w14:textId="59BCD3CE" w:rsidR="00BF28F4" w:rsidRPr="00BF28F4" w:rsidRDefault="00BF28F4" w:rsidP="00441B6F">
      <w:pPr>
        <w:pStyle w:val="ReferHead"/>
        <w:spacing w:after="0"/>
        <w:jc w:val="both"/>
        <w:rPr>
          <w:rFonts w:ascii="Arial" w:hAnsi="Arial" w:cs="Arial"/>
          <w:b w:val="0"/>
          <w:caps w:val="0"/>
          <w:sz w:val="20"/>
        </w:rPr>
      </w:pPr>
      <w:r w:rsidRPr="00BF28F4">
        <w:rPr>
          <w:rFonts w:ascii="Arial" w:hAnsi="Arial" w:cs="Arial"/>
          <w:b w:val="0"/>
          <w:caps w:val="0"/>
          <w:sz w:val="20"/>
        </w:rPr>
        <w:t>This study used an alloxan-induced diabetic rat model and a 21-day treatment period; therefore, the findings cannot be directly extrapolated to human diabetes or longer-term treatment. Phytochemical screening was qualitative and did not identify or quantify individual active constituents. The measured outcomes indicate changes in glucose and lipid indices but do not establish the mechanisms underlying these responses. Acute toxicity assessment focused on observed mortality and does not establish repeated-dose or long-term safety. Further studies are required to confirm the findings and investigate potential interactions between the extracts.</w:t>
      </w:r>
    </w:p>
    <w:p w14:paraId="4DBE30E7" w14:textId="77777777" w:rsidR="005C784C" w:rsidRPr="00BF28F4" w:rsidRDefault="005C784C" w:rsidP="00441B6F">
      <w:pPr>
        <w:pStyle w:val="ReferHead"/>
        <w:spacing w:after="0"/>
        <w:jc w:val="both"/>
        <w:rPr>
          <w:rFonts w:ascii="Arial" w:hAnsi="Arial" w:cs="Arial"/>
          <w:b w:val="0"/>
          <w:caps w:val="0"/>
          <w:sz w:val="20"/>
        </w:rPr>
      </w:pPr>
    </w:p>
    <w:p w14:paraId="1466F3AC" w14:textId="77777777" w:rsidR="00EC1B43" w:rsidRPr="00BF28F4" w:rsidRDefault="005C784C" w:rsidP="00441B6F">
      <w:pPr>
        <w:pStyle w:val="ReferHead"/>
        <w:spacing w:after="0"/>
        <w:jc w:val="both"/>
        <w:rPr>
          <w:rFonts w:ascii="Arial" w:hAnsi="Arial" w:cs="Arial"/>
          <w:bCs/>
        </w:rPr>
      </w:pPr>
      <w:r w:rsidRPr="00BF28F4">
        <w:rPr>
          <w:rFonts w:ascii="Arial" w:hAnsi="Arial" w:cs="Arial"/>
          <w:bCs/>
        </w:rPr>
        <w:t xml:space="preserve">Ethical approval </w:t>
      </w:r>
    </w:p>
    <w:p w14:paraId="4C9EDA96" w14:textId="77777777" w:rsidR="00EC1B43" w:rsidRPr="00BF28F4" w:rsidRDefault="00EC1B43" w:rsidP="00441B6F">
      <w:pPr>
        <w:pStyle w:val="ReferHead"/>
        <w:spacing w:after="0"/>
        <w:jc w:val="both"/>
        <w:rPr>
          <w:rFonts w:ascii="Arial" w:hAnsi="Arial" w:cs="Arial"/>
          <w:bCs/>
        </w:rPr>
      </w:pPr>
    </w:p>
    <w:p w14:paraId="053482D0" w14:textId="77777777" w:rsidR="00860000" w:rsidRPr="00BF28F4" w:rsidRDefault="00EC1B43" w:rsidP="00441B6F">
      <w:pPr>
        <w:pStyle w:val="ReferHead"/>
        <w:spacing w:after="0"/>
        <w:jc w:val="both"/>
        <w:rPr>
          <w:rFonts w:ascii="Arial" w:hAnsi="Arial" w:cs="Arial"/>
          <w:b w:val="0"/>
          <w:caps w:val="0"/>
          <w:sz w:val="20"/>
        </w:rPr>
      </w:pPr>
      <w:r w:rsidRPr="00BF28F4">
        <w:rPr>
          <w:rFonts w:ascii="Arial" w:hAnsi="Arial" w:cs="Arial"/>
          <w:b w:val="0"/>
          <w:caps w:val="0"/>
          <w:sz w:val="20"/>
        </w:rPr>
        <w:t xml:space="preserve">Ethical approval (Approval No. RSU/FBMS/REC/26/454) was obtained from the Research Ethics Committee, Faculty of Basic Medical Sciences, Rivers State University, Port Harcourt. All procedures complied with internationally accepted guidelines for the care and use of laboratory animals, with appropriate measures taken to </w:t>
      </w:r>
      <w:proofErr w:type="spellStart"/>
      <w:r w:rsidRPr="00BF28F4">
        <w:rPr>
          <w:rFonts w:ascii="Arial" w:hAnsi="Arial" w:cs="Arial"/>
          <w:b w:val="0"/>
          <w:caps w:val="0"/>
          <w:sz w:val="20"/>
        </w:rPr>
        <w:t>minimise</w:t>
      </w:r>
      <w:proofErr w:type="spellEnd"/>
      <w:r w:rsidRPr="00BF28F4">
        <w:rPr>
          <w:rFonts w:ascii="Arial" w:hAnsi="Arial" w:cs="Arial"/>
          <w:b w:val="0"/>
          <w:caps w:val="0"/>
          <w:sz w:val="20"/>
        </w:rPr>
        <w:t xml:space="preserve"> pain, distress, and unnecessary suffering. </w:t>
      </w:r>
    </w:p>
    <w:p w14:paraId="4A8B22A1" w14:textId="77777777" w:rsidR="006F4EBB" w:rsidRPr="00BF28F4" w:rsidRDefault="006F4EBB" w:rsidP="00441B6F">
      <w:pPr>
        <w:pStyle w:val="ReferHead"/>
        <w:spacing w:after="0"/>
        <w:jc w:val="both"/>
        <w:rPr>
          <w:rFonts w:ascii="Arial" w:hAnsi="Arial" w:cs="Arial"/>
          <w:b w:val="0"/>
          <w:caps w:val="0"/>
          <w:sz w:val="20"/>
        </w:rPr>
      </w:pPr>
    </w:p>
    <w:p w14:paraId="56BC55C0" w14:textId="77777777" w:rsidR="006F4EBB" w:rsidRPr="00BF28F4" w:rsidRDefault="006F4EBB" w:rsidP="006F4EBB">
      <w:pPr>
        <w:rPr>
          <w:rFonts w:ascii="Arial" w:eastAsia="Calibri" w:hAnsi="Arial" w:cs="Arial"/>
          <w:b/>
        </w:rPr>
      </w:pPr>
      <w:r w:rsidRPr="00BF28F4">
        <w:rPr>
          <w:rFonts w:ascii="Arial" w:eastAsia="Calibri" w:hAnsi="Arial" w:cs="Arial"/>
          <w:b/>
        </w:rPr>
        <w:t>Declaration of AI Use</w:t>
      </w:r>
    </w:p>
    <w:p w14:paraId="123289BC" w14:textId="77777777" w:rsidR="006F4EBB" w:rsidRPr="00BF28F4" w:rsidRDefault="006F4EBB" w:rsidP="006F4EBB">
      <w:pPr>
        <w:rPr>
          <w:rFonts w:ascii="Arial" w:eastAsia="Calibri" w:hAnsi="Arial" w:cs="Arial"/>
        </w:rPr>
      </w:pPr>
    </w:p>
    <w:p w14:paraId="37DAA2C0" w14:textId="77777777" w:rsidR="006F4EBB" w:rsidRPr="00BF28F4" w:rsidRDefault="006F4EBB" w:rsidP="006F4EBB">
      <w:pPr>
        <w:rPr>
          <w:rFonts w:ascii="Arial" w:eastAsia="Calibri" w:hAnsi="Arial" w:cs="Arial"/>
        </w:rPr>
      </w:pPr>
      <w:r w:rsidRPr="00BF28F4">
        <w:rPr>
          <w:rFonts w:ascii="Arial" w:eastAsia="Calibr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9A27518" w14:textId="77777777" w:rsidR="006F4EBB" w:rsidRPr="00BF28F4" w:rsidRDefault="006F4EBB" w:rsidP="006F4EBB">
      <w:pPr>
        <w:jc w:val="both"/>
        <w:rPr>
          <w:rFonts w:ascii="Times New Roman" w:eastAsia="Calibri" w:hAnsi="Times New Roman"/>
          <w:sz w:val="22"/>
          <w:szCs w:val="22"/>
        </w:rPr>
      </w:pPr>
    </w:p>
    <w:p w14:paraId="4872EF49" w14:textId="77777777" w:rsidR="006F4EBB" w:rsidRPr="00BF28F4" w:rsidRDefault="006F4EBB" w:rsidP="006F4EBB">
      <w:pPr>
        <w:jc w:val="both"/>
        <w:rPr>
          <w:rFonts w:ascii="Times New Roman" w:eastAsia="Calibri" w:hAnsi="Times New Roman"/>
          <w:sz w:val="22"/>
          <w:szCs w:val="22"/>
        </w:rPr>
      </w:pPr>
    </w:p>
    <w:p w14:paraId="7C52ADFD" w14:textId="77777777" w:rsidR="006F4EBB" w:rsidRPr="00BF28F4" w:rsidRDefault="006F4EBB" w:rsidP="006F4EBB">
      <w:pPr>
        <w:spacing w:after="200" w:line="276" w:lineRule="auto"/>
        <w:rPr>
          <w:rFonts w:ascii="Cambria" w:hAnsi="Cambria" w:cs="Arial"/>
          <w:b/>
          <w:bCs/>
          <w:sz w:val="22"/>
          <w:szCs w:val="22"/>
          <w:lang w:val="en-GB" w:eastAsia="en-GB"/>
        </w:rPr>
      </w:pPr>
      <w:r w:rsidRPr="00BF28F4">
        <w:rPr>
          <w:rFonts w:ascii="Cambria" w:hAnsi="Cambria" w:cs="Arial"/>
          <w:b/>
          <w:bCs/>
          <w:sz w:val="22"/>
          <w:szCs w:val="22"/>
          <w:lang w:val="en-GB" w:eastAsia="en-GB"/>
        </w:rPr>
        <w:t>COMPETING INTERESTS DISCLAIMER:</w:t>
      </w:r>
    </w:p>
    <w:p w14:paraId="0AE9C763" w14:textId="77777777" w:rsidR="006F4EBB" w:rsidRPr="00BF28F4" w:rsidRDefault="006F4EBB" w:rsidP="006F4EBB">
      <w:pPr>
        <w:spacing w:after="200" w:line="276" w:lineRule="auto"/>
        <w:rPr>
          <w:rFonts w:ascii="Cambria" w:hAnsi="Cambria"/>
          <w:sz w:val="22"/>
          <w:szCs w:val="22"/>
          <w:lang w:val="en-GB" w:eastAsia="en-GB"/>
        </w:rPr>
      </w:pPr>
      <w:r w:rsidRPr="00BF28F4">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4592D9D6" w14:textId="77777777" w:rsidR="006F4EBB" w:rsidRPr="00BF28F4" w:rsidRDefault="006F4EBB" w:rsidP="00441B6F">
      <w:pPr>
        <w:pStyle w:val="ReferHead"/>
        <w:spacing w:after="0"/>
        <w:jc w:val="both"/>
        <w:rPr>
          <w:rFonts w:ascii="Arial" w:hAnsi="Arial" w:cs="Arial"/>
          <w:b w:val="0"/>
          <w:caps w:val="0"/>
          <w:sz w:val="20"/>
        </w:rPr>
      </w:pPr>
    </w:p>
    <w:p w14:paraId="2DBBBB6A" w14:textId="77777777" w:rsidR="00EC1B43" w:rsidRPr="00BF28F4" w:rsidRDefault="00EC1B43" w:rsidP="00441B6F">
      <w:pPr>
        <w:pStyle w:val="ReferHead"/>
        <w:spacing w:after="0"/>
        <w:jc w:val="both"/>
        <w:rPr>
          <w:rFonts w:ascii="Arial" w:hAnsi="Arial" w:cs="Arial"/>
        </w:rPr>
      </w:pPr>
    </w:p>
    <w:p w14:paraId="16118EBA" w14:textId="77777777" w:rsidR="00B01FCD" w:rsidRPr="00BF28F4" w:rsidRDefault="00B01FCD" w:rsidP="00441B6F">
      <w:pPr>
        <w:pStyle w:val="ReferHead"/>
        <w:spacing w:after="0"/>
        <w:jc w:val="both"/>
        <w:rPr>
          <w:rFonts w:ascii="Arial" w:hAnsi="Arial" w:cs="Arial"/>
        </w:rPr>
      </w:pPr>
      <w:r w:rsidRPr="00BF28F4">
        <w:rPr>
          <w:rFonts w:ascii="Arial" w:hAnsi="Arial" w:cs="Arial"/>
        </w:rPr>
        <w:t>References</w:t>
      </w:r>
    </w:p>
    <w:p w14:paraId="3C89C885" w14:textId="77777777" w:rsidR="0033203B" w:rsidRPr="00BF28F4" w:rsidRDefault="0033203B" w:rsidP="00AF6391">
      <w:pPr>
        <w:spacing w:after="80" w:before="0"/>
        <w:ind w:left="360" w:hanging="360"/>
        <w:jc w:val="left"/>
        <w:rPr>
          <w:rFonts w:ascii="Arial" w:hAnsi="Arial" w:cs="Arial"/>
        </w:rPr>
      </w:pPr>
      <w:r>
        <w:t xml:space="preserve">Abbas, F., Ch, A. R., Hamid, K., Khan, F., Iqbal, M. W., &amp; Batul, M. (2025). </w:t>
      </w:r>
      <w:r>
        <w:t xml:space="preserve">Methanol extract of </w:t>
      </w:r>
      <w:r>
        <w:rPr>
          <w:i/>
        </w:rPr>
        <w:t>Cuumis sativus</w:t>
      </w:r>
      <w:r>
        <w:t xml:space="preserve"> peel exhibits anti-diabesity and anti-cancer activities in mice: An in vivo study</w:t>
      </w:r>
      <w:r>
        <w:t xml:space="preserve">. </w:t>
      </w:r>
      <w:r>
        <w:rPr>
          <w:i/>
        </w:rPr>
        <w:t>The Research of Medical Science Review</w:t>
      </w:r>
      <w:r>
        <w:t xml:space="preserve">, </w:t>
      </w:r>
      <w:r>
        <w:rPr>
          <w:i/>
        </w:rPr>
        <w:t>3</w:t>
      </w:r>
      <w:r>
        <w:t xml:space="preserve">(8), 1075–1087. </w:t>
      </w:r>
      <w:hyperlink r:id="rId34">
        <w:r>
          <w:rPr>
            <w:color w:val="0563C1"/>
            <w:u w:val="single"/>
          </w:rPr>
          <w:t>https://medicalsciencereview.com/index.php/Journal/article/view/1986</w:t>
        </w:r>
      </w:hyperlink>
    </w:p>
    <w:p w14:paraId="4C50A267" w14:textId="77777777" w:rsidR="0033203B" w:rsidRPr="00BF28F4" w:rsidRDefault="0033203B" w:rsidP="00AF6391">
      <w:pPr>
        <w:spacing w:after="80" w:before="0"/>
        <w:ind w:left="360" w:hanging="360"/>
        <w:jc w:val="left"/>
        <w:rPr>
          <w:rFonts w:ascii="Arial" w:hAnsi="Arial" w:cs="Arial"/>
        </w:rPr>
      </w:pPr>
      <w:r>
        <w:t xml:space="preserve">Abu-Hiamed, H. (2018). </w:t>
      </w:r>
      <w:r>
        <w:t>Hypocholesterolemic effects of watermelon fruit rind on rats</w:t>
      </w:r>
      <w:r>
        <w:t xml:space="preserve">. </w:t>
      </w:r>
      <w:r>
        <w:rPr>
          <w:i/>
        </w:rPr>
        <w:t>Nutrition &amp; Food Science</w:t>
      </w:r>
      <w:r>
        <w:t xml:space="preserve">, </w:t>
      </w:r>
      <w:r>
        <w:rPr>
          <w:i/>
        </w:rPr>
        <w:t>48</w:t>
      </w:r>
      <w:r>
        <w:t xml:space="preserve">(5), 836–845. </w:t>
      </w:r>
      <w:hyperlink r:id="rId35">
        <w:r>
          <w:rPr>
            <w:color w:val="0563C1"/>
            <w:u w:val="single"/>
          </w:rPr>
          <w:t>https://doi.org/10.1108/NFS-02-2018-0038</w:t>
        </w:r>
      </w:hyperlink>
    </w:p>
    <w:p w14:paraId="770B58EE" w14:textId="77777777" w:rsidR="008B5E56" w:rsidRPr="00BF28F4" w:rsidRDefault="00000000">
      <w:pPr>
        <w:spacing w:after="80" w:line="276" w:lineRule="auto" w:before="0"/>
        <w:ind w:left="360" w:hanging="360"/>
        <w:jc w:val="left"/>
      </w:pPr>
      <w:r>
        <w:t xml:space="preserve">Acun, S., Gül, H., &amp; Seyrekoğlu, F. (2025). </w:t>
      </w:r>
      <w:r>
        <w:t>Comprehensive analysis of physical, chemical, and phenolic acid properties of powders derived from watermelon (Crimson Sweet) by-products</w:t>
      </w:r>
      <w:r>
        <w:t xml:space="preserve">. </w:t>
      </w:r>
      <w:r>
        <w:rPr>
          <w:i/>
        </w:rPr>
        <w:t>Journal of Food Science</w:t>
      </w:r>
      <w:r>
        <w:t xml:space="preserve">, </w:t>
      </w:r>
      <w:r>
        <w:rPr>
          <w:i/>
        </w:rPr>
        <w:t>90</w:t>
      </w:r>
      <w:r>
        <w:t xml:space="preserve">(3), e70092. </w:t>
      </w:r>
      <w:hyperlink r:id="rId20">
        <w:r>
          <w:rPr>
            <w:color w:val="0563C1"/>
            <w:u w:val="single"/>
          </w:rPr>
          <w:t>https://doi.org/10.1111/1750-3841.70092</w:t>
        </w:r>
      </w:hyperlink>
    </w:p>
    <w:p w14:paraId="095FAA16" w14:textId="77777777" w:rsidR="0033203B" w:rsidRPr="00BF28F4" w:rsidRDefault="0033203B" w:rsidP="00AF6391">
      <w:pPr>
        <w:spacing w:after="80" w:before="0"/>
        <w:ind w:left="360" w:hanging="360"/>
        <w:jc w:val="left"/>
        <w:rPr>
          <w:rFonts w:ascii="Arial" w:hAnsi="Arial" w:cs="Arial"/>
          <w:lang w:val="en-GB"/>
        </w:rPr>
      </w:pPr>
      <w:r>
        <w:t xml:space="preserve">Adekanmi, A. A., Adekanmi, U. T., Adekanmi, A. S., &amp; Oyekanmi, H. A. (2020). </w:t>
      </w:r>
      <w:r>
        <w:t>Assessment of proximate composition and phytochemical properties of bitter leaf (</w:t>
      </w:r>
      <w:r>
        <w:rPr>
          <w:i/>
        </w:rPr>
        <w:t>Vernonia amygdalina</w:t>
      </w:r>
      <w:r>
        <w:t>) and water leaf (</w:t>
      </w:r>
      <w:r>
        <w:rPr>
          <w:i/>
        </w:rPr>
        <w:t>Talinum triangulare</w:t>
      </w:r>
      <w:r>
        <w:t>)</w:t>
      </w:r>
      <w:r>
        <w:t xml:space="preserve">. </w:t>
      </w:r>
      <w:r>
        <w:rPr>
          <w:i/>
        </w:rPr>
        <w:t>United International Journal for Research &amp; Technology</w:t>
      </w:r>
      <w:r>
        <w:t xml:space="preserve">, </w:t>
      </w:r>
      <w:r>
        <w:rPr>
          <w:i/>
        </w:rPr>
        <w:t>1</w:t>
      </w:r>
      <w:r>
        <w:t xml:space="preserve">(9), 13–21. </w:t>
      </w:r>
      <w:hyperlink r:id="rId36">
        <w:r>
          <w:rPr>
            <w:color w:val="0563C1"/>
            <w:u w:val="single"/>
          </w:rPr>
          <w:t>https://uijrt.com/volume-01-issue-09</w:t>
        </w:r>
      </w:hyperlink>
    </w:p>
    <w:p w14:paraId="21197945" w14:textId="77777777" w:rsidR="0033203B" w:rsidRPr="00BF28F4" w:rsidRDefault="0033203B" w:rsidP="00AF6391">
      <w:pPr>
        <w:spacing w:after="80" w:before="0"/>
        <w:ind w:left="360" w:hanging="360"/>
        <w:jc w:val="left"/>
        <w:rPr>
          <w:rFonts w:ascii="Arial" w:hAnsi="Arial" w:cs="Arial"/>
        </w:rPr>
      </w:pPr>
      <w:r>
        <w:t xml:space="preserve">Adewumi, A., Animashaun, R., Ajiboye, O. M., &amp; Ogunwenmo, K. O. (2023). </w:t>
      </w:r>
      <w:r>
        <w:t xml:space="preserve">Antidiabetic efficacy of </w:t>
      </w:r>
      <w:r>
        <w:rPr>
          <w:i/>
        </w:rPr>
        <w:t>Citrullus colocynthis</w:t>
      </w:r>
      <w:r>
        <w:t xml:space="preserve"> and </w:t>
      </w:r>
      <w:r>
        <w:rPr>
          <w:i/>
        </w:rPr>
        <w:t>Citrullus lanatus</w:t>
      </w:r>
      <w:r>
        <w:t>: A review</w:t>
      </w:r>
      <w:r>
        <w:t xml:space="preserve">. </w:t>
      </w:r>
      <w:r>
        <w:rPr>
          <w:i/>
        </w:rPr>
        <w:t>Bio-Science Research Bulletin</w:t>
      </w:r>
      <w:r>
        <w:t xml:space="preserve">, </w:t>
      </w:r>
      <w:r>
        <w:rPr>
          <w:i/>
        </w:rPr>
        <w:t>39</w:t>
      </w:r>
      <w:r>
        <w:t xml:space="preserve">(1), 39–51. </w:t>
      </w:r>
      <w:hyperlink r:id="rId37">
        <w:r>
          <w:rPr>
            <w:color w:val="0563C1"/>
            <w:u w:val="single"/>
          </w:rPr>
          <w:t>https://doi.org/10.48165/bpas.2023.39.1.6</w:t>
        </w:r>
      </w:hyperlink>
    </w:p>
    <w:p w14:paraId="72E66B6C" w14:textId="77777777" w:rsidR="0033203B" w:rsidRPr="00BF28F4" w:rsidRDefault="0033203B" w:rsidP="00AF6391">
      <w:pPr>
        <w:spacing w:after="80" w:before="0"/>
        <w:ind w:left="360" w:hanging="360"/>
        <w:jc w:val="left"/>
        <w:rPr>
          <w:rFonts w:ascii="Arial" w:hAnsi="Arial" w:cs="Arial"/>
        </w:rPr>
      </w:pPr>
      <w:r>
        <w:t xml:space="preserve">Ajiboye, B. O., Shonibare, M. T., &amp; Oyinloye, B. E. (2020). </w:t>
      </w:r>
      <w:r>
        <w:t>Antidiabetic activity of watermelon (</w:t>
      </w:r>
      <w:r>
        <w:rPr>
          <w:i/>
        </w:rPr>
        <w:t>Citrullus lanatus</w:t>
      </w:r>
      <w:r>
        <w:t>) juice in alloxan-induced diabetic rats</w:t>
      </w:r>
      <w:r>
        <w:t xml:space="preserve">. </w:t>
      </w:r>
      <w:r>
        <w:rPr>
          <w:i/>
        </w:rPr>
        <w:t>Journal of Diabetes &amp; Metabolic Disorders</w:t>
      </w:r>
      <w:r>
        <w:t xml:space="preserve">, </w:t>
      </w:r>
      <w:r>
        <w:rPr>
          <w:i/>
        </w:rPr>
        <w:t>19</w:t>
      </w:r>
      <w:r>
        <w:t xml:space="preserve">(1), 343–352. </w:t>
      </w:r>
      <w:hyperlink r:id="rId38">
        <w:r>
          <w:rPr>
            <w:color w:val="0563C1"/>
            <w:u w:val="single"/>
          </w:rPr>
          <w:t>https://doi.org/10.1007/s40200-020-00515-2</w:t>
        </w:r>
      </w:hyperlink>
    </w:p>
    <w:p w14:paraId="0CB3F2DE" w14:textId="77777777" w:rsidR="008B5E56" w:rsidRPr="00BF28F4" w:rsidRDefault="00000000">
      <w:pPr>
        <w:spacing w:after="80" w:line="276" w:lineRule="auto" w:before="0"/>
        <w:ind w:left="360" w:hanging="360"/>
        <w:jc w:val="left"/>
      </w:pPr>
      <w:r>
        <w:t xml:space="preserve">Alsuwayt, B. (2025). </w:t>
      </w:r>
      <w:r>
        <w:t xml:space="preserve">Polyphenol-rich </w:t>
      </w:r>
      <w:r>
        <w:rPr>
          <w:i/>
        </w:rPr>
        <w:t>Citrullus lanatus</w:t>
      </w:r>
      <w:r>
        <w:t xml:space="preserve"> rind extract mitigates doxorubicin-induced cardiotoxicity: HPLC profiling and in vivo evaluation</w:t>
      </w:r>
      <w:r>
        <w:t xml:space="preserve">. </w:t>
      </w:r>
      <w:r>
        <w:rPr>
          <w:i/>
        </w:rPr>
        <w:t>Pharmaceutics</w:t>
      </w:r>
      <w:r>
        <w:t xml:space="preserve">, </w:t>
      </w:r>
      <w:r>
        <w:rPr>
          <w:i/>
        </w:rPr>
        <w:t>17</w:t>
      </w:r>
      <w:r>
        <w:t xml:space="preserve">(11), 1469. </w:t>
      </w:r>
      <w:hyperlink r:id="rId21">
        <w:r>
          <w:rPr>
            <w:color w:val="0563C1"/>
            <w:u w:val="single"/>
          </w:rPr>
          <w:t>https://doi.org/10.3390/pharmaceutics17111469</w:t>
        </w:r>
      </w:hyperlink>
    </w:p>
    <w:p w14:paraId="6E78E006" w14:textId="77777777" w:rsidR="0033203B" w:rsidRPr="00BF28F4" w:rsidRDefault="0033203B" w:rsidP="00F46C8B">
      <w:pPr>
        <w:tabs>
          <w:tab w:val="left" w:pos="2040"/>
          <w:tab w:val="left" w:pos="3975"/>
        </w:tabs>
        <w:spacing w:after="80" w:line="276" w:lineRule="auto" w:before="0"/>
        <w:ind w:left="360" w:hanging="360"/>
        <w:jc w:val="left"/>
        <w:rPr>
          <w:rFonts w:ascii="Arial" w:hAnsi="Arial" w:cs="Arial"/>
          <w:lang w:val="en-GB"/>
        </w:rPr>
      </w:pPr>
      <w:r>
        <w:t xml:space="preserve">Ansari, P., Khan, J. T., Chowdhury, S., Reberio, A. D., Kumar, S., Seidel, V., Abdel-Wahab, Y. H. A., &amp; Flatt, P. R. (2024). </w:t>
      </w:r>
      <w:r>
        <w:t>Plant-based diets and phytochemicals in the management of diabetes mellitus and prevention of its complications: A review</w:t>
      </w:r>
      <w:r>
        <w:t xml:space="preserve">. </w:t>
      </w:r>
      <w:r>
        <w:rPr>
          <w:i/>
        </w:rPr>
        <w:t>Nutrients</w:t>
      </w:r>
      <w:r>
        <w:t xml:space="preserve">, </w:t>
      </w:r>
      <w:r>
        <w:rPr>
          <w:i/>
        </w:rPr>
        <w:t>16</w:t>
      </w:r>
      <w:r>
        <w:t xml:space="preserve">(21), 3709. </w:t>
      </w:r>
      <w:hyperlink r:id="rId39">
        <w:r>
          <w:rPr>
            <w:color w:val="0563C1"/>
            <w:u w:val="single"/>
          </w:rPr>
          <w:t>https://doi.org/10.3390/nu16213709</w:t>
        </w:r>
      </w:hyperlink>
    </w:p>
    <w:p w14:paraId="2E373AEB" w14:textId="77777777" w:rsidR="0033203B" w:rsidRPr="00BF28F4" w:rsidRDefault="0033203B" w:rsidP="00F46C8B">
      <w:pPr>
        <w:tabs>
          <w:tab w:val="left" w:pos="2040"/>
          <w:tab w:val="left" w:pos="3975"/>
        </w:tabs>
        <w:spacing w:after="80" w:line="276" w:lineRule="auto" w:before="0"/>
        <w:ind w:left="360" w:hanging="360"/>
        <w:jc w:val="left"/>
        <w:rPr>
          <w:rFonts w:ascii="Arial" w:hAnsi="Arial" w:cs="Arial"/>
          <w:lang w:val="en-GB"/>
        </w:rPr>
      </w:pPr>
      <w:r>
        <w:t xml:space="preserve">Atta, A. H., Saad, S. A., Atta, S. A., Mouneir, S. M., Nasr, S. M., Desouky, H. M., &amp; Shaker, H. M. (2020). </w:t>
      </w:r>
      <w:r/>
      <w:r>
        <w:rPr>
          <w:i/>
        </w:rPr>
        <w:t>Cucumis sativus</w:t>
      </w:r>
      <w:r>
        <w:t xml:space="preserve"> and </w:t>
      </w:r>
      <w:r>
        <w:rPr>
          <w:i/>
        </w:rPr>
        <w:t>Cucurbita maxima</w:t>
      </w:r>
      <w:r>
        <w:t xml:space="preserve"> extract attenuate diabetes-induced hepatic and pancreatic injury in a rat model</w:t>
      </w:r>
      <w:r>
        <w:t xml:space="preserve">. </w:t>
      </w:r>
      <w:r>
        <w:rPr>
          <w:i/>
        </w:rPr>
        <w:t>Journal of Physiology and Pharmacology</w:t>
      </w:r>
      <w:r>
        <w:t xml:space="preserve">, </w:t>
      </w:r>
      <w:r>
        <w:rPr>
          <w:i/>
        </w:rPr>
        <w:t>71</w:t>
      </w:r>
      <w:r>
        <w:t xml:space="preserve">(4). </w:t>
      </w:r>
      <w:hyperlink r:id="rId40">
        <w:r>
          <w:rPr>
            <w:color w:val="0563C1"/>
            <w:u w:val="single"/>
          </w:rPr>
          <w:t>https://doi.org/10.26402/jpp.2020.4.06</w:t>
        </w:r>
      </w:hyperlink>
    </w:p>
    <w:p w14:paraId="17DC2337" w14:textId="77777777" w:rsidR="008B5E56" w:rsidRPr="00BF28F4" w:rsidRDefault="00000000">
      <w:pPr>
        <w:spacing w:after="80" w:line="276" w:lineRule="auto" w:before="0"/>
        <w:ind w:left="360" w:hanging="360"/>
        <w:jc w:val="left"/>
      </w:pPr>
      <w:r>
        <w:t xml:space="preserve">Azaka, E. I., &amp; Ufele-Obiesie, A. N. (2025). </w:t>
      </w:r>
      <w:r>
        <w:t xml:space="preserve">Antihyperlipidemic potential of </w:t>
      </w:r>
      <w:r>
        <w:rPr>
          <w:i/>
        </w:rPr>
        <w:t>Scoparia dulcis</w:t>
      </w:r>
      <w:r>
        <w:t xml:space="preserve"> leaf aqueous extract in alloxan-induced diabetic rats</w:t>
      </w:r>
      <w:r>
        <w:t xml:space="preserve">. </w:t>
      </w:r>
      <w:r>
        <w:rPr>
          <w:i/>
        </w:rPr>
        <w:t>Asian Journal of Advances in Research</w:t>
      </w:r>
      <w:r>
        <w:t xml:space="preserve">, </w:t>
      </w:r>
      <w:r>
        <w:rPr>
          <w:i/>
        </w:rPr>
        <w:t>8</w:t>
      </w:r>
      <w:r>
        <w:t xml:space="preserve">(1), 137–146. </w:t>
      </w:r>
      <w:hyperlink r:id="rId22">
        <w:r>
          <w:rPr>
            <w:color w:val="0563C1"/>
            <w:u w:val="single"/>
          </w:rPr>
          <w:t>https://doi.org/10.56557/ajoair/2025/v8i1514</w:t>
        </w:r>
      </w:hyperlink>
    </w:p>
    <w:p w14:paraId="733FA049" w14:textId="77777777" w:rsidR="0033203B" w:rsidRPr="00BF28F4" w:rsidRDefault="0033203B" w:rsidP="00F46C8B">
      <w:pPr>
        <w:tabs>
          <w:tab w:val="left" w:pos="2040"/>
          <w:tab w:val="left" w:pos="3975"/>
        </w:tabs>
        <w:spacing w:after="80" w:before="0"/>
        <w:ind w:left="360" w:hanging="360"/>
        <w:jc w:val="left"/>
        <w:rPr>
          <w:rFonts w:ascii="Arial" w:hAnsi="Arial" w:cs="Arial"/>
          <w:lang w:val="en-GB"/>
        </w:rPr>
      </w:pPr>
      <w:r>
        <w:t xml:space="preserve">Dilworth, L., Facey, A., &amp; Omoruyi, F. (2021). </w:t>
      </w:r>
      <w:r>
        <w:t>Diabetes mellitus and its metabolic complications: The role of adipose tissues</w:t>
      </w:r>
      <w:r>
        <w:t xml:space="preserve">. </w:t>
      </w:r>
      <w:r>
        <w:rPr>
          <w:i/>
        </w:rPr>
        <w:t>International Journal of Molecular Sciences</w:t>
      </w:r>
      <w:r>
        <w:t xml:space="preserve">, </w:t>
      </w:r>
      <w:r>
        <w:rPr>
          <w:i/>
        </w:rPr>
        <w:t>22</w:t>
      </w:r>
      <w:r>
        <w:t xml:space="preserve">(14), 7644. </w:t>
      </w:r>
      <w:hyperlink r:id="rId41">
        <w:r>
          <w:rPr>
            <w:color w:val="0563C1"/>
            <w:u w:val="single"/>
          </w:rPr>
          <w:t>https://doi.org/10.3390/ijms22147644</w:t>
        </w:r>
      </w:hyperlink>
    </w:p>
    <w:p w14:paraId="567E1BBB" w14:textId="77777777" w:rsidR="0033203B" w:rsidRPr="00BF28F4" w:rsidRDefault="0033203B" w:rsidP="00AF6391">
      <w:pPr>
        <w:spacing w:after="80" w:before="0"/>
        <w:ind w:left="360" w:hanging="360"/>
        <w:jc w:val="left"/>
        <w:rPr>
          <w:rFonts w:ascii="Arial" w:hAnsi="Arial" w:cs="Arial"/>
          <w:lang w:val="en-GB"/>
        </w:rPr>
      </w:pPr>
      <w:r>
        <w:t xml:space="preserve">Dimeji, I. Y., Samson, A. O., Muiz, M. A., Ayoola, A. M., &amp; Olufemi, M. A. (2021). </w:t>
      </w:r>
      <w:r>
        <w:t>Hypolipidemic, antioxidant, and hepatoprotective effects of cucumber (</w:t>
      </w:r>
      <w:r>
        <w:rPr>
          <w:i/>
        </w:rPr>
        <w:t>Cucumis sativus</w:t>
      </w:r>
      <w:r>
        <w:t xml:space="preserve"> L.)-supplemented diet in both sexes of Sprague-Dawley rats</w:t>
      </w:r>
      <w:r>
        <w:t xml:space="preserve">. </w:t>
      </w:r>
      <w:r>
        <w:rPr>
          <w:i/>
        </w:rPr>
        <w:t>Nigerian Journal of Experimental and Clinical Biosciences</w:t>
      </w:r>
      <w:r>
        <w:t xml:space="preserve">, </w:t>
      </w:r>
      <w:r>
        <w:rPr>
          <w:i/>
        </w:rPr>
        <w:t>9</w:t>
      </w:r>
      <w:r>
        <w:t xml:space="preserve">(2), 82–88. </w:t>
      </w:r>
      <w:hyperlink r:id="rId42">
        <w:r>
          <w:rPr>
            <w:color w:val="0563C1"/>
            <w:u w:val="single"/>
          </w:rPr>
          <w:t>https://doi.org/10.4103/njecp.njecp_1_21</w:t>
        </w:r>
      </w:hyperlink>
    </w:p>
    <w:p w14:paraId="3EFAA7BB" w14:textId="77777777" w:rsidR="008B5E56" w:rsidRPr="00BF28F4" w:rsidRDefault="00000000">
      <w:pPr>
        <w:spacing w:after="80" w:before="0"/>
        <w:ind w:left="360" w:hanging="360"/>
        <w:jc w:val="left"/>
      </w:pPr>
      <w:r>
        <w:t xml:space="preserve">Ebhohon, S. O., Ibeh, R. C., Ejiofor, U. E., Abu, O. D., &amp; Osegenna, S. C. (2023). </w:t>
      </w:r>
      <w:r>
        <w:t xml:space="preserve">Hepato- and nephro-protective effects of methanol extract of </w:t>
      </w:r>
      <w:r>
        <w:rPr>
          <w:i/>
        </w:rPr>
        <w:t>Citrullus lanatus</w:t>
      </w:r>
      <w:r>
        <w:t xml:space="preserve"> rind in Wistar rats fed with used motor engine oil contaminated feed</w:t>
      </w:r>
      <w:r>
        <w:t xml:space="preserve">. </w:t>
      </w:r>
      <w:r>
        <w:rPr>
          <w:i/>
        </w:rPr>
        <w:t>FUDMA Journal of Sciences</w:t>
      </w:r>
      <w:r>
        <w:t xml:space="preserve">, </w:t>
      </w:r>
      <w:r>
        <w:rPr>
          <w:i/>
        </w:rPr>
        <w:t>3</w:t>
      </w:r>
      <w:r>
        <w:t xml:space="preserve">(4), 246–250. </w:t>
      </w:r>
      <w:hyperlink r:id="rId23">
        <w:r>
          <w:rPr>
            <w:color w:val="0563C1"/>
            <w:u w:val="single"/>
          </w:rPr>
          <w:t>https://fjs.fudutsinma.edu.ng/index.php/fjs/article/view/1644</w:t>
        </w:r>
      </w:hyperlink>
    </w:p>
    <w:p w14:paraId="31017FC2" w14:textId="77777777" w:rsidR="0033203B" w:rsidRPr="00BF28F4" w:rsidRDefault="0033203B" w:rsidP="00F46C8B">
      <w:pPr>
        <w:tabs>
          <w:tab w:val="left" w:pos="2040"/>
          <w:tab w:val="left" w:pos="3975"/>
        </w:tabs>
        <w:spacing w:after="80" w:line="276" w:lineRule="auto" w:before="0"/>
        <w:ind w:left="360" w:hanging="360"/>
        <w:jc w:val="left"/>
        <w:rPr>
          <w:rFonts w:ascii="Arial" w:hAnsi="Arial" w:cs="Arial"/>
        </w:rPr>
      </w:pPr>
      <w:r>
        <w:t xml:space="preserve">Enyindah, K. C., &amp; Owo, G. J. (2026). </w:t>
      </w:r>
      <w:r>
        <w:t>Inhibition of hepatic gluconeogenic enzymes by selected medicinal plant extracts in alloxan-induced diabetic rats</w:t>
      </w:r>
      <w:r>
        <w:t xml:space="preserve">. </w:t>
      </w:r>
      <w:r>
        <w:rPr>
          <w:i/>
        </w:rPr>
        <w:t>Asian Journal of Research in Biology</w:t>
      </w:r>
      <w:r>
        <w:t xml:space="preserve">, </w:t>
      </w:r>
      <w:r>
        <w:rPr>
          <w:i/>
        </w:rPr>
        <w:t>9</w:t>
      </w:r>
      <w:r>
        <w:t xml:space="preserve">(1), 88–98. </w:t>
      </w:r>
      <w:hyperlink r:id="rId43">
        <w:r>
          <w:rPr>
            <w:color w:val="0563C1"/>
            <w:u w:val="single"/>
          </w:rPr>
          <w:t>https://doi.org/10.56557/ajrib/2026/v9i168</w:t>
        </w:r>
      </w:hyperlink>
    </w:p>
    <w:p w14:paraId="218F129D" w14:textId="77777777" w:rsidR="0033203B" w:rsidRPr="00BF28F4" w:rsidRDefault="0033203B" w:rsidP="00F46C8B">
      <w:pPr>
        <w:tabs>
          <w:tab w:val="left" w:pos="2040"/>
          <w:tab w:val="left" w:pos="3975"/>
        </w:tabs>
        <w:spacing w:after="80" w:line="276" w:lineRule="auto" w:before="0"/>
        <w:ind w:left="360" w:hanging="360"/>
        <w:jc w:val="left"/>
        <w:rPr>
          <w:rFonts w:ascii="Arial" w:hAnsi="Arial" w:cs="Arial"/>
        </w:rPr>
      </w:pPr>
      <w:r>
        <w:t xml:space="preserve">Evans, W. C. (1989). </w:t>
      </w:r>
      <w:r>
        <w:rPr>
          <w:i/>
        </w:rPr>
        <w:t>Trease and Evans’ pharmacognosy (13th ed.).</w:t>
      </w:r>
      <w:r>
        <w:t xml:space="preserve"> Baillière Tindall. </w:t>
      </w:r>
      <w:hyperlink r:id="rId44">
        <w:r>
          <w:rPr>
            <w:color w:val="0563C1"/>
            <w:u w:val="single"/>
          </w:rPr>
          <w:t>https://search.worldcat.org/title/21198097</w:t>
        </w:r>
      </w:hyperlink>
    </w:p>
    <w:p w14:paraId="43FF93A9" w14:textId="77777777" w:rsidR="0033203B" w:rsidRPr="00BF28F4" w:rsidRDefault="0033203B" w:rsidP="00AF6391">
      <w:pPr>
        <w:spacing w:after="80" w:line="278" w:lineRule="auto" w:before="0"/>
        <w:ind w:left="360" w:hanging="360"/>
        <w:jc w:val="left"/>
        <w:rPr>
          <w:rFonts w:ascii="Arial" w:hAnsi="Arial" w:cs="Arial"/>
          <w:lang w:val="en-GB"/>
        </w:rPr>
      </w:pPr>
      <w:r>
        <w:t xml:space="preserve">Ezekwe, A. S., Ugwuezumba, P. C., Nwankpa, P., Egwurugwu, J. N., Ekweogu, C. N., Emengaha, F. C., &amp; Akukwu, D. (2020). </w:t>
      </w:r>
      <w:r>
        <w:t xml:space="preserve">Qualitative phytochemical screening, GC-MS studies and in-vitro anti-oxidative properties of aqueous leaf extract of </w:t>
      </w:r>
      <w:r>
        <w:rPr>
          <w:i/>
        </w:rPr>
        <w:t>Gnetum africanum</w:t>
      </w:r>
      <w:r/>
      <w:r>
        <w:t xml:space="preserve">. </w:t>
      </w:r>
      <w:r>
        <w:rPr>
          <w:i/>
        </w:rPr>
        <w:t>Journal of Drug Delivery and Therapeutics</w:t>
      </w:r>
      <w:r>
        <w:t xml:space="preserve">, </w:t>
      </w:r>
      <w:r>
        <w:rPr>
          <w:i/>
        </w:rPr>
        <w:t>10</w:t>
      </w:r>
      <w:r>
        <w:t xml:space="preserve">(1), 11–17. </w:t>
      </w:r>
      <w:hyperlink r:id="rId45">
        <w:r>
          <w:rPr>
            <w:color w:val="0563C1"/>
            <w:u w:val="single"/>
          </w:rPr>
          <w:t>https://doi.org/10.22270/jddt.v10i1.3813</w:t>
        </w:r>
      </w:hyperlink>
    </w:p>
    <w:p w14:paraId="3ED0991B" w14:textId="77777777" w:rsidR="0033203B" w:rsidRPr="00BF28F4" w:rsidRDefault="0033203B" w:rsidP="00AF6391">
      <w:pPr>
        <w:spacing w:after="80" w:before="0"/>
        <w:ind w:left="360" w:hanging="360"/>
        <w:jc w:val="left"/>
        <w:rPr>
          <w:rFonts w:ascii="Arial" w:hAnsi="Arial" w:cs="Arial"/>
        </w:rPr>
      </w:pPr>
      <w:r>
        <w:t xml:space="preserve">Harborne, J. B., &amp; Baxter, H. (Eds.) (1993). </w:t>
      </w:r>
      <w:r>
        <w:rPr>
          <w:i/>
        </w:rPr>
        <w:t>Phytochemical dictionary: A handbook of bioactive compounds from plants.</w:t>
      </w:r>
      <w:r>
        <w:t xml:space="preserve"> Taylor &amp; Francis. </w:t>
      </w:r>
      <w:hyperlink r:id="rId46">
        <w:r>
          <w:rPr>
            <w:color w:val="0563C1"/>
            <w:u w:val="single"/>
          </w:rPr>
          <w:t>https://agris.fao.org/search/en/providers/122535/records/65de0bdf4c5aef494fd93023</w:t>
        </w:r>
      </w:hyperlink>
    </w:p>
    <w:p w14:paraId="69AE1EE0" w14:textId="77777777" w:rsidR="0033203B" w:rsidRPr="00BF28F4" w:rsidRDefault="0033203B" w:rsidP="00AF6391">
      <w:pPr>
        <w:spacing w:after="80" w:before="0"/>
        <w:ind w:left="360" w:hanging="360"/>
        <w:jc w:val="left"/>
        <w:rPr>
          <w:rFonts w:ascii="Arial" w:hAnsi="Arial" w:cs="Arial"/>
        </w:rPr>
      </w:pPr>
      <w:r>
        <w:t xml:space="preserve">Idemudia, O. U., &amp; Enogieru, A. B. (2024). </w:t>
      </w:r>
      <w:r>
        <w:t xml:space="preserve">Phytochemical and pharmacological activities of </w:t>
      </w:r>
      <w:r>
        <w:rPr>
          <w:i/>
        </w:rPr>
        <w:t>Cucumis sativus</w:t>
      </w:r>
      <w:r>
        <w:t>: An updated review</w:t>
      </w:r>
      <w:r>
        <w:t xml:space="preserve">. </w:t>
      </w:r>
      <w:r>
        <w:rPr>
          <w:i/>
        </w:rPr>
        <w:t>Tropical Journal of Natural Product Research</w:t>
      </w:r>
      <w:r>
        <w:t xml:space="preserve">, </w:t>
      </w:r>
      <w:r>
        <w:rPr>
          <w:i/>
        </w:rPr>
        <w:t>8</w:t>
      </w:r>
      <w:r>
        <w:t xml:space="preserve">(7), 7612–7623. </w:t>
      </w:r>
      <w:hyperlink r:id="rId47">
        <w:r>
          <w:rPr>
            <w:color w:val="0563C1"/>
            <w:u w:val="single"/>
          </w:rPr>
          <w:t>https://doi.org/10.26538/tjnpr/v8i7.1</w:t>
        </w:r>
      </w:hyperlink>
    </w:p>
    <w:p w14:paraId="57E35DF3" w14:textId="77777777" w:rsidR="0033203B" w:rsidRPr="00BF28F4" w:rsidRDefault="0033203B" w:rsidP="00F46C8B">
      <w:pPr>
        <w:tabs>
          <w:tab w:val="left" w:pos="2040"/>
          <w:tab w:val="left" w:pos="3975"/>
        </w:tabs>
        <w:spacing w:after="80" w:before="0"/>
        <w:ind w:left="360" w:hanging="360"/>
        <w:jc w:val="left"/>
        <w:rPr>
          <w:rFonts w:ascii="Arial" w:hAnsi="Arial" w:cs="Arial"/>
        </w:rPr>
      </w:pPr>
      <w:r>
        <w:t xml:space="preserve">Ilyas, H., Baig, S. G., Sarfaraz, S., Sadaf, F., Siddiq, A., Asgher, A., Osama, M., Basri, Q., &amp; Wei, C. R. (2025). </w:t>
      </w:r>
      <w:r>
        <w:t xml:space="preserve">Cumulative hepatoprotective, antihyperlipidemic and antioxidant effects of methanolic seeds extract of </w:t>
      </w:r>
      <w:r>
        <w:rPr>
          <w:i/>
        </w:rPr>
        <w:t>Citrullus lanatus</w:t>
      </w:r>
      <w:r>
        <w:t xml:space="preserve">, </w:t>
      </w:r>
      <w:r>
        <w:rPr>
          <w:i/>
        </w:rPr>
        <w:t>Cucumis melo</w:t>
      </w:r>
      <w:r>
        <w:t xml:space="preserve">, </w:t>
      </w:r>
      <w:r>
        <w:rPr>
          <w:i/>
        </w:rPr>
        <w:t>Cucumis sativus</w:t>
      </w:r>
      <w:r>
        <w:t xml:space="preserve">, and </w:t>
      </w:r>
      <w:r>
        <w:rPr>
          <w:i/>
        </w:rPr>
        <w:t>Cucurbita maxima</w:t>
      </w:r>
      <w:r>
        <w:t xml:space="preserve"> with GC–MS profile</w:t>
      </w:r>
      <w:r>
        <w:t xml:space="preserve">. </w:t>
      </w:r>
      <w:r>
        <w:rPr>
          <w:i/>
        </w:rPr>
        <w:t>Food Science &amp; Nutrition</w:t>
      </w:r>
      <w:r>
        <w:t xml:space="preserve">, </w:t>
      </w:r>
      <w:r>
        <w:rPr>
          <w:i/>
        </w:rPr>
        <w:t>13</w:t>
      </w:r>
      <w:r>
        <w:t xml:space="preserve">(9), e70358. </w:t>
      </w:r>
      <w:hyperlink r:id="rId48">
        <w:r>
          <w:rPr>
            <w:color w:val="0563C1"/>
            <w:u w:val="single"/>
          </w:rPr>
          <w:t>https://doi.org/10.1002/fsn3.70358</w:t>
        </w:r>
      </w:hyperlink>
    </w:p>
    <w:p w14:paraId="489826AB" w14:textId="77777777" w:rsidR="0033203B" w:rsidRPr="00BF28F4" w:rsidRDefault="0033203B" w:rsidP="00F46C8B">
      <w:pPr>
        <w:tabs>
          <w:tab w:val="left" w:pos="2040"/>
          <w:tab w:val="left" w:pos="3975"/>
        </w:tabs>
        <w:spacing w:after="80" w:before="0"/>
        <w:ind w:left="360" w:hanging="360"/>
        <w:jc w:val="left"/>
        <w:rPr>
          <w:rFonts w:ascii="Arial" w:hAnsi="Arial" w:cs="Arial"/>
        </w:rPr>
      </w:pPr>
      <w:r>
        <w:t xml:space="preserve">Jadon, A. S., Kaushik, M. P., Anitha, K., Bhatt, S., Bhadauriya, P., &amp; Sharma, M. (2024). </w:t>
      </w:r>
      <w:r>
        <w:t>Types of diabetes mellitus, mechanism of insulin resistance and associated complications</w:t>
      </w:r>
      <w:r>
        <w:t xml:space="preserve">. </w:t>
      </w:r>
      <w:r>
        <w:rPr>
          <w:i/>
        </w:rPr>
        <w:t>In Biochemical immunology of diabetes and associated complications</w:t>
      </w:r>
      <w:r>
        <w:t xml:space="preserve"> (pp. 1–18). Academic Press. </w:t>
      </w:r>
      <w:hyperlink r:id="rId49">
        <w:r>
          <w:rPr>
            <w:color w:val="0563C1"/>
            <w:u w:val="single"/>
          </w:rPr>
          <w:t>https://doi.org/10.1016/B978-0-443-13195-0.00001-6</w:t>
        </w:r>
      </w:hyperlink>
    </w:p>
    <w:p w14:paraId="5A130C25" w14:textId="77777777" w:rsidR="0033203B" w:rsidRPr="00BF28F4" w:rsidRDefault="0033203B" w:rsidP="00AF6391">
      <w:pPr>
        <w:spacing w:after="80" w:before="0"/>
        <w:ind w:left="360" w:hanging="360"/>
        <w:jc w:val="left"/>
        <w:rPr>
          <w:rFonts w:ascii="Arial" w:hAnsi="Arial" w:cs="Arial"/>
        </w:rPr>
      </w:pPr>
      <w:r>
        <w:t xml:space="preserve">Jaiyesimi, K. F., Agunbiade, O. S., Ajiboye, B. O., &amp; Afolabi, O. B. (2020). </w:t>
      </w:r>
      <w:r>
        <w:t xml:space="preserve">Polyphenolic-rich extracts of </w:t>
      </w:r>
      <w:r>
        <w:rPr>
          <w:i/>
        </w:rPr>
        <w:t>Andrographis paniculata</w:t>
      </w:r>
      <w:r>
        <w:t xml:space="preserve"> mitigate hyperglycemia via attenuating β-cell dysfunction, pro-inflammatory cytokines and oxidative stress in alloxan-induced diabetic Wistar albino rat</w:t>
      </w:r>
      <w:r>
        <w:t xml:space="preserve">. </w:t>
      </w:r>
      <w:r>
        <w:rPr>
          <w:i/>
        </w:rPr>
        <w:t>Journal of Diabetes &amp; Metabolic Disorders</w:t>
      </w:r>
      <w:r>
        <w:t xml:space="preserve">, </w:t>
      </w:r>
      <w:r>
        <w:rPr>
          <w:i/>
        </w:rPr>
        <w:t>19</w:t>
      </w:r>
      <w:r>
        <w:t xml:space="preserve">(2), 1543–1556. </w:t>
      </w:r>
      <w:hyperlink r:id="rId50">
        <w:r>
          <w:rPr>
            <w:color w:val="0563C1"/>
            <w:u w:val="single"/>
          </w:rPr>
          <w:t>https://doi.org/10.1007/s40200-020-00690-2</w:t>
        </w:r>
      </w:hyperlink>
    </w:p>
    <w:p w14:paraId="68BCF704" w14:textId="77777777" w:rsidR="0033203B" w:rsidRPr="00BF28F4" w:rsidRDefault="0033203B" w:rsidP="00AF6391">
      <w:pPr>
        <w:spacing w:after="80" w:before="0"/>
        <w:ind w:left="360" w:hanging="360"/>
        <w:jc w:val="left"/>
        <w:rPr>
          <w:rFonts w:ascii="Arial" w:hAnsi="Arial" w:cs="Arial"/>
        </w:rPr>
      </w:pPr>
      <w:r>
        <w:t xml:space="preserve">Javid, H., Fatima, U., Rukhsar, A., Hussain, S., Bibi, S., Bodlah, M. A., Shahzad, H. H., Dilshad, M., Waqas, M., &amp; Sharif, A. (2024). </w:t>
      </w:r>
      <w:r>
        <w:t xml:space="preserve">Phytochemical, nutritional and medicinal profile of </w:t>
      </w:r>
      <w:r>
        <w:rPr>
          <w:i/>
        </w:rPr>
        <w:t>Cucumis sativus</w:t>
      </w:r>
      <w:r>
        <w:t xml:space="preserve"> L. (cucumber)</w:t>
      </w:r>
      <w:r>
        <w:t xml:space="preserve">. </w:t>
      </w:r>
      <w:r>
        <w:rPr>
          <w:i/>
        </w:rPr>
        <w:t>Food Science and Engineering</w:t>
      </w:r>
      <w:r>
        <w:t xml:space="preserve">, </w:t>
      </w:r>
      <w:r>
        <w:rPr>
          <w:i/>
        </w:rPr>
        <w:t>5</w:t>
      </w:r>
      <w:r>
        <w:t xml:space="preserve">(2), 358–377. </w:t>
      </w:r>
      <w:hyperlink r:id="rId51">
        <w:r>
          <w:rPr>
            <w:color w:val="0563C1"/>
            <w:u w:val="single"/>
          </w:rPr>
          <w:t>https://doi.org/10.37256/fse.5220244795</w:t>
        </w:r>
      </w:hyperlink>
    </w:p>
    <w:p w14:paraId="788EA4D8" w14:textId="77777777" w:rsidR="008B5E56" w:rsidRPr="00BF28F4" w:rsidRDefault="00000000">
      <w:pPr>
        <w:spacing w:after="80" w:before="0"/>
        <w:ind w:left="360" w:hanging="360"/>
        <w:jc w:val="left"/>
      </w:pPr>
      <w:r>
        <w:t xml:space="preserve">Kaur, S., Singh, V., &amp; Singh, L. (2026). </w:t>
      </w:r>
      <w:r>
        <w:t>Fruit peel–derived bioactives for type 2 diabetes management</w:t>
      </w:r>
      <w:r>
        <w:t xml:space="preserve">. </w:t>
      </w:r>
      <w:r>
        <w:rPr>
          <w:i/>
        </w:rPr>
        <w:t>European Food Research and Technology</w:t>
      </w:r>
      <w:r>
        <w:t xml:space="preserve">, </w:t>
      </w:r>
      <w:r>
        <w:rPr>
          <w:i/>
        </w:rPr>
        <w:t>252</w:t>
      </w:r>
      <w:r>
        <w:t xml:space="preserve">(5), Article 202. </w:t>
      </w:r>
      <w:hyperlink r:id="rId52">
        <w:r>
          <w:rPr>
            <w:color w:val="0563C1"/>
            <w:u w:val="single"/>
          </w:rPr>
          <w:t>https://doi.org/10.1007/s00217-026-05132-6</w:t>
        </w:r>
      </w:hyperlink>
    </w:p>
    <w:p w14:paraId="1356D9A6" w14:textId="77777777" w:rsidR="0033203B" w:rsidRPr="00BF28F4" w:rsidRDefault="0033203B" w:rsidP="00AF6391">
      <w:pPr>
        <w:spacing w:after="80" w:before="0"/>
        <w:ind w:left="360" w:hanging="360"/>
        <w:jc w:val="left"/>
        <w:rPr>
          <w:rFonts w:ascii="Arial" w:hAnsi="Arial" w:cs="Arial"/>
        </w:rPr>
      </w:pPr>
      <w:r>
        <w:t xml:space="preserve">Khalid, S., Zahid, M., Raana, S., Ramzan, K., Zehra, S. H., Ansar, S., Rafique, M., Chaudhary, K., &amp; Onyeaka, H. (2026). </w:t>
      </w:r>
      <w:r>
        <w:t>Exploring the antidiabetic nutraceutical potential of fruits waste, a revolutionary approach for diabetes mellitus treatment</w:t>
      </w:r>
      <w:r>
        <w:t xml:space="preserve">. </w:t>
      </w:r>
      <w:r>
        <w:rPr>
          <w:i/>
        </w:rPr>
        <w:t>Phytochemistry Reviews</w:t>
      </w:r>
      <w:r>
        <w:t xml:space="preserve">, </w:t>
      </w:r>
      <w:r>
        <w:rPr>
          <w:i/>
        </w:rPr>
        <w:t>25</w:t>
      </w:r>
      <w:r>
        <w:t xml:space="preserve">(2), 1751–1785. </w:t>
      </w:r>
      <w:hyperlink r:id="rId53">
        <w:r>
          <w:rPr>
            <w:color w:val="0563C1"/>
            <w:u w:val="single"/>
          </w:rPr>
          <w:t>https://doi.org/10.1007/s11101-025-10177-8</w:t>
        </w:r>
      </w:hyperlink>
    </w:p>
    <w:p w14:paraId="05E86D6E" w14:textId="77777777" w:rsidR="0033203B" w:rsidRPr="00BF28F4" w:rsidRDefault="0033203B" w:rsidP="00F46C8B">
      <w:pPr>
        <w:tabs>
          <w:tab w:val="left" w:pos="2040"/>
          <w:tab w:val="left" w:pos="3975"/>
        </w:tabs>
        <w:spacing w:after="80" w:before="0"/>
        <w:ind w:left="360" w:hanging="360"/>
        <w:jc w:val="left"/>
        <w:rPr>
          <w:rFonts w:ascii="Arial" w:hAnsi="Arial" w:cs="Arial"/>
        </w:rPr>
      </w:pPr>
      <w:r>
        <w:t xml:space="preserve">Kothari, S., Saravana, M., Muthusamy, S., Mozingo, A., &amp; Soni, M. (2018). </w:t>
      </w:r>
      <w:r>
        <w:t>Safety assessment of a standardized cucumber extract (Q-Actin™): Oral repeat-dose toxicity and mutagenicity studies</w:t>
      </w:r>
      <w:r>
        <w:t xml:space="preserve">. </w:t>
      </w:r>
      <w:r>
        <w:rPr>
          <w:i/>
        </w:rPr>
        <w:t>Toxicology Reports</w:t>
      </w:r>
      <w:r>
        <w:t xml:space="preserve">, </w:t>
      </w:r>
      <w:r>
        <w:rPr>
          <w:i/>
        </w:rPr>
        <w:t>5</w:t>
      </w:r>
      <w:r>
        <w:t xml:space="preserve">, 1078–1086. </w:t>
      </w:r>
      <w:hyperlink r:id="rId24">
        <w:r>
          <w:rPr>
            <w:color w:val="0563C1"/>
            <w:u w:val="single"/>
          </w:rPr>
          <w:t>https://doi.org/10.1016/j.toxrep.2018.10.014</w:t>
        </w:r>
      </w:hyperlink>
    </w:p>
    <w:p w14:paraId="58F01F20" w14:textId="77777777" w:rsidR="0033203B" w:rsidRPr="00BF28F4" w:rsidRDefault="0033203B" w:rsidP="00AF6391">
      <w:pPr>
        <w:spacing w:after="80" w:line="278" w:lineRule="auto" w:before="0"/>
        <w:ind w:left="360" w:hanging="360"/>
        <w:jc w:val="left"/>
        <w:rPr>
          <w:rFonts w:ascii="Arial" w:hAnsi="Arial" w:cs="Arial"/>
          <w:lang w:val="en-GB"/>
        </w:rPr>
      </w:pPr>
      <w:r>
        <w:t xml:space="preserve">Liu, D., Zhao, L., Wang, Y., Wang, L., Wu, D., &amp; Liu, Y. (2025). </w:t>
      </w:r>
      <w:r>
        <w:t>Berberine: A rising star in the management of type 2 diabetes—Novel insights into its anti-inflammatory, metabolic, and epigenetic mechanisms</w:t>
      </w:r>
      <w:r>
        <w:t xml:space="preserve">. </w:t>
      </w:r>
      <w:r>
        <w:rPr>
          <w:i/>
        </w:rPr>
        <w:t>Pharmaceuticals</w:t>
      </w:r>
      <w:r>
        <w:t xml:space="preserve">, </w:t>
      </w:r>
      <w:r>
        <w:rPr>
          <w:i/>
        </w:rPr>
        <w:t>18</w:t>
      </w:r>
      <w:r>
        <w:t xml:space="preserve">(12), 1890. </w:t>
      </w:r>
      <w:hyperlink r:id="rId54">
        <w:r>
          <w:rPr>
            <w:color w:val="0563C1"/>
            <w:u w:val="single"/>
          </w:rPr>
          <w:t>https://doi.org/10.3390/ph18121890</w:t>
        </w:r>
      </w:hyperlink>
    </w:p>
    <w:p w14:paraId="0EE6F415" w14:textId="77777777" w:rsidR="0033203B" w:rsidRPr="00BF28F4" w:rsidRDefault="0033203B" w:rsidP="00AF6391">
      <w:pPr>
        <w:spacing w:after="80" w:before="0"/>
        <w:ind w:left="360" w:hanging="360"/>
        <w:jc w:val="left"/>
        <w:rPr>
          <w:rFonts w:ascii="Arial" w:hAnsi="Arial" w:cs="Arial"/>
        </w:rPr>
      </w:pPr>
      <w:r>
        <w:t xml:space="preserve">Lorke, D. (1983). </w:t>
      </w:r>
      <w:r>
        <w:t>A new approach to practical acute toxicity testing</w:t>
      </w:r>
      <w:r>
        <w:t xml:space="preserve">. </w:t>
      </w:r>
      <w:r>
        <w:rPr>
          <w:i/>
        </w:rPr>
        <w:t>Archives of Toxicology</w:t>
      </w:r>
      <w:r>
        <w:t xml:space="preserve">, </w:t>
      </w:r>
      <w:r>
        <w:rPr>
          <w:i/>
        </w:rPr>
        <w:t>54</w:t>
      </w:r>
      <w:r>
        <w:t xml:space="preserve">(4), 275–287. </w:t>
      </w:r>
      <w:hyperlink r:id="rId55">
        <w:r>
          <w:rPr>
            <w:color w:val="0563C1"/>
            <w:u w:val="single"/>
          </w:rPr>
          <w:t>https://doi.org/10.1007/BF01234480</w:t>
        </w:r>
      </w:hyperlink>
    </w:p>
    <w:p w14:paraId="4D2E7ADB" w14:textId="77777777" w:rsidR="008B5E56" w:rsidRPr="00BF28F4" w:rsidRDefault="00000000">
      <w:pPr>
        <w:spacing w:after="80" w:before="0"/>
        <w:ind w:left="360" w:hanging="360"/>
        <w:jc w:val="left"/>
      </w:pPr>
      <w:r>
        <w:t xml:space="preserve">Mehreen, A., Iqbal, M. A., Ashfaq, Z., Anwar, R., Mahmood, M., Jameel, F., &amp; Khan, M. A. (2024). </w:t>
      </w:r>
      <w:r>
        <w:t xml:space="preserve">Effects of </w:t>
      </w:r>
      <w:r>
        <w:rPr>
          <w:i/>
        </w:rPr>
        <w:t>Cucumis melo</w:t>
      </w:r>
      <w:r>
        <w:t xml:space="preserve"> and </w:t>
      </w:r>
      <w:r>
        <w:rPr>
          <w:i/>
        </w:rPr>
        <w:t>Citrullus lanatus</w:t>
      </w:r>
      <w:r>
        <w:t xml:space="preserve"> extracts on glucose level, lipid profile and hepato-renal performance of streptozotocin-induced diabetic albino rats</w:t>
      </w:r>
      <w:r>
        <w:t xml:space="preserve">. </w:t>
      </w:r>
      <w:r>
        <w:rPr>
          <w:i/>
        </w:rPr>
        <w:t>Pakistan Journal of Pharmaceutical Sciences</w:t>
      </w:r>
      <w:r>
        <w:t xml:space="preserve">, </w:t>
      </w:r>
      <w:r>
        <w:rPr>
          <w:i/>
        </w:rPr>
        <w:t>37</w:t>
      </w:r>
      <w:r>
        <w:t xml:space="preserve">(1), 71–78. </w:t>
      </w:r>
      <w:hyperlink r:id="rId56">
        <w:r>
          <w:rPr>
            <w:color w:val="0563C1"/>
            <w:u w:val="single"/>
          </w:rPr>
          <w:t>https://pubmed.ncbi.nlm.nih.gov/38741402/</w:t>
        </w:r>
      </w:hyperlink>
    </w:p>
    <w:p w14:paraId="0B2C0A5D" w14:textId="77777777" w:rsidR="0033203B" w:rsidRPr="00BF28F4" w:rsidRDefault="0033203B" w:rsidP="00F46C8B">
      <w:pPr>
        <w:tabs>
          <w:tab w:val="left" w:pos="2040"/>
          <w:tab w:val="left" w:pos="3975"/>
        </w:tabs>
        <w:spacing w:after="80" w:before="0"/>
        <w:ind w:left="360" w:hanging="360"/>
        <w:jc w:val="left"/>
        <w:rPr>
          <w:rFonts w:ascii="Arial" w:hAnsi="Arial" w:cs="Arial"/>
        </w:rPr>
      </w:pPr>
      <w:r>
        <w:t xml:space="preserve">Obembe, O. O., Abayomi, T. A., Tokunbo, O. S., Dare, J. B., &amp; Usman, T. O. (2023). </w:t>
      </w:r>
      <w:r>
        <w:t xml:space="preserve">Sex hormones, antioxidants and lipid profile of aqueous </w:t>
      </w:r>
      <w:r>
        <w:rPr>
          <w:i/>
        </w:rPr>
        <w:t>Cucumis sativus</w:t>
      </w:r>
      <w:r>
        <w:t xml:space="preserve"> L. (cucumber) treated male rats</w:t>
      </w:r>
      <w:r>
        <w:t xml:space="preserve">. </w:t>
      </w:r>
      <w:r>
        <w:rPr>
          <w:i/>
        </w:rPr>
        <w:t>International Journal of Medicine and Health Development</w:t>
      </w:r>
      <w:r>
        <w:t xml:space="preserve">, </w:t>
      </w:r>
      <w:r>
        <w:rPr>
          <w:i/>
        </w:rPr>
        <w:t>28</w:t>
      </w:r>
      <w:r>
        <w:t xml:space="preserve">(2), 114–118. </w:t>
      </w:r>
      <w:hyperlink r:id="rId57">
        <w:r>
          <w:rPr>
            <w:color w:val="0563C1"/>
            <w:u w:val="single"/>
          </w:rPr>
          <w:t>https://doi.org/10.4103/ijmh.ijmh_45_22</w:t>
        </w:r>
      </w:hyperlink>
    </w:p>
    <w:p w14:paraId="33964D5B" w14:textId="77777777" w:rsidR="008B5E56" w:rsidRPr="00BF28F4" w:rsidRDefault="00000000">
      <w:pPr>
        <w:spacing w:after="80" w:line="276" w:lineRule="auto" w:before="0"/>
        <w:ind w:left="360" w:hanging="360"/>
        <w:jc w:val="left"/>
      </w:pPr>
      <w:r>
        <w:t xml:space="preserve">Odoemelam, C. U., Obisike, U. A., &amp; Tamuno-Emine, D. (2022). </w:t>
      </w:r>
      <w:r>
        <w:t xml:space="preserve">Effect of </w:t>
      </w:r>
      <w:r>
        <w:rPr>
          <w:i/>
        </w:rPr>
        <w:t>Cucumis sativus</w:t>
      </w:r>
      <w:r>
        <w:t xml:space="preserve"> and </w:t>
      </w:r>
      <w:r>
        <w:rPr>
          <w:i/>
        </w:rPr>
        <w:t>Prunus armeniaca</w:t>
      </w:r>
      <w:r>
        <w:t xml:space="preserve"> juices on blood glucose, insulin and electrolytes of alloxan induced diabetic male Sprague Dawley rats</w:t>
      </w:r>
      <w:r>
        <w:t xml:space="preserve">. </w:t>
      </w:r>
      <w:r>
        <w:rPr>
          <w:i/>
        </w:rPr>
        <w:t>Asian Journal of Medicine and Health</w:t>
      </w:r>
      <w:r>
        <w:t xml:space="preserve">, </w:t>
      </w:r>
      <w:r>
        <w:rPr>
          <w:i/>
        </w:rPr>
        <w:t>20</w:t>
      </w:r>
      <w:r>
        <w:t xml:space="preserve">(10), 49–59. </w:t>
      </w:r>
      <w:hyperlink r:id="rId26">
        <w:r>
          <w:rPr>
            <w:color w:val="0563C1"/>
            <w:u w:val="single"/>
          </w:rPr>
          <w:t>https://doi.org/10.9734/ajmah/2022/v20i1030505</w:t>
        </w:r>
      </w:hyperlink>
    </w:p>
    <w:p w14:paraId="28225F0C" w14:textId="77777777" w:rsidR="0033203B" w:rsidRPr="00BF28F4" w:rsidRDefault="0033203B" w:rsidP="00F46C8B">
      <w:pPr>
        <w:tabs>
          <w:tab w:val="left" w:pos="2040"/>
          <w:tab w:val="left" w:pos="3975"/>
        </w:tabs>
        <w:spacing w:after="80" w:before="0"/>
        <w:ind w:left="360" w:hanging="360"/>
        <w:jc w:val="left"/>
        <w:rPr>
          <w:rFonts w:ascii="Arial" w:hAnsi="Arial" w:cs="Arial"/>
        </w:rPr>
      </w:pPr>
      <w:r>
        <w:t xml:space="preserve">Organisation for Economic Co-operation and Development (2002). </w:t>
      </w:r>
      <w:r>
        <w:rPr>
          <w:i/>
        </w:rPr>
        <w:t>Test No. 423: Acute oral toxicity—Acute toxic class method</w:t>
      </w:r>
      <w:r>
        <w:t xml:space="preserve">. OECD Guidelines for the Testing of Chemicals, Section 4. OECD Publishing. </w:t>
      </w:r>
      <w:hyperlink r:id="rId25">
        <w:r>
          <w:rPr>
            <w:color w:val="0563C1"/>
            <w:u w:val="single"/>
          </w:rPr>
          <w:t>https://doi.org/10.1787/9789264071001-en</w:t>
        </w:r>
      </w:hyperlink>
    </w:p>
    <w:p w14:paraId="49A511AC" w14:textId="77777777" w:rsidR="0033203B" w:rsidRPr="00BF28F4" w:rsidRDefault="0033203B" w:rsidP="00F46C8B">
      <w:pPr>
        <w:tabs>
          <w:tab w:val="left" w:pos="2040"/>
          <w:tab w:val="left" w:pos="3975"/>
        </w:tabs>
        <w:spacing w:after="80" w:before="0"/>
        <w:ind w:left="360" w:hanging="360"/>
        <w:jc w:val="left"/>
        <w:rPr>
          <w:rFonts w:ascii="Arial" w:hAnsi="Arial" w:cs="Arial"/>
        </w:rPr>
      </w:pPr>
      <w:r>
        <w:t xml:space="preserve">Owo, G. J., &amp; Beresford, S. J. (2020). </w:t>
      </w:r>
      <w:r>
        <w:t xml:space="preserve">Blood sugar lowering potentials of aqueous and ethanol extracts of the mixture of rinds of </w:t>
      </w:r>
      <w:r>
        <w:rPr>
          <w:i/>
        </w:rPr>
        <w:t>Citrullus vulgaris</w:t>
      </w:r>
      <w:r>
        <w:t xml:space="preserve"> Schrad (watermelon) and </w:t>
      </w:r>
      <w:r>
        <w:rPr>
          <w:i/>
        </w:rPr>
        <w:t>Chrysophyllum albidum</w:t>
      </w:r>
      <w:r>
        <w:t xml:space="preserve"> G. (Udara) fruits on alloxan-induced diabetic Wistar rats</w:t>
      </w:r>
      <w:r>
        <w:t xml:space="preserve">. </w:t>
      </w:r>
      <w:r>
        <w:rPr>
          <w:i/>
        </w:rPr>
        <w:t>Journal of Pharmaceutical Research International</w:t>
      </w:r>
      <w:r>
        <w:t xml:space="preserve">, </w:t>
      </w:r>
      <w:r>
        <w:rPr>
          <w:i/>
        </w:rPr>
        <w:t>32</w:t>
      </w:r>
      <w:r>
        <w:t xml:space="preserve">, 86–90. </w:t>
      </w:r>
      <w:hyperlink r:id="rId58">
        <w:r>
          <w:rPr>
            <w:color w:val="0563C1"/>
            <w:u w:val="single"/>
          </w:rPr>
          <w:t>https://doi.org/10.9734/jpri/2020/v32i2130755</w:t>
        </w:r>
      </w:hyperlink>
    </w:p>
    <w:p w14:paraId="5CA3C3CE" w14:textId="77777777" w:rsidR="0033203B" w:rsidRPr="00BF28F4" w:rsidRDefault="0033203B" w:rsidP="00F46C8B">
      <w:pPr>
        <w:tabs>
          <w:tab w:val="left" w:pos="2040"/>
          <w:tab w:val="left" w:pos="3975"/>
        </w:tabs>
        <w:spacing w:after="80" w:line="276" w:lineRule="auto" w:before="0"/>
        <w:ind w:left="360" w:hanging="360"/>
        <w:jc w:val="left"/>
        <w:rPr>
          <w:rFonts w:ascii="Arial" w:hAnsi="Arial" w:cs="Arial"/>
          <w:lang w:val="en-GB"/>
        </w:rPr>
      </w:pPr>
      <w:r>
        <w:t xml:space="preserve">Palmer, B. F., &amp; Clegg, D. J. (2022). </w:t>
      </w:r>
      <w:r>
        <w:t>Metabolic flexibility and its impact on health outcomes</w:t>
      </w:r>
      <w:r>
        <w:t xml:space="preserve">. </w:t>
      </w:r>
      <w:r>
        <w:rPr>
          <w:i/>
        </w:rPr>
        <w:t>Mayo Clinic Proceedings</w:t>
      </w:r>
      <w:r>
        <w:t xml:space="preserve">, </w:t>
      </w:r>
      <w:r>
        <w:rPr>
          <w:i/>
        </w:rPr>
        <w:t>97</w:t>
      </w:r>
      <w:r>
        <w:t xml:space="preserve">(4), 761–776. </w:t>
      </w:r>
      <w:hyperlink r:id="rId59">
        <w:r>
          <w:rPr>
            <w:color w:val="0563C1"/>
            <w:u w:val="single"/>
          </w:rPr>
          <w:t>https://doi.org/10.1016/j.mayocp.2022.01.012</w:t>
        </w:r>
      </w:hyperlink>
    </w:p>
    <w:p w14:paraId="1C0581EE" w14:textId="77777777" w:rsidR="0033203B" w:rsidRPr="00BF28F4" w:rsidRDefault="0033203B" w:rsidP="00AF6391">
      <w:pPr>
        <w:spacing w:after="80" w:before="0"/>
        <w:ind w:left="360" w:hanging="360"/>
        <w:jc w:val="left"/>
        <w:rPr>
          <w:rFonts w:ascii="Arial" w:hAnsi="Arial" w:cs="Arial"/>
        </w:rPr>
      </w:pPr>
      <w:r>
        <w:t xml:space="preserve">Rejali, L., Ozumerzifon, S., Nayeri, H., &amp; Asgary, S. (2022). </w:t>
      </w:r>
      <w:r>
        <w:t>Risk reduction and prevention of cardiovascular diseases: Biological mechanisms of lycopene</w:t>
      </w:r>
      <w:r>
        <w:t xml:space="preserve">. </w:t>
      </w:r>
      <w:r>
        <w:rPr>
          <w:i/>
        </w:rPr>
        <w:t>Bioactive Compounds in Health and Disease</w:t>
      </w:r>
      <w:r>
        <w:t xml:space="preserve">, </w:t>
      </w:r>
      <w:r>
        <w:rPr>
          <w:i/>
        </w:rPr>
        <w:t>5</w:t>
      </w:r>
      <w:r>
        <w:t xml:space="preserve">(10), 202–221. </w:t>
      </w:r>
      <w:hyperlink r:id="rId60">
        <w:r>
          <w:rPr>
            <w:color w:val="0563C1"/>
            <w:u w:val="single"/>
          </w:rPr>
          <w:t>https://doi.org/10.31989/bchd.v5i10.975</w:t>
        </w:r>
      </w:hyperlink>
    </w:p>
    <w:p w14:paraId="1A564C79" w14:textId="77777777" w:rsidR="0033203B" w:rsidRPr="00BF28F4" w:rsidRDefault="0033203B" w:rsidP="00F46C8B">
      <w:pPr>
        <w:tabs>
          <w:tab w:val="left" w:pos="2040"/>
          <w:tab w:val="left" w:pos="3975"/>
        </w:tabs>
        <w:spacing w:after="80" w:before="0"/>
        <w:ind w:left="360" w:hanging="360"/>
        <w:jc w:val="left"/>
        <w:rPr>
          <w:rFonts w:ascii="Arial" w:hAnsi="Arial" w:cs="Arial"/>
        </w:rPr>
      </w:pPr>
      <w:r>
        <w:t xml:space="preserve">Rezq, A. A. (2017). </w:t>
      </w:r>
      <w:r>
        <w:t>Antidiabetic activity and antioxidant role of watermelon (</w:t>
      </w:r>
      <w:r>
        <w:rPr>
          <w:i/>
        </w:rPr>
        <w:t>Citrullus lanatus</w:t>
      </w:r>
      <w:r>
        <w:t>) peels in streptozotocin-induced diabetic rats</w:t>
      </w:r>
      <w:r>
        <w:t xml:space="preserve">. </w:t>
      </w:r>
      <w:r>
        <w:rPr>
          <w:i/>
        </w:rPr>
        <w:t>Egyptian Journal of Nutrition</w:t>
      </w:r>
      <w:r>
        <w:t xml:space="preserve">, </w:t>
      </w:r>
      <w:r>
        <w:rPr>
          <w:i/>
        </w:rPr>
        <w:t>32</w:t>
      </w:r>
      <w:r>
        <w:t xml:space="preserve">(2). </w:t>
      </w:r>
      <w:hyperlink r:id="rId61">
        <w:r>
          <w:rPr>
            <w:color w:val="0563C1"/>
            <w:u w:val="single"/>
          </w:rPr>
          <w:t>https://www.researchgate.net/publication/329885592_Antidiabetic_activity_and_antioxidant_role_of_Watermelon_Citrullus_lanatus_Peels_in_Streptozotocine-induced_diabetic_rats</w:t>
        </w:r>
      </w:hyperlink>
    </w:p>
    <w:p w14:paraId="7BC07C98" w14:textId="77777777" w:rsidR="0033203B" w:rsidRPr="00BF28F4" w:rsidRDefault="0033203B" w:rsidP="00F46C8B">
      <w:pPr>
        <w:tabs>
          <w:tab w:val="left" w:pos="2040"/>
          <w:tab w:val="left" w:pos="3975"/>
        </w:tabs>
        <w:spacing w:after="80" w:line="276" w:lineRule="auto" w:before="0"/>
        <w:ind w:left="360" w:hanging="360"/>
        <w:jc w:val="left"/>
        <w:rPr>
          <w:rFonts w:ascii="Arial" w:hAnsi="Arial" w:cs="Arial"/>
        </w:rPr>
      </w:pPr>
      <w:r>
        <w:t xml:space="preserve">Singh, G., Sharma, V., &amp; Udeh, B. N. (2026). </w:t>
      </w:r>
      <w:r>
        <w:t>Medicinal plants and lead phytomolecules as immunomodulators: An updated review</w:t>
      </w:r>
      <w:r>
        <w:t xml:space="preserve">. </w:t>
      </w:r>
      <w:r>
        <w:rPr>
          <w:i/>
        </w:rPr>
        <w:t>BioMed Research International</w:t>
      </w:r>
      <w:r>
        <w:t xml:space="preserve">, </w:t>
      </w:r>
      <w:r>
        <w:rPr>
          <w:i/>
        </w:rPr>
        <w:t>2026</w:t>
      </w:r>
      <w:r>
        <w:t xml:space="preserve">, 6998034. </w:t>
      </w:r>
      <w:hyperlink r:id="rId62">
        <w:r>
          <w:rPr>
            <w:color w:val="0563C1"/>
            <w:u w:val="single"/>
          </w:rPr>
          <w:t>https://doi.org/10.1155/bmri/6998034</w:t>
        </w:r>
      </w:hyperlink>
    </w:p>
    <w:p w14:paraId="0F7931D0" w14:textId="77777777" w:rsidR="0033203B" w:rsidRPr="00BF28F4" w:rsidRDefault="0033203B" w:rsidP="00AF6391">
      <w:pPr>
        <w:spacing w:after="80" w:before="0"/>
        <w:ind w:left="360" w:hanging="360"/>
        <w:jc w:val="left"/>
        <w:rPr>
          <w:rFonts w:ascii="Arial" w:hAnsi="Arial" w:cs="Arial"/>
          <w:lang w:val="en-GB"/>
        </w:rPr>
      </w:pPr>
      <w:r>
        <w:t xml:space="preserve">Szymczak-Pajor, I., Wenclewska, S., &amp; Śliwińska, A. (2022). </w:t>
      </w:r>
      <w:r>
        <w:t>Metabolic action of metformin</w:t>
      </w:r>
      <w:r>
        <w:t xml:space="preserve">. </w:t>
      </w:r>
      <w:r>
        <w:rPr>
          <w:i/>
        </w:rPr>
        <w:t>Pharmaceuticals</w:t>
      </w:r>
      <w:r>
        <w:t xml:space="preserve">, </w:t>
      </w:r>
      <w:r>
        <w:rPr>
          <w:i/>
        </w:rPr>
        <w:t>15</w:t>
      </w:r>
      <w:r>
        <w:t xml:space="preserve">(7), 810. </w:t>
      </w:r>
      <w:hyperlink r:id="rId63">
        <w:r>
          <w:rPr>
            <w:color w:val="0563C1"/>
            <w:u w:val="single"/>
          </w:rPr>
          <w:t>https://doi.org/10.3390/ph15070810</w:t>
        </w:r>
      </w:hyperlink>
    </w:p>
    <w:p w14:paraId="2D585731" w14:textId="77777777" w:rsidR="0033203B" w:rsidRPr="00BF28F4" w:rsidRDefault="0033203B" w:rsidP="00AF6391">
      <w:pPr>
        <w:spacing w:after="80" w:line="278" w:lineRule="auto" w:before="0"/>
        <w:ind w:left="360" w:hanging="360"/>
        <w:jc w:val="left"/>
        <w:rPr>
          <w:rFonts w:ascii="Arial" w:hAnsi="Arial" w:cs="Arial"/>
          <w:lang w:val="en-GB"/>
        </w:rPr>
      </w:pPr>
      <w:r>
        <w:t xml:space="preserve">Tasleem, H., Abbas, A., Afzal, M. K., Saeed, J., Pandey, B., Alrohily, W., Almutairy, A. F., Alotaibi, H., Alfuraih, S., Al Shammari, L., Mujahid, M., &amp; Ahmad, A. (2026). </w:t>
      </w:r>
      <w:r>
        <w:t xml:space="preserve">Phytochemical fingerprints by GC–MS, antidiabetic and multiorgan protective effects of </w:t>
      </w:r>
      <w:r>
        <w:rPr>
          <w:i/>
        </w:rPr>
        <w:t>Cucumis sativus</w:t>
      </w:r>
      <w:r>
        <w:t xml:space="preserve"> peel: An integrated in vitro, in vivo, and in silico study</w:t>
      </w:r>
      <w:r>
        <w:t xml:space="preserve">. </w:t>
      </w:r>
      <w:r>
        <w:rPr>
          <w:i/>
        </w:rPr>
        <w:t>Chemistry &amp; Biodiversity</w:t>
      </w:r>
      <w:r>
        <w:t xml:space="preserve">, </w:t>
      </w:r>
      <w:r>
        <w:rPr>
          <w:i/>
        </w:rPr>
        <w:t>23</w:t>
      </w:r>
      <w:r>
        <w:t xml:space="preserve">(6), e71363. </w:t>
      </w:r>
      <w:hyperlink r:id="rId64">
        <w:r>
          <w:rPr>
            <w:color w:val="0563C1"/>
            <w:u w:val="single"/>
          </w:rPr>
          <w:t>https://doi.org/10.1002/cbdv.71363</w:t>
        </w:r>
      </w:hyperlink>
    </w:p>
    <w:p w14:paraId="3115BE08" w14:textId="77777777" w:rsidR="0033203B" w:rsidRPr="00BF28F4" w:rsidRDefault="0033203B" w:rsidP="00F46C8B">
      <w:pPr>
        <w:tabs>
          <w:tab w:val="left" w:pos="2040"/>
          <w:tab w:val="left" w:pos="3975"/>
        </w:tabs>
        <w:spacing w:after="80" w:line="276" w:lineRule="auto" w:before="0"/>
        <w:ind w:left="360" w:hanging="360"/>
        <w:jc w:val="left"/>
        <w:rPr>
          <w:rFonts w:ascii="Arial" w:hAnsi="Arial" w:cs="Arial"/>
        </w:rPr>
      </w:pPr>
      <w:r>
        <w:t xml:space="preserve">Uro-Chukwu, H. C., Ezekwe, A. S., Roberts, F., Okari, K. A., &amp; Uro-Chukwu, F. N. C. (2024). </w:t>
      </w:r>
      <w:r>
        <w:t xml:space="preserve">Biochemical effects of high concentration of </w:t>
      </w:r>
      <w:r>
        <w:rPr>
          <w:i/>
        </w:rPr>
        <w:t>Colocasia esculenta</w:t>
      </w:r>
      <w:r>
        <w:t xml:space="preserve"> flour fed on streptozotocin-induced diabetic rats</w:t>
      </w:r>
      <w:r>
        <w:t xml:space="preserve">. </w:t>
      </w:r>
      <w:r>
        <w:rPr>
          <w:i/>
        </w:rPr>
        <w:t>International Research Journal of Gastroenterology and Hepatology</w:t>
      </w:r>
      <w:r>
        <w:t xml:space="preserve">, </w:t>
      </w:r>
      <w:r>
        <w:rPr>
          <w:i/>
        </w:rPr>
        <w:t>7</w:t>
      </w:r>
      <w:r>
        <w:t xml:space="preserve">(1), 51–67. </w:t>
      </w:r>
      <w:hyperlink r:id="rId65">
        <w:r>
          <w:rPr>
            <w:color w:val="0563C1"/>
            <w:u w:val="single"/>
          </w:rPr>
          <w:t>https://journalirjgh.com/index.php/IRJGH/article/view/98</w:t>
        </w:r>
      </w:hyperlink>
    </w:p>
    <w:p w14:paraId="2A27FA78" w14:textId="77777777" w:rsidR="0033203B" w:rsidRPr="00BF28F4" w:rsidRDefault="0033203B" w:rsidP="00F46C8B">
      <w:pPr>
        <w:tabs>
          <w:tab w:val="left" w:pos="2040"/>
          <w:tab w:val="left" w:pos="3975"/>
        </w:tabs>
        <w:spacing w:after="80" w:before="0"/>
        <w:ind w:left="360" w:hanging="360"/>
        <w:jc w:val="left"/>
        <w:rPr>
          <w:rFonts w:ascii="Arial" w:hAnsi="Arial" w:cs="Arial"/>
        </w:rPr>
      </w:pPr>
      <w:r>
        <w:t xml:space="preserve">Uthpala, T. G. G., Marapana, R. A. U. J., Lakmini, K. P. C., &amp; Wettimuny, D. C. (2020). </w:t>
      </w:r>
      <w:r>
        <w:t>Nutritional bioactive compounds and health benefits of fresh and processed cucumber (</w:t>
      </w:r>
      <w:r>
        <w:rPr>
          <w:i/>
        </w:rPr>
        <w:t>Cucumis sativus</w:t>
      </w:r>
      <w:r>
        <w:t xml:space="preserve"> L.)</w:t>
      </w:r>
      <w:r>
        <w:t xml:space="preserve">. </w:t>
      </w:r>
      <w:r>
        <w:rPr>
          <w:i/>
        </w:rPr>
        <w:t>Sumerianz Journal of Biotechnology</w:t>
      </w:r>
      <w:r>
        <w:t xml:space="preserve">, </w:t>
      </w:r>
      <w:r>
        <w:rPr>
          <w:i/>
        </w:rPr>
        <w:t>3</w:t>
      </w:r>
      <w:r>
        <w:t xml:space="preserve">(9), 75–82. </w:t>
      </w:r>
      <w:hyperlink r:id="rId66">
        <w:r>
          <w:rPr>
            <w:color w:val="0563C1"/>
            <w:u w:val="single"/>
          </w:rPr>
          <w:t>https://www.sumerianz.com/pdf-files/sjb3%289%2975-82.pdf</w:t>
        </w:r>
      </w:hyperlink>
    </w:p>
    <w:p w14:paraId="5AC0A4F5" w14:textId="77777777" w:rsidR="008B5E56" w:rsidRPr="00BF28F4" w:rsidRDefault="00000000">
      <w:pPr>
        <w:spacing w:after="80" w:line="276" w:lineRule="auto" w:before="0"/>
        <w:ind w:left="360" w:hanging="360"/>
        <w:jc w:val="left"/>
      </w:pPr>
      <w:r>
        <w:t xml:space="preserve">Zafar, S., Amjad, A., Waseem, M., Sultan, M. T., Israr, M., Manzoor, M. F., &amp; Mugabi, R. (2026). </w:t>
      </w:r>
      <w:r>
        <w:t>Watermelon (</w:t>
      </w:r>
      <w:r>
        <w:rPr>
          <w:i/>
        </w:rPr>
        <w:t>Citrullus lanatus</w:t>
      </w:r>
      <w:r>
        <w:t xml:space="preserve"> L.): A functional food with potential therapeutic by-products</w:t>
      </w:r>
      <w:r>
        <w:t xml:space="preserve">. </w:t>
      </w:r>
      <w:r>
        <w:rPr>
          <w:i/>
        </w:rPr>
        <w:t>Cogent Food &amp; Agriculture</w:t>
      </w:r>
      <w:r>
        <w:t xml:space="preserve">, </w:t>
      </w:r>
      <w:r>
        <w:rPr>
          <w:i/>
        </w:rPr>
        <w:t>12</w:t>
      </w:r>
      <w:r>
        <w:t xml:space="preserve">(1), 2673601. </w:t>
      </w:r>
      <w:hyperlink r:id="rId27">
        <w:r>
          <w:rPr>
            <w:color w:val="0563C1"/>
            <w:u w:val="single"/>
          </w:rPr>
          <w:t>https://doi.org/10.1080/23311932.2026.2673601</w:t>
        </w:r>
      </w:hyperlink>
    </w:p>
    <w:p w14:paraId="2B854344" w14:textId="77777777" w:rsidR="0033203B" w:rsidRPr="00BF28F4" w:rsidRDefault="0033203B" w:rsidP="00F46C8B">
      <w:pPr>
        <w:tabs>
          <w:tab w:val="left" w:pos="2040"/>
          <w:tab w:val="left" w:pos="3975"/>
        </w:tabs>
        <w:spacing w:after="80" w:line="276" w:lineRule="auto" w:before="0"/>
        <w:ind w:left="360" w:hanging="360"/>
        <w:jc w:val="left"/>
        <w:rPr>
          <w:rFonts w:ascii="Arial" w:hAnsi="Arial" w:cs="Arial"/>
        </w:rPr>
      </w:pPr>
      <w:r>
        <w:t xml:space="preserve">Zhang, D., Wei, Y., Huang, Q., Chen, Y., Zeng, K., Yang, W., Chen, J., &amp; Chen, J. (2022). </w:t>
      </w:r>
      <w:r>
        <w:t>Important hormones regulating lipid metabolism</w:t>
      </w:r>
      <w:r>
        <w:t xml:space="preserve">. </w:t>
      </w:r>
      <w:r>
        <w:rPr>
          <w:i/>
        </w:rPr>
        <w:t>Molecules</w:t>
      </w:r>
      <w:r>
        <w:t xml:space="preserve">, </w:t>
      </w:r>
      <w:r>
        <w:rPr>
          <w:i/>
        </w:rPr>
        <w:t>27</w:t>
      </w:r>
      <w:r>
        <w:t xml:space="preserve">(20), 7052. </w:t>
      </w:r>
      <w:hyperlink r:id="rId67">
        <w:r>
          <w:rPr>
            <w:color w:val="0563C1"/>
            <w:u w:val="single"/>
          </w:rPr>
          <w:t>https://doi.org/10.3390/molecules27207052</w:t>
        </w:r>
      </w:hyperlink>
    </w:p>
    <w:p w14:paraId="6665E213" w14:textId="77777777" w:rsidR="00B01FCD" w:rsidRPr="00421551" w:rsidRDefault="0033203B" w:rsidP="00421551">
      <w:pPr>
        <w:spacing w:after="80" w:before="0"/>
        <w:ind w:left="360" w:hanging="360"/>
        <w:jc w:val="left"/>
        <w:rPr>
          <w:rFonts w:ascii="Arial" w:hAnsi="Arial" w:cs="Arial"/>
        </w:rPr>
      </w:pPr>
      <w:r>
        <w:t xml:space="preserve">Zhao, L., Yuan, J., Yang, Q., Ma, J., Yang, F., Zou, Y., Liu, K., &amp; Liu, F. (2026). </w:t>
      </w:r>
      <w:r>
        <w:t>Diabetes and its complications: Molecular mechanisms, prevention and treatment</w:t>
      </w:r>
      <w:r>
        <w:t xml:space="preserve">. </w:t>
      </w:r>
      <w:r>
        <w:rPr>
          <w:i/>
        </w:rPr>
        <w:t>Signal Transduction and Targeted Therapy</w:t>
      </w:r>
      <w:r>
        <w:t xml:space="preserve">, </w:t>
      </w:r>
      <w:r>
        <w:rPr>
          <w:i/>
        </w:rPr>
        <w:t>11</w:t>
      </w:r>
      <w:r>
        <w:t xml:space="preserve">(1), 22. </w:t>
      </w:r>
      <w:hyperlink r:id="rId68">
        <w:r>
          <w:rPr>
            <w:color w:val="0563C1"/>
            <w:u w:val="single"/>
          </w:rPr>
          <w:t>https://doi.org/10.1038/s41392-025-02401-w</w:t>
        </w:r>
      </w:hyperlink>
    </w:p>
    <w:sectPr w:rsidR="00B01FCD" w:rsidRPr="00421551" w:rsidSect="00843D29">
      <w:headerReference w:type="even" r:id="rId28"/>
      <w:headerReference w:type="default" r:id="rId29"/>
      <w:footerReference w:type="default" r:id="rId30"/>
      <w:headerReference w:type="first" r:id="rId31"/>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360F3" w14:textId="77777777" w:rsidR="00061738" w:rsidRDefault="00061738" w:rsidP="00C37E61">
      <w:r>
        <w:separator/>
      </w:r>
    </w:p>
  </w:endnote>
  <w:endnote w:type="continuationSeparator" w:id="0">
    <w:p w14:paraId="0D479054" w14:textId="77777777" w:rsidR="00061738" w:rsidRDefault="00061738"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E1535" w14:textId="77777777" w:rsidR="0026628D" w:rsidRDefault="002662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F76A0" w14:textId="77777777" w:rsidR="0026628D" w:rsidRDefault="002662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83B60" w14:textId="77777777" w:rsidR="00754C9A" w:rsidRPr="0026628D" w:rsidRDefault="00754C9A" w:rsidP="0026628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B272"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637E2" w14:textId="77777777" w:rsidR="00061738" w:rsidRDefault="00061738" w:rsidP="00C37E61">
      <w:r>
        <w:separator/>
      </w:r>
    </w:p>
  </w:footnote>
  <w:footnote w:type="continuationSeparator" w:id="0">
    <w:p w14:paraId="6F61233D" w14:textId="77777777" w:rsidR="00061738" w:rsidRDefault="00061738"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B2FF0" w14:textId="77777777" w:rsidR="0026628D" w:rsidRDefault="00000000">
    <w:pPr>
      <w:pStyle w:val="Header"/>
    </w:pPr>
    <w:r>
      <w:rPr>
        <w:noProof/>
      </w:rPr>
      <w:pict w14:anchorId="28221D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767672" o:spid="_x0000_s1026" type="#_x0000_t136" style="position:absolute;margin-left:0;margin-top:0;width:335.75pt;height:37.25pt;rotation:315;z-index:-25165619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065BA" w14:textId="77777777" w:rsidR="0026628D" w:rsidRDefault="00000000">
    <w:pPr>
      <w:pStyle w:val="Header"/>
    </w:pPr>
    <w:r>
      <w:rPr>
        <w:noProof/>
      </w:rPr>
      <w:pict w14:anchorId="573815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767673" o:spid="_x0000_s1027" type="#_x0000_t136" style="position:absolute;margin-left:0;margin-top:0;width:335.75pt;height:37.2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C4E" w14:textId="77777777" w:rsidR="00296529" w:rsidRPr="00296529" w:rsidRDefault="00000000" w:rsidP="00296529">
    <w:pPr>
      <w:ind w:left="2160"/>
      <w:jc w:val="center"/>
      <w:rPr>
        <w:rFonts w:ascii="Times New Roman" w:eastAsia="Calibri" w:hAnsi="Times New Roman"/>
        <w:i/>
        <w:sz w:val="18"/>
        <w:szCs w:val="22"/>
      </w:rPr>
    </w:pPr>
    <w:r>
      <w:rPr>
        <w:noProof/>
      </w:rPr>
      <w:pict w14:anchorId="7DB469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767671" o:spid="_x0000_s1025" type="#_x0000_t136" style="position:absolute;left:0;text-align:left;margin-left:0;margin-top:0;width:335.75pt;height:37.25pt;rotation:315;z-index:-25165824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32E6D38D"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5C4E9253"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D506CA4"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164BE66"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0E91B55"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79CA6245"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7AEF2" w14:textId="77777777" w:rsidR="0026628D" w:rsidRDefault="00000000">
    <w:pPr>
      <w:pStyle w:val="Header"/>
    </w:pPr>
    <w:r>
      <w:rPr>
        <w:noProof/>
      </w:rPr>
      <w:pict w14:anchorId="41C633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767675" o:spid="_x0000_s1031" type="#_x0000_t136" style="position:absolute;margin-left:0;margin-top:0;width:335.75pt;height:37.2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28741F23">
        <v:shape id="_x0000_s1030" type="#_x0000_t136" style="position:absolute;margin-left:0;margin-top:0;width:335.75pt;height:37.25pt;rotation:315;z-index:-25165209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9F01C" w14:textId="77777777" w:rsidR="0026628D" w:rsidRDefault="00000000">
    <w:pPr>
      <w:pStyle w:val="Header"/>
    </w:pPr>
    <w:r>
      <w:rPr>
        <w:noProof/>
      </w:rPr>
      <w:pict w14:anchorId="48B538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767676" o:spid="_x0000_s1033" type="#_x0000_t136" style="position:absolute;margin-left:0;margin-top:0;width:335.75pt;height:37.2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2298BBE5">
        <v:shape id="_x0000_s1032" type="#_x0000_t136" style="position:absolute;margin-left:0;margin-top:0;width:335.75pt;height:37.25pt;rotation:315;z-index:-25165004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AAD06" w14:textId="77777777" w:rsidR="0026628D" w:rsidRPr="00296529" w:rsidRDefault="00000000" w:rsidP="00296529">
    <w:pPr>
      <w:ind w:left="2160"/>
      <w:jc w:val="center"/>
      <w:rPr>
        <w:rFonts w:ascii="Times New Roman" w:eastAsia="Calibri" w:hAnsi="Times New Roman"/>
        <w:i/>
        <w:sz w:val="18"/>
        <w:szCs w:val="22"/>
      </w:rPr>
    </w:pPr>
    <w:r>
      <w:rPr>
        <w:noProof/>
      </w:rPr>
      <w:pict w14:anchorId="22071E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767674" o:spid="_x0000_s1029" type="#_x0000_t136" style="position:absolute;left:0;text-align:left;margin-left:0;margin-top:0;width:335.75pt;height:37.2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63B2155">
        <v:shape id="_x0000_s1028" type="#_x0000_t136" style="position:absolute;left:0;text-align:left;margin-left:0;margin-top:0;width:335.75pt;height:37.25pt;rotation:315;z-index:-25165414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530C925A" w14:textId="77777777" w:rsidR="0026628D" w:rsidRPr="00296529" w:rsidRDefault="0026628D"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24576901" w14:textId="77777777" w:rsidR="0026628D" w:rsidRPr="00296529" w:rsidRDefault="0026628D"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8640AD4" w14:textId="77777777" w:rsidR="0026628D" w:rsidRPr="00296529" w:rsidRDefault="0026628D"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1003B16" w14:textId="77777777" w:rsidR="0026628D" w:rsidRDefault="0026628D"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40E78D30" w14:textId="77777777" w:rsidR="0026628D" w:rsidRDefault="0026628D"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0E204E3F" w14:textId="77777777" w:rsidR="0026628D" w:rsidRDefault="0026628D">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8C512D3"/>
    <w:multiLevelType w:val="hybridMultilevel"/>
    <w:tmpl w:val="9552E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21472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89050116">
    <w:abstractNumId w:val="16"/>
  </w:num>
  <w:num w:numId="3" w16cid:durableId="1426000878">
    <w:abstractNumId w:val="24"/>
  </w:num>
  <w:num w:numId="4" w16cid:durableId="178745897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342368061">
    <w:abstractNumId w:val="7"/>
  </w:num>
  <w:num w:numId="6" w16cid:durableId="1771588164">
    <w:abstractNumId w:val="6"/>
  </w:num>
  <w:num w:numId="7" w16cid:durableId="442503316">
    <w:abstractNumId w:val="1"/>
  </w:num>
  <w:num w:numId="8" w16cid:durableId="1252281280">
    <w:abstractNumId w:val="12"/>
  </w:num>
  <w:num w:numId="9" w16cid:durableId="1826504378">
    <w:abstractNumId w:val="26"/>
  </w:num>
  <w:num w:numId="10" w16cid:durableId="1992519963">
    <w:abstractNumId w:val="2"/>
  </w:num>
  <w:num w:numId="11" w16cid:durableId="140773281">
    <w:abstractNumId w:val="19"/>
  </w:num>
  <w:num w:numId="12" w16cid:durableId="906457456">
    <w:abstractNumId w:val="3"/>
  </w:num>
  <w:num w:numId="13" w16cid:durableId="667485594">
    <w:abstractNumId w:val="18"/>
  </w:num>
  <w:num w:numId="14" w16cid:durableId="1992363076">
    <w:abstractNumId w:val="8"/>
  </w:num>
  <w:num w:numId="15" w16cid:durableId="1042940778">
    <w:abstractNumId w:val="22"/>
  </w:num>
  <w:num w:numId="16" w16cid:durableId="526406348">
    <w:abstractNumId w:val="5"/>
  </w:num>
  <w:num w:numId="17" w16cid:durableId="1143498729">
    <w:abstractNumId w:val="23"/>
  </w:num>
  <w:num w:numId="18" w16cid:durableId="1437290867">
    <w:abstractNumId w:val="14"/>
  </w:num>
  <w:num w:numId="19" w16cid:durableId="651368445">
    <w:abstractNumId w:val="29"/>
  </w:num>
  <w:num w:numId="20" w16cid:durableId="1642298794">
    <w:abstractNumId w:val="11"/>
  </w:num>
  <w:num w:numId="21" w16cid:durableId="485128116">
    <w:abstractNumId w:val="9"/>
  </w:num>
  <w:num w:numId="22" w16cid:durableId="525337476">
    <w:abstractNumId w:val="13"/>
  </w:num>
  <w:num w:numId="23" w16cid:durableId="1691252016">
    <w:abstractNumId w:val="20"/>
  </w:num>
  <w:num w:numId="24" w16cid:durableId="1031682377">
    <w:abstractNumId w:val="27"/>
  </w:num>
  <w:num w:numId="25" w16cid:durableId="1625043119">
    <w:abstractNumId w:val="4"/>
  </w:num>
  <w:num w:numId="26" w16cid:durableId="2024817931">
    <w:abstractNumId w:val="17"/>
  </w:num>
  <w:num w:numId="27" w16cid:durableId="1331640111">
    <w:abstractNumId w:val="21"/>
  </w:num>
  <w:num w:numId="28" w16cid:durableId="922950992">
    <w:abstractNumId w:val="28"/>
  </w:num>
  <w:num w:numId="29" w16cid:durableId="40331520">
    <w:abstractNumId w:val="25"/>
  </w:num>
  <w:num w:numId="30" w16cid:durableId="964964584">
    <w:abstractNumId w:val="10"/>
  </w:num>
  <w:num w:numId="31" w16cid:durableId="155392778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474F0"/>
    <w:rsid w:val="00061738"/>
    <w:rsid w:val="000A47FA"/>
    <w:rsid w:val="000A65D3"/>
    <w:rsid w:val="000B1E33"/>
    <w:rsid w:val="000C7822"/>
    <w:rsid w:val="000D689F"/>
    <w:rsid w:val="000E6A5C"/>
    <w:rsid w:val="000E7B7B"/>
    <w:rsid w:val="000E7D62"/>
    <w:rsid w:val="000F5C70"/>
    <w:rsid w:val="00103357"/>
    <w:rsid w:val="00110A41"/>
    <w:rsid w:val="00123C9F"/>
    <w:rsid w:val="00126190"/>
    <w:rsid w:val="00130F17"/>
    <w:rsid w:val="00131651"/>
    <w:rsid w:val="001320BF"/>
    <w:rsid w:val="00146B96"/>
    <w:rsid w:val="00163BC4"/>
    <w:rsid w:val="00186001"/>
    <w:rsid w:val="00191062"/>
    <w:rsid w:val="00192B72"/>
    <w:rsid w:val="001A29D8"/>
    <w:rsid w:val="001A5CAA"/>
    <w:rsid w:val="001B0427"/>
    <w:rsid w:val="001B412B"/>
    <w:rsid w:val="001D3A51"/>
    <w:rsid w:val="001E10D2"/>
    <w:rsid w:val="001E25B4"/>
    <w:rsid w:val="001E44FE"/>
    <w:rsid w:val="00200595"/>
    <w:rsid w:val="00204835"/>
    <w:rsid w:val="00213B2E"/>
    <w:rsid w:val="002143A9"/>
    <w:rsid w:val="00231148"/>
    <w:rsid w:val="00231920"/>
    <w:rsid w:val="0023195C"/>
    <w:rsid w:val="0024282C"/>
    <w:rsid w:val="002460DC"/>
    <w:rsid w:val="00250985"/>
    <w:rsid w:val="002556F6"/>
    <w:rsid w:val="0026628D"/>
    <w:rsid w:val="00283105"/>
    <w:rsid w:val="00284C4C"/>
    <w:rsid w:val="00287E68"/>
    <w:rsid w:val="00296529"/>
    <w:rsid w:val="002A0AA8"/>
    <w:rsid w:val="002B27FB"/>
    <w:rsid w:val="002B685A"/>
    <w:rsid w:val="002C57D2"/>
    <w:rsid w:val="002D342B"/>
    <w:rsid w:val="002E0D56"/>
    <w:rsid w:val="0030128E"/>
    <w:rsid w:val="00315186"/>
    <w:rsid w:val="0033203B"/>
    <w:rsid w:val="0033343E"/>
    <w:rsid w:val="003512C2"/>
    <w:rsid w:val="00371FB6"/>
    <w:rsid w:val="00374733"/>
    <w:rsid w:val="003763C1"/>
    <w:rsid w:val="00376BBE"/>
    <w:rsid w:val="0039224F"/>
    <w:rsid w:val="00396771"/>
    <w:rsid w:val="003A31E6"/>
    <w:rsid w:val="003A43A4"/>
    <w:rsid w:val="003A7E18"/>
    <w:rsid w:val="003C2395"/>
    <w:rsid w:val="003C4131"/>
    <w:rsid w:val="003C4C86"/>
    <w:rsid w:val="003C6258"/>
    <w:rsid w:val="003E2904"/>
    <w:rsid w:val="003E2BEA"/>
    <w:rsid w:val="003E416C"/>
    <w:rsid w:val="00401927"/>
    <w:rsid w:val="0041027F"/>
    <w:rsid w:val="00412475"/>
    <w:rsid w:val="00416583"/>
    <w:rsid w:val="00421551"/>
    <w:rsid w:val="00423789"/>
    <w:rsid w:val="00440F43"/>
    <w:rsid w:val="00441B6F"/>
    <w:rsid w:val="00446221"/>
    <w:rsid w:val="00450E62"/>
    <w:rsid w:val="004539DB"/>
    <w:rsid w:val="00471A80"/>
    <w:rsid w:val="004D305E"/>
    <w:rsid w:val="004D4277"/>
    <w:rsid w:val="00502516"/>
    <w:rsid w:val="00505F06"/>
    <w:rsid w:val="00506828"/>
    <w:rsid w:val="0051313C"/>
    <w:rsid w:val="00524596"/>
    <w:rsid w:val="00526395"/>
    <w:rsid w:val="0053056E"/>
    <w:rsid w:val="00554FDA"/>
    <w:rsid w:val="00597FD4"/>
    <w:rsid w:val="005C24C1"/>
    <w:rsid w:val="005C784C"/>
    <w:rsid w:val="005D17F6"/>
    <w:rsid w:val="005E5539"/>
    <w:rsid w:val="00602BF5"/>
    <w:rsid w:val="00617FDD"/>
    <w:rsid w:val="0062163A"/>
    <w:rsid w:val="006234E8"/>
    <w:rsid w:val="00633614"/>
    <w:rsid w:val="00633F68"/>
    <w:rsid w:val="00636EB2"/>
    <w:rsid w:val="006375B8"/>
    <w:rsid w:val="0066510A"/>
    <w:rsid w:val="00673F9F"/>
    <w:rsid w:val="00681C7C"/>
    <w:rsid w:val="00685460"/>
    <w:rsid w:val="00686953"/>
    <w:rsid w:val="00687DEA"/>
    <w:rsid w:val="00687E67"/>
    <w:rsid w:val="006967F7"/>
    <w:rsid w:val="006A250C"/>
    <w:rsid w:val="006A282D"/>
    <w:rsid w:val="006B21D3"/>
    <w:rsid w:val="006B57D0"/>
    <w:rsid w:val="006D30FF"/>
    <w:rsid w:val="006D6940"/>
    <w:rsid w:val="006E5D1D"/>
    <w:rsid w:val="006F11EC"/>
    <w:rsid w:val="006F4EBB"/>
    <w:rsid w:val="0070082C"/>
    <w:rsid w:val="00720598"/>
    <w:rsid w:val="0073486D"/>
    <w:rsid w:val="007369E6"/>
    <w:rsid w:val="00746E59"/>
    <w:rsid w:val="00754C9A"/>
    <w:rsid w:val="0075599A"/>
    <w:rsid w:val="00761D52"/>
    <w:rsid w:val="0077749E"/>
    <w:rsid w:val="00790ADA"/>
    <w:rsid w:val="007B76DB"/>
    <w:rsid w:val="007D2288"/>
    <w:rsid w:val="007E088F"/>
    <w:rsid w:val="007F7B32"/>
    <w:rsid w:val="00804BC2"/>
    <w:rsid w:val="0081431A"/>
    <w:rsid w:val="0083216F"/>
    <w:rsid w:val="00843D29"/>
    <w:rsid w:val="00860000"/>
    <w:rsid w:val="00863BD3"/>
    <w:rsid w:val="008641ED"/>
    <w:rsid w:val="00866D66"/>
    <w:rsid w:val="008671C6"/>
    <w:rsid w:val="00870F7F"/>
    <w:rsid w:val="00875803"/>
    <w:rsid w:val="008954C1"/>
    <w:rsid w:val="008A2046"/>
    <w:rsid w:val="008A79F2"/>
    <w:rsid w:val="008B459E"/>
    <w:rsid w:val="008B5E56"/>
    <w:rsid w:val="008B60C6"/>
    <w:rsid w:val="008E13AE"/>
    <w:rsid w:val="008E1506"/>
    <w:rsid w:val="008E710C"/>
    <w:rsid w:val="008F023C"/>
    <w:rsid w:val="008F69D6"/>
    <w:rsid w:val="00902462"/>
    <w:rsid w:val="00902823"/>
    <w:rsid w:val="00915CA6"/>
    <w:rsid w:val="00927834"/>
    <w:rsid w:val="009500A6"/>
    <w:rsid w:val="009511DD"/>
    <w:rsid w:val="00957C18"/>
    <w:rsid w:val="009659BA"/>
    <w:rsid w:val="00966480"/>
    <w:rsid w:val="00983040"/>
    <w:rsid w:val="009B3FB9"/>
    <w:rsid w:val="009C2465"/>
    <w:rsid w:val="009D35A0"/>
    <w:rsid w:val="009D7EB7"/>
    <w:rsid w:val="009E048A"/>
    <w:rsid w:val="009E08E9"/>
    <w:rsid w:val="009E2424"/>
    <w:rsid w:val="009E3DB9"/>
    <w:rsid w:val="009E6E35"/>
    <w:rsid w:val="009F0EDA"/>
    <w:rsid w:val="00A03B96"/>
    <w:rsid w:val="00A05B19"/>
    <w:rsid w:val="00A1134E"/>
    <w:rsid w:val="00A24E7E"/>
    <w:rsid w:val="00A258C3"/>
    <w:rsid w:val="00A347C0"/>
    <w:rsid w:val="00A51431"/>
    <w:rsid w:val="00A539AD"/>
    <w:rsid w:val="00A83673"/>
    <w:rsid w:val="00A86457"/>
    <w:rsid w:val="00A94063"/>
    <w:rsid w:val="00AA6219"/>
    <w:rsid w:val="00AA74E0"/>
    <w:rsid w:val="00AB703F"/>
    <w:rsid w:val="00AC6BB8"/>
    <w:rsid w:val="00AD5419"/>
    <w:rsid w:val="00AE008F"/>
    <w:rsid w:val="00AE4CF6"/>
    <w:rsid w:val="00AF1E93"/>
    <w:rsid w:val="00AF6391"/>
    <w:rsid w:val="00B01FCD"/>
    <w:rsid w:val="00B1776C"/>
    <w:rsid w:val="00B52583"/>
    <w:rsid w:val="00B52896"/>
    <w:rsid w:val="00B53517"/>
    <w:rsid w:val="00B95236"/>
    <w:rsid w:val="00B96BD9"/>
    <w:rsid w:val="00BA1B01"/>
    <w:rsid w:val="00BA2641"/>
    <w:rsid w:val="00BA7179"/>
    <w:rsid w:val="00BB37AA"/>
    <w:rsid w:val="00BC53A0"/>
    <w:rsid w:val="00BE62AD"/>
    <w:rsid w:val="00BF121F"/>
    <w:rsid w:val="00BF1F80"/>
    <w:rsid w:val="00BF28F4"/>
    <w:rsid w:val="00C12B8F"/>
    <w:rsid w:val="00C166EF"/>
    <w:rsid w:val="00C17EB0"/>
    <w:rsid w:val="00C27F5F"/>
    <w:rsid w:val="00C30A0F"/>
    <w:rsid w:val="00C37E61"/>
    <w:rsid w:val="00C70F1B"/>
    <w:rsid w:val="00C71A47"/>
    <w:rsid w:val="00C73A45"/>
    <w:rsid w:val="00C7464C"/>
    <w:rsid w:val="00C8037A"/>
    <w:rsid w:val="00C85588"/>
    <w:rsid w:val="00CD6755"/>
    <w:rsid w:val="00CD6856"/>
    <w:rsid w:val="00CD7EE8"/>
    <w:rsid w:val="00CE0089"/>
    <w:rsid w:val="00CE793C"/>
    <w:rsid w:val="00CF193C"/>
    <w:rsid w:val="00D173F1"/>
    <w:rsid w:val="00D51AB4"/>
    <w:rsid w:val="00D611E7"/>
    <w:rsid w:val="00D74CB0"/>
    <w:rsid w:val="00D8295D"/>
    <w:rsid w:val="00DB7D18"/>
    <w:rsid w:val="00DC2A65"/>
    <w:rsid w:val="00DE15F0"/>
    <w:rsid w:val="00DE5663"/>
    <w:rsid w:val="00DE5B93"/>
    <w:rsid w:val="00DE78AA"/>
    <w:rsid w:val="00E053D0"/>
    <w:rsid w:val="00E15994"/>
    <w:rsid w:val="00E26B7B"/>
    <w:rsid w:val="00E3114E"/>
    <w:rsid w:val="00E31A70"/>
    <w:rsid w:val="00E34E30"/>
    <w:rsid w:val="00E35B02"/>
    <w:rsid w:val="00E5279D"/>
    <w:rsid w:val="00E66496"/>
    <w:rsid w:val="00E66B35"/>
    <w:rsid w:val="00E66E10"/>
    <w:rsid w:val="00E769F6"/>
    <w:rsid w:val="00E8407C"/>
    <w:rsid w:val="00E84F3C"/>
    <w:rsid w:val="00E85589"/>
    <w:rsid w:val="00E85B09"/>
    <w:rsid w:val="00EA012C"/>
    <w:rsid w:val="00EC1B43"/>
    <w:rsid w:val="00EC6A55"/>
    <w:rsid w:val="00EC6F8A"/>
    <w:rsid w:val="00ED0288"/>
    <w:rsid w:val="00EE52CB"/>
    <w:rsid w:val="00EF581D"/>
    <w:rsid w:val="00EF7FD8"/>
    <w:rsid w:val="00F01D10"/>
    <w:rsid w:val="00F06F59"/>
    <w:rsid w:val="00F17988"/>
    <w:rsid w:val="00F469F0"/>
    <w:rsid w:val="00F46C8B"/>
    <w:rsid w:val="00F53273"/>
    <w:rsid w:val="00F755E4"/>
    <w:rsid w:val="00F77D02"/>
    <w:rsid w:val="00FB3A86"/>
    <w:rsid w:val="00FC559F"/>
    <w:rsid w:val="00FD36C8"/>
    <w:rsid w:val="00FF7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1E37B9"/>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A8645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table" w:styleId="PlainTable2">
    <w:name w:val="Plain Table 2"/>
    <w:basedOn w:val="TableNormal"/>
    <w:uiPriority w:val="42"/>
    <w:rsid w:val="00DB7D1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B5351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semiHidden/>
    <w:rsid w:val="00A86457"/>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F46C8B"/>
    <w:pPr>
      <w:ind w:left="720"/>
      <w:contextualSpacing/>
    </w:pPr>
  </w:style>
  <w:style w:type="paragraph" w:styleId="NormalWeb">
    <w:name w:val="Normal (Web)"/>
    <w:basedOn w:val="Normal"/>
    <w:semiHidden/>
    <w:unhideWhenUsed/>
    <w:rsid w:val="0039677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43987626">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197554059">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311909499">
      <w:bodyDiv w:val="1"/>
      <w:marLeft w:val="0"/>
      <w:marRight w:val="0"/>
      <w:marTop w:val="0"/>
      <w:marBottom w:val="0"/>
      <w:divBdr>
        <w:top w:val="none" w:sz="0" w:space="0" w:color="auto"/>
        <w:left w:val="none" w:sz="0" w:space="0" w:color="auto"/>
        <w:bottom w:val="none" w:sz="0" w:space="0" w:color="auto"/>
        <w:right w:val="none" w:sz="0" w:space="0" w:color="auto"/>
      </w:divBdr>
      <w:divsChild>
        <w:div w:id="260719578">
          <w:marLeft w:val="0"/>
          <w:marRight w:val="0"/>
          <w:marTop w:val="0"/>
          <w:marBottom w:val="0"/>
          <w:divBdr>
            <w:top w:val="none" w:sz="0" w:space="0" w:color="auto"/>
            <w:left w:val="none" w:sz="0" w:space="0" w:color="auto"/>
            <w:bottom w:val="none" w:sz="0" w:space="0" w:color="auto"/>
            <w:right w:val="none" w:sz="0" w:space="0" w:color="auto"/>
          </w:divBdr>
          <w:divsChild>
            <w:div w:id="879825638">
              <w:marLeft w:val="0"/>
              <w:marRight w:val="0"/>
              <w:marTop w:val="0"/>
              <w:marBottom w:val="0"/>
              <w:divBdr>
                <w:top w:val="none" w:sz="0" w:space="0" w:color="auto"/>
                <w:left w:val="none" w:sz="0" w:space="0" w:color="auto"/>
                <w:bottom w:val="none" w:sz="0" w:space="0" w:color="auto"/>
                <w:right w:val="none" w:sz="0" w:space="0" w:color="auto"/>
              </w:divBdr>
              <w:divsChild>
                <w:div w:id="157196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583890">
      <w:bodyDiv w:val="1"/>
      <w:marLeft w:val="0"/>
      <w:marRight w:val="0"/>
      <w:marTop w:val="0"/>
      <w:marBottom w:val="0"/>
      <w:divBdr>
        <w:top w:val="none" w:sz="0" w:space="0" w:color="auto"/>
        <w:left w:val="none" w:sz="0" w:space="0" w:color="auto"/>
        <w:bottom w:val="none" w:sz="0" w:space="0" w:color="auto"/>
        <w:right w:val="none" w:sz="0" w:space="0" w:color="auto"/>
      </w:divBdr>
    </w:div>
    <w:div w:id="515969277">
      <w:bodyDiv w:val="1"/>
      <w:marLeft w:val="0"/>
      <w:marRight w:val="0"/>
      <w:marTop w:val="0"/>
      <w:marBottom w:val="0"/>
      <w:divBdr>
        <w:top w:val="none" w:sz="0" w:space="0" w:color="auto"/>
        <w:left w:val="none" w:sz="0" w:space="0" w:color="auto"/>
        <w:bottom w:val="none" w:sz="0" w:space="0" w:color="auto"/>
        <w:right w:val="none" w:sz="0" w:space="0" w:color="auto"/>
      </w:divBdr>
      <w:divsChild>
        <w:div w:id="1495949756">
          <w:marLeft w:val="0"/>
          <w:marRight w:val="0"/>
          <w:marTop w:val="0"/>
          <w:marBottom w:val="0"/>
          <w:divBdr>
            <w:top w:val="none" w:sz="0" w:space="0" w:color="auto"/>
            <w:left w:val="none" w:sz="0" w:space="0" w:color="auto"/>
            <w:bottom w:val="none" w:sz="0" w:space="0" w:color="auto"/>
            <w:right w:val="none" w:sz="0" w:space="0" w:color="auto"/>
          </w:divBdr>
          <w:divsChild>
            <w:div w:id="645209469">
              <w:marLeft w:val="0"/>
              <w:marRight w:val="0"/>
              <w:marTop w:val="0"/>
              <w:marBottom w:val="0"/>
              <w:divBdr>
                <w:top w:val="none" w:sz="0" w:space="0" w:color="auto"/>
                <w:left w:val="none" w:sz="0" w:space="0" w:color="auto"/>
                <w:bottom w:val="none" w:sz="0" w:space="0" w:color="auto"/>
                <w:right w:val="none" w:sz="0" w:space="0" w:color="auto"/>
              </w:divBdr>
              <w:divsChild>
                <w:div w:id="44073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087969667">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197811240">
      <w:bodyDiv w:val="1"/>
      <w:marLeft w:val="0"/>
      <w:marRight w:val="0"/>
      <w:marTop w:val="0"/>
      <w:marBottom w:val="0"/>
      <w:divBdr>
        <w:top w:val="none" w:sz="0" w:space="0" w:color="auto"/>
        <w:left w:val="none" w:sz="0" w:space="0" w:color="auto"/>
        <w:bottom w:val="none" w:sz="0" w:space="0" w:color="auto"/>
        <w:right w:val="none" w:sz="0" w:space="0" w:color="auto"/>
      </w:divBdr>
    </w:div>
    <w:div w:id="1415929938">
      <w:bodyDiv w:val="1"/>
      <w:marLeft w:val="0"/>
      <w:marRight w:val="0"/>
      <w:marTop w:val="0"/>
      <w:marBottom w:val="0"/>
      <w:divBdr>
        <w:top w:val="none" w:sz="0" w:space="0" w:color="auto"/>
        <w:left w:val="none" w:sz="0" w:space="0" w:color="auto"/>
        <w:bottom w:val="none" w:sz="0" w:space="0" w:color="auto"/>
        <w:right w:val="none" w:sz="0" w:space="0" w:color="auto"/>
      </w:divBdr>
    </w:div>
    <w:div w:id="1506246299">
      <w:bodyDiv w:val="1"/>
      <w:marLeft w:val="0"/>
      <w:marRight w:val="0"/>
      <w:marTop w:val="0"/>
      <w:marBottom w:val="0"/>
      <w:divBdr>
        <w:top w:val="none" w:sz="0" w:space="0" w:color="auto"/>
        <w:left w:val="none" w:sz="0" w:space="0" w:color="auto"/>
        <w:bottom w:val="none" w:sz="0" w:space="0" w:color="auto"/>
        <w:right w:val="none" w:sz="0" w:space="0" w:color="auto"/>
      </w:divBdr>
    </w:div>
    <w:div w:id="1519811803">
      <w:bodyDiv w:val="1"/>
      <w:marLeft w:val="0"/>
      <w:marRight w:val="0"/>
      <w:marTop w:val="0"/>
      <w:marBottom w:val="0"/>
      <w:divBdr>
        <w:top w:val="none" w:sz="0" w:space="0" w:color="auto"/>
        <w:left w:val="none" w:sz="0" w:space="0" w:color="auto"/>
        <w:bottom w:val="none" w:sz="0" w:space="0" w:color="auto"/>
        <w:right w:val="none" w:sz="0" w:space="0" w:color="auto"/>
      </w:divBdr>
    </w:div>
    <w:div w:id="1564215383">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892959949">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056081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hyperlink" Target="https://doi.org/10.9734/ajmah/2022/v20i1030505" TargetMode="External"/><Relationship Id="rId3" Type="http://schemas.openxmlformats.org/officeDocument/2006/relationships/styles" Target="styles.xml"/><Relationship Id="rId21" Type="http://schemas.openxmlformats.org/officeDocument/2006/relationships/hyperlink" Target="https://doi.org/10.3390/pharmaceutics17111469"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hyperlink" Target="https://doi.org/10.1787/9789264071001-en"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doi.org/10.1111/1750-3841.70092"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016/j.toxrep.2018.10.014"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fjs.fudutsinma.edu.ng/index.php/fjs/article/view/1644" TargetMode="External"/><Relationship Id="rId28" Type="http://schemas.openxmlformats.org/officeDocument/2006/relationships/header" Target="header4.xml"/><Relationship Id="rId10" Type="http://schemas.openxmlformats.org/officeDocument/2006/relationships/footer" Target="footer1.xml"/><Relationship Id="rId19" Type="http://schemas.openxmlformats.org/officeDocument/2006/relationships/hyperlink" Target="https://doi.org/10.5281/zenodo.16991012" TargetMode="Externa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s://doi.org/10.56557/ajoair/2025/v8i1514" TargetMode="External"/><Relationship Id="rId27" Type="http://schemas.openxmlformats.org/officeDocument/2006/relationships/hyperlink" Target="https://doi.org/10.1080/23311932.2026.2673601" TargetMode="External"/><Relationship Id="rId30" Type="http://schemas.openxmlformats.org/officeDocument/2006/relationships/footer" Target="footer4.xml"/><Relationship Id="rId8" Type="http://schemas.openxmlformats.org/officeDocument/2006/relationships/header" Target="header1.xml"/><Relationship Id="rId34" Type="http://schemas.openxmlformats.org/officeDocument/2006/relationships/hyperlink" Target="https://medicalsciencereview.com/index.php/Journal/article/view/1986" TargetMode="External"/><Relationship Id="rId35" Type="http://schemas.openxmlformats.org/officeDocument/2006/relationships/hyperlink" Target="https://doi.org/10.1108/NFS-02-2018-0038" TargetMode="External"/><Relationship Id="rId36" Type="http://schemas.openxmlformats.org/officeDocument/2006/relationships/hyperlink" Target="https://uijrt.com/volume-01-issue-09" TargetMode="External"/><Relationship Id="rId37" Type="http://schemas.openxmlformats.org/officeDocument/2006/relationships/hyperlink" Target="https://doi.org/10.48165/bpas.2023.39.1.6" TargetMode="External"/><Relationship Id="rId38" Type="http://schemas.openxmlformats.org/officeDocument/2006/relationships/hyperlink" Target="https://doi.org/10.1007/s40200-020-00515-2" TargetMode="External"/><Relationship Id="rId39" Type="http://schemas.openxmlformats.org/officeDocument/2006/relationships/hyperlink" Target="https://doi.org/10.3390/nu16213709" TargetMode="External"/><Relationship Id="rId40" Type="http://schemas.openxmlformats.org/officeDocument/2006/relationships/hyperlink" Target="https://doi.org/10.26402/jpp.2020.4.06" TargetMode="External"/><Relationship Id="rId41" Type="http://schemas.openxmlformats.org/officeDocument/2006/relationships/hyperlink" Target="https://doi.org/10.3390/ijms22147644" TargetMode="External"/><Relationship Id="rId42" Type="http://schemas.openxmlformats.org/officeDocument/2006/relationships/hyperlink" Target="https://doi.org/10.4103/njecp.njecp_1_21" TargetMode="External"/><Relationship Id="rId43" Type="http://schemas.openxmlformats.org/officeDocument/2006/relationships/hyperlink" Target="https://doi.org/10.56557/ajrib/2026/v9i168" TargetMode="External"/><Relationship Id="rId44" Type="http://schemas.openxmlformats.org/officeDocument/2006/relationships/hyperlink" Target="https://search.worldcat.org/title/21198097" TargetMode="External"/><Relationship Id="rId45" Type="http://schemas.openxmlformats.org/officeDocument/2006/relationships/hyperlink" Target="https://doi.org/10.22270/jddt.v10i1.3813" TargetMode="External"/><Relationship Id="rId46" Type="http://schemas.openxmlformats.org/officeDocument/2006/relationships/hyperlink" Target="https://agris.fao.org/search/en/providers/122535/records/65de0bdf4c5aef494fd93023" TargetMode="External"/><Relationship Id="rId47" Type="http://schemas.openxmlformats.org/officeDocument/2006/relationships/hyperlink" Target="https://doi.org/10.26538/tjnpr/v8i7.1" TargetMode="External"/><Relationship Id="rId48" Type="http://schemas.openxmlformats.org/officeDocument/2006/relationships/hyperlink" Target="https://doi.org/10.1002/fsn3.70358" TargetMode="External"/><Relationship Id="rId49" Type="http://schemas.openxmlformats.org/officeDocument/2006/relationships/hyperlink" Target="https://doi.org/10.1016/B978-0-443-13195-0.00001-6" TargetMode="External"/><Relationship Id="rId50" Type="http://schemas.openxmlformats.org/officeDocument/2006/relationships/hyperlink" Target="https://doi.org/10.1007/s40200-020-00690-2" TargetMode="External"/><Relationship Id="rId51" Type="http://schemas.openxmlformats.org/officeDocument/2006/relationships/hyperlink" Target="https://doi.org/10.37256/fse.5220244795" TargetMode="External"/><Relationship Id="rId52" Type="http://schemas.openxmlformats.org/officeDocument/2006/relationships/hyperlink" Target="https://doi.org/10.1007/s00217-026-05132-6" TargetMode="External"/><Relationship Id="rId53" Type="http://schemas.openxmlformats.org/officeDocument/2006/relationships/hyperlink" Target="https://doi.org/10.1007/s11101-025-10177-8" TargetMode="External"/><Relationship Id="rId54" Type="http://schemas.openxmlformats.org/officeDocument/2006/relationships/hyperlink" Target="https://doi.org/10.3390/ph18121890" TargetMode="External"/><Relationship Id="rId55" Type="http://schemas.openxmlformats.org/officeDocument/2006/relationships/hyperlink" Target="https://doi.org/10.1007/BF01234480" TargetMode="External"/><Relationship Id="rId56" Type="http://schemas.openxmlformats.org/officeDocument/2006/relationships/hyperlink" Target="https://pubmed.ncbi.nlm.nih.gov/38741402/" TargetMode="External"/><Relationship Id="rId57" Type="http://schemas.openxmlformats.org/officeDocument/2006/relationships/hyperlink" Target="https://doi.org/10.4103/ijmh.ijmh_45_22" TargetMode="External"/><Relationship Id="rId58" Type="http://schemas.openxmlformats.org/officeDocument/2006/relationships/hyperlink" Target="https://doi.org/10.9734/jpri/2020/v32i2130755" TargetMode="External"/><Relationship Id="rId59" Type="http://schemas.openxmlformats.org/officeDocument/2006/relationships/hyperlink" Target="https://doi.org/10.1016/j.mayocp.2022.01.012" TargetMode="External"/><Relationship Id="rId60" Type="http://schemas.openxmlformats.org/officeDocument/2006/relationships/hyperlink" Target="https://doi.org/10.31989/bchd.v5i10.975" TargetMode="External"/><Relationship Id="rId61" Type="http://schemas.openxmlformats.org/officeDocument/2006/relationships/hyperlink" Target="https://www.researchgate.net/publication/329885592_Antidiabetic_activity_and_antioxidant_role_of_Watermelon_Citrullus_lanatus_Peels_in_Streptozotocine-induced_diabetic_rats" TargetMode="External"/><Relationship Id="rId62" Type="http://schemas.openxmlformats.org/officeDocument/2006/relationships/hyperlink" Target="https://doi.org/10.1155/bmri/6998034" TargetMode="External"/><Relationship Id="rId63" Type="http://schemas.openxmlformats.org/officeDocument/2006/relationships/hyperlink" Target="https://doi.org/10.3390/ph15070810" TargetMode="External"/><Relationship Id="rId64" Type="http://schemas.openxmlformats.org/officeDocument/2006/relationships/hyperlink" Target="https://doi.org/10.1002/cbdv.71363" TargetMode="External"/><Relationship Id="rId65" Type="http://schemas.openxmlformats.org/officeDocument/2006/relationships/hyperlink" Target="https://journalirjgh.com/index.php/IRJGH/article/view/98" TargetMode="External"/><Relationship Id="rId66" Type="http://schemas.openxmlformats.org/officeDocument/2006/relationships/hyperlink" Target="https://www.sumerianz.com/pdf-files/sjb3%289%2975-82.pdf" TargetMode="External"/><Relationship Id="rId67" Type="http://schemas.openxmlformats.org/officeDocument/2006/relationships/hyperlink" Target="https://doi.org/10.3390/molecules27207052" TargetMode="External"/><Relationship Id="rId68" Type="http://schemas.openxmlformats.org/officeDocument/2006/relationships/hyperlink" Target="https://doi.org/10.1038/s41392-025-02401-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3</TotalTime>
  <Pages>14</Pages>
  <Words>5990</Words>
  <Characters>34143</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40053</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1089</cp:lastModifiedBy>
  <cp:revision>3</cp:revision>
  <cp:lastPrinted>1999-07-06T11:00:00Z</cp:lastPrinted>
  <dcterms:created xsi:type="dcterms:W3CDTF">2026-10-28T10:32:00Z</dcterms:created>
  <dcterms:modified xsi:type="dcterms:W3CDTF">2026-10-30T08:34:00Z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6974ef87-b827-46d4-bf85-f3c2bee5552a</vt:lpwstr>
  </property>
</Properties>
</file>