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AC919E">
      <w:pPr>
        <w:spacing w:line="24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Original Research Article</w:t>
      </w:r>
    </w:p>
    <w:p w14:paraId="717F9A1B">
      <w:pPr>
        <w:spacing w:line="240" w:lineRule="auto"/>
        <w:jc w:val="center"/>
        <w:rPr>
          <w:rFonts w:ascii="Times New Roman" w:hAnsi="Times New Roman" w:cs="Times New Roman"/>
          <w:b/>
          <w:bCs/>
          <w:sz w:val="28"/>
          <w:szCs w:val="28"/>
        </w:rPr>
      </w:pPr>
      <w:r>
        <w:rPr>
          <w:rFonts w:ascii="Times New Roman" w:hAnsi="Times New Roman" w:cs="Times New Roman"/>
          <w:b/>
          <w:bCs/>
          <w:sz w:val="28"/>
          <w:szCs w:val="28"/>
        </w:rPr>
        <w:t>Effect of Spirulina Meal on Growth Performance, Feed Utilization and Survival in Milkfish (</w:t>
      </w:r>
      <w:r>
        <w:rPr>
          <w:rFonts w:ascii="Times New Roman" w:hAnsi="Times New Roman" w:cs="Times New Roman"/>
          <w:b/>
          <w:bCs/>
          <w:i/>
          <w:iCs/>
          <w:sz w:val="28"/>
          <w:szCs w:val="28"/>
        </w:rPr>
        <w:t>Chanos chanos</w:t>
      </w:r>
      <w:r>
        <w:rPr>
          <w:rFonts w:ascii="Times New Roman" w:hAnsi="Times New Roman" w:cs="Times New Roman"/>
          <w:b/>
          <w:bCs/>
          <w:sz w:val="28"/>
          <w:szCs w:val="28"/>
        </w:rPr>
        <w:t>) fry</w:t>
      </w:r>
    </w:p>
    <w:p w14:paraId="70EA9240">
      <w:pPr>
        <w:spacing w:line="240" w:lineRule="auto"/>
        <w:rPr>
          <w:rFonts w:ascii="Times New Roman" w:hAnsi="Times New Roman" w:cs="Times New Roman"/>
          <w:b/>
          <w:bCs/>
        </w:rPr>
      </w:pPr>
    </w:p>
    <w:p w14:paraId="7D1B0634">
      <w:pPr>
        <w:spacing w:line="240" w:lineRule="auto"/>
        <w:rPr>
          <w:rFonts w:hint="default" w:ascii="Times New Roman" w:hAnsi="Times New Roman" w:cs="Times New Roman"/>
          <w:b/>
          <w:bCs/>
          <w:lang w:val="en-US"/>
        </w:rPr>
      </w:pPr>
      <w:r>
        <w:rPr>
          <w:rFonts w:ascii="Times New Roman" w:hAnsi="Times New Roman" w:cs="Times New Roman"/>
          <w:b/>
          <w:bCs/>
        </w:rPr>
        <w:t>Abstract</w:t>
      </w:r>
    </w:p>
    <w:p w14:paraId="718B119C">
      <w:pPr>
        <w:spacing w:line="240" w:lineRule="auto"/>
        <w:jc w:val="both"/>
        <w:rPr>
          <w:rFonts w:ascii="Times New Roman" w:hAnsi="Times New Roman" w:cs="Times New Roman"/>
        </w:rPr>
      </w:pPr>
      <w:r>
        <w:rPr>
          <w:rFonts w:ascii="Times New Roman" w:hAnsi="Times New Roman" w:cs="Times New Roman"/>
        </w:rPr>
        <w:t xml:space="preserve">The increasing demand for sustainable aquafeed ingredients has encouraged the evaluation of alternative protein sources to fishmeal. </w:t>
      </w:r>
      <w:commentRangeStart w:id="0"/>
      <w:r>
        <w:rPr>
          <w:rFonts w:ascii="Times New Roman" w:hAnsi="Times New Roman" w:cs="Times New Roman"/>
        </w:rPr>
        <w:t>Spirulina meal (SPM)</w:t>
      </w:r>
      <w:commentRangeEnd w:id="0"/>
      <w:r>
        <w:commentReference w:id="0"/>
      </w:r>
      <w:r>
        <w:rPr>
          <w:rFonts w:ascii="Times New Roman" w:hAnsi="Times New Roman" w:cs="Times New Roman"/>
        </w:rPr>
        <w:t>, a nutrient-rich microalgal ingredient, has potential as a fishmeal substitute; however, its effects on milkfish (</w:t>
      </w:r>
      <w:r>
        <w:rPr>
          <w:rFonts w:ascii="Times New Roman" w:hAnsi="Times New Roman" w:cs="Times New Roman"/>
          <w:i/>
          <w:iCs/>
        </w:rPr>
        <w:t>Chanos chanos</w:t>
      </w:r>
      <w:r>
        <w:rPr>
          <w:rFonts w:ascii="Times New Roman" w:hAnsi="Times New Roman" w:cs="Times New Roman"/>
        </w:rPr>
        <w:t>) under brackish-water conditions require further investigation. This study evaluated the effects of dietary SPM inclusion on the growth performance, feed utilization, and survival of milkfish fry reared at 10 ppt salinity. A 90-day feeding trial was conducted using three experimental diets containing 0% (T1), 20% (T2), and 40% (T3) SPM as a replacement for fishmeal. The experiment comprised three replicate tanks per treatment, with 10 fish per tank. Fish were fed three times daily at 6% of body weight, and growth performance, feed utilization, survival, and water quality were monitored. Significant differences were observed in final body weight, weight gain, percentage weight gain, average daily gain, and specific growth rate among dietary treatments (</w:t>
      </w:r>
      <w:r>
        <w:rPr>
          <w:rFonts w:ascii="Times New Roman" w:hAnsi="Times New Roman" w:cs="Times New Roman"/>
          <w:i/>
          <w:iCs/>
        </w:rPr>
        <w:t>P</w:t>
      </w:r>
      <w:r>
        <w:rPr>
          <w:rFonts w:ascii="Times New Roman" w:hAnsi="Times New Roman" w:cs="Times New Roman"/>
        </w:rPr>
        <w:t xml:space="preserve"> &lt; 0.001). Final body weight increased from 10.28 ± 0.11 g in T1 to 12.17 ± 0.12 g in T2 and 13.36 ± 0.12 g in T3. Feed conversion ratio decreased significantly from 1.710 ± 0.020 in T1 to 1.540 ± 0.044 in T3 (</w:t>
      </w:r>
      <w:r>
        <w:rPr>
          <w:rFonts w:ascii="Times New Roman" w:hAnsi="Times New Roman" w:cs="Times New Roman"/>
          <w:i/>
          <w:iCs/>
        </w:rPr>
        <w:t>P</w:t>
      </w:r>
      <w:r>
        <w:rPr>
          <w:rFonts w:ascii="Times New Roman" w:hAnsi="Times New Roman" w:cs="Times New Roman"/>
        </w:rPr>
        <w:t xml:space="preserve"> = 0.003), while feed conversion efficiency increased from 58.48 ± 0.69% to 64.97 ± 1.81%. Survival ranged from 80.00 ± 5.00% to 86.67 ± 5.77%, with no significant differences among treatments (</w:t>
      </w:r>
      <w:r>
        <w:rPr>
          <w:rFonts w:ascii="Times New Roman" w:hAnsi="Times New Roman" w:cs="Times New Roman"/>
          <w:i/>
          <w:iCs/>
        </w:rPr>
        <w:t>P</w:t>
      </w:r>
      <w:r>
        <w:rPr>
          <w:rFonts w:ascii="Times New Roman" w:hAnsi="Times New Roman" w:cs="Times New Roman"/>
        </w:rPr>
        <w:t xml:space="preserve"> = 0.394). Overall, the results indicate that increasing dietary SPM inclusion up to 40% was associated with improved growth performance and feed utilization without a statistically significant reduction in survival. Spirulina meal therefore represents a promising alternative ingredient for milkfish diets under the tested brackish-water conditions.</w:t>
      </w:r>
    </w:p>
    <w:p w14:paraId="7F2F9237">
      <w:pPr>
        <w:spacing w:line="240" w:lineRule="auto"/>
        <w:rPr>
          <w:rFonts w:ascii="Times New Roman" w:hAnsi="Times New Roman" w:cs="Times New Roman"/>
          <w:b/>
          <w:bCs/>
        </w:rPr>
      </w:pPr>
      <w:r>
        <w:rPr>
          <w:rFonts w:ascii="Times New Roman" w:hAnsi="Times New Roman" w:cs="Times New Roman"/>
          <w:b/>
          <w:bCs/>
        </w:rPr>
        <w:t xml:space="preserve">Keywords: </w:t>
      </w:r>
      <w:r>
        <w:rPr>
          <w:rFonts w:ascii="Times New Roman" w:hAnsi="Times New Roman" w:cs="Times New Roman"/>
          <w:b/>
          <w:bCs/>
          <w:i/>
          <w:iCs/>
        </w:rPr>
        <w:t>Chanos chanos</w:t>
      </w:r>
      <w:r>
        <w:rPr>
          <w:rFonts w:ascii="Times New Roman" w:hAnsi="Times New Roman" w:cs="Times New Roman"/>
          <w:b/>
          <w:bCs/>
        </w:rPr>
        <w:t>; Spirulina meal; fishmeal replacement; growth performance; feed conversion ratio; brackish water.</w:t>
      </w:r>
    </w:p>
    <w:p w14:paraId="21D9695C">
      <w:pPr>
        <w:spacing w:line="240" w:lineRule="auto"/>
        <w:rPr>
          <w:rFonts w:ascii="Times New Roman" w:hAnsi="Times New Roman" w:cs="Times New Roman"/>
          <w:b/>
          <w:bCs/>
        </w:rPr>
      </w:pPr>
      <w:r>
        <w:rPr>
          <w:rFonts w:ascii="Times New Roman" w:hAnsi="Times New Roman" w:cs="Times New Roman"/>
          <w:b/>
          <w:bCs/>
        </w:rPr>
        <w:t>Introduction</w:t>
      </w:r>
    </w:p>
    <w:p w14:paraId="73C76CCF">
      <w:pPr>
        <w:spacing w:line="240" w:lineRule="auto"/>
        <w:jc w:val="both"/>
        <w:rPr>
          <w:rFonts w:ascii="Times New Roman" w:hAnsi="Times New Roman" w:cs="Times New Roman"/>
        </w:rPr>
      </w:pPr>
      <w:r>
        <w:rPr>
          <w:rFonts w:ascii="Times New Roman" w:hAnsi="Times New Roman" w:cs="Times New Roman"/>
        </w:rPr>
        <w:t>The development of balanced, economically feasible, and environmentally sustainable aquafeeds has increased interest in alternative protein sources to fishmeal (FM). Fishmeal has traditionally been an important aquafeed ingredient because of its favourable amino acid profile, high digestibility, palatability and micronutrient content. However, dependence on finite marine resources, fluctuations in availability and price, and concerns regarding forage-fish exploitation have encouraged the search for sustainable alternatives (Tacon and Metian, 2015; Rahman et al., 2022). Consequently, researchers have investigated plant, animal, microbial, insect and algal ingredients as potential substitutes for conventional fishmeal-based diets.</w:t>
      </w:r>
    </w:p>
    <w:p w14:paraId="44A63A6F">
      <w:pPr>
        <w:spacing w:line="240" w:lineRule="auto"/>
        <w:jc w:val="both"/>
        <w:rPr>
          <w:rFonts w:ascii="Times New Roman" w:hAnsi="Times New Roman" w:cs="Times New Roman"/>
        </w:rPr>
      </w:pPr>
      <w:r>
        <w:rPr>
          <w:rFonts w:ascii="Times New Roman" w:hAnsi="Times New Roman" w:cs="Times New Roman"/>
        </w:rPr>
        <w:t xml:space="preserve">Among these alternatives, microalgae have attracted considerable attention because they provide protein, essential amino acids, polyunsaturated fatty acids (PUFAs), vitamins, minerals, pigments and other bioactive compounds (Shah et al., 2018; Zhang et al., 2020; Ahmad and Ashraf, 2023; Ma and Hu, 2024). Their nutritional value and potential for controlled cultivation make microalgal biomass a promising resource for sustainable aquafeed development. Spirulina is particularly important because its biomass contains high levels of protein, essential amino acids, fatty acids, vitamins, minerals, carotenoids and phycocyanin (Calella et al., 2022; Kumar et al., 2022). Dietary Spirulina has been associated with improved growth, feed utilization, antioxidant activity, immune responses, pigmentation and stress tolerance in several fish and shrimp species (Alagawany et al., 2021; Carneiro et al., 2022; Zhang et al., 2024). Thus, </w:t>
      </w:r>
      <w:commentRangeStart w:id="1"/>
      <w:r>
        <w:rPr>
          <w:rFonts w:ascii="Times New Roman" w:hAnsi="Times New Roman" w:cs="Times New Roman"/>
        </w:rPr>
        <w:t>Spirulina meal (SPM)</w:t>
      </w:r>
      <w:commentRangeEnd w:id="1"/>
      <w:r>
        <w:commentReference w:id="1"/>
      </w:r>
      <w:r>
        <w:rPr>
          <w:rFonts w:ascii="Times New Roman" w:hAnsi="Times New Roman" w:cs="Times New Roman"/>
        </w:rPr>
        <w:t xml:space="preserve"> may function not only as a protein source but also as a source of functional nutrients that support fish performance.</w:t>
      </w:r>
    </w:p>
    <w:p w14:paraId="381C8A45">
      <w:pPr>
        <w:spacing w:line="240" w:lineRule="auto"/>
        <w:jc w:val="both"/>
        <w:rPr>
          <w:rFonts w:ascii="Times New Roman" w:hAnsi="Times New Roman" w:cs="Times New Roman"/>
        </w:rPr>
      </w:pPr>
      <w:r>
        <w:rPr>
          <w:rFonts w:ascii="Times New Roman" w:hAnsi="Times New Roman" w:cs="Times New Roman"/>
        </w:rPr>
        <w:t>Evidence from different aquaculture species supports the potential use of SPM as a fishmeal substitute. A meta-analysis by Li et al. indicated that SPM could replace approximately 22.03–24.53% of fishmeal in fish diets without adverse effects on growth and feed utilization, although the relatively high cost of SPM remains an important consideration for practical application (Li et al., 2022). Other studies have reported that moderate Spirulina inclusion can maintain or improve growth and physiological responses, although optimal levels vary according to species and dietary formulation. Therefore, a 20% inclusion level is biologically relevant and close to the range identified by Li et al. (2022), while a higher 40% inclusion level can determine whether increased Spirulina incorporation provides additional benefits or negatively affects growth and survival.</w:t>
      </w:r>
    </w:p>
    <w:p w14:paraId="39F139A8">
      <w:pPr>
        <w:spacing w:line="240" w:lineRule="auto"/>
        <w:jc w:val="both"/>
        <w:rPr>
          <w:rFonts w:ascii="Times New Roman" w:hAnsi="Times New Roman" w:cs="Times New Roman"/>
        </w:rPr>
      </w:pPr>
      <w:r>
        <w:rPr>
          <w:rFonts w:ascii="Times New Roman" w:hAnsi="Times New Roman" w:cs="Times New Roman"/>
        </w:rPr>
        <w:t>Milkfish (</w:t>
      </w:r>
      <w:r>
        <w:rPr>
          <w:rFonts w:ascii="Times New Roman" w:hAnsi="Times New Roman" w:cs="Times New Roman"/>
          <w:i/>
          <w:iCs/>
        </w:rPr>
        <w:t>Chanos chanos</w:t>
      </w:r>
      <w:r>
        <w:rPr>
          <w:rFonts w:ascii="Times New Roman" w:hAnsi="Times New Roman" w:cs="Times New Roman"/>
        </w:rPr>
        <w:t>) is a cornerstone species widely cultured throughout Southeast Asia. It tolerates diverse culture environments, including freshwater, brackish-water, estuarine, and coastal systems, and can be cultivated in ponds, pens, cages, and other systems (Borlongan and Satoh, 2001; Sontakke et al., 2019). The species contributes to affordable animal protein, food security and the livelihoods of aquaculture-dependent coastal communities (Mulyani et al., 2023; Batilong et al., 2026). Its tolerance to varying salinities makes environmental salinity an important consideration when evaluating dietary performance.</w:t>
      </w:r>
    </w:p>
    <w:p w14:paraId="763DAB88">
      <w:pPr>
        <w:spacing w:line="240" w:lineRule="auto"/>
        <w:jc w:val="both"/>
        <w:rPr>
          <w:rFonts w:ascii="Times New Roman" w:hAnsi="Times New Roman" w:cs="Times New Roman"/>
        </w:rPr>
      </w:pPr>
      <w:r>
        <w:rPr>
          <w:rFonts w:ascii="Times New Roman" w:hAnsi="Times New Roman" w:cs="Times New Roman"/>
        </w:rPr>
        <w:t>Despite the growing interest in Spirulina as an alternative aquafeed ingredient, information regarding SPM use in milkfish remains limited, particularly under defined brackish-water conditions. Species-specific responses cannot necessarily be extrapolated from other fish because nutrient requirements, digestive physiology, diet composition, and culture conditions differ among species. Evaluating SPM in milkfish can therefore help address this knowledge gap and contribute to the development of nutritionally effective and sustainable diets.</w:t>
      </w:r>
    </w:p>
    <w:p w14:paraId="36EA87E1">
      <w:pPr>
        <w:spacing w:line="240" w:lineRule="auto"/>
        <w:jc w:val="both"/>
        <w:rPr>
          <w:rFonts w:ascii="Times New Roman" w:hAnsi="Times New Roman" w:cs="Times New Roman"/>
        </w:rPr>
      </w:pPr>
      <w:r>
        <w:rPr>
          <w:rFonts w:ascii="Times New Roman" w:hAnsi="Times New Roman" w:cs="Times New Roman"/>
        </w:rPr>
        <w:t>Accordingly, this study evaluated the effects of dietary SPM on the growth performance and survival of milkfish reared at 10 ppt salinity. We tested three dietary treatments containing 0%, 20%, and 40% SPM. The 20% inclusion level was selected based on previous evidence of approximately 20–24% substitution, while the 40% level assessed the effects of higher Spirulina incorporation. The study provides species-specific information on the potential use of SPM as a protein source for milkfish under brackish-water conditions.</w:t>
      </w:r>
    </w:p>
    <w:p w14:paraId="5E42A025">
      <w:pPr>
        <w:spacing w:line="240" w:lineRule="auto"/>
        <w:rPr>
          <w:rFonts w:ascii="Times New Roman" w:hAnsi="Times New Roman" w:cs="Times New Roman"/>
          <w:b/>
          <w:bCs/>
        </w:rPr>
      </w:pPr>
      <w:r>
        <w:rPr>
          <w:rFonts w:ascii="Times New Roman" w:hAnsi="Times New Roman" w:cs="Times New Roman"/>
          <w:b/>
          <w:bCs/>
        </w:rPr>
        <w:t>2. Materials and methods</w:t>
      </w:r>
    </w:p>
    <w:p w14:paraId="3D0684FB">
      <w:pPr>
        <w:spacing w:line="240" w:lineRule="auto"/>
        <w:rPr>
          <w:rFonts w:ascii="Times New Roman" w:hAnsi="Times New Roman" w:cs="Times New Roman"/>
          <w:b/>
          <w:bCs/>
        </w:rPr>
      </w:pPr>
      <w:r>
        <w:rPr>
          <w:rFonts w:ascii="Times New Roman" w:hAnsi="Times New Roman" w:cs="Times New Roman"/>
          <w:b/>
          <w:bCs/>
        </w:rPr>
        <w:t>2.1. Experimental animals and acclimatization</w:t>
      </w:r>
    </w:p>
    <w:p w14:paraId="3E286D59">
      <w:pPr>
        <w:spacing w:line="240" w:lineRule="auto"/>
        <w:jc w:val="both"/>
        <w:rPr>
          <w:rFonts w:ascii="Times New Roman" w:hAnsi="Times New Roman" w:cs="Times New Roman"/>
        </w:rPr>
      </w:pPr>
      <w:r>
        <w:rPr>
          <w:rFonts w:ascii="Times New Roman" w:hAnsi="Times New Roman" w:cs="Times New Roman"/>
        </w:rPr>
        <w:t>The experiment was conducted at the aquaculture laboratory of the College of Fishery Science, Muthukur, Nellore, Andhra Pradesh, India. Milkfish (</w:t>
      </w:r>
      <w:r>
        <w:rPr>
          <w:rFonts w:ascii="Times New Roman" w:hAnsi="Times New Roman" w:cs="Times New Roman"/>
          <w:i/>
          <w:iCs/>
        </w:rPr>
        <w:t>Chanos chanos</w:t>
      </w:r>
      <w:r>
        <w:rPr>
          <w:rFonts w:ascii="Times New Roman" w:hAnsi="Times New Roman" w:cs="Times New Roman"/>
        </w:rPr>
        <w:t>) seed was collected from the Machilipatnam coast, Krishna District, Andhra Pradesh, India, and transported to the laboratory by road in double-walled plastic bags containing water and oxygen at a ratio of 1:3 (water: oxygen).</w:t>
      </w:r>
    </w:p>
    <w:p w14:paraId="2FF7B2D8">
      <w:pPr>
        <w:spacing w:line="240" w:lineRule="auto"/>
        <w:jc w:val="both"/>
        <w:rPr>
          <w:rFonts w:ascii="Times New Roman" w:hAnsi="Times New Roman" w:cs="Times New Roman"/>
        </w:rPr>
      </w:pPr>
      <w:r>
        <w:rPr>
          <w:rFonts w:ascii="Times New Roman" w:hAnsi="Times New Roman" w:cs="Times New Roman"/>
        </w:rPr>
        <w:t>Upon arrival, the seed was maintained in a double-walled hapa installed in a cement pond for 30 days. Subsequently, the fish were transferred to 100-L fibre-reinforced plastic (FRP) tanks and acclimatized to laboratory conditions for 21 days. During acclimatization, the fish were fed a mixture of rice bran and groundnut oilcake that had been fermented overnight.</w:t>
      </w:r>
    </w:p>
    <w:p w14:paraId="4C94D532">
      <w:pPr>
        <w:spacing w:line="240" w:lineRule="auto"/>
        <w:jc w:val="both"/>
        <w:rPr>
          <w:rFonts w:ascii="Times New Roman" w:hAnsi="Times New Roman" w:cs="Times New Roman"/>
        </w:rPr>
      </w:pPr>
      <w:r>
        <w:rPr>
          <w:rFonts w:ascii="Times New Roman" w:hAnsi="Times New Roman" w:cs="Times New Roman"/>
        </w:rPr>
        <w:t>Following acclimatization, milkfish fry with an initial body weight of approximately 0.8–0.9 gms were stocked in 100-L tarpaulin tanks containing 85 L of water. The fish were fed the experimental diets at 6% of their body weight (BW) per day, divided into three meals. We maintained water quality through regular aeration and water exchange throughout the experimental period.</w:t>
      </w:r>
    </w:p>
    <w:p w14:paraId="04C3B902">
      <w:pPr>
        <w:spacing w:line="240" w:lineRule="auto"/>
        <w:rPr>
          <w:rFonts w:ascii="Times New Roman" w:hAnsi="Times New Roman" w:cs="Times New Roman"/>
          <w:b/>
          <w:bCs/>
        </w:rPr>
      </w:pPr>
      <w:r>
        <w:rPr>
          <w:rFonts w:ascii="Times New Roman" w:hAnsi="Times New Roman" w:cs="Times New Roman"/>
          <w:b/>
          <w:bCs/>
        </w:rPr>
        <w:t>2.2. Experimental diets and feed preparation</w:t>
      </w:r>
    </w:p>
    <w:p w14:paraId="639D2D09">
      <w:pPr>
        <w:spacing w:line="240" w:lineRule="auto"/>
        <w:jc w:val="both"/>
        <w:rPr>
          <w:rFonts w:ascii="Times New Roman" w:hAnsi="Times New Roman" w:cs="Times New Roman"/>
        </w:rPr>
      </w:pPr>
      <w:r>
        <w:rPr>
          <w:rFonts w:ascii="Times New Roman" w:hAnsi="Times New Roman" w:cs="Times New Roman"/>
        </w:rPr>
        <w:t>Ingredients for experimental diet formulation were procured from local markets, powdered individually, weighed according to the respective formulations and thoroughly mixed. Water was added at 30 mL per 100 g of feed ingredients to form a dough. The dough was heated in a pressure cooker for 21 min and allowed to cool before the vitamin–mineral mixture and fish oil were incorporated.</w:t>
      </w:r>
    </w:p>
    <w:p w14:paraId="1FD58BA9">
      <w:pPr>
        <w:spacing w:line="240" w:lineRule="auto"/>
        <w:jc w:val="both"/>
        <w:rPr>
          <w:rFonts w:ascii="Times New Roman" w:hAnsi="Times New Roman" w:cs="Times New Roman"/>
        </w:rPr>
      </w:pPr>
      <w:r>
        <w:rPr>
          <w:rFonts w:ascii="Times New Roman" w:hAnsi="Times New Roman" w:cs="Times New Roman"/>
        </w:rPr>
        <w:t>Spirulina meal obtained from Genera Nutrients, Private Limited, Tamil Nadu, India</w:t>
      </w:r>
      <w:r>
        <w:rPr>
          <w:rFonts w:ascii="Times New Roman" w:hAnsi="Times New Roman" w:cs="Times New Roman"/>
          <w:b/>
          <w:bCs/>
        </w:rPr>
        <w:t>,</w:t>
      </w:r>
      <w:r>
        <w:rPr>
          <w:rFonts w:ascii="Times New Roman" w:hAnsi="Times New Roman" w:cs="Times New Roman"/>
        </w:rPr>
        <w:t xml:space="preserve"> was incorporated into the experimental diets at inclusion levels of 20% and 40%. Three diets were formulated: T</w:t>
      </w:r>
      <w:r>
        <w:rPr>
          <w:rFonts w:ascii="Times New Roman" w:hAnsi="Times New Roman" w:cs="Times New Roman"/>
          <w:vertAlign w:val="subscript"/>
        </w:rPr>
        <w:t>1</w:t>
      </w:r>
      <w:r>
        <w:rPr>
          <w:rFonts w:ascii="Times New Roman" w:hAnsi="Times New Roman" w:cs="Times New Roman"/>
        </w:rPr>
        <w:t>, the basal diet; T</w:t>
      </w:r>
      <w:r>
        <w:rPr>
          <w:rFonts w:ascii="Times New Roman" w:hAnsi="Times New Roman" w:cs="Times New Roman"/>
          <w:vertAlign w:val="subscript"/>
        </w:rPr>
        <w:t>2</w:t>
      </w:r>
      <w:r>
        <w:rPr>
          <w:rFonts w:ascii="Times New Roman" w:hAnsi="Times New Roman" w:cs="Times New Roman"/>
        </w:rPr>
        <w:t>, incorporated with 20% of SPM, T</w:t>
      </w:r>
      <w:r>
        <w:rPr>
          <w:rFonts w:ascii="Times New Roman" w:hAnsi="Times New Roman" w:cs="Times New Roman"/>
          <w:vertAlign w:val="subscript"/>
        </w:rPr>
        <w:t>3</w:t>
      </w:r>
      <w:r>
        <w:rPr>
          <w:rFonts w:ascii="Times New Roman" w:hAnsi="Times New Roman" w:cs="Times New Roman"/>
        </w:rPr>
        <w:t>, incorporated with 40% of SPM. The prepared dough was processed into pellets using a pelletizer fitted with a 1-mm die. The pellets were oven-dried and stored in airtight containers until use. All experimental diets were formulated to contain 35% crude protein.</w:t>
      </w:r>
    </w:p>
    <w:p w14:paraId="5E5BA09E">
      <w:pPr>
        <w:spacing w:line="240" w:lineRule="auto"/>
        <w:jc w:val="both"/>
        <w:rPr>
          <w:rFonts w:ascii="Times New Roman" w:hAnsi="Times New Roman" w:cs="Times New Roman"/>
        </w:rPr>
      </w:pPr>
      <w:r>
        <w:rPr>
          <w:rFonts w:ascii="Times New Roman" w:hAnsi="Times New Roman" w:cs="Times New Roman"/>
        </w:rPr>
        <w:t xml:space="preserve">The complete ingredient composition and proximate composition of the experimental diets are presented in Table 1 and Table 2. </w:t>
      </w:r>
    </w:p>
    <w:p w14:paraId="6F9AC79E">
      <w:pPr>
        <w:spacing w:line="240" w:lineRule="auto"/>
        <w:jc w:val="both"/>
        <w:rPr>
          <w:rFonts w:ascii="Times New Roman" w:hAnsi="Times New Roman" w:cs="Times New Roman"/>
        </w:rPr>
      </w:pPr>
      <w:r>
        <w:rPr>
          <w:rFonts w:ascii="Times New Roman" w:hAnsi="Times New Roman" w:cs="Times New Roman"/>
        </w:rPr>
        <w:t>Table 1: Feed Formulation of Experimental Diets:</w:t>
      </w:r>
    </w:p>
    <w:tbl>
      <w:tblPr>
        <w:tblStyle w:val="50"/>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54"/>
        <w:gridCol w:w="2254"/>
        <w:gridCol w:w="2254"/>
        <w:gridCol w:w="2254"/>
      </w:tblGrid>
      <w:tr w14:paraId="2662C69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bottom w:val="single" w:color="7E7E7E" w:themeColor="text1" w:themeTint="80" w:sz="4" w:space="0"/>
              <w:insideH w:val="single" w:sz="4" w:space="0"/>
            </w:tcBorders>
          </w:tcPr>
          <w:p w14:paraId="1C4BC058">
            <w:pPr>
              <w:spacing w:after="0" w:line="240" w:lineRule="auto"/>
              <w:rPr>
                <w:rFonts w:ascii="Times New Roman" w:hAnsi="Times New Roman" w:cs="Times New Roman"/>
                <w:b w:val="0"/>
                <w:bCs w:val="0"/>
              </w:rPr>
            </w:pPr>
            <w:r>
              <w:rPr>
                <w:rFonts w:ascii="Times New Roman" w:hAnsi="Times New Roman" w:cs="Times New Roman"/>
                <w:b/>
                <w:bCs/>
              </w:rPr>
              <w:t>Ingredients</w:t>
            </w:r>
          </w:p>
        </w:tc>
        <w:tc>
          <w:tcPr>
            <w:tcW w:w="2254" w:type="dxa"/>
            <w:tcBorders>
              <w:bottom w:val="single" w:color="7E7E7E" w:themeColor="text1" w:themeTint="80" w:sz="4" w:space="0"/>
              <w:insideH w:val="single" w:sz="4" w:space="0"/>
            </w:tcBorders>
          </w:tcPr>
          <w:p w14:paraId="211EB8CD">
            <w:pPr>
              <w:spacing w:after="0" w:line="240" w:lineRule="auto"/>
              <w:rPr>
                <w:rFonts w:ascii="Times New Roman" w:hAnsi="Times New Roman" w:cs="Times New Roman"/>
                <w:b w:val="0"/>
                <w:bCs w:val="0"/>
                <w:vertAlign w:val="subscript"/>
              </w:rPr>
            </w:pPr>
            <w:r>
              <w:rPr>
                <w:rFonts w:ascii="Times New Roman" w:hAnsi="Times New Roman" w:cs="Times New Roman"/>
                <w:b/>
                <w:bCs/>
              </w:rPr>
              <w:t>T</w:t>
            </w:r>
            <w:r>
              <w:rPr>
                <w:rFonts w:ascii="Times New Roman" w:hAnsi="Times New Roman" w:cs="Times New Roman"/>
                <w:b/>
                <w:bCs/>
                <w:vertAlign w:val="subscript"/>
              </w:rPr>
              <w:t>1</w:t>
            </w:r>
          </w:p>
        </w:tc>
        <w:tc>
          <w:tcPr>
            <w:tcW w:w="2254" w:type="dxa"/>
            <w:tcBorders>
              <w:bottom w:val="single" w:color="7E7E7E" w:themeColor="text1" w:themeTint="80" w:sz="4" w:space="0"/>
              <w:insideH w:val="single" w:sz="4" w:space="0"/>
            </w:tcBorders>
          </w:tcPr>
          <w:p w14:paraId="32A4593B">
            <w:pPr>
              <w:spacing w:after="0" w:line="240" w:lineRule="auto"/>
              <w:rPr>
                <w:rFonts w:ascii="Times New Roman" w:hAnsi="Times New Roman" w:cs="Times New Roman"/>
                <w:b w:val="0"/>
                <w:bCs w:val="0"/>
              </w:rPr>
            </w:pPr>
            <w:r>
              <w:rPr>
                <w:rFonts w:ascii="Times New Roman" w:hAnsi="Times New Roman" w:cs="Times New Roman"/>
                <w:b/>
                <w:bCs/>
              </w:rPr>
              <w:t>T</w:t>
            </w:r>
            <w:r>
              <w:rPr>
                <w:rFonts w:ascii="Times New Roman" w:hAnsi="Times New Roman" w:cs="Times New Roman"/>
                <w:b/>
                <w:bCs/>
                <w:vertAlign w:val="subscript"/>
              </w:rPr>
              <w:t>2</w:t>
            </w:r>
          </w:p>
        </w:tc>
        <w:tc>
          <w:tcPr>
            <w:tcW w:w="2254" w:type="dxa"/>
            <w:tcBorders>
              <w:bottom w:val="single" w:color="7E7E7E" w:themeColor="text1" w:themeTint="80" w:sz="4" w:space="0"/>
              <w:insideH w:val="single" w:sz="4" w:space="0"/>
            </w:tcBorders>
          </w:tcPr>
          <w:p w14:paraId="65FFEE38">
            <w:pPr>
              <w:spacing w:after="0" w:line="240" w:lineRule="auto"/>
              <w:rPr>
                <w:rFonts w:ascii="Times New Roman" w:hAnsi="Times New Roman" w:cs="Times New Roman"/>
                <w:b w:val="0"/>
                <w:bCs w:val="0"/>
              </w:rPr>
            </w:pPr>
            <w:r>
              <w:rPr>
                <w:rFonts w:ascii="Times New Roman" w:hAnsi="Times New Roman" w:cs="Times New Roman"/>
                <w:b/>
                <w:bCs/>
              </w:rPr>
              <w:t>T</w:t>
            </w:r>
            <w:r>
              <w:rPr>
                <w:rFonts w:ascii="Times New Roman" w:hAnsi="Times New Roman" w:cs="Times New Roman"/>
                <w:b/>
                <w:bCs/>
                <w:vertAlign w:val="subscript"/>
              </w:rPr>
              <w:t>3</w:t>
            </w:r>
          </w:p>
        </w:tc>
      </w:tr>
      <w:tr w14:paraId="5C45938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top w:val="single" w:color="7E7E7E" w:themeColor="text1" w:themeTint="80" w:sz="4" w:space="0"/>
              <w:bottom w:val="single" w:color="7E7E7E" w:themeColor="text1" w:themeTint="80" w:sz="4" w:space="0"/>
              <w:insideH w:val="single" w:sz="4" w:space="0"/>
            </w:tcBorders>
          </w:tcPr>
          <w:p w14:paraId="366A60EF">
            <w:pPr>
              <w:spacing w:after="0" w:line="240" w:lineRule="auto"/>
              <w:rPr>
                <w:rFonts w:ascii="Times New Roman" w:hAnsi="Times New Roman" w:cs="Times New Roman"/>
                <w:b w:val="0"/>
                <w:bCs w:val="0"/>
              </w:rPr>
            </w:pPr>
            <w:r>
              <w:rPr>
                <w:rFonts w:ascii="Times New Roman" w:hAnsi="Times New Roman" w:cs="Times New Roman"/>
                <w:b w:val="0"/>
                <w:bCs w:val="0"/>
              </w:rPr>
              <w:t>Fish meal</w:t>
            </w:r>
          </w:p>
        </w:tc>
        <w:tc>
          <w:tcPr>
            <w:tcW w:w="2254" w:type="dxa"/>
            <w:tcBorders>
              <w:top w:val="single" w:color="7E7E7E" w:themeColor="text1" w:themeTint="80" w:sz="4" w:space="0"/>
              <w:bottom w:val="single" w:color="7E7E7E" w:themeColor="text1" w:themeTint="80" w:sz="4" w:space="0"/>
              <w:insideH w:val="single" w:sz="4" w:space="0"/>
            </w:tcBorders>
          </w:tcPr>
          <w:p w14:paraId="2A1579E2">
            <w:pPr>
              <w:spacing w:after="0" w:line="240" w:lineRule="auto"/>
              <w:rPr>
                <w:rFonts w:ascii="Times New Roman" w:hAnsi="Times New Roman" w:cs="Times New Roman"/>
              </w:rPr>
            </w:pPr>
            <w:r>
              <w:rPr>
                <w:rFonts w:ascii="Times New Roman" w:hAnsi="Times New Roman" w:cs="Times New Roman"/>
              </w:rPr>
              <w:t>27</w:t>
            </w:r>
          </w:p>
        </w:tc>
        <w:tc>
          <w:tcPr>
            <w:tcW w:w="2254" w:type="dxa"/>
            <w:tcBorders>
              <w:top w:val="single" w:color="7E7E7E" w:themeColor="text1" w:themeTint="80" w:sz="4" w:space="0"/>
              <w:bottom w:val="single" w:color="7E7E7E" w:themeColor="text1" w:themeTint="80" w:sz="4" w:space="0"/>
              <w:insideH w:val="single" w:sz="4" w:space="0"/>
            </w:tcBorders>
          </w:tcPr>
          <w:p w14:paraId="14F18A67">
            <w:pPr>
              <w:spacing w:after="0" w:line="240" w:lineRule="auto"/>
              <w:rPr>
                <w:rFonts w:ascii="Times New Roman" w:hAnsi="Times New Roman" w:cs="Times New Roman"/>
              </w:rPr>
            </w:pPr>
            <w:r>
              <w:rPr>
                <w:rFonts w:ascii="Times New Roman" w:hAnsi="Times New Roman" w:cs="Times New Roman"/>
              </w:rPr>
              <w:t>21.6</w:t>
            </w:r>
          </w:p>
        </w:tc>
        <w:tc>
          <w:tcPr>
            <w:tcW w:w="2254" w:type="dxa"/>
            <w:tcBorders>
              <w:top w:val="single" w:color="7E7E7E" w:themeColor="text1" w:themeTint="80" w:sz="4" w:space="0"/>
              <w:bottom w:val="single" w:color="7E7E7E" w:themeColor="text1" w:themeTint="80" w:sz="4" w:space="0"/>
              <w:insideH w:val="single" w:sz="4" w:space="0"/>
            </w:tcBorders>
          </w:tcPr>
          <w:p w14:paraId="115746D8">
            <w:pPr>
              <w:spacing w:after="0" w:line="240" w:lineRule="auto"/>
              <w:rPr>
                <w:rFonts w:ascii="Times New Roman" w:hAnsi="Times New Roman" w:cs="Times New Roman"/>
              </w:rPr>
            </w:pPr>
            <w:r>
              <w:rPr>
                <w:rFonts w:ascii="Times New Roman" w:hAnsi="Times New Roman" w:cs="Times New Roman"/>
              </w:rPr>
              <w:t>16.2</w:t>
            </w:r>
          </w:p>
        </w:tc>
      </w:tr>
      <w:tr w14:paraId="68F42A6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Pr>
          <w:p w14:paraId="743876D4">
            <w:pPr>
              <w:spacing w:after="0" w:line="240" w:lineRule="auto"/>
              <w:rPr>
                <w:rFonts w:ascii="Times New Roman" w:hAnsi="Times New Roman" w:cs="Times New Roman"/>
                <w:b w:val="0"/>
                <w:bCs w:val="0"/>
              </w:rPr>
            </w:pPr>
            <w:r>
              <w:rPr>
                <w:rFonts w:ascii="Times New Roman" w:hAnsi="Times New Roman" w:cs="Times New Roman"/>
                <w:b w:val="0"/>
                <w:bCs w:val="0"/>
              </w:rPr>
              <w:t>Soybean meal</w:t>
            </w:r>
          </w:p>
        </w:tc>
        <w:tc>
          <w:tcPr>
            <w:tcW w:w="2254" w:type="dxa"/>
          </w:tcPr>
          <w:p w14:paraId="3533A159">
            <w:pPr>
              <w:spacing w:after="0" w:line="240" w:lineRule="auto"/>
              <w:rPr>
                <w:rFonts w:ascii="Times New Roman" w:hAnsi="Times New Roman" w:cs="Times New Roman"/>
              </w:rPr>
            </w:pPr>
            <w:r>
              <w:rPr>
                <w:rFonts w:ascii="Times New Roman" w:hAnsi="Times New Roman" w:cs="Times New Roman"/>
              </w:rPr>
              <w:t>25</w:t>
            </w:r>
          </w:p>
        </w:tc>
        <w:tc>
          <w:tcPr>
            <w:tcW w:w="2254" w:type="dxa"/>
          </w:tcPr>
          <w:p w14:paraId="18C19067">
            <w:pPr>
              <w:spacing w:after="0" w:line="240" w:lineRule="auto"/>
              <w:rPr>
                <w:rFonts w:ascii="Times New Roman" w:hAnsi="Times New Roman" w:cs="Times New Roman"/>
              </w:rPr>
            </w:pPr>
            <w:r>
              <w:rPr>
                <w:rFonts w:ascii="Times New Roman" w:hAnsi="Times New Roman" w:cs="Times New Roman"/>
              </w:rPr>
              <w:t>25</w:t>
            </w:r>
          </w:p>
        </w:tc>
        <w:tc>
          <w:tcPr>
            <w:tcW w:w="2254" w:type="dxa"/>
          </w:tcPr>
          <w:p w14:paraId="54CD7451">
            <w:pPr>
              <w:spacing w:after="0" w:line="240" w:lineRule="auto"/>
              <w:rPr>
                <w:rFonts w:ascii="Times New Roman" w:hAnsi="Times New Roman" w:cs="Times New Roman"/>
              </w:rPr>
            </w:pPr>
            <w:r>
              <w:rPr>
                <w:rFonts w:ascii="Times New Roman" w:hAnsi="Times New Roman" w:cs="Times New Roman"/>
              </w:rPr>
              <w:t>25</w:t>
            </w:r>
          </w:p>
        </w:tc>
      </w:tr>
      <w:tr w14:paraId="1F06FD7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top w:val="single" w:color="7E7E7E" w:themeColor="text1" w:themeTint="80" w:sz="4" w:space="0"/>
              <w:bottom w:val="single" w:color="7E7E7E" w:themeColor="text1" w:themeTint="80" w:sz="4" w:space="0"/>
              <w:insideH w:val="single" w:sz="4" w:space="0"/>
            </w:tcBorders>
          </w:tcPr>
          <w:p w14:paraId="7A0BAF98">
            <w:pPr>
              <w:spacing w:after="0" w:line="240" w:lineRule="auto"/>
              <w:rPr>
                <w:rFonts w:ascii="Times New Roman" w:hAnsi="Times New Roman" w:cs="Times New Roman"/>
                <w:b w:val="0"/>
                <w:bCs w:val="0"/>
              </w:rPr>
            </w:pPr>
            <w:r>
              <w:rPr>
                <w:rFonts w:ascii="Times New Roman" w:hAnsi="Times New Roman" w:cs="Times New Roman"/>
                <w:b w:val="0"/>
                <w:bCs w:val="0"/>
              </w:rPr>
              <w:t xml:space="preserve">Groundnut oil cake </w:t>
            </w:r>
          </w:p>
        </w:tc>
        <w:tc>
          <w:tcPr>
            <w:tcW w:w="2254" w:type="dxa"/>
            <w:tcBorders>
              <w:top w:val="single" w:color="7E7E7E" w:themeColor="text1" w:themeTint="80" w:sz="4" w:space="0"/>
              <w:bottom w:val="single" w:color="7E7E7E" w:themeColor="text1" w:themeTint="80" w:sz="4" w:space="0"/>
              <w:insideH w:val="single" w:sz="4" w:space="0"/>
            </w:tcBorders>
          </w:tcPr>
          <w:p w14:paraId="2D5C55ED">
            <w:pPr>
              <w:spacing w:after="0" w:line="240" w:lineRule="auto"/>
              <w:rPr>
                <w:rFonts w:ascii="Times New Roman" w:hAnsi="Times New Roman" w:cs="Times New Roman"/>
              </w:rPr>
            </w:pPr>
            <w:r>
              <w:rPr>
                <w:rFonts w:ascii="Times New Roman" w:hAnsi="Times New Roman" w:cs="Times New Roman"/>
              </w:rPr>
              <w:t>14</w:t>
            </w:r>
          </w:p>
        </w:tc>
        <w:tc>
          <w:tcPr>
            <w:tcW w:w="2254" w:type="dxa"/>
            <w:tcBorders>
              <w:top w:val="single" w:color="7E7E7E" w:themeColor="text1" w:themeTint="80" w:sz="4" w:space="0"/>
              <w:bottom w:val="single" w:color="7E7E7E" w:themeColor="text1" w:themeTint="80" w:sz="4" w:space="0"/>
              <w:insideH w:val="single" w:sz="4" w:space="0"/>
            </w:tcBorders>
          </w:tcPr>
          <w:p w14:paraId="4A593ABE">
            <w:pPr>
              <w:spacing w:after="0" w:line="240" w:lineRule="auto"/>
              <w:rPr>
                <w:rFonts w:ascii="Times New Roman" w:hAnsi="Times New Roman" w:cs="Times New Roman"/>
              </w:rPr>
            </w:pPr>
            <w:r>
              <w:rPr>
                <w:rFonts w:ascii="Times New Roman" w:hAnsi="Times New Roman" w:cs="Times New Roman"/>
              </w:rPr>
              <w:t>14</w:t>
            </w:r>
          </w:p>
        </w:tc>
        <w:tc>
          <w:tcPr>
            <w:tcW w:w="2254" w:type="dxa"/>
            <w:tcBorders>
              <w:top w:val="single" w:color="7E7E7E" w:themeColor="text1" w:themeTint="80" w:sz="4" w:space="0"/>
              <w:bottom w:val="single" w:color="7E7E7E" w:themeColor="text1" w:themeTint="80" w:sz="4" w:space="0"/>
              <w:insideH w:val="single" w:sz="4" w:space="0"/>
            </w:tcBorders>
          </w:tcPr>
          <w:p w14:paraId="5C2F561A">
            <w:pPr>
              <w:spacing w:after="0" w:line="240" w:lineRule="auto"/>
              <w:rPr>
                <w:rFonts w:ascii="Times New Roman" w:hAnsi="Times New Roman" w:cs="Times New Roman"/>
              </w:rPr>
            </w:pPr>
            <w:r>
              <w:rPr>
                <w:rFonts w:ascii="Times New Roman" w:hAnsi="Times New Roman" w:cs="Times New Roman"/>
              </w:rPr>
              <w:t>14</w:t>
            </w:r>
          </w:p>
        </w:tc>
      </w:tr>
      <w:tr w14:paraId="7A40936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Pr>
          <w:p w14:paraId="6A356AEE">
            <w:pPr>
              <w:spacing w:after="0" w:line="240" w:lineRule="auto"/>
              <w:rPr>
                <w:rFonts w:ascii="Times New Roman" w:hAnsi="Times New Roman" w:cs="Times New Roman"/>
                <w:b w:val="0"/>
                <w:bCs w:val="0"/>
              </w:rPr>
            </w:pPr>
            <w:r>
              <w:rPr>
                <w:rFonts w:ascii="Times New Roman" w:hAnsi="Times New Roman" w:cs="Times New Roman"/>
                <w:b w:val="0"/>
                <w:bCs w:val="0"/>
              </w:rPr>
              <w:t>Spirulina meal</w:t>
            </w:r>
          </w:p>
        </w:tc>
        <w:tc>
          <w:tcPr>
            <w:tcW w:w="2254" w:type="dxa"/>
          </w:tcPr>
          <w:p w14:paraId="1E5423F9">
            <w:pPr>
              <w:spacing w:after="0" w:line="240" w:lineRule="auto"/>
              <w:rPr>
                <w:rFonts w:ascii="Times New Roman" w:hAnsi="Times New Roman" w:cs="Times New Roman"/>
              </w:rPr>
            </w:pPr>
            <w:r>
              <w:rPr>
                <w:rFonts w:ascii="Times New Roman" w:hAnsi="Times New Roman" w:cs="Times New Roman"/>
              </w:rPr>
              <w:t>0</w:t>
            </w:r>
          </w:p>
        </w:tc>
        <w:tc>
          <w:tcPr>
            <w:tcW w:w="2254" w:type="dxa"/>
          </w:tcPr>
          <w:p w14:paraId="1CF4D66F">
            <w:pPr>
              <w:spacing w:after="0" w:line="240" w:lineRule="auto"/>
              <w:rPr>
                <w:rFonts w:ascii="Times New Roman" w:hAnsi="Times New Roman" w:cs="Times New Roman"/>
              </w:rPr>
            </w:pPr>
            <w:r>
              <w:rPr>
                <w:rFonts w:ascii="Times New Roman" w:hAnsi="Times New Roman" w:cs="Times New Roman"/>
              </w:rPr>
              <w:t>5.4</w:t>
            </w:r>
          </w:p>
        </w:tc>
        <w:tc>
          <w:tcPr>
            <w:tcW w:w="2254" w:type="dxa"/>
          </w:tcPr>
          <w:p w14:paraId="77D32508">
            <w:pPr>
              <w:spacing w:after="0" w:line="240" w:lineRule="auto"/>
              <w:rPr>
                <w:rFonts w:ascii="Times New Roman" w:hAnsi="Times New Roman" w:cs="Times New Roman"/>
              </w:rPr>
            </w:pPr>
            <w:r>
              <w:rPr>
                <w:rFonts w:ascii="Times New Roman" w:hAnsi="Times New Roman" w:cs="Times New Roman"/>
              </w:rPr>
              <w:t>10.8</w:t>
            </w:r>
          </w:p>
        </w:tc>
      </w:tr>
      <w:tr w14:paraId="1CFE3AD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top w:val="single" w:color="7E7E7E" w:themeColor="text1" w:themeTint="80" w:sz="4" w:space="0"/>
              <w:bottom w:val="single" w:color="7E7E7E" w:themeColor="text1" w:themeTint="80" w:sz="4" w:space="0"/>
              <w:insideH w:val="single" w:sz="4" w:space="0"/>
            </w:tcBorders>
          </w:tcPr>
          <w:p w14:paraId="1A6394B0">
            <w:pPr>
              <w:spacing w:after="0" w:line="240" w:lineRule="auto"/>
              <w:rPr>
                <w:rFonts w:ascii="Times New Roman" w:hAnsi="Times New Roman" w:cs="Times New Roman"/>
                <w:b w:val="0"/>
                <w:bCs w:val="0"/>
              </w:rPr>
            </w:pPr>
            <w:r>
              <w:rPr>
                <w:rFonts w:ascii="Times New Roman" w:hAnsi="Times New Roman" w:cs="Times New Roman"/>
                <w:b w:val="0"/>
                <w:bCs w:val="0"/>
              </w:rPr>
              <w:t>De-oiled rice bran</w:t>
            </w:r>
          </w:p>
        </w:tc>
        <w:tc>
          <w:tcPr>
            <w:tcW w:w="2254" w:type="dxa"/>
            <w:tcBorders>
              <w:top w:val="single" w:color="7E7E7E" w:themeColor="text1" w:themeTint="80" w:sz="4" w:space="0"/>
              <w:bottom w:val="single" w:color="7E7E7E" w:themeColor="text1" w:themeTint="80" w:sz="4" w:space="0"/>
              <w:insideH w:val="single" w:sz="4" w:space="0"/>
            </w:tcBorders>
          </w:tcPr>
          <w:p w14:paraId="794BD550">
            <w:pPr>
              <w:spacing w:after="0" w:line="240" w:lineRule="auto"/>
              <w:rPr>
                <w:rFonts w:ascii="Times New Roman" w:hAnsi="Times New Roman" w:cs="Times New Roman"/>
              </w:rPr>
            </w:pPr>
            <w:r>
              <w:rPr>
                <w:rFonts w:ascii="Times New Roman" w:hAnsi="Times New Roman" w:cs="Times New Roman"/>
              </w:rPr>
              <w:t>10</w:t>
            </w:r>
          </w:p>
        </w:tc>
        <w:tc>
          <w:tcPr>
            <w:tcW w:w="2254" w:type="dxa"/>
            <w:tcBorders>
              <w:top w:val="single" w:color="7E7E7E" w:themeColor="text1" w:themeTint="80" w:sz="4" w:space="0"/>
              <w:bottom w:val="single" w:color="7E7E7E" w:themeColor="text1" w:themeTint="80" w:sz="4" w:space="0"/>
              <w:insideH w:val="single" w:sz="4" w:space="0"/>
            </w:tcBorders>
          </w:tcPr>
          <w:p w14:paraId="6D4352CC">
            <w:pPr>
              <w:spacing w:after="0" w:line="240" w:lineRule="auto"/>
              <w:rPr>
                <w:rFonts w:ascii="Times New Roman" w:hAnsi="Times New Roman" w:cs="Times New Roman"/>
              </w:rPr>
            </w:pPr>
            <w:r>
              <w:rPr>
                <w:rFonts w:ascii="Times New Roman" w:hAnsi="Times New Roman" w:cs="Times New Roman"/>
              </w:rPr>
              <w:t>10</w:t>
            </w:r>
          </w:p>
        </w:tc>
        <w:tc>
          <w:tcPr>
            <w:tcW w:w="2254" w:type="dxa"/>
            <w:tcBorders>
              <w:top w:val="single" w:color="7E7E7E" w:themeColor="text1" w:themeTint="80" w:sz="4" w:space="0"/>
              <w:bottom w:val="single" w:color="7E7E7E" w:themeColor="text1" w:themeTint="80" w:sz="4" w:space="0"/>
              <w:insideH w:val="single" w:sz="4" w:space="0"/>
            </w:tcBorders>
          </w:tcPr>
          <w:p w14:paraId="4ACC5C50">
            <w:pPr>
              <w:spacing w:after="0" w:line="240" w:lineRule="auto"/>
              <w:rPr>
                <w:rFonts w:ascii="Times New Roman" w:hAnsi="Times New Roman" w:cs="Times New Roman"/>
              </w:rPr>
            </w:pPr>
            <w:r>
              <w:rPr>
                <w:rFonts w:ascii="Times New Roman" w:hAnsi="Times New Roman" w:cs="Times New Roman"/>
              </w:rPr>
              <w:t>10</w:t>
            </w:r>
          </w:p>
        </w:tc>
      </w:tr>
      <w:tr w14:paraId="02BF4EF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Pr>
          <w:p w14:paraId="6022F78E">
            <w:pPr>
              <w:spacing w:after="0" w:line="240" w:lineRule="auto"/>
              <w:rPr>
                <w:rFonts w:ascii="Times New Roman" w:hAnsi="Times New Roman" w:cs="Times New Roman"/>
                <w:b w:val="0"/>
                <w:bCs w:val="0"/>
              </w:rPr>
            </w:pPr>
            <w:r>
              <w:rPr>
                <w:rFonts w:ascii="Times New Roman" w:hAnsi="Times New Roman" w:cs="Times New Roman"/>
                <w:b w:val="0"/>
                <w:bCs w:val="0"/>
              </w:rPr>
              <w:t>Wheat flour</w:t>
            </w:r>
          </w:p>
        </w:tc>
        <w:tc>
          <w:tcPr>
            <w:tcW w:w="2254" w:type="dxa"/>
          </w:tcPr>
          <w:p w14:paraId="387FF30E">
            <w:pPr>
              <w:spacing w:after="0" w:line="240" w:lineRule="auto"/>
              <w:rPr>
                <w:rFonts w:ascii="Times New Roman" w:hAnsi="Times New Roman" w:cs="Times New Roman"/>
              </w:rPr>
            </w:pPr>
            <w:r>
              <w:rPr>
                <w:rFonts w:ascii="Times New Roman" w:hAnsi="Times New Roman" w:cs="Times New Roman"/>
              </w:rPr>
              <w:t>8</w:t>
            </w:r>
          </w:p>
        </w:tc>
        <w:tc>
          <w:tcPr>
            <w:tcW w:w="2254" w:type="dxa"/>
          </w:tcPr>
          <w:p w14:paraId="1F9C2C37">
            <w:pPr>
              <w:spacing w:after="0" w:line="240" w:lineRule="auto"/>
              <w:rPr>
                <w:rFonts w:ascii="Times New Roman" w:hAnsi="Times New Roman" w:cs="Times New Roman"/>
              </w:rPr>
            </w:pPr>
            <w:r>
              <w:rPr>
                <w:rFonts w:ascii="Times New Roman" w:hAnsi="Times New Roman" w:cs="Times New Roman"/>
              </w:rPr>
              <w:t>8</w:t>
            </w:r>
          </w:p>
        </w:tc>
        <w:tc>
          <w:tcPr>
            <w:tcW w:w="2254" w:type="dxa"/>
          </w:tcPr>
          <w:p w14:paraId="45590270">
            <w:pPr>
              <w:spacing w:after="0" w:line="240" w:lineRule="auto"/>
              <w:rPr>
                <w:rFonts w:ascii="Times New Roman" w:hAnsi="Times New Roman" w:cs="Times New Roman"/>
              </w:rPr>
            </w:pPr>
            <w:r>
              <w:rPr>
                <w:rFonts w:ascii="Times New Roman" w:hAnsi="Times New Roman" w:cs="Times New Roman"/>
              </w:rPr>
              <w:t>8</w:t>
            </w:r>
          </w:p>
        </w:tc>
      </w:tr>
      <w:tr w14:paraId="2130CE8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top w:val="single" w:color="7E7E7E" w:themeColor="text1" w:themeTint="80" w:sz="4" w:space="0"/>
              <w:bottom w:val="single" w:color="7E7E7E" w:themeColor="text1" w:themeTint="80" w:sz="4" w:space="0"/>
              <w:insideH w:val="single" w:sz="4" w:space="0"/>
            </w:tcBorders>
          </w:tcPr>
          <w:p w14:paraId="00453021">
            <w:pPr>
              <w:spacing w:after="0" w:line="240" w:lineRule="auto"/>
              <w:rPr>
                <w:rFonts w:ascii="Times New Roman" w:hAnsi="Times New Roman" w:cs="Times New Roman"/>
                <w:b w:val="0"/>
                <w:bCs w:val="0"/>
              </w:rPr>
            </w:pPr>
            <w:r>
              <w:rPr>
                <w:rFonts w:ascii="Times New Roman" w:hAnsi="Times New Roman" w:cs="Times New Roman"/>
                <w:b w:val="0"/>
                <w:bCs w:val="0"/>
              </w:rPr>
              <w:t>Maize</w:t>
            </w:r>
          </w:p>
        </w:tc>
        <w:tc>
          <w:tcPr>
            <w:tcW w:w="2254" w:type="dxa"/>
            <w:tcBorders>
              <w:top w:val="single" w:color="7E7E7E" w:themeColor="text1" w:themeTint="80" w:sz="4" w:space="0"/>
              <w:bottom w:val="single" w:color="7E7E7E" w:themeColor="text1" w:themeTint="80" w:sz="4" w:space="0"/>
              <w:insideH w:val="single" w:sz="4" w:space="0"/>
            </w:tcBorders>
          </w:tcPr>
          <w:p w14:paraId="7953FFA9">
            <w:pPr>
              <w:spacing w:after="0" w:line="240" w:lineRule="auto"/>
              <w:rPr>
                <w:rFonts w:ascii="Times New Roman" w:hAnsi="Times New Roman" w:cs="Times New Roman"/>
              </w:rPr>
            </w:pPr>
            <w:r>
              <w:rPr>
                <w:rFonts w:ascii="Times New Roman" w:hAnsi="Times New Roman" w:cs="Times New Roman"/>
              </w:rPr>
              <w:t>11</w:t>
            </w:r>
          </w:p>
        </w:tc>
        <w:tc>
          <w:tcPr>
            <w:tcW w:w="2254" w:type="dxa"/>
            <w:tcBorders>
              <w:top w:val="single" w:color="7E7E7E" w:themeColor="text1" w:themeTint="80" w:sz="4" w:space="0"/>
              <w:bottom w:val="single" w:color="7E7E7E" w:themeColor="text1" w:themeTint="80" w:sz="4" w:space="0"/>
              <w:insideH w:val="single" w:sz="4" w:space="0"/>
            </w:tcBorders>
          </w:tcPr>
          <w:p w14:paraId="2683E489">
            <w:pPr>
              <w:spacing w:after="0" w:line="240" w:lineRule="auto"/>
              <w:rPr>
                <w:rFonts w:ascii="Times New Roman" w:hAnsi="Times New Roman" w:cs="Times New Roman"/>
              </w:rPr>
            </w:pPr>
            <w:r>
              <w:rPr>
                <w:rFonts w:ascii="Times New Roman" w:hAnsi="Times New Roman" w:cs="Times New Roman"/>
              </w:rPr>
              <w:t>11</w:t>
            </w:r>
          </w:p>
        </w:tc>
        <w:tc>
          <w:tcPr>
            <w:tcW w:w="2254" w:type="dxa"/>
            <w:tcBorders>
              <w:top w:val="single" w:color="7E7E7E" w:themeColor="text1" w:themeTint="80" w:sz="4" w:space="0"/>
              <w:bottom w:val="single" w:color="7E7E7E" w:themeColor="text1" w:themeTint="80" w:sz="4" w:space="0"/>
              <w:insideH w:val="single" w:sz="4" w:space="0"/>
            </w:tcBorders>
          </w:tcPr>
          <w:p w14:paraId="2CE325E0">
            <w:pPr>
              <w:spacing w:after="0" w:line="240" w:lineRule="auto"/>
              <w:rPr>
                <w:rFonts w:ascii="Times New Roman" w:hAnsi="Times New Roman" w:cs="Times New Roman"/>
              </w:rPr>
            </w:pPr>
            <w:r>
              <w:rPr>
                <w:rFonts w:ascii="Times New Roman" w:hAnsi="Times New Roman" w:cs="Times New Roman"/>
              </w:rPr>
              <w:t>11</w:t>
            </w:r>
          </w:p>
        </w:tc>
      </w:tr>
      <w:tr w14:paraId="5C98640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Pr>
          <w:p w14:paraId="686EF351">
            <w:pPr>
              <w:spacing w:after="0" w:line="240" w:lineRule="auto"/>
              <w:rPr>
                <w:rFonts w:ascii="Times New Roman" w:hAnsi="Times New Roman" w:cs="Times New Roman"/>
                <w:b w:val="0"/>
                <w:bCs w:val="0"/>
              </w:rPr>
            </w:pPr>
            <w:r>
              <w:rPr>
                <w:rFonts w:ascii="Times New Roman" w:hAnsi="Times New Roman" w:cs="Times New Roman"/>
                <w:b w:val="0"/>
                <w:bCs w:val="0"/>
              </w:rPr>
              <w:t>Maida</w:t>
            </w:r>
          </w:p>
        </w:tc>
        <w:tc>
          <w:tcPr>
            <w:tcW w:w="2254" w:type="dxa"/>
          </w:tcPr>
          <w:p w14:paraId="03795D12">
            <w:pPr>
              <w:spacing w:after="0" w:line="240" w:lineRule="auto"/>
              <w:rPr>
                <w:rFonts w:ascii="Times New Roman" w:hAnsi="Times New Roman" w:cs="Times New Roman"/>
              </w:rPr>
            </w:pPr>
            <w:r>
              <w:rPr>
                <w:rFonts w:ascii="Times New Roman" w:hAnsi="Times New Roman" w:cs="Times New Roman"/>
              </w:rPr>
              <w:t>2</w:t>
            </w:r>
          </w:p>
        </w:tc>
        <w:tc>
          <w:tcPr>
            <w:tcW w:w="2254" w:type="dxa"/>
          </w:tcPr>
          <w:p w14:paraId="61F42B91">
            <w:pPr>
              <w:spacing w:after="0" w:line="240" w:lineRule="auto"/>
              <w:rPr>
                <w:rFonts w:ascii="Times New Roman" w:hAnsi="Times New Roman" w:cs="Times New Roman"/>
              </w:rPr>
            </w:pPr>
            <w:r>
              <w:rPr>
                <w:rFonts w:ascii="Times New Roman" w:hAnsi="Times New Roman" w:cs="Times New Roman"/>
              </w:rPr>
              <w:t>2</w:t>
            </w:r>
          </w:p>
        </w:tc>
        <w:tc>
          <w:tcPr>
            <w:tcW w:w="2254" w:type="dxa"/>
          </w:tcPr>
          <w:p w14:paraId="6F384412">
            <w:pPr>
              <w:spacing w:after="0" w:line="240" w:lineRule="auto"/>
              <w:rPr>
                <w:rFonts w:ascii="Times New Roman" w:hAnsi="Times New Roman" w:cs="Times New Roman"/>
              </w:rPr>
            </w:pPr>
            <w:r>
              <w:rPr>
                <w:rFonts w:ascii="Times New Roman" w:hAnsi="Times New Roman" w:cs="Times New Roman"/>
              </w:rPr>
              <w:t>2</w:t>
            </w:r>
          </w:p>
        </w:tc>
      </w:tr>
      <w:tr w14:paraId="6D4A09A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top w:val="single" w:color="7E7E7E" w:themeColor="text1" w:themeTint="80" w:sz="4" w:space="0"/>
              <w:bottom w:val="single" w:color="7E7E7E" w:themeColor="text1" w:themeTint="80" w:sz="4" w:space="0"/>
              <w:insideH w:val="single" w:sz="4" w:space="0"/>
            </w:tcBorders>
          </w:tcPr>
          <w:p w14:paraId="5D42DD6D">
            <w:pPr>
              <w:spacing w:after="0" w:line="240" w:lineRule="auto"/>
              <w:rPr>
                <w:rFonts w:ascii="Times New Roman" w:hAnsi="Times New Roman" w:cs="Times New Roman"/>
                <w:b w:val="0"/>
                <w:bCs w:val="0"/>
              </w:rPr>
            </w:pPr>
            <w:r>
              <w:rPr>
                <w:rFonts w:ascii="Times New Roman" w:hAnsi="Times New Roman" w:cs="Times New Roman"/>
                <w:b w:val="0"/>
                <w:bCs w:val="0"/>
              </w:rPr>
              <w:t xml:space="preserve">Fish oil </w:t>
            </w:r>
          </w:p>
        </w:tc>
        <w:tc>
          <w:tcPr>
            <w:tcW w:w="2254" w:type="dxa"/>
            <w:tcBorders>
              <w:top w:val="single" w:color="7E7E7E" w:themeColor="text1" w:themeTint="80" w:sz="4" w:space="0"/>
              <w:bottom w:val="single" w:color="7E7E7E" w:themeColor="text1" w:themeTint="80" w:sz="4" w:space="0"/>
              <w:insideH w:val="single" w:sz="4" w:space="0"/>
            </w:tcBorders>
          </w:tcPr>
          <w:p w14:paraId="693579DC">
            <w:pPr>
              <w:spacing w:after="0" w:line="240" w:lineRule="auto"/>
              <w:rPr>
                <w:rFonts w:ascii="Times New Roman" w:hAnsi="Times New Roman" w:cs="Times New Roman"/>
              </w:rPr>
            </w:pPr>
            <w:r>
              <w:rPr>
                <w:rFonts w:ascii="Times New Roman" w:hAnsi="Times New Roman" w:cs="Times New Roman"/>
              </w:rPr>
              <w:t>1</w:t>
            </w:r>
          </w:p>
        </w:tc>
        <w:tc>
          <w:tcPr>
            <w:tcW w:w="2254" w:type="dxa"/>
            <w:tcBorders>
              <w:top w:val="single" w:color="7E7E7E" w:themeColor="text1" w:themeTint="80" w:sz="4" w:space="0"/>
              <w:bottom w:val="single" w:color="7E7E7E" w:themeColor="text1" w:themeTint="80" w:sz="4" w:space="0"/>
              <w:insideH w:val="single" w:sz="4" w:space="0"/>
            </w:tcBorders>
          </w:tcPr>
          <w:p w14:paraId="4390CFE7">
            <w:pPr>
              <w:spacing w:after="0" w:line="240" w:lineRule="auto"/>
              <w:rPr>
                <w:rFonts w:ascii="Times New Roman" w:hAnsi="Times New Roman" w:cs="Times New Roman"/>
              </w:rPr>
            </w:pPr>
            <w:r>
              <w:rPr>
                <w:rFonts w:ascii="Times New Roman" w:hAnsi="Times New Roman" w:cs="Times New Roman"/>
              </w:rPr>
              <w:t>1</w:t>
            </w:r>
          </w:p>
        </w:tc>
        <w:tc>
          <w:tcPr>
            <w:tcW w:w="2254" w:type="dxa"/>
            <w:tcBorders>
              <w:top w:val="single" w:color="7E7E7E" w:themeColor="text1" w:themeTint="80" w:sz="4" w:space="0"/>
              <w:bottom w:val="single" w:color="7E7E7E" w:themeColor="text1" w:themeTint="80" w:sz="4" w:space="0"/>
              <w:insideH w:val="single" w:sz="4" w:space="0"/>
            </w:tcBorders>
          </w:tcPr>
          <w:p w14:paraId="2584A8BC">
            <w:pPr>
              <w:spacing w:after="0" w:line="240" w:lineRule="auto"/>
              <w:rPr>
                <w:rFonts w:ascii="Times New Roman" w:hAnsi="Times New Roman" w:cs="Times New Roman"/>
              </w:rPr>
            </w:pPr>
            <w:r>
              <w:rPr>
                <w:rFonts w:ascii="Times New Roman" w:hAnsi="Times New Roman" w:cs="Times New Roman"/>
              </w:rPr>
              <w:t>1</w:t>
            </w:r>
          </w:p>
        </w:tc>
      </w:tr>
      <w:tr w14:paraId="7AB7B16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Pr>
          <w:p w14:paraId="4C60AE25">
            <w:pPr>
              <w:spacing w:after="0" w:line="240" w:lineRule="auto"/>
              <w:rPr>
                <w:rFonts w:ascii="Times New Roman" w:hAnsi="Times New Roman" w:cs="Times New Roman"/>
                <w:b w:val="0"/>
                <w:bCs w:val="0"/>
              </w:rPr>
            </w:pPr>
            <w:r>
              <w:rPr>
                <w:rFonts w:ascii="Times New Roman" w:hAnsi="Times New Roman" w:cs="Times New Roman"/>
                <w:b w:val="0"/>
                <w:bCs w:val="0"/>
              </w:rPr>
              <w:t>Min. mix</w:t>
            </w:r>
          </w:p>
        </w:tc>
        <w:tc>
          <w:tcPr>
            <w:tcW w:w="2254" w:type="dxa"/>
          </w:tcPr>
          <w:p w14:paraId="3405AC11">
            <w:pPr>
              <w:spacing w:after="0" w:line="240" w:lineRule="auto"/>
              <w:rPr>
                <w:rFonts w:ascii="Times New Roman" w:hAnsi="Times New Roman" w:cs="Times New Roman"/>
              </w:rPr>
            </w:pPr>
            <w:r>
              <w:rPr>
                <w:rFonts w:ascii="Times New Roman" w:hAnsi="Times New Roman" w:cs="Times New Roman"/>
              </w:rPr>
              <w:t>1</w:t>
            </w:r>
          </w:p>
        </w:tc>
        <w:tc>
          <w:tcPr>
            <w:tcW w:w="2254" w:type="dxa"/>
          </w:tcPr>
          <w:p w14:paraId="58A6CDDC">
            <w:pPr>
              <w:spacing w:after="0" w:line="240" w:lineRule="auto"/>
              <w:rPr>
                <w:rFonts w:ascii="Times New Roman" w:hAnsi="Times New Roman" w:cs="Times New Roman"/>
              </w:rPr>
            </w:pPr>
            <w:r>
              <w:rPr>
                <w:rFonts w:ascii="Times New Roman" w:hAnsi="Times New Roman" w:cs="Times New Roman"/>
              </w:rPr>
              <w:t>1</w:t>
            </w:r>
          </w:p>
        </w:tc>
        <w:tc>
          <w:tcPr>
            <w:tcW w:w="2254" w:type="dxa"/>
          </w:tcPr>
          <w:p w14:paraId="123447EB">
            <w:pPr>
              <w:spacing w:after="0" w:line="240" w:lineRule="auto"/>
              <w:rPr>
                <w:rFonts w:ascii="Times New Roman" w:hAnsi="Times New Roman" w:cs="Times New Roman"/>
              </w:rPr>
            </w:pPr>
            <w:r>
              <w:rPr>
                <w:rFonts w:ascii="Times New Roman" w:hAnsi="Times New Roman" w:cs="Times New Roman"/>
              </w:rPr>
              <w:t>1</w:t>
            </w:r>
          </w:p>
        </w:tc>
      </w:tr>
      <w:tr w14:paraId="5779F98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top w:val="single" w:color="7E7E7E" w:themeColor="text1" w:themeTint="80" w:sz="4" w:space="0"/>
              <w:bottom w:val="single" w:color="7E7E7E" w:themeColor="text1" w:themeTint="80" w:sz="4" w:space="0"/>
              <w:insideH w:val="single" w:sz="4" w:space="0"/>
            </w:tcBorders>
          </w:tcPr>
          <w:p w14:paraId="741E7F22">
            <w:pPr>
              <w:spacing w:after="0" w:line="240" w:lineRule="auto"/>
              <w:rPr>
                <w:rFonts w:ascii="Times New Roman" w:hAnsi="Times New Roman" w:cs="Times New Roman"/>
                <w:b w:val="0"/>
                <w:bCs w:val="0"/>
              </w:rPr>
            </w:pPr>
            <w:r>
              <w:rPr>
                <w:rFonts w:ascii="Times New Roman" w:hAnsi="Times New Roman" w:cs="Times New Roman"/>
                <w:b w:val="0"/>
                <w:bCs w:val="0"/>
              </w:rPr>
              <w:t>Vit. mix</w:t>
            </w:r>
          </w:p>
        </w:tc>
        <w:tc>
          <w:tcPr>
            <w:tcW w:w="2254" w:type="dxa"/>
            <w:tcBorders>
              <w:top w:val="single" w:color="7E7E7E" w:themeColor="text1" w:themeTint="80" w:sz="4" w:space="0"/>
              <w:bottom w:val="single" w:color="7E7E7E" w:themeColor="text1" w:themeTint="80" w:sz="4" w:space="0"/>
              <w:insideH w:val="single" w:sz="4" w:space="0"/>
            </w:tcBorders>
          </w:tcPr>
          <w:p w14:paraId="510021C7">
            <w:pPr>
              <w:spacing w:after="0" w:line="240" w:lineRule="auto"/>
              <w:rPr>
                <w:rFonts w:ascii="Times New Roman" w:hAnsi="Times New Roman" w:cs="Times New Roman"/>
              </w:rPr>
            </w:pPr>
            <w:r>
              <w:rPr>
                <w:rFonts w:ascii="Times New Roman" w:hAnsi="Times New Roman" w:cs="Times New Roman"/>
              </w:rPr>
              <w:t>1</w:t>
            </w:r>
          </w:p>
        </w:tc>
        <w:tc>
          <w:tcPr>
            <w:tcW w:w="2254" w:type="dxa"/>
            <w:tcBorders>
              <w:top w:val="single" w:color="7E7E7E" w:themeColor="text1" w:themeTint="80" w:sz="4" w:space="0"/>
              <w:bottom w:val="single" w:color="7E7E7E" w:themeColor="text1" w:themeTint="80" w:sz="4" w:space="0"/>
              <w:insideH w:val="single" w:sz="4" w:space="0"/>
            </w:tcBorders>
          </w:tcPr>
          <w:p w14:paraId="0D1CB4D3">
            <w:pPr>
              <w:spacing w:after="0" w:line="240" w:lineRule="auto"/>
              <w:rPr>
                <w:rFonts w:ascii="Times New Roman" w:hAnsi="Times New Roman" w:cs="Times New Roman"/>
              </w:rPr>
            </w:pPr>
          </w:p>
        </w:tc>
        <w:tc>
          <w:tcPr>
            <w:tcW w:w="2254" w:type="dxa"/>
            <w:tcBorders>
              <w:top w:val="single" w:color="7E7E7E" w:themeColor="text1" w:themeTint="80" w:sz="4" w:space="0"/>
              <w:bottom w:val="single" w:color="7E7E7E" w:themeColor="text1" w:themeTint="80" w:sz="4" w:space="0"/>
              <w:insideH w:val="single" w:sz="4" w:space="0"/>
            </w:tcBorders>
          </w:tcPr>
          <w:p w14:paraId="2151BADA">
            <w:pPr>
              <w:spacing w:after="0" w:line="240" w:lineRule="auto"/>
              <w:rPr>
                <w:rFonts w:ascii="Times New Roman" w:hAnsi="Times New Roman" w:cs="Times New Roman"/>
              </w:rPr>
            </w:pPr>
            <w:r>
              <w:rPr>
                <w:rFonts w:ascii="Times New Roman" w:hAnsi="Times New Roman" w:cs="Times New Roman"/>
              </w:rPr>
              <w:t>1</w:t>
            </w:r>
          </w:p>
        </w:tc>
      </w:tr>
      <w:tr w14:paraId="744F551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Pr>
          <w:p w14:paraId="7D65F8E4">
            <w:pPr>
              <w:spacing w:after="0" w:line="240" w:lineRule="auto"/>
              <w:rPr>
                <w:rFonts w:ascii="Times New Roman" w:hAnsi="Times New Roman" w:cs="Times New Roman"/>
                <w:b w:val="0"/>
                <w:bCs w:val="0"/>
              </w:rPr>
            </w:pPr>
            <w:r>
              <w:rPr>
                <w:rFonts w:ascii="Times New Roman" w:hAnsi="Times New Roman" w:cs="Times New Roman"/>
                <w:b w:val="0"/>
                <w:bCs w:val="0"/>
              </w:rPr>
              <w:t>Total</w:t>
            </w:r>
          </w:p>
        </w:tc>
        <w:tc>
          <w:tcPr>
            <w:tcW w:w="2254" w:type="dxa"/>
          </w:tcPr>
          <w:p w14:paraId="4C0A4F05">
            <w:pPr>
              <w:spacing w:after="0" w:line="240" w:lineRule="auto"/>
              <w:rPr>
                <w:rFonts w:ascii="Times New Roman" w:hAnsi="Times New Roman" w:cs="Times New Roman"/>
              </w:rPr>
            </w:pPr>
            <w:r>
              <w:rPr>
                <w:rFonts w:ascii="Times New Roman" w:hAnsi="Times New Roman" w:cs="Times New Roman"/>
              </w:rPr>
              <w:t>100</w:t>
            </w:r>
          </w:p>
        </w:tc>
        <w:tc>
          <w:tcPr>
            <w:tcW w:w="2254" w:type="dxa"/>
          </w:tcPr>
          <w:p w14:paraId="428646F6">
            <w:pPr>
              <w:spacing w:after="0" w:line="240" w:lineRule="auto"/>
              <w:rPr>
                <w:rFonts w:ascii="Times New Roman" w:hAnsi="Times New Roman" w:cs="Times New Roman"/>
              </w:rPr>
            </w:pPr>
            <w:r>
              <w:rPr>
                <w:rFonts w:ascii="Times New Roman" w:hAnsi="Times New Roman" w:cs="Times New Roman"/>
              </w:rPr>
              <w:t>100</w:t>
            </w:r>
          </w:p>
        </w:tc>
        <w:tc>
          <w:tcPr>
            <w:tcW w:w="2254" w:type="dxa"/>
          </w:tcPr>
          <w:p w14:paraId="345D2488">
            <w:pPr>
              <w:spacing w:after="0" w:line="240" w:lineRule="auto"/>
              <w:rPr>
                <w:rFonts w:ascii="Times New Roman" w:hAnsi="Times New Roman" w:cs="Times New Roman"/>
              </w:rPr>
            </w:pPr>
            <w:r>
              <w:rPr>
                <w:rFonts w:ascii="Times New Roman" w:hAnsi="Times New Roman" w:cs="Times New Roman"/>
              </w:rPr>
              <w:t>100</w:t>
            </w:r>
          </w:p>
        </w:tc>
      </w:tr>
    </w:tbl>
    <w:p w14:paraId="22802B79">
      <w:pPr>
        <w:spacing w:line="240" w:lineRule="auto"/>
        <w:rPr>
          <w:rFonts w:ascii="Times New Roman" w:hAnsi="Times New Roman" w:cs="Times New Roman"/>
        </w:rPr>
      </w:pPr>
      <w:r>
        <w:rPr>
          <w:rFonts w:ascii="Times New Roman" w:hAnsi="Times New Roman" w:cs="Times New Roman"/>
        </w:rPr>
        <w:t xml:space="preserve">Composition of Vitamin and Mineral mixture (per Kg feed): Vitamin A (100,000,000 IU), Vitamin D₃ (2,000,000 IU), Vitamin E (10,000 IU), Vitamin C (60,000 mg), Thiamine (Vitamin B₁, 5,000 mg), Riboflavin (Vitamin B₂, 5,000 mg), Niacin (Vitamin B₃, 6,000 150 mg), Pantothenic acid (Vitamin B₅, 6,000 mg), Pyridoxine (Vitamin B₆, 6,000 mg) and Biotin (Vitamin H, 200 mg). Calcium carbonate (27.25%), Magnesium (2,800 mg), Iron (7,400 mg), Zinc (9,800 mg), Manganese (11,600 mg), Copper (1,200 mg), Iodine (7.4 mg), Selenium (4 mg), Cobalt (4 mg), Potassium (100 mg), Sodium (6 mg), Phosphorus (7.45 mg), Sulfur (0.7 mg), Aluminum (1,500 mg), choline chloride (10,000mg) and Calpan (200 mg). </w:t>
      </w:r>
    </w:p>
    <w:p w14:paraId="2802DB39">
      <w:pPr>
        <w:spacing w:line="240" w:lineRule="auto"/>
        <w:rPr>
          <w:rFonts w:ascii="Times New Roman" w:hAnsi="Times New Roman" w:cs="Times New Roman"/>
        </w:rPr>
      </w:pPr>
      <w:r>
        <w:rPr>
          <w:rFonts w:ascii="Times New Roman" w:hAnsi="Times New Roman" w:cs="Times New Roman"/>
        </w:rPr>
        <w:t>Table 2: Feed Formulation of Experimental Diets:</w:t>
      </w:r>
    </w:p>
    <w:tbl>
      <w:tblPr>
        <w:tblStyle w:val="50"/>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54"/>
        <w:gridCol w:w="2254"/>
        <w:gridCol w:w="2254"/>
        <w:gridCol w:w="2254"/>
      </w:tblGrid>
      <w:tr w14:paraId="18FDC74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bottom w:val="single" w:color="7E7E7E" w:themeColor="text1" w:themeTint="80" w:sz="4" w:space="0"/>
              <w:insideH w:val="single" w:sz="4" w:space="0"/>
            </w:tcBorders>
          </w:tcPr>
          <w:p w14:paraId="7257F8E9">
            <w:pPr>
              <w:spacing w:after="0" w:line="240" w:lineRule="auto"/>
              <w:rPr>
                <w:rFonts w:ascii="Times New Roman" w:hAnsi="Times New Roman" w:cs="Times New Roman"/>
                <w:b w:val="0"/>
                <w:bCs w:val="0"/>
              </w:rPr>
            </w:pPr>
            <w:r>
              <w:rPr>
                <w:rFonts w:ascii="Times New Roman" w:hAnsi="Times New Roman" w:cs="Times New Roman"/>
                <w:b/>
                <w:bCs/>
              </w:rPr>
              <w:t>Ingredients</w:t>
            </w:r>
          </w:p>
        </w:tc>
        <w:tc>
          <w:tcPr>
            <w:tcW w:w="2254" w:type="dxa"/>
            <w:tcBorders>
              <w:bottom w:val="single" w:color="7E7E7E" w:themeColor="text1" w:themeTint="80" w:sz="4" w:space="0"/>
              <w:insideH w:val="single" w:sz="4" w:space="0"/>
            </w:tcBorders>
          </w:tcPr>
          <w:p w14:paraId="33F4F908">
            <w:pPr>
              <w:spacing w:after="0" w:line="240" w:lineRule="auto"/>
              <w:rPr>
                <w:rFonts w:ascii="Times New Roman" w:hAnsi="Times New Roman" w:cs="Times New Roman"/>
                <w:b w:val="0"/>
                <w:bCs w:val="0"/>
                <w:vertAlign w:val="subscript"/>
              </w:rPr>
            </w:pPr>
            <w:r>
              <w:rPr>
                <w:rFonts w:ascii="Times New Roman" w:hAnsi="Times New Roman" w:cs="Times New Roman"/>
                <w:b/>
                <w:bCs/>
              </w:rPr>
              <w:t>T</w:t>
            </w:r>
            <w:r>
              <w:rPr>
                <w:rFonts w:ascii="Times New Roman" w:hAnsi="Times New Roman" w:cs="Times New Roman"/>
                <w:b/>
                <w:bCs/>
                <w:vertAlign w:val="subscript"/>
              </w:rPr>
              <w:t>1</w:t>
            </w:r>
          </w:p>
        </w:tc>
        <w:tc>
          <w:tcPr>
            <w:tcW w:w="2254" w:type="dxa"/>
            <w:tcBorders>
              <w:bottom w:val="single" w:color="7E7E7E" w:themeColor="text1" w:themeTint="80" w:sz="4" w:space="0"/>
              <w:insideH w:val="single" w:sz="4" w:space="0"/>
            </w:tcBorders>
          </w:tcPr>
          <w:p w14:paraId="58028172">
            <w:pPr>
              <w:spacing w:after="0" w:line="240" w:lineRule="auto"/>
              <w:rPr>
                <w:rFonts w:ascii="Times New Roman" w:hAnsi="Times New Roman" w:cs="Times New Roman"/>
                <w:b w:val="0"/>
                <w:bCs w:val="0"/>
              </w:rPr>
            </w:pPr>
            <w:r>
              <w:rPr>
                <w:rFonts w:ascii="Times New Roman" w:hAnsi="Times New Roman" w:cs="Times New Roman"/>
                <w:b/>
                <w:bCs/>
              </w:rPr>
              <w:t>T</w:t>
            </w:r>
            <w:r>
              <w:rPr>
                <w:rFonts w:ascii="Times New Roman" w:hAnsi="Times New Roman" w:cs="Times New Roman"/>
                <w:b/>
                <w:bCs/>
                <w:vertAlign w:val="subscript"/>
              </w:rPr>
              <w:t>2</w:t>
            </w:r>
          </w:p>
        </w:tc>
        <w:tc>
          <w:tcPr>
            <w:tcW w:w="2254" w:type="dxa"/>
            <w:tcBorders>
              <w:bottom w:val="single" w:color="7E7E7E" w:themeColor="text1" w:themeTint="80" w:sz="4" w:space="0"/>
              <w:insideH w:val="single" w:sz="4" w:space="0"/>
            </w:tcBorders>
          </w:tcPr>
          <w:p w14:paraId="732CCE93">
            <w:pPr>
              <w:spacing w:after="0" w:line="240" w:lineRule="auto"/>
              <w:rPr>
                <w:rFonts w:ascii="Times New Roman" w:hAnsi="Times New Roman" w:cs="Times New Roman"/>
                <w:b w:val="0"/>
                <w:bCs w:val="0"/>
              </w:rPr>
            </w:pPr>
            <w:r>
              <w:rPr>
                <w:rFonts w:ascii="Times New Roman" w:hAnsi="Times New Roman" w:cs="Times New Roman"/>
                <w:b/>
                <w:bCs/>
              </w:rPr>
              <w:t>T</w:t>
            </w:r>
            <w:r>
              <w:rPr>
                <w:rFonts w:ascii="Times New Roman" w:hAnsi="Times New Roman" w:cs="Times New Roman"/>
                <w:b/>
                <w:bCs/>
                <w:vertAlign w:val="subscript"/>
              </w:rPr>
              <w:t>3</w:t>
            </w:r>
          </w:p>
        </w:tc>
      </w:tr>
      <w:tr w14:paraId="2910E6C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top w:val="single" w:color="7E7E7E" w:themeColor="text1" w:themeTint="80" w:sz="4" w:space="0"/>
              <w:bottom w:val="single" w:color="7E7E7E" w:themeColor="text1" w:themeTint="80" w:sz="4" w:space="0"/>
              <w:insideH w:val="single" w:sz="4" w:space="0"/>
            </w:tcBorders>
          </w:tcPr>
          <w:p w14:paraId="5AD2BB98">
            <w:pPr>
              <w:spacing w:after="0" w:line="240" w:lineRule="auto"/>
              <w:rPr>
                <w:rFonts w:ascii="Times New Roman" w:hAnsi="Times New Roman" w:cs="Times New Roman"/>
                <w:b/>
                <w:bCs/>
              </w:rPr>
            </w:pPr>
            <w:r>
              <w:rPr>
                <w:rFonts w:ascii="Times New Roman" w:hAnsi="Times New Roman" w:cs="Times New Roman"/>
                <w:b/>
                <w:bCs/>
              </w:rPr>
              <w:t>Moisture</w:t>
            </w:r>
          </w:p>
        </w:tc>
        <w:tc>
          <w:tcPr>
            <w:tcW w:w="2254" w:type="dxa"/>
            <w:tcBorders>
              <w:top w:val="single" w:color="7E7E7E" w:themeColor="text1" w:themeTint="80" w:sz="4" w:space="0"/>
              <w:bottom w:val="single" w:color="7E7E7E" w:themeColor="text1" w:themeTint="80" w:sz="4" w:space="0"/>
              <w:insideH w:val="single" w:sz="4" w:space="0"/>
            </w:tcBorders>
          </w:tcPr>
          <w:p w14:paraId="61739706">
            <w:pPr>
              <w:spacing w:after="0" w:line="240" w:lineRule="auto"/>
              <w:rPr>
                <w:rFonts w:ascii="Times New Roman" w:hAnsi="Times New Roman" w:cs="Times New Roman"/>
              </w:rPr>
            </w:pPr>
            <w:r>
              <w:rPr>
                <w:rFonts w:ascii="Times New Roman" w:hAnsi="Times New Roman" w:cs="Times New Roman"/>
              </w:rPr>
              <w:t>7.2</w:t>
            </w:r>
          </w:p>
        </w:tc>
        <w:tc>
          <w:tcPr>
            <w:tcW w:w="2254" w:type="dxa"/>
            <w:tcBorders>
              <w:top w:val="single" w:color="7E7E7E" w:themeColor="text1" w:themeTint="80" w:sz="4" w:space="0"/>
              <w:bottom w:val="single" w:color="7E7E7E" w:themeColor="text1" w:themeTint="80" w:sz="4" w:space="0"/>
              <w:insideH w:val="single" w:sz="4" w:space="0"/>
            </w:tcBorders>
          </w:tcPr>
          <w:p w14:paraId="2A75B518">
            <w:pPr>
              <w:spacing w:after="0" w:line="240" w:lineRule="auto"/>
              <w:rPr>
                <w:rFonts w:ascii="Times New Roman" w:hAnsi="Times New Roman" w:cs="Times New Roman"/>
              </w:rPr>
            </w:pPr>
            <w:r>
              <w:rPr>
                <w:rFonts w:ascii="Times New Roman" w:hAnsi="Times New Roman" w:cs="Times New Roman"/>
              </w:rPr>
              <w:t>7.3</w:t>
            </w:r>
          </w:p>
        </w:tc>
        <w:tc>
          <w:tcPr>
            <w:tcW w:w="2254" w:type="dxa"/>
            <w:tcBorders>
              <w:top w:val="single" w:color="7E7E7E" w:themeColor="text1" w:themeTint="80" w:sz="4" w:space="0"/>
              <w:bottom w:val="single" w:color="7E7E7E" w:themeColor="text1" w:themeTint="80" w:sz="4" w:space="0"/>
              <w:insideH w:val="single" w:sz="4" w:space="0"/>
            </w:tcBorders>
          </w:tcPr>
          <w:p w14:paraId="00B1337D">
            <w:pPr>
              <w:spacing w:after="0" w:line="240" w:lineRule="auto"/>
              <w:rPr>
                <w:rFonts w:ascii="Times New Roman" w:hAnsi="Times New Roman" w:cs="Times New Roman"/>
              </w:rPr>
            </w:pPr>
            <w:r>
              <w:rPr>
                <w:rFonts w:ascii="Times New Roman" w:hAnsi="Times New Roman" w:cs="Times New Roman"/>
              </w:rPr>
              <w:t>7.5</w:t>
            </w:r>
          </w:p>
        </w:tc>
      </w:tr>
      <w:tr w14:paraId="337F081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Pr>
          <w:p w14:paraId="08713144">
            <w:pPr>
              <w:spacing w:after="0" w:line="240" w:lineRule="auto"/>
              <w:rPr>
                <w:rFonts w:ascii="Times New Roman" w:hAnsi="Times New Roman" w:cs="Times New Roman"/>
                <w:b/>
                <w:bCs/>
              </w:rPr>
            </w:pPr>
            <w:r>
              <w:rPr>
                <w:rFonts w:ascii="Times New Roman" w:hAnsi="Times New Roman" w:cs="Times New Roman"/>
                <w:b/>
                <w:bCs/>
              </w:rPr>
              <w:t>Crude Protein</w:t>
            </w:r>
          </w:p>
        </w:tc>
        <w:tc>
          <w:tcPr>
            <w:tcW w:w="2254" w:type="dxa"/>
          </w:tcPr>
          <w:p w14:paraId="797BB0B0">
            <w:pPr>
              <w:spacing w:after="0" w:line="240" w:lineRule="auto"/>
              <w:rPr>
                <w:rFonts w:ascii="Times New Roman" w:hAnsi="Times New Roman" w:cs="Times New Roman"/>
              </w:rPr>
            </w:pPr>
            <w:r>
              <w:rPr>
                <w:rFonts w:ascii="Times New Roman" w:hAnsi="Times New Roman" w:cs="Times New Roman"/>
              </w:rPr>
              <w:t>34.78</w:t>
            </w:r>
          </w:p>
        </w:tc>
        <w:tc>
          <w:tcPr>
            <w:tcW w:w="2254" w:type="dxa"/>
          </w:tcPr>
          <w:p w14:paraId="1936543A">
            <w:pPr>
              <w:spacing w:after="0" w:line="240" w:lineRule="auto"/>
              <w:rPr>
                <w:rFonts w:ascii="Times New Roman" w:hAnsi="Times New Roman" w:cs="Times New Roman"/>
              </w:rPr>
            </w:pPr>
            <w:r>
              <w:rPr>
                <w:rFonts w:ascii="Times New Roman" w:hAnsi="Times New Roman" w:cs="Times New Roman"/>
              </w:rPr>
              <w:t>34.93</w:t>
            </w:r>
          </w:p>
        </w:tc>
        <w:tc>
          <w:tcPr>
            <w:tcW w:w="2254" w:type="dxa"/>
          </w:tcPr>
          <w:p w14:paraId="5449EFBD">
            <w:pPr>
              <w:spacing w:after="0" w:line="240" w:lineRule="auto"/>
              <w:rPr>
                <w:rFonts w:ascii="Times New Roman" w:hAnsi="Times New Roman" w:cs="Times New Roman"/>
              </w:rPr>
            </w:pPr>
            <w:r>
              <w:rPr>
                <w:rFonts w:ascii="Times New Roman" w:hAnsi="Times New Roman" w:cs="Times New Roman"/>
              </w:rPr>
              <w:t>35.11</w:t>
            </w:r>
          </w:p>
        </w:tc>
      </w:tr>
      <w:tr w14:paraId="7C808CB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top w:val="single" w:color="7E7E7E" w:themeColor="text1" w:themeTint="80" w:sz="4" w:space="0"/>
              <w:bottom w:val="single" w:color="7E7E7E" w:themeColor="text1" w:themeTint="80" w:sz="4" w:space="0"/>
              <w:insideH w:val="single" w:sz="4" w:space="0"/>
            </w:tcBorders>
          </w:tcPr>
          <w:p w14:paraId="2B67344D">
            <w:pPr>
              <w:spacing w:after="0" w:line="240" w:lineRule="auto"/>
              <w:rPr>
                <w:rFonts w:ascii="Times New Roman" w:hAnsi="Times New Roman" w:cs="Times New Roman"/>
                <w:b/>
                <w:bCs/>
              </w:rPr>
            </w:pPr>
            <w:r>
              <w:rPr>
                <w:rFonts w:ascii="Times New Roman" w:hAnsi="Times New Roman" w:cs="Times New Roman"/>
                <w:b/>
                <w:bCs/>
              </w:rPr>
              <w:t>Ether Extract</w:t>
            </w:r>
          </w:p>
        </w:tc>
        <w:tc>
          <w:tcPr>
            <w:tcW w:w="2254" w:type="dxa"/>
            <w:tcBorders>
              <w:top w:val="single" w:color="7E7E7E" w:themeColor="text1" w:themeTint="80" w:sz="4" w:space="0"/>
              <w:bottom w:val="single" w:color="7E7E7E" w:themeColor="text1" w:themeTint="80" w:sz="4" w:space="0"/>
              <w:insideH w:val="single" w:sz="4" w:space="0"/>
            </w:tcBorders>
          </w:tcPr>
          <w:p w14:paraId="314E39CD">
            <w:pPr>
              <w:spacing w:after="0" w:line="240" w:lineRule="auto"/>
              <w:rPr>
                <w:rFonts w:ascii="Times New Roman" w:hAnsi="Times New Roman" w:cs="Times New Roman"/>
              </w:rPr>
            </w:pPr>
            <w:r>
              <w:rPr>
                <w:rFonts w:ascii="Times New Roman" w:hAnsi="Times New Roman" w:cs="Times New Roman"/>
              </w:rPr>
              <w:t>7.37</w:t>
            </w:r>
          </w:p>
        </w:tc>
        <w:tc>
          <w:tcPr>
            <w:tcW w:w="2254" w:type="dxa"/>
            <w:tcBorders>
              <w:top w:val="single" w:color="7E7E7E" w:themeColor="text1" w:themeTint="80" w:sz="4" w:space="0"/>
              <w:bottom w:val="single" w:color="7E7E7E" w:themeColor="text1" w:themeTint="80" w:sz="4" w:space="0"/>
              <w:insideH w:val="single" w:sz="4" w:space="0"/>
            </w:tcBorders>
          </w:tcPr>
          <w:p w14:paraId="210C406C">
            <w:pPr>
              <w:spacing w:after="0" w:line="240" w:lineRule="auto"/>
              <w:rPr>
                <w:rFonts w:ascii="Times New Roman" w:hAnsi="Times New Roman" w:cs="Times New Roman"/>
              </w:rPr>
            </w:pPr>
            <w:r>
              <w:rPr>
                <w:rFonts w:ascii="Times New Roman" w:hAnsi="Times New Roman" w:cs="Times New Roman"/>
              </w:rPr>
              <w:t>7.7</w:t>
            </w:r>
          </w:p>
        </w:tc>
        <w:tc>
          <w:tcPr>
            <w:tcW w:w="2254" w:type="dxa"/>
            <w:tcBorders>
              <w:top w:val="single" w:color="7E7E7E" w:themeColor="text1" w:themeTint="80" w:sz="4" w:space="0"/>
              <w:bottom w:val="single" w:color="7E7E7E" w:themeColor="text1" w:themeTint="80" w:sz="4" w:space="0"/>
              <w:insideH w:val="single" w:sz="4" w:space="0"/>
            </w:tcBorders>
          </w:tcPr>
          <w:p w14:paraId="6E1025A1">
            <w:pPr>
              <w:spacing w:after="0" w:line="240" w:lineRule="auto"/>
              <w:rPr>
                <w:rFonts w:ascii="Times New Roman" w:hAnsi="Times New Roman" w:cs="Times New Roman"/>
              </w:rPr>
            </w:pPr>
            <w:r>
              <w:rPr>
                <w:rFonts w:ascii="Times New Roman" w:hAnsi="Times New Roman" w:cs="Times New Roman"/>
              </w:rPr>
              <w:t>7.3</w:t>
            </w:r>
          </w:p>
        </w:tc>
      </w:tr>
      <w:tr w14:paraId="623EB99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Pr>
          <w:p w14:paraId="6AA44D95">
            <w:pPr>
              <w:spacing w:after="0" w:line="240" w:lineRule="auto"/>
              <w:rPr>
                <w:rFonts w:ascii="Times New Roman" w:hAnsi="Times New Roman" w:cs="Times New Roman"/>
                <w:b/>
                <w:bCs/>
              </w:rPr>
            </w:pPr>
            <w:r>
              <w:rPr>
                <w:rFonts w:ascii="Times New Roman" w:hAnsi="Times New Roman" w:cs="Times New Roman"/>
                <w:b/>
                <w:bCs/>
              </w:rPr>
              <w:t>Crude Fiber</w:t>
            </w:r>
          </w:p>
        </w:tc>
        <w:tc>
          <w:tcPr>
            <w:tcW w:w="2254" w:type="dxa"/>
          </w:tcPr>
          <w:p w14:paraId="3C413102">
            <w:pPr>
              <w:spacing w:after="0" w:line="240" w:lineRule="auto"/>
              <w:rPr>
                <w:rFonts w:ascii="Times New Roman" w:hAnsi="Times New Roman" w:cs="Times New Roman"/>
              </w:rPr>
            </w:pPr>
            <w:r>
              <w:rPr>
                <w:rFonts w:ascii="Times New Roman" w:hAnsi="Times New Roman" w:cs="Times New Roman"/>
              </w:rPr>
              <w:t>8.7</w:t>
            </w:r>
          </w:p>
        </w:tc>
        <w:tc>
          <w:tcPr>
            <w:tcW w:w="2254" w:type="dxa"/>
          </w:tcPr>
          <w:p w14:paraId="2C01F870">
            <w:pPr>
              <w:spacing w:after="0" w:line="240" w:lineRule="auto"/>
              <w:rPr>
                <w:rFonts w:ascii="Times New Roman" w:hAnsi="Times New Roman" w:cs="Times New Roman"/>
              </w:rPr>
            </w:pPr>
            <w:r>
              <w:rPr>
                <w:rFonts w:ascii="Times New Roman" w:hAnsi="Times New Roman" w:cs="Times New Roman"/>
              </w:rPr>
              <w:t>8.25</w:t>
            </w:r>
          </w:p>
        </w:tc>
        <w:tc>
          <w:tcPr>
            <w:tcW w:w="2254" w:type="dxa"/>
          </w:tcPr>
          <w:p w14:paraId="62A4AAF1">
            <w:pPr>
              <w:spacing w:after="0" w:line="240" w:lineRule="auto"/>
              <w:rPr>
                <w:rFonts w:ascii="Times New Roman" w:hAnsi="Times New Roman" w:cs="Times New Roman"/>
              </w:rPr>
            </w:pPr>
            <w:r>
              <w:rPr>
                <w:rFonts w:ascii="Times New Roman" w:hAnsi="Times New Roman" w:cs="Times New Roman"/>
              </w:rPr>
              <w:t>8.5</w:t>
            </w:r>
          </w:p>
        </w:tc>
      </w:tr>
      <w:tr w14:paraId="20BDCF4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Borders>
              <w:top w:val="single" w:color="7E7E7E" w:themeColor="text1" w:themeTint="80" w:sz="4" w:space="0"/>
              <w:bottom w:val="single" w:color="7E7E7E" w:themeColor="text1" w:themeTint="80" w:sz="4" w:space="0"/>
              <w:insideH w:val="single" w:sz="4" w:space="0"/>
            </w:tcBorders>
          </w:tcPr>
          <w:p w14:paraId="1B63A29D">
            <w:pPr>
              <w:spacing w:after="0" w:line="240" w:lineRule="auto"/>
              <w:rPr>
                <w:rFonts w:ascii="Times New Roman" w:hAnsi="Times New Roman" w:cs="Times New Roman"/>
                <w:b/>
                <w:bCs/>
              </w:rPr>
            </w:pPr>
            <w:r>
              <w:rPr>
                <w:rFonts w:ascii="Times New Roman" w:hAnsi="Times New Roman" w:cs="Times New Roman"/>
                <w:b/>
                <w:bCs/>
              </w:rPr>
              <w:t>Ash</w:t>
            </w:r>
          </w:p>
        </w:tc>
        <w:tc>
          <w:tcPr>
            <w:tcW w:w="2254" w:type="dxa"/>
            <w:tcBorders>
              <w:top w:val="single" w:color="7E7E7E" w:themeColor="text1" w:themeTint="80" w:sz="4" w:space="0"/>
              <w:bottom w:val="single" w:color="7E7E7E" w:themeColor="text1" w:themeTint="80" w:sz="4" w:space="0"/>
              <w:insideH w:val="single" w:sz="4" w:space="0"/>
            </w:tcBorders>
          </w:tcPr>
          <w:p w14:paraId="58622E0F">
            <w:pPr>
              <w:spacing w:after="0" w:line="240" w:lineRule="auto"/>
              <w:rPr>
                <w:rFonts w:ascii="Times New Roman" w:hAnsi="Times New Roman" w:cs="Times New Roman"/>
              </w:rPr>
            </w:pPr>
            <w:r>
              <w:rPr>
                <w:rFonts w:ascii="Times New Roman" w:hAnsi="Times New Roman" w:cs="Times New Roman"/>
              </w:rPr>
              <w:t>13.2</w:t>
            </w:r>
          </w:p>
        </w:tc>
        <w:tc>
          <w:tcPr>
            <w:tcW w:w="2254" w:type="dxa"/>
            <w:tcBorders>
              <w:top w:val="single" w:color="7E7E7E" w:themeColor="text1" w:themeTint="80" w:sz="4" w:space="0"/>
              <w:bottom w:val="single" w:color="7E7E7E" w:themeColor="text1" w:themeTint="80" w:sz="4" w:space="0"/>
              <w:insideH w:val="single" w:sz="4" w:space="0"/>
            </w:tcBorders>
          </w:tcPr>
          <w:p w14:paraId="498DEB29">
            <w:pPr>
              <w:spacing w:after="0" w:line="240" w:lineRule="auto"/>
              <w:rPr>
                <w:rFonts w:ascii="Times New Roman" w:hAnsi="Times New Roman" w:cs="Times New Roman"/>
              </w:rPr>
            </w:pPr>
            <w:r>
              <w:rPr>
                <w:rFonts w:ascii="Times New Roman" w:hAnsi="Times New Roman" w:cs="Times New Roman"/>
              </w:rPr>
              <w:t>12.99</w:t>
            </w:r>
          </w:p>
        </w:tc>
        <w:tc>
          <w:tcPr>
            <w:tcW w:w="2254" w:type="dxa"/>
            <w:tcBorders>
              <w:top w:val="single" w:color="7E7E7E" w:themeColor="text1" w:themeTint="80" w:sz="4" w:space="0"/>
              <w:bottom w:val="single" w:color="7E7E7E" w:themeColor="text1" w:themeTint="80" w:sz="4" w:space="0"/>
              <w:insideH w:val="single" w:sz="4" w:space="0"/>
            </w:tcBorders>
          </w:tcPr>
          <w:p w14:paraId="64836B72">
            <w:pPr>
              <w:spacing w:after="0" w:line="240" w:lineRule="auto"/>
              <w:rPr>
                <w:rFonts w:ascii="Times New Roman" w:hAnsi="Times New Roman" w:cs="Times New Roman"/>
              </w:rPr>
            </w:pPr>
            <w:r>
              <w:rPr>
                <w:rFonts w:ascii="Times New Roman" w:hAnsi="Times New Roman" w:cs="Times New Roman"/>
              </w:rPr>
              <w:t>13.17</w:t>
            </w:r>
          </w:p>
        </w:tc>
      </w:tr>
      <w:tr w14:paraId="37514BF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54" w:type="dxa"/>
          </w:tcPr>
          <w:p w14:paraId="2CC6A37A">
            <w:pPr>
              <w:spacing w:after="0" w:line="240" w:lineRule="auto"/>
              <w:rPr>
                <w:rFonts w:ascii="Times New Roman" w:hAnsi="Times New Roman" w:cs="Times New Roman"/>
                <w:b/>
                <w:bCs/>
              </w:rPr>
            </w:pPr>
            <w:r>
              <w:rPr>
                <w:rFonts w:ascii="Times New Roman" w:hAnsi="Times New Roman" w:cs="Times New Roman"/>
                <w:b/>
                <w:bCs/>
              </w:rPr>
              <w:t>NFE (%)</w:t>
            </w:r>
          </w:p>
        </w:tc>
        <w:tc>
          <w:tcPr>
            <w:tcW w:w="2254" w:type="dxa"/>
          </w:tcPr>
          <w:p w14:paraId="5B7A4560">
            <w:pPr>
              <w:spacing w:after="0" w:line="240" w:lineRule="auto"/>
              <w:rPr>
                <w:rFonts w:ascii="Times New Roman" w:hAnsi="Times New Roman" w:cs="Times New Roman"/>
              </w:rPr>
            </w:pPr>
            <w:r>
              <w:rPr>
                <w:rFonts w:ascii="Times New Roman" w:hAnsi="Times New Roman" w:cs="Times New Roman"/>
              </w:rPr>
              <w:t>28.75</w:t>
            </w:r>
          </w:p>
        </w:tc>
        <w:tc>
          <w:tcPr>
            <w:tcW w:w="2254" w:type="dxa"/>
          </w:tcPr>
          <w:p w14:paraId="7CC46DB4">
            <w:pPr>
              <w:spacing w:after="0" w:line="240" w:lineRule="auto"/>
              <w:rPr>
                <w:rFonts w:ascii="Times New Roman" w:hAnsi="Times New Roman" w:cs="Times New Roman"/>
              </w:rPr>
            </w:pPr>
            <w:r>
              <w:rPr>
                <w:rFonts w:ascii="Times New Roman" w:hAnsi="Times New Roman" w:cs="Times New Roman"/>
              </w:rPr>
              <w:t>28.83</w:t>
            </w:r>
          </w:p>
        </w:tc>
        <w:tc>
          <w:tcPr>
            <w:tcW w:w="2254" w:type="dxa"/>
          </w:tcPr>
          <w:p w14:paraId="16B19FEF">
            <w:pPr>
              <w:spacing w:after="0" w:line="240" w:lineRule="auto"/>
              <w:rPr>
                <w:rFonts w:ascii="Times New Roman" w:hAnsi="Times New Roman" w:cs="Times New Roman"/>
              </w:rPr>
            </w:pPr>
            <w:r>
              <w:rPr>
                <w:rFonts w:ascii="Times New Roman" w:hAnsi="Times New Roman" w:cs="Times New Roman"/>
              </w:rPr>
              <w:t>28.42</w:t>
            </w:r>
          </w:p>
        </w:tc>
      </w:tr>
    </w:tbl>
    <w:p w14:paraId="7C2DBF83">
      <w:pPr>
        <w:spacing w:line="240" w:lineRule="auto"/>
        <w:rPr>
          <w:rFonts w:ascii="Times New Roman" w:hAnsi="Times New Roman" w:cs="Times New Roman"/>
          <w:b/>
          <w:bCs/>
        </w:rPr>
      </w:pPr>
      <w:r>
        <w:rPr>
          <w:rFonts w:ascii="Times New Roman" w:hAnsi="Times New Roman" w:cs="Times New Roman"/>
          <w:b/>
          <w:bCs/>
        </w:rPr>
        <w:t xml:space="preserve">2.3. </w:t>
      </w:r>
      <w:commentRangeStart w:id="2"/>
      <w:r>
        <w:rPr>
          <w:rFonts w:ascii="Times New Roman" w:hAnsi="Times New Roman" w:cs="Times New Roman"/>
          <w:b/>
          <w:bCs/>
        </w:rPr>
        <w:t>Experimental design</w:t>
      </w:r>
      <w:commentRangeEnd w:id="2"/>
      <w:r>
        <w:commentReference w:id="2"/>
      </w:r>
      <w:r>
        <w:rPr>
          <w:rFonts w:ascii="Times New Roman" w:hAnsi="Times New Roman" w:cs="Times New Roman"/>
          <w:b/>
          <w:bCs/>
        </w:rPr>
        <w:t xml:space="preserve"> and feeding trial</w:t>
      </w:r>
    </w:p>
    <w:p w14:paraId="0218F6EF">
      <w:pPr>
        <w:spacing w:line="240" w:lineRule="auto"/>
        <w:jc w:val="both"/>
        <w:rPr>
          <w:rFonts w:ascii="Times New Roman" w:hAnsi="Times New Roman" w:cs="Times New Roman"/>
        </w:rPr>
      </w:pPr>
      <w:r>
        <w:rPr>
          <w:rFonts w:ascii="Times New Roman" w:hAnsi="Times New Roman" w:cs="Times New Roman"/>
        </w:rPr>
        <w:t>The feeding trial was conducted for 90 days using three dietary treatments, including a control diet and two experimental diets supplemented with Spirulina meal at 20% and 40% inclusion levels. Each treatment was assigned to three replicate tanks, with 10 fish stocked per tank. Thus, the experimental design comprised nine tanks and 90 fish in total.</w:t>
      </w:r>
    </w:p>
    <w:p w14:paraId="12C5E97F">
      <w:pPr>
        <w:spacing w:line="240" w:lineRule="auto"/>
        <w:jc w:val="both"/>
        <w:rPr>
          <w:rFonts w:ascii="Times New Roman" w:hAnsi="Times New Roman" w:cs="Times New Roman"/>
        </w:rPr>
      </w:pPr>
      <w:r>
        <w:rPr>
          <w:rFonts w:ascii="Times New Roman" w:hAnsi="Times New Roman" w:cs="Times New Roman"/>
        </w:rPr>
        <w:t>Each tank had a nominal capacity of 100 L and contained 85 L of water. Continuous aeration was provided to each tank through two aeration tubes. Fish were fed three times daily at 06:00, 14:00 and 20:00 h at a daily ration of 6% BW. The feeding ration was adjusted according to fish body weight as appropriate during the trial.</w:t>
      </w:r>
    </w:p>
    <w:p w14:paraId="4D9B693B">
      <w:pPr>
        <w:spacing w:line="240" w:lineRule="auto"/>
        <w:jc w:val="both"/>
        <w:rPr>
          <w:rFonts w:ascii="Times New Roman" w:hAnsi="Times New Roman" w:cs="Times New Roman"/>
        </w:rPr>
      </w:pPr>
      <w:r>
        <w:rPr>
          <w:rFonts w:ascii="Times New Roman" w:hAnsi="Times New Roman" w:cs="Times New Roman"/>
        </w:rPr>
        <w:t>Salinity was maintained at approximately 10 ppt by replenishing evaporative losses and adjusting the water mixture using freshwater and seawater. Water was exchanged daily in the morning before feeding to remove uneaten feed and faecal matter.</w:t>
      </w:r>
    </w:p>
    <w:p w14:paraId="5E20E0D6">
      <w:pPr>
        <w:spacing w:line="240" w:lineRule="auto"/>
        <w:rPr>
          <w:rFonts w:ascii="Times New Roman" w:hAnsi="Times New Roman" w:cs="Times New Roman"/>
          <w:b/>
          <w:bCs/>
        </w:rPr>
      </w:pPr>
      <w:r>
        <w:rPr>
          <w:rFonts w:ascii="Times New Roman" w:hAnsi="Times New Roman" w:cs="Times New Roman"/>
          <w:b/>
          <w:bCs/>
        </w:rPr>
        <w:t>2.4. Water quality monitoring</w:t>
      </w:r>
    </w:p>
    <w:p w14:paraId="2E5E5ADE">
      <w:pPr>
        <w:spacing w:line="240" w:lineRule="auto"/>
        <w:jc w:val="both"/>
        <w:rPr>
          <w:rFonts w:ascii="Times New Roman" w:hAnsi="Times New Roman" w:cs="Times New Roman"/>
        </w:rPr>
      </w:pPr>
      <w:r>
        <w:rPr>
          <w:rFonts w:ascii="Times New Roman" w:hAnsi="Times New Roman" w:cs="Times New Roman"/>
        </w:rPr>
        <w:t>Water quality parameters were monitored throughout the 90-day feeding trial. Water temperature was measured using a mercury-bulb thermometer, pH was assessed using a universal pH indicator, dissolved oxygen was measured using an Aqua Check DO test kit (HiMedia Laboratories Pvt. Ltd., Mumbai, India), and salinity was determined using a portable refractometer (ERMA, RHS-28). These parameters were measured daily at 10:00 h.</w:t>
      </w:r>
    </w:p>
    <w:p w14:paraId="74D0CA6A">
      <w:pPr>
        <w:spacing w:line="240" w:lineRule="auto"/>
        <w:jc w:val="both"/>
        <w:rPr>
          <w:rFonts w:ascii="Times New Roman" w:hAnsi="Times New Roman" w:cs="Times New Roman"/>
        </w:rPr>
      </w:pPr>
      <w:r>
        <w:rPr>
          <w:rFonts w:ascii="Times New Roman" w:hAnsi="Times New Roman" w:cs="Times New Roman"/>
        </w:rPr>
        <w:t xml:space="preserve">Total hardness and total alkalinity were determined once every 10 days using a water-testing kit (Nice Chemicals Pvt. Ltd., Kochi, India). Water was exchanged daily at a rate of 25% before the morning feeding to remove accumulated waste and uneaten feed. Salinity was maintained at approximately 10 ppt throughout the experimental period by replenishing water losses and adjusting the proportions of freshwater and seawater. The methods </w:t>
      </w:r>
      <w:r>
        <w:rPr>
          <w:rStyle w:val="21"/>
          <w:rFonts w:ascii="Times New Roman" w:hAnsi="Times New Roman" w:cs="Times New Roman"/>
          <w:b w:val="0"/>
          <w:bCs w:val="0"/>
        </w:rPr>
        <w:t>for Water Quality Analysis were presented in Table 3.</w:t>
      </w:r>
    </w:p>
    <w:p w14:paraId="08F24790">
      <w:pPr>
        <w:spacing w:line="240" w:lineRule="auto"/>
        <w:rPr>
          <w:rFonts w:ascii="Times New Roman" w:hAnsi="Times New Roman" w:cs="Times New Roman"/>
          <w:b/>
          <w:bCs/>
        </w:rPr>
      </w:pPr>
      <w:r>
        <w:rPr>
          <w:rFonts w:ascii="Times New Roman" w:hAnsi="Times New Roman" w:cs="Times New Roman"/>
          <w:b/>
          <w:bCs/>
        </w:rPr>
        <w:t>2.5. Growth performance, feed utilization and survival</w:t>
      </w:r>
    </w:p>
    <w:p w14:paraId="51B006F3">
      <w:pPr>
        <w:spacing w:line="240" w:lineRule="auto"/>
        <w:jc w:val="both"/>
        <w:rPr>
          <w:rFonts w:ascii="Times New Roman" w:hAnsi="Times New Roman" w:cs="Times New Roman"/>
        </w:rPr>
      </w:pPr>
      <w:r>
        <w:rPr>
          <w:rFonts w:ascii="Times New Roman" w:hAnsi="Times New Roman" w:cs="Times New Roman"/>
        </w:rPr>
        <w:t xml:space="preserve">Growth performance and survival were evaluated at 10-day intervals throughout the feeding trial. Fish were weighed using an analytical balance (ME204, Mettler Toledo, Greifensee, Switzerland), and initial and final body weights were recorded. Growth performance was assessed in terms of final body weight, net weight gain, specific growth rate (SGR), feed conversion ratio (FCR) and survival rate, following the methodology described by </w:t>
      </w:r>
      <w:r>
        <w:rPr>
          <w:rFonts w:ascii="Times New Roman" w:hAnsi="Times New Roman" w:cs="Times New Roman" w:eastAsiaTheme="minorHAnsi"/>
          <w:lang w:eastAsia="en-US"/>
        </w:rPr>
        <w:t xml:space="preserve">El-Sheekh et al., (2014). </w:t>
      </w:r>
    </w:p>
    <w:p w14:paraId="6907757C">
      <w:pPr>
        <w:spacing w:line="240" w:lineRule="auto"/>
        <w:rPr>
          <w:rFonts w:ascii="Times New Roman" w:hAnsi="Times New Roman" w:cs="Times New Roman"/>
        </w:rPr>
      </w:pPr>
      <w:r>
        <w:rPr>
          <w:rFonts w:ascii="Times New Roman" w:hAnsi="Times New Roman" w:cs="Times New Roman"/>
        </w:rPr>
        <w:t>The following equations were used to calculate growth performance and survival indices:</w:t>
      </w:r>
    </w:p>
    <w:p w14:paraId="50654975">
      <w:pPr>
        <w:spacing w:line="240" w:lineRule="auto"/>
        <w:rPr>
          <w:rFonts w:ascii="Times New Roman" w:hAnsi="Times New Roman" w:cs="Times New Roman"/>
          <w:b/>
          <w:bCs/>
        </w:rPr>
      </w:pPr>
      <w:r>
        <w:rPr>
          <w:rFonts w:ascii="Times New Roman" w:hAnsi="Times New Roman" w:cs="Times New Roman"/>
          <w:b/>
          <w:bCs/>
        </w:rPr>
        <w:t>Weight gain (WG):</w:t>
      </w:r>
    </w:p>
    <w:p w14:paraId="58BFE578">
      <w:pPr>
        <w:spacing w:line="240" w:lineRule="auto"/>
        <w:rPr>
          <w:rFonts w:ascii="Times New Roman" w:hAnsi="Times New Roman" w:cs="Times New Roman"/>
        </w:rPr>
      </w:pPr>
      <m:oMathPara>
        <m:oMath>
          <m:r>
            <m:rPr/>
            <w:rPr>
              <w:rFonts w:ascii="Cambria Math" w:hAnsi="Cambria Math" w:cs="Times New Roman"/>
            </w:rPr>
            <m:t>WG</m:t>
          </m:r>
          <m:r>
            <m:rPr>
              <m:nor/>
              <m:sty m:val="p"/>
            </m:rPr>
            <w:rPr>
              <w:rFonts w:ascii="Times New Roman" w:hAnsi="Times New Roman" w:cs="Times New Roman"/>
            </w:rPr>
            <m:t>  </m:t>
          </m:r>
          <m:d>
            <m:dPr>
              <m:ctrlPr>
                <w:rPr>
                  <w:rFonts w:ascii="Cambria Math" w:hAnsi="Cambria Math" w:cs="Times New Roman"/>
                </w:rPr>
              </m:ctrlPr>
            </m:dPr>
            <m:e>
              <m:r>
                <m:rPr>
                  <m:sty m:val="p"/>
                </m:rPr>
                <w:rPr>
                  <w:rFonts w:ascii="Cambria Math" w:hAnsi="Cambria Math" w:cs="Times New Roman"/>
                </w:rPr>
                <m:t>g</m:t>
              </m:r>
              <m:ctrlPr>
                <w:rPr>
                  <w:rFonts w:ascii="Cambria Math" w:hAnsi="Cambria Math" w:cs="Times New Roman"/>
                </w:rPr>
              </m:ctrlPr>
            </m:e>
          </m:d>
          <m:r>
            <m:rPr/>
            <w:rPr>
              <w:rFonts w:ascii="Cambria Math" w:hAnsi="Cambria Math" w:cs="Times New Roman"/>
            </w:rPr>
            <m:t>=FW−IW</m:t>
          </m:r>
          <m:r>
            <m:rPr>
              <m:sty m:val="p"/>
            </m:rPr>
            <w:rPr>
              <w:rFonts w:ascii="Cambria Math" w:hAnsi="Cambria Math" w:cs="Times New Roman"/>
            </w:rPr>
            <w:br w:type="textWrapping"/>
          </m:r>
        </m:oMath>
      </m:oMathPara>
    </w:p>
    <w:p w14:paraId="54D30FDF">
      <w:pPr>
        <w:spacing w:line="240" w:lineRule="auto"/>
        <w:rPr>
          <w:rFonts w:ascii="Times New Roman" w:hAnsi="Times New Roman" w:cs="Times New Roman"/>
          <w:b/>
          <w:bCs/>
        </w:rPr>
      </w:pPr>
      <w:r>
        <w:rPr>
          <w:rFonts w:ascii="Times New Roman" w:hAnsi="Times New Roman" w:cs="Times New Roman"/>
          <w:b/>
          <w:bCs/>
        </w:rPr>
        <w:t>Weight gain percentage (WGP):</w:t>
      </w:r>
    </w:p>
    <w:p w14:paraId="4014D1B4">
      <w:pPr>
        <w:spacing w:line="240" w:lineRule="auto"/>
        <w:rPr>
          <w:rFonts w:ascii="Times New Roman" w:hAnsi="Times New Roman" w:cs="Times New Roman"/>
        </w:rPr>
      </w:pPr>
      <m:oMathPara>
        <m:oMath>
          <m:r>
            <m:rPr/>
            <w:rPr>
              <w:rFonts w:ascii="Cambria Math" w:hAnsi="Cambria Math" w:cs="Times New Roman"/>
            </w:rPr>
            <m:t>WGP</m:t>
          </m:r>
          <m:r>
            <m:rPr>
              <m:nor/>
              <m:sty m:val="p"/>
            </m:rPr>
            <w:rPr>
              <w:rFonts w:ascii="Times New Roman" w:hAnsi="Times New Roman" w:cs="Times New Roman"/>
            </w:rPr>
            <m:t>  </m:t>
          </m:r>
          <m:d>
            <m:dPr>
              <m:ctrlPr>
                <w:rPr>
                  <w:rFonts w:ascii="Cambria Math" w:hAnsi="Cambria Math" w:cs="Times New Roman"/>
                </w:rPr>
              </m:ctrlPr>
            </m:dPr>
            <m:e>
              <m:r>
                <m:rPr/>
                <w:rPr>
                  <w:rFonts w:ascii="Cambria Math" w:hAnsi="Cambria Math" w:cs="Times New Roman"/>
                </w:rPr>
                <m:t>%</m:t>
              </m:r>
              <m:ctrlPr>
                <w:rPr>
                  <w:rFonts w:ascii="Cambria Math" w:hAnsi="Cambria Math" w:cs="Times New Roman"/>
                </w:rPr>
              </m:ctrlPr>
            </m:e>
          </m:d>
          <m:r>
            <m:rPr/>
            <w:rPr>
              <w:rFonts w:ascii="Cambria Math" w:hAnsi="Cambria Math" w:cs="Times New Roman"/>
            </w:rPr>
            <m:t>=</m:t>
          </m:r>
          <m:f>
            <m:fPr>
              <m:ctrlPr>
                <w:rPr>
                  <w:rFonts w:ascii="Cambria Math" w:hAnsi="Cambria Math" w:cs="Times New Roman"/>
                </w:rPr>
              </m:ctrlPr>
            </m:fPr>
            <m:num>
              <m:r>
                <m:rPr/>
                <w:rPr>
                  <w:rFonts w:ascii="Cambria Math" w:hAnsi="Cambria Math" w:cs="Times New Roman"/>
                </w:rPr>
                <m:t>FW−IW</m:t>
              </m:r>
              <m:ctrlPr>
                <w:rPr>
                  <w:rFonts w:ascii="Cambria Math" w:hAnsi="Cambria Math" w:cs="Times New Roman"/>
                </w:rPr>
              </m:ctrlPr>
            </m:num>
            <m:den>
              <m:r>
                <m:rPr/>
                <w:rPr>
                  <w:rFonts w:ascii="Cambria Math" w:hAnsi="Cambria Math" w:cs="Times New Roman"/>
                </w:rPr>
                <m:t>IW</m:t>
              </m:r>
              <m:ctrlPr>
                <w:rPr>
                  <w:rFonts w:ascii="Cambria Math" w:hAnsi="Cambria Math" w:cs="Times New Roman"/>
                </w:rPr>
              </m:ctrlPr>
            </m:den>
          </m:f>
          <m:r>
            <m:rPr/>
            <w:rPr>
              <w:rFonts w:ascii="Cambria Math" w:hAnsi="Cambria Math" w:cs="Times New Roman"/>
            </w:rPr>
            <m:t>×100</m:t>
          </m:r>
          <m:r>
            <m:rPr>
              <m:sty m:val="p"/>
            </m:rPr>
            <w:rPr>
              <w:rFonts w:ascii="Cambria Math" w:hAnsi="Cambria Math" w:cs="Times New Roman"/>
            </w:rPr>
            <w:br w:type="textWrapping"/>
          </m:r>
        </m:oMath>
      </m:oMathPara>
    </w:p>
    <w:p w14:paraId="79BDAB3F">
      <w:pPr>
        <w:spacing w:line="240" w:lineRule="auto"/>
        <w:rPr>
          <w:rFonts w:ascii="Times New Roman" w:hAnsi="Times New Roman" w:cs="Times New Roman"/>
          <w:b/>
          <w:bCs/>
        </w:rPr>
      </w:pPr>
      <w:r>
        <w:rPr>
          <w:rFonts w:ascii="Times New Roman" w:hAnsi="Times New Roman" w:cs="Times New Roman"/>
          <w:b/>
          <w:bCs/>
        </w:rPr>
        <w:t>Average daily gain (ADG):</w:t>
      </w:r>
    </w:p>
    <w:p w14:paraId="7C5F8D50">
      <w:pPr>
        <w:spacing w:line="240" w:lineRule="auto"/>
        <w:rPr>
          <w:rFonts w:ascii="Times New Roman" w:hAnsi="Times New Roman" w:cs="Times New Roman"/>
        </w:rPr>
      </w:pPr>
      <m:oMathPara>
        <m:oMath>
          <m:r>
            <m:rPr/>
            <w:rPr>
              <w:rFonts w:ascii="Cambria Math" w:hAnsi="Cambria Math" w:cs="Times New Roman"/>
            </w:rPr>
            <m:t>ADG</m:t>
          </m:r>
          <m:r>
            <m:rPr>
              <m:nor/>
              <m:sty m:val="p"/>
            </m:rPr>
            <w:rPr>
              <w:rFonts w:ascii="Times New Roman" w:hAnsi="Times New Roman" w:cs="Times New Roman"/>
            </w:rPr>
            <m:t>  </m:t>
          </m:r>
          <m:d>
            <m:dPr>
              <m:ctrlPr>
                <w:rPr>
                  <w:rFonts w:ascii="Cambria Math" w:hAnsi="Cambria Math" w:cs="Times New Roman"/>
                </w:rPr>
              </m:ctrlPr>
            </m:dPr>
            <m:e>
              <m:r>
                <m:rPr>
                  <m:sty m:val="p"/>
                </m:rPr>
                <w:rPr>
                  <w:rFonts w:ascii="Cambria Math" w:hAnsi="Cambria Math" w:cs="Times New Roman"/>
                </w:rPr>
                <m:t>g</m:t>
              </m:r>
              <m:r>
                <m:rPr>
                  <m:nor/>
                  <m:sty m:val="p"/>
                </m:rPr>
                <w:rPr>
                  <w:rFonts w:ascii="Times New Roman" w:hAnsi="Times New Roman" w:cs="Times New Roman"/>
                </w:rPr>
                <m:t> </m:t>
              </m:r>
              <m:r>
                <m:rPr>
                  <m:sty m:val="p"/>
                </m:rPr>
                <w:rPr>
                  <w:rFonts w:ascii="Cambria Math" w:hAnsi="Cambria Math" w:cs="Times New Roman"/>
                </w:rPr>
                <m:t>da</m:t>
              </m:r>
              <m:sSup>
                <m:sSupPr>
                  <m:ctrlPr>
                    <w:rPr>
                      <w:rFonts w:ascii="Cambria Math" w:hAnsi="Cambria Math" w:cs="Times New Roman"/>
                    </w:rPr>
                  </m:ctrlPr>
                </m:sSupPr>
                <m:e>
                  <m:r>
                    <m:rPr>
                      <m:sty m:val="p"/>
                    </m:rPr>
                    <w:rPr>
                      <w:rFonts w:ascii="Cambria Math" w:hAnsi="Cambria Math" w:cs="Times New Roman"/>
                    </w:rPr>
                    <m:t>y</m:t>
                  </m:r>
                  <m:ctrlPr>
                    <w:rPr>
                      <w:rFonts w:ascii="Cambria Math" w:hAnsi="Cambria Math" w:cs="Times New Roman"/>
                    </w:rPr>
                  </m:ctrlPr>
                </m:e>
                <m:sup>
                  <m:r>
                    <m:rPr/>
                    <w:rPr>
                      <w:rFonts w:ascii="Cambria Math" w:hAnsi="Cambria Math" w:cs="Times New Roman"/>
                    </w:rPr>
                    <m:t>−1</m:t>
                  </m:r>
                  <m:ctrlPr>
                    <w:rPr>
                      <w:rFonts w:ascii="Cambria Math" w:hAnsi="Cambria Math" w:cs="Times New Roman"/>
                    </w:rPr>
                  </m:ctrlPr>
                </m:sup>
              </m:sSup>
              <m:ctrlPr>
                <w:rPr>
                  <w:rFonts w:ascii="Cambria Math" w:hAnsi="Cambria Math" w:cs="Times New Roman"/>
                </w:rPr>
              </m:ctrlPr>
            </m:e>
          </m:d>
          <m:r>
            <m:rPr/>
            <w:rPr>
              <w:rFonts w:ascii="Cambria Math" w:hAnsi="Cambria Math" w:cs="Times New Roman"/>
            </w:rPr>
            <m:t>=</m:t>
          </m:r>
          <m:f>
            <m:fPr>
              <m:ctrlPr>
                <w:rPr>
                  <w:rFonts w:ascii="Cambria Math" w:hAnsi="Cambria Math" w:cs="Times New Roman"/>
                </w:rPr>
              </m:ctrlPr>
            </m:fPr>
            <m:num>
              <m:r>
                <m:rPr/>
                <w:rPr>
                  <w:rFonts w:ascii="Cambria Math" w:hAnsi="Cambria Math" w:cs="Times New Roman"/>
                </w:rPr>
                <m:t>FW−IW</m:t>
              </m:r>
              <m:ctrlPr>
                <w:rPr>
                  <w:rFonts w:ascii="Cambria Math" w:hAnsi="Cambria Math" w:cs="Times New Roman"/>
                </w:rPr>
              </m:ctrlPr>
            </m:num>
            <m:den>
              <m:r>
                <m:rPr/>
                <w:rPr>
                  <w:rFonts w:ascii="Cambria Math" w:hAnsi="Cambria Math" w:cs="Times New Roman"/>
                </w:rPr>
                <m:t>D</m:t>
              </m:r>
              <m:ctrlPr>
                <w:rPr>
                  <w:rFonts w:ascii="Cambria Math" w:hAnsi="Cambria Math" w:cs="Times New Roman"/>
                </w:rPr>
              </m:ctrlPr>
            </m:den>
          </m:f>
          <m:r>
            <m:rPr>
              <m:sty m:val="p"/>
            </m:rPr>
            <w:rPr>
              <w:rFonts w:ascii="Cambria Math" w:hAnsi="Cambria Math" w:cs="Times New Roman"/>
            </w:rPr>
            <w:br w:type="textWrapping"/>
          </m:r>
        </m:oMath>
      </m:oMathPara>
    </w:p>
    <w:p w14:paraId="78BD38F6">
      <w:pPr>
        <w:spacing w:line="240" w:lineRule="auto"/>
        <w:rPr>
          <w:rFonts w:ascii="Times New Roman" w:hAnsi="Times New Roman" w:cs="Times New Roman"/>
          <w:b/>
          <w:bCs/>
        </w:rPr>
      </w:pPr>
      <w:r>
        <w:rPr>
          <w:rFonts w:ascii="Times New Roman" w:hAnsi="Times New Roman" w:cs="Times New Roman"/>
          <w:b/>
          <w:bCs/>
        </w:rPr>
        <w:t>Specific growth rate (SGR):</w:t>
      </w:r>
    </w:p>
    <w:p w14:paraId="0E3F1BCC">
      <w:pPr>
        <w:spacing w:line="240" w:lineRule="auto"/>
        <w:rPr>
          <w:rFonts w:ascii="Times New Roman" w:hAnsi="Times New Roman" w:cs="Times New Roman"/>
        </w:rPr>
      </w:pPr>
      <m:oMathPara>
        <m:oMath>
          <m:r>
            <m:rPr/>
            <w:rPr>
              <w:rFonts w:ascii="Cambria Math" w:hAnsi="Cambria Math" w:cs="Times New Roman"/>
            </w:rPr>
            <m:t>SGR</m:t>
          </m:r>
          <m:r>
            <m:rPr>
              <m:nor/>
              <m:sty m:val="p"/>
            </m:rPr>
            <w:rPr>
              <w:rFonts w:ascii="Times New Roman" w:hAnsi="Times New Roman" w:cs="Times New Roman"/>
            </w:rPr>
            <m:t>  </m:t>
          </m:r>
          <m:d>
            <m:dPr>
              <m:ctrlPr>
                <w:rPr>
                  <w:rFonts w:ascii="Cambria Math" w:hAnsi="Cambria Math" w:cs="Times New Roman"/>
                </w:rPr>
              </m:ctrlPr>
            </m:dPr>
            <m:e>
              <m:r>
                <m:rPr/>
                <w:rPr>
                  <w:rFonts w:ascii="Cambria Math" w:hAnsi="Cambria Math" w:cs="Times New Roman"/>
                </w:rPr>
                <m:t>%</m:t>
              </m:r>
              <m:r>
                <m:rPr>
                  <m:nor/>
                  <m:sty m:val="p"/>
                </m:rPr>
                <w:rPr>
                  <w:rFonts w:ascii="Times New Roman" w:hAnsi="Times New Roman" w:cs="Times New Roman"/>
                </w:rPr>
                <m:t> </m:t>
              </m:r>
              <m:r>
                <m:rPr>
                  <m:sty m:val="p"/>
                </m:rPr>
                <w:rPr>
                  <w:rFonts w:ascii="Cambria Math" w:hAnsi="Cambria Math" w:cs="Times New Roman"/>
                </w:rPr>
                <m:t>da</m:t>
              </m:r>
              <m:sSup>
                <m:sSupPr>
                  <m:ctrlPr>
                    <w:rPr>
                      <w:rFonts w:ascii="Cambria Math" w:hAnsi="Cambria Math" w:cs="Times New Roman"/>
                    </w:rPr>
                  </m:ctrlPr>
                </m:sSupPr>
                <m:e>
                  <m:r>
                    <m:rPr>
                      <m:sty m:val="p"/>
                    </m:rPr>
                    <w:rPr>
                      <w:rFonts w:ascii="Cambria Math" w:hAnsi="Cambria Math" w:cs="Times New Roman"/>
                    </w:rPr>
                    <m:t>y</m:t>
                  </m:r>
                  <m:ctrlPr>
                    <w:rPr>
                      <w:rFonts w:ascii="Cambria Math" w:hAnsi="Cambria Math" w:cs="Times New Roman"/>
                    </w:rPr>
                  </m:ctrlPr>
                </m:e>
                <m:sup>
                  <m:r>
                    <m:rPr/>
                    <w:rPr>
                      <w:rFonts w:ascii="Cambria Math" w:hAnsi="Cambria Math" w:cs="Times New Roman"/>
                    </w:rPr>
                    <m:t>−1</m:t>
                  </m:r>
                  <m:ctrlPr>
                    <w:rPr>
                      <w:rFonts w:ascii="Cambria Math" w:hAnsi="Cambria Math" w:cs="Times New Roman"/>
                    </w:rPr>
                  </m:ctrlPr>
                </m:sup>
              </m:sSup>
              <m:ctrlPr>
                <w:rPr>
                  <w:rFonts w:ascii="Cambria Math" w:hAnsi="Cambria Math" w:cs="Times New Roman"/>
                </w:rPr>
              </m:ctrlPr>
            </m:e>
          </m:d>
          <m:r>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ln</m:t>
              </m:r>
              <m:r>
                <m:rPr/>
                <w:rPr>
                  <w:rFonts w:ascii="Cambria Math" w:hAnsi="Cambria Math" w:cs="Times New Roman"/>
                </w:rPr>
                <m:t>⁡</m:t>
              </m:r>
              <m:d>
                <m:dPr>
                  <m:ctrlPr>
                    <w:rPr>
                      <w:rFonts w:ascii="Cambria Math" w:hAnsi="Cambria Math" w:cs="Times New Roman"/>
                    </w:rPr>
                  </m:ctrlPr>
                </m:dPr>
                <m:e>
                  <m:r>
                    <m:rPr/>
                    <w:rPr>
                      <w:rFonts w:ascii="Cambria Math" w:hAnsi="Cambria Math" w:cs="Times New Roman"/>
                    </w:rPr>
                    <m:t>FW</m:t>
                  </m:r>
                  <m:ctrlPr>
                    <w:rPr>
                      <w:rFonts w:ascii="Cambria Math" w:hAnsi="Cambria Math" w:cs="Times New Roman"/>
                    </w:rPr>
                  </m:ctrlPr>
                </m:e>
              </m:d>
              <m:r>
                <m:rPr/>
                <w:rPr>
                  <w:rFonts w:ascii="Cambria Math" w:hAnsi="Cambria Math" w:cs="Times New Roman"/>
                </w:rPr>
                <m:t>−</m:t>
              </m:r>
              <m:r>
                <m:rPr>
                  <m:sty m:val="p"/>
                </m:rPr>
                <w:rPr>
                  <w:rFonts w:ascii="Cambria Math" w:hAnsi="Cambria Math" w:cs="Times New Roman"/>
                </w:rPr>
                <m:t>ln</m:t>
              </m:r>
              <m:r>
                <m:rPr/>
                <w:rPr>
                  <w:rFonts w:ascii="Cambria Math" w:hAnsi="Cambria Math" w:cs="Times New Roman"/>
                </w:rPr>
                <m:t>⁡</m:t>
              </m:r>
              <m:d>
                <m:dPr>
                  <m:ctrlPr>
                    <w:rPr>
                      <w:rFonts w:ascii="Cambria Math" w:hAnsi="Cambria Math" w:cs="Times New Roman"/>
                    </w:rPr>
                  </m:ctrlPr>
                </m:dPr>
                <m:e>
                  <m:r>
                    <m:rPr/>
                    <w:rPr>
                      <w:rFonts w:ascii="Cambria Math" w:hAnsi="Cambria Math" w:cs="Times New Roman"/>
                    </w:rPr>
                    <m:t>IW</m:t>
                  </m:r>
                  <m:ctrlPr>
                    <w:rPr>
                      <w:rFonts w:ascii="Cambria Math" w:hAnsi="Cambria Math" w:cs="Times New Roman"/>
                    </w:rPr>
                  </m:ctrlPr>
                </m:e>
              </m:d>
              <m:ctrlPr>
                <w:rPr>
                  <w:rFonts w:ascii="Cambria Math" w:hAnsi="Cambria Math" w:cs="Times New Roman"/>
                </w:rPr>
              </m:ctrlPr>
            </m:num>
            <m:den>
              <m:r>
                <m:rPr/>
                <w:rPr>
                  <w:rFonts w:ascii="Cambria Math" w:hAnsi="Cambria Math" w:cs="Times New Roman"/>
                </w:rPr>
                <m:t>D</m:t>
              </m:r>
              <m:ctrlPr>
                <w:rPr>
                  <w:rFonts w:ascii="Cambria Math" w:hAnsi="Cambria Math" w:cs="Times New Roman"/>
                </w:rPr>
              </m:ctrlPr>
            </m:den>
          </m:f>
          <m:r>
            <m:rPr/>
            <w:rPr>
              <w:rFonts w:ascii="Cambria Math" w:hAnsi="Cambria Math" w:cs="Times New Roman"/>
            </w:rPr>
            <m:t>×100</m:t>
          </m:r>
          <m:r>
            <m:rPr>
              <m:sty m:val="p"/>
            </m:rPr>
            <w:rPr>
              <w:rFonts w:ascii="Cambria Math" w:hAnsi="Cambria Math" w:cs="Times New Roman"/>
            </w:rPr>
            <w:br w:type="textWrapping"/>
          </m:r>
        </m:oMath>
      </m:oMathPara>
    </w:p>
    <w:p w14:paraId="261A2047">
      <w:pPr>
        <w:spacing w:line="240" w:lineRule="auto"/>
        <w:rPr>
          <w:rFonts w:ascii="Times New Roman" w:hAnsi="Times New Roman" w:cs="Times New Roman"/>
          <w:b/>
          <w:bCs/>
        </w:rPr>
      </w:pPr>
      <w:r>
        <w:rPr>
          <w:rFonts w:ascii="Times New Roman" w:hAnsi="Times New Roman" w:cs="Times New Roman"/>
          <w:b/>
          <w:bCs/>
        </w:rPr>
        <w:t>Feed conversion ratio (FCR):</w:t>
      </w:r>
    </w:p>
    <w:p w14:paraId="5354FBFD">
      <w:pPr>
        <w:spacing w:line="240" w:lineRule="auto"/>
        <w:rPr>
          <w:rFonts w:ascii="Times New Roman" w:hAnsi="Times New Roman" w:cs="Times New Roman"/>
        </w:rPr>
      </w:pPr>
      <m:oMathPara>
        <m:oMath>
          <m:r>
            <m:rPr/>
            <w:rPr>
              <w:rFonts w:ascii="Cambria Math" w:hAnsi="Cambria Math" w:cs="Times New Roman"/>
            </w:rPr>
            <m:t>FCR=</m:t>
          </m:r>
          <m:f>
            <m:fPr>
              <m:ctrlPr>
                <w:rPr>
                  <w:rFonts w:ascii="Cambria Math" w:hAnsi="Cambria Math" w:cs="Times New Roman"/>
                </w:rPr>
              </m:ctrlPr>
            </m:fPr>
            <m:num>
              <m:r>
                <m:rPr/>
                <w:rPr>
                  <w:rFonts w:ascii="Cambria Math" w:hAnsi="Cambria Math" w:cs="Times New Roman"/>
                </w:rPr>
                <m:t>FI</m:t>
              </m:r>
              <m:ctrlPr>
                <w:rPr>
                  <w:rFonts w:ascii="Cambria Math" w:hAnsi="Cambria Math" w:cs="Times New Roman"/>
                </w:rPr>
              </m:ctrlPr>
            </m:num>
            <m:den>
              <m:r>
                <m:rPr/>
                <w:rPr>
                  <w:rFonts w:ascii="Cambria Math" w:hAnsi="Cambria Math" w:cs="Times New Roman"/>
                </w:rPr>
                <m:t>W</m:t>
              </m:r>
              <m:sSub>
                <m:sSubPr>
                  <m:ctrlPr>
                    <w:rPr>
                      <w:rFonts w:ascii="Cambria Math" w:hAnsi="Cambria Math" w:cs="Times New Roman"/>
                    </w:rPr>
                  </m:ctrlPr>
                </m:sSubPr>
                <m:e>
                  <m:r>
                    <m:rPr/>
                    <w:rPr>
                      <w:rFonts w:ascii="Cambria Math" w:hAnsi="Cambria Math" w:cs="Times New Roman"/>
                    </w:rPr>
                    <m:t>G</m:t>
                  </m:r>
                  <m:ctrlPr>
                    <w:rPr>
                      <w:rFonts w:ascii="Cambria Math" w:hAnsi="Cambria Math" w:cs="Times New Roman"/>
                    </w:rPr>
                  </m:ctrlPr>
                </m:e>
                <m:sub>
                  <m:r>
                    <m:rPr>
                      <m:sty m:val="p"/>
                    </m:rPr>
                    <w:rPr>
                      <w:rFonts w:ascii="Cambria Math" w:hAnsi="Cambria Math" w:cs="Times New Roman"/>
                    </w:rPr>
                    <m:t>total</m:t>
                  </m:r>
                  <m:ctrlPr>
                    <w:rPr>
                      <w:rFonts w:ascii="Cambria Math" w:hAnsi="Cambria Math" w:cs="Times New Roman"/>
                    </w:rPr>
                  </m:ctrlPr>
                </m:sub>
              </m:sSub>
              <m:ctrlPr>
                <w:rPr>
                  <w:rFonts w:ascii="Cambria Math" w:hAnsi="Cambria Math" w:cs="Times New Roman"/>
                </w:rPr>
              </m:ctrlPr>
            </m:den>
          </m:f>
          <m:r>
            <m:rPr>
              <m:sty m:val="p"/>
            </m:rPr>
            <w:rPr>
              <w:rFonts w:ascii="Cambria Math" w:hAnsi="Cambria Math" w:cs="Times New Roman"/>
            </w:rPr>
            <w:br w:type="textWrapping"/>
          </m:r>
        </m:oMath>
      </m:oMathPara>
    </w:p>
    <w:p w14:paraId="7E53FB96">
      <w:pPr>
        <w:spacing w:line="240" w:lineRule="auto"/>
        <w:rPr>
          <w:rFonts w:ascii="Times New Roman" w:hAnsi="Times New Roman" w:cs="Times New Roman"/>
          <w:b/>
          <w:bCs/>
        </w:rPr>
      </w:pPr>
      <w:r>
        <w:rPr>
          <w:rFonts w:ascii="Times New Roman" w:hAnsi="Times New Roman" w:cs="Times New Roman"/>
          <w:b/>
          <w:bCs/>
        </w:rPr>
        <w:t>Feed conversion efficiency (FCE):</w:t>
      </w:r>
    </w:p>
    <w:p w14:paraId="76E7B229">
      <w:pPr>
        <w:spacing w:line="240" w:lineRule="auto"/>
        <w:rPr>
          <w:rFonts w:ascii="Times New Roman" w:hAnsi="Times New Roman" w:cs="Times New Roman"/>
        </w:rPr>
      </w:pPr>
      <m:oMathPara>
        <m:oMath>
          <m:r>
            <m:rPr/>
            <w:rPr>
              <w:rFonts w:ascii="Cambria Math" w:hAnsi="Cambria Math" w:cs="Times New Roman"/>
            </w:rPr>
            <m:t>FCE=</m:t>
          </m:r>
          <m:f>
            <m:fPr>
              <m:ctrlPr>
                <w:rPr>
                  <w:rFonts w:ascii="Cambria Math" w:hAnsi="Cambria Math" w:cs="Times New Roman"/>
                </w:rPr>
              </m:ctrlPr>
            </m:fPr>
            <m:num>
              <m:r>
                <m:rPr/>
                <w:rPr>
                  <w:rFonts w:ascii="Cambria Math" w:hAnsi="Cambria Math" w:cs="Times New Roman"/>
                </w:rPr>
                <m:t>W</m:t>
              </m:r>
              <m:sSub>
                <m:sSubPr>
                  <m:ctrlPr>
                    <w:rPr>
                      <w:rFonts w:ascii="Cambria Math" w:hAnsi="Cambria Math" w:cs="Times New Roman"/>
                    </w:rPr>
                  </m:ctrlPr>
                </m:sSubPr>
                <m:e>
                  <m:r>
                    <m:rPr/>
                    <w:rPr>
                      <w:rFonts w:ascii="Cambria Math" w:hAnsi="Cambria Math" w:cs="Times New Roman"/>
                    </w:rPr>
                    <m:t>G</m:t>
                  </m:r>
                  <m:ctrlPr>
                    <w:rPr>
                      <w:rFonts w:ascii="Cambria Math" w:hAnsi="Cambria Math" w:cs="Times New Roman"/>
                    </w:rPr>
                  </m:ctrlPr>
                </m:e>
                <m:sub>
                  <m:r>
                    <m:rPr>
                      <m:sty m:val="p"/>
                    </m:rPr>
                    <w:rPr>
                      <w:rFonts w:ascii="Cambria Math" w:hAnsi="Cambria Math" w:cs="Times New Roman"/>
                    </w:rPr>
                    <m:t>total</m:t>
                  </m:r>
                  <m:ctrlPr>
                    <w:rPr>
                      <w:rFonts w:ascii="Cambria Math" w:hAnsi="Cambria Math" w:cs="Times New Roman"/>
                    </w:rPr>
                  </m:ctrlPr>
                </m:sub>
              </m:sSub>
              <m:ctrlPr>
                <w:rPr>
                  <w:rFonts w:ascii="Cambria Math" w:hAnsi="Cambria Math" w:cs="Times New Roman"/>
                </w:rPr>
              </m:ctrlPr>
            </m:num>
            <m:den>
              <m:r>
                <m:rPr/>
                <w:rPr>
                  <w:rFonts w:ascii="Cambria Math" w:hAnsi="Cambria Math" w:cs="Times New Roman"/>
                </w:rPr>
                <m:t>FI</m:t>
              </m:r>
              <m:ctrlPr>
                <w:rPr>
                  <w:rFonts w:ascii="Cambria Math" w:hAnsi="Cambria Math" w:cs="Times New Roman"/>
                </w:rPr>
              </m:ctrlPr>
            </m:den>
          </m:f>
          <m:r>
            <m:rPr>
              <m:sty m:val="p"/>
            </m:rPr>
            <w:rPr>
              <w:rFonts w:ascii="Cambria Math" w:hAnsi="Cambria Math" w:cs="Times New Roman"/>
            </w:rPr>
            <w:br w:type="textWrapping"/>
          </m:r>
        </m:oMath>
      </m:oMathPara>
    </w:p>
    <w:p w14:paraId="31AAB4B9">
      <w:pPr>
        <w:spacing w:line="240" w:lineRule="auto"/>
        <w:rPr>
          <w:rFonts w:ascii="Times New Roman" w:hAnsi="Times New Roman" w:cs="Times New Roman"/>
          <w:b/>
          <w:bCs/>
        </w:rPr>
      </w:pPr>
      <w:r>
        <w:rPr>
          <w:rFonts w:ascii="Times New Roman" w:hAnsi="Times New Roman" w:cs="Times New Roman"/>
          <w:b/>
          <w:bCs/>
        </w:rPr>
        <w:t>Feed conversion efficiency percentage (FCEP):</w:t>
      </w:r>
    </w:p>
    <w:p w14:paraId="7CE3F159">
      <w:pPr>
        <w:spacing w:line="240" w:lineRule="auto"/>
        <w:rPr>
          <w:rFonts w:ascii="Times New Roman" w:hAnsi="Times New Roman" w:cs="Times New Roman"/>
        </w:rPr>
      </w:pPr>
      <m:oMathPara>
        <m:oMath>
          <m:r>
            <m:rPr/>
            <w:rPr>
              <w:rFonts w:ascii="Cambria Math" w:hAnsi="Cambria Math" w:cs="Times New Roman"/>
            </w:rPr>
            <m:t>FCEP</m:t>
          </m:r>
          <m:r>
            <m:rPr>
              <m:nor/>
              <m:sty m:val="p"/>
            </m:rPr>
            <w:rPr>
              <w:rFonts w:ascii="Times New Roman" w:hAnsi="Times New Roman" w:cs="Times New Roman"/>
            </w:rPr>
            <m:t>  </m:t>
          </m:r>
          <m:d>
            <m:dPr>
              <m:ctrlPr>
                <w:rPr>
                  <w:rFonts w:ascii="Cambria Math" w:hAnsi="Cambria Math" w:cs="Times New Roman"/>
                </w:rPr>
              </m:ctrlPr>
            </m:dPr>
            <m:e>
              <m:r>
                <m:rPr/>
                <w:rPr>
                  <w:rFonts w:ascii="Cambria Math" w:hAnsi="Cambria Math" w:cs="Times New Roman"/>
                </w:rPr>
                <m:t>%</m:t>
              </m:r>
              <m:ctrlPr>
                <w:rPr>
                  <w:rFonts w:ascii="Cambria Math" w:hAnsi="Cambria Math" w:cs="Times New Roman"/>
                </w:rPr>
              </m:ctrlPr>
            </m:e>
          </m:d>
          <m:r>
            <m:rPr/>
            <w:rPr>
              <w:rFonts w:ascii="Cambria Math" w:hAnsi="Cambria Math" w:cs="Times New Roman"/>
            </w:rPr>
            <m:t>=</m:t>
          </m:r>
          <m:f>
            <m:fPr>
              <m:ctrlPr>
                <w:rPr>
                  <w:rFonts w:ascii="Cambria Math" w:hAnsi="Cambria Math" w:cs="Times New Roman"/>
                </w:rPr>
              </m:ctrlPr>
            </m:fPr>
            <m:num>
              <m:r>
                <m:rPr/>
                <w:rPr>
                  <w:rFonts w:ascii="Cambria Math" w:hAnsi="Cambria Math" w:cs="Times New Roman"/>
                </w:rPr>
                <m:t>W</m:t>
              </m:r>
              <m:sSub>
                <m:sSubPr>
                  <m:ctrlPr>
                    <w:rPr>
                      <w:rFonts w:ascii="Cambria Math" w:hAnsi="Cambria Math" w:cs="Times New Roman"/>
                    </w:rPr>
                  </m:ctrlPr>
                </m:sSubPr>
                <m:e>
                  <m:r>
                    <m:rPr/>
                    <w:rPr>
                      <w:rFonts w:ascii="Cambria Math" w:hAnsi="Cambria Math" w:cs="Times New Roman"/>
                    </w:rPr>
                    <m:t>G</m:t>
                  </m:r>
                  <m:ctrlPr>
                    <w:rPr>
                      <w:rFonts w:ascii="Cambria Math" w:hAnsi="Cambria Math" w:cs="Times New Roman"/>
                    </w:rPr>
                  </m:ctrlPr>
                </m:e>
                <m:sub>
                  <m:r>
                    <m:rPr>
                      <m:sty m:val="p"/>
                    </m:rPr>
                    <w:rPr>
                      <w:rFonts w:ascii="Cambria Math" w:hAnsi="Cambria Math" w:cs="Times New Roman"/>
                    </w:rPr>
                    <m:t>total</m:t>
                  </m:r>
                  <m:ctrlPr>
                    <w:rPr>
                      <w:rFonts w:ascii="Cambria Math" w:hAnsi="Cambria Math" w:cs="Times New Roman"/>
                    </w:rPr>
                  </m:ctrlPr>
                </m:sub>
              </m:sSub>
              <m:ctrlPr>
                <w:rPr>
                  <w:rFonts w:ascii="Cambria Math" w:hAnsi="Cambria Math" w:cs="Times New Roman"/>
                </w:rPr>
              </m:ctrlPr>
            </m:num>
            <m:den>
              <m:r>
                <m:rPr/>
                <w:rPr>
                  <w:rFonts w:ascii="Cambria Math" w:hAnsi="Cambria Math" w:cs="Times New Roman"/>
                </w:rPr>
                <m:t>FI</m:t>
              </m:r>
              <m:ctrlPr>
                <w:rPr>
                  <w:rFonts w:ascii="Cambria Math" w:hAnsi="Cambria Math" w:cs="Times New Roman"/>
                </w:rPr>
              </m:ctrlPr>
            </m:den>
          </m:f>
          <m:r>
            <m:rPr/>
            <w:rPr>
              <w:rFonts w:ascii="Cambria Math" w:hAnsi="Cambria Math" w:cs="Times New Roman"/>
            </w:rPr>
            <m:t>×100</m:t>
          </m:r>
          <m:r>
            <m:rPr>
              <m:sty m:val="p"/>
            </m:rPr>
            <w:rPr>
              <w:rFonts w:ascii="Cambria Math" w:hAnsi="Cambria Math" w:cs="Times New Roman"/>
            </w:rPr>
            <w:br w:type="textWrapping"/>
          </m:r>
        </m:oMath>
      </m:oMathPara>
    </w:p>
    <w:p w14:paraId="4FAEE2DC">
      <w:pPr>
        <w:spacing w:line="240" w:lineRule="auto"/>
        <w:rPr>
          <w:rFonts w:ascii="Times New Roman" w:hAnsi="Times New Roman" w:cs="Times New Roman"/>
          <w:b/>
          <w:bCs/>
        </w:rPr>
      </w:pPr>
      <w:r>
        <w:rPr>
          <w:rFonts w:ascii="Times New Roman" w:hAnsi="Times New Roman" w:cs="Times New Roman"/>
          <w:b/>
          <w:bCs/>
        </w:rPr>
        <w:t>Survival rate (SR):</w:t>
      </w:r>
    </w:p>
    <w:p w14:paraId="13E45F2B">
      <w:pPr>
        <w:spacing w:line="240" w:lineRule="auto"/>
        <w:jc w:val="both"/>
        <w:rPr>
          <w:rFonts w:ascii="Times New Roman" w:hAnsi="Times New Roman" w:cs="Times New Roman"/>
        </w:rPr>
      </w:pPr>
      <m:oMathPara>
        <m:oMath>
          <m:r>
            <m:rPr/>
            <w:rPr>
              <w:rFonts w:ascii="Cambria Math" w:hAnsi="Cambria Math" w:cs="Times New Roman"/>
            </w:rPr>
            <m:t>SR</m:t>
          </m:r>
          <m:r>
            <m:rPr>
              <m:nor/>
              <m:sty m:val="p"/>
            </m:rPr>
            <w:rPr>
              <w:rFonts w:ascii="Times New Roman" w:hAnsi="Times New Roman" w:cs="Times New Roman"/>
            </w:rPr>
            <m:t>  </m:t>
          </m:r>
          <m:d>
            <m:dPr>
              <m:ctrlPr>
                <w:rPr>
                  <w:rFonts w:ascii="Cambria Math" w:hAnsi="Cambria Math" w:cs="Times New Roman"/>
                </w:rPr>
              </m:ctrlPr>
            </m:dPr>
            <m:e>
              <m:r>
                <m:rPr/>
                <w:rPr>
                  <w:rFonts w:ascii="Cambria Math" w:hAnsi="Cambria Math" w:cs="Times New Roman"/>
                </w:rPr>
                <m:t>%</m:t>
              </m:r>
              <m:ctrlPr>
                <w:rPr>
                  <w:rFonts w:ascii="Cambria Math" w:hAnsi="Cambria Math" w:cs="Times New Roman"/>
                </w:rPr>
              </m:ctrlPr>
            </m:e>
          </m:d>
          <m:r>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r>
                    <m:rPr/>
                    <w:rPr>
                      <w:rFonts w:ascii="Cambria Math" w:hAnsi="Cambria Math" w:cs="Times New Roman"/>
                    </w:rPr>
                    <m:t>f</m:t>
                  </m:r>
                  <m:ctrlPr>
                    <w:rPr>
                      <w:rFonts w:ascii="Cambria Math" w:hAnsi="Cambria Math" w:cs="Times New Roman"/>
                    </w:rPr>
                  </m:ctrlPr>
                </m:sub>
              </m:sSub>
              <m:ctrlPr>
                <w:rPr>
                  <w:rFonts w:ascii="Cambria Math" w:hAnsi="Cambria Math" w:cs="Times New Roman"/>
                </w:rPr>
              </m:ctrlPr>
            </m:num>
            <m:den>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ctrlPr>
                <w:rPr>
                  <w:rFonts w:ascii="Cambria Math" w:hAnsi="Cambria Math" w:cs="Times New Roman"/>
                </w:rPr>
              </m:ctrlPr>
            </m:den>
          </m:f>
          <m:r>
            <m:rPr/>
            <w:rPr>
              <w:rFonts w:ascii="Cambria Math" w:hAnsi="Cambria Math" w:cs="Times New Roman"/>
            </w:rPr>
            <m:t>×100</m:t>
          </m:r>
          <m:r>
            <m:rPr>
              <m:sty m:val="p"/>
            </m:rPr>
            <w:rPr>
              <w:rFonts w:ascii="Cambria Math" w:hAnsi="Cambria Math" w:cs="Times New Roman"/>
            </w:rPr>
            <w:br w:type="textWrapping"/>
          </m:r>
        </m:oMath>
      </m:oMathPara>
      <w:r>
        <w:rPr>
          <w:rFonts w:ascii="Times New Roman" w:hAnsi="Times New Roman" w:cs="Times New Roman"/>
        </w:rPr>
        <w:t xml:space="preserve">where </w:t>
      </w:r>
      <m:oMath>
        <m:r>
          <m:rPr/>
          <w:rPr>
            <w:rFonts w:ascii="Cambria Math" w:hAnsi="Cambria Math" w:cs="Times New Roman"/>
          </w:rPr>
          <m:t>IW</m:t>
        </m:r>
      </m:oMath>
      <w:r>
        <w:rPr>
          <w:rFonts w:ascii="Times New Roman" w:hAnsi="Times New Roman" w:cs="Times New Roman"/>
        </w:rPr>
        <w:t xml:space="preserve">and </w:t>
      </w:r>
      <m:oMath>
        <m:r>
          <m:rPr/>
          <w:rPr>
            <w:rFonts w:ascii="Cambria Math" w:hAnsi="Cambria Math" w:cs="Times New Roman"/>
          </w:rPr>
          <m:t>FW</m:t>
        </m:r>
      </m:oMath>
      <w:r>
        <w:rPr>
          <w:rFonts w:ascii="Times New Roman" w:hAnsi="Times New Roman" w:cs="Times New Roman"/>
        </w:rPr>
        <w:t xml:space="preserve">are the initial and final mean body weights (g), respectively; </w:t>
      </w:r>
      <m:oMath>
        <m:r>
          <m:rPr/>
          <w:rPr>
            <w:rFonts w:ascii="Cambria Math" w:hAnsi="Cambria Math" w:cs="Times New Roman"/>
          </w:rPr>
          <m:t>D</m:t>
        </m:r>
      </m:oMath>
      <w:r>
        <w:rPr>
          <w:rFonts w:ascii="Times New Roman" w:hAnsi="Times New Roman" w:cs="Times New Roman"/>
        </w:rPr>
        <w:t xml:space="preserve">is the experimental duration (days); </w:t>
      </w:r>
      <m:oMath>
        <m:r>
          <m:rPr/>
          <w:rPr>
            <w:rFonts w:ascii="Cambria Math" w:hAnsi="Cambria Math" w:cs="Times New Roman"/>
          </w:rPr>
          <m:t>FI</m:t>
        </m:r>
      </m:oMath>
      <w:r>
        <w:rPr>
          <w:rFonts w:ascii="Times New Roman" w:hAnsi="Times New Roman" w:cs="Times New Roman"/>
        </w:rPr>
        <w:t xml:space="preserve">is the total dry feed consumed (g); </w:t>
      </w:r>
      <m:oMath>
        <m:r>
          <m:rPr/>
          <w:rPr>
            <w:rFonts w:ascii="Cambria Math" w:hAnsi="Cambria Math" w:cs="Times New Roman"/>
          </w:rPr>
          <m:t>W</m:t>
        </m:r>
        <m:sSub>
          <m:sSubPr>
            <m:ctrlPr>
              <w:rPr>
                <w:rFonts w:ascii="Cambria Math" w:hAnsi="Cambria Math" w:cs="Times New Roman"/>
              </w:rPr>
            </m:ctrlPr>
          </m:sSubPr>
          <m:e>
            <m:r>
              <m:rPr/>
              <w:rPr>
                <w:rFonts w:ascii="Cambria Math" w:hAnsi="Cambria Math" w:cs="Times New Roman"/>
              </w:rPr>
              <m:t>G</m:t>
            </m:r>
            <m:ctrlPr>
              <w:rPr>
                <w:rFonts w:ascii="Cambria Math" w:hAnsi="Cambria Math" w:cs="Times New Roman"/>
              </w:rPr>
            </m:ctrlPr>
          </m:e>
          <m:sub>
            <m:r>
              <m:rPr>
                <m:sty m:val="p"/>
              </m:rPr>
              <w:rPr>
                <w:rFonts w:ascii="Cambria Math" w:hAnsi="Cambria Math" w:cs="Times New Roman"/>
              </w:rPr>
              <m:t>total</m:t>
            </m:r>
            <m:ctrlPr>
              <w:rPr>
                <w:rFonts w:ascii="Cambria Math" w:hAnsi="Cambria Math" w:cs="Times New Roman"/>
              </w:rPr>
            </m:ctrlPr>
          </m:sub>
        </m:sSub>
      </m:oMath>
      <w:r>
        <w:rPr>
          <w:rFonts w:ascii="Times New Roman" w:hAnsi="Times New Roman" w:cs="Times New Roman"/>
        </w:rPr>
        <w:t xml:space="preserve">is the total live-weight gain (g) of fish in the experimental unit; and </w:t>
      </w:r>
      <m:oMath>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r>
              <m:rPr/>
              <w:rPr>
                <w:rFonts w:ascii="Cambria Math" w:hAnsi="Cambria Math" w:cs="Times New Roman"/>
              </w:rPr>
              <m:t>i</m:t>
            </m:r>
            <m:ctrlPr>
              <w:rPr>
                <w:rFonts w:ascii="Cambria Math" w:hAnsi="Cambria Math" w:cs="Times New Roman"/>
              </w:rPr>
            </m:ctrlPr>
          </m:sub>
        </m:sSub>
      </m:oMath>
      <w:r>
        <w:rPr>
          <w:rFonts w:ascii="Times New Roman" w:hAnsi="Times New Roman" w:cs="Times New Roman"/>
        </w:rPr>
        <w:t xml:space="preserve">and </w:t>
      </w:r>
      <m:oMath>
        <m:sSub>
          <m:sSubPr>
            <m:ctrlPr>
              <w:rPr>
                <w:rFonts w:ascii="Cambria Math" w:hAnsi="Cambria Math" w:cs="Times New Roman"/>
              </w:rPr>
            </m:ctrlPr>
          </m:sSubPr>
          <m:e>
            <m:r>
              <m:rPr/>
              <w:rPr>
                <w:rFonts w:ascii="Cambria Math" w:hAnsi="Cambria Math" w:cs="Times New Roman"/>
              </w:rPr>
              <m:t>N</m:t>
            </m:r>
            <m:ctrlPr>
              <w:rPr>
                <w:rFonts w:ascii="Cambria Math" w:hAnsi="Cambria Math" w:cs="Times New Roman"/>
              </w:rPr>
            </m:ctrlPr>
          </m:e>
          <m:sub>
            <m:r>
              <m:rPr/>
              <w:rPr>
                <w:rFonts w:ascii="Cambria Math" w:hAnsi="Cambria Math" w:cs="Times New Roman"/>
              </w:rPr>
              <m:t>f</m:t>
            </m:r>
            <m:ctrlPr>
              <w:rPr>
                <w:rFonts w:ascii="Cambria Math" w:hAnsi="Cambria Math" w:cs="Times New Roman"/>
              </w:rPr>
            </m:ctrlPr>
          </m:sub>
        </m:sSub>
      </m:oMath>
      <w:r>
        <w:rPr>
          <w:rFonts w:ascii="Times New Roman" w:hAnsi="Times New Roman" w:cs="Times New Roman"/>
        </w:rPr>
        <w:t xml:space="preserve">are the initial and final numbers of fish, respectively. Initial length (IL) and final length (FL) were expressed in centimetres. </w:t>
      </w:r>
    </w:p>
    <w:p w14:paraId="387CA280">
      <w:pPr>
        <w:spacing w:line="240" w:lineRule="auto"/>
        <w:rPr>
          <w:rFonts w:ascii="Times New Roman" w:hAnsi="Times New Roman" w:cs="Times New Roman"/>
          <w:b/>
          <w:bCs/>
        </w:rPr>
      </w:pPr>
      <w:r>
        <w:rPr>
          <w:rFonts w:ascii="Times New Roman" w:hAnsi="Times New Roman" w:cs="Times New Roman"/>
          <w:b/>
          <w:bCs/>
        </w:rPr>
        <w:t>2.6. Statistical analysis</w:t>
      </w:r>
    </w:p>
    <w:p w14:paraId="2072D8D3">
      <w:pPr>
        <w:spacing w:line="240" w:lineRule="auto"/>
        <w:jc w:val="both"/>
        <w:rPr>
          <w:rFonts w:ascii="Times New Roman" w:hAnsi="Times New Roman" w:cs="Times New Roman"/>
        </w:rPr>
      </w:pPr>
      <w:r>
        <w:rPr>
          <w:rFonts w:ascii="Times New Roman" w:hAnsi="Times New Roman" w:cs="Times New Roman"/>
        </w:rPr>
        <w:t>Data on water quality, growth performance and survival were analysed using one-way analysis of variance (ANOVA) in SPSS version 20.0 (IBM Corp., Armonk, NY, USA). Differences among dietary treatments were evaluated at a significance level of 5% (P &lt; 0.05). When significant differences were detected by ANOVA, Duncan’s multiple range test was used to compare treatment means.</w:t>
      </w:r>
    </w:p>
    <w:p w14:paraId="610478A1">
      <w:pPr>
        <w:spacing w:line="240" w:lineRule="auto"/>
        <w:rPr>
          <w:rFonts w:ascii="Times New Roman" w:hAnsi="Times New Roman" w:cs="Times New Roman"/>
          <w:b/>
          <w:bCs/>
        </w:rPr>
      </w:pPr>
      <w:r>
        <w:rPr>
          <w:rFonts w:ascii="Times New Roman" w:hAnsi="Times New Roman" w:cs="Times New Roman"/>
          <w:b/>
          <w:bCs/>
        </w:rPr>
        <w:t>3. Results and Discussion</w:t>
      </w:r>
    </w:p>
    <w:p w14:paraId="6DF10351">
      <w:pPr>
        <w:spacing w:line="240" w:lineRule="auto"/>
        <w:rPr>
          <w:rFonts w:ascii="Times New Roman" w:hAnsi="Times New Roman" w:cs="Times New Roman"/>
          <w:b/>
          <w:bCs/>
        </w:rPr>
      </w:pPr>
      <w:r>
        <w:rPr>
          <w:rFonts w:ascii="Times New Roman" w:hAnsi="Times New Roman" w:cs="Times New Roman"/>
          <w:b/>
          <w:bCs/>
        </w:rPr>
        <w:t>3.1. Growth performance and survival</w:t>
      </w:r>
    </w:p>
    <w:p w14:paraId="521930D0">
      <w:pPr>
        <w:spacing w:line="240" w:lineRule="auto"/>
        <w:jc w:val="both"/>
        <w:rPr>
          <w:rFonts w:ascii="Times New Roman" w:hAnsi="Times New Roman" w:cs="Times New Roman"/>
        </w:rPr>
      </w:pPr>
      <w:r>
        <w:rPr>
          <w:rFonts w:ascii="Times New Roman" w:hAnsi="Times New Roman" w:cs="Times New Roman"/>
        </w:rPr>
        <w:t>The growth performance of milkfish (</w:t>
      </w:r>
      <w:r>
        <w:rPr>
          <w:rFonts w:ascii="Times New Roman" w:hAnsi="Times New Roman" w:cs="Times New Roman"/>
          <w:i/>
          <w:iCs/>
        </w:rPr>
        <w:t>Chanos chanos</w:t>
      </w:r>
      <w:r>
        <w:rPr>
          <w:rFonts w:ascii="Times New Roman" w:hAnsi="Times New Roman" w:cs="Times New Roman"/>
        </w:rPr>
        <w:t>) fry fed the three experimental diets over the 90-day feeding trial is presented in Table 4. Initial body weight did not differ significantly among treatments (P = 0.346), indicating comparable initial stocking weights. Final body weight differed significantly among treatments (P &lt; 0.001), increasing from 10.28 ± 0.11 g in T1 to 12.17 ± 0.12 g in T2 and 13.36 ± 0.12 g in T3. Similarly, weight gain increased significantly from 9.40 ± 0.12 g in T1 to 11.33 ± 0.10 g in T2 and 12.51 ± 0.10 g in T3 (P &lt; 0.001).</w:t>
      </w:r>
    </w:p>
    <w:p w14:paraId="2B72751A">
      <w:pPr>
        <w:spacing w:line="240" w:lineRule="auto"/>
        <w:jc w:val="both"/>
        <w:rPr>
          <w:rFonts w:ascii="Times New Roman" w:hAnsi="Times New Roman" w:cs="Times New Roman"/>
        </w:rPr>
      </w:pPr>
      <w:r>
        <w:rPr>
          <w:rFonts w:ascii="Times New Roman" w:hAnsi="Times New Roman" w:cs="Times New Roman"/>
        </w:rPr>
        <w:t>Percentage weight gain followed a similar trend, with values of 1068.71 ± 35.97%, 1350.75 ± 61.84% and 1466.71 ± 45.93% in T1, T2 and T3, respectively (P &lt; 0.001). Average daily gain increased from 0.104 ± 0.001 g day⁻¹ in T1 to 0.126 ± 0.001 g day⁻¹ in T2 and 0.139 ± 0.001 g day⁻¹ in T3. Specific growth rate also increased significantly across treatments, reaching 3.057 ± 0.033% day⁻¹ in T3 compared with 2.971 ± 0.048% day⁻¹ in T2 and 2.731 ± 0.034% day⁻¹ in T1 (P &lt; 0.001).</w:t>
      </w:r>
    </w:p>
    <w:p w14:paraId="5FC6B35D">
      <w:pPr>
        <w:spacing w:line="240" w:lineRule="auto"/>
        <w:jc w:val="both"/>
        <w:rPr>
          <w:rFonts w:ascii="Times New Roman" w:hAnsi="Times New Roman" w:cs="Times New Roman"/>
        </w:rPr>
      </w:pPr>
      <w:r>
        <w:rPr>
          <w:rFonts w:ascii="Times New Roman" w:hAnsi="Times New Roman" w:cs="Times New Roman"/>
        </w:rPr>
        <w:t>Survival rates ranged from 80.00 ± 5.00% in T1 to 86.67 ± 5.77% in T3, but the differences were not statistically significant (P = 0.394). Initial length did not differ significantly among treatments (P = 0.301). Final length was numerically highest in T3 (11.10 ± 0.17 cm), followed by T2 (10.73 ± 0.40 cm) and T1 (10.40 ± 0.20 cm); however, the overall treatment effect was not statistically significant at the 5% level (P = 0.058).</w:t>
      </w:r>
    </w:p>
    <w:p w14:paraId="541F0760">
      <w:pPr>
        <w:spacing w:line="240" w:lineRule="auto"/>
        <w:jc w:val="both"/>
        <w:rPr>
          <w:rFonts w:ascii="Times New Roman" w:hAnsi="Times New Roman" w:cs="Times New Roman"/>
        </w:rPr>
      </w:pPr>
      <w:r>
        <w:rPr>
          <w:rFonts w:ascii="Times New Roman" w:hAnsi="Times New Roman" w:cs="Times New Roman"/>
        </w:rPr>
        <w:t>Table 3. Growth performance and survival of milkfish (</w:t>
      </w:r>
      <w:r>
        <w:rPr>
          <w:rFonts w:ascii="Times New Roman" w:hAnsi="Times New Roman" w:cs="Times New Roman"/>
          <w:i/>
          <w:iCs/>
        </w:rPr>
        <w:t>Chanos chanos</w:t>
      </w:r>
      <w:r>
        <w:rPr>
          <w:rFonts w:ascii="Times New Roman" w:hAnsi="Times New Roman" w:cs="Times New Roman"/>
        </w:rPr>
        <w:t>) fry fed experimental diets for 90 days.</w:t>
      </w:r>
    </w:p>
    <w:tbl>
      <w:tblPr>
        <w:tblStyle w:val="50"/>
        <w:tblW w:w="8931"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2126"/>
        <w:gridCol w:w="1984"/>
        <w:gridCol w:w="2273"/>
        <w:gridCol w:w="993"/>
      </w:tblGrid>
      <w:tr w14:paraId="37CBC04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5" w:type="dxa"/>
            <w:tcBorders>
              <w:bottom w:val="single" w:color="7E7E7E" w:themeColor="text1" w:themeTint="80" w:sz="4" w:space="0"/>
              <w:insideH w:val="single" w:sz="4" w:space="0"/>
            </w:tcBorders>
            <w:noWrap/>
          </w:tcPr>
          <w:p w14:paraId="733798CA">
            <w:pPr>
              <w:spacing w:after="0" w:line="240" w:lineRule="auto"/>
              <w:rPr>
                <w:rFonts w:ascii="Times New Roman" w:hAnsi="Times New Roman" w:eastAsia="Times New Roman" w:cs="Times New Roman"/>
                <w:b w:val="0"/>
                <w:bCs w:val="0"/>
                <w:color w:val="000000"/>
                <w:kern w:val="0"/>
                <w14:ligatures w14:val="none"/>
              </w:rPr>
            </w:pPr>
            <w:r>
              <w:rPr>
                <w:rFonts w:ascii="Times New Roman" w:hAnsi="Times New Roman" w:eastAsia="Times New Roman" w:cs="Times New Roman"/>
                <w:b/>
                <w:bCs/>
                <w:color w:val="000000"/>
                <w:kern w:val="0"/>
                <w14:ligatures w14:val="none"/>
              </w:rPr>
              <w:t>Parameter</w:t>
            </w:r>
          </w:p>
        </w:tc>
        <w:tc>
          <w:tcPr>
            <w:tcW w:w="2126" w:type="dxa"/>
            <w:tcBorders>
              <w:bottom w:val="single" w:color="7E7E7E" w:themeColor="text1" w:themeTint="80" w:sz="4" w:space="0"/>
              <w:insideH w:val="single" w:sz="4" w:space="0"/>
            </w:tcBorders>
            <w:noWrap/>
          </w:tcPr>
          <w:p w14:paraId="36ED66CF">
            <w:pPr>
              <w:spacing w:after="0" w:line="240" w:lineRule="auto"/>
              <w:rPr>
                <w:rFonts w:ascii="Times New Roman" w:hAnsi="Times New Roman" w:eastAsia="Times New Roman" w:cs="Times New Roman"/>
                <w:b w:val="0"/>
                <w:bCs w:val="0"/>
                <w:color w:val="000000"/>
                <w:kern w:val="0"/>
                <w14:ligatures w14:val="none"/>
              </w:rPr>
            </w:pPr>
            <w:r>
              <w:rPr>
                <w:rFonts w:ascii="Times New Roman" w:hAnsi="Times New Roman" w:cs="Times New Roman"/>
                <w:b/>
                <w:bCs/>
              </w:rPr>
              <w:t>T</w:t>
            </w:r>
            <w:r>
              <w:rPr>
                <w:rFonts w:ascii="Times New Roman" w:hAnsi="Times New Roman" w:cs="Times New Roman"/>
                <w:b/>
                <w:bCs/>
                <w:vertAlign w:val="subscript"/>
              </w:rPr>
              <w:t>1</w:t>
            </w:r>
          </w:p>
        </w:tc>
        <w:tc>
          <w:tcPr>
            <w:tcW w:w="1984" w:type="dxa"/>
            <w:tcBorders>
              <w:bottom w:val="single" w:color="7E7E7E" w:themeColor="text1" w:themeTint="80" w:sz="4" w:space="0"/>
              <w:insideH w:val="single" w:sz="4" w:space="0"/>
            </w:tcBorders>
            <w:noWrap/>
          </w:tcPr>
          <w:p w14:paraId="4C8DDC8E">
            <w:pPr>
              <w:spacing w:after="0" w:line="240" w:lineRule="auto"/>
              <w:rPr>
                <w:rFonts w:ascii="Times New Roman" w:hAnsi="Times New Roman" w:eastAsia="Times New Roman" w:cs="Times New Roman"/>
                <w:b w:val="0"/>
                <w:bCs w:val="0"/>
                <w:color w:val="000000"/>
                <w:kern w:val="0"/>
                <w14:ligatures w14:val="none"/>
              </w:rPr>
            </w:pPr>
            <w:r>
              <w:rPr>
                <w:rFonts w:ascii="Times New Roman" w:hAnsi="Times New Roman" w:cs="Times New Roman"/>
                <w:b/>
                <w:bCs/>
              </w:rPr>
              <w:t>T</w:t>
            </w:r>
            <w:r>
              <w:rPr>
                <w:rFonts w:ascii="Times New Roman" w:hAnsi="Times New Roman" w:cs="Times New Roman"/>
                <w:b/>
                <w:bCs/>
                <w:vertAlign w:val="subscript"/>
              </w:rPr>
              <w:t>2</w:t>
            </w:r>
          </w:p>
        </w:tc>
        <w:tc>
          <w:tcPr>
            <w:tcW w:w="2273" w:type="dxa"/>
            <w:tcBorders>
              <w:bottom w:val="single" w:color="7E7E7E" w:themeColor="text1" w:themeTint="80" w:sz="4" w:space="0"/>
              <w:insideH w:val="single" w:sz="4" w:space="0"/>
            </w:tcBorders>
            <w:noWrap/>
          </w:tcPr>
          <w:p w14:paraId="795306C1">
            <w:pPr>
              <w:spacing w:after="0" w:line="240" w:lineRule="auto"/>
              <w:rPr>
                <w:rFonts w:ascii="Times New Roman" w:hAnsi="Times New Roman" w:eastAsia="Times New Roman" w:cs="Times New Roman"/>
                <w:b w:val="0"/>
                <w:bCs w:val="0"/>
                <w:color w:val="000000"/>
                <w:kern w:val="0"/>
                <w14:ligatures w14:val="none"/>
              </w:rPr>
            </w:pPr>
            <w:r>
              <w:rPr>
                <w:rFonts w:ascii="Times New Roman" w:hAnsi="Times New Roman" w:cs="Times New Roman"/>
                <w:b/>
                <w:bCs/>
              </w:rPr>
              <w:t>T</w:t>
            </w:r>
            <w:r>
              <w:rPr>
                <w:rFonts w:ascii="Times New Roman" w:hAnsi="Times New Roman" w:cs="Times New Roman"/>
                <w:b/>
                <w:bCs/>
                <w:vertAlign w:val="subscript"/>
              </w:rPr>
              <w:t>3</w:t>
            </w:r>
          </w:p>
        </w:tc>
        <w:tc>
          <w:tcPr>
            <w:tcW w:w="993" w:type="dxa"/>
            <w:tcBorders>
              <w:bottom w:val="single" w:color="7E7E7E" w:themeColor="text1" w:themeTint="80" w:sz="4" w:space="0"/>
              <w:insideH w:val="single" w:sz="4" w:space="0"/>
            </w:tcBorders>
            <w:noWrap/>
          </w:tcPr>
          <w:p w14:paraId="01370BC9">
            <w:pPr>
              <w:spacing w:after="0" w:line="240" w:lineRule="auto"/>
              <w:rPr>
                <w:rFonts w:ascii="Times New Roman" w:hAnsi="Times New Roman" w:eastAsia="Times New Roman" w:cs="Times New Roman"/>
                <w:b w:val="0"/>
                <w:bCs w:val="0"/>
                <w:color w:val="000000"/>
                <w:kern w:val="0"/>
                <w14:ligatures w14:val="none"/>
              </w:rPr>
            </w:pPr>
            <w:r>
              <w:rPr>
                <w:rFonts w:ascii="Times New Roman" w:hAnsi="Times New Roman" w:eastAsia="Times New Roman" w:cs="Times New Roman"/>
                <w:b/>
                <w:bCs/>
                <w:color w:val="000000"/>
                <w:kern w:val="0"/>
                <w14:ligatures w14:val="none"/>
              </w:rPr>
              <w:t>P-value</w:t>
            </w:r>
          </w:p>
        </w:tc>
      </w:tr>
      <w:tr w14:paraId="2568C1A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5" w:type="dxa"/>
            <w:tcBorders>
              <w:top w:val="single" w:color="7E7E7E" w:themeColor="text1" w:themeTint="80" w:sz="4" w:space="0"/>
              <w:bottom w:val="single" w:color="7E7E7E" w:themeColor="text1" w:themeTint="80" w:sz="4" w:space="0"/>
              <w:insideH w:val="single" w:sz="4" w:space="0"/>
            </w:tcBorders>
            <w:noWrap/>
          </w:tcPr>
          <w:p w14:paraId="1E9BA48F">
            <w:pPr>
              <w:spacing w:after="0" w:line="240" w:lineRule="auto"/>
              <w:rPr>
                <w:rFonts w:ascii="Times New Roman" w:hAnsi="Times New Roman" w:eastAsia="Times New Roman" w:cs="Times New Roman"/>
                <w:b/>
                <w:bCs/>
                <w:color w:val="000000"/>
                <w:kern w:val="0"/>
                <w14:ligatures w14:val="none"/>
              </w:rPr>
            </w:pPr>
            <w:r>
              <w:rPr>
                <w:rFonts w:ascii="Times New Roman" w:hAnsi="Times New Roman" w:eastAsia="Times New Roman" w:cs="Times New Roman"/>
                <w:b/>
                <w:bCs/>
                <w:color w:val="000000"/>
                <w:kern w:val="0"/>
                <w14:ligatures w14:val="none"/>
              </w:rPr>
              <w:t>IW (g)</w:t>
            </w:r>
          </w:p>
        </w:tc>
        <w:tc>
          <w:tcPr>
            <w:tcW w:w="2126" w:type="dxa"/>
            <w:tcBorders>
              <w:top w:val="single" w:color="7E7E7E" w:themeColor="text1" w:themeTint="80" w:sz="4" w:space="0"/>
              <w:bottom w:val="single" w:color="7E7E7E" w:themeColor="text1" w:themeTint="80" w:sz="4" w:space="0"/>
              <w:insideH w:val="single" w:sz="4" w:space="0"/>
            </w:tcBorders>
            <w:noWrap/>
          </w:tcPr>
          <w:p w14:paraId="5404B53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0.88 ± 0.02ᵃ</w:t>
            </w:r>
          </w:p>
        </w:tc>
        <w:tc>
          <w:tcPr>
            <w:tcW w:w="1984" w:type="dxa"/>
            <w:tcBorders>
              <w:top w:val="single" w:color="7E7E7E" w:themeColor="text1" w:themeTint="80" w:sz="4" w:space="0"/>
              <w:bottom w:val="single" w:color="7E7E7E" w:themeColor="text1" w:themeTint="80" w:sz="4" w:space="0"/>
              <w:insideH w:val="single" w:sz="4" w:space="0"/>
            </w:tcBorders>
            <w:noWrap/>
          </w:tcPr>
          <w:p w14:paraId="53A848A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0.84 ± 0.04ᵃ</w:t>
            </w:r>
          </w:p>
        </w:tc>
        <w:tc>
          <w:tcPr>
            <w:tcW w:w="2273" w:type="dxa"/>
            <w:tcBorders>
              <w:top w:val="single" w:color="7E7E7E" w:themeColor="text1" w:themeTint="80" w:sz="4" w:space="0"/>
              <w:bottom w:val="single" w:color="7E7E7E" w:themeColor="text1" w:themeTint="80" w:sz="4" w:space="0"/>
              <w:insideH w:val="single" w:sz="4" w:space="0"/>
            </w:tcBorders>
            <w:noWrap/>
          </w:tcPr>
          <w:p w14:paraId="79F83AC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0.85 ± 0.03ᵃ</w:t>
            </w:r>
          </w:p>
        </w:tc>
        <w:tc>
          <w:tcPr>
            <w:tcW w:w="993" w:type="dxa"/>
            <w:tcBorders>
              <w:top w:val="single" w:color="7E7E7E" w:themeColor="text1" w:themeTint="80" w:sz="4" w:space="0"/>
              <w:bottom w:val="single" w:color="7E7E7E" w:themeColor="text1" w:themeTint="80" w:sz="4" w:space="0"/>
              <w:insideH w:val="single" w:sz="4" w:space="0"/>
            </w:tcBorders>
            <w:noWrap/>
          </w:tcPr>
          <w:p w14:paraId="42F3FE1F">
            <w:pPr>
              <w:spacing w:after="0" w:line="240" w:lineRule="auto"/>
              <w:jc w:val="right"/>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0.346</w:t>
            </w:r>
          </w:p>
        </w:tc>
      </w:tr>
      <w:tr w14:paraId="73FDC08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5" w:type="dxa"/>
            <w:noWrap/>
          </w:tcPr>
          <w:p w14:paraId="3EDA0E11">
            <w:pPr>
              <w:spacing w:after="0" w:line="240" w:lineRule="auto"/>
              <w:rPr>
                <w:rFonts w:ascii="Times New Roman" w:hAnsi="Times New Roman" w:eastAsia="Times New Roman" w:cs="Times New Roman"/>
                <w:b/>
                <w:bCs/>
                <w:color w:val="000000"/>
                <w:kern w:val="0"/>
                <w14:ligatures w14:val="none"/>
              </w:rPr>
            </w:pPr>
            <w:r>
              <w:rPr>
                <w:rFonts w:ascii="Times New Roman" w:hAnsi="Times New Roman" w:eastAsia="Times New Roman" w:cs="Times New Roman"/>
                <w:b/>
                <w:bCs/>
                <w:color w:val="000000"/>
                <w:kern w:val="0"/>
                <w14:ligatures w14:val="none"/>
              </w:rPr>
              <w:t>FW (g)</w:t>
            </w:r>
          </w:p>
        </w:tc>
        <w:tc>
          <w:tcPr>
            <w:tcW w:w="2126" w:type="dxa"/>
            <w:noWrap/>
          </w:tcPr>
          <w:p w14:paraId="4E5A7951">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10.28 ± 0.11ᵃ</w:t>
            </w:r>
          </w:p>
        </w:tc>
        <w:tc>
          <w:tcPr>
            <w:tcW w:w="1984" w:type="dxa"/>
            <w:noWrap/>
          </w:tcPr>
          <w:p w14:paraId="7FECFBC7">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12.17 ± 0.12ᵇ</w:t>
            </w:r>
          </w:p>
        </w:tc>
        <w:tc>
          <w:tcPr>
            <w:tcW w:w="2273" w:type="dxa"/>
            <w:noWrap/>
          </w:tcPr>
          <w:p w14:paraId="4183FBF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13.36 ± 0.12ᶜ</w:t>
            </w:r>
          </w:p>
        </w:tc>
        <w:tc>
          <w:tcPr>
            <w:tcW w:w="993" w:type="dxa"/>
            <w:noWrap/>
          </w:tcPr>
          <w:p w14:paraId="7F65807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&lt;0.001</w:t>
            </w:r>
          </w:p>
        </w:tc>
      </w:tr>
      <w:tr w14:paraId="304FF48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5" w:type="dxa"/>
            <w:tcBorders>
              <w:top w:val="single" w:color="7E7E7E" w:themeColor="text1" w:themeTint="80" w:sz="4" w:space="0"/>
              <w:bottom w:val="single" w:color="7E7E7E" w:themeColor="text1" w:themeTint="80" w:sz="4" w:space="0"/>
              <w:insideH w:val="single" w:sz="4" w:space="0"/>
            </w:tcBorders>
            <w:noWrap/>
          </w:tcPr>
          <w:p w14:paraId="68D0B5F7">
            <w:pPr>
              <w:spacing w:after="0" w:line="240" w:lineRule="auto"/>
              <w:rPr>
                <w:rFonts w:ascii="Times New Roman" w:hAnsi="Times New Roman" w:eastAsia="Times New Roman" w:cs="Times New Roman"/>
                <w:b/>
                <w:bCs/>
                <w:color w:val="000000"/>
                <w:kern w:val="0"/>
                <w14:ligatures w14:val="none"/>
              </w:rPr>
            </w:pPr>
            <w:r>
              <w:rPr>
                <w:rFonts w:ascii="Times New Roman" w:hAnsi="Times New Roman" w:eastAsia="Times New Roman" w:cs="Times New Roman"/>
                <w:b/>
                <w:bCs/>
                <w:color w:val="000000"/>
                <w:kern w:val="0"/>
                <w14:ligatures w14:val="none"/>
              </w:rPr>
              <w:t>WG (g)</w:t>
            </w:r>
          </w:p>
        </w:tc>
        <w:tc>
          <w:tcPr>
            <w:tcW w:w="2126" w:type="dxa"/>
            <w:tcBorders>
              <w:top w:val="single" w:color="7E7E7E" w:themeColor="text1" w:themeTint="80" w:sz="4" w:space="0"/>
              <w:bottom w:val="single" w:color="7E7E7E" w:themeColor="text1" w:themeTint="80" w:sz="4" w:space="0"/>
              <w:insideH w:val="single" w:sz="4" w:space="0"/>
            </w:tcBorders>
            <w:noWrap/>
          </w:tcPr>
          <w:p w14:paraId="29E1AF5B">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9.40 ± 0.12ᵃ</w:t>
            </w:r>
          </w:p>
        </w:tc>
        <w:tc>
          <w:tcPr>
            <w:tcW w:w="1984" w:type="dxa"/>
            <w:tcBorders>
              <w:top w:val="single" w:color="7E7E7E" w:themeColor="text1" w:themeTint="80" w:sz="4" w:space="0"/>
              <w:bottom w:val="single" w:color="7E7E7E" w:themeColor="text1" w:themeTint="80" w:sz="4" w:space="0"/>
              <w:insideH w:val="single" w:sz="4" w:space="0"/>
            </w:tcBorders>
            <w:noWrap/>
          </w:tcPr>
          <w:p w14:paraId="5210FBB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11.33 ± 0.10ᵇ</w:t>
            </w:r>
          </w:p>
        </w:tc>
        <w:tc>
          <w:tcPr>
            <w:tcW w:w="2273" w:type="dxa"/>
            <w:tcBorders>
              <w:top w:val="single" w:color="7E7E7E" w:themeColor="text1" w:themeTint="80" w:sz="4" w:space="0"/>
              <w:bottom w:val="single" w:color="7E7E7E" w:themeColor="text1" w:themeTint="80" w:sz="4" w:space="0"/>
              <w:insideH w:val="single" w:sz="4" w:space="0"/>
            </w:tcBorders>
            <w:noWrap/>
          </w:tcPr>
          <w:p w14:paraId="70967F0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12.51 ± 0.10ᶜ</w:t>
            </w:r>
          </w:p>
        </w:tc>
        <w:tc>
          <w:tcPr>
            <w:tcW w:w="993" w:type="dxa"/>
            <w:tcBorders>
              <w:top w:val="single" w:color="7E7E7E" w:themeColor="text1" w:themeTint="80" w:sz="4" w:space="0"/>
              <w:bottom w:val="single" w:color="7E7E7E" w:themeColor="text1" w:themeTint="80" w:sz="4" w:space="0"/>
              <w:insideH w:val="single" w:sz="4" w:space="0"/>
            </w:tcBorders>
            <w:noWrap/>
          </w:tcPr>
          <w:p w14:paraId="589391DF">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&lt;0.001</w:t>
            </w:r>
          </w:p>
        </w:tc>
      </w:tr>
      <w:tr w14:paraId="054FCC1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5" w:type="dxa"/>
            <w:noWrap/>
          </w:tcPr>
          <w:p w14:paraId="06658537">
            <w:pPr>
              <w:spacing w:after="0" w:line="240" w:lineRule="auto"/>
              <w:rPr>
                <w:rFonts w:ascii="Times New Roman" w:hAnsi="Times New Roman" w:eastAsia="Times New Roman" w:cs="Times New Roman"/>
                <w:b/>
                <w:bCs/>
                <w:color w:val="000000"/>
                <w:kern w:val="0"/>
                <w14:ligatures w14:val="none"/>
              </w:rPr>
            </w:pPr>
            <w:r>
              <w:rPr>
                <w:rFonts w:ascii="Times New Roman" w:hAnsi="Times New Roman" w:eastAsia="Times New Roman" w:cs="Times New Roman"/>
                <w:b/>
                <w:bCs/>
                <w:color w:val="000000"/>
                <w:kern w:val="0"/>
                <w14:ligatures w14:val="none"/>
              </w:rPr>
              <w:t>WGP (%)</w:t>
            </w:r>
          </w:p>
        </w:tc>
        <w:tc>
          <w:tcPr>
            <w:tcW w:w="2126" w:type="dxa"/>
            <w:noWrap/>
          </w:tcPr>
          <w:p w14:paraId="7FB44719">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1068.71 ± 35.97ᵃ</w:t>
            </w:r>
          </w:p>
        </w:tc>
        <w:tc>
          <w:tcPr>
            <w:tcW w:w="1984" w:type="dxa"/>
            <w:noWrap/>
          </w:tcPr>
          <w:p w14:paraId="42188C28">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1350.75 ± 61.84ᵇ</w:t>
            </w:r>
          </w:p>
        </w:tc>
        <w:tc>
          <w:tcPr>
            <w:tcW w:w="2273" w:type="dxa"/>
            <w:noWrap/>
          </w:tcPr>
          <w:p w14:paraId="42C5C0F5">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1466.71 ± 45.93ᶜ</w:t>
            </w:r>
          </w:p>
        </w:tc>
        <w:tc>
          <w:tcPr>
            <w:tcW w:w="993" w:type="dxa"/>
            <w:noWrap/>
          </w:tcPr>
          <w:p w14:paraId="37885C75">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&lt;0.001</w:t>
            </w:r>
          </w:p>
        </w:tc>
      </w:tr>
      <w:tr w14:paraId="6F8F2A3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5" w:type="dxa"/>
            <w:tcBorders>
              <w:top w:val="single" w:color="7E7E7E" w:themeColor="text1" w:themeTint="80" w:sz="4" w:space="0"/>
              <w:bottom w:val="single" w:color="7E7E7E" w:themeColor="text1" w:themeTint="80" w:sz="4" w:space="0"/>
              <w:insideH w:val="single" w:sz="4" w:space="0"/>
            </w:tcBorders>
            <w:noWrap/>
          </w:tcPr>
          <w:p w14:paraId="61559B85">
            <w:pPr>
              <w:spacing w:after="0" w:line="240" w:lineRule="auto"/>
              <w:rPr>
                <w:rFonts w:ascii="Times New Roman" w:hAnsi="Times New Roman" w:eastAsia="Times New Roman" w:cs="Times New Roman"/>
                <w:b/>
                <w:bCs/>
                <w:color w:val="000000"/>
                <w:kern w:val="0"/>
                <w14:ligatures w14:val="none"/>
              </w:rPr>
            </w:pPr>
            <w:r>
              <w:rPr>
                <w:rFonts w:ascii="Times New Roman" w:hAnsi="Times New Roman" w:eastAsia="Times New Roman" w:cs="Times New Roman"/>
                <w:b/>
                <w:bCs/>
                <w:color w:val="000000"/>
                <w:kern w:val="0"/>
                <w14:ligatures w14:val="none"/>
              </w:rPr>
              <w:t>ADG (g day⁻¹)</w:t>
            </w:r>
          </w:p>
        </w:tc>
        <w:tc>
          <w:tcPr>
            <w:tcW w:w="2126" w:type="dxa"/>
            <w:tcBorders>
              <w:top w:val="single" w:color="7E7E7E" w:themeColor="text1" w:themeTint="80" w:sz="4" w:space="0"/>
              <w:bottom w:val="single" w:color="7E7E7E" w:themeColor="text1" w:themeTint="80" w:sz="4" w:space="0"/>
              <w:insideH w:val="single" w:sz="4" w:space="0"/>
            </w:tcBorders>
            <w:noWrap/>
          </w:tcPr>
          <w:p w14:paraId="2C3C1F40">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0.104 ± 0.001ᵃ</w:t>
            </w:r>
          </w:p>
        </w:tc>
        <w:tc>
          <w:tcPr>
            <w:tcW w:w="1984" w:type="dxa"/>
            <w:tcBorders>
              <w:top w:val="single" w:color="7E7E7E" w:themeColor="text1" w:themeTint="80" w:sz="4" w:space="0"/>
              <w:bottom w:val="single" w:color="7E7E7E" w:themeColor="text1" w:themeTint="80" w:sz="4" w:space="0"/>
              <w:insideH w:val="single" w:sz="4" w:space="0"/>
            </w:tcBorders>
            <w:noWrap/>
          </w:tcPr>
          <w:p w14:paraId="19879D3D">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0.126 ± 0.001ᵇ</w:t>
            </w:r>
          </w:p>
        </w:tc>
        <w:tc>
          <w:tcPr>
            <w:tcW w:w="2273" w:type="dxa"/>
            <w:tcBorders>
              <w:top w:val="single" w:color="7E7E7E" w:themeColor="text1" w:themeTint="80" w:sz="4" w:space="0"/>
              <w:bottom w:val="single" w:color="7E7E7E" w:themeColor="text1" w:themeTint="80" w:sz="4" w:space="0"/>
              <w:insideH w:val="single" w:sz="4" w:space="0"/>
            </w:tcBorders>
            <w:noWrap/>
          </w:tcPr>
          <w:p w14:paraId="02A7EF7A">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0.139 ± 0.001ᶜ</w:t>
            </w:r>
          </w:p>
        </w:tc>
        <w:tc>
          <w:tcPr>
            <w:tcW w:w="993" w:type="dxa"/>
            <w:tcBorders>
              <w:top w:val="single" w:color="7E7E7E" w:themeColor="text1" w:themeTint="80" w:sz="4" w:space="0"/>
              <w:bottom w:val="single" w:color="7E7E7E" w:themeColor="text1" w:themeTint="80" w:sz="4" w:space="0"/>
              <w:insideH w:val="single" w:sz="4" w:space="0"/>
            </w:tcBorders>
            <w:noWrap/>
          </w:tcPr>
          <w:p w14:paraId="7F9AC547">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&lt;0.001</w:t>
            </w:r>
          </w:p>
        </w:tc>
      </w:tr>
      <w:tr w14:paraId="45F3426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5" w:type="dxa"/>
            <w:noWrap/>
          </w:tcPr>
          <w:p w14:paraId="625315EF">
            <w:pPr>
              <w:spacing w:after="0" w:line="240" w:lineRule="auto"/>
              <w:rPr>
                <w:rFonts w:ascii="Times New Roman" w:hAnsi="Times New Roman" w:eastAsia="Times New Roman" w:cs="Times New Roman"/>
                <w:b/>
                <w:bCs/>
                <w:color w:val="000000"/>
                <w:kern w:val="0"/>
                <w14:ligatures w14:val="none"/>
              </w:rPr>
            </w:pPr>
            <w:r>
              <w:rPr>
                <w:rFonts w:ascii="Times New Roman" w:hAnsi="Times New Roman" w:eastAsia="Times New Roman" w:cs="Times New Roman"/>
                <w:b/>
                <w:bCs/>
                <w:color w:val="000000"/>
                <w:kern w:val="0"/>
                <w14:ligatures w14:val="none"/>
              </w:rPr>
              <w:t>SGR (% day⁻¹)</w:t>
            </w:r>
          </w:p>
        </w:tc>
        <w:tc>
          <w:tcPr>
            <w:tcW w:w="2126" w:type="dxa"/>
            <w:noWrap/>
          </w:tcPr>
          <w:p w14:paraId="287D5435">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2.731 ± 0.034ᵃ</w:t>
            </w:r>
          </w:p>
        </w:tc>
        <w:tc>
          <w:tcPr>
            <w:tcW w:w="1984" w:type="dxa"/>
            <w:noWrap/>
          </w:tcPr>
          <w:p w14:paraId="6B143BAF">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2.971 ± 0.048ᵇ</w:t>
            </w:r>
          </w:p>
        </w:tc>
        <w:tc>
          <w:tcPr>
            <w:tcW w:w="2273" w:type="dxa"/>
            <w:noWrap/>
          </w:tcPr>
          <w:p w14:paraId="02429EE4">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3.057 ± 0.033ᶜ</w:t>
            </w:r>
          </w:p>
        </w:tc>
        <w:tc>
          <w:tcPr>
            <w:tcW w:w="993" w:type="dxa"/>
            <w:noWrap/>
          </w:tcPr>
          <w:p w14:paraId="50D63D1C">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&lt;0.001</w:t>
            </w:r>
          </w:p>
        </w:tc>
      </w:tr>
      <w:tr w14:paraId="6C593D7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55" w:type="dxa"/>
            <w:tcBorders>
              <w:top w:val="single" w:color="7E7E7E" w:themeColor="text1" w:themeTint="80" w:sz="4" w:space="0"/>
              <w:bottom w:val="single" w:color="7E7E7E" w:themeColor="text1" w:themeTint="80" w:sz="4" w:space="0"/>
              <w:insideH w:val="single" w:sz="4" w:space="0"/>
            </w:tcBorders>
            <w:noWrap/>
          </w:tcPr>
          <w:p w14:paraId="2048259E">
            <w:pPr>
              <w:spacing w:after="0" w:line="240" w:lineRule="auto"/>
              <w:rPr>
                <w:rFonts w:ascii="Times New Roman" w:hAnsi="Times New Roman" w:eastAsia="Times New Roman" w:cs="Times New Roman"/>
                <w:b/>
                <w:bCs/>
                <w:color w:val="000000"/>
                <w:kern w:val="0"/>
                <w14:ligatures w14:val="none"/>
              </w:rPr>
            </w:pPr>
            <w:r>
              <w:rPr>
                <w:rFonts w:ascii="Times New Roman" w:hAnsi="Times New Roman" w:eastAsia="Times New Roman" w:cs="Times New Roman"/>
                <w:b/>
                <w:bCs/>
                <w:color w:val="000000"/>
                <w:kern w:val="0"/>
                <w14:ligatures w14:val="none"/>
              </w:rPr>
              <w:t>SR (%)</w:t>
            </w:r>
          </w:p>
        </w:tc>
        <w:tc>
          <w:tcPr>
            <w:tcW w:w="2126" w:type="dxa"/>
            <w:tcBorders>
              <w:top w:val="single" w:color="7E7E7E" w:themeColor="text1" w:themeTint="80" w:sz="4" w:space="0"/>
              <w:bottom w:val="single" w:color="7E7E7E" w:themeColor="text1" w:themeTint="80" w:sz="4" w:space="0"/>
              <w:insideH w:val="single" w:sz="4" w:space="0"/>
            </w:tcBorders>
            <w:noWrap/>
          </w:tcPr>
          <w:p w14:paraId="0AD7E5F5">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80.00 ± 5.00ᵃ</w:t>
            </w:r>
          </w:p>
        </w:tc>
        <w:tc>
          <w:tcPr>
            <w:tcW w:w="1984" w:type="dxa"/>
            <w:tcBorders>
              <w:top w:val="single" w:color="7E7E7E" w:themeColor="text1" w:themeTint="80" w:sz="4" w:space="0"/>
              <w:bottom w:val="single" w:color="7E7E7E" w:themeColor="text1" w:themeTint="80" w:sz="4" w:space="0"/>
              <w:insideH w:val="single" w:sz="4" w:space="0"/>
            </w:tcBorders>
            <w:noWrap/>
          </w:tcPr>
          <w:p w14:paraId="179DAD64">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83.33 ± 5.77ᵃ</w:t>
            </w:r>
          </w:p>
        </w:tc>
        <w:tc>
          <w:tcPr>
            <w:tcW w:w="2273" w:type="dxa"/>
            <w:tcBorders>
              <w:top w:val="single" w:color="7E7E7E" w:themeColor="text1" w:themeTint="80" w:sz="4" w:space="0"/>
              <w:bottom w:val="single" w:color="7E7E7E" w:themeColor="text1" w:themeTint="80" w:sz="4" w:space="0"/>
              <w:insideH w:val="single" w:sz="4" w:space="0"/>
            </w:tcBorders>
            <w:noWrap/>
          </w:tcPr>
          <w:p w14:paraId="17119073">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86.67 ± 5.77ᵃ</w:t>
            </w:r>
          </w:p>
        </w:tc>
        <w:tc>
          <w:tcPr>
            <w:tcW w:w="993" w:type="dxa"/>
            <w:tcBorders>
              <w:top w:val="single" w:color="7E7E7E" w:themeColor="text1" w:themeTint="80" w:sz="4" w:space="0"/>
              <w:bottom w:val="single" w:color="7E7E7E" w:themeColor="text1" w:themeTint="80" w:sz="4" w:space="0"/>
              <w:insideH w:val="single" w:sz="4" w:space="0"/>
            </w:tcBorders>
            <w:noWrap/>
          </w:tcPr>
          <w:p w14:paraId="17DF4B52">
            <w:pPr>
              <w:spacing w:after="0" w:line="240" w:lineRule="auto"/>
              <w:jc w:val="right"/>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0.394</w:t>
            </w:r>
          </w:p>
        </w:tc>
      </w:tr>
    </w:tbl>
    <w:p w14:paraId="495503AD">
      <w:pPr>
        <w:spacing w:line="240" w:lineRule="auto"/>
        <w:jc w:val="both"/>
        <w:rPr>
          <w:rFonts w:ascii="Times New Roman" w:hAnsi="Times New Roman" w:cs="Times New Roman"/>
        </w:rPr>
      </w:pPr>
      <w:r>
        <w:rPr>
          <w:rFonts w:ascii="Times New Roman" w:hAnsi="Times New Roman" w:cs="Times New Roman"/>
        </w:rPr>
        <w:t>Values are presented as mean ± SD (n = 3 replicate tanks per treatment). Different superscript letters within the same row indicate significant differences among treatments, as determined by Duncan’s multiple range test (P &lt; 0.05). IW, initial weight; FW, final weight; WG, weight gain; WGP, weight gain percentage; ADG, average daily gain; SGR, specific growth rate; SR, survival rate; IL, initial length; FL, final length.</w:t>
      </w:r>
    </w:p>
    <w:p w14:paraId="551F1E2E">
      <w:pPr>
        <w:spacing w:line="240" w:lineRule="auto"/>
        <w:rPr>
          <w:rFonts w:ascii="Times New Roman" w:hAnsi="Times New Roman" w:cs="Times New Roman"/>
          <w:b/>
          <w:bCs/>
        </w:rPr>
      </w:pPr>
      <w:r>
        <w:rPr>
          <w:rFonts w:ascii="Times New Roman" w:hAnsi="Times New Roman" w:cs="Times New Roman"/>
          <w:b/>
          <w:bCs/>
        </w:rPr>
        <w:t>3.2. Feed utilization</w:t>
      </w:r>
    </w:p>
    <w:p w14:paraId="25D5BDCD">
      <w:pPr>
        <w:spacing w:line="240" w:lineRule="auto"/>
        <w:jc w:val="both"/>
        <w:rPr>
          <w:rFonts w:ascii="Times New Roman" w:hAnsi="Times New Roman" w:cs="Times New Roman"/>
        </w:rPr>
      </w:pPr>
      <w:r>
        <w:rPr>
          <w:rFonts w:ascii="Times New Roman" w:hAnsi="Times New Roman" w:cs="Times New Roman"/>
        </w:rPr>
        <w:t>Feed utilization differed significantly among the experimental treatments. The feed conversion ratio (FCR) was 1.710 ± 0.020 in T1, 1.683 ± 0.045 in T2 and 1.540 ± 0.044 in T3 (P = 0.003). Thus, T3 exhibited the lowest FCR, indicating more efficient feed utilization than T1 and T2. Feed conversion efficiency (FCE) increased from 0.585 ± 0.007 in T1 to 0.594 ± 0.016 in T2 and 0.649 ± 0.018 in T3. Similarly, feed conversion efficiency expressed as a percentage (FCEP) increased from 58.48 ± 0.69% in T1 to 59.43 ± 1.59% in T2 and 64.97 ± 1.81% in T3. For both FCE and FCEP, T3 differed significantly from T1 and T2, whereas T1 and T2 did not differ significantly (P = 0.003).</w:t>
      </w:r>
    </w:p>
    <w:p w14:paraId="15A4AFE7">
      <w:pPr>
        <w:spacing w:line="240" w:lineRule="auto"/>
        <w:jc w:val="both"/>
        <w:rPr>
          <w:rFonts w:ascii="Times New Roman" w:hAnsi="Times New Roman" w:cs="Times New Roman"/>
        </w:rPr>
      </w:pPr>
      <w:r>
        <w:rPr>
          <w:rFonts w:ascii="Times New Roman" w:hAnsi="Times New Roman" w:cs="Times New Roman"/>
        </w:rPr>
        <w:t>Table 4. Feed utilization of milkfish (</w:t>
      </w:r>
      <w:r>
        <w:rPr>
          <w:rFonts w:ascii="Times New Roman" w:hAnsi="Times New Roman" w:cs="Times New Roman"/>
          <w:i/>
          <w:iCs/>
        </w:rPr>
        <w:t>Chanos chanos</w:t>
      </w:r>
      <w:r>
        <w:rPr>
          <w:rFonts w:ascii="Times New Roman" w:hAnsi="Times New Roman" w:cs="Times New Roman"/>
        </w:rPr>
        <w:t>) fry fed experimental diets for 90 days</w:t>
      </w:r>
    </w:p>
    <w:tbl>
      <w:tblPr>
        <w:tblStyle w:val="50"/>
        <w:tblW w:w="8931"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68"/>
        <w:gridCol w:w="1843"/>
        <w:gridCol w:w="1985"/>
        <w:gridCol w:w="1842"/>
        <w:gridCol w:w="993"/>
      </w:tblGrid>
      <w:tr w14:paraId="32786E1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68" w:type="dxa"/>
            <w:tcBorders>
              <w:bottom w:val="single" w:color="7E7E7E" w:themeColor="text1" w:themeTint="80" w:sz="4" w:space="0"/>
              <w:insideH w:val="single" w:sz="4" w:space="0"/>
            </w:tcBorders>
            <w:noWrap/>
          </w:tcPr>
          <w:p w14:paraId="52A7CE28">
            <w:pPr>
              <w:spacing w:after="0" w:line="240" w:lineRule="auto"/>
              <w:rPr>
                <w:rFonts w:ascii="Times New Roman" w:hAnsi="Times New Roman" w:eastAsia="Times New Roman" w:cs="Times New Roman"/>
                <w:b w:val="0"/>
                <w:bCs w:val="0"/>
                <w:color w:val="000000"/>
                <w:kern w:val="0"/>
                <w14:ligatures w14:val="none"/>
              </w:rPr>
            </w:pPr>
            <w:r>
              <w:rPr>
                <w:rFonts w:ascii="Times New Roman" w:hAnsi="Times New Roman" w:eastAsia="Times New Roman" w:cs="Times New Roman"/>
                <w:b/>
                <w:bCs/>
                <w:color w:val="000000"/>
                <w:kern w:val="0"/>
                <w14:ligatures w14:val="none"/>
              </w:rPr>
              <w:t>Parameter</w:t>
            </w:r>
          </w:p>
        </w:tc>
        <w:tc>
          <w:tcPr>
            <w:tcW w:w="1843" w:type="dxa"/>
            <w:tcBorders>
              <w:bottom w:val="single" w:color="7E7E7E" w:themeColor="text1" w:themeTint="80" w:sz="4" w:space="0"/>
              <w:insideH w:val="single" w:sz="4" w:space="0"/>
            </w:tcBorders>
            <w:noWrap/>
          </w:tcPr>
          <w:p w14:paraId="0A9CBB56">
            <w:pPr>
              <w:spacing w:after="0" w:line="240" w:lineRule="auto"/>
              <w:rPr>
                <w:rFonts w:ascii="Times New Roman" w:hAnsi="Times New Roman" w:eastAsia="Times New Roman" w:cs="Times New Roman"/>
                <w:b w:val="0"/>
                <w:bCs w:val="0"/>
                <w:color w:val="000000"/>
                <w:kern w:val="0"/>
                <w14:ligatures w14:val="none"/>
              </w:rPr>
            </w:pPr>
            <w:r>
              <w:rPr>
                <w:rFonts w:ascii="Times New Roman" w:hAnsi="Times New Roman" w:cs="Times New Roman"/>
                <w:b/>
                <w:bCs/>
              </w:rPr>
              <w:t>T</w:t>
            </w:r>
            <w:r>
              <w:rPr>
                <w:rFonts w:ascii="Times New Roman" w:hAnsi="Times New Roman" w:cs="Times New Roman"/>
                <w:b/>
                <w:bCs/>
                <w:vertAlign w:val="subscript"/>
              </w:rPr>
              <w:t>1</w:t>
            </w:r>
          </w:p>
        </w:tc>
        <w:tc>
          <w:tcPr>
            <w:tcW w:w="1985" w:type="dxa"/>
            <w:tcBorders>
              <w:bottom w:val="single" w:color="7E7E7E" w:themeColor="text1" w:themeTint="80" w:sz="4" w:space="0"/>
              <w:insideH w:val="single" w:sz="4" w:space="0"/>
            </w:tcBorders>
            <w:noWrap/>
          </w:tcPr>
          <w:p w14:paraId="39CB8DD0">
            <w:pPr>
              <w:spacing w:after="0" w:line="240" w:lineRule="auto"/>
              <w:rPr>
                <w:rFonts w:ascii="Times New Roman" w:hAnsi="Times New Roman" w:eastAsia="Times New Roman" w:cs="Times New Roman"/>
                <w:b w:val="0"/>
                <w:bCs w:val="0"/>
                <w:color w:val="000000"/>
                <w:kern w:val="0"/>
                <w14:ligatures w14:val="none"/>
              </w:rPr>
            </w:pPr>
            <w:r>
              <w:rPr>
                <w:rFonts w:ascii="Times New Roman" w:hAnsi="Times New Roman" w:cs="Times New Roman"/>
                <w:b/>
                <w:bCs/>
              </w:rPr>
              <w:t>T</w:t>
            </w:r>
            <w:r>
              <w:rPr>
                <w:rFonts w:ascii="Times New Roman" w:hAnsi="Times New Roman" w:cs="Times New Roman"/>
                <w:b/>
                <w:bCs/>
                <w:vertAlign w:val="subscript"/>
              </w:rPr>
              <w:t>2</w:t>
            </w:r>
          </w:p>
        </w:tc>
        <w:tc>
          <w:tcPr>
            <w:tcW w:w="1842" w:type="dxa"/>
            <w:tcBorders>
              <w:bottom w:val="single" w:color="7E7E7E" w:themeColor="text1" w:themeTint="80" w:sz="4" w:space="0"/>
              <w:insideH w:val="single" w:sz="4" w:space="0"/>
            </w:tcBorders>
            <w:noWrap/>
          </w:tcPr>
          <w:p w14:paraId="510C278C">
            <w:pPr>
              <w:spacing w:after="0" w:line="240" w:lineRule="auto"/>
              <w:rPr>
                <w:rFonts w:ascii="Times New Roman" w:hAnsi="Times New Roman" w:eastAsia="Times New Roman" w:cs="Times New Roman"/>
                <w:b w:val="0"/>
                <w:bCs w:val="0"/>
                <w:color w:val="000000"/>
                <w:kern w:val="0"/>
                <w14:ligatures w14:val="none"/>
              </w:rPr>
            </w:pPr>
            <w:r>
              <w:rPr>
                <w:rFonts w:ascii="Times New Roman" w:hAnsi="Times New Roman" w:cs="Times New Roman"/>
                <w:b/>
                <w:bCs/>
              </w:rPr>
              <w:t>T</w:t>
            </w:r>
            <w:r>
              <w:rPr>
                <w:rFonts w:ascii="Times New Roman" w:hAnsi="Times New Roman" w:cs="Times New Roman"/>
                <w:b/>
                <w:bCs/>
                <w:vertAlign w:val="subscript"/>
              </w:rPr>
              <w:t>3</w:t>
            </w:r>
          </w:p>
        </w:tc>
        <w:tc>
          <w:tcPr>
            <w:tcW w:w="993" w:type="dxa"/>
            <w:tcBorders>
              <w:bottom w:val="single" w:color="7E7E7E" w:themeColor="text1" w:themeTint="80" w:sz="4" w:space="0"/>
              <w:insideH w:val="single" w:sz="4" w:space="0"/>
            </w:tcBorders>
            <w:noWrap/>
          </w:tcPr>
          <w:p w14:paraId="5A560E88">
            <w:pPr>
              <w:spacing w:after="0" w:line="240" w:lineRule="auto"/>
              <w:rPr>
                <w:rFonts w:ascii="Times New Roman" w:hAnsi="Times New Roman" w:eastAsia="Times New Roman" w:cs="Times New Roman"/>
                <w:b w:val="0"/>
                <w:bCs w:val="0"/>
                <w:color w:val="000000"/>
                <w:kern w:val="0"/>
                <w14:ligatures w14:val="none"/>
              </w:rPr>
            </w:pPr>
            <w:r>
              <w:rPr>
                <w:rFonts w:ascii="Times New Roman" w:hAnsi="Times New Roman" w:eastAsia="Times New Roman" w:cs="Times New Roman"/>
                <w:b/>
                <w:bCs/>
                <w:color w:val="000000"/>
                <w:kern w:val="0"/>
                <w14:ligatures w14:val="none"/>
              </w:rPr>
              <w:t>P-value</w:t>
            </w:r>
          </w:p>
        </w:tc>
      </w:tr>
      <w:tr w14:paraId="153E25E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68" w:type="dxa"/>
            <w:tcBorders>
              <w:top w:val="single" w:color="7E7E7E" w:themeColor="text1" w:themeTint="80" w:sz="4" w:space="0"/>
              <w:bottom w:val="single" w:color="7E7E7E" w:themeColor="text1" w:themeTint="80" w:sz="4" w:space="0"/>
              <w:insideH w:val="single" w:sz="4" w:space="0"/>
            </w:tcBorders>
            <w:noWrap/>
          </w:tcPr>
          <w:p w14:paraId="64F8E99A">
            <w:pPr>
              <w:spacing w:after="0" w:line="240" w:lineRule="auto"/>
              <w:rPr>
                <w:rFonts w:ascii="Times New Roman" w:hAnsi="Times New Roman" w:eastAsia="Times New Roman" w:cs="Times New Roman"/>
                <w:b/>
                <w:bCs/>
                <w:color w:val="000000"/>
                <w:kern w:val="0"/>
                <w14:ligatures w14:val="none"/>
              </w:rPr>
            </w:pPr>
            <w:r>
              <w:rPr>
                <w:rFonts w:ascii="Times New Roman" w:hAnsi="Times New Roman" w:eastAsia="Times New Roman" w:cs="Times New Roman"/>
                <w:b/>
                <w:bCs/>
                <w:color w:val="000000"/>
                <w:kern w:val="0"/>
                <w14:ligatures w14:val="none"/>
              </w:rPr>
              <w:t>FCR</w:t>
            </w:r>
          </w:p>
        </w:tc>
        <w:tc>
          <w:tcPr>
            <w:tcW w:w="1843" w:type="dxa"/>
            <w:tcBorders>
              <w:top w:val="single" w:color="7E7E7E" w:themeColor="text1" w:themeTint="80" w:sz="4" w:space="0"/>
              <w:bottom w:val="single" w:color="7E7E7E" w:themeColor="text1" w:themeTint="80" w:sz="4" w:space="0"/>
              <w:insideH w:val="single" w:sz="4" w:space="0"/>
            </w:tcBorders>
            <w:noWrap/>
          </w:tcPr>
          <w:p w14:paraId="3C26B1E1">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1.710 ± 0.020ᵃ</w:t>
            </w:r>
          </w:p>
        </w:tc>
        <w:tc>
          <w:tcPr>
            <w:tcW w:w="1985" w:type="dxa"/>
            <w:tcBorders>
              <w:top w:val="single" w:color="7E7E7E" w:themeColor="text1" w:themeTint="80" w:sz="4" w:space="0"/>
              <w:bottom w:val="single" w:color="7E7E7E" w:themeColor="text1" w:themeTint="80" w:sz="4" w:space="0"/>
              <w:insideH w:val="single" w:sz="4" w:space="0"/>
            </w:tcBorders>
            <w:noWrap/>
          </w:tcPr>
          <w:p w14:paraId="3382E506">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1.683 ± 0.045ᵃ</w:t>
            </w:r>
          </w:p>
        </w:tc>
        <w:tc>
          <w:tcPr>
            <w:tcW w:w="1842" w:type="dxa"/>
            <w:tcBorders>
              <w:top w:val="single" w:color="7E7E7E" w:themeColor="text1" w:themeTint="80" w:sz="4" w:space="0"/>
              <w:bottom w:val="single" w:color="7E7E7E" w:themeColor="text1" w:themeTint="80" w:sz="4" w:space="0"/>
              <w:insideH w:val="single" w:sz="4" w:space="0"/>
            </w:tcBorders>
            <w:noWrap/>
          </w:tcPr>
          <w:p w14:paraId="3F98DA51">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1.540 ± 0.044ᵇ</w:t>
            </w:r>
          </w:p>
        </w:tc>
        <w:tc>
          <w:tcPr>
            <w:tcW w:w="993" w:type="dxa"/>
            <w:tcBorders>
              <w:top w:val="single" w:color="7E7E7E" w:themeColor="text1" w:themeTint="80" w:sz="4" w:space="0"/>
              <w:bottom w:val="single" w:color="7E7E7E" w:themeColor="text1" w:themeTint="80" w:sz="4" w:space="0"/>
              <w:insideH w:val="single" w:sz="4" w:space="0"/>
            </w:tcBorders>
            <w:noWrap/>
          </w:tcPr>
          <w:p w14:paraId="65FC25AC">
            <w:pPr>
              <w:spacing w:after="0" w:line="240" w:lineRule="auto"/>
              <w:jc w:val="right"/>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0.003</w:t>
            </w:r>
          </w:p>
        </w:tc>
      </w:tr>
      <w:tr w14:paraId="0865539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68" w:type="dxa"/>
            <w:noWrap/>
          </w:tcPr>
          <w:p w14:paraId="0C41EB43">
            <w:pPr>
              <w:spacing w:after="0" w:line="240" w:lineRule="auto"/>
              <w:rPr>
                <w:rFonts w:ascii="Times New Roman" w:hAnsi="Times New Roman" w:eastAsia="Times New Roman" w:cs="Times New Roman"/>
                <w:b/>
                <w:bCs/>
                <w:color w:val="000000"/>
                <w:kern w:val="0"/>
                <w14:ligatures w14:val="none"/>
              </w:rPr>
            </w:pPr>
            <w:r>
              <w:rPr>
                <w:rFonts w:ascii="Times New Roman" w:hAnsi="Times New Roman" w:eastAsia="Times New Roman" w:cs="Times New Roman"/>
                <w:b/>
                <w:bCs/>
                <w:color w:val="000000"/>
                <w:kern w:val="0"/>
                <w14:ligatures w14:val="none"/>
              </w:rPr>
              <w:t>FCE</w:t>
            </w:r>
          </w:p>
        </w:tc>
        <w:tc>
          <w:tcPr>
            <w:tcW w:w="1843" w:type="dxa"/>
            <w:noWrap/>
          </w:tcPr>
          <w:p w14:paraId="57EB2DF9">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0.585 ± 0.007ᵃ</w:t>
            </w:r>
          </w:p>
        </w:tc>
        <w:tc>
          <w:tcPr>
            <w:tcW w:w="1985" w:type="dxa"/>
            <w:noWrap/>
          </w:tcPr>
          <w:p w14:paraId="744F91FB">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0.594 ± 0.016ᵃ</w:t>
            </w:r>
          </w:p>
        </w:tc>
        <w:tc>
          <w:tcPr>
            <w:tcW w:w="1842" w:type="dxa"/>
            <w:noWrap/>
          </w:tcPr>
          <w:p w14:paraId="2BA032EF">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0.649 ± 0.018ᵇ</w:t>
            </w:r>
          </w:p>
        </w:tc>
        <w:tc>
          <w:tcPr>
            <w:tcW w:w="993" w:type="dxa"/>
            <w:noWrap/>
          </w:tcPr>
          <w:p w14:paraId="3BCED244">
            <w:pPr>
              <w:spacing w:after="0" w:line="240" w:lineRule="auto"/>
              <w:jc w:val="right"/>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0.003</w:t>
            </w:r>
          </w:p>
        </w:tc>
      </w:tr>
      <w:tr w14:paraId="30D8E1B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2268" w:type="dxa"/>
            <w:tcBorders>
              <w:top w:val="single" w:color="7E7E7E" w:themeColor="text1" w:themeTint="80" w:sz="4" w:space="0"/>
              <w:bottom w:val="single" w:color="7E7E7E" w:themeColor="text1" w:themeTint="80" w:sz="4" w:space="0"/>
              <w:insideH w:val="single" w:sz="4" w:space="0"/>
            </w:tcBorders>
            <w:noWrap/>
          </w:tcPr>
          <w:p w14:paraId="3243CBDA">
            <w:pPr>
              <w:spacing w:after="0" w:line="240" w:lineRule="auto"/>
              <w:rPr>
                <w:rFonts w:ascii="Times New Roman" w:hAnsi="Times New Roman" w:eastAsia="Times New Roman" w:cs="Times New Roman"/>
                <w:b/>
                <w:bCs/>
                <w:color w:val="000000"/>
                <w:kern w:val="0"/>
                <w14:ligatures w14:val="none"/>
              </w:rPr>
            </w:pPr>
            <w:r>
              <w:rPr>
                <w:rFonts w:ascii="Times New Roman" w:hAnsi="Times New Roman" w:eastAsia="Times New Roman" w:cs="Times New Roman"/>
                <w:b/>
                <w:bCs/>
                <w:color w:val="000000"/>
                <w:kern w:val="0"/>
                <w14:ligatures w14:val="none"/>
              </w:rPr>
              <w:t>FCEP (%)</w:t>
            </w:r>
          </w:p>
        </w:tc>
        <w:tc>
          <w:tcPr>
            <w:tcW w:w="1843" w:type="dxa"/>
            <w:tcBorders>
              <w:top w:val="single" w:color="7E7E7E" w:themeColor="text1" w:themeTint="80" w:sz="4" w:space="0"/>
              <w:bottom w:val="single" w:color="7E7E7E" w:themeColor="text1" w:themeTint="80" w:sz="4" w:space="0"/>
              <w:insideH w:val="single" w:sz="4" w:space="0"/>
            </w:tcBorders>
            <w:noWrap/>
          </w:tcPr>
          <w:p w14:paraId="6DF02C6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58.48 ± 0.69ᵃ</w:t>
            </w:r>
          </w:p>
        </w:tc>
        <w:tc>
          <w:tcPr>
            <w:tcW w:w="1985" w:type="dxa"/>
            <w:tcBorders>
              <w:top w:val="single" w:color="7E7E7E" w:themeColor="text1" w:themeTint="80" w:sz="4" w:space="0"/>
              <w:bottom w:val="single" w:color="7E7E7E" w:themeColor="text1" w:themeTint="80" w:sz="4" w:space="0"/>
              <w:insideH w:val="single" w:sz="4" w:space="0"/>
            </w:tcBorders>
            <w:noWrap/>
          </w:tcPr>
          <w:p w14:paraId="31E567AE">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59.43 ± 1.59ᵃ</w:t>
            </w:r>
          </w:p>
        </w:tc>
        <w:tc>
          <w:tcPr>
            <w:tcW w:w="1842" w:type="dxa"/>
            <w:tcBorders>
              <w:top w:val="single" w:color="7E7E7E" w:themeColor="text1" w:themeTint="80" w:sz="4" w:space="0"/>
              <w:bottom w:val="single" w:color="7E7E7E" w:themeColor="text1" w:themeTint="80" w:sz="4" w:space="0"/>
              <w:insideH w:val="single" w:sz="4" w:space="0"/>
            </w:tcBorders>
            <w:noWrap/>
          </w:tcPr>
          <w:p w14:paraId="48C75175">
            <w:pPr>
              <w:spacing w:after="0" w:line="240" w:lineRule="auto"/>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64.97 ± 1.81ᵇ</w:t>
            </w:r>
          </w:p>
        </w:tc>
        <w:tc>
          <w:tcPr>
            <w:tcW w:w="993" w:type="dxa"/>
            <w:tcBorders>
              <w:top w:val="single" w:color="7E7E7E" w:themeColor="text1" w:themeTint="80" w:sz="4" w:space="0"/>
              <w:bottom w:val="single" w:color="7E7E7E" w:themeColor="text1" w:themeTint="80" w:sz="4" w:space="0"/>
              <w:insideH w:val="single" w:sz="4" w:space="0"/>
            </w:tcBorders>
            <w:noWrap/>
          </w:tcPr>
          <w:p w14:paraId="218CC7C7">
            <w:pPr>
              <w:spacing w:after="0" w:line="240" w:lineRule="auto"/>
              <w:jc w:val="right"/>
              <w:rPr>
                <w:rFonts w:ascii="Times New Roman" w:hAnsi="Times New Roman" w:eastAsia="Times New Roman" w:cs="Times New Roman"/>
                <w:color w:val="000000"/>
                <w:kern w:val="0"/>
                <w14:ligatures w14:val="none"/>
              </w:rPr>
            </w:pPr>
            <w:r>
              <w:rPr>
                <w:rFonts w:ascii="Times New Roman" w:hAnsi="Times New Roman" w:eastAsia="Times New Roman" w:cs="Times New Roman"/>
                <w:color w:val="000000"/>
                <w:kern w:val="0"/>
                <w14:ligatures w14:val="none"/>
              </w:rPr>
              <w:t>0.003</w:t>
            </w:r>
          </w:p>
        </w:tc>
      </w:tr>
    </w:tbl>
    <w:p w14:paraId="62F33DED">
      <w:pPr>
        <w:spacing w:line="240" w:lineRule="auto"/>
        <w:rPr>
          <w:rFonts w:ascii="Times New Roman" w:hAnsi="Times New Roman" w:cs="Times New Roman"/>
          <w:b/>
          <w:bCs/>
        </w:rPr>
      </w:pPr>
      <w:r>
        <w:rPr>
          <w:rFonts w:ascii="Times New Roman" w:hAnsi="Times New Roman" w:cs="Times New Roman"/>
        </w:rPr>
        <w:t>Values are presented as mean ± SD (n = 3 replicate tanks per treatment). Different superscript letters within the same row indicate significant differences among treatments, as determined by Duncan’s multiple range test (P &lt; 0.05). FCR, feed conversion ratio; FCE, feed conversion efficiency; FCEP, feed conversion efficiency percentage.</w:t>
      </w:r>
    </w:p>
    <w:p w14:paraId="13DF3B51">
      <w:pPr>
        <w:spacing w:line="240" w:lineRule="auto"/>
        <w:rPr>
          <w:rFonts w:ascii="Times New Roman" w:hAnsi="Times New Roman" w:cs="Times New Roman"/>
          <w:b/>
          <w:bCs/>
        </w:rPr>
      </w:pPr>
      <w:r>
        <w:rPr>
          <w:rFonts w:ascii="Times New Roman" w:hAnsi="Times New Roman" w:cs="Times New Roman"/>
          <w:b/>
          <w:bCs/>
        </w:rPr>
        <w:t>3.3. Water quality parameters</w:t>
      </w:r>
    </w:p>
    <w:p w14:paraId="75F33DBB">
      <w:pPr>
        <w:spacing w:line="240" w:lineRule="auto"/>
        <w:jc w:val="both"/>
        <w:rPr>
          <w:rFonts w:ascii="Times New Roman" w:hAnsi="Times New Roman" w:cs="Times New Roman"/>
        </w:rPr>
      </w:pPr>
      <w:r>
        <w:rPr>
          <w:rFonts w:ascii="Times New Roman" w:hAnsi="Times New Roman" w:cs="Times New Roman"/>
        </w:rPr>
        <w:t>The recorded water-quality parameters during the experimental period are summarized in Table 6. Dissolved oxygen ranged from 6.54 to 6.83 mg L⁻¹, while pH ranged from 8.0 to 8.1. Water temperature varied from 29.5 to 31.0 °C across the three treatments. Total alkalinity ranged from 166 to 170 mg L⁻¹, and total hardness ranged from 690 to 766 mg L⁻¹. Total ammonia nitrogen ranged from 0.16 to 0.21 mg L⁻¹, with the highest recorded value in T3. These measurements describe the water-quality conditions under which the feeding trial was conducted.</w:t>
      </w:r>
    </w:p>
    <w:p w14:paraId="1F861E1F">
      <w:pPr>
        <w:spacing w:line="240" w:lineRule="auto"/>
        <w:jc w:val="both"/>
        <w:rPr>
          <w:rFonts w:ascii="Times New Roman" w:hAnsi="Times New Roman" w:cs="Times New Roman"/>
        </w:rPr>
      </w:pPr>
      <w:r>
        <w:rPr>
          <w:rFonts w:ascii="Times New Roman" w:hAnsi="Times New Roman" w:cs="Times New Roman"/>
        </w:rPr>
        <w:t>Table 5. Water Quality Parameters for milkfish (</w:t>
      </w:r>
      <w:r>
        <w:rPr>
          <w:rFonts w:ascii="Times New Roman" w:hAnsi="Times New Roman" w:cs="Times New Roman"/>
          <w:i/>
          <w:iCs/>
        </w:rPr>
        <w:t>Chanos chanos</w:t>
      </w:r>
      <w:r>
        <w:rPr>
          <w:rFonts w:ascii="Times New Roman" w:hAnsi="Times New Roman" w:cs="Times New Roman"/>
        </w:rPr>
        <w:t>) fry fed experimental diets for 90 days</w:t>
      </w:r>
    </w:p>
    <w:tbl>
      <w:tblPr>
        <w:tblStyle w:val="50"/>
        <w:tblW w:w="0" w:type="auto"/>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72"/>
        <w:gridCol w:w="2126"/>
        <w:gridCol w:w="2127"/>
        <w:gridCol w:w="1791"/>
      </w:tblGrid>
      <w:tr w14:paraId="699DAD1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Borders>
              <w:bottom w:val="single" w:color="7E7E7E" w:themeColor="text1" w:themeTint="80" w:sz="4" w:space="0"/>
              <w:insideH w:val="single" w:sz="4" w:space="0"/>
            </w:tcBorders>
          </w:tcPr>
          <w:p w14:paraId="217860E8">
            <w:pPr>
              <w:spacing w:after="0" w:line="240" w:lineRule="auto"/>
              <w:rPr>
                <w:rFonts w:ascii="Times New Roman" w:hAnsi="Times New Roman" w:cs="Times New Roman"/>
                <w:b w:val="0"/>
                <w:bCs w:val="0"/>
              </w:rPr>
            </w:pPr>
            <w:r>
              <w:rPr>
                <w:rFonts w:ascii="Times New Roman" w:hAnsi="Times New Roman" w:cs="Times New Roman"/>
                <w:b/>
                <w:bCs/>
              </w:rPr>
              <w:t>Treatments</w:t>
            </w:r>
          </w:p>
        </w:tc>
        <w:tc>
          <w:tcPr>
            <w:tcW w:w="2126" w:type="dxa"/>
            <w:vMerge w:val="restart"/>
            <w:tcBorders>
              <w:bottom w:val="single" w:color="7E7E7E" w:themeColor="text1" w:themeTint="80" w:sz="4" w:space="0"/>
              <w:insideH w:val="single" w:sz="4" w:space="0"/>
            </w:tcBorders>
          </w:tcPr>
          <w:p w14:paraId="222A567D">
            <w:pPr>
              <w:spacing w:after="0" w:line="240" w:lineRule="auto"/>
              <w:rPr>
                <w:rFonts w:ascii="Times New Roman" w:hAnsi="Times New Roman" w:cs="Times New Roman"/>
                <w:b w:val="0"/>
                <w:bCs w:val="0"/>
              </w:rPr>
            </w:pPr>
            <w:r>
              <w:rPr>
                <w:rFonts w:ascii="Times New Roman" w:hAnsi="Times New Roman" w:cs="Times New Roman"/>
                <w:b/>
                <w:bCs/>
              </w:rPr>
              <w:t>T</w:t>
            </w:r>
            <w:r>
              <w:rPr>
                <w:rFonts w:ascii="Times New Roman" w:hAnsi="Times New Roman" w:cs="Times New Roman"/>
                <w:b/>
                <w:bCs/>
                <w:vertAlign w:val="subscript"/>
              </w:rPr>
              <w:t>1</w:t>
            </w:r>
          </w:p>
        </w:tc>
        <w:tc>
          <w:tcPr>
            <w:tcW w:w="2127" w:type="dxa"/>
            <w:vMerge w:val="restart"/>
            <w:tcBorders>
              <w:bottom w:val="single" w:color="7E7E7E" w:themeColor="text1" w:themeTint="80" w:sz="4" w:space="0"/>
              <w:insideH w:val="single" w:sz="4" w:space="0"/>
            </w:tcBorders>
          </w:tcPr>
          <w:p w14:paraId="4D44ACD9">
            <w:pPr>
              <w:spacing w:after="0" w:line="240" w:lineRule="auto"/>
              <w:rPr>
                <w:rFonts w:ascii="Times New Roman" w:hAnsi="Times New Roman" w:cs="Times New Roman"/>
                <w:b w:val="0"/>
                <w:bCs w:val="0"/>
              </w:rPr>
            </w:pPr>
            <w:r>
              <w:rPr>
                <w:rFonts w:ascii="Times New Roman" w:hAnsi="Times New Roman" w:cs="Times New Roman"/>
                <w:b/>
                <w:bCs/>
              </w:rPr>
              <w:t>T</w:t>
            </w:r>
            <w:r>
              <w:rPr>
                <w:rFonts w:ascii="Times New Roman" w:hAnsi="Times New Roman" w:cs="Times New Roman"/>
                <w:b/>
                <w:bCs/>
                <w:vertAlign w:val="subscript"/>
              </w:rPr>
              <w:t>2</w:t>
            </w:r>
          </w:p>
        </w:tc>
        <w:tc>
          <w:tcPr>
            <w:tcW w:w="1791" w:type="dxa"/>
            <w:vMerge w:val="restart"/>
            <w:tcBorders>
              <w:bottom w:val="single" w:color="7E7E7E" w:themeColor="text1" w:themeTint="80" w:sz="4" w:space="0"/>
              <w:insideH w:val="single" w:sz="4" w:space="0"/>
            </w:tcBorders>
          </w:tcPr>
          <w:p w14:paraId="5EA7E233">
            <w:pPr>
              <w:spacing w:after="0" w:line="240" w:lineRule="auto"/>
              <w:rPr>
                <w:rFonts w:ascii="Times New Roman" w:hAnsi="Times New Roman" w:cs="Times New Roman"/>
                <w:b w:val="0"/>
                <w:bCs w:val="0"/>
              </w:rPr>
            </w:pPr>
            <w:r>
              <w:rPr>
                <w:rFonts w:ascii="Times New Roman" w:hAnsi="Times New Roman" w:cs="Times New Roman"/>
                <w:b/>
                <w:bCs/>
              </w:rPr>
              <w:t>T</w:t>
            </w:r>
            <w:r>
              <w:rPr>
                <w:rFonts w:ascii="Times New Roman" w:hAnsi="Times New Roman" w:cs="Times New Roman"/>
                <w:b/>
                <w:bCs/>
                <w:vertAlign w:val="subscript"/>
              </w:rPr>
              <w:t>3</w:t>
            </w:r>
          </w:p>
        </w:tc>
      </w:tr>
      <w:tr w14:paraId="24B450F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Borders>
              <w:top w:val="single" w:color="7E7E7E" w:themeColor="text1" w:themeTint="80" w:sz="4" w:space="0"/>
              <w:bottom w:val="single" w:color="7E7E7E" w:themeColor="text1" w:themeTint="80" w:sz="4" w:space="0"/>
              <w:insideH w:val="single" w:sz="4" w:space="0"/>
            </w:tcBorders>
          </w:tcPr>
          <w:p w14:paraId="61075BFF">
            <w:pPr>
              <w:spacing w:after="0" w:line="240" w:lineRule="auto"/>
              <w:rPr>
                <w:rFonts w:ascii="Times New Roman" w:hAnsi="Times New Roman" w:cs="Times New Roman"/>
                <w:b w:val="0"/>
                <w:bCs w:val="0"/>
              </w:rPr>
            </w:pPr>
            <w:r>
              <w:rPr>
                <w:rFonts w:ascii="Times New Roman" w:hAnsi="Times New Roman" w:cs="Times New Roman"/>
                <w:b/>
                <w:bCs/>
              </w:rPr>
              <w:t>Parameters</w:t>
            </w:r>
          </w:p>
        </w:tc>
        <w:tc>
          <w:tcPr>
            <w:tcW w:w="2126" w:type="dxa"/>
            <w:vMerge w:val="continue"/>
            <w:tcBorders>
              <w:top w:val="single" w:color="7E7E7E" w:themeColor="text1" w:themeTint="80" w:sz="4" w:space="0"/>
              <w:bottom w:val="single" w:color="7E7E7E" w:themeColor="text1" w:themeTint="80" w:sz="4" w:space="0"/>
              <w:insideH w:val="single" w:sz="4" w:space="0"/>
            </w:tcBorders>
          </w:tcPr>
          <w:p w14:paraId="72612864">
            <w:pPr>
              <w:spacing w:after="0" w:line="240" w:lineRule="auto"/>
              <w:rPr>
                <w:rFonts w:ascii="Times New Roman" w:hAnsi="Times New Roman" w:cs="Times New Roman"/>
                <w:b/>
                <w:bCs/>
              </w:rPr>
            </w:pPr>
          </w:p>
        </w:tc>
        <w:tc>
          <w:tcPr>
            <w:tcW w:w="2127" w:type="dxa"/>
            <w:vMerge w:val="continue"/>
            <w:tcBorders>
              <w:top w:val="single" w:color="7E7E7E" w:themeColor="text1" w:themeTint="80" w:sz="4" w:space="0"/>
              <w:bottom w:val="single" w:color="7E7E7E" w:themeColor="text1" w:themeTint="80" w:sz="4" w:space="0"/>
              <w:insideH w:val="single" w:sz="4" w:space="0"/>
            </w:tcBorders>
          </w:tcPr>
          <w:p w14:paraId="14576D9B">
            <w:pPr>
              <w:spacing w:after="0" w:line="240" w:lineRule="auto"/>
              <w:rPr>
                <w:rFonts w:ascii="Times New Roman" w:hAnsi="Times New Roman" w:cs="Times New Roman"/>
                <w:b/>
                <w:bCs/>
              </w:rPr>
            </w:pPr>
          </w:p>
        </w:tc>
        <w:tc>
          <w:tcPr>
            <w:tcW w:w="1791" w:type="dxa"/>
            <w:vMerge w:val="continue"/>
            <w:tcBorders>
              <w:top w:val="single" w:color="7E7E7E" w:themeColor="text1" w:themeTint="80" w:sz="4" w:space="0"/>
              <w:bottom w:val="single" w:color="7E7E7E" w:themeColor="text1" w:themeTint="80" w:sz="4" w:space="0"/>
              <w:insideH w:val="single" w:sz="4" w:space="0"/>
            </w:tcBorders>
          </w:tcPr>
          <w:p w14:paraId="79148EB9">
            <w:pPr>
              <w:spacing w:after="0" w:line="240" w:lineRule="auto"/>
              <w:rPr>
                <w:rFonts w:ascii="Times New Roman" w:hAnsi="Times New Roman" w:cs="Times New Roman"/>
                <w:b/>
                <w:bCs/>
              </w:rPr>
            </w:pPr>
          </w:p>
        </w:tc>
      </w:tr>
      <w:tr w14:paraId="555C123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Pr>
          <w:p w14:paraId="34939E1A">
            <w:pPr>
              <w:spacing w:after="0" w:line="240" w:lineRule="auto"/>
              <w:rPr>
                <w:rFonts w:ascii="Times New Roman" w:hAnsi="Times New Roman" w:cs="Times New Roman"/>
                <w:b/>
                <w:bCs/>
              </w:rPr>
            </w:pPr>
            <w:r>
              <w:rPr>
                <w:rFonts w:ascii="Times New Roman" w:hAnsi="Times New Roman" w:cs="Times New Roman"/>
                <w:b/>
                <w:bCs/>
              </w:rPr>
              <w:t>DO</w:t>
            </w:r>
          </w:p>
        </w:tc>
        <w:tc>
          <w:tcPr>
            <w:tcW w:w="2126" w:type="dxa"/>
          </w:tcPr>
          <w:p w14:paraId="1E251B06">
            <w:pPr>
              <w:spacing w:after="0" w:line="240" w:lineRule="auto"/>
              <w:rPr>
                <w:rFonts w:ascii="Times New Roman" w:hAnsi="Times New Roman" w:cs="Times New Roman"/>
              </w:rPr>
            </w:pPr>
            <w:r>
              <w:rPr>
                <w:rFonts w:ascii="Times New Roman" w:hAnsi="Times New Roman" w:cs="Times New Roman"/>
              </w:rPr>
              <w:t>6.54</w:t>
            </w:r>
          </w:p>
        </w:tc>
        <w:tc>
          <w:tcPr>
            <w:tcW w:w="2127" w:type="dxa"/>
          </w:tcPr>
          <w:p w14:paraId="108A64EA">
            <w:pPr>
              <w:spacing w:after="0" w:line="240" w:lineRule="auto"/>
              <w:rPr>
                <w:rFonts w:ascii="Times New Roman" w:hAnsi="Times New Roman" w:cs="Times New Roman"/>
              </w:rPr>
            </w:pPr>
            <w:r>
              <w:rPr>
                <w:rFonts w:ascii="Times New Roman" w:hAnsi="Times New Roman" w:cs="Times New Roman"/>
              </w:rPr>
              <w:t>6.83</w:t>
            </w:r>
          </w:p>
        </w:tc>
        <w:tc>
          <w:tcPr>
            <w:tcW w:w="1791" w:type="dxa"/>
          </w:tcPr>
          <w:p w14:paraId="284E0D2C">
            <w:pPr>
              <w:spacing w:after="0" w:line="240" w:lineRule="auto"/>
              <w:rPr>
                <w:rFonts w:ascii="Times New Roman" w:hAnsi="Times New Roman" w:cs="Times New Roman"/>
              </w:rPr>
            </w:pPr>
            <w:r>
              <w:rPr>
                <w:rFonts w:ascii="Times New Roman" w:hAnsi="Times New Roman" w:cs="Times New Roman"/>
              </w:rPr>
              <w:t>6.62</w:t>
            </w:r>
          </w:p>
        </w:tc>
      </w:tr>
      <w:tr w14:paraId="7E86D51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Borders>
              <w:top w:val="single" w:color="7E7E7E" w:themeColor="text1" w:themeTint="80" w:sz="4" w:space="0"/>
              <w:bottom w:val="single" w:color="7E7E7E" w:themeColor="text1" w:themeTint="80" w:sz="4" w:space="0"/>
              <w:insideH w:val="single" w:sz="4" w:space="0"/>
            </w:tcBorders>
          </w:tcPr>
          <w:p w14:paraId="4834DCBE">
            <w:pPr>
              <w:spacing w:after="0" w:line="240" w:lineRule="auto"/>
              <w:rPr>
                <w:rFonts w:ascii="Times New Roman" w:hAnsi="Times New Roman" w:cs="Times New Roman"/>
                <w:b/>
                <w:bCs/>
              </w:rPr>
            </w:pPr>
            <w:r>
              <w:rPr>
                <w:rFonts w:ascii="Times New Roman" w:hAnsi="Times New Roman" w:cs="Times New Roman"/>
                <w:b/>
                <w:bCs/>
              </w:rPr>
              <w:t>pH</w:t>
            </w:r>
          </w:p>
        </w:tc>
        <w:tc>
          <w:tcPr>
            <w:tcW w:w="2126" w:type="dxa"/>
            <w:tcBorders>
              <w:top w:val="single" w:color="7E7E7E" w:themeColor="text1" w:themeTint="80" w:sz="4" w:space="0"/>
              <w:bottom w:val="single" w:color="7E7E7E" w:themeColor="text1" w:themeTint="80" w:sz="4" w:space="0"/>
              <w:insideH w:val="single" w:sz="4" w:space="0"/>
            </w:tcBorders>
          </w:tcPr>
          <w:p w14:paraId="2F054768">
            <w:pPr>
              <w:spacing w:after="0" w:line="240" w:lineRule="auto"/>
              <w:rPr>
                <w:rFonts w:ascii="Times New Roman" w:hAnsi="Times New Roman" w:cs="Times New Roman"/>
              </w:rPr>
            </w:pPr>
            <w:r>
              <w:rPr>
                <w:rFonts w:ascii="Times New Roman" w:hAnsi="Times New Roman" w:cs="Times New Roman"/>
              </w:rPr>
              <w:t>8.1</w:t>
            </w:r>
          </w:p>
        </w:tc>
        <w:tc>
          <w:tcPr>
            <w:tcW w:w="2127" w:type="dxa"/>
            <w:tcBorders>
              <w:top w:val="single" w:color="7E7E7E" w:themeColor="text1" w:themeTint="80" w:sz="4" w:space="0"/>
              <w:bottom w:val="single" w:color="7E7E7E" w:themeColor="text1" w:themeTint="80" w:sz="4" w:space="0"/>
              <w:insideH w:val="single" w:sz="4" w:space="0"/>
            </w:tcBorders>
          </w:tcPr>
          <w:p w14:paraId="78912736">
            <w:pPr>
              <w:spacing w:after="0" w:line="240" w:lineRule="auto"/>
              <w:rPr>
                <w:rFonts w:ascii="Times New Roman" w:hAnsi="Times New Roman" w:cs="Times New Roman"/>
              </w:rPr>
            </w:pPr>
            <w:r>
              <w:rPr>
                <w:rFonts w:ascii="Times New Roman" w:hAnsi="Times New Roman" w:cs="Times New Roman"/>
              </w:rPr>
              <w:t>8.0</w:t>
            </w:r>
          </w:p>
        </w:tc>
        <w:tc>
          <w:tcPr>
            <w:tcW w:w="1791" w:type="dxa"/>
            <w:tcBorders>
              <w:top w:val="single" w:color="7E7E7E" w:themeColor="text1" w:themeTint="80" w:sz="4" w:space="0"/>
              <w:bottom w:val="single" w:color="7E7E7E" w:themeColor="text1" w:themeTint="80" w:sz="4" w:space="0"/>
              <w:insideH w:val="single" w:sz="4" w:space="0"/>
            </w:tcBorders>
          </w:tcPr>
          <w:p w14:paraId="739A38ED">
            <w:pPr>
              <w:spacing w:after="0" w:line="240" w:lineRule="auto"/>
              <w:rPr>
                <w:rFonts w:ascii="Times New Roman" w:hAnsi="Times New Roman" w:cs="Times New Roman"/>
              </w:rPr>
            </w:pPr>
            <w:r>
              <w:rPr>
                <w:rFonts w:ascii="Times New Roman" w:hAnsi="Times New Roman" w:cs="Times New Roman"/>
              </w:rPr>
              <w:t>8.1</w:t>
            </w:r>
          </w:p>
        </w:tc>
      </w:tr>
      <w:tr w14:paraId="36E884D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Pr>
          <w:p w14:paraId="15AA5423">
            <w:pPr>
              <w:spacing w:after="0" w:line="240" w:lineRule="auto"/>
              <w:rPr>
                <w:rFonts w:ascii="Times New Roman" w:hAnsi="Times New Roman" w:cs="Times New Roman"/>
                <w:b/>
                <w:bCs/>
              </w:rPr>
            </w:pPr>
            <w:r>
              <w:rPr>
                <w:rFonts w:ascii="Times New Roman" w:hAnsi="Times New Roman" w:cs="Times New Roman"/>
                <w:b/>
                <w:bCs/>
              </w:rPr>
              <w:t>Temperature</w:t>
            </w:r>
          </w:p>
        </w:tc>
        <w:tc>
          <w:tcPr>
            <w:tcW w:w="2126" w:type="dxa"/>
          </w:tcPr>
          <w:p w14:paraId="426A88C6">
            <w:pPr>
              <w:spacing w:after="0" w:line="240" w:lineRule="auto"/>
              <w:rPr>
                <w:rFonts w:ascii="Times New Roman" w:hAnsi="Times New Roman" w:cs="Times New Roman"/>
              </w:rPr>
            </w:pPr>
            <w:r>
              <w:rPr>
                <w:rFonts w:ascii="Times New Roman" w:hAnsi="Times New Roman" w:cs="Times New Roman"/>
              </w:rPr>
              <w:t>29.5</w:t>
            </w:r>
          </w:p>
        </w:tc>
        <w:tc>
          <w:tcPr>
            <w:tcW w:w="2127" w:type="dxa"/>
          </w:tcPr>
          <w:p w14:paraId="0C0DE767">
            <w:pPr>
              <w:spacing w:after="0" w:line="240" w:lineRule="auto"/>
              <w:rPr>
                <w:rFonts w:ascii="Times New Roman" w:hAnsi="Times New Roman" w:cs="Times New Roman"/>
              </w:rPr>
            </w:pPr>
            <w:r>
              <w:rPr>
                <w:rFonts w:ascii="Times New Roman" w:hAnsi="Times New Roman" w:cs="Times New Roman"/>
              </w:rPr>
              <w:t>31.0</w:t>
            </w:r>
          </w:p>
        </w:tc>
        <w:tc>
          <w:tcPr>
            <w:tcW w:w="1791" w:type="dxa"/>
          </w:tcPr>
          <w:p w14:paraId="0C731B3C">
            <w:pPr>
              <w:spacing w:after="0" w:line="240" w:lineRule="auto"/>
              <w:rPr>
                <w:rFonts w:ascii="Times New Roman" w:hAnsi="Times New Roman" w:cs="Times New Roman"/>
              </w:rPr>
            </w:pPr>
            <w:r>
              <w:rPr>
                <w:rFonts w:ascii="Times New Roman" w:hAnsi="Times New Roman" w:cs="Times New Roman"/>
              </w:rPr>
              <w:t>30.5</w:t>
            </w:r>
          </w:p>
        </w:tc>
      </w:tr>
      <w:tr w14:paraId="26C2EEF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Borders>
              <w:top w:val="single" w:color="7E7E7E" w:themeColor="text1" w:themeTint="80" w:sz="4" w:space="0"/>
              <w:bottom w:val="single" w:color="7E7E7E" w:themeColor="text1" w:themeTint="80" w:sz="4" w:space="0"/>
              <w:insideH w:val="single" w:sz="4" w:space="0"/>
            </w:tcBorders>
          </w:tcPr>
          <w:p w14:paraId="113D2737">
            <w:pPr>
              <w:spacing w:after="0" w:line="240" w:lineRule="auto"/>
              <w:rPr>
                <w:rFonts w:ascii="Times New Roman" w:hAnsi="Times New Roman" w:cs="Times New Roman"/>
                <w:b/>
                <w:bCs/>
              </w:rPr>
            </w:pPr>
            <w:r>
              <w:rPr>
                <w:rFonts w:ascii="Times New Roman" w:hAnsi="Times New Roman" w:cs="Times New Roman"/>
                <w:b/>
                <w:bCs/>
              </w:rPr>
              <w:t>Alkalinity</w:t>
            </w:r>
          </w:p>
        </w:tc>
        <w:tc>
          <w:tcPr>
            <w:tcW w:w="2126" w:type="dxa"/>
            <w:tcBorders>
              <w:top w:val="single" w:color="7E7E7E" w:themeColor="text1" w:themeTint="80" w:sz="4" w:space="0"/>
              <w:bottom w:val="single" w:color="7E7E7E" w:themeColor="text1" w:themeTint="80" w:sz="4" w:space="0"/>
              <w:insideH w:val="single" w:sz="4" w:space="0"/>
            </w:tcBorders>
          </w:tcPr>
          <w:p w14:paraId="72162D2A">
            <w:pPr>
              <w:spacing w:after="0" w:line="240" w:lineRule="auto"/>
              <w:rPr>
                <w:rFonts w:ascii="Times New Roman" w:hAnsi="Times New Roman" w:cs="Times New Roman"/>
              </w:rPr>
            </w:pPr>
            <w:r>
              <w:rPr>
                <w:rFonts w:ascii="Times New Roman" w:hAnsi="Times New Roman" w:cs="Times New Roman"/>
              </w:rPr>
              <w:t>167</w:t>
            </w:r>
          </w:p>
        </w:tc>
        <w:tc>
          <w:tcPr>
            <w:tcW w:w="2127" w:type="dxa"/>
            <w:tcBorders>
              <w:top w:val="single" w:color="7E7E7E" w:themeColor="text1" w:themeTint="80" w:sz="4" w:space="0"/>
              <w:bottom w:val="single" w:color="7E7E7E" w:themeColor="text1" w:themeTint="80" w:sz="4" w:space="0"/>
              <w:insideH w:val="single" w:sz="4" w:space="0"/>
            </w:tcBorders>
          </w:tcPr>
          <w:p w14:paraId="57CF8956">
            <w:pPr>
              <w:spacing w:after="0" w:line="240" w:lineRule="auto"/>
              <w:rPr>
                <w:rFonts w:ascii="Times New Roman" w:hAnsi="Times New Roman" w:cs="Times New Roman"/>
              </w:rPr>
            </w:pPr>
            <w:r>
              <w:rPr>
                <w:rFonts w:ascii="Times New Roman" w:hAnsi="Times New Roman" w:cs="Times New Roman"/>
              </w:rPr>
              <w:t>166</w:t>
            </w:r>
          </w:p>
        </w:tc>
        <w:tc>
          <w:tcPr>
            <w:tcW w:w="1791" w:type="dxa"/>
            <w:tcBorders>
              <w:top w:val="single" w:color="7E7E7E" w:themeColor="text1" w:themeTint="80" w:sz="4" w:space="0"/>
              <w:bottom w:val="single" w:color="7E7E7E" w:themeColor="text1" w:themeTint="80" w:sz="4" w:space="0"/>
              <w:insideH w:val="single" w:sz="4" w:space="0"/>
            </w:tcBorders>
          </w:tcPr>
          <w:p w14:paraId="4FD4836E">
            <w:pPr>
              <w:spacing w:after="0" w:line="240" w:lineRule="auto"/>
              <w:rPr>
                <w:rFonts w:ascii="Times New Roman" w:hAnsi="Times New Roman" w:cs="Times New Roman"/>
              </w:rPr>
            </w:pPr>
            <w:r>
              <w:rPr>
                <w:rFonts w:ascii="Times New Roman" w:hAnsi="Times New Roman" w:cs="Times New Roman"/>
              </w:rPr>
              <w:t>170</w:t>
            </w:r>
          </w:p>
        </w:tc>
      </w:tr>
      <w:tr w14:paraId="19A34F1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Pr>
          <w:p w14:paraId="1F56A265">
            <w:pPr>
              <w:spacing w:after="0" w:line="240" w:lineRule="auto"/>
              <w:rPr>
                <w:rFonts w:ascii="Times New Roman" w:hAnsi="Times New Roman" w:cs="Times New Roman"/>
                <w:b/>
                <w:bCs/>
              </w:rPr>
            </w:pPr>
            <w:r>
              <w:rPr>
                <w:rFonts w:ascii="Times New Roman" w:hAnsi="Times New Roman" w:cs="Times New Roman"/>
                <w:b/>
                <w:bCs/>
              </w:rPr>
              <w:t>Hardness</w:t>
            </w:r>
          </w:p>
        </w:tc>
        <w:tc>
          <w:tcPr>
            <w:tcW w:w="2126" w:type="dxa"/>
          </w:tcPr>
          <w:p w14:paraId="59A0D1A9">
            <w:pPr>
              <w:spacing w:after="0" w:line="240" w:lineRule="auto"/>
              <w:rPr>
                <w:rFonts w:ascii="Times New Roman" w:hAnsi="Times New Roman" w:cs="Times New Roman"/>
              </w:rPr>
            </w:pPr>
            <w:r>
              <w:rPr>
                <w:rFonts w:ascii="Times New Roman" w:hAnsi="Times New Roman" w:cs="Times New Roman"/>
              </w:rPr>
              <w:t>720</w:t>
            </w:r>
          </w:p>
        </w:tc>
        <w:tc>
          <w:tcPr>
            <w:tcW w:w="2127" w:type="dxa"/>
          </w:tcPr>
          <w:p w14:paraId="0998197D">
            <w:pPr>
              <w:spacing w:after="0" w:line="240" w:lineRule="auto"/>
              <w:rPr>
                <w:rFonts w:ascii="Times New Roman" w:hAnsi="Times New Roman" w:cs="Times New Roman"/>
              </w:rPr>
            </w:pPr>
            <w:r>
              <w:rPr>
                <w:rFonts w:ascii="Times New Roman" w:hAnsi="Times New Roman" w:cs="Times New Roman"/>
              </w:rPr>
              <w:t>766</w:t>
            </w:r>
          </w:p>
        </w:tc>
        <w:tc>
          <w:tcPr>
            <w:tcW w:w="1791" w:type="dxa"/>
          </w:tcPr>
          <w:p w14:paraId="2B1682C3">
            <w:pPr>
              <w:spacing w:after="0" w:line="240" w:lineRule="auto"/>
              <w:rPr>
                <w:rFonts w:ascii="Times New Roman" w:hAnsi="Times New Roman" w:cs="Times New Roman"/>
              </w:rPr>
            </w:pPr>
            <w:r>
              <w:rPr>
                <w:rFonts w:ascii="Times New Roman" w:hAnsi="Times New Roman" w:cs="Times New Roman"/>
              </w:rPr>
              <w:t>690</w:t>
            </w:r>
          </w:p>
        </w:tc>
      </w:tr>
      <w:tr w14:paraId="5EE6171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972" w:type="dxa"/>
            <w:tcBorders>
              <w:top w:val="single" w:color="7E7E7E" w:themeColor="text1" w:themeTint="80" w:sz="4" w:space="0"/>
              <w:bottom w:val="single" w:color="7E7E7E" w:themeColor="text1" w:themeTint="80" w:sz="4" w:space="0"/>
              <w:insideH w:val="single" w:sz="4" w:space="0"/>
            </w:tcBorders>
          </w:tcPr>
          <w:p w14:paraId="291D7CBF">
            <w:pPr>
              <w:spacing w:after="0" w:line="240" w:lineRule="auto"/>
              <w:rPr>
                <w:rFonts w:ascii="Times New Roman" w:hAnsi="Times New Roman" w:cs="Times New Roman"/>
                <w:b/>
                <w:bCs/>
              </w:rPr>
            </w:pPr>
            <w:r>
              <w:rPr>
                <w:rFonts w:ascii="Times New Roman" w:hAnsi="Times New Roman" w:cs="Times New Roman"/>
                <w:b/>
                <w:bCs/>
              </w:rPr>
              <w:t>Total Ammonia Nitrogen</w:t>
            </w:r>
          </w:p>
        </w:tc>
        <w:tc>
          <w:tcPr>
            <w:tcW w:w="2126" w:type="dxa"/>
            <w:tcBorders>
              <w:top w:val="single" w:color="7E7E7E" w:themeColor="text1" w:themeTint="80" w:sz="4" w:space="0"/>
              <w:bottom w:val="single" w:color="7E7E7E" w:themeColor="text1" w:themeTint="80" w:sz="4" w:space="0"/>
              <w:insideH w:val="single" w:sz="4" w:space="0"/>
            </w:tcBorders>
          </w:tcPr>
          <w:p w14:paraId="6B4773FD">
            <w:pPr>
              <w:spacing w:after="0" w:line="240" w:lineRule="auto"/>
              <w:rPr>
                <w:rFonts w:ascii="Times New Roman" w:hAnsi="Times New Roman" w:cs="Times New Roman"/>
              </w:rPr>
            </w:pPr>
            <w:r>
              <w:rPr>
                <w:rFonts w:ascii="Times New Roman" w:hAnsi="Times New Roman" w:cs="Times New Roman"/>
              </w:rPr>
              <w:t>0.16</w:t>
            </w:r>
          </w:p>
        </w:tc>
        <w:tc>
          <w:tcPr>
            <w:tcW w:w="2127" w:type="dxa"/>
            <w:tcBorders>
              <w:top w:val="single" w:color="7E7E7E" w:themeColor="text1" w:themeTint="80" w:sz="4" w:space="0"/>
              <w:bottom w:val="single" w:color="7E7E7E" w:themeColor="text1" w:themeTint="80" w:sz="4" w:space="0"/>
              <w:insideH w:val="single" w:sz="4" w:space="0"/>
            </w:tcBorders>
          </w:tcPr>
          <w:p w14:paraId="2F39B17D">
            <w:pPr>
              <w:spacing w:after="0" w:line="240" w:lineRule="auto"/>
              <w:rPr>
                <w:rFonts w:ascii="Times New Roman" w:hAnsi="Times New Roman" w:cs="Times New Roman"/>
              </w:rPr>
            </w:pPr>
            <w:r>
              <w:rPr>
                <w:rFonts w:ascii="Times New Roman" w:hAnsi="Times New Roman" w:cs="Times New Roman"/>
              </w:rPr>
              <w:t>0.18</w:t>
            </w:r>
          </w:p>
        </w:tc>
        <w:tc>
          <w:tcPr>
            <w:tcW w:w="1791" w:type="dxa"/>
            <w:tcBorders>
              <w:top w:val="single" w:color="7E7E7E" w:themeColor="text1" w:themeTint="80" w:sz="4" w:space="0"/>
              <w:bottom w:val="single" w:color="7E7E7E" w:themeColor="text1" w:themeTint="80" w:sz="4" w:space="0"/>
              <w:insideH w:val="single" w:sz="4" w:space="0"/>
            </w:tcBorders>
          </w:tcPr>
          <w:p w14:paraId="535AD68F">
            <w:pPr>
              <w:spacing w:after="0" w:line="240" w:lineRule="auto"/>
              <w:rPr>
                <w:rFonts w:ascii="Times New Roman" w:hAnsi="Times New Roman" w:cs="Times New Roman"/>
              </w:rPr>
            </w:pPr>
            <w:r>
              <w:rPr>
                <w:rFonts w:ascii="Times New Roman" w:hAnsi="Times New Roman" w:cs="Times New Roman"/>
              </w:rPr>
              <w:t>0.21</w:t>
            </w:r>
          </w:p>
        </w:tc>
      </w:tr>
    </w:tbl>
    <w:p w14:paraId="4E0F5B02">
      <w:pPr>
        <w:spacing w:line="240" w:lineRule="auto"/>
        <w:rPr>
          <w:rFonts w:ascii="Times New Roman" w:hAnsi="Times New Roman" w:cs="Times New Roman"/>
          <w:b/>
          <w:bCs/>
        </w:rPr>
      </w:pPr>
    </w:p>
    <w:p w14:paraId="0F851A2D">
      <w:pPr>
        <w:spacing w:line="240" w:lineRule="auto"/>
        <w:rPr>
          <w:rFonts w:ascii="Times New Roman" w:hAnsi="Times New Roman" w:cs="Times New Roman"/>
          <w:b/>
          <w:bCs/>
        </w:rPr>
      </w:pPr>
      <w:r>
        <w:rPr>
          <w:rFonts w:ascii="Times New Roman" w:hAnsi="Times New Roman" w:cs="Times New Roman"/>
          <w:b/>
          <w:bCs/>
        </w:rPr>
        <w:t>4. Discussion</w:t>
      </w:r>
    </w:p>
    <w:p w14:paraId="0049DF55">
      <w:pPr>
        <w:spacing w:line="240" w:lineRule="auto"/>
        <w:rPr>
          <w:rFonts w:ascii="Times New Roman" w:hAnsi="Times New Roman" w:cs="Times New Roman"/>
          <w:b/>
          <w:bCs/>
        </w:rPr>
      </w:pPr>
      <w:r>
        <w:rPr>
          <w:rFonts w:ascii="Times New Roman" w:hAnsi="Times New Roman" w:cs="Times New Roman"/>
          <w:b/>
          <w:bCs/>
        </w:rPr>
        <w:t>4.1 Growth performance and feed utilization</w:t>
      </w:r>
    </w:p>
    <w:p w14:paraId="4843C6DE">
      <w:pPr>
        <w:spacing w:line="240" w:lineRule="auto"/>
        <w:jc w:val="both"/>
        <w:rPr>
          <w:rFonts w:ascii="Times New Roman" w:hAnsi="Times New Roman" w:cs="Times New Roman"/>
        </w:rPr>
      </w:pPr>
      <w:r>
        <w:rPr>
          <w:rFonts w:ascii="Times New Roman" w:hAnsi="Times New Roman" w:cs="Times New Roman"/>
        </w:rPr>
        <w:t>Dietary replacement of fishmeal with Spirulina meal (SPM) significantly influenced the growth performance of milkfish (</w:t>
      </w:r>
      <w:r>
        <w:rPr>
          <w:rFonts w:ascii="Times New Roman" w:hAnsi="Times New Roman" w:cs="Times New Roman"/>
          <w:i/>
          <w:iCs/>
        </w:rPr>
        <w:t>Chanos chanos</w:t>
      </w:r>
      <w:r>
        <w:rPr>
          <w:rFonts w:ascii="Times New Roman" w:hAnsi="Times New Roman" w:cs="Times New Roman"/>
        </w:rPr>
        <w:t xml:space="preserve">) reared at 10 ppt salinity (Table 4), with respect to growth indices such as final body weight, weight gain, percentage weight gain, average daily gain and specific growth rate (P &lt; 0.05), among the treatments. Significant variations were observed with increasing SPM supplementation among the experimental groups and were found to be in alignment with Liu et al. (2026); Alkorbi et al. (2026) and Khanna et al. (2026), who recorded favourable growth responses with increasing dietary Spirulina inclusion in </w:t>
      </w:r>
      <w:r>
        <w:rPr>
          <w:rFonts w:ascii="Times New Roman" w:hAnsi="Times New Roman" w:cs="Times New Roman"/>
          <w:i/>
          <w:iCs/>
        </w:rPr>
        <w:t xml:space="preserve">Macrobrachium nipponense </w:t>
      </w:r>
      <w:r>
        <w:rPr>
          <w:rFonts w:ascii="Times New Roman" w:hAnsi="Times New Roman" w:cs="Times New Roman"/>
        </w:rPr>
        <w:t>and</w:t>
      </w:r>
      <w:r>
        <w:rPr>
          <w:rFonts w:ascii="Times New Roman" w:hAnsi="Times New Roman" w:cs="Times New Roman"/>
          <w:i/>
          <w:iCs/>
        </w:rPr>
        <w:t xml:space="preserve"> E. Suratensis</w:t>
      </w:r>
      <w:r>
        <w:rPr>
          <w:rFonts w:ascii="Times New Roman" w:hAnsi="Times New Roman" w:cs="Times New Roman"/>
        </w:rPr>
        <w:t xml:space="preserve">, suggesting that 40% FM can be replaced by SPM in the current study. Also, 20% SPM replacement exhibited significantly higher values for these growth parameters than the control and the response at the 20% replacement level was also comparable with the findings of Li et al. (2022), who, based on a meta-analysis of aquaculture studies, estimated that approximately 22.03–24.53% replacement of fishmeal with SPM could be achieved without an overall negative effect on growth and feed utilization. Final body length was also positively affected by dietary SPM inclusion. Fish receiving the 40% SPM diet attained significantly greater final length than those fed the control diet, while the 20% treatment showed an intermediate response. The greater final length observed at 40% replacement was consistent with the higher final body weight and weight gain recorded in this treatment, indicating that the beneficial effect of SPM inclusion was reflected in both somatic and linear growth. The improved growth performance observed with SPM inclusion may be associated with the nutritional characteristics of Spirulina, a protein-rich microalga containing essential amino acids, vitamins, minerals, fatty acids, pigments, and other bioactive compounds, which contribute to its potential as an alternative aquafeed ingredient (Alagawany et al., 2021; Calella et al., 2022; Kumar et al., 2022). Dietary Spirulina has been reported to improve growth and feed utilization in several cultured fish species (Alagawany et al., 2021; Youssef et al., 2023; Spínola et al., 2024). </w:t>
      </w:r>
    </w:p>
    <w:p w14:paraId="26B1F98F">
      <w:pPr>
        <w:spacing w:line="240" w:lineRule="auto"/>
        <w:rPr>
          <w:rFonts w:ascii="Times New Roman" w:hAnsi="Times New Roman" w:cs="Times New Roman"/>
          <w:b/>
          <w:bCs/>
        </w:rPr>
      </w:pPr>
      <w:r>
        <w:rPr>
          <w:rFonts w:ascii="Times New Roman" w:hAnsi="Times New Roman" w:cs="Times New Roman"/>
          <w:b/>
          <w:bCs/>
        </w:rPr>
        <w:t>4.2. Feed utilization</w:t>
      </w:r>
    </w:p>
    <w:p w14:paraId="514DC2C6">
      <w:pPr>
        <w:spacing w:line="240" w:lineRule="auto"/>
        <w:jc w:val="both"/>
        <w:rPr>
          <w:rFonts w:ascii="Times New Roman" w:hAnsi="Times New Roman" w:cs="Times New Roman"/>
        </w:rPr>
      </w:pPr>
      <w:r>
        <w:rPr>
          <w:rFonts w:ascii="Times New Roman" w:hAnsi="Times New Roman" w:cs="Times New Roman"/>
        </w:rPr>
        <w:t>The improvements in growth were accompanied by significant changes in feed utilization, particularly at 40% FM replacement with SPM. The FCR decreased from 1.710 ± 0.020 in the control to 1.540 ± 0.044 at 40% replacement, corresponding to an approximately 10% reduction. Concurrently, FCE increased from 0.585 ± 0.007 to 0.649 ± 0.018, indicating a greater proportion of feed input converted into biomass gain. The 20% replacement treatment did not differ significantly from the control in these indices, suggesting that the improvement in feed conversion was most evident at the higher replacement level.</w:t>
      </w:r>
    </w:p>
    <w:p w14:paraId="31096411">
      <w:pPr>
        <w:spacing w:line="240" w:lineRule="auto"/>
        <w:jc w:val="both"/>
        <w:rPr>
          <w:rFonts w:ascii="Times New Roman" w:hAnsi="Times New Roman" w:cs="Times New Roman"/>
        </w:rPr>
      </w:pPr>
      <w:r>
        <w:rPr>
          <w:rFonts w:ascii="Times New Roman" w:hAnsi="Times New Roman" w:cs="Times New Roman"/>
        </w:rPr>
        <w:t xml:space="preserve">This response agrees with the broader findings of Li et al. (2022), who reported an overall improvement in FCR following dietary Spirulina inclusion in fish and shrimp. The improved feed utilization may be associated with the nutritional characteristics of Spirulina and its contribution to the nutrient profile of the experimental diets. Previous studies have also reported improved feed utilization following dietary Spirulina inclusion in cultured fish (Alagawany et al., 2021; Youssef et al., 2023; Alkorbi et al., 2026). The consistency between the higher growth indices and improved feed conversion at 40% replacement nevertheless strengthens the evidence that this treatment provided the most favourable production response among the diets evaluated. </w:t>
      </w:r>
    </w:p>
    <w:p w14:paraId="1C9A1D28">
      <w:pPr>
        <w:spacing w:line="240" w:lineRule="auto"/>
        <w:rPr>
          <w:rFonts w:ascii="Times New Roman" w:hAnsi="Times New Roman" w:cs="Times New Roman"/>
          <w:b/>
          <w:bCs/>
        </w:rPr>
      </w:pPr>
      <w:r>
        <w:rPr>
          <w:rFonts w:ascii="Times New Roman" w:hAnsi="Times New Roman" w:cs="Times New Roman"/>
          <w:b/>
          <w:bCs/>
        </w:rPr>
        <w:t>4.3 Survival rate</w:t>
      </w:r>
    </w:p>
    <w:p w14:paraId="180C3DA0">
      <w:pPr>
        <w:spacing w:line="240" w:lineRule="auto"/>
        <w:jc w:val="both"/>
        <w:rPr>
          <w:rFonts w:ascii="Times New Roman" w:hAnsi="Times New Roman" w:cs="Times New Roman"/>
        </w:rPr>
      </w:pPr>
      <w:r>
        <w:rPr>
          <w:rFonts w:ascii="Times New Roman" w:hAnsi="Times New Roman" w:cs="Times New Roman"/>
        </w:rPr>
        <w:t>Dietary Spirulina meal (SPM) replacement did not significantly affect the survival of milkfish (</w:t>
      </w:r>
      <w:r>
        <w:rPr>
          <w:rFonts w:ascii="Times New Roman" w:hAnsi="Times New Roman" w:cs="Times New Roman"/>
          <w:i/>
          <w:iCs/>
        </w:rPr>
        <w:t>Chanos chanos</w:t>
      </w:r>
      <w:r>
        <w:rPr>
          <w:rFonts w:ascii="Times New Roman" w:hAnsi="Times New Roman" w:cs="Times New Roman"/>
        </w:rPr>
        <w:t>) reared at 10 ppt salinity (P &gt; 0.05). Although survival showed a numerical increase with higher SPM replacement, the differences among treatments were not statistically significant, indicating that the tested replacement levels did not adversely affect survival under the experimental conditions. This finding is consistent with Sukardi et al. (2019), who reported no significant differences in milkfish larval survival between Spirulina-based microcapsule diets and a commercial diet (P &gt; 0.05), with survival rates ranging from 80.6% to 84.6%. Similarly, previous studies have reported favourable survival responses in fish fed Spirulina-containing diets. For instance, Caguioa and Aban (2026), Khanna et al. (2026), and Sun et al. (2026) reported high survival in Nile tilapia, pearl spot, and the zig-zag eel during the weaning stage when fed diets containing Spirulina. Nevertheless, differences in species, life stage, environmental conditions, stocking density, dietary formulation, and experimental duration should be considered when comparing survival responses among studies. Overall, the present findings suggest that replacing fishmeal with SPM at 20% and 40% did not compromise milkfish survival under the tested brackish-water conditions.</w:t>
      </w:r>
    </w:p>
    <w:p w14:paraId="3B76C375">
      <w:pPr>
        <w:spacing w:line="240" w:lineRule="auto"/>
        <w:jc w:val="both"/>
        <w:rPr>
          <w:rFonts w:ascii="Times New Roman" w:hAnsi="Times New Roman" w:cs="Times New Roman"/>
          <w:b/>
          <w:bCs/>
        </w:rPr>
      </w:pPr>
      <w:r>
        <w:rPr>
          <w:rFonts w:ascii="Times New Roman" w:hAnsi="Times New Roman" w:cs="Times New Roman"/>
          <w:b/>
          <w:bCs/>
        </w:rPr>
        <w:t>4.4. Implications and limitations</w:t>
      </w:r>
    </w:p>
    <w:p w14:paraId="073DCD16">
      <w:pPr>
        <w:spacing w:line="240" w:lineRule="auto"/>
        <w:jc w:val="both"/>
        <w:rPr>
          <w:rFonts w:ascii="Times New Roman" w:hAnsi="Times New Roman" w:cs="Times New Roman"/>
        </w:rPr>
      </w:pPr>
      <w:r>
        <w:rPr>
          <w:rFonts w:ascii="Times New Roman" w:hAnsi="Times New Roman" w:cs="Times New Roman"/>
        </w:rPr>
        <w:t xml:space="preserve">The present study indicates that partial fishmeal replacement with SPM can be associated with improved growth and feed utilization on milkfish fry reared under brackish water conditions. The highest tested replacement level produced the most favourable growth and feed conversion results among the treatments. </w:t>
      </w:r>
    </w:p>
    <w:p w14:paraId="7F4F6576">
      <w:pPr>
        <w:spacing w:line="240" w:lineRule="auto"/>
        <w:rPr>
          <w:rFonts w:ascii="Times New Roman" w:hAnsi="Times New Roman" w:cs="Times New Roman"/>
        </w:rPr>
      </w:pPr>
      <w:r>
        <w:rPr>
          <w:rFonts w:ascii="Times New Roman" w:hAnsi="Times New Roman" w:cs="Times New Roman"/>
        </w:rPr>
        <w:t>Future experiments should investigate intermediate and higher replacement levels where nutritionally appropriate, verify nutrient digestibility and amino acid adequacy, and evaluate health indicators and economic feasibility. Such studies would help determine whether the observed benefits can be reproduced under commercial production conditions.</w:t>
      </w:r>
    </w:p>
    <w:p w14:paraId="37CB3270">
      <w:pPr>
        <w:spacing w:line="240" w:lineRule="auto"/>
        <w:rPr>
          <w:rFonts w:ascii="Times New Roman" w:hAnsi="Times New Roman" w:cs="Times New Roman"/>
          <w:b/>
          <w:bCs/>
        </w:rPr>
      </w:pPr>
      <w:r>
        <w:rPr>
          <w:rFonts w:ascii="Times New Roman" w:hAnsi="Times New Roman" w:cs="Times New Roman"/>
          <w:b/>
          <w:bCs/>
        </w:rPr>
        <w:t xml:space="preserve">5. Conclusion </w:t>
      </w:r>
    </w:p>
    <w:p w14:paraId="587B2529">
      <w:pPr>
        <w:spacing w:line="240" w:lineRule="auto"/>
        <w:jc w:val="both"/>
        <w:rPr>
          <w:rFonts w:ascii="Times New Roman" w:hAnsi="Times New Roman" w:cs="Times New Roman"/>
        </w:rPr>
      </w:pPr>
      <w:r>
        <w:rPr>
          <w:rFonts w:ascii="Times New Roman" w:hAnsi="Times New Roman" w:cs="Times New Roman"/>
        </w:rPr>
        <w:t>The present study demonstrated that dietary Spirulina meal (SPM) inclusion positively influenced the growth performance and feed utilization of milkfish (</w:t>
      </w:r>
      <w:r>
        <w:rPr>
          <w:rFonts w:ascii="Times New Roman" w:hAnsi="Times New Roman" w:cs="Times New Roman"/>
          <w:i/>
          <w:iCs/>
        </w:rPr>
        <w:t>Chanos chanos</w:t>
      </w:r>
      <w:r>
        <w:rPr>
          <w:rFonts w:ascii="Times New Roman" w:hAnsi="Times New Roman" w:cs="Times New Roman"/>
        </w:rPr>
        <w:t>) fry reared at 10 ppt salinity over a 90-day feeding period. Among the three dietary treatments, the 40% fishmeal replacement treatment produced the highest final body weight, weight gain, average daily gain, and specific growth rate, together with the lowest feed conversion ratio and the highest feed conversion efficiency. The 20% replacement treatment also improved growth performance compared with the control, although its feed conversion indices did not differ significantly from those of the control. Survival was numerically higher in fish receiving SPM-containing diets, but the differences were not statistically significant, suggesting that SPM inclusion at the tested levels did not adversely affect survival under the experimental conditions. These findings indicate that SPM is a promising alternative ingredient for reducing fishmeal use in milkfish diets while maintaining favourable growth and feed utilization. However, further studies should evaluate higher and intermediate inclusion levels, nutrient digestibility, physiological and health responses, and the economic feasibility of SPM-based diets before recommending an optimal replacement level for commercial milkfish aquaculture.</w:t>
      </w:r>
    </w:p>
    <w:p w14:paraId="7FBA29F3">
      <w:pPr>
        <w:spacing w:line="240" w:lineRule="auto"/>
        <w:jc w:val="both"/>
        <w:rPr>
          <w:rFonts w:ascii="Times New Roman" w:hAnsi="Times New Roman" w:cs="Times New Roman"/>
        </w:rPr>
      </w:pPr>
    </w:p>
    <w:p w14:paraId="600290D6">
      <w:pPr>
        <w:spacing w:after="0" w:line="240" w:lineRule="auto"/>
        <w:rPr>
          <w:rFonts w:ascii="Arial" w:hAnsi="Arial" w:eastAsia="Calibri" w:cs="Arial"/>
          <w:b/>
          <w:kern w:val="0"/>
          <w:sz w:val="20"/>
          <w:szCs w:val="20"/>
          <w:lang w:eastAsia="en-US"/>
          <w14:ligatures w14:val="none"/>
        </w:rPr>
      </w:pPr>
      <w:r>
        <w:rPr>
          <w:rFonts w:ascii="Arial" w:hAnsi="Arial" w:eastAsia="Calibri" w:cs="Arial"/>
          <w:b/>
          <w:kern w:val="0"/>
          <w:sz w:val="20"/>
          <w:szCs w:val="20"/>
          <w:lang w:eastAsia="en-US"/>
          <w14:ligatures w14:val="none"/>
        </w:rPr>
        <w:t>Declaration of AI Use</w:t>
      </w:r>
    </w:p>
    <w:p w14:paraId="5D7B44F2">
      <w:pPr>
        <w:spacing w:after="0" w:line="240" w:lineRule="auto"/>
        <w:rPr>
          <w:rFonts w:ascii="Arial" w:hAnsi="Arial" w:eastAsia="Calibri" w:cs="Arial"/>
          <w:kern w:val="0"/>
          <w:sz w:val="20"/>
          <w:szCs w:val="20"/>
          <w:lang w:eastAsia="en-US"/>
          <w14:ligatures w14:val="none"/>
        </w:rPr>
      </w:pPr>
    </w:p>
    <w:p w14:paraId="5D10E4A2">
      <w:pPr>
        <w:spacing w:after="0" w:line="240" w:lineRule="auto"/>
        <w:rPr>
          <w:rFonts w:ascii="Arial" w:hAnsi="Arial" w:eastAsia="Calibri" w:cs="Arial"/>
          <w:kern w:val="0"/>
          <w:sz w:val="20"/>
          <w:szCs w:val="20"/>
          <w:lang w:eastAsia="en-US"/>
          <w14:ligatures w14:val="none"/>
        </w:rPr>
      </w:pPr>
      <w:r>
        <w:rPr>
          <w:rFonts w:ascii="Arial" w:hAnsi="Arial" w:eastAsia="Calibri" w:cs="Arial"/>
          <w:kern w:val="0"/>
          <w:sz w:val="20"/>
          <w:szCs w:val="20"/>
          <w:lang w:eastAsia="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C200A31">
      <w:pPr>
        <w:spacing w:after="0" w:line="240" w:lineRule="auto"/>
        <w:jc w:val="both"/>
        <w:rPr>
          <w:rFonts w:ascii="Times New Roman" w:hAnsi="Times New Roman" w:eastAsia="Calibri" w:cs="Times New Roman"/>
          <w:kern w:val="0"/>
          <w:sz w:val="22"/>
          <w:szCs w:val="22"/>
          <w:lang w:eastAsia="en-US"/>
          <w14:ligatures w14:val="none"/>
        </w:rPr>
      </w:pPr>
    </w:p>
    <w:p w14:paraId="2433F6DC">
      <w:pPr>
        <w:spacing w:after="0" w:line="240" w:lineRule="auto"/>
        <w:jc w:val="both"/>
        <w:rPr>
          <w:rFonts w:ascii="Times New Roman" w:hAnsi="Times New Roman" w:eastAsia="Calibri" w:cs="Times New Roman"/>
          <w:kern w:val="0"/>
          <w:sz w:val="22"/>
          <w:szCs w:val="22"/>
          <w:lang w:eastAsia="en-US"/>
          <w14:ligatures w14:val="none"/>
        </w:rPr>
      </w:pPr>
    </w:p>
    <w:p w14:paraId="78920F8A">
      <w:pPr>
        <w:spacing w:after="200" w:line="276" w:lineRule="auto"/>
        <w:rPr>
          <w:rFonts w:ascii="Cambria" w:hAnsi="Cambria" w:eastAsia="Times New Roman" w:cs="Arial"/>
          <w:b/>
          <w:bCs/>
          <w:kern w:val="0"/>
          <w:sz w:val="22"/>
          <w:szCs w:val="22"/>
          <w:lang w:val="en-GB" w:eastAsia="en-GB"/>
          <w14:ligatures w14:val="none"/>
        </w:rPr>
      </w:pPr>
      <w:r>
        <w:rPr>
          <w:rFonts w:ascii="Cambria" w:hAnsi="Cambria" w:eastAsia="Times New Roman" w:cs="Arial"/>
          <w:b/>
          <w:bCs/>
          <w:kern w:val="0"/>
          <w:sz w:val="22"/>
          <w:szCs w:val="22"/>
          <w:lang w:val="en-GB" w:eastAsia="en-GB"/>
          <w14:ligatures w14:val="none"/>
        </w:rPr>
        <w:t>COMPETING INTERESTS DISCLAIMER:</w:t>
      </w:r>
    </w:p>
    <w:p w14:paraId="166B1520">
      <w:pPr>
        <w:spacing w:after="200" w:line="276" w:lineRule="auto"/>
        <w:rPr>
          <w:rFonts w:ascii="Cambria" w:hAnsi="Cambria" w:eastAsia="Times New Roman" w:cs="Times New Roman"/>
          <w:kern w:val="0"/>
          <w:sz w:val="22"/>
          <w:szCs w:val="22"/>
          <w:lang w:val="en-GB" w:eastAsia="en-GB"/>
          <w14:ligatures w14:val="none"/>
        </w:rPr>
      </w:pPr>
      <w:r>
        <w:rPr>
          <w:rFonts w:ascii="Cambria" w:hAnsi="Cambria" w:eastAsia="Times New Roman"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2157FDC7">
      <w:pPr>
        <w:spacing w:line="240" w:lineRule="auto"/>
        <w:jc w:val="both"/>
        <w:rPr>
          <w:rFonts w:ascii="Times New Roman" w:hAnsi="Times New Roman" w:cs="Times New Roman"/>
        </w:rPr>
      </w:pPr>
    </w:p>
    <w:p w14:paraId="7FA42A99">
      <w:pPr>
        <w:spacing w:line="240" w:lineRule="auto"/>
        <w:rPr>
          <w:rFonts w:ascii="Times New Roman" w:hAnsi="Times New Roman" w:cs="Times New Roman"/>
          <w:b/>
          <w:bCs/>
        </w:rPr>
      </w:pPr>
      <w:commentRangeStart w:id="3"/>
      <w:r>
        <w:rPr>
          <w:rFonts w:ascii="Times New Roman" w:hAnsi="Times New Roman" w:cs="Times New Roman"/>
          <w:b/>
          <w:bCs/>
        </w:rPr>
        <w:t>References:</w:t>
      </w:r>
      <w:commentRangeEnd w:id="3"/>
      <w:r>
        <w:commentReference w:id="3"/>
      </w:r>
    </w:p>
    <w:p w14:paraId="31FEE214">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Ahmad, A., &amp; Ashraf, S. S. (2023). Sustainable food and feed sources from microalgae: Food security and the circular bioeconomy. Algal Research, 74, 103185. </w:t>
      </w:r>
      <w:r>
        <w:fldChar w:fldCharType="begin"/>
      </w:r>
      <w:r>
        <w:instrText xml:space="preserve"> HYPERLINK "https://doi.org/10.1016/j.algal.2023.103185" </w:instrText>
      </w:r>
      <w:r>
        <w:fldChar w:fldCharType="separate"/>
      </w:r>
      <w:r>
        <w:rPr>
          <w:rFonts w:ascii="Times New Roman" w:hAnsi="Times New Roman" w:cs="Times New Roman" w:eastAsiaTheme="minorHAnsi"/>
          <w:lang w:eastAsia="en-US"/>
        </w:rPr>
        <w:t>10.1016/j.algal.2023.103185</w:t>
      </w:r>
      <w:r>
        <w:rPr>
          <w:rFonts w:ascii="Times New Roman" w:hAnsi="Times New Roman" w:cs="Times New Roman" w:eastAsiaTheme="minorHAnsi"/>
          <w:lang w:eastAsia="en-US"/>
        </w:rPr>
        <w:fldChar w:fldCharType="end"/>
      </w:r>
    </w:p>
    <w:p w14:paraId="1A33DFB3">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Alagawany, M., Taha, A. E., Noreldin, A., El-Tarabily, K. A., &amp; Abd El-Hack, M. E. (2021). Nutritional applications of species of Spirulina and Chlorella in farmed fish: A review. Aquaculture, 542, 736841.</w:t>
      </w:r>
    </w:p>
    <w:p w14:paraId="418B2E35">
      <w:pPr>
        <w:spacing w:line="240" w:lineRule="auto"/>
        <w:ind w:left="864" w:hanging="864" w:hangingChars="360"/>
        <w:jc w:val="both"/>
        <w:rPr>
          <w:rFonts w:ascii="Times New Roman" w:hAnsi="Times New Roman" w:cs="Times New Roman" w:eastAsiaTheme="minorHAnsi"/>
          <w:color w:val="EE0000"/>
          <w:lang w:eastAsia="en-US"/>
        </w:rPr>
      </w:pPr>
      <w:r>
        <w:rPr>
          <w:rFonts w:ascii="Times New Roman" w:hAnsi="Times New Roman" w:cs="Times New Roman" w:eastAsiaTheme="minorHAnsi"/>
          <w:color w:val="auto"/>
          <w:lang w:eastAsia="en-US"/>
        </w:rPr>
        <w:t xml:space="preserve">El-Sheekh, M., El-Shourbagy, I., Shalaby, S., &amp; Hosny, S. (2014). Effect of feeding Arthrospira platensis (Spirulina) on growth and carcass composition of hybrid red tilapia (Oreochromis niloticus x Oreochromis mossambicus). </w:t>
      </w:r>
      <w:r>
        <w:rPr>
          <w:rFonts w:ascii="Times New Roman" w:hAnsi="Times New Roman" w:cs="Times New Roman" w:eastAsiaTheme="minorHAnsi"/>
          <w:i/>
          <w:iCs/>
          <w:color w:val="auto"/>
          <w:lang w:eastAsia="en-US"/>
        </w:rPr>
        <w:t>Turkish Journal of Fisheries and Aquatic Sciences</w:t>
      </w:r>
      <w:r>
        <w:rPr>
          <w:rFonts w:ascii="Times New Roman" w:hAnsi="Times New Roman" w:cs="Times New Roman" w:eastAsiaTheme="minorHAnsi"/>
          <w:color w:val="auto"/>
          <w:lang w:eastAsia="en-US"/>
        </w:rPr>
        <w:t xml:space="preserve">, </w:t>
      </w:r>
      <w:r>
        <w:rPr>
          <w:rFonts w:ascii="Times New Roman" w:hAnsi="Times New Roman" w:cs="Times New Roman" w:eastAsiaTheme="minorHAnsi"/>
          <w:i/>
          <w:iCs/>
          <w:color w:val="auto"/>
          <w:lang w:eastAsia="en-US"/>
        </w:rPr>
        <w:t>14</w:t>
      </w:r>
      <w:r>
        <w:rPr>
          <w:rFonts w:ascii="Times New Roman" w:hAnsi="Times New Roman" w:cs="Times New Roman" w:eastAsiaTheme="minorHAnsi"/>
          <w:color w:val="auto"/>
          <w:lang w:eastAsia="en-US"/>
        </w:rPr>
        <w:t>(2), 471-478. DOI: 10.4194/1303-2712-v14_2_18.</w:t>
      </w:r>
      <w:r>
        <w:rPr>
          <w:rFonts w:ascii="Times New Roman" w:hAnsi="Times New Roman" w:cs="Times New Roman" w:eastAsiaTheme="minorHAnsi"/>
          <w:color w:val="EE0000"/>
          <w:lang w:eastAsia="en-US"/>
        </w:rPr>
        <w:t xml:space="preserve"> </w:t>
      </w:r>
    </w:p>
    <w:p w14:paraId="1A013A65">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Alkorbi, A. E., Albaqami, N. M., Alzahrani, A. H., &amp; Ahmad, O. A. (2026). The Impact of Implementing the Spirulina (Arthrospira platensis) Powder to the Nile Tilapia (Oreochromis niloticus) Diets on Growth Performance, Feed and Energy Utilization, and Body Composition. Egyptian Journal of Aquatic Biology and Fisheries, 30(4), 5153-5179. DOI </w:t>
      </w:r>
      <w:r>
        <w:fldChar w:fldCharType="begin"/>
      </w:r>
      <w:r>
        <w:instrText xml:space="preserve"> HYPERLINK "https://ejabf.journals.ekb.eg/article_524442_9019a7f75ac8a7420a0ca980e6e4c704.pdf" \t "_blank" </w:instrText>
      </w:r>
      <w:r>
        <w:fldChar w:fldCharType="separate"/>
      </w:r>
      <w:r>
        <w:rPr>
          <w:rFonts w:ascii="Times New Roman" w:hAnsi="Times New Roman" w:cs="Times New Roman" w:eastAsiaTheme="minorHAnsi"/>
          <w:lang w:eastAsia="en-US"/>
        </w:rPr>
        <w:t>10.21608/ejabf.2026.524442</w:t>
      </w:r>
      <w:r>
        <w:rPr>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3C29EE9D">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AOAC, 1995. Official Methods of Analysis of the Association of Official Analytical Chemists. Washington, Dc.101. </w:t>
      </w:r>
    </w:p>
    <w:p w14:paraId="2FB3C02C">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APHA (American Public Health Association)., 1995.Standard methods for the examination of water and waste water, 19th ed. American Public Health Association, Washington, DC.</w:t>
      </w:r>
    </w:p>
    <w:p w14:paraId="1DE0283C">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Batilong, L. S., Ranara, C. T. B., Lumayno, S. D. P., Tanay, D. D., Del Castillo, C. S., Failaman, A. N., &amp; Traifalgar, R. F. M. (2026). Shrimp head meal as a practical fishmeal substitute in diets for milkfish, Chanos chanos (Actinopterygii, Gonorynchiformes, Chanidae), fry. Acta Ichthyologica et Piscatoria, 56, 247-254. </w:t>
      </w:r>
      <w:r>
        <w:fldChar w:fldCharType="begin"/>
      </w:r>
      <w:r>
        <w:instrText xml:space="preserve"> HYPERLINK "https://doi.org/10.3897/aiep.56.184586" </w:instrText>
      </w:r>
      <w:r>
        <w:fldChar w:fldCharType="separate"/>
      </w:r>
      <w:r>
        <w:rPr>
          <w:rStyle w:val="19"/>
          <w:rFonts w:ascii="Times New Roman" w:hAnsi="Times New Roman" w:cs="Times New Roman" w:eastAsiaTheme="minorHAnsi"/>
          <w:lang w:eastAsia="en-US"/>
        </w:rPr>
        <w:t>https://doi.org/10.3897/aiep.56.184586</w:t>
      </w:r>
      <w:r>
        <w:rPr>
          <w:rStyle w:val="19"/>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3B744DE1">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Borlongan, I. G., &amp; Satoh, S. J. A. R. (2001). Dietary phosphorus requirement of juvenile milkfish, Chanos chanos (Forsskal). Aquaculture Research, 32, 26-32. </w:t>
      </w:r>
      <w:r>
        <w:fldChar w:fldCharType="begin"/>
      </w:r>
      <w:r>
        <w:instrText xml:space="preserve"> HYPERLINK "https://doi.org/10.1046/j.1355-557x.2001.00003.x" </w:instrText>
      </w:r>
      <w:r>
        <w:fldChar w:fldCharType="separate"/>
      </w:r>
      <w:r>
        <w:rPr>
          <w:rStyle w:val="19"/>
          <w:rFonts w:ascii="Times New Roman" w:hAnsi="Times New Roman" w:cs="Times New Roman" w:eastAsiaTheme="minorHAnsi"/>
          <w:lang w:eastAsia="en-US"/>
        </w:rPr>
        <w:t>https://doi.org/10.1046/j.1355-557x.2001.00003.x</w:t>
      </w:r>
      <w:r>
        <w:rPr>
          <w:rStyle w:val="19"/>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77DC8089">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Caguioa, M. E. T., &amp; Aban, S. M. (2026). Dietary Spirulina Meal Supplementation in Rice Bran-Based Diets Improves Growth Performance and Feed Utilization of Nile Tilapia (Oreochromis niloticus). International Journal of Aquatic Research and Environmental Studies, 6(2), 998-1006. </w:t>
      </w:r>
      <w:r>
        <w:fldChar w:fldCharType="begin"/>
      </w:r>
      <w:r>
        <w:instrText xml:space="preserve"> HYPERLINK "https://doi.org/10.70102/IJARES/V6I2/6-2-1723" </w:instrText>
      </w:r>
      <w:r>
        <w:fldChar w:fldCharType="separate"/>
      </w:r>
      <w:r>
        <w:rPr>
          <w:rStyle w:val="19"/>
          <w:rFonts w:ascii="Times New Roman" w:hAnsi="Times New Roman" w:cs="Times New Roman" w:eastAsiaTheme="minorHAnsi"/>
          <w:lang w:eastAsia="en-US"/>
        </w:rPr>
        <w:t>https://doi.org/10.70102/IJARES/V6I2/6-2-1723</w:t>
      </w:r>
      <w:r>
        <w:rPr>
          <w:rStyle w:val="19"/>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613BF2C4">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Calella, P., Cerullo, G., Di Dio, M., Liguori, F., Di Onofrio, V., Galle, F., &amp; Liguori, G. (2022). Antioxidant, anti-inflammatory and immunomodulatory effects of spirulina in exercise and sport: A systematic review. Frontiers in Nutrition, 9, 1048258. DOI: </w:t>
      </w:r>
      <w:r>
        <w:fldChar w:fldCharType="begin"/>
      </w:r>
      <w:r>
        <w:instrText xml:space="preserve"> HYPERLINK "https://www.frontiersin.org/journals/nutrition/articles/10.3389/fnut.2022.1048258/full" \t "_blank" </w:instrText>
      </w:r>
      <w:r>
        <w:fldChar w:fldCharType="separate"/>
      </w:r>
      <w:r>
        <w:rPr>
          <w:rFonts w:ascii="Times New Roman" w:hAnsi="Times New Roman" w:cs="Times New Roman" w:eastAsiaTheme="minorHAnsi"/>
          <w:lang w:eastAsia="en-US"/>
        </w:rPr>
        <w:t>10.3389/fnut.2022.1048258</w:t>
      </w:r>
      <w:r>
        <w:rPr>
          <w:rFonts w:ascii="Times New Roman" w:hAnsi="Times New Roman" w:cs="Times New Roman" w:eastAsiaTheme="minorHAnsi"/>
          <w:lang w:eastAsia="en-US"/>
        </w:rPr>
        <w:fldChar w:fldCharType="end"/>
      </w:r>
    </w:p>
    <w:p w14:paraId="53DD31BA">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Carneiro, W. F., Castro, T. F. D., Reichel, T., de Castro Uzeda, P. L., Martínez-Palacios, C. A., &amp; Murgas, L. D. S. (2022). Diets containing Arthrospira platensis increase growth, modulate lipid metabolism, and reduce oxidative stress in pacu (Piaractus mesopotamicus) exposed to ammonia. Aquaculture, 547, 737402. </w:t>
      </w:r>
      <w:r>
        <w:fldChar w:fldCharType="begin"/>
      </w:r>
      <w:r>
        <w:instrText xml:space="preserve"> HYPERLINK "https://ui.adsabs.harvard.edu/link_gateway/2022Aquac.54737402C/doi:10.1016/j.aquaculture.2021.737402" </w:instrText>
      </w:r>
      <w:r>
        <w:fldChar w:fldCharType="separate"/>
      </w:r>
      <w:r>
        <w:rPr>
          <w:rStyle w:val="19"/>
          <w:rFonts w:ascii="Times New Roman" w:hAnsi="Times New Roman" w:cs="Times New Roman" w:eastAsiaTheme="minorHAnsi"/>
          <w:lang w:eastAsia="en-US"/>
        </w:rPr>
        <w:t>https://ui.adsabs.harvard.edu/link_gateway/2022Aquac.54737402C/doi:10.1016/j.aquaculture.2021.737402</w:t>
      </w:r>
      <w:r>
        <w:rPr>
          <w:rStyle w:val="19"/>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67C99551">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 Carneiro, W. F., Navarrete-Ramírez, P., Castro, T. F. D., Leão, E. R., Martínez-Chávez, C. C., Martínez-Palacios, C. A., &amp; Murgas, L. D. S. (2025). Replacing fish meal with spirulina (Arthrospira platensis): nutrigenomic modulation of growth, reproductive performance, and metabolism in zebrafish. Animals, 15(17), 2552. </w:t>
      </w:r>
      <w:r>
        <w:fldChar w:fldCharType="begin"/>
      </w:r>
      <w:r>
        <w:instrText xml:space="preserve"> HYPERLINK "https://doi.org/10.3390/ani15172552" </w:instrText>
      </w:r>
      <w:r>
        <w:fldChar w:fldCharType="separate"/>
      </w:r>
      <w:r>
        <w:rPr>
          <w:rFonts w:ascii="Times New Roman" w:hAnsi="Times New Roman" w:cs="Times New Roman" w:eastAsiaTheme="minorHAnsi"/>
          <w:lang w:eastAsia="en-US"/>
        </w:rPr>
        <w:t>https://doi.org/10.3390/ani15172552</w:t>
      </w:r>
      <w:r>
        <w:rPr>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w:t>
      </w:r>
    </w:p>
    <w:p w14:paraId="3B724215">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Hachimi Alaoui, M., Elmoujtahid, A., Bamaarouf, M., &amp; El Arroussi, H. (2026). Exploring the Potential of Microalgae as Feed Ingredients for Sustainable Aquaculture: A Review of Nutritional and Environmental Benefits. Aquaculture Nutrition, 2026(1), 5217142. </w:t>
      </w:r>
      <w:r>
        <w:fldChar w:fldCharType="begin"/>
      </w:r>
      <w:r>
        <w:instrText xml:space="preserve"> HYPERLINK "https://doi.org/10.1155/anu/5217142" </w:instrText>
      </w:r>
      <w:r>
        <w:fldChar w:fldCharType="separate"/>
      </w:r>
      <w:r>
        <w:rPr>
          <w:rFonts w:ascii="Times New Roman" w:hAnsi="Times New Roman" w:cs="Times New Roman" w:eastAsiaTheme="minorHAnsi"/>
          <w:lang w:eastAsia="en-US"/>
        </w:rPr>
        <w:t>https://doi.org/10.1155/anu/5217142</w:t>
      </w:r>
      <w:r>
        <w:rPr>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295DEA8F">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Khanna, A. N., Mahadevan, H., Syanya, F. J., E, A. P., Bastian, F. R., &amp; Hussain, M. S. (2026). Dietary Arthrospira platensis as a Sustainable Fishmeal Alternative Enhances Growth Performance, Body Composition and Muscle Amino Acid and Fatty Acid Profiles of Pearl Spot (Etroplus suratensis). Aquaculture, Fish and Fisheries, 6(4), e70314. </w:t>
      </w:r>
      <w:r>
        <w:fldChar w:fldCharType="begin"/>
      </w:r>
      <w:r>
        <w:instrText xml:space="preserve"> HYPERLINK "https://doi.org/10.1002/aff2.70314" </w:instrText>
      </w:r>
      <w:r>
        <w:fldChar w:fldCharType="separate"/>
      </w:r>
      <w:r>
        <w:rPr>
          <w:rFonts w:ascii="Times New Roman" w:hAnsi="Times New Roman" w:cs="Times New Roman" w:eastAsiaTheme="minorHAnsi"/>
          <w:lang w:eastAsia="en-US"/>
        </w:rPr>
        <w:t>https://doi.org/10.1002/aff2.70314</w:t>
      </w:r>
      <w:r>
        <w:rPr>
          <w:rFonts w:ascii="Times New Roman" w:hAnsi="Times New Roman" w:cs="Times New Roman" w:eastAsiaTheme="minorHAnsi"/>
          <w:lang w:eastAsia="en-US"/>
        </w:rPr>
        <w:fldChar w:fldCharType="end"/>
      </w:r>
    </w:p>
    <w:p w14:paraId="12FC3C01">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Khanna, A. N., Mahadevan, H., Syanya, F. J., Winam, Z. O., Hussain, M. S., Bastian, F. R., &amp; Prakash E, A. (2026). Growth, Survival and Reproductive Responses of Pearl Spot (Etroplus suratensis) to Partial Fishmeal Replacement With Spirulina (Arthrospira platensis) in Coastal Pond Systems. Aquaculture Research, 2026(1), 2099071.</w:t>
      </w:r>
      <w:r>
        <w:fldChar w:fldCharType="begin"/>
      </w:r>
      <w:r>
        <w:instrText xml:space="preserve"> HYPERLINK "https://doi.org/10.1155/are/2099071" </w:instrText>
      </w:r>
      <w:r>
        <w:fldChar w:fldCharType="separate"/>
      </w:r>
      <w:r>
        <w:rPr>
          <w:rFonts w:ascii="Times New Roman" w:hAnsi="Times New Roman" w:cs="Times New Roman" w:eastAsiaTheme="minorHAnsi"/>
          <w:lang w:eastAsia="en-US"/>
        </w:rPr>
        <w:t>https://doi.org/10.1155/are/2099071</w:t>
      </w:r>
      <w:r>
        <w:rPr>
          <w:rFonts w:ascii="Times New Roman" w:hAnsi="Times New Roman" w:cs="Times New Roman" w:eastAsiaTheme="minorHAnsi"/>
          <w:lang w:eastAsia="en-US"/>
        </w:rPr>
        <w:fldChar w:fldCharType="end"/>
      </w:r>
    </w:p>
    <w:p w14:paraId="7196B3D9">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Kumar, R., Hegde, A. S., Sharma, K., Parmar, P., &amp; Srivatsan, V. (2022). Microalgae as a sustainable source of edible proteins and bioactive peptides–Current trends and future prospects. Food Research International, 157, 111338. </w:t>
      </w:r>
      <w:r>
        <w:fldChar w:fldCharType="begin"/>
      </w:r>
      <w:r>
        <w:instrText xml:space="preserve"> HYPERLINK "https://www.sciencedirect.com/science/article/abs/pii/S0963996922003957" </w:instrText>
      </w:r>
      <w:r>
        <w:fldChar w:fldCharType="separate"/>
      </w:r>
      <w:r>
        <w:rPr>
          <w:rFonts w:ascii="Times New Roman" w:hAnsi="Times New Roman" w:cs="Times New Roman" w:eastAsiaTheme="minorHAnsi"/>
          <w:lang w:eastAsia="en-US"/>
        </w:rPr>
        <w:t>https://www.sciencedirect.com/science/article/abs/pii/S0963996922003957</w:t>
      </w:r>
      <w:r>
        <w:rPr>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3D7E8298">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Li, L., Liu, H., &amp; Zhang, P. (2022). Effect of Spirulina meal supplementation on growth performance and feed utilization in fish and shrimp: A Meta‐Analysis. Aquaculture Nutrition, 2022(1), 8517733. https://doi.org/10.1155/2022/8517733</w:t>
      </w:r>
    </w:p>
    <w:p w14:paraId="3964D750">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Liu, L., Zou, A., Zhao, W., Cao, T., Jiang, F., Yue, D., ... &amp; Gao, Z. (2026). Optimal Dietary Replacement of Fishmeal With Spirulina platensis Enhances Growth Performance, Digestion, Antioxidant Capacity, Ovarian Development, and Muscle Quality in Macrobrachium nipponense. Aquaculture Nutrition, 2026(1), 7865897.https://doi.org/10.1155/anu/7865897 </w:t>
      </w:r>
    </w:p>
    <w:p w14:paraId="6CA4E696">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Ma, M., &amp; Hu, Q. (2024). Microalgae as feed sources and feed additives for sustainable aquaculture: Prospects and challenges. Reviews in Aquaculture, 16(2), 818-835. </w:t>
      </w:r>
      <w:r>
        <w:fldChar w:fldCharType="begin"/>
      </w:r>
      <w:r>
        <w:instrText xml:space="preserve"> HYPERLINK "https://doi.org/10.1111/raq.12869" </w:instrText>
      </w:r>
      <w:r>
        <w:fldChar w:fldCharType="separate"/>
      </w:r>
      <w:r>
        <w:rPr>
          <w:rFonts w:ascii="Times New Roman" w:hAnsi="Times New Roman" w:cs="Times New Roman" w:eastAsiaTheme="minorHAnsi"/>
          <w:lang w:eastAsia="en-US"/>
        </w:rPr>
        <w:t>https://doi.org/10.1111/raq.12869</w:t>
      </w:r>
      <w:r>
        <w:rPr>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0D2EF01F">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Mulyani, S., Budi, S., Cahyono, I., &amp; Khairiman, K. (2023). Effect of Vitamin C Bioencapsulation in Natural Feed on Protein, Fat, Energy, and Mortality of Milkfish Larvae (Chanos chanos). Jurnal Kelautan Tropis, 26(2), 272-282. https://doi.org/10.14710/jkt.v26i2.17969</w:t>
      </w:r>
    </w:p>
    <w:p w14:paraId="5CBE90D4">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Rahman, M. M., Kim, K. W., &amp; Lee, S. M. (2022). Apparent digestibility coefficients of animal feed ingredients for olive flounder (Paralichthys olivaceus). Fisheries and Aquatic Sciences, 25(11), 537-548. </w:t>
      </w:r>
      <w:r>
        <w:fldChar w:fldCharType="begin"/>
      </w:r>
      <w:r>
        <w:instrText xml:space="preserve"> HYPERLINK "https://doi.org/10.47853/FAS.2022.e48" </w:instrText>
      </w:r>
      <w:r>
        <w:fldChar w:fldCharType="separate"/>
      </w:r>
      <w:r>
        <w:rPr>
          <w:rStyle w:val="19"/>
          <w:rFonts w:ascii="Times New Roman" w:hAnsi="Times New Roman" w:cs="Times New Roman" w:eastAsiaTheme="minorHAnsi"/>
          <w:lang w:eastAsia="en-US"/>
        </w:rPr>
        <w:t>https://doi.org/10.47853/FAS.2022.e48</w:t>
      </w:r>
      <w:r>
        <w:rPr>
          <w:rStyle w:val="19"/>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15C6FE5E">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Roohani, A. M., Abedian Kenari, A., Fallahi Kapoorchali, M., Borani, M. S., Zoriezahra, S. J., Smiley, A. H., ... &amp; Rombenso, A. N. (2019). Effect of spirulina Spirulina platensis as a complementary ingredient to reduce dietary fish meal on the growth performance, whole‐body composition, fatty acid and amino acid profiles, and pigmentation of Caspian brown trout (Salmo trutta caspius) juveniles. Aquaculture Nutrition, 25(3), 633-645. </w:t>
      </w:r>
      <w:r>
        <w:fldChar w:fldCharType="begin"/>
      </w:r>
      <w:r>
        <w:instrText xml:space="preserve"> HYPERLINK "https://doi.org/10.1111/anu.12885" </w:instrText>
      </w:r>
      <w:r>
        <w:fldChar w:fldCharType="separate"/>
      </w:r>
      <w:r>
        <w:rPr>
          <w:rFonts w:ascii="Times New Roman" w:hAnsi="Times New Roman" w:cs="Times New Roman" w:eastAsiaTheme="minorHAnsi"/>
          <w:lang w:eastAsia="en-US"/>
        </w:rPr>
        <w:t>https://doi.org/10.1111/anu.12885</w:t>
      </w:r>
      <w:r>
        <w:rPr>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w:t>
      </w:r>
    </w:p>
    <w:p w14:paraId="0E191E77">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Shah, M. R., Lutzu, G. A., Alam, A., Sarker, P., Kabir Chowdhury, M. A., Parsaeimehr, A., ... &amp; Daroch, M. (2018). Microalgae in aquafeeds for a sustainable aquaculture industry. Journal of applied phycology, 30(1), 197-213. </w:t>
      </w:r>
      <w:r>
        <w:fldChar w:fldCharType="begin"/>
      </w:r>
      <w:r>
        <w:instrText xml:space="preserve"> HYPERLINK "https://doi.org/10.1007/s10811-017-1234-z" </w:instrText>
      </w:r>
      <w:r>
        <w:fldChar w:fldCharType="separate"/>
      </w:r>
      <w:r>
        <w:rPr>
          <w:rFonts w:ascii="Times New Roman" w:hAnsi="Times New Roman" w:cs="Times New Roman" w:eastAsiaTheme="minorHAnsi"/>
          <w:lang w:eastAsia="en-US"/>
        </w:rPr>
        <w:t>https://doi.org/10.1007/s10811-017-1234-z</w:t>
      </w:r>
      <w:r>
        <w:rPr>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74B26530">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Sontakke, R., Tiwari, V. K., Paniprasad, K., Rani, A. M., &amp; Ande, M. P. (2019). NON-SPECIFIC IMMUNE AND ANTIOXIDANT STATUS OF MILKFISH, CHANOS CHANOS VARIES WITH THE CARBON SOURCE USED IN THE BIOFLOC SYSTEM. Journal of Experimental Zoology India, 22(1), 109. </w:t>
      </w:r>
      <w:r>
        <w:fldChar w:fldCharType="begin"/>
      </w:r>
      <w:r>
        <w:instrText xml:space="preserve"> HYPERLINK "https://www.researchgate.net/publication/339529129_NON-SPECIFIC_IMMUNE_AND_ANTIOXIDANT_STATUS_OF_MILKFISH_CHANOS_CHANOS_VARIES_WITH_THE_CARBON_SOURCE_USED_IN_THE_BIOFLOC_SYSTEM" </w:instrText>
      </w:r>
      <w:r>
        <w:fldChar w:fldCharType="separate"/>
      </w:r>
      <w:r>
        <w:rPr>
          <w:rStyle w:val="19"/>
          <w:rFonts w:ascii="Times New Roman" w:hAnsi="Times New Roman" w:cs="Times New Roman" w:eastAsiaTheme="minorHAnsi"/>
          <w:lang w:eastAsia="en-US"/>
        </w:rPr>
        <w:t>https://www.researchgate.net/publication/339529129_NON-SPECIFIC_IMMUNE_AND_ANTIOXIDANT_STATUS_OF_MILKFISH_CHANOS_CHANOS_VARIES_WITH_THE_CARBON_SOURCE_USED_IN_THE_BIOFLOC_SYSTEM</w:t>
      </w:r>
      <w:r>
        <w:rPr>
          <w:rStyle w:val="19"/>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7AE0D7D9">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Spínola, M. P., Mendes, A. R., &amp; Prates, J. A. (2024). Chemical composition, bioactivities, and applications of Spirulina (Limnospira platensis) in food, feed, and medicine. Foods, 13(22), 3656. https://doi.org/10.3390/foods13223656</w:t>
      </w:r>
    </w:p>
    <w:p w14:paraId="1EC591F3">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Sukardi, P., Yansah, N., Winanto, T., Marnani, S., Prayogo, N. A., Harisam, T., &amp; Sudaryono, A. (2019). A Dietary Microcapsule Based On Single Cell Protein (Spirulina Platensis) For Milk Fish, Chanos-Chanos, Larvae. Biotropia, 26(3), 272109. </w:t>
      </w:r>
      <w:r>
        <w:fldChar w:fldCharType="begin"/>
      </w:r>
      <w:r>
        <w:instrText xml:space="preserve"> HYPERLINK "https://doi.org/10.11598/btb.2019.26.3.1103" </w:instrText>
      </w:r>
      <w:r>
        <w:fldChar w:fldCharType="separate"/>
      </w:r>
      <w:r>
        <w:rPr>
          <w:rStyle w:val="19"/>
          <w:rFonts w:ascii="Times New Roman" w:hAnsi="Times New Roman" w:cs="Times New Roman" w:eastAsiaTheme="minorHAnsi"/>
          <w:lang w:eastAsia="en-US"/>
        </w:rPr>
        <w:t>https://doi.org/10.11598/btb.2019.26.3.1103</w:t>
      </w:r>
      <w:r>
        <w:rPr>
          <w:rStyle w:val="19"/>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1C7CE355">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Sun, D., Wang, C., Xiang, W., Xu, X., Wu, H., &amp; Zou, J. (2026). Replacing Fish Meal with Spirulina platensis powder During the Weaning Period of Zig-zag eel (Mastacembelus armatus): Effects on Growth, Survival Rate, Digestive Organ Responses, and Gut Microbiota Changes. Animal Feed Science and Technology, 116964. 10.1016/j.anifeedsci.2026.116641.  </w:t>
      </w:r>
    </w:p>
    <w:p w14:paraId="7E29F55D">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Youssef, I. M., Saleh, E. S., Tawfeek, S. S., Abdel-Fadeel, A. A., Abdel-Razik, A. R. H., &amp; Abdel-Daim, A. S. (2023). Effect of Spirulina platensis on growth, hematological, biochemical, and immunological parameters of Nile tilapia (Oreochromis niloticus). Tropical Animal Health and Production, 55(4), 275.DOI: 10.1007/s11250-023-03657-3</w:t>
      </w:r>
    </w:p>
    <w:p w14:paraId="2AB6E78C">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Zhang, F., Man, Y. B., Mo, W. Y., &amp; Wong, M. H. (2020). Application of Spirulina in aquaculture: a review on wastewater treatment and fish growth. Reviews in Aquaculture, 12(2), 582-599. </w:t>
      </w:r>
      <w:r>
        <w:fldChar w:fldCharType="begin"/>
      </w:r>
      <w:r>
        <w:instrText xml:space="preserve"> HYPERLINK "https://doi.org/10.1111/raq.12341" </w:instrText>
      </w:r>
      <w:r>
        <w:fldChar w:fldCharType="separate"/>
      </w:r>
      <w:r>
        <w:rPr>
          <w:rFonts w:ascii="Times New Roman" w:hAnsi="Times New Roman" w:cs="Times New Roman" w:eastAsiaTheme="minorHAnsi"/>
          <w:lang w:eastAsia="en-US"/>
        </w:rPr>
        <w:t>https://doi.org/10.1111/raq.12341</w:t>
      </w:r>
      <w:r>
        <w:rPr>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p w14:paraId="45DDBBF4">
      <w:pPr>
        <w:spacing w:line="240" w:lineRule="auto"/>
        <w:ind w:left="864" w:hanging="864" w:hangingChars="360"/>
        <w:jc w:val="both"/>
        <w:rPr>
          <w:rFonts w:ascii="Times New Roman" w:hAnsi="Times New Roman" w:cs="Times New Roman" w:eastAsiaTheme="minorHAnsi"/>
          <w:lang w:eastAsia="en-US"/>
        </w:rPr>
      </w:pPr>
      <w:r>
        <w:rPr>
          <w:rFonts w:ascii="Times New Roman" w:hAnsi="Times New Roman" w:cs="Times New Roman" w:eastAsiaTheme="minorHAnsi"/>
          <w:lang w:eastAsia="en-US"/>
        </w:rPr>
        <w:t xml:space="preserve">Zhang, W., Deng, Y., Yang, Z., Kong, Q., Liu, P., Liao, H., &amp; Tang, H. (2024). Effects of partial replacement of fishmeal with Spirulina platensis powder and addition of Spirulina platensis polysaccharide on growth, nutrition, antioxidant capacity and gut microbiota of Micropterus salmoides. Aquaculture, 586, 740802. </w:t>
      </w:r>
      <w:r>
        <w:fldChar w:fldCharType="begin"/>
      </w:r>
      <w:r>
        <w:instrText xml:space="preserve"> HYPERLINK "https://www.sciencedirect.com/science/article/pii/S0044848624002631" </w:instrText>
      </w:r>
      <w:r>
        <w:fldChar w:fldCharType="separate"/>
      </w:r>
      <w:r>
        <w:rPr>
          <w:rFonts w:ascii="Times New Roman" w:hAnsi="Times New Roman" w:cs="Times New Roman" w:eastAsiaTheme="minorHAnsi"/>
          <w:lang w:eastAsia="en-US"/>
        </w:rPr>
        <w:t>https://www.sciencedirect.com/science/article/pii/S0044848624002631</w:t>
      </w:r>
      <w:r>
        <w:rPr>
          <w:rFonts w:ascii="Times New Roman" w:hAnsi="Times New Roman" w:cs="Times New Roman" w:eastAsiaTheme="minorHAnsi"/>
          <w:lang w:eastAsia="en-US"/>
        </w:rPr>
        <w:fldChar w:fldCharType="end"/>
      </w:r>
      <w:r>
        <w:rPr>
          <w:rFonts w:ascii="Times New Roman" w:hAnsi="Times New Roman" w:cs="Times New Roman" w:eastAsiaTheme="minorHAnsi"/>
          <w:lang w:eastAsia="en-US"/>
        </w:rPr>
        <w:t xml:space="preserve">. </w:t>
      </w:r>
    </w:p>
    <w:sectPr>
      <w:headerReference r:id="rId9" w:type="first"/>
      <w:footerReference r:id="rId12" w:type="first"/>
      <w:headerReference r:id="rId7" w:type="default"/>
      <w:footerReference r:id="rId10" w:type="default"/>
      <w:headerReference r:id="rId8" w:type="even"/>
      <w:footerReference r:id="rId11" w:type="even"/>
      <w:pgSz w:w="11906" w:h="16838"/>
      <w:pgMar w:top="1440" w:right="1440" w:bottom="1440" w:left="1440" w:header="708" w:footer="708" w:gutter="0"/>
      <w:cols w:space="708"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tapas" w:date="2026-10-26T19:32:08Z" w:initials="t">
    <w:p w14:paraId="2ECC6535">
      <w:pPr>
        <w:pStyle w:val="14"/>
        <w:rPr>
          <w:rFonts w:hint="default"/>
          <w:lang w:val="en-US"/>
        </w:rPr>
      </w:pPr>
      <w:r>
        <w:rPr>
          <w:rFonts w:hint="default"/>
          <w:lang w:val="en-US"/>
        </w:rPr>
        <w:t>Spirulina platensis meal (SPM)</w:t>
      </w:r>
    </w:p>
  </w:comment>
  <w:comment w:id="1" w:author="tapas" w:date="2026-10-26T19:38:00Z" w:initials="t">
    <w:p w14:paraId="1FA7D31E">
      <w:pPr>
        <w:pStyle w:val="14"/>
        <w:rPr>
          <w:rFonts w:hint="default"/>
          <w:lang w:val="en-US"/>
        </w:rPr>
      </w:pPr>
      <w:r>
        <w:rPr>
          <w:rFonts w:hint="default"/>
          <w:lang w:val="en-US"/>
        </w:rPr>
        <w:t>Spirulina platensis meal (SPM)</w:t>
      </w:r>
    </w:p>
    <w:p w14:paraId="5198F144">
      <w:pPr>
        <w:pStyle w:val="14"/>
      </w:pPr>
    </w:p>
  </w:comment>
  <w:comment w:id="2" w:author="tapas" w:date="2026-10-26T19:39:22Z" w:initials="t">
    <w:p w14:paraId="12E88140">
      <w:pPr>
        <w:pStyle w:val="14"/>
        <w:rPr>
          <w:rFonts w:hint="default"/>
          <w:lang w:val="en-US"/>
        </w:rPr>
      </w:pPr>
      <w:r>
        <w:rPr>
          <w:rFonts w:hint="default"/>
          <w:lang w:val="en-US"/>
        </w:rPr>
        <w:t xml:space="preserve">Put some experimental pictures </w:t>
      </w:r>
    </w:p>
  </w:comment>
  <w:comment w:id="3" w:author="tapas" w:date="2026-10-26T19:40:29Z" w:initials="t">
    <w:p w14:paraId="30B50CFD">
      <w:pPr>
        <w:pStyle w:val="14"/>
        <w:rPr>
          <w:rFonts w:hint="default"/>
          <w:lang w:val="en-US"/>
        </w:rPr>
      </w:pPr>
      <w:r>
        <w:rPr>
          <w:rFonts w:hint="default"/>
          <w:lang w:val="en-US"/>
        </w:rPr>
        <w:t>Recheck journal reference structure</w:t>
      </w:r>
      <w:bookmarkStart w:id="0" w:name="_GoBack"/>
      <w:bookmarkEnd w:id="0"/>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ECC6535" w15:done="0"/>
  <w15:commentEx w15:paraId="5198F144" w15:done="0"/>
  <w15:commentEx w15:paraId="12E88140" w15:done="0"/>
  <w15:commentEx w15:paraId="30B50CF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Light">
    <w:altName w:val="Siyam Rupali"/>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Cambria">
    <w:panose1 w:val="02040503050406030204"/>
    <w:charset w:val="00"/>
    <w:family w:val="roman"/>
    <w:pitch w:val="default"/>
    <w:sig w:usb0="E00006FF" w:usb1="420024FF" w:usb2="02000000" w:usb3="00000000" w:csb0="2000019F"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Microsoft YaHei">
    <w:panose1 w:val="020B0503020204020204"/>
    <w:charset w:val="86"/>
    <w:family w:val="auto"/>
    <w:pitch w:val="default"/>
    <w:sig w:usb0="80000287" w:usb1="2ACF3C50" w:usb2="00000016" w:usb3="00000000" w:csb0="0004001F" w:csb1="00000000"/>
  </w:font>
  <w:font w:name="Siyam Rupali">
    <w:panose1 w:val="02000500000000020004"/>
    <w:charset w:val="00"/>
    <w:family w:val="auto"/>
    <w:pitch w:val="default"/>
    <w:sig w:usb0="0001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9E756">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ED0E7">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BBC1A">
    <w:pPr>
      <w:pStyle w:val="1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AFB98">
    <w:pPr>
      <w:pStyle w:val="18"/>
    </w:pPr>
    <w:r>
      <w:pict>
        <v:shape id="PowerPlusWaterMarkObject1045416986" o:spid="_x0000_s1027" o:spt="136" type="#_x0000_t136" style="position:absolute;left:0pt;height:100.45pt;width:535.8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path="t" trim="f" xscale="f" string="UNDER PEER REVIEW" style="font-family:Calibri;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23BC1">
    <w:pPr>
      <w:pStyle w:val="18"/>
    </w:pPr>
    <w:r>
      <w:pict>
        <v:shape id="PowerPlusWaterMarkObject1045416985" o:spid="_x0000_s1026" o:spt="136" type="#_x0000_t136" style="position:absolute;left:0pt;height:100.45pt;width:535.8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UNDER PEER REVIEW" style="font-family:Calibri;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95C7A">
    <w:pPr>
      <w:pStyle w:val="18"/>
    </w:pPr>
    <w:r>
      <w:pict>
        <v:shape id="PowerPlusWaterMarkObject1045416984" o:spid="_x0000_s1025" o:spt="136" type="#_x0000_t136" style="position:absolute;left:0pt;height:100.45pt;width:535.8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UNDER PEER REVIEW" style="font-family:Calibri;font-size:1pt;v-text-align:center;"/>
        </v:shape>
      </w:pic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tapas">
    <w15:presenceInfo w15:providerId="None" w15:userId="tap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ocumentProtection w:enforcement="0"/>
  <w:defaultTabStop w:val="720"/>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5D2"/>
    <w:rsid w:val="000002E6"/>
    <w:rsid w:val="00002635"/>
    <w:rsid w:val="00003268"/>
    <w:rsid w:val="00007D17"/>
    <w:rsid w:val="000129CD"/>
    <w:rsid w:val="000155A4"/>
    <w:rsid w:val="00015D49"/>
    <w:rsid w:val="000205BD"/>
    <w:rsid w:val="00021BFE"/>
    <w:rsid w:val="0002240A"/>
    <w:rsid w:val="00027EB1"/>
    <w:rsid w:val="00033CB2"/>
    <w:rsid w:val="000355AA"/>
    <w:rsid w:val="000367BA"/>
    <w:rsid w:val="00041EE0"/>
    <w:rsid w:val="000428F6"/>
    <w:rsid w:val="00043EBE"/>
    <w:rsid w:val="000442F3"/>
    <w:rsid w:val="00052131"/>
    <w:rsid w:val="00052564"/>
    <w:rsid w:val="00052D11"/>
    <w:rsid w:val="00055C76"/>
    <w:rsid w:val="000567CC"/>
    <w:rsid w:val="00056C8E"/>
    <w:rsid w:val="00057FEF"/>
    <w:rsid w:val="00060C17"/>
    <w:rsid w:val="00063E6C"/>
    <w:rsid w:val="00063EC3"/>
    <w:rsid w:val="000658F2"/>
    <w:rsid w:val="00065B4C"/>
    <w:rsid w:val="0007230B"/>
    <w:rsid w:val="00072F68"/>
    <w:rsid w:val="00074377"/>
    <w:rsid w:val="0007725C"/>
    <w:rsid w:val="00077761"/>
    <w:rsid w:val="00082BB2"/>
    <w:rsid w:val="000841D2"/>
    <w:rsid w:val="00084ED4"/>
    <w:rsid w:val="00090EFF"/>
    <w:rsid w:val="0009151E"/>
    <w:rsid w:val="00092106"/>
    <w:rsid w:val="0009354D"/>
    <w:rsid w:val="000940DD"/>
    <w:rsid w:val="00094DA0"/>
    <w:rsid w:val="0009578D"/>
    <w:rsid w:val="00096D77"/>
    <w:rsid w:val="000A01BE"/>
    <w:rsid w:val="000A2FF5"/>
    <w:rsid w:val="000B7763"/>
    <w:rsid w:val="000C3D54"/>
    <w:rsid w:val="000C571F"/>
    <w:rsid w:val="000C610D"/>
    <w:rsid w:val="000C6403"/>
    <w:rsid w:val="000C77CF"/>
    <w:rsid w:val="000D093D"/>
    <w:rsid w:val="000E0EBC"/>
    <w:rsid w:val="000E78AB"/>
    <w:rsid w:val="000F0919"/>
    <w:rsid w:val="000F1182"/>
    <w:rsid w:val="000F1ED7"/>
    <w:rsid w:val="000F70C3"/>
    <w:rsid w:val="000F7C58"/>
    <w:rsid w:val="001035A6"/>
    <w:rsid w:val="00114CFA"/>
    <w:rsid w:val="00114F37"/>
    <w:rsid w:val="00115CE6"/>
    <w:rsid w:val="00117FA7"/>
    <w:rsid w:val="00121B51"/>
    <w:rsid w:val="00125FB3"/>
    <w:rsid w:val="00133DF9"/>
    <w:rsid w:val="00134F77"/>
    <w:rsid w:val="00135AE4"/>
    <w:rsid w:val="0014096B"/>
    <w:rsid w:val="0014214F"/>
    <w:rsid w:val="00142BDA"/>
    <w:rsid w:val="00144E82"/>
    <w:rsid w:val="00145690"/>
    <w:rsid w:val="00146B31"/>
    <w:rsid w:val="00151116"/>
    <w:rsid w:val="001535C5"/>
    <w:rsid w:val="001566B3"/>
    <w:rsid w:val="00162147"/>
    <w:rsid w:val="00163B94"/>
    <w:rsid w:val="001676F6"/>
    <w:rsid w:val="00170BA3"/>
    <w:rsid w:val="00170BB0"/>
    <w:rsid w:val="0017446B"/>
    <w:rsid w:val="0017656F"/>
    <w:rsid w:val="0017744D"/>
    <w:rsid w:val="0019094A"/>
    <w:rsid w:val="00192965"/>
    <w:rsid w:val="0019368A"/>
    <w:rsid w:val="001943BC"/>
    <w:rsid w:val="001A07FE"/>
    <w:rsid w:val="001A44E7"/>
    <w:rsid w:val="001A53A0"/>
    <w:rsid w:val="001A7B88"/>
    <w:rsid w:val="001B0C5E"/>
    <w:rsid w:val="001B7CF1"/>
    <w:rsid w:val="001C02E9"/>
    <w:rsid w:val="001C56DD"/>
    <w:rsid w:val="001C7B33"/>
    <w:rsid w:val="001D0DE3"/>
    <w:rsid w:val="001D10A9"/>
    <w:rsid w:val="001D2748"/>
    <w:rsid w:val="001D4B4C"/>
    <w:rsid w:val="001D68E6"/>
    <w:rsid w:val="001D7CF9"/>
    <w:rsid w:val="001E5D32"/>
    <w:rsid w:val="001F345A"/>
    <w:rsid w:val="001F78F9"/>
    <w:rsid w:val="00200C81"/>
    <w:rsid w:val="002016F3"/>
    <w:rsid w:val="00204C3F"/>
    <w:rsid w:val="002058ED"/>
    <w:rsid w:val="00207284"/>
    <w:rsid w:val="002072F6"/>
    <w:rsid w:val="0020777B"/>
    <w:rsid w:val="00212BDF"/>
    <w:rsid w:val="00216961"/>
    <w:rsid w:val="002206F5"/>
    <w:rsid w:val="002220F6"/>
    <w:rsid w:val="002237E9"/>
    <w:rsid w:val="00223958"/>
    <w:rsid w:val="00224A0C"/>
    <w:rsid w:val="00225881"/>
    <w:rsid w:val="00225945"/>
    <w:rsid w:val="002270E0"/>
    <w:rsid w:val="00227D39"/>
    <w:rsid w:val="00233D22"/>
    <w:rsid w:val="0023566E"/>
    <w:rsid w:val="00237FA9"/>
    <w:rsid w:val="00240CAB"/>
    <w:rsid w:val="002416F0"/>
    <w:rsid w:val="00243FA5"/>
    <w:rsid w:val="002446A1"/>
    <w:rsid w:val="00246343"/>
    <w:rsid w:val="00251231"/>
    <w:rsid w:val="00253C34"/>
    <w:rsid w:val="002554F3"/>
    <w:rsid w:val="00255CF3"/>
    <w:rsid w:val="00257555"/>
    <w:rsid w:val="00262E21"/>
    <w:rsid w:val="0026417B"/>
    <w:rsid w:val="00264A69"/>
    <w:rsid w:val="00264E74"/>
    <w:rsid w:val="002725E6"/>
    <w:rsid w:val="00275011"/>
    <w:rsid w:val="002771D9"/>
    <w:rsid w:val="00277523"/>
    <w:rsid w:val="00290CB8"/>
    <w:rsid w:val="0029131E"/>
    <w:rsid w:val="00292054"/>
    <w:rsid w:val="00293619"/>
    <w:rsid w:val="0029452E"/>
    <w:rsid w:val="002A0BB4"/>
    <w:rsid w:val="002A20F4"/>
    <w:rsid w:val="002A25D3"/>
    <w:rsid w:val="002A2868"/>
    <w:rsid w:val="002A7EA9"/>
    <w:rsid w:val="002B30FB"/>
    <w:rsid w:val="002B46D2"/>
    <w:rsid w:val="002B5924"/>
    <w:rsid w:val="002B6417"/>
    <w:rsid w:val="002C0792"/>
    <w:rsid w:val="002C07CD"/>
    <w:rsid w:val="002C154B"/>
    <w:rsid w:val="002C1597"/>
    <w:rsid w:val="002C58D4"/>
    <w:rsid w:val="002D04C8"/>
    <w:rsid w:val="002D40F2"/>
    <w:rsid w:val="002E3D23"/>
    <w:rsid w:val="002E4B51"/>
    <w:rsid w:val="002E4D40"/>
    <w:rsid w:val="002E7446"/>
    <w:rsid w:val="002E7AD4"/>
    <w:rsid w:val="002F04BF"/>
    <w:rsid w:val="002F1217"/>
    <w:rsid w:val="002F35E6"/>
    <w:rsid w:val="002F4262"/>
    <w:rsid w:val="002F4D9B"/>
    <w:rsid w:val="002F5196"/>
    <w:rsid w:val="002F7523"/>
    <w:rsid w:val="00301820"/>
    <w:rsid w:val="0030186C"/>
    <w:rsid w:val="00305943"/>
    <w:rsid w:val="00321DFE"/>
    <w:rsid w:val="00322951"/>
    <w:rsid w:val="00326567"/>
    <w:rsid w:val="003351A5"/>
    <w:rsid w:val="00340CF6"/>
    <w:rsid w:val="00344722"/>
    <w:rsid w:val="00344FDA"/>
    <w:rsid w:val="00353608"/>
    <w:rsid w:val="00361829"/>
    <w:rsid w:val="00363165"/>
    <w:rsid w:val="00365706"/>
    <w:rsid w:val="00366DE0"/>
    <w:rsid w:val="00367815"/>
    <w:rsid w:val="003702E2"/>
    <w:rsid w:val="00370374"/>
    <w:rsid w:val="00370493"/>
    <w:rsid w:val="00371AA3"/>
    <w:rsid w:val="00371F8A"/>
    <w:rsid w:val="0037231B"/>
    <w:rsid w:val="0037605B"/>
    <w:rsid w:val="00383878"/>
    <w:rsid w:val="00387D86"/>
    <w:rsid w:val="003913D1"/>
    <w:rsid w:val="00393285"/>
    <w:rsid w:val="003978C3"/>
    <w:rsid w:val="00397B32"/>
    <w:rsid w:val="003A01ED"/>
    <w:rsid w:val="003A590D"/>
    <w:rsid w:val="003B02F8"/>
    <w:rsid w:val="003B125E"/>
    <w:rsid w:val="003B13F0"/>
    <w:rsid w:val="003B1590"/>
    <w:rsid w:val="003B30E1"/>
    <w:rsid w:val="003B3883"/>
    <w:rsid w:val="003C6A6C"/>
    <w:rsid w:val="003D32A3"/>
    <w:rsid w:val="003D4376"/>
    <w:rsid w:val="003D658C"/>
    <w:rsid w:val="003E0586"/>
    <w:rsid w:val="003E4701"/>
    <w:rsid w:val="003E4E76"/>
    <w:rsid w:val="003E580D"/>
    <w:rsid w:val="003F0128"/>
    <w:rsid w:val="003F0AE5"/>
    <w:rsid w:val="003F1F3B"/>
    <w:rsid w:val="003F5A86"/>
    <w:rsid w:val="00405651"/>
    <w:rsid w:val="004069FB"/>
    <w:rsid w:val="00414B61"/>
    <w:rsid w:val="00417393"/>
    <w:rsid w:val="00420A28"/>
    <w:rsid w:val="00421F83"/>
    <w:rsid w:val="004224FD"/>
    <w:rsid w:val="00423A3D"/>
    <w:rsid w:val="00425D78"/>
    <w:rsid w:val="00430E22"/>
    <w:rsid w:val="00445F6F"/>
    <w:rsid w:val="00453633"/>
    <w:rsid w:val="00457363"/>
    <w:rsid w:val="0046094F"/>
    <w:rsid w:val="00460A24"/>
    <w:rsid w:val="0046460C"/>
    <w:rsid w:val="0047260C"/>
    <w:rsid w:val="00472D86"/>
    <w:rsid w:val="004763F8"/>
    <w:rsid w:val="00481005"/>
    <w:rsid w:val="004843A4"/>
    <w:rsid w:val="0049046F"/>
    <w:rsid w:val="00490E08"/>
    <w:rsid w:val="00490ED1"/>
    <w:rsid w:val="0049266C"/>
    <w:rsid w:val="00494AAE"/>
    <w:rsid w:val="00496800"/>
    <w:rsid w:val="00497E20"/>
    <w:rsid w:val="004A0270"/>
    <w:rsid w:val="004A286C"/>
    <w:rsid w:val="004A2AAC"/>
    <w:rsid w:val="004A6684"/>
    <w:rsid w:val="004A7947"/>
    <w:rsid w:val="004B2DB3"/>
    <w:rsid w:val="004B420B"/>
    <w:rsid w:val="004B4B37"/>
    <w:rsid w:val="004C2641"/>
    <w:rsid w:val="004C2B54"/>
    <w:rsid w:val="004C45AF"/>
    <w:rsid w:val="004C49F7"/>
    <w:rsid w:val="004C53E5"/>
    <w:rsid w:val="004D3478"/>
    <w:rsid w:val="004D36C2"/>
    <w:rsid w:val="004E4D5C"/>
    <w:rsid w:val="004E6BF6"/>
    <w:rsid w:val="00500010"/>
    <w:rsid w:val="00500912"/>
    <w:rsid w:val="00507145"/>
    <w:rsid w:val="00510778"/>
    <w:rsid w:val="00514B7F"/>
    <w:rsid w:val="00515B27"/>
    <w:rsid w:val="00516CF3"/>
    <w:rsid w:val="00516DE3"/>
    <w:rsid w:val="005229EB"/>
    <w:rsid w:val="00526618"/>
    <w:rsid w:val="0053016A"/>
    <w:rsid w:val="005474F5"/>
    <w:rsid w:val="005531E3"/>
    <w:rsid w:val="005579AD"/>
    <w:rsid w:val="00560C36"/>
    <w:rsid w:val="00560C9F"/>
    <w:rsid w:val="00561AD4"/>
    <w:rsid w:val="00561C43"/>
    <w:rsid w:val="005729AE"/>
    <w:rsid w:val="00572B0C"/>
    <w:rsid w:val="00573086"/>
    <w:rsid w:val="005745EA"/>
    <w:rsid w:val="00575715"/>
    <w:rsid w:val="00580396"/>
    <w:rsid w:val="00581BDB"/>
    <w:rsid w:val="00583F76"/>
    <w:rsid w:val="0058514F"/>
    <w:rsid w:val="00590B9A"/>
    <w:rsid w:val="00592B47"/>
    <w:rsid w:val="0059473F"/>
    <w:rsid w:val="00595A70"/>
    <w:rsid w:val="005A1FA0"/>
    <w:rsid w:val="005A25BF"/>
    <w:rsid w:val="005A7FAA"/>
    <w:rsid w:val="005B0579"/>
    <w:rsid w:val="005B1E6B"/>
    <w:rsid w:val="005B41B5"/>
    <w:rsid w:val="005B435C"/>
    <w:rsid w:val="005B6EB9"/>
    <w:rsid w:val="005B7483"/>
    <w:rsid w:val="005C052F"/>
    <w:rsid w:val="005C05BF"/>
    <w:rsid w:val="005C1D37"/>
    <w:rsid w:val="005C3DD7"/>
    <w:rsid w:val="005D2683"/>
    <w:rsid w:val="005D4F75"/>
    <w:rsid w:val="005D5A62"/>
    <w:rsid w:val="005D6AE8"/>
    <w:rsid w:val="005D6B7D"/>
    <w:rsid w:val="005E04B3"/>
    <w:rsid w:val="005E112B"/>
    <w:rsid w:val="005E28B8"/>
    <w:rsid w:val="005E4272"/>
    <w:rsid w:val="005E5D46"/>
    <w:rsid w:val="005F19D9"/>
    <w:rsid w:val="005F1CF7"/>
    <w:rsid w:val="005F2D47"/>
    <w:rsid w:val="005F7DEE"/>
    <w:rsid w:val="00605D0F"/>
    <w:rsid w:val="0060658C"/>
    <w:rsid w:val="00607785"/>
    <w:rsid w:val="00607BFC"/>
    <w:rsid w:val="0061413A"/>
    <w:rsid w:val="00617F9C"/>
    <w:rsid w:val="006221B9"/>
    <w:rsid w:val="00630AF4"/>
    <w:rsid w:val="0063226F"/>
    <w:rsid w:val="00633235"/>
    <w:rsid w:val="00633AA5"/>
    <w:rsid w:val="00644846"/>
    <w:rsid w:val="00644A82"/>
    <w:rsid w:val="00652493"/>
    <w:rsid w:val="00663878"/>
    <w:rsid w:val="00667088"/>
    <w:rsid w:val="00667281"/>
    <w:rsid w:val="00671339"/>
    <w:rsid w:val="00674E9C"/>
    <w:rsid w:val="006776E9"/>
    <w:rsid w:val="00680C46"/>
    <w:rsid w:val="00680EC9"/>
    <w:rsid w:val="00681005"/>
    <w:rsid w:val="00681659"/>
    <w:rsid w:val="00682738"/>
    <w:rsid w:val="006837B2"/>
    <w:rsid w:val="00683A79"/>
    <w:rsid w:val="00684C9E"/>
    <w:rsid w:val="0068517C"/>
    <w:rsid w:val="0068610B"/>
    <w:rsid w:val="006873D3"/>
    <w:rsid w:val="006929E2"/>
    <w:rsid w:val="00692ABE"/>
    <w:rsid w:val="00692C32"/>
    <w:rsid w:val="00694BC5"/>
    <w:rsid w:val="00694C47"/>
    <w:rsid w:val="00694DF9"/>
    <w:rsid w:val="00695D4F"/>
    <w:rsid w:val="006968F3"/>
    <w:rsid w:val="006A3580"/>
    <w:rsid w:val="006A3ED0"/>
    <w:rsid w:val="006C0791"/>
    <w:rsid w:val="006C226A"/>
    <w:rsid w:val="006C2437"/>
    <w:rsid w:val="006C3753"/>
    <w:rsid w:val="006C7DFC"/>
    <w:rsid w:val="006D38CD"/>
    <w:rsid w:val="006D6B08"/>
    <w:rsid w:val="006D73AC"/>
    <w:rsid w:val="006E4906"/>
    <w:rsid w:val="006E49A6"/>
    <w:rsid w:val="006E4EAD"/>
    <w:rsid w:val="006E4FA2"/>
    <w:rsid w:val="006E50BA"/>
    <w:rsid w:val="006E6F6B"/>
    <w:rsid w:val="006E7788"/>
    <w:rsid w:val="006F2CF9"/>
    <w:rsid w:val="006F3FEE"/>
    <w:rsid w:val="006F6445"/>
    <w:rsid w:val="006F75E1"/>
    <w:rsid w:val="007001E7"/>
    <w:rsid w:val="00701C48"/>
    <w:rsid w:val="00701D37"/>
    <w:rsid w:val="00701E0D"/>
    <w:rsid w:val="00703A48"/>
    <w:rsid w:val="00704279"/>
    <w:rsid w:val="00707758"/>
    <w:rsid w:val="00712E82"/>
    <w:rsid w:val="0071309F"/>
    <w:rsid w:val="00714AF4"/>
    <w:rsid w:val="00716551"/>
    <w:rsid w:val="007207BD"/>
    <w:rsid w:val="00723B91"/>
    <w:rsid w:val="00730739"/>
    <w:rsid w:val="00733FB0"/>
    <w:rsid w:val="00740BD3"/>
    <w:rsid w:val="00751E77"/>
    <w:rsid w:val="00752075"/>
    <w:rsid w:val="00752AAE"/>
    <w:rsid w:val="00754FD9"/>
    <w:rsid w:val="00760B2B"/>
    <w:rsid w:val="00763107"/>
    <w:rsid w:val="00763C2D"/>
    <w:rsid w:val="0076593C"/>
    <w:rsid w:val="007742E3"/>
    <w:rsid w:val="00775A8C"/>
    <w:rsid w:val="00775DB2"/>
    <w:rsid w:val="00784A4D"/>
    <w:rsid w:val="0078523A"/>
    <w:rsid w:val="007855C2"/>
    <w:rsid w:val="00785953"/>
    <w:rsid w:val="007863E9"/>
    <w:rsid w:val="007923AA"/>
    <w:rsid w:val="00795674"/>
    <w:rsid w:val="00795E84"/>
    <w:rsid w:val="007B1B06"/>
    <w:rsid w:val="007B718D"/>
    <w:rsid w:val="007B74B4"/>
    <w:rsid w:val="007C08F2"/>
    <w:rsid w:val="007C28C9"/>
    <w:rsid w:val="007C6815"/>
    <w:rsid w:val="007D103C"/>
    <w:rsid w:val="007D32C0"/>
    <w:rsid w:val="007D3E81"/>
    <w:rsid w:val="007D5F38"/>
    <w:rsid w:val="007E5F3C"/>
    <w:rsid w:val="007E66CC"/>
    <w:rsid w:val="007F199C"/>
    <w:rsid w:val="007F22C4"/>
    <w:rsid w:val="007F38A8"/>
    <w:rsid w:val="007F3B44"/>
    <w:rsid w:val="007F7EAA"/>
    <w:rsid w:val="00803CA9"/>
    <w:rsid w:val="00804440"/>
    <w:rsid w:val="00812313"/>
    <w:rsid w:val="00812E26"/>
    <w:rsid w:val="008130A2"/>
    <w:rsid w:val="00813860"/>
    <w:rsid w:val="00814F11"/>
    <w:rsid w:val="008170E5"/>
    <w:rsid w:val="00817398"/>
    <w:rsid w:val="00817E14"/>
    <w:rsid w:val="0082139C"/>
    <w:rsid w:val="00821CAC"/>
    <w:rsid w:val="00825F0C"/>
    <w:rsid w:val="008350CD"/>
    <w:rsid w:val="0083787F"/>
    <w:rsid w:val="008439FF"/>
    <w:rsid w:val="00845EAB"/>
    <w:rsid w:val="008461BF"/>
    <w:rsid w:val="00850674"/>
    <w:rsid w:val="00852718"/>
    <w:rsid w:val="00853223"/>
    <w:rsid w:val="00855662"/>
    <w:rsid w:val="00855B84"/>
    <w:rsid w:val="00856F57"/>
    <w:rsid w:val="008611D8"/>
    <w:rsid w:val="00863BB0"/>
    <w:rsid w:val="0086423C"/>
    <w:rsid w:val="008645CE"/>
    <w:rsid w:val="008663FA"/>
    <w:rsid w:val="0086725F"/>
    <w:rsid w:val="00867F47"/>
    <w:rsid w:val="00872418"/>
    <w:rsid w:val="00872593"/>
    <w:rsid w:val="00874C7A"/>
    <w:rsid w:val="00875AD2"/>
    <w:rsid w:val="00877738"/>
    <w:rsid w:val="00882E77"/>
    <w:rsid w:val="008862B0"/>
    <w:rsid w:val="00886519"/>
    <w:rsid w:val="008869AC"/>
    <w:rsid w:val="00890F4B"/>
    <w:rsid w:val="008944E6"/>
    <w:rsid w:val="0089568D"/>
    <w:rsid w:val="00896DC9"/>
    <w:rsid w:val="008A25A8"/>
    <w:rsid w:val="008A2636"/>
    <w:rsid w:val="008A3DFF"/>
    <w:rsid w:val="008A4164"/>
    <w:rsid w:val="008B37DA"/>
    <w:rsid w:val="008B3C12"/>
    <w:rsid w:val="008B5870"/>
    <w:rsid w:val="008C21B8"/>
    <w:rsid w:val="008C3D8C"/>
    <w:rsid w:val="008C5488"/>
    <w:rsid w:val="008C668F"/>
    <w:rsid w:val="008D1602"/>
    <w:rsid w:val="008D19B8"/>
    <w:rsid w:val="008D290B"/>
    <w:rsid w:val="008D75AC"/>
    <w:rsid w:val="008E07C6"/>
    <w:rsid w:val="008E1860"/>
    <w:rsid w:val="008E36DC"/>
    <w:rsid w:val="008E37B9"/>
    <w:rsid w:val="008E3938"/>
    <w:rsid w:val="008E47C9"/>
    <w:rsid w:val="008E5F64"/>
    <w:rsid w:val="008E6407"/>
    <w:rsid w:val="008E753A"/>
    <w:rsid w:val="008E7978"/>
    <w:rsid w:val="008E7C3A"/>
    <w:rsid w:val="008F2D65"/>
    <w:rsid w:val="008F3C89"/>
    <w:rsid w:val="008F4152"/>
    <w:rsid w:val="008F4850"/>
    <w:rsid w:val="008F494A"/>
    <w:rsid w:val="008F4EF6"/>
    <w:rsid w:val="008F5669"/>
    <w:rsid w:val="008F5A19"/>
    <w:rsid w:val="008F6E55"/>
    <w:rsid w:val="00903B1A"/>
    <w:rsid w:val="009052AB"/>
    <w:rsid w:val="009144D6"/>
    <w:rsid w:val="009165DB"/>
    <w:rsid w:val="00916E91"/>
    <w:rsid w:val="00920513"/>
    <w:rsid w:val="00920C48"/>
    <w:rsid w:val="00920F50"/>
    <w:rsid w:val="009303CD"/>
    <w:rsid w:val="009333FC"/>
    <w:rsid w:val="00936064"/>
    <w:rsid w:val="00943489"/>
    <w:rsid w:val="0094382E"/>
    <w:rsid w:val="009438BE"/>
    <w:rsid w:val="009463E0"/>
    <w:rsid w:val="0095002E"/>
    <w:rsid w:val="0095068A"/>
    <w:rsid w:val="0095070B"/>
    <w:rsid w:val="00953F17"/>
    <w:rsid w:val="00954102"/>
    <w:rsid w:val="00955403"/>
    <w:rsid w:val="00962ABB"/>
    <w:rsid w:val="0096390E"/>
    <w:rsid w:val="0096608C"/>
    <w:rsid w:val="00966E4D"/>
    <w:rsid w:val="009706B3"/>
    <w:rsid w:val="009742B6"/>
    <w:rsid w:val="00981CC2"/>
    <w:rsid w:val="00987411"/>
    <w:rsid w:val="00990D27"/>
    <w:rsid w:val="009945A3"/>
    <w:rsid w:val="00994B7A"/>
    <w:rsid w:val="00994F93"/>
    <w:rsid w:val="0099772B"/>
    <w:rsid w:val="00997782"/>
    <w:rsid w:val="009B1504"/>
    <w:rsid w:val="009B3254"/>
    <w:rsid w:val="009B3F71"/>
    <w:rsid w:val="009C33D5"/>
    <w:rsid w:val="009C5453"/>
    <w:rsid w:val="009D0E3A"/>
    <w:rsid w:val="009D46DD"/>
    <w:rsid w:val="009D7664"/>
    <w:rsid w:val="009E2929"/>
    <w:rsid w:val="009E2AA1"/>
    <w:rsid w:val="009E577B"/>
    <w:rsid w:val="009E5FF8"/>
    <w:rsid w:val="009F1433"/>
    <w:rsid w:val="009F1D53"/>
    <w:rsid w:val="009F2EA8"/>
    <w:rsid w:val="009F4FEA"/>
    <w:rsid w:val="009F6EC5"/>
    <w:rsid w:val="009F7777"/>
    <w:rsid w:val="00A0027A"/>
    <w:rsid w:val="00A0169A"/>
    <w:rsid w:val="00A01C4F"/>
    <w:rsid w:val="00A01F48"/>
    <w:rsid w:val="00A10B25"/>
    <w:rsid w:val="00A1551D"/>
    <w:rsid w:val="00A21318"/>
    <w:rsid w:val="00A352C1"/>
    <w:rsid w:val="00A35B1D"/>
    <w:rsid w:val="00A402D1"/>
    <w:rsid w:val="00A431DF"/>
    <w:rsid w:val="00A43E7F"/>
    <w:rsid w:val="00A46225"/>
    <w:rsid w:val="00A53B5D"/>
    <w:rsid w:val="00A56CB0"/>
    <w:rsid w:val="00A5724D"/>
    <w:rsid w:val="00A573E8"/>
    <w:rsid w:val="00A574CC"/>
    <w:rsid w:val="00A6015E"/>
    <w:rsid w:val="00A61896"/>
    <w:rsid w:val="00A621E7"/>
    <w:rsid w:val="00A62263"/>
    <w:rsid w:val="00A63EC7"/>
    <w:rsid w:val="00A65308"/>
    <w:rsid w:val="00A65903"/>
    <w:rsid w:val="00A668CD"/>
    <w:rsid w:val="00A66EE9"/>
    <w:rsid w:val="00A67451"/>
    <w:rsid w:val="00A75AD2"/>
    <w:rsid w:val="00A810FB"/>
    <w:rsid w:val="00A811FF"/>
    <w:rsid w:val="00A831A3"/>
    <w:rsid w:val="00A93CA5"/>
    <w:rsid w:val="00A95F80"/>
    <w:rsid w:val="00AA2727"/>
    <w:rsid w:val="00AA6CD6"/>
    <w:rsid w:val="00AB1F2E"/>
    <w:rsid w:val="00AB493E"/>
    <w:rsid w:val="00AB7658"/>
    <w:rsid w:val="00AB76EC"/>
    <w:rsid w:val="00AC02A4"/>
    <w:rsid w:val="00AC1336"/>
    <w:rsid w:val="00AC1AA4"/>
    <w:rsid w:val="00AC2B4A"/>
    <w:rsid w:val="00AC2DB7"/>
    <w:rsid w:val="00AC3F8C"/>
    <w:rsid w:val="00AC4661"/>
    <w:rsid w:val="00AC5C0C"/>
    <w:rsid w:val="00AC7763"/>
    <w:rsid w:val="00AD0197"/>
    <w:rsid w:val="00AD0277"/>
    <w:rsid w:val="00AD0C82"/>
    <w:rsid w:val="00AD3ADF"/>
    <w:rsid w:val="00AD3E28"/>
    <w:rsid w:val="00AD56EB"/>
    <w:rsid w:val="00AD5B5A"/>
    <w:rsid w:val="00AD7165"/>
    <w:rsid w:val="00AE4D41"/>
    <w:rsid w:val="00AE54AF"/>
    <w:rsid w:val="00AF062D"/>
    <w:rsid w:val="00AF1115"/>
    <w:rsid w:val="00AF7F12"/>
    <w:rsid w:val="00AF7F47"/>
    <w:rsid w:val="00B07AA2"/>
    <w:rsid w:val="00B1640F"/>
    <w:rsid w:val="00B215D2"/>
    <w:rsid w:val="00B2197A"/>
    <w:rsid w:val="00B225CD"/>
    <w:rsid w:val="00B2284F"/>
    <w:rsid w:val="00B22D8E"/>
    <w:rsid w:val="00B331BB"/>
    <w:rsid w:val="00B378F9"/>
    <w:rsid w:val="00B40475"/>
    <w:rsid w:val="00B438FF"/>
    <w:rsid w:val="00B442F1"/>
    <w:rsid w:val="00B45A47"/>
    <w:rsid w:val="00B50709"/>
    <w:rsid w:val="00B5107C"/>
    <w:rsid w:val="00B5702E"/>
    <w:rsid w:val="00B570FB"/>
    <w:rsid w:val="00B60A9C"/>
    <w:rsid w:val="00B65B91"/>
    <w:rsid w:val="00B73D5F"/>
    <w:rsid w:val="00B77A61"/>
    <w:rsid w:val="00B77B67"/>
    <w:rsid w:val="00B82A7E"/>
    <w:rsid w:val="00B8566F"/>
    <w:rsid w:val="00B93E14"/>
    <w:rsid w:val="00B94CDF"/>
    <w:rsid w:val="00B959D0"/>
    <w:rsid w:val="00B9649C"/>
    <w:rsid w:val="00B97B18"/>
    <w:rsid w:val="00BA4370"/>
    <w:rsid w:val="00BA46BA"/>
    <w:rsid w:val="00BA70C6"/>
    <w:rsid w:val="00BA7937"/>
    <w:rsid w:val="00BB2C19"/>
    <w:rsid w:val="00BB678B"/>
    <w:rsid w:val="00BC1BC1"/>
    <w:rsid w:val="00BC2464"/>
    <w:rsid w:val="00BD2E3E"/>
    <w:rsid w:val="00BD390D"/>
    <w:rsid w:val="00BD607C"/>
    <w:rsid w:val="00BD7EC7"/>
    <w:rsid w:val="00BD7F1F"/>
    <w:rsid w:val="00BE162F"/>
    <w:rsid w:val="00BE3682"/>
    <w:rsid w:val="00BE40ED"/>
    <w:rsid w:val="00BE5656"/>
    <w:rsid w:val="00BE68D6"/>
    <w:rsid w:val="00BE7EFA"/>
    <w:rsid w:val="00BF0851"/>
    <w:rsid w:val="00BF0932"/>
    <w:rsid w:val="00BF0F27"/>
    <w:rsid w:val="00BF4951"/>
    <w:rsid w:val="00BF53E1"/>
    <w:rsid w:val="00BF6F29"/>
    <w:rsid w:val="00C01173"/>
    <w:rsid w:val="00C036E2"/>
    <w:rsid w:val="00C03B5D"/>
    <w:rsid w:val="00C131DE"/>
    <w:rsid w:val="00C13D72"/>
    <w:rsid w:val="00C15D31"/>
    <w:rsid w:val="00C167F7"/>
    <w:rsid w:val="00C16BB5"/>
    <w:rsid w:val="00C201C7"/>
    <w:rsid w:val="00C2154D"/>
    <w:rsid w:val="00C26622"/>
    <w:rsid w:val="00C266B4"/>
    <w:rsid w:val="00C26F0C"/>
    <w:rsid w:val="00C32467"/>
    <w:rsid w:val="00C32DF5"/>
    <w:rsid w:val="00C3382A"/>
    <w:rsid w:val="00C40783"/>
    <w:rsid w:val="00C407BE"/>
    <w:rsid w:val="00C42485"/>
    <w:rsid w:val="00C43B75"/>
    <w:rsid w:val="00C44907"/>
    <w:rsid w:val="00C451D0"/>
    <w:rsid w:val="00C4792C"/>
    <w:rsid w:val="00C50538"/>
    <w:rsid w:val="00C5693E"/>
    <w:rsid w:val="00C576B7"/>
    <w:rsid w:val="00C66538"/>
    <w:rsid w:val="00C732B7"/>
    <w:rsid w:val="00C74082"/>
    <w:rsid w:val="00C74321"/>
    <w:rsid w:val="00C74B0A"/>
    <w:rsid w:val="00C75D88"/>
    <w:rsid w:val="00C773B6"/>
    <w:rsid w:val="00C8227D"/>
    <w:rsid w:val="00C82BA5"/>
    <w:rsid w:val="00C83A49"/>
    <w:rsid w:val="00C846CC"/>
    <w:rsid w:val="00C87D01"/>
    <w:rsid w:val="00C944E8"/>
    <w:rsid w:val="00CA12D4"/>
    <w:rsid w:val="00CA21EF"/>
    <w:rsid w:val="00CA3DFE"/>
    <w:rsid w:val="00CB1385"/>
    <w:rsid w:val="00CB1B79"/>
    <w:rsid w:val="00CB2169"/>
    <w:rsid w:val="00CB25F5"/>
    <w:rsid w:val="00CC1D01"/>
    <w:rsid w:val="00CC41CA"/>
    <w:rsid w:val="00CC53D6"/>
    <w:rsid w:val="00CC7944"/>
    <w:rsid w:val="00CD0D16"/>
    <w:rsid w:val="00CD23D2"/>
    <w:rsid w:val="00CD3854"/>
    <w:rsid w:val="00CD50C2"/>
    <w:rsid w:val="00CD59C1"/>
    <w:rsid w:val="00CD62A9"/>
    <w:rsid w:val="00CE3E36"/>
    <w:rsid w:val="00CE5906"/>
    <w:rsid w:val="00CE6971"/>
    <w:rsid w:val="00CE6BBB"/>
    <w:rsid w:val="00CE7605"/>
    <w:rsid w:val="00CF299E"/>
    <w:rsid w:val="00CF4597"/>
    <w:rsid w:val="00CF489A"/>
    <w:rsid w:val="00CF7B50"/>
    <w:rsid w:val="00CF7D9C"/>
    <w:rsid w:val="00D0111B"/>
    <w:rsid w:val="00D03EE0"/>
    <w:rsid w:val="00D051E6"/>
    <w:rsid w:val="00D11B79"/>
    <w:rsid w:val="00D12ED6"/>
    <w:rsid w:val="00D14DE1"/>
    <w:rsid w:val="00D16FB7"/>
    <w:rsid w:val="00D17329"/>
    <w:rsid w:val="00D22ABB"/>
    <w:rsid w:val="00D256FA"/>
    <w:rsid w:val="00D25BE6"/>
    <w:rsid w:val="00D26105"/>
    <w:rsid w:val="00D27279"/>
    <w:rsid w:val="00D27EC2"/>
    <w:rsid w:val="00D27F3C"/>
    <w:rsid w:val="00D35770"/>
    <w:rsid w:val="00D36EF4"/>
    <w:rsid w:val="00D37BA6"/>
    <w:rsid w:val="00D41AA7"/>
    <w:rsid w:val="00D433ED"/>
    <w:rsid w:val="00D44EA6"/>
    <w:rsid w:val="00D46857"/>
    <w:rsid w:val="00D51560"/>
    <w:rsid w:val="00D52F4A"/>
    <w:rsid w:val="00D5522A"/>
    <w:rsid w:val="00D55BEE"/>
    <w:rsid w:val="00D6385D"/>
    <w:rsid w:val="00D64B88"/>
    <w:rsid w:val="00D65EB9"/>
    <w:rsid w:val="00D65EDE"/>
    <w:rsid w:val="00D664D0"/>
    <w:rsid w:val="00D67348"/>
    <w:rsid w:val="00D70F99"/>
    <w:rsid w:val="00D711A9"/>
    <w:rsid w:val="00D7128F"/>
    <w:rsid w:val="00D71FF2"/>
    <w:rsid w:val="00D723DD"/>
    <w:rsid w:val="00D7326C"/>
    <w:rsid w:val="00D75BA6"/>
    <w:rsid w:val="00D768DF"/>
    <w:rsid w:val="00D77508"/>
    <w:rsid w:val="00D81B34"/>
    <w:rsid w:val="00D82770"/>
    <w:rsid w:val="00D8669B"/>
    <w:rsid w:val="00D9234F"/>
    <w:rsid w:val="00D9265D"/>
    <w:rsid w:val="00D93318"/>
    <w:rsid w:val="00D95C44"/>
    <w:rsid w:val="00DA265F"/>
    <w:rsid w:val="00DA4079"/>
    <w:rsid w:val="00DA41BE"/>
    <w:rsid w:val="00DB0277"/>
    <w:rsid w:val="00DB1FE2"/>
    <w:rsid w:val="00DC21F7"/>
    <w:rsid w:val="00DC229F"/>
    <w:rsid w:val="00DC33CE"/>
    <w:rsid w:val="00DC4768"/>
    <w:rsid w:val="00DC7738"/>
    <w:rsid w:val="00DD0B4D"/>
    <w:rsid w:val="00DD139D"/>
    <w:rsid w:val="00DD223A"/>
    <w:rsid w:val="00DE11D9"/>
    <w:rsid w:val="00DE1C0A"/>
    <w:rsid w:val="00DE2247"/>
    <w:rsid w:val="00DE39E6"/>
    <w:rsid w:val="00DE3CB3"/>
    <w:rsid w:val="00DE6683"/>
    <w:rsid w:val="00DE6B9D"/>
    <w:rsid w:val="00DF2307"/>
    <w:rsid w:val="00DF3FB8"/>
    <w:rsid w:val="00DF7167"/>
    <w:rsid w:val="00E007AF"/>
    <w:rsid w:val="00E01110"/>
    <w:rsid w:val="00E0201B"/>
    <w:rsid w:val="00E03BA0"/>
    <w:rsid w:val="00E1047F"/>
    <w:rsid w:val="00E11F46"/>
    <w:rsid w:val="00E138B3"/>
    <w:rsid w:val="00E13F1A"/>
    <w:rsid w:val="00E1782C"/>
    <w:rsid w:val="00E23388"/>
    <w:rsid w:val="00E24119"/>
    <w:rsid w:val="00E258D9"/>
    <w:rsid w:val="00E260F6"/>
    <w:rsid w:val="00E262B0"/>
    <w:rsid w:val="00E31DFB"/>
    <w:rsid w:val="00E34AFB"/>
    <w:rsid w:val="00E5239C"/>
    <w:rsid w:val="00E5240E"/>
    <w:rsid w:val="00E53C96"/>
    <w:rsid w:val="00E578B9"/>
    <w:rsid w:val="00E603E2"/>
    <w:rsid w:val="00E60EDB"/>
    <w:rsid w:val="00E63635"/>
    <w:rsid w:val="00E67DC3"/>
    <w:rsid w:val="00E703BC"/>
    <w:rsid w:val="00E70E83"/>
    <w:rsid w:val="00E711BD"/>
    <w:rsid w:val="00E712E3"/>
    <w:rsid w:val="00E821F4"/>
    <w:rsid w:val="00E840B6"/>
    <w:rsid w:val="00E8486A"/>
    <w:rsid w:val="00E85273"/>
    <w:rsid w:val="00E87C27"/>
    <w:rsid w:val="00E90656"/>
    <w:rsid w:val="00E92DAF"/>
    <w:rsid w:val="00EA192B"/>
    <w:rsid w:val="00EA1C3A"/>
    <w:rsid w:val="00EA28F9"/>
    <w:rsid w:val="00EA7767"/>
    <w:rsid w:val="00EA7786"/>
    <w:rsid w:val="00EB2AC6"/>
    <w:rsid w:val="00EB7909"/>
    <w:rsid w:val="00EC115C"/>
    <w:rsid w:val="00EC227D"/>
    <w:rsid w:val="00EC429E"/>
    <w:rsid w:val="00EC60E0"/>
    <w:rsid w:val="00EC6293"/>
    <w:rsid w:val="00EC69F0"/>
    <w:rsid w:val="00EC6D11"/>
    <w:rsid w:val="00ED04B9"/>
    <w:rsid w:val="00ED5234"/>
    <w:rsid w:val="00ED5307"/>
    <w:rsid w:val="00EE0BD5"/>
    <w:rsid w:val="00EE5D32"/>
    <w:rsid w:val="00EE7014"/>
    <w:rsid w:val="00EF1AAC"/>
    <w:rsid w:val="00EF22E9"/>
    <w:rsid w:val="00EF2788"/>
    <w:rsid w:val="00F01A97"/>
    <w:rsid w:val="00F026A6"/>
    <w:rsid w:val="00F028D9"/>
    <w:rsid w:val="00F04541"/>
    <w:rsid w:val="00F04F48"/>
    <w:rsid w:val="00F06814"/>
    <w:rsid w:val="00F13BCB"/>
    <w:rsid w:val="00F203E6"/>
    <w:rsid w:val="00F21C3E"/>
    <w:rsid w:val="00F25952"/>
    <w:rsid w:val="00F27876"/>
    <w:rsid w:val="00F405B1"/>
    <w:rsid w:val="00F445E4"/>
    <w:rsid w:val="00F44E3B"/>
    <w:rsid w:val="00F50B83"/>
    <w:rsid w:val="00F5111A"/>
    <w:rsid w:val="00F60893"/>
    <w:rsid w:val="00F61C95"/>
    <w:rsid w:val="00F7263F"/>
    <w:rsid w:val="00F729DC"/>
    <w:rsid w:val="00F73FFA"/>
    <w:rsid w:val="00F7500F"/>
    <w:rsid w:val="00F76A9A"/>
    <w:rsid w:val="00F80430"/>
    <w:rsid w:val="00F82A2D"/>
    <w:rsid w:val="00F84D4A"/>
    <w:rsid w:val="00F855E8"/>
    <w:rsid w:val="00F876BA"/>
    <w:rsid w:val="00F87E60"/>
    <w:rsid w:val="00F91172"/>
    <w:rsid w:val="00F9127B"/>
    <w:rsid w:val="00F921E6"/>
    <w:rsid w:val="00F933E8"/>
    <w:rsid w:val="00F93C9D"/>
    <w:rsid w:val="00F93DC7"/>
    <w:rsid w:val="00F94738"/>
    <w:rsid w:val="00F97964"/>
    <w:rsid w:val="00FA0151"/>
    <w:rsid w:val="00FA1F08"/>
    <w:rsid w:val="00FA21B4"/>
    <w:rsid w:val="00FA317F"/>
    <w:rsid w:val="00FA60AE"/>
    <w:rsid w:val="00FA667E"/>
    <w:rsid w:val="00FB07B9"/>
    <w:rsid w:val="00FB0994"/>
    <w:rsid w:val="00FB2097"/>
    <w:rsid w:val="00FB34B8"/>
    <w:rsid w:val="00FB3E76"/>
    <w:rsid w:val="00FB5849"/>
    <w:rsid w:val="00FC48A0"/>
    <w:rsid w:val="00FC59B0"/>
    <w:rsid w:val="00FC5C07"/>
    <w:rsid w:val="00FC60DF"/>
    <w:rsid w:val="00FC7B96"/>
    <w:rsid w:val="00FD073E"/>
    <w:rsid w:val="00FD134F"/>
    <w:rsid w:val="00FD4BD2"/>
    <w:rsid w:val="00FD5778"/>
    <w:rsid w:val="00FD5DFE"/>
    <w:rsid w:val="00FE0D49"/>
    <w:rsid w:val="00FE33AD"/>
    <w:rsid w:val="00FF02D7"/>
    <w:rsid w:val="00FF0DDD"/>
    <w:rsid w:val="00FF3A73"/>
    <w:rsid w:val="00FF6306"/>
    <w:rsid w:val="00FF6AEA"/>
    <w:rsid w:val="00FF7500"/>
    <w:rsid w:val="26FC360D"/>
    <w:rsid w:val="51FA6BE6"/>
    <w:rsid w:val="522C2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n-US" w:eastAsia="zh-CN" w:bidi="ar-SA"/>
      <w14:ligatures w14:val="standardContextual"/>
    </w:rPr>
  </w:style>
  <w:style w:type="paragraph" w:styleId="2">
    <w:name w:val="heading 1"/>
    <w:basedOn w:val="1"/>
    <w:next w:val="1"/>
    <w:link w:val="2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26"/>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27"/>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3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ody Text"/>
    <w:basedOn w:val="1"/>
    <w:link w:val="49"/>
    <w:qFormat/>
    <w:uiPriority w:val="1"/>
    <w:pPr>
      <w:widowControl w:val="0"/>
      <w:autoSpaceDE w:val="0"/>
      <w:autoSpaceDN w:val="0"/>
      <w:spacing w:after="0" w:line="240" w:lineRule="auto"/>
      <w:ind w:left="1200" w:hanging="1080"/>
      <w:jc w:val="both"/>
    </w:pPr>
    <w:rPr>
      <w:rFonts w:ascii="Times New Roman" w:hAnsi="Times New Roman" w:eastAsia="Times New Roman" w:cs="Times New Roman"/>
      <w:kern w:val="0"/>
      <w:lang w:eastAsia="en-US"/>
      <w14:ligatures w14:val="none"/>
    </w:rPr>
  </w:style>
  <w:style w:type="paragraph" w:styleId="14">
    <w:name w:val="annotation text"/>
    <w:basedOn w:val="1"/>
    <w:semiHidden/>
    <w:unhideWhenUsed/>
    <w:uiPriority w:val="99"/>
    <w:pPr>
      <w:jc w:val="left"/>
    </w:pPr>
  </w:style>
  <w:style w:type="character" w:styleId="15">
    <w:name w:val="Emphasis"/>
    <w:basedOn w:val="11"/>
    <w:qFormat/>
    <w:uiPriority w:val="20"/>
    <w:rPr>
      <w:i/>
      <w:iCs/>
    </w:rPr>
  </w:style>
  <w:style w:type="character" w:styleId="16">
    <w:name w:val="FollowedHyperlink"/>
    <w:basedOn w:val="11"/>
    <w:semiHidden/>
    <w:unhideWhenUsed/>
    <w:uiPriority w:val="99"/>
    <w:rPr>
      <w:color w:val="954F72" w:themeColor="followedHyperlink"/>
      <w:u w:val="single"/>
      <w14:textFill>
        <w14:solidFill>
          <w14:schemeClr w14:val="folHlink"/>
        </w14:solidFill>
      </w14:textFill>
    </w:rPr>
  </w:style>
  <w:style w:type="paragraph" w:styleId="17">
    <w:name w:val="footer"/>
    <w:basedOn w:val="1"/>
    <w:link w:val="48"/>
    <w:unhideWhenUsed/>
    <w:uiPriority w:val="99"/>
    <w:pPr>
      <w:tabs>
        <w:tab w:val="center" w:pos="4513"/>
        <w:tab w:val="right" w:pos="9026"/>
      </w:tabs>
      <w:spacing w:after="0" w:line="240" w:lineRule="auto"/>
    </w:pPr>
  </w:style>
  <w:style w:type="paragraph" w:styleId="18">
    <w:name w:val="header"/>
    <w:basedOn w:val="1"/>
    <w:link w:val="47"/>
    <w:unhideWhenUsed/>
    <w:uiPriority w:val="99"/>
    <w:pPr>
      <w:tabs>
        <w:tab w:val="center" w:pos="4513"/>
        <w:tab w:val="right" w:pos="9026"/>
      </w:tabs>
      <w:spacing w:after="0" w:line="240" w:lineRule="auto"/>
    </w:pPr>
  </w:style>
  <w:style w:type="character" w:styleId="19">
    <w:name w:val="Hyperlink"/>
    <w:basedOn w:val="11"/>
    <w:unhideWhenUsed/>
    <w:uiPriority w:val="99"/>
    <w:rPr>
      <w:color w:val="0563C1" w:themeColor="hyperlink"/>
      <w:u w:val="single"/>
      <w14:textFill>
        <w14:solidFill>
          <w14:schemeClr w14:val="hlink"/>
        </w14:solidFill>
      </w14:textFill>
    </w:rPr>
  </w:style>
  <w:style w:type="paragraph" w:styleId="20">
    <w:name w:val="Normal (Web)"/>
    <w:basedOn w:val="1"/>
    <w:unhideWhenUsed/>
    <w:uiPriority w:val="99"/>
    <w:pPr>
      <w:spacing w:before="100" w:beforeAutospacing="1" w:after="100" w:afterAutospacing="1" w:line="240" w:lineRule="auto"/>
    </w:pPr>
    <w:rPr>
      <w:rFonts w:ascii="Times New Roman" w:hAnsi="Times New Roman" w:eastAsia="Times New Roman" w:cs="Times New Roman"/>
      <w:kern w:val="0"/>
      <w14:ligatures w14:val="none"/>
    </w:rPr>
  </w:style>
  <w:style w:type="character" w:styleId="21">
    <w:name w:val="Strong"/>
    <w:basedOn w:val="11"/>
    <w:qFormat/>
    <w:uiPriority w:val="22"/>
    <w:rPr>
      <w:b/>
      <w:bCs/>
    </w:rPr>
  </w:style>
  <w:style w:type="paragraph" w:styleId="22">
    <w:name w:val="Subtitle"/>
    <w:basedOn w:val="1"/>
    <w:next w:val="1"/>
    <w:link w:val="3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3">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4">
    <w:name w:val="Title"/>
    <w:basedOn w:val="1"/>
    <w:next w:val="1"/>
    <w:link w:val="3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25">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26">
    <w:name w:val="Heading 2 Char"/>
    <w:basedOn w:val="11"/>
    <w:link w:val="3"/>
    <w:qFormat/>
    <w:uiPriority w:val="9"/>
    <w:rPr>
      <w:rFonts w:asciiTheme="majorHAnsi" w:hAnsiTheme="majorHAnsi" w:eastAsiaTheme="majorEastAsia" w:cstheme="majorBidi"/>
      <w:color w:val="2F5597" w:themeColor="accent1" w:themeShade="BF"/>
      <w:sz w:val="32"/>
      <w:szCs w:val="32"/>
    </w:rPr>
  </w:style>
  <w:style w:type="character" w:customStyle="1" w:styleId="27">
    <w:name w:val="Heading 3 Char"/>
    <w:basedOn w:val="11"/>
    <w:link w:val="4"/>
    <w:uiPriority w:val="9"/>
    <w:rPr>
      <w:rFonts w:eastAsiaTheme="majorEastAsia" w:cstheme="majorBidi"/>
      <w:color w:val="2F5597" w:themeColor="accent1" w:themeShade="BF"/>
      <w:sz w:val="28"/>
      <w:szCs w:val="28"/>
    </w:rPr>
  </w:style>
  <w:style w:type="character" w:customStyle="1" w:styleId="28">
    <w:name w:val="Heading 4 Char"/>
    <w:basedOn w:val="11"/>
    <w:link w:val="5"/>
    <w:semiHidden/>
    <w:uiPriority w:val="9"/>
    <w:rPr>
      <w:rFonts w:eastAsiaTheme="majorEastAsia" w:cstheme="majorBidi"/>
      <w:i/>
      <w:iCs/>
      <w:color w:val="2F5597" w:themeColor="accent1" w:themeShade="BF"/>
    </w:rPr>
  </w:style>
  <w:style w:type="character" w:customStyle="1" w:styleId="29">
    <w:name w:val="Heading 5 Char"/>
    <w:basedOn w:val="11"/>
    <w:link w:val="6"/>
    <w:semiHidden/>
    <w:uiPriority w:val="9"/>
    <w:rPr>
      <w:rFonts w:eastAsiaTheme="majorEastAsia" w:cstheme="majorBidi"/>
      <w:color w:val="2F5597" w:themeColor="accent1" w:themeShade="BF"/>
    </w:rPr>
  </w:style>
  <w:style w:type="character" w:customStyle="1" w:styleId="30">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31">
    <w:name w:val="Heading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3">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4">
    <w:name w:val="Title Char"/>
    <w:basedOn w:val="11"/>
    <w:link w:val="24"/>
    <w:uiPriority w:val="10"/>
    <w:rPr>
      <w:rFonts w:asciiTheme="majorHAnsi" w:hAnsiTheme="majorHAnsi" w:eastAsiaTheme="majorEastAsia" w:cstheme="majorBidi"/>
      <w:spacing w:val="-10"/>
      <w:kern w:val="28"/>
      <w:sz w:val="56"/>
      <w:szCs w:val="56"/>
    </w:rPr>
  </w:style>
  <w:style w:type="character" w:customStyle="1" w:styleId="35">
    <w:name w:val="Subtitle Char"/>
    <w:basedOn w:val="11"/>
    <w:link w:val="22"/>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Quote Char"/>
    <w:basedOn w:val="11"/>
    <w:link w:val="36"/>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
    <w:basedOn w:val="11"/>
    <w:qFormat/>
    <w:uiPriority w:val="21"/>
    <w:rPr>
      <w:i/>
      <w:iCs/>
      <w:color w:val="2F5597" w:themeColor="accent1" w:themeShade="BF"/>
    </w:rPr>
  </w:style>
  <w:style w:type="paragraph" w:styleId="40">
    <w:name w:val="Intense Quote"/>
    <w:basedOn w:val="1"/>
    <w:next w:val="1"/>
    <w:link w:val="4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1">
    <w:name w:val="Intense Quote Char"/>
    <w:basedOn w:val="11"/>
    <w:link w:val="40"/>
    <w:uiPriority w:val="30"/>
    <w:rPr>
      <w:i/>
      <w:iCs/>
      <w:color w:val="2F5597" w:themeColor="accent1" w:themeShade="BF"/>
    </w:rPr>
  </w:style>
  <w:style w:type="character" w:customStyle="1" w:styleId="42">
    <w:name w:val="Intense Reference"/>
    <w:basedOn w:val="11"/>
    <w:qFormat/>
    <w:uiPriority w:val="32"/>
    <w:rPr>
      <w:b/>
      <w:bCs/>
      <w:smallCaps/>
      <w:color w:val="2F5597" w:themeColor="accent1" w:themeShade="BF"/>
      <w:spacing w:val="5"/>
    </w:rPr>
  </w:style>
  <w:style w:type="character" w:customStyle="1" w:styleId="43">
    <w:name w:val="Unresolved Mention"/>
    <w:basedOn w:val="11"/>
    <w:semiHidden/>
    <w:unhideWhenUsed/>
    <w:uiPriority w:val="99"/>
    <w:rPr>
      <w:color w:val="605E5C"/>
      <w:shd w:val="clear" w:color="auto" w:fill="E1DFDD"/>
    </w:rPr>
  </w:style>
  <w:style w:type="table" w:customStyle="1" w:styleId="44">
    <w:name w:val="Grid Table Light"/>
    <w:basedOn w:val="12"/>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45">
    <w:name w:val="z1qcye"/>
    <w:basedOn w:val="1"/>
    <w:uiPriority w:val="0"/>
    <w:pPr>
      <w:spacing w:before="100" w:beforeAutospacing="1" w:after="100" w:afterAutospacing="1" w:line="240" w:lineRule="auto"/>
    </w:pPr>
    <w:rPr>
      <w:rFonts w:ascii="Times New Roman" w:hAnsi="Times New Roman" w:eastAsia="Times New Roman" w:cs="Times New Roman"/>
      <w:kern w:val="0"/>
      <w14:ligatures w14:val="none"/>
    </w:rPr>
  </w:style>
  <w:style w:type="character" w:customStyle="1" w:styleId="46">
    <w:name w:val="inqyif"/>
    <w:basedOn w:val="11"/>
    <w:uiPriority w:val="0"/>
  </w:style>
  <w:style w:type="character" w:customStyle="1" w:styleId="47">
    <w:name w:val="Header Char"/>
    <w:basedOn w:val="11"/>
    <w:link w:val="18"/>
    <w:uiPriority w:val="99"/>
  </w:style>
  <w:style w:type="character" w:customStyle="1" w:styleId="48">
    <w:name w:val="Footer Char"/>
    <w:basedOn w:val="11"/>
    <w:link w:val="17"/>
    <w:uiPriority w:val="99"/>
  </w:style>
  <w:style w:type="character" w:customStyle="1" w:styleId="49">
    <w:name w:val="Body Text Char"/>
    <w:basedOn w:val="11"/>
    <w:link w:val="13"/>
    <w:uiPriority w:val="1"/>
    <w:rPr>
      <w:rFonts w:ascii="Times New Roman" w:hAnsi="Times New Roman" w:eastAsia="Times New Roman" w:cs="Times New Roman"/>
      <w:kern w:val="0"/>
      <w:lang w:val="en-US" w:eastAsia="en-US"/>
      <w14:ligatures w14:val="none"/>
    </w:rPr>
  </w:style>
  <w:style w:type="table" w:customStyle="1" w:styleId="50">
    <w:name w:val="Plain Table 2"/>
    <w:basedOn w:val="12"/>
    <w:uiPriority w:val="42"/>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3.xml"/><Relationship Id="rId11" Type="http://schemas.openxmlformats.org/officeDocument/2006/relationships/footer" Target="footer2.xml"/><Relationship Id="rId10" Type="http://schemas.openxmlformats.org/officeDocument/2006/relationships/footer" Target="footer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1856</Words>
  <Characters>10645</Characters>
  <Lines>260</Lines>
  <Paragraphs>73</Paragraphs>
  <TotalTime>8</TotalTime>
  <ScaleCrop>false</ScaleCrop>
  <LinksUpToDate>false</LinksUpToDate>
  <CharactersWithSpaces>12384</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2026-09-17T16:54:00Z</dcterms:created>
  <dc:creator>SUNKE 'S</dc:creator>
  <cp:lastModifiedBy>tapas</cp:lastModifiedBy>
  <dcterms:modified xsi:type="dcterms:W3CDTF">2026-10-26T14:10:52Z</dcterms:modified>
  <cp:revision>2227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4bee5f3e-7a55-43e9-a60b-8aab3c286fcc</vt:lpwstr>
  </property>
  <property fmtid="{D5CDD505-2E9C-101B-9397-08002B2CF9AE}" pid="3" name="KSOTemplateDocerSaveRecord">
    <vt:lpwstr>eyJoZGlkIjoiZDM5NDZjMzQyMTFjMjQ1ZTVmYjFkODc4ODhiYjNlNjUifQ==</vt:lpwstr>
  </property>
  <property fmtid="{D5CDD505-2E9C-101B-9397-08002B2CF9AE}" pid="4" name="KSOProductBuildVer">
    <vt:lpwstr>1033-12.1.0.29162</vt:lpwstr>
  </property>
  <property fmtid="{D5CDD505-2E9C-101B-9397-08002B2CF9AE}" pid="5" name="ICV">
    <vt:lpwstr>1E8E395F60614FAD82ADE84E48BE9FB2_12</vt:lpwstr>
  </property>
</Properties>
</file>