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919E" w14:textId="29C750A6" w:rsidR="00DC4768" w:rsidRPr="00DC4768" w:rsidRDefault="00DC4768" w:rsidP="00994B7A">
      <w:pPr>
        <w:spacing w:line="240" w:lineRule="auto"/>
        <w:jc w:val="center"/>
        <w:rPr>
          <w:rFonts w:ascii="Times New Roman" w:hAnsi="Times New Roman" w:cs="Times New Roman"/>
          <w:b/>
          <w:bCs/>
          <w:sz w:val="28"/>
          <w:szCs w:val="28"/>
          <w:u w:val="single"/>
        </w:rPr>
      </w:pPr>
      <w:r w:rsidRPr="00DC4768">
        <w:rPr>
          <w:rFonts w:ascii="Times New Roman" w:hAnsi="Times New Roman" w:cs="Times New Roman"/>
          <w:b/>
          <w:bCs/>
          <w:sz w:val="28"/>
          <w:szCs w:val="28"/>
          <w:u w:val="single"/>
        </w:rPr>
        <w:t>Original Research Article</w:t>
      </w:r>
    </w:p>
    <w:p w14:paraId="717F9A1B" w14:textId="5CE5A9B6" w:rsidR="00B215D2" w:rsidRPr="0086725F" w:rsidRDefault="00472D86" w:rsidP="00994B7A">
      <w:pPr>
        <w:spacing w:line="240" w:lineRule="auto"/>
        <w:jc w:val="center"/>
        <w:rPr>
          <w:rFonts w:ascii="Times New Roman" w:hAnsi="Times New Roman" w:cs="Times New Roman"/>
          <w:b/>
          <w:bCs/>
          <w:sz w:val="28"/>
          <w:szCs w:val="28"/>
        </w:rPr>
      </w:pPr>
      <w:r w:rsidRPr="0086725F">
        <w:rPr>
          <w:rFonts w:ascii="Times New Roman" w:hAnsi="Times New Roman" w:cs="Times New Roman"/>
          <w:b/>
          <w:bCs/>
          <w:sz w:val="28"/>
          <w:szCs w:val="28"/>
        </w:rPr>
        <w:t xml:space="preserve">Effect </w:t>
      </w:r>
      <w:r w:rsidR="00987411" w:rsidRPr="0086725F">
        <w:rPr>
          <w:rFonts w:ascii="Times New Roman" w:hAnsi="Times New Roman" w:cs="Times New Roman"/>
          <w:b/>
          <w:bCs/>
          <w:sz w:val="28"/>
          <w:szCs w:val="28"/>
        </w:rPr>
        <w:t>of Spirulina</w:t>
      </w:r>
      <w:r w:rsidRPr="0086725F">
        <w:rPr>
          <w:rFonts w:ascii="Times New Roman" w:hAnsi="Times New Roman" w:cs="Times New Roman"/>
          <w:b/>
          <w:bCs/>
          <w:sz w:val="28"/>
          <w:szCs w:val="28"/>
        </w:rPr>
        <w:t xml:space="preserve"> </w:t>
      </w:r>
      <w:r w:rsidR="00515B27" w:rsidRPr="0086725F">
        <w:rPr>
          <w:rFonts w:ascii="Times New Roman" w:hAnsi="Times New Roman" w:cs="Times New Roman"/>
          <w:b/>
          <w:bCs/>
          <w:sz w:val="28"/>
          <w:szCs w:val="28"/>
        </w:rPr>
        <w:t>Meal</w:t>
      </w:r>
      <w:r w:rsidRPr="0086725F">
        <w:rPr>
          <w:rFonts w:ascii="Times New Roman" w:hAnsi="Times New Roman" w:cs="Times New Roman"/>
          <w:b/>
          <w:bCs/>
          <w:sz w:val="28"/>
          <w:szCs w:val="28"/>
        </w:rPr>
        <w:t xml:space="preserve"> on Growth</w:t>
      </w:r>
      <w:r w:rsidR="00D93318" w:rsidRPr="0086725F">
        <w:rPr>
          <w:rFonts w:ascii="Times New Roman" w:hAnsi="Times New Roman" w:cs="Times New Roman"/>
          <w:b/>
          <w:bCs/>
          <w:sz w:val="28"/>
          <w:szCs w:val="28"/>
        </w:rPr>
        <w:t xml:space="preserve"> Performance, </w:t>
      </w:r>
      <w:r w:rsidR="005B435C" w:rsidRPr="0086725F">
        <w:rPr>
          <w:rFonts w:ascii="Times New Roman" w:hAnsi="Times New Roman" w:cs="Times New Roman"/>
          <w:b/>
          <w:bCs/>
          <w:sz w:val="28"/>
          <w:szCs w:val="28"/>
        </w:rPr>
        <w:t>Feed Utili</w:t>
      </w:r>
      <w:r w:rsidR="00DF2307" w:rsidRPr="0086725F">
        <w:rPr>
          <w:rFonts w:ascii="Times New Roman" w:hAnsi="Times New Roman" w:cs="Times New Roman"/>
          <w:b/>
          <w:bCs/>
          <w:sz w:val="28"/>
          <w:szCs w:val="28"/>
        </w:rPr>
        <w:t>z</w:t>
      </w:r>
      <w:r w:rsidR="005B435C" w:rsidRPr="0086725F">
        <w:rPr>
          <w:rFonts w:ascii="Times New Roman" w:hAnsi="Times New Roman" w:cs="Times New Roman"/>
          <w:b/>
          <w:bCs/>
          <w:sz w:val="28"/>
          <w:szCs w:val="28"/>
        </w:rPr>
        <w:t>ation</w:t>
      </w:r>
      <w:r w:rsidRPr="0086725F">
        <w:rPr>
          <w:rFonts w:ascii="Times New Roman" w:hAnsi="Times New Roman" w:cs="Times New Roman"/>
          <w:b/>
          <w:bCs/>
          <w:sz w:val="28"/>
          <w:szCs w:val="28"/>
        </w:rPr>
        <w:t xml:space="preserve"> and </w:t>
      </w:r>
      <w:r w:rsidR="00987411" w:rsidRPr="0086725F">
        <w:rPr>
          <w:rFonts w:ascii="Times New Roman" w:hAnsi="Times New Roman" w:cs="Times New Roman"/>
          <w:b/>
          <w:bCs/>
          <w:sz w:val="28"/>
          <w:szCs w:val="28"/>
        </w:rPr>
        <w:t>Survival in</w:t>
      </w:r>
      <w:r w:rsidRPr="0086725F">
        <w:rPr>
          <w:rFonts w:ascii="Times New Roman" w:hAnsi="Times New Roman" w:cs="Times New Roman"/>
          <w:b/>
          <w:bCs/>
          <w:sz w:val="28"/>
          <w:szCs w:val="28"/>
        </w:rPr>
        <w:t xml:space="preserve"> Milkfish</w:t>
      </w:r>
      <w:r w:rsidR="005B435C" w:rsidRPr="0086725F">
        <w:rPr>
          <w:rFonts w:ascii="Times New Roman" w:hAnsi="Times New Roman" w:cs="Times New Roman"/>
          <w:b/>
          <w:bCs/>
          <w:sz w:val="28"/>
          <w:szCs w:val="28"/>
        </w:rPr>
        <w:t xml:space="preserve"> (</w:t>
      </w:r>
      <w:r w:rsidR="005B435C" w:rsidRPr="0086725F">
        <w:rPr>
          <w:rFonts w:ascii="Times New Roman" w:hAnsi="Times New Roman" w:cs="Times New Roman"/>
          <w:b/>
          <w:bCs/>
          <w:i/>
          <w:iCs/>
          <w:sz w:val="28"/>
          <w:szCs w:val="28"/>
        </w:rPr>
        <w:t xml:space="preserve">Chanos </w:t>
      </w:r>
      <w:proofErr w:type="spellStart"/>
      <w:r w:rsidR="005B435C" w:rsidRPr="0086725F">
        <w:rPr>
          <w:rFonts w:ascii="Times New Roman" w:hAnsi="Times New Roman" w:cs="Times New Roman"/>
          <w:b/>
          <w:bCs/>
          <w:i/>
          <w:iCs/>
          <w:sz w:val="28"/>
          <w:szCs w:val="28"/>
        </w:rPr>
        <w:t>chanos</w:t>
      </w:r>
      <w:proofErr w:type="spellEnd"/>
      <w:r w:rsidR="005B435C" w:rsidRPr="0086725F">
        <w:rPr>
          <w:rFonts w:ascii="Times New Roman" w:hAnsi="Times New Roman" w:cs="Times New Roman"/>
          <w:b/>
          <w:bCs/>
          <w:sz w:val="28"/>
          <w:szCs w:val="28"/>
        </w:rPr>
        <w:t xml:space="preserve">) </w:t>
      </w:r>
      <w:r w:rsidR="00253C34" w:rsidRPr="0086725F">
        <w:rPr>
          <w:rFonts w:ascii="Times New Roman" w:hAnsi="Times New Roman" w:cs="Times New Roman"/>
          <w:b/>
          <w:bCs/>
          <w:sz w:val="28"/>
          <w:szCs w:val="28"/>
        </w:rPr>
        <w:t>f</w:t>
      </w:r>
      <w:r w:rsidR="000002E6" w:rsidRPr="0086725F">
        <w:rPr>
          <w:rFonts w:ascii="Times New Roman" w:hAnsi="Times New Roman" w:cs="Times New Roman"/>
          <w:b/>
          <w:bCs/>
          <w:sz w:val="28"/>
          <w:szCs w:val="28"/>
        </w:rPr>
        <w:t>ry</w:t>
      </w:r>
    </w:p>
    <w:p w14:paraId="70EA9240" w14:textId="77777777" w:rsidR="005C05BF" w:rsidRDefault="005C05BF" w:rsidP="00994B7A">
      <w:pPr>
        <w:spacing w:line="240" w:lineRule="auto"/>
        <w:rPr>
          <w:rFonts w:ascii="Times New Roman" w:hAnsi="Times New Roman" w:cs="Times New Roman"/>
          <w:b/>
          <w:bCs/>
        </w:rPr>
      </w:pPr>
    </w:p>
    <w:p w14:paraId="7D1B0634" w14:textId="77A786C8" w:rsidR="005F19D9" w:rsidRPr="008F3C89" w:rsidRDefault="000C77CF" w:rsidP="00994B7A">
      <w:pPr>
        <w:spacing w:line="240" w:lineRule="auto"/>
        <w:rPr>
          <w:rFonts w:ascii="Times New Roman" w:hAnsi="Times New Roman" w:cs="Times New Roman"/>
          <w:b/>
          <w:bCs/>
        </w:rPr>
      </w:pPr>
      <w:r>
        <w:rPr>
          <w:rFonts w:ascii="Times New Roman" w:hAnsi="Times New Roman" w:cs="Times New Roman"/>
          <w:b/>
          <w:bCs/>
        </w:rPr>
        <w:t>A</w:t>
      </w:r>
      <w:r w:rsidR="005F19D9" w:rsidRPr="008F3C89">
        <w:rPr>
          <w:rFonts w:ascii="Times New Roman" w:hAnsi="Times New Roman" w:cs="Times New Roman"/>
          <w:b/>
          <w:bCs/>
        </w:rPr>
        <w:t>bstract</w:t>
      </w:r>
    </w:p>
    <w:p w14:paraId="718B119C" w14:textId="449E0462" w:rsidR="00C74321" w:rsidRPr="008F3C89" w:rsidRDefault="00C74321" w:rsidP="00994B7A">
      <w:pPr>
        <w:spacing w:line="240" w:lineRule="auto"/>
        <w:jc w:val="both"/>
        <w:rPr>
          <w:rFonts w:ascii="Times New Roman" w:hAnsi="Times New Roman" w:cs="Times New Roman"/>
        </w:rPr>
      </w:pPr>
      <w:r w:rsidRPr="008F3C89">
        <w:rPr>
          <w:rFonts w:ascii="Times New Roman" w:hAnsi="Times New Roman" w:cs="Times New Roman"/>
        </w:rPr>
        <w:t>The increasing demand for sustainable aquafeed ingredients has encouraged the evaluation of alternative protein sources to fishmeal. Spirulina meal (SPM), a nutrient-rich microalgal ingredient, has potential as a fishmeal substitute; however, its effects on milkfish (</w:t>
      </w:r>
      <w:r w:rsidRPr="008F3C89">
        <w:rPr>
          <w:rFonts w:ascii="Times New Roman" w:hAnsi="Times New Roman" w:cs="Times New Roman"/>
          <w:i/>
          <w:iCs/>
        </w:rPr>
        <w:t>Chanos chanos</w:t>
      </w:r>
      <w:r w:rsidRPr="008F3C89">
        <w:rPr>
          <w:rFonts w:ascii="Times New Roman" w:hAnsi="Times New Roman" w:cs="Times New Roman"/>
        </w:rPr>
        <w:t>) under brackish-water conditions require further investigation. This study evaluated the effects of dietary SPM inclusion on the growth performance, feed utilization, and survival of milkfish fry reared at 10 ppt salinity. A 90-day feeding trial was conducted using three experimental diets containing 0% (T1), 20% (T2), and 40% (T3) SPM as a replacement for fishmeal. The experiment comprised three replicate tanks per treatment, with 10 fish per tank. Fish were fed three times daily at 6% of body weight, and growth performance, feed utilization, survival, and water quality were monitored. Significant differences were observed in final body weight, weight gain, percentage weight gain, average daily gain, and specific growth rate among dietary treatments (</w:t>
      </w:r>
      <w:r w:rsidRPr="008F3C89">
        <w:rPr>
          <w:rFonts w:ascii="Times New Roman" w:hAnsi="Times New Roman" w:cs="Times New Roman"/>
          <w:i/>
          <w:iCs/>
        </w:rPr>
        <w:t>P</w:t>
      </w:r>
      <w:r w:rsidRPr="008F3C89">
        <w:rPr>
          <w:rFonts w:ascii="Times New Roman" w:hAnsi="Times New Roman" w:cs="Times New Roman"/>
        </w:rPr>
        <w:t xml:space="preserve"> &lt; 0.001). Final body weight increased from 10.28 ± 0.11 g in T1 to 12.17 ± 0.12 g in T2 and 13.36 ± 0.12 g in T3. Feed conversion ratio decreased significantly from 1.710 ± 0.020 in T1 to 1.540 ± 0.044 in T3 (</w:t>
      </w:r>
      <w:r w:rsidRPr="008F3C89">
        <w:rPr>
          <w:rFonts w:ascii="Times New Roman" w:hAnsi="Times New Roman" w:cs="Times New Roman"/>
          <w:i/>
          <w:iCs/>
        </w:rPr>
        <w:t>P</w:t>
      </w:r>
      <w:r w:rsidRPr="008F3C89">
        <w:rPr>
          <w:rFonts w:ascii="Times New Roman" w:hAnsi="Times New Roman" w:cs="Times New Roman"/>
        </w:rPr>
        <w:t xml:space="preserve"> = 0.003), while feed conversion efficiency increased from 58.48 ± 0.69% to 64.97 ± 1.81%. Survival ranged from 80.00 ± 5.00% to 86.67 ± 5.77%, with no significant differences among treatments (</w:t>
      </w:r>
      <w:r w:rsidRPr="008F3C89">
        <w:rPr>
          <w:rFonts w:ascii="Times New Roman" w:hAnsi="Times New Roman" w:cs="Times New Roman"/>
          <w:i/>
          <w:iCs/>
        </w:rPr>
        <w:t>P</w:t>
      </w:r>
      <w:r w:rsidRPr="008F3C89">
        <w:rPr>
          <w:rFonts w:ascii="Times New Roman" w:hAnsi="Times New Roman" w:cs="Times New Roman"/>
        </w:rPr>
        <w:t xml:space="preserve"> = 0.394). Overall, the results indicate that increasing dietary SPM inclusion up to 40% was associated with improved growth performance and feed utilization without a statistically significant reduction in survival. Spirulina meal therefore represents a promising alternative ingredient for milkfish diets under the tested brackish-water conditions.</w:t>
      </w:r>
    </w:p>
    <w:p w14:paraId="7F2F9237" w14:textId="77777777" w:rsidR="00C74321" w:rsidRPr="008F3C89" w:rsidRDefault="00C74321" w:rsidP="00994B7A">
      <w:pPr>
        <w:spacing w:line="240" w:lineRule="auto"/>
        <w:rPr>
          <w:rFonts w:ascii="Times New Roman" w:hAnsi="Times New Roman" w:cs="Times New Roman"/>
          <w:b/>
          <w:bCs/>
        </w:rPr>
      </w:pPr>
      <w:r w:rsidRPr="008F3C89">
        <w:rPr>
          <w:rFonts w:ascii="Times New Roman" w:hAnsi="Times New Roman" w:cs="Times New Roman"/>
          <w:b/>
          <w:bCs/>
        </w:rPr>
        <w:t xml:space="preserve">Keywords: </w:t>
      </w:r>
      <w:r w:rsidRPr="008F3C89">
        <w:rPr>
          <w:rFonts w:ascii="Times New Roman" w:hAnsi="Times New Roman" w:cs="Times New Roman"/>
          <w:b/>
          <w:bCs/>
          <w:i/>
          <w:iCs/>
        </w:rPr>
        <w:t>Chanos chanos</w:t>
      </w:r>
      <w:r w:rsidRPr="008F3C89">
        <w:rPr>
          <w:rFonts w:ascii="Times New Roman" w:hAnsi="Times New Roman" w:cs="Times New Roman"/>
          <w:b/>
          <w:bCs/>
        </w:rPr>
        <w:t>; Spirulina meal; fishmeal replacement; growth performance; feed conversion ratio; brackish water.</w:t>
      </w:r>
    </w:p>
    <w:p w14:paraId="21D9695C" w14:textId="7EBC385E" w:rsidR="00987411" w:rsidRPr="008F3C89" w:rsidRDefault="00987411" w:rsidP="00994B7A">
      <w:pPr>
        <w:spacing w:line="240" w:lineRule="auto"/>
        <w:rPr>
          <w:rFonts w:ascii="Times New Roman" w:hAnsi="Times New Roman" w:cs="Times New Roman"/>
          <w:b/>
          <w:bCs/>
        </w:rPr>
      </w:pPr>
      <w:r w:rsidRPr="008F3C89">
        <w:rPr>
          <w:rFonts w:ascii="Times New Roman" w:hAnsi="Times New Roman" w:cs="Times New Roman"/>
          <w:b/>
          <w:bCs/>
        </w:rPr>
        <w:t>I</w:t>
      </w:r>
      <w:r w:rsidR="00FC5C07" w:rsidRPr="008F3C89">
        <w:rPr>
          <w:rFonts w:ascii="Times New Roman" w:hAnsi="Times New Roman" w:cs="Times New Roman"/>
          <w:b/>
          <w:bCs/>
        </w:rPr>
        <w:t>n</w:t>
      </w:r>
      <w:r w:rsidRPr="008F3C89">
        <w:rPr>
          <w:rFonts w:ascii="Times New Roman" w:hAnsi="Times New Roman" w:cs="Times New Roman"/>
          <w:b/>
          <w:bCs/>
        </w:rPr>
        <w:t>troduction</w:t>
      </w:r>
    </w:p>
    <w:p w14:paraId="73C76CCF" w14:textId="76AD836B"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The development of balanced, economically feasible, and environmentally sustainable aquafeeds has increased interest in alternative protein sources to fishmeal (FM). Fishmeal has traditionally been an important aquafeed ingredient because of its favourable amino acid profile, high digestibility, palatability and micronutrient content. However, dependence on finite marine resources, fluctuations in availability and price, and concerns regarding forage-fish exploitation have encouraged the search for sustainable alternatives (Tacon and Metian, 2015; Rahman et al., 2022). Consequently, </w:t>
      </w:r>
      <w:r w:rsidR="00BE68D6" w:rsidRPr="008F3C89">
        <w:rPr>
          <w:rFonts w:ascii="Times New Roman" w:hAnsi="Times New Roman" w:cs="Times New Roman"/>
        </w:rPr>
        <w:t xml:space="preserve">researchers have investigated plant, animal, microbial, insect and algal ingredients </w:t>
      </w:r>
      <w:r w:rsidRPr="008F3C89">
        <w:rPr>
          <w:rFonts w:ascii="Times New Roman" w:hAnsi="Times New Roman" w:cs="Times New Roman"/>
        </w:rPr>
        <w:t>as potential substitutes for conventional fishmeal-based diets.</w:t>
      </w:r>
    </w:p>
    <w:p w14:paraId="44A63A6F" w14:textId="667927AA"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Among these alternatives, microalgae have attracted considerable attention because they provide protein, essential amino acids, polyunsaturated fatty acids (PUFAs), vitamins, minerals, pigments and other bioactive compounds (Shah et al., 2018; Zhang et al., 2020; Ahmad and Ashraf, 2023; Ma and Hu, 2024). Their nutritional value and potential for controlled cultivation make microalgal biomass a promising resource for sustainable aquafeed development. Spirulina</w:t>
      </w:r>
      <w:r w:rsidR="00C01173" w:rsidRPr="008F3C89">
        <w:rPr>
          <w:rFonts w:ascii="Times New Roman" w:hAnsi="Times New Roman" w:cs="Times New Roman"/>
        </w:rPr>
        <w:t xml:space="preserve"> </w:t>
      </w:r>
      <w:r w:rsidRPr="008F3C89">
        <w:rPr>
          <w:rFonts w:ascii="Times New Roman" w:hAnsi="Times New Roman" w:cs="Times New Roman"/>
        </w:rPr>
        <w:t xml:space="preserve">is particularly important because its biomass contains high levels of protein, essential amino acids, fatty acids, vitamins, minerals, carotenoids and phycocyanin (Calella et al., 2022; Kumar et al., 2022). Dietary Spirulina has been associated with improved growth, feed utilization, antioxidant activity, immune responses, pigmentation and stress tolerance in several </w:t>
      </w:r>
      <w:r w:rsidRPr="008F3C89">
        <w:rPr>
          <w:rFonts w:ascii="Times New Roman" w:hAnsi="Times New Roman" w:cs="Times New Roman"/>
        </w:rPr>
        <w:lastRenderedPageBreak/>
        <w:t>fish and shrimp species (Alagawany et al., 2021; Carneiro et al., 2022; Zhang et al., 2024). Thus, Spirulina meal (SPM) may function not only as a protein source but also as a source of functional nutrients that support fish performance.</w:t>
      </w:r>
    </w:p>
    <w:p w14:paraId="381C8A45" w14:textId="6CF803CB"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Evidence from different aquaculture species supports the potential use of SPM as a fishmeal substitute. A meta-analysis by Li et al. indicated that SPM could replace approximately 22.03–24.53% of fishmeal in fish diets without adverse effects on growth and feed utilization, although the relatively high cost of SPM remains an important consideration for practical application (Li et al., 2022). Other studies have reported that moderate Spirulina inclusion can maintain or improve growth and physiological responses, although optimal levels vary according to species and dietary formulation. Therefore, a 20% inclusion level </w:t>
      </w:r>
      <w:r w:rsidR="00FC7B96" w:rsidRPr="008F3C89">
        <w:rPr>
          <w:rFonts w:ascii="Times New Roman" w:hAnsi="Times New Roman" w:cs="Times New Roman"/>
        </w:rPr>
        <w:t xml:space="preserve">is biologically relevant and close to the range identified by Li et al. </w:t>
      </w:r>
      <w:r w:rsidR="008170E5" w:rsidRPr="008F3C89">
        <w:rPr>
          <w:rFonts w:ascii="Times New Roman" w:hAnsi="Times New Roman" w:cs="Times New Roman"/>
        </w:rPr>
        <w:t>(2022)</w:t>
      </w:r>
      <w:r w:rsidR="000C3D54" w:rsidRPr="008F3C89">
        <w:rPr>
          <w:rFonts w:ascii="Times New Roman" w:hAnsi="Times New Roman" w:cs="Times New Roman"/>
        </w:rPr>
        <w:t>,</w:t>
      </w:r>
      <w:r w:rsidR="008170E5" w:rsidRPr="008F3C89">
        <w:rPr>
          <w:rFonts w:ascii="Times New Roman" w:hAnsi="Times New Roman" w:cs="Times New Roman"/>
        </w:rPr>
        <w:t xml:space="preserve"> </w:t>
      </w:r>
      <w:r w:rsidR="00FC7B96" w:rsidRPr="008F3C89">
        <w:rPr>
          <w:rFonts w:ascii="Times New Roman" w:hAnsi="Times New Roman" w:cs="Times New Roman"/>
        </w:rPr>
        <w:t>while a higher 40% inclusion level can</w:t>
      </w:r>
      <w:r w:rsidRPr="008F3C89">
        <w:rPr>
          <w:rFonts w:ascii="Times New Roman" w:hAnsi="Times New Roman" w:cs="Times New Roman"/>
        </w:rPr>
        <w:t xml:space="preserve"> determine whether increased Spirulina incorporation provides additional benefits or negatively affects growth and survival.</w:t>
      </w:r>
    </w:p>
    <w:p w14:paraId="39F139A8" w14:textId="61688B54"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Milkfish (</w:t>
      </w:r>
      <w:r w:rsidRPr="008F3C89">
        <w:rPr>
          <w:rFonts w:ascii="Times New Roman" w:hAnsi="Times New Roman" w:cs="Times New Roman"/>
          <w:i/>
          <w:iCs/>
        </w:rPr>
        <w:t>Chanos chanos</w:t>
      </w:r>
      <w:r w:rsidRPr="008F3C89">
        <w:rPr>
          <w:rFonts w:ascii="Times New Roman" w:hAnsi="Times New Roman" w:cs="Times New Roman"/>
        </w:rPr>
        <w:t xml:space="preserve">) is </w:t>
      </w:r>
      <w:r w:rsidR="00580396" w:rsidRPr="008F3C89">
        <w:rPr>
          <w:rFonts w:ascii="Times New Roman" w:hAnsi="Times New Roman" w:cs="Times New Roman"/>
        </w:rPr>
        <w:t>a cornerstone</w:t>
      </w:r>
      <w:r w:rsidRPr="008F3C89">
        <w:rPr>
          <w:rFonts w:ascii="Times New Roman" w:hAnsi="Times New Roman" w:cs="Times New Roman"/>
        </w:rPr>
        <w:t xml:space="preserve"> species widely cultured throughout Southeast Asia. It </w:t>
      </w:r>
      <w:r w:rsidR="00FC7B96" w:rsidRPr="008F3C89">
        <w:rPr>
          <w:rFonts w:ascii="Times New Roman" w:hAnsi="Times New Roman" w:cs="Times New Roman"/>
        </w:rPr>
        <w:t>tolerates diverse culture environments, including freshwater, brackish-water, estuarine, and coastal systems, and can be cultivated in ponds, pens, cages,</w:t>
      </w:r>
      <w:r w:rsidRPr="008F3C89">
        <w:rPr>
          <w:rFonts w:ascii="Times New Roman" w:hAnsi="Times New Roman" w:cs="Times New Roman"/>
        </w:rPr>
        <w:t xml:space="preserve"> and other systems (Borlongan and Satoh, 2001; Sontakke et al., 2019). The species contributes to affordable animal protein, food security and the livelihoods of aquaculture-dependent coastal communities (Mulyani et al., 2023; Batilong et al., 2026). Its tolerance to varying salinities makes environmental salinity an important consideration when evaluating dietary performance.</w:t>
      </w:r>
    </w:p>
    <w:p w14:paraId="763DAB88" w14:textId="77777777"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Despite the growing interest in Spirulina as an alternative aquafeed ingredient, information regarding SPM use in milkfish remains limited, particularly under defined brackish-water conditions. Species-specific responses cannot necessarily be extrapolated from other fish because nutrient requirements, digestive physiology, diet composition, and culture conditions differ among species. Evaluating SPM in milkfish can therefore help address this knowledge gap and contribute to the development of nutritionally effective and sustainable diets.</w:t>
      </w:r>
    </w:p>
    <w:p w14:paraId="36EA87E1" w14:textId="5F0F8D2E"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Accordingly, this study evaluated the effects of dietary SPM on the growth performance and survival of milkfish </w:t>
      </w:r>
      <w:r w:rsidR="00CB1385" w:rsidRPr="008F3C89">
        <w:rPr>
          <w:rFonts w:ascii="Times New Roman" w:hAnsi="Times New Roman" w:cs="Times New Roman"/>
        </w:rPr>
        <w:t>reared</w:t>
      </w:r>
      <w:r w:rsidRPr="008F3C89">
        <w:rPr>
          <w:rFonts w:ascii="Times New Roman" w:hAnsi="Times New Roman" w:cs="Times New Roman"/>
        </w:rPr>
        <w:t xml:space="preserve"> at 10 ppt salinity. </w:t>
      </w:r>
      <w:r w:rsidR="00617F9C" w:rsidRPr="008F3C89">
        <w:rPr>
          <w:rFonts w:ascii="Times New Roman" w:hAnsi="Times New Roman" w:cs="Times New Roman"/>
        </w:rPr>
        <w:t>We tested three dietary treatments containing 0%, 20%, and 40% SPM</w:t>
      </w:r>
      <w:r w:rsidRPr="008F3C89">
        <w:rPr>
          <w:rFonts w:ascii="Times New Roman" w:hAnsi="Times New Roman" w:cs="Times New Roman"/>
        </w:rPr>
        <w:t>. The 20% inclusion level was selected based on previous evidence of approximately 20–24% substitution, while the 40% level assessed the effects of higher Spirulina incorporation. The study provides species-specific information on the potential use of SPM as a protein source for milkfish under brackish-water conditions.</w:t>
      </w:r>
    </w:p>
    <w:p w14:paraId="5E42A025"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 Materials and methods</w:t>
      </w:r>
    </w:p>
    <w:p w14:paraId="3D0684FB"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2.1. Experimental animals and acclimatization</w:t>
      </w:r>
    </w:p>
    <w:p w14:paraId="3E286D59" w14:textId="14D1E35C"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The experiment was conducted at the aquaculture laboratory of the College of Fishery Science, Muthukur, Nellore, Andhra Pradesh, India. Milkfish (</w:t>
      </w:r>
      <w:r w:rsidRPr="008F3C89">
        <w:rPr>
          <w:rFonts w:ascii="Times New Roman" w:hAnsi="Times New Roman" w:cs="Times New Roman"/>
          <w:i/>
          <w:iCs/>
        </w:rPr>
        <w:t>Chanos chanos</w:t>
      </w:r>
      <w:r w:rsidRPr="008F3C89">
        <w:rPr>
          <w:rFonts w:ascii="Times New Roman" w:hAnsi="Times New Roman" w:cs="Times New Roman"/>
        </w:rPr>
        <w:t>) seed was collected from the Machilipatnam coast, Krishna District, Andhra Pradesh, India, and transported to the laboratory by road in double-walled plastic bags containing water and oxygen at a ratio of 1:3 (water:</w:t>
      </w:r>
      <w:r w:rsidR="00E711BD" w:rsidRPr="008F3C89">
        <w:rPr>
          <w:rFonts w:ascii="Times New Roman" w:hAnsi="Times New Roman" w:cs="Times New Roman"/>
        </w:rPr>
        <w:t xml:space="preserve"> </w:t>
      </w:r>
      <w:r w:rsidRPr="008F3C89">
        <w:rPr>
          <w:rFonts w:ascii="Times New Roman" w:hAnsi="Times New Roman" w:cs="Times New Roman"/>
        </w:rPr>
        <w:t>oxygen).</w:t>
      </w:r>
    </w:p>
    <w:p w14:paraId="2FF7B2D8"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Upon arrival, the seed was maintained in a double-walled hapa installed in a cement pond for 30 days. Subsequently, the fish were transferred to 100-L fibre-reinforced plastic (FRP) tanks and acclimatized to laboratory conditions for 21 days. During acclimatization, the fish were fed a mixture of rice bran and groundnut oilcake that had been fermented overnight.</w:t>
      </w:r>
    </w:p>
    <w:p w14:paraId="4C94D532" w14:textId="43C9AF2B"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Following acclimatization, milkfish fry with an initial body weight of approximately 0.8–0.9 g</w:t>
      </w:r>
      <w:r w:rsidR="00E711BD" w:rsidRPr="008F3C89">
        <w:rPr>
          <w:rFonts w:ascii="Times New Roman" w:hAnsi="Times New Roman" w:cs="Times New Roman"/>
        </w:rPr>
        <w:t>ms</w:t>
      </w:r>
      <w:r w:rsidRPr="008F3C89">
        <w:rPr>
          <w:rFonts w:ascii="Times New Roman" w:hAnsi="Times New Roman" w:cs="Times New Roman"/>
        </w:rPr>
        <w:t xml:space="preserve"> were stocked in 100-L tarpaulin tanks containing 85 L of water. The fish were fed the </w:t>
      </w:r>
      <w:r w:rsidRPr="008F3C89">
        <w:rPr>
          <w:rFonts w:ascii="Times New Roman" w:hAnsi="Times New Roman" w:cs="Times New Roman"/>
        </w:rPr>
        <w:lastRenderedPageBreak/>
        <w:t xml:space="preserve">experimental diets at 6% of their body weight (BW) per day, divided into three meals. </w:t>
      </w:r>
      <w:r w:rsidR="00AC3F8C" w:rsidRPr="008F3C89">
        <w:rPr>
          <w:rFonts w:ascii="Times New Roman" w:hAnsi="Times New Roman" w:cs="Times New Roman"/>
        </w:rPr>
        <w:t>We maintained water quality through</w:t>
      </w:r>
      <w:r w:rsidRPr="008F3C89">
        <w:rPr>
          <w:rFonts w:ascii="Times New Roman" w:hAnsi="Times New Roman" w:cs="Times New Roman"/>
        </w:rPr>
        <w:t xml:space="preserve"> regular aeration and water exchange throughout the experimental period.</w:t>
      </w:r>
    </w:p>
    <w:p w14:paraId="04C3B902"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2.2. Experimental diets and feed preparation</w:t>
      </w:r>
    </w:p>
    <w:p w14:paraId="639D2D09" w14:textId="176EC013" w:rsidR="005579AD" w:rsidRPr="008F3C89" w:rsidRDefault="00AC3F8C" w:rsidP="00994B7A">
      <w:pPr>
        <w:spacing w:line="240" w:lineRule="auto"/>
        <w:jc w:val="both"/>
        <w:rPr>
          <w:rFonts w:ascii="Times New Roman" w:hAnsi="Times New Roman" w:cs="Times New Roman"/>
        </w:rPr>
      </w:pPr>
      <w:r w:rsidRPr="008F3C89">
        <w:rPr>
          <w:rFonts w:ascii="Times New Roman" w:hAnsi="Times New Roman" w:cs="Times New Roman"/>
        </w:rPr>
        <w:t>Ingredients for experimental diet formulation were procured from local markets, powdered individually, weighed according to the respective formulations</w:t>
      </w:r>
      <w:r w:rsidR="005114C8">
        <w:rPr>
          <w:rFonts w:ascii="Times New Roman" w:hAnsi="Times New Roman" w:cs="Times New Roman"/>
        </w:rPr>
        <w:t>,</w:t>
      </w:r>
      <w:r w:rsidR="005579AD" w:rsidRPr="008F3C89">
        <w:rPr>
          <w:rFonts w:ascii="Times New Roman" w:hAnsi="Times New Roman" w:cs="Times New Roman"/>
        </w:rPr>
        <w:t xml:space="preserve"> and thoroughly mixed. Water was added at 30 mL per 100 g of feed ingredients to form a dough. The dough was heated in a pressure cooker for 21 min and allowed to cool before the vitamin–mineral mixture and fish oil were incorporated.</w:t>
      </w:r>
    </w:p>
    <w:p w14:paraId="1FD58BA9" w14:textId="24AAE166"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Spirulina meal obtained from Genera </w:t>
      </w:r>
      <w:r w:rsidR="00F04F48" w:rsidRPr="008F3C89">
        <w:rPr>
          <w:rFonts w:ascii="Times New Roman" w:hAnsi="Times New Roman" w:cs="Times New Roman"/>
        </w:rPr>
        <w:t>N</w:t>
      </w:r>
      <w:r w:rsidR="000C6403" w:rsidRPr="008F3C89">
        <w:rPr>
          <w:rFonts w:ascii="Times New Roman" w:hAnsi="Times New Roman" w:cs="Times New Roman"/>
        </w:rPr>
        <w:t>utrients</w:t>
      </w:r>
      <w:r w:rsidR="00F04F48" w:rsidRPr="008F3C89">
        <w:rPr>
          <w:rFonts w:ascii="Times New Roman" w:hAnsi="Times New Roman" w:cs="Times New Roman"/>
        </w:rPr>
        <w:t>,</w:t>
      </w:r>
      <w:r w:rsidR="00CD62A9" w:rsidRPr="008F3C89">
        <w:rPr>
          <w:rFonts w:ascii="Times New Roman" w:hAnsi="Times New Roman" w:cs="Times New Roman"/>
        </w:rPr>
        <w:t xml:space="preserve"> Private Limited</w:t>
      </w:r>
      <w:r w:rsidR="0094382E" w:rsidRPr="008F3C89">
        <w:rPr>
          <w:rFonts w:ascii="Times New Roman" w:hAnsi="Times New Roman" w:cs="Times New Roman"/>
        </w:rPr>
        <w:t xml:space="preserve">, </w:t>
      </w:r>
      <w:r w:rsidR="00CD62A9" w:rsidRPr="008F3C89">
        <w:rPr>
          <w:rFonts w:ascii="Times New Roman" w:hAnsi="Times New Roman" w:cs="Times New Roman"/>
        </w:rPr>
        <w:t>Tamil Nadu, India</w:t>
      </w:r>
      <w:r w:rsidR="0094382E" w:rsidRPr="008F3C89">
        <w:rPr>
          <w:rFonts w:ascii="Times New Roman" w:hAnsi="Times New Roman" w:cs="Times New Roman"/>
          <w:b/>
          <w:bCs/>
        </w:rPr>
        <w:t>,</w:t>
      </w:r>
      <w:r w:rsidRPr="008F3C89">
        <w:rPr>
          <w:rFonts w:ascii="Times New Roman" w:hAnsi="Times New Roman" w:cs="Times New Roman"/>
        </w:rPr>
        <w:t xml:space="preserve"> was incorporated into the experimental diets at inclusion levels of 20% and 40%. </w:t>
      </w:r>
      <w:r w:rsidR="00490E08" w:rsidRPr="008F3C89">
        <w:rPr>
          <w:rFonts w:ascii="Times New Roman" w:hAnsi="Times New Roman" w:cs="Times New Roman"/>
        </w:rPr>
        <w:t xml:space="preserve">Three </w:t>
      </w:r>
      <w:r w:rsidR="00E1782C" w:rsidRPr="008F3C89">
        <w:rPr>
          <w:rFonts w:ascii="Times New Roman" w:hAnsi="Times New Roman" w:cs="Times New Roman"/>
        </w:rPr>
        <w:t>diets</w:t>
      </w:r>
      <w:r w:rsidR="00490E08" w:rsidRPr="008F3C89">
        <w:rPr>
          <w:rFonts w:ascii="Times New Roman" w:hAnsi="Times New Roman" w:cs="Times New Roman"/>
        </w:rPr>
        <w:t xml:space="preserve"> were formulated</w:t>
      </w:r>
      <w:r w:rsidR="00E1782C" w:rsidRPr="008F3C89">
        <w:rPr>
          <w:rFonts w:ascii="Times New Roman" w:hAnsi="Times New Roman" w:cs="Times New Roman"/>
        </w:rPr>
        <w:t>: T</w:t>
      </w:r>
      <w:r w:rsidR="00E1782C" w:rsidRPr="008F3C89">
        <w:rPr>
          <w:rFonts w:ascii="Times New Roman" w:hAnsi="Times New Roman" w:cs="Times New Roman"/>
          <w:vertAlign w:val="subscript"/>
        </w:rPr>
        <w:t>1</w:t>
      </w:r>
      <w:r w:rsidR="00207284" w:rsidRPr="008F3C89">
        <w:rPr>
          <w:rFonts w:ascii="Times New Roman" w:hAnsi="Times New Roman" w:cs="Times New Roman"/>
        </w:rPr>
        <w:t>, the basal diet; T</w:t>
      </w:r>
      <w:r w:rsidR="00207284" w:rsidRPr="008F3C89">
        <w:rPr>
          <w:rFonts w:ascii="Times New Roman" w:hAnsi="Times New Roman" w:cs="Times New Roman"/>
          <w:vertAlign w:val="subscript"/>
        </w:rPr>
        <w:t>2</w:t>
      </w:r>
      <w:r w:rsidR="00A63EC7" w:rsidRPr="008F3C89">
        <w:rPr>
          <w:rFonts w:ascii="Times New Roman" w:hAnsi="Times New Roman" w:cs="Times New Roman"/>
        </w:rPr>
        <w:t>, incorporated with 20% of</w:t>
      </w:r>
      <w:r w:rsidR="00207284" w:rsidRPr="008F3C89">
        <w:rPr>
          <w:rFonts w:ascii="Times New Roman" w:hAnsi="Times New Roman" w:cs="Times New Roman"/>
        </w:rPr>
        <w:t xml:space="preserve"> </w:t>
      </w:r>
      <w:r w:rsidR="00423A3D" w:rsidRPr="008F3C89">
        <w:rPr>
          <w:rFonts w:ascii="Times New Roman" w:hAnsi="Times New Roman" w:cs="Times New Roman"/>
        </w:rPr>
        <w:t>SPM, T</w:t>
      </w:r>
      <w:r w:rsidR="00423A3D" w:rsidRPr="008F3C89">
        <w:rPr>
          <w:rFonts w:ascii="Times New Roman" w:hAnsi="Times New Roman" w:cs="Times New Roman"/>
          <w:vertAlign w:val="subscript"/>
        </w:rPr>
        <w:t>3</w:t>
      </w:r>
      <w:r w:rsidR="00423A3D" w:rsidRPr="008F3C89">
        <w:rPr>
          <w:rFonts w:ascii="Times New Roman" w:hAnsi="Times New Roman" w:cs="Times New Roman"/>
        </w:rPr>
        <w:t>, incorporated with 40% of SPM</w:t>
      </w:r>
      <w:r w:rsidR="00E1782C" w:rsidRPr="008F3C89">
        <w:rPr>
          <w:rFonts w:ascii="Times New Roman" w:hAnsi="Times New Roman" w:cs="Times New Roman"/>
        </w:rPr>
        <w:t>.</w:t>
      </w:r>
      <w:r w:rsidR="00F93C9D" w:rsidRPr="008F3C89">
        <w:rPr>
          <w:rFonts w:ascii="Times New Roman" w:hAnsi="Times New Roman" w:cs="Times New Roman"/>
        </w:rPr>
        <w:t xml:space="preserve"> </w:t>
      </w:r>
      <w:r w:rsidRPr="008F3C89">
        <w:rPr>
          <w:rFonts w:ascii="Times New Roman" w:hAnsi="Times New Roman" w:cs="Times New Roman"/>
        </w:rPr>
        <w:t>The prepared dough was processed into pellets using a pelletizer fitted with a 1-mm die. The pellets were oven-dried and stored in airtight containers until use. All experimental diets were formulated to contain 3</w:t>
      </w:r>
      <w:r w:rsidR="007B74B4" w:rsidRPr="008F3C89">
        <w:rPr>
          <w:rFonts w:ascii="Times New Roman" w:hAnsi="Times New Roman" w:cs="Times New Roman"/>
        </w:rPr>
        <w:t>5</w:t>
      </w:r>
      <w:r w:rsidRPr="008F3C89">
        <w:rPr>
          <w:rFonts w:ascii="Times New Roman" w:hAnsi="Times New Roman" w:cs="Times New Roman"/>
        </w:rPr>
        <w:t>% crude protein.</w:t>
      </w:r>
    </w:p>
    <w:p w14:paraId="5E5BA09E" w14:textId="70887248" w:rsidR="005579AD"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The complete ingredient composition and proximate composition of the experimental diets are presented in Table </w:t>
      </w:r>
      <w:r w:rsidR="000A01BE" w:rsidRPr="008F3C89">
        <w:rPr>
          <w:rFonts w:ascii="Times New Roman" w:hAnsi="Times New Roman" w:cs="Times New Roman"/>
        </w:rPr>
        <w:t>1</w:t>
      </w:r>
      <w:r w:rsidR="002F4262" w:rsidRPr="008F3C89">
        <w:rPr>
          <w:rFonts w:ascii="Times New Roman" w:hAnsi="Times New Roman" w:cs="Times New Roman"/>
        </w:rPr>
        <w:t xml:space="preserve"> and </w:t>
      </w:r>
      <w:r w:rsidR="00795674" w:rsidRPr="008F3C89">
        <w:rPr>
          <w:rFonts w:ascii="Times New Roman" w:hAnsi="Times New Roman" w:cs="Times New Roman"/>
        </w:rPr>
        <w:t>Table</w:t>
      </w:r>
      <w:r w:rsidR="000A01BE" w:rsidRPr="008F3C89">
        <w:rPr>
          <w:rFonts w:ascii="Times New Roman" w:hAnsi="Times New Roman" w:cs="Times New Roman"/>
        </w:rPr>
        <w:t xml:space="preserve"> 2</w:t>
      </w:r>
      <w:r w:rsidRPr="008F3C89">
        <w:rPr>
          <w:rFonts w:ascii="Times New Roman" w:hAnsi="Times New Roman" w:cs="Times New Roman"/>
        </w:rPr>
        <w:t>.</w:t>
      </w:r>
      <w:r w:rsidR="003A01ED" w:rsidRPr="008F3C89">
        <w:rPr>
          <w:rFonts w:ascii="Times New Roman" w:hAnsi="Times New Roman" w:cs="Times New Roman"/>
        </w:rPr>
        <w:t xml:space="preserve"> </w:t>
      </w:r>
    </w:p>
    <w:p w14:paraId="6F9AC79E" w14:textId="5CB3E64F" w:rsidR="00DB1FE2" w:rsidRDefault="00DB1FE2" w:rsidP="00994B7A">
      <w:pPr>
        <w:spacing w:line="240" w:lineRule="auto"/>
        <w:jc w:val="both"/>
        <w:rPr>
          <w:rFonts w:ascii="Times New Roman" w:hAnsi="Times New Roman" w:cs="Times New Roman"/>
        </w:rPr>
      </w:pPr>
      <w:r>
        <w:rPr>
          <w:rFonts w:ascii="Times New Roman" w:hAnsi="Times New Roman" w:cs="Times New Roman"/>
        </w:rPr>
        <w:t xml:space="preserve">Table 1: </w:t>
      </w:r>
      <w:r w:rsidRPr="008F3C89">
        <w:rPr>
          <w:rFonts w:ascii="Times New Roman" w:hAnsi="Times New Roman" w:cs="Times New Roman"/>
        </w:rPr>
        <w:t>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2662C69E" w14:textId="77777777" w:rsidTr="00B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C4BC058"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211EB8CD"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32A4593B"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65FFEE38"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5C45938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366A60EF"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Fish meal</w:t>
            </w:r>
          </w:p>
        </w:tc>
        <w:tc>
          <w:tcPr>
            <w:tcW w:w="2254" w:type="dxa"/>
          </w:tcPr>
          <w:p w14:paraId="2A1579E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27</w:t>
            </w:r>
          </w:p>
        </w:tc>
        <w:tc>
          <w:tcPr>
            <w:tcW w:w="2254" w:type="dxa"/>
          </w:tcPr>
          <w:p w14:paraId="14F18A6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21.6</w:t>
            </w:r>
          </w:p>
        </w:tc>
        <w:tc>
          <w:tcPr>
            <w:tcW w:w="2254" w:type="dxa"/>
          </w:tcPr>
          <w:p w14:paraId="115746D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16.2</w:t>
            </w:r>
          </w:p>
        </w:tc>
      </w:tr>
      <w:tr w:rsidR="00D9265D" w:rsidRPr="008F3C89" w14:paraId="68F42A67"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743876D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Soybean meal</w:t>
            </w:r>
          </w:p>
        </w:tc>
        <w:tc>
          <w:tcPr>
            <w:tcW w:w="2254" w:type="dxa"/>
          </w:tcPr>
          <w:p w14:paraId="3533A15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18C19067"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54CD745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r>
      <w:tr w:rsidR="00D9265D" w:rsidRPr="008F3C89" w14:paraId="1F06FD7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A0BAF98"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Groundnut oil cake </w:t>
            </w:r>
          </w:p>
        </w:tc>
        <w:tc>
          <w:tcPr>
            <w:tcW w:w="2254" w:type="dxa"/>
          </w:tcPr>
          <w:p w14:paraId="2D5C55E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4A593ABE"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5C2F561A"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r>
      <w:tr w:rsidR="00D9265D" w:rsidRPr="008F3C89" w14:paraId="7A409365"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A356AEE"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Spirulina meal</w:t>
            </w:r>
          </w:p>
        </w:tc>
        <w:tc>
          <w:tcPr>
            <w:tcW w:w="2254" w:type="dxa"/>
          </w:tcPr>
          <w:p w14:paraId="1E5423F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w:t>
            </w:r>
          </w:p>
        </w:tc>
        <w:tc>
          <w:tcPr>
            <w:tcW w:w="2254" w:type="dxa"/>
          </w:tcPr>
          <w:p w14:paraId="1CF4D66F"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5.4</w:t>
            </w:r>
          </w:p>
        </w:tc>
        <w:tc>
          <w:tcPr>
            <w:tcW w:w="2254" w:type="dxa"/>
          </w:tcPr>
          <w:p w14:paraId="77D3250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10.8</w:t>
            </w:r>
          </w:p>
        </w:tc>
      </w:tr>
      <w:tr w:rsidR="00D9265D" w:rsidRPr="008F3C89" w14:paraId="1CFE3AD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A6394B0"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De-oiled rice bran</w:t>
            </w:r>
          </w:p>
        </w:tc>
        <w:tc>
          <w:tcPr>
            <w:tcW w:w="2254" w:type="dxa"/>
          </w:tcPr>
          <w:p w14:paraId="794BD55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6D4352C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4ACC5C5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r>
      <w:tr w:rsidR="00D9265D" w:rsidRPr="008F3C89" w14:paraId="02BF4EF8"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022F78E"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Wheat flour</w:t>
            </w:r>
          </w:p>
        </w:tc>
        <w:tc>
          <w:tcPr>
            <w:tcW w:w="2254" w:type="dxa"/>
          </w:tcPr>
          <w:p w14:paraId="387FF30E"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1F9C2C37"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4559027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r>
      <w:tr w:rsidR="00D9265D" w:rsidRPr="008F3C89" w14:paraId="2130CE81"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00453021"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Maize</w:t>
            </w:r>
          </w:p>
        </w:tc>
        <w:tc>
          <w:tcPr>
            <w:tcW w:w="2254" w:type="dxa"/>
          </w:tcPr>
          <w:p w14:paraId="7953FFA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2683E48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2CE325E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r>
      <w:tr w:rsidR="00D9265D" w:rsidRPr="008F3C89" w14:paraId="5C98640B"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86EF351"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Maida</w:t>
            </w:r>
          </w:p>
        </w:tc>
        <w:tc>
          <w:tcPr>
            <w:tcW w:w="2254" w:type="dxa"/>
          </w:tcPr>
          <w:p w14:paraId="03795D1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61F42B9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6F38441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r>
      <w:tr w:rsidR="00D9265D" w:rsidRPr="008F3C89" w14:paraId="6D4A09A3"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D42DD6D"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Fish oil </w:t>
            </w:r>
          </w:p>
        </w:tc>
        <w:tc>
          <w:tcPr>
            <w:tcW w:w="2254" w:type="dxa"/>
          </w:tcPr>
          <w:p w14:paraId="693579D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4390CFE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2584A8B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7AB7B16C"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4C60AE25"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Min. mix</w:t>
            </w:r>
          </w:p>
        </w:tc>
        <w:tc>
          <w:tcPr>
            <w:tcW w:w="2254" w:type="dxa"/>
          </w:tcPr>
          <w:p w14:paraId="3405AC1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58A6CDDC"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123447EB"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5779F983"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41E7F22"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Vit. mix</w:t>
            </w:r>
          </w:p>
        </w:tc>
        <w:tc>
          <w:tcPr>
            <w:tcW w:w="2254" w:type="dxa"/>
          </w:tcPr>
          <w:p w14:paraId="510021C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0D1CB4D3" w14:textId="52B9185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54" w:type="dxa"/>
          </w:tcPr>
          <w:p w14:paraId="2151BADA"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744F5516"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7D65F8E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Total</w:t>
            </w:r>
          </w:p>
        </w:tc>
        <w:tc>
          <w:tcPr>
            <w:tcW w:w="2254" w:type="dxa"/>
          </w:tcPr>
          <w:p w14:paraId="4C0A4F05"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428646F6"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345D248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r>
    </w:tbl>
    <w:p w14:paraId="22802B79" w14:textId="44FEE011" w:rsidR="00D9265D" w:rsidRDefault="008F2D65" w:rsidP="00994B7A">
      <w:pPr>
        <w:spacing w:line="240" w:lineRule="auto"/>
        <w:rPr>
          <w:rFonts w:ascii="Times New Roman" w:hAnsi="Times New Roman" w:cs="Times New Roman"/>
        </w:rPr>
      </w:pPr>
      <w:r w:rsidRPr="008F3C89">
        <w:rPr>
          <w:rFonts w:ascii="Times New Roman" w:hAnsi="Times New Roman" w:cs="Times New Roman"/>
        </w:rPr>
        <w:t>Composition of Vit</w:t>
      </w:r>
      <w:r w:rsidR="00BC2464" w:rsidRPr="008F3C89">
        <w:rPr>
          <w:rFonts w:ascii="Times New Roman" w:hAnsi="Times New Roman" w:cs="Times New Roman"/>
        </w:rPr>
        <w:t xml:space="preserve">amin and </w:t>
      </w:r>
      <w:r w:rsidRPr="008F3C89">
        <w:rPr>
          <w:rFonts w:ascii="Times New Roman" w:hAnsi="Times New Roman" w:cs="Times New Roman"/>
        </w:rPr>
        <w:t>Min</w:t>
      </w:r>
      <w:r w:rsidR="00BC2464" w:rsidRPr="008F3C89">
        <w:rPr>
          <w:rFonts w:ascii="Times New Roman" w:hAnsi="Times New Roman" w:cs="Times New Roman"/>
        </w:rPr>
        <w:t>eral</w:t>
      </w:r>
      <w:r w:rsidRPr="008F3C89">
        <w:rPr>
          <w:rFonts w:ascii="Times New Roman" w:hAnsi="Times New Roman" w:cs="Times New Roman"/>
        </w:rPr>
        <w:t xml:space="preserve"> mix</w:t>
      </w:r>
      <w:r w:rsidR="00BC2464" w:rsidRPr="008F3C89">
        <w:rPr>
          <w:rFonts w:ascii="Times New Roman" w:hAnsi="Times New Roman" w:cs="Times New Roman"/>
        </w:rPr>
        <w:t>ture</w:t>
      </w:r>
      <w:r w:rsidRPr="008F3C89">
        <w:rPr>
          <w:rFonts w:ascii="Times New Roman" w:hAnsi="Times New Roman" w:cs="Times New Roman"/>
        </w:rPr>
        <w:t xml:space="preserve"> (per Kg feed): Vitamin A (100,000,000 IU), Vitamin D₃ (2,000,000 IU), Vitamin E (10,000 IU), Vitamin C (60,000 mg), Thiamine (Vitamin B₁, 5,000 mg), Riboflavin (Vitamin B₂, 5,000 mg), Niacin (Vitamin B₃, 6,000 150 mg), Pantothenic acid (Vitamin B₅, 6,000 mg), Pyridoxine (Vitamin B₆, 6,000 mg) and Biotin (Vitamin H, 200 mg).</w:t>
      </w:r>
      <w:r w:rsidR="004E6BF6" w:rsidRPr="008F3C89">
        <w:rPr>
          <w:rFonts w:ascii="Times New Roman" w:hAnsi="Times New Roman" w:cs="Times New Roman"/>
        </w:rPr>
        <w:t xml:space="preserve"> </w:t>
      </w:r>
      <w:r w:rsidRPr="008F3C89">
        <w:rPr>
          <w:rFonts w:ascii="Times New Roman" w:hAnsi="Times New Roman" w:cs="Times New Roman"/>
        </w:rPr>
        <w:t>Calcium carbonate (27.25%), Magnesium (2,800 mg), Iron (7,400 mg), Zinc (9,800 mg), Manganese (11,600 mg), Copper (1,200 mg), Iodine (7.4 mg), Selenium (4 mg), Cobalt (4 mg), Potassium (100 mg), Sodium (6 mg), Phosphorus (7.45 mg), Sulfur (0.7 mg), Aluminum (1,500 mg)</w:t>
      </w:r>
      <w:r w:rsidR="003913D1" w:rsidRPr="008F3C89">
        <w:rPr>
          <w:rFonts w:ascii="Times New Roman" w:hAnsi="Times New Roman" w:cs="Times New Roman"/>
        </w:rPr>
        <w:t>, choline chloride (</w:t>
      </w:r>
      <w:r w:rsidR="00115CE6" w:rsidRPr="008F3C89">
        <w:rPr>
          <w:rFonts w:ascii="Times New Roman" w:hAnsi="Times New Roman" w:cs="Times New Roman"/>
        </w:rPr>
        <w:t>10,000mg</w:t>
      </w:r>
      <w:r w:rsidR="003913D1" w:rsidRPr="008F3C89">
        <w:rPr>
          <w:rFonts w:ascii="Times New Roman" w:hAnsi="Times New Roman" w:cs="Times New Roman"/>
        </w:rPr>
        <w:t xml:space="preserve">) </w:t>
      </w:r>
      <w:r w:rsidRPr="008F3C89">
        <w:rPr>
          <w:rFonts w:ascii="Times New Roman" w:hAnsi="Times New Roman" w:cs="Times New Roman"/>
        </w:rPr>
        <w:t xml:space="preserve">and Calpan (200 mg). </w:t>
      </w:r>
    </w:p>
    <w:p w14:paraId="2802DB39" w14:textId="10A0E65D" w:rsidR="008F5A19" w:rsidRDefault="008F5A19" w:rsidP="00994B7A">
      <w:pPr>
        <w:spacing w:line="240" w:lineRule="auto"/>
        <w:rPr>
          <w:rFonts w:ascii="Times New Roman" w:hAnsi="Times New Roman" w:cs="Times New Roman"/>
        </w:rPr>
      </w:pPr>
      <w:r w:rsidRPr="008F3C89">
        <w:rPr>
          <w:rFonts w:ascii="Times New Roman" w:hAnsi="Times New Roman" w:cs="Times New Roman"/>
        </w:rPr>
        <w:t>Table 2: 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18FDC747"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257F8E9"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33F4F908"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58028172"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732CCE93"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2910E6C1"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AD2BB98"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Moisture</w:t>
            </w:r>
          </w:p>
        </w:tc>
        <w:tc>
          <w:tcPr>
            <w:tcW w:w="2254" w:type="dxa"/>
          </w:tcPr>
          <w:p w14:paraId="61739706"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w:t>
            </w:r>
          </w:p>
        </w:tc>
        <w:tc>
          <w:tcPr>
            <w:tcW w:w="2254" w:type="dxa"/>
          </w:tcPr>
          <w:p w14:paraId="2A75B51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c>
          <w:tcPr>
            <w:tcW w:w="2254" w:type="dxa"/>
          </w:tcPr>
          <w:p w14:paraId="00B1337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7.5</w:t>
            </w:r>
          </w:p>
        </w:tc>
      </w:tr>
      <w:tr w:rsidR="00D9265D" w:rsidRPr="008F3C89" w14:paraId="337F081E"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08713144"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Protein</w:t>
            </w:r>
          </w:p>
        </w:tc>
        <w:tc>
          <w:tcPr>
            <w:tcW w:w="2254" w:type="dxa"/>
          </w:tcPr>
          <w:p w14:paraId="797BB0B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34.78</w:t>
            </w:r>
          </w:p>
        </w:tc>
        <w:tc>
          <w:tcPr>
            <w:tcW w:w="2254" w:type="dxa"/>
          </w:tcPr>
          <w:p w14:paraId="1936543A"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34.93</w:t>
            </w:r>
          </w:p>
        </w:tc>
        <w:tc>
          <w:tcPr>
            <w:tcW w:w="2254" w:type="dxa"/>
          </w:tcPr>
          <w:p w14:paraId="5449EFBD"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35.11</w:t>
            </w:r>
          </w:p>
        </w:tc>
      </w:tr>
      <w:tr w:rsidR="00D9265D" w:rsidRPr="008F3C89" w14:paraId="7C808CBE"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2B67344D"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Ether Extract</w:t>
            </w:r>
          </w:p>
        </w:tc>
        <w:tc>
          <w:tcPr>
            <w:tcW w:w="2254" w:type="dxa"/>
          </w:tcPr>
          <w:p w14:paraId="314E39C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7.37</w:t>
            </w:r>
          </w:p>
        </w:tc>
        <w:tc>
          <w:tcPr>
            <w:tcW w:w="2254" w:type="dxa"/>
          </w:tcPr>
          <w:p w14:paraId="210C406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7.7</w:t>
            </w:r>
          </w:p>
        </w:tc>
        <w:tc>
          <w:tcPr>
            <w:tcW w:w="2254" w:type="dxa"/>
          </w:tcPr>
          <w:p w14:paraId="6E1025A1"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r>
      <w:tr w:rsidR="00D9265D" w:rsidRPr="008F3C89" w14:paraId="623EB99D"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6AA44D95"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Fiber</w:t>
            </w:r>
          </w:p>
        </w:tc>
        <w:tc>
          <w:tcPr>
            <w:tcW w:w="2254" w:type="dxa"/>
          </w:tcPr>
          <w:p w14:paraId="3C41310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8.7</w:t>
            </w:r>
          </w:p>
        </w:tc>
        <w:tc>
          <w:tcPr>
            <w:tcW w:w="2254" w:type="dxa"/>
          </w:tcPr>
          <w:p w14:paraId="2C01F87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8.25</w:t>
            </w:r>
          </w:p>
        </w:tc>
        <w:tc>
          <w:tcPr>
            <w:tcW w:w="2254" w:type="dxa"/>
          </w:tcPr>
          <w:p w14:paraId="62A4AAF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8.5</w:t>
            </w:r>
          </w:p>
        </w:tc>
      </w:tr>
      <w:tr w:rsidR="00D9265D" w:rsidRPr="008F3C89" w14:paraId="20BDCF4E"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B63A29D"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lastRenderedPageBreak/>
              <w:t>Ash</w:t>
            </w:r>
          </w:p>
        </w:tc>
        <w:tc>
          <w:tcPr>
            <w:tcW w:w="2254" w:type="dxa"/>
          </w:tcPr>
          <w:p w14:paraId="58622E0F"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13.2</w:t>
            </w:r>
          </w:p>
        </w:tc>
        <w:tc>
          <w:tcPr>
            <w:tcW w:w="2254" w:type="dxa"/>
          </w:tcPr>
          <w:p w14:paraId="498DEB2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12.99</w:t>
            </w:r>
          </w:p>
        </w:tc>
        <w:tc>
          <w:tcPr>
            <w:tcW w:w="2254" w:type="dxa"/>
          </w:tcPr>
          <w:p w14:paraId="64836B7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13.17</w:t>
            </w:r>
          </w:p>
        </w:tc>
      </w:tr>
      <w:tr w:rsidR="00D9265D" w:rsidRPr="008F3C89" w14:paraId="37514BF2"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2CC6A37A"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NFE (%)</w:t>
            </w:r>
          </w:p>
        </w:tc>
        <w:tc>
          <w:tcPr>
            <w:tcW w:w="2254" w:type="dxa"/>
          </w:tcPr>
          <w:p w14:paraId="5B7A456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28.75</w:t>
            </w:r>
          </w:p>
        </w:tc>
        <w:tc>
          <w:tcPr>
            <w:tcW w:w="2254" w:type="dxa"/>
          </w:tcPr>
          <w:p w14:paraId="7CC46DB4" w14:textId="3DAD8B2B"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w:t>
            </w:r>
            <w:r w:rsidR="00340CF6" w:rsidRPr="008F3C89">
              <w:rPr>
                <w:rFonts w:ascii="Times New Roman" w:hAnsi="Times New Roman" w:cs="Times New Roman"/>
              </w:rPr>
              <w:t>8</w:t>
            </w:r>
            <w:r w:rsidRPr="008F3C89">
              <w:rPr>
                <w:rFonts w:ascii="Times New Roman" w:hAnsi="Times New Roman" w:cs="Times New Roman"/>
              </w:rPr>
              <w:t>3</w:t>
            </w:r>
          </w:p>
        </w:tc>
        <w:tc>
          <w:tcPr>
            <w:tcW w:w="2254" w:type="dxa"/>
          </w:tcPr>
          <w:p w14:paraId="16B19FEF" w14:textId="73793899" w:rsidR="00D9265D" w:rsidRPr="008F3C89" w:rsidRDefault="00340CF6"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28.42</w:t>
            </w:r>
          </w:p>
        </w:tc>
      </w:tr>
    </w:tbl>
    <w:p w14:paraId="7C2DBF83"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2.3. Experimental design and feeding trial</w:t>
      </w:r>
    </w:p>
    <w:p w14:paraId="0218F6EF"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The feeding trial was conducted for 90 days using three dietary treatments, including a control diet and two experimental diets supplemented with Spirulina meal at 20% and 40% inclusion levels. Each treatment was assigned to three replicate tanks, with 10 fish stocked per tank. Thus, the experimental design comprised nine tanks and 90 fish in total.</w:t>
      </w:r>
    </w:p>
    <w:p w14:paraId="12C5E97F"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Each tank had a nominal capacity of 100 L and contained 85 L of water. Continuous aeration was provided to each tank through two aeration tubes. Fish were fed three times daily at 06:00, 14:00 and 20:00 h at a daily ration of 6% BW. The feeding ration was adjusted according to fish body weight as appropriate during the trial.</w:t>
      </w:r>
    </w:p>
    <w:p w14:paraId="4D9B693B"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Salinity was maintained at approximately 10 ppt by replenishing evaporative losses and adjusting the water mixture using freshwater and seawater. Water was exchanged daily in the morning before feeding to remove uneaten feed and faecal matter.</w:t>
      </w:r>
    </w:p>
    <w:p w14:paraId="5E20E0D6"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2.4. Water quality monitoring</w:t>
      </w:r>
    </w:p>
    <w:p w14:paraId="2E5E5ADE"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Water quality parameters were monitored throughout the 90-day feeding trial. Water temperature was measured using a mercury-bulb thermometer, pH was assessed using a universal pH indicator, dissolved oxygen was measured using an Aqua Check DO test kit (HiMedia Laboratories Pvt. Ltd., Mumbai, India), and salinity was determined using a portable refractometer (ERMA, RHS-28). These parameters were measured daily at 10:00 h.</w:t>
      </w:r>
    </w:p>
    <w:p w14:paraId="74D0CA6A" w14:textId="0E466162"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Total hardness and total alkalinity were determined once every 10 days using a water-testing kit (Nice Chemicals Pvt. Ltd., Kochi, India). Water was exchanged daily at a rate of 25% before the morning feeding to remove accumulated waste and uneaten feed. Salinity was maintained at approximately 10 ppt throughout the experimental period by replenishing water losses and adjusting the proportions of freshwater and seawater.</w:t>
      </w:r>
      <w:r w:rsidR="002A2868" w:rsidRPr="008F3C89">
        <w:rPr>
          <w:rFonts w:ascii="Times New Roman" w:hAnsi="Times New Roman" w:cs="Times New Roman"/>
        </w:rPr>
        <w:t xml:space="preserve"> The methods </w:t>
      </w:r>
      <w:r w:rsidR="002A2868" w:rsidRPr="008F3C89">
        <w:rPr>
          <w:rStyle w:val="Strong"/>
          <w:rFonts w:ascii="Times New Roman" w:hAnsi="Times New Roman" w:cs="Times New Roman"/>
          <w:b w:val="0"/>
          <w:bCs w:val="0"/>
        </w:rPr>
        <w:t xml:space="preserve">for Water Quality Analysis were presented in Table </w:t>
      </w:r>
      <w:r w:rsidR="000A01BE" w:rsidRPr="008F3C89">
        <w:rPr>
          <w:rStyle w:val="Strong"/>
          <w:rFonts w:ascii="Times New Roman" w:hAnsi="Times New Roman" w:cs="Times New Roman"/>
          <w:b w:val="0"/>
          <w:bCs w:val="0"/>
        </w:rPr>
        <w:t>3</w:t>
      </w:r>
      <w:r w:rsidR="00301820" w:rsidRPr="008F3C89">
        <w:rPr>
          <w:rStyle w:val="Strong"/>
          <w:rFonts w:ascii="Times New Roman" w:hAnsi="Times New Roman" w:cs="Times New Roman"/>
          <w:b w:val="0"/>
          <w:bCs w:val="0"/>
        </w:rPr>
        <w:t>.</w:t>
      </w:r>
    </w:p>
    <w:p w14:paraId="08F24790" w14:textId="366AD364"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2.5. Growth performance</w:t>
      </w:r>
      <w:r w:rsidR="00CD50C2" w:rsidRPr="008F3C89">
        <w:rPr>
          <w:rFonts w:ascii="Times New Roman" w:hAnsi="Times New Roman" w:cs="Times New Roman"/>
          <w:b/>
          <w:bCs/>
        </w:rPr>
        <w:t>, feed utilization</w:t>
      </w:r>
      <w:r w:rsidRPr="008F3C89">
        <w:rPr>
          <w:rFonts w:ascii="Times New Roman" w:hAnsi="Times New Roman" w:cs="Times New Roman"/>
          <w:b/>
          <w:bCs/>
        </w:rPr>
        <w:t xml:space="preserve"> and survival</w:t>
      </w:r>
    </w:p>
    <w:p w14:paraId="51B006F3" w14:textId="028AF29C"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Growth performance and survival were evaluated at 10-day intervals throughout the feeding trial. Fish were weighed using an analytical balance (ME204, Mettler Toledo, Greifensee, Switzerland), and initial and final body weights were recorded. Growth performance was assessed in terms of final body weight, net weight gain, specific growth rate (SGR), feed conversion ratio (FCR) and survival rate, following the methodology described by </w:t>
      </w:r>
      <w:r w:rsidR="00E821F4" w:rsidRPr="008F3C89">
        <w:rPr>
          <w:rFonts w:ascii="Times New Roman" w:eastAsiaTheme="minorHAnsi" w:hAnsi="Times New Roman" w:cs="Times New Roman"/>
          <w:lang w:eastAsia="en-US"/>
        </w:rPr>
        <w:t>El-Sheekh et al., (</w:t>
      </w:r>
      <w:r w:rsidR="00002635" w:rsidRPr="008F3C89">
        <w:rPr>
          <w:rFonts w:ascii="Times New Roman" w:eastAsiaTheme="minorHAnsi" w:hAnsi="Times New Roman" w:cs="Times New Roman"/>
          <w:lang w:eastAsia="en-US"/>
        </w:rPr>
        <w:t>2014</w:t>
      </w:r>
      <w:r w:rsidR="00E821F4" w:rsidRPr="008F3C89">
        <w:rPr>
          <w:rFonts w:ascii="Times New Roman" w:eastAsiaTheme="minorHAnsi" w:hAnsi="Times New Roman" w:cs="Times New Roman"/>
          <w:lang w:eastAsia="en-US"/>
        </w:rPr>
        <w:t xml:space="preserve">). </w:t>
      </w:r>
    </w:p>
    <w:p w14:paraId="6907757C" w14:textId="77777777" w:rsidR="005579AD" w:rsidRPr="008F3C89" w:rsidRDefault="005579AD" w:rsidP="00994B7A">
      <w:pPr>
        <w:spacing w:line="240" w:lineRule="auto"/>
        <w:rPr>
          <w:rFonts w:ascii="Times New Roman" w:hAnsi="Times New Roman" w:cs="Times New Roman"/>
        </w:rPr>
      </w:pPr>
      <w:r w:rsidRPr="008F3C89">
        <w:rPr>
          <w:rFonts w:ascii="Times New Roman" w:hAnsi="Times New Roman" w:cs="Times New Roman"/>
        </w:rPr>
        <w:t>The following equations were used to calculate growth performance and survival indices:</w:t>
      </w:r>
    </w:p>
    <w:p w14:paraId="50654975"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(WG):</w:t>
      </w:r>
    </w:p>
    <w:p w14:paraId="58BFE578" w14:textId="5E6C8D6F"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e>
          </m:d>
          <m:r>
            <w:rPr>
              <w:rFonts w:ascii="Cambria Math" w:hAnsi="Cambria Math" w:cs="Times New Roman"/>
            </w:rPr>
            <m:t>=FW-IW</m:t>
          </m:r>
          <m:r>
            <m:rPr>
              <m:sty m:val="p"/>
            </m:rPr>
            <w:rPr>
              <w:rFonts w:ascii="Cambria Math" w:hAnsi="Cambria Math" w:cs="Times New Roman"/>
            </w:rPr>
            <w:br/>
          </m:r>
        </m:oMath>
      </m:oMathPara>
    </w:p>
    <w:p w14:paraId="54D30FDF"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percentage (WGP):</w:t>
      </w:r>
    </w:p>
    <w:p w14:paraId="4014D1B4" w14:textId="56FE919C"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IW</m:t>
              </m:r>
            </m:den>
          </m:f>
          <m:r>
            <w:rPr>
              <w:rFonts w:ascii="Cambria Math" w:hAnsi="Cambria Math" w:cs="Times New Roman"/>
            </w:rPr>
            <m:t>×100</m:t>
          </m:r>
          <m:r>
            <m:rPr>
              <m:sty m:val="p"/>
            </m:rPr>
            <w:rPr>
              <w:rFonts w:ascii="Cambria Math" w:hAnsi="Cambria Math" w:cs="Times New Roman"/>
            </w:rPr>
            <w:br/>
          </m:r>
        </m:oMath>
      </m:oMathPara>
    </w:p>
    <w:p w14:paraId="79BDAB3F"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Average daily gain (ADG):</w:t>
      </w:r>
    </w:p>
    <w:p w14:paraId="7C5F8D50" w14:textId="59CDF084"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w:lastRenderedPageBreak/>
            <m:t>ADG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D</m:t>
              </m:r>
            </m:den>
          </m:f>
          <m:r>
            <m:rPr>
              <m:sty m:val="p"/>
            </m:rPr>
            <w:rPr>
              <w:rFonts w:ascii="Cambria Math" w:hAnsi="Cambria Math" w:cs="Times New Roman"/>
            </w:rPr>
            <w:br/>
          </m:r>
        </m:oMath>
      </m:oMathPara>
    </w:p>
    <w:p w14:paraId="78BD38F6"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Specific growth rate (SGR):</w:t>
      </w:r>
    </w:p>
    <w:p w14:paraId="0E3F1BCC" w14:textId="62865A0D"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SGR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FW</m:t>
                  </m:r>
                </m:e>
              </m:d>
              <m:r>
                <w:rPr>
                  <w:rFonts w:ascii="Cambria Math" w:hAnsi="Cambria Math" w:cs="Times New Roman"/>
                </w:rPr>
                <m:t>-</m:t>
              </m:r>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IW</m:t>
                  </m:r>
                </m:e>
              </m:d>
            </m:num>
            <m:den>
              <m:r>
                <w:rPr>
                  <w:rFonts w:ascii="Cambria Math" w:hAnsi="Cambria Math" w:cs="Times New Roman"/>
                </w:rPr>
                <m:t>D</m:t>
              </m:r>
            </m:den>
          </m:f>
          <m:r>
            <w:rPr>
              <w:rFonts w:ascii="Cambria Math" w:hAnsi="Cambria Math" w:cs="Times New Roman"/>
            </w:rPr>
            <m:t>×100</m:t>
          </m:r>
          <m:r>
            <m:rPr>
              <m:sty m:val="p"/>
            </m:rPr>
            <w:rPr>
              <w:rFonts w:ascii="Cambria Math" w:hAnsi="Cambria Math" w:cs="Times New Roman"/>
            </w:rPr>
            <w:br/>
          </m:r>
        </m:oMath>
      </m:oMathPara>
    </w:p>
    <w:p w14:paraId="261A2047"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ratio (FCR):</w:t>
      </w:r>
    </w:p>
    <w:p w14:paraId="5354FBFD" w14:textId="5DAAD626"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FCR=</m:t>
          </m:r>
          <m:f>
            <m:fPr>
              <m:ctrlPr>
                <w:rPr>
                  <w:rFonts w:ascii="Cambria Math" w:hAnsi="Cambria Math" w:cs="Times New Roman"/>
                </w:rPr>
              </m:ctrlPr>
            </m:fPr>
            <m:num>
              <m:r>
                <w:rPr>
                  <w:rFonts w:ascii="Cambria Math" w:hAnsi="Cambria Math" w:cs="Times New Roman"/>
                </w:rPr>
                <m:t>FI</m:t>
              </m:r>
            </m:num>
            <m:den>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den>
          </m:f>
          <m:r>
            <m:rPr>
              <m:sty m:val="p"/>
            </m:rPr>
            <w:rPr>
              <w:rFonts w:ascii="Cambria Math" w:hAnsi="Cambria Math" w:cs="Times New Roman"/>
            </w:rPr>
            <w:br/>
          </m:r>
        </m:oMath>
      </m:oMathPara>
    </w:p>
    <w:p w14:paraId="7E53FB96"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(FCE):</w:t>
      </w:r>
    </w:p>
    <w:p w14:paraId="76E7B229" w14:textId="4555379E"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m:rPr>
              <m:sty m:val="p"/>
            </m:rPr>
            <w:rPr>
              <w:rFonts w:ascii="Cambria Math" w:hAnsi="Cambria Math" w:cs="Times New Roman"/>
            </w:rPr>
            <w:br/>
          </m:r>
        </m:oMath>
      </m:oMathPara>
    </w:p>
    <w:p w14:paraId="31AAB4B9"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percentage (FCEP):</w:t>
      </w:r>
    </w:p>
    <w:p w14:paraId="7CE3F159" w14:textId="6090BAF0"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w:rPr>
              <w:rFonts w:ascii="Cambria Math" w:hAnsi="Cambria Math" w:cs="Times New Roman"/>
            </w:rPr>
            <m:t>×100</m:t>
          </m:r>
          <m:r>
            <m:rPr>
              <m:sty m:val="p"/>
            </m:rPr>
            <w:rPr>
              <w:rFonts w:ascii="Cambria Math" w:hAnsi="Cambria Math" w:cs="Times New Roman"/>
            </w:rPr>
            <w:br/>
          </m:r>
        </m:oMath>
      </m:oMathPara>
    </w:p>
    <w:p w14:paraId="4FAEE2DC"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Survival rate (SR):</w:t>
      </w:r>
    </w:p>
    <w:p w14:paraId="13E45F2B" w14:textId="0E08120C" w:rsidR="00A46225" w:rsidRPr="008F3C89" w:rsidRDefault="001D4B4C" w:rsidP="00994B7A">
      <w:pPr>
        <w:spacing w:line="240" w:lineRule="auto"/>
        <w:jc w:val="both"/>
        <w:rPr>
          <w:rFonts w:ascii="Times New Roman" w:hAnsi="Times New Roman" w:cs="Times New Roman"/>
        </w:rPr>
      </w:pPr>
      <m:oMathPara>
        <m:oMath>
          <m:r>
            <w:rPr>
              <w:rFonts w:ascii="Cambria Math" w:hAnsi="Cambria Math" w:cs="Times New Roman"/>
            </w:rPr>
            <m:t>SR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num>
            <m:den>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den>
          </m:f>
          <m:r>
            <w:rPr>
              <w:rFonts w:ascii="Cambria Math" w:hAnsi="Cambria Math" w:cs="Times New Roman"/>
            </w:rPr>
            <m:t>×100</m:t>
          </m:r>
          <m:r>
            <m:rPr>
              <m:sty m:val="p"/>
            </m:rPr>
            <w:rPr>
              <w:rFonts w:ascii="Cambria Math" w:hAnsi="Cambria Math" w:cs="Times New Roman"/>
            </w:rPr>
            <w:br/>
          </m:r>
        </m:oMath>
      </m:oMathPara>
      <w:r w:rsidR="00A46225" w:rsidRPr="008F3C89">
        <w:rPr>
          <w:rFonts w:ascii="Times New Roman" w:hAnsi="Times New Roman" w:cs="Times New Roman"/>
        </w:rPr>
        <w:t xml:space="preserve">where </w:t>
      </w:r>
      <m:oMath>
        <m:r>
          <w:rPr>
            <w:rFonts w:ascii="Cambria Math" w:hAnsi="Cambria Math" w:cs="Times New Roman"/>
          </w:rPr>
          <m:t>IW</m:t>
        </m:r>
      </m:oMath>
      <w:r w:rsidR="00A46225" w:rsidRPr="008F3C89">
        <w:rPr>
          <w:rFonts w:ascii="Times New Roman" w:hAnsi="Times New Roman" w:cs="Times New Roman"/>
        </w:rPr>
        <w:t xml:space="preserve">and </w:t>
      </w:r>
      <m:oMath>
        <m:r>
          <w:rPr>
            <w:rFonts w:ascii="Cambria Math" w:hAnsi="Cambria Math" w:cs="Times New Roman"/>
          </w:rPr>
          <m:t>FW</m:t>
        </m:r>
      </m:oMath>
      <w:r w:rsidR="00A46225" w:rsidRPr="008F3C89">
        <w:rPr>
          <w:rFonts w:ascii="Times New Roman" w:hAnsi="Times New Roman" w:cs="Times New Roman"/>
        </w:rPr>
        <w:t xml:space="preserve">are the initial and final mean body weights (g), respectively; </w:t>
      </w:r>
      <m:oMath>
        <m:r>
          <w:rPr>
            <w:rFonts w:ascii="Cambria Math" w:hAnsi="Cambria Math" w:cs="Times New Roman"/>
          </w:rPr>
          <m:t>D</m:t>
        </m:r>
      </m:oMath>
      <w:r w:rsidR="00A46225" w:rsidRPr="008F3C89">
        <w:rPr>
          <w:rFonts w:ascii="Times New Roman" w:hAnsi="Times New Roman" w:cs="Times New Roman"/>
        </w:rPr>
        <w:t xml:space="preserve">is the experimental duration (days); </w:t>
      </w:r>
      <m:oMath>
        <m:r>
          <w:rPr>
            <w:rFonts w:ascii="Cambria Math" w:hAnsi="Cambria Math" w:cs="Times New Roman"/>
          </w:rPr>
          <m:t>FI</m:t>
        </m:r>
      </m:oMath>
      <w:r w:rsidR="00A46225" w:rsidRPr="008F3C89">
        <w:rPr>
          <w:rFonts w:ascii="Times New Roman" w:hAnsi="Times New Roman" w:cs="Times New Roman"/>
        </w:rPr>
        <w:t xml:space="preserve">is the total dry feed consumed (g); </w:t>
      </w:r>
      <m:oMath>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oMath>
      <w:r w:rsidR="00A46225" w:rsidRPr="008F3C89">
        <w:rPr>
          <w:rFonts w:ascii="Times New Roman" w:hAnsi="Times New Roman" w:cs="Times New Roman"/>
        </w:rPr>
        <w:t xml:space="preserve">is the total live-weight gain (g) of fish in the experimental unit;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00A46225" w:rsidRPr="008F3C89">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oMath>
      <w:r w:rsidR="00A46225" w:rsidRPr="008F3C89">
        <w:rPr>
          <w:rFonts w:ascii="Times New Roman" w:hAnsi="Times New Roman" w:cs="Times New Roman"/>
        </w:rPr>
        <w:t xml:space="preserve">are the initial and final numbers of fish, respectively. Initial length (IL) and final length (FL) were expressed in centimetres. </w:t>
      </w:r>
    </w:p>
    <w:p w14:paraId="387CA280" w14:textId="1133ED96"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2.6. Statistical analysis</w:t>
      </w:r>
    </w:p>
    <w:p w14:paraId="2072D8D3"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Data on water quality, growth performance and survival were analysed using one-way analysis of variance (ANOVA) in SPSS version 20.0 (IBM Corp., Armonk, NY, USA). Differences among dietary treatments were evaluated at a significance level of 5% (P &lt; 0.05). When significant differences were detected by ANOVA, Duncan’s multiple range test was used to compare treatment means.</w:t>
      </w:r>
    </w:p>
    <w:p w14:paraId="610478A1" w14:textId="77777777" w:rsidR="0026417B" w:rsidRPr="008F3C89" w:rsidRDefault="0026417B" w:rsidP="00994B7A">
      <w:pPr>
        <w:spacing w:line="240" w:lineRule="auto"/>
        <w:rPr>
          <w:rFonts w:ascii="Times New Roman" w:hAnsi="Times New Roman" w:cs="Times New Roman"/>
          <w:b/>
          <w:bCs/>
        </w:rPr>
      </w:pPr>
      <w:r w:rsidRPr="008F3C89">
        <w:rPr>
          <w:rFonts w:ascii="Times New Roman" w:hAnsi="Times New Roman" w:cs="Times New Roman"/>
          <w:b/>
          <w:bCs/>
        </w:rPr>
        <w:t>3. Results and Discussion</w:t>
      </w:r>
    </w:p>
    <w:p w14:paraId="6DF10351" w14:textId="77777777"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3.1. Growth performance and survival</w:t>
      </w:r>
    </w:p>
    <w:p w14:paraId="521930D0" w14:textId="71E8A2D0" w:rsidR="00D711A9" w:rsidRPr="008F3C89" w:rsidRDefault="00D711A9" w:rsidP="00994B7A">
      <w:pPr>
        <w:spacing w:line="240" w:lineRule="auto"/>
        <w:jc w:val="both"/>
        <w:rPr>
          <w:rFonts w:ascii="Times New Roman" w:hAnsi="Times New Roman" w:cs="Times New Roman"/>
        </w:rPr>
      </w:pPr>
      <w:r w:rsidRPr="008F3C89">
        <w:rPr>
          <w:rFonts w:ascii="Times New Roman" w:hAnsi="Times New Roman" w:cs="Times New Roman"/>
        </w:rPr>
        <w:t>The growth performance of milkfish (</w:t>
      </w:r>
      <w:r w:rsidRPr="008F3C89">
        <w:rPr>
          <w:rFonts w:ascii="Times New Roman" w:hAnsi="Times New Roman" w:cs="Times New Roman"/>
          <w:i/>
          <w:iCs/>
        </w:rPr>
        <w:t>Chanos chanos</w:t>
      </w:r>
      <w:r w:rsidRPr="008F3C89">
        <w:rPr>
          <w:rFonts w:ascii="Times New Roman" w:hAnsi="Times New Roman" w:cs="Times New Roman"/>
        </w:rPr>
        <w:t xml:space="preserve">) fry fed the three experimental diets over the 90-day feeding trial is presented in Table </w:t>
      </w:r>
      <w:r w:rsidR="002E4D40" w:rsidRPr="008F3C89">
        <w:rPr>
          <w:rFonts w:ascii="Times New Roman" w:hAnsi="Times New Roman" w:cs="Times New Roman"/>
        </w:rPr>
        <w:t>4</w:t>
      </w:r>
      <w:r w:rsidRPr="008F3C89">
        <w:rPr>
          <w:rFonts w:ascii="Times New Roman" w:hAnsi="Times New Roman" w:cs="Times New Roman"/>
        </w:rPr>
        <w:t>. Initial body weight did not differ significantly among treatments (P = 0.346), indicating comparable initial stocking weights. Final body weight differed significantly among treatments (P &lt; 0.001), increasing from 10.28 ± 0.11 g in T1 to 12.17 ± 0.12 g in T2 and 13.36 ± 0.12 g in T3. Similarly, weight gain increased significantly from 9.40 ± 0.12 g in T1 to 11.33 ± 0.10 g in T2 and 12.51 ± 0.10 g in T3 (P &lt; 0.001).</w:t>
      </w:r>
    </w:p>
    <w:p w14:paraId="2B72751A" w14:textId="77777777" w:rsidR="00D711A9" w:rsidRPr="008F3C89" w:rsidRDefault="00D711A9" w:rsidP="00994B7A">
      <w:pPr>
        <w:spacing w:line="240" w:lineRule="auto"/>
        <w:jc w:val="both"/>
        <w:rPr>
          <w:rFonts w:ascii="Times New Roman" w:hAnsi="Times New Roman" w:cs="Times New Roman"/>
        </w:rPr>
      </w:pPr>
      <w:r w:rsidRPr="008F3C89">
        <w:rPr>
          <w:rFonts w:ascii="Times New Roman" w:hAnsi="Times New Roman" w:cs="Times New Roman"/>
        </w:rPr>
        <w:lastRenderedPageBreak/>
        <w:t>Percentage weight gain followed a similar trend, with values of 1068.71 ± 35.97%, 1350.75 ± 61.84% and 1466.71 ± 45.93% in T1, T2 and T3, respectively (P &lt; 0.001). Average daily gain increased from 0.104 ± 0.001 g day⁻¹ in T1 to 0.126 ± 0.001 g day⁻¹ in T2 and 0.139 ± 0.001 g day⁻¹ in T3. Specific growth rate also increased significantly across treatments, reaching 3.057 ± 0.033% day⁻¹ in T3 compared with 2.971 ± 0.048% day⁻¹ in T2 and 2.731 ± 0.034% day⁻¹ in T1 (P &lt; 0.001).</w:t>
      </w:r>
    </w:p>
    <w:p w14:paraId="5FC6B35D" w14:textId="77777777" w:rsidR="00063EC3" w:rsidRDefault="00D711A9" w:rsidP="00994B7A">
      <w:pPr>
        <w:spacing w:line="240" w:lineRule="auto"/>
        <w:jc w:val="both"/>
        <w:rPr>
          <w:rFonts w:ascii="Times New Roman" w:hAnsi="Times New Roman" w:cs="Times New Roman"/>
        </w:rPr>
      </w:pPr>
      <w:r w:rsidRPr="008F3C89">
        <w:rPr>
          <w:rFonts w:ascii="Times New Roman" w:hAnsi="Times New Roman" w:cs="Times New Roman"/>
        </w:rPr>
        <w:t>Survival rates ranged from 80.00 ± 5.00% in T1 to 86.67 ± 5.77% in T3, but the differences were not statistically significant (P = 0.394). Initial length did not differ significantly among treatments (P = 0.301). Final length was numerically highest in T3 (11.10 ± 0.17 cm), followed by T2 (10.73 ± 0.40 cm) and T1 (10.40 ± 0.20 cm); however, the overall treatment effect was not statistically significant at the 5% level (P = 0.058).</w:t>
      </w:r>
    </w:p>
    <w:p w14:paraId="541F0760" w14:textId="456ABF06"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3. Growth performance and survival of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1555"/>
        <w:gridCol w:w="2126"/>
        <w:gridCol w:w="1984"/>
        <w:gridCol w:w="2273"/>
        <w:gridCol w:w="993"/>
      </w:tblGrid>
      <w:tr w:rsidR="00595A70" w:rsidRPr="008F3C89" w14:paraId="37CBC043"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33798CA"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2126" w:type="dxa"/>
            <w:noWrap/>
            <w:hideMark/>
          </w:tcPr>
          <w:p w14:paraId="36ED66CF" w14:textId="3620585E"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4" w:type="dxa"/>
            <w:noWrap/>
            <w:hideMark/>
          </w:tcPr>
          <w:p w14:paraId="4C8DDC8E" w14:textId="7BF5250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73" w:type="dxa"/>
            <w:noWrap/>
            <w:hideMark/>
          </w:tcPr>
          <w:p w14:paraId="795306C1" w14:textId="6E1C2E0C"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01370BC9"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59473F" w:rsidRPr="008F3C89" w14:paraId="2568C1A8"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E9BA48F"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IW (g)</w:t>
            </w:r>
          </w:p>
        </w:tc>
        <w:tc>
          <w:tcPr>
            <w:tcW w:w="2126" w:type="dxa"/>
            <w:noWrap/>
            <w:hideMark/>
          </w:tcPr>
          <w:p w14:paraId="5404B53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0.88 ± 0.02ᵃ</w:t>
            </w:r>
          </w:p>
        </w:tc>
        <w:tc>
          <w:tcPr>
            <w:tcW w:w="1984" w:type="dxa"/>
            <w:noWrap/>
            <w:hideMark/>
          </w:tcPr>
          <w:p w14:paraId="53A848A8"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0.84 ± 0.04ᵃ</w:t>
            </w:r>
          </w:p>
        </w:tc>
        <w:tc>
          <w:tcPr>
            <w:tcW w:w="2273" w:type="dxa"/>
            <w:noWrap/>
            <w:hideMark/>
          </w:tcPr>
          <w:p w14:paraId="79F83AC8"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0.85 ± 0.03ᵃ</w:t>
            </w:r>
          </w:p>
        </w:tc>
        <w:tc>
          <w:tcPr>
            <w:tcW w:w="993" w:type="dxa"/>
            <w:noWrap/>
            <w:hideMark/>
          </w:tcPr>
          <w:p w14:paraId="42F3FE1F"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0.346</w:t>
            </w:r>
          </w:p>
        </w:tc>
      </w:tr>
      <w:tr w:rsidR="0059473F" w:rsidRPr="008F3C89" w14:paraId="73FDC08C"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3EDA0E11"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FW (g)</w:t>
            </w:r>
          </w:p>
        </w:tc>
        <w:tc>
          <w:tcPr>
            <w:tcW w:w="2126" w:type="dxa"/>
            <w:noWrap/>
            <w:hideMark/>
          </w:tcPr>
          <w:p w14:paraId="4E5A7951"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10.28 ± 0.11ᵃ</w:t>
            </w:r>
          </w:p>
        </w:tc>
        <w:tc>
          <w:tcPr>
            <w:tcW w:w="1984" w:type="dxa"/>
            <w:noWrap/>
            <w:hideMark/>
          </w:tcPr>
          <w:p w14:paraId="7FECFBC7"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12.17 ± 0.12ᵇ</w:t>
            </w:r>
          </w:p>
        </w:tc>
        <w:tc>
          <w:tcPr>
            <w:tcW w:w="2273" w:type="dxa"/>
            <w:noWrap/>
            <w:hideMark/>
          </w:tcPr>
          <w:p w14:paraId="4183FBF3"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13.36 ± 0.12ᶜ</w:t>
            </w:r>
          </w:p>
        </w:tc>
        <w:tc>
          <w:tcPr>
            <w:tcW w:w="993" w:type="dxa"/>
            <w:noWrap/>
            <w:hideMark/>
          </w:tcPr>
          <w:p w14:paraId="7F658073"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304FF48D"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8D0B5F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 (g)</w:t>
            </w:r>
          </w:p>
        </w:tc>
        <w:tc>
          <w:tcPr>
            <w:tcW w:w="2126" w:type="dxa"/>
            <w:noWrap/>
            <w:hideMark/>
          </w:tcPr>
          <w:p w14:paraId="29E1AF5B"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9.40 ± 0.12ᵃ</w:t>
            </w:r>
          </w:p>
        </w:tc>
        <w:tc>
          <w:tcPr>
            <w:tcW w:w="1984" w:type="dxa"/>
            <w:noWrap/>
            <w:hideMark/>
          </w:tcPr>
          <w:p w14:paraId="5210FBBE"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11.33 ± 0.10ᵇ</w:t>
            </w:r>
          </w:p>
        </w:tc>
        <w:tc>
          <w:tcPr>
            <w:tcW w:w="2273" w:type="dxa"/>
            <w:noWrap/>
            <w:hideMark/>
          </w:tcPr>
          <w:p w14:paraId="70967F0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12.51 ± 0.10ᶜ</w:t>
            </w:r>
          </w:p>
        </w:tc>
        <w:tc>
          <w:tcPr>
            <w:tcW w:w="993" w:type="dxa"/>
            <w:noWrap/>
            <w:hideMark/>
          </w:tcPr>
          <w:p w14:paraId="589391DF"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054FCC19"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0665853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WGP (%)</w:t>
            </w:r>
          </w:p>
        </w:tc>
        <w:tc>
          <w:tcPr>
            <w:tcW w:w="2126" w:type="dxa"/>
            <w:noWrap/>
            <w:hideMark/>
          </w:tcPr>
          <w:p w14:paraId="7FB44719"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1068.71 ± 35.97ᵃ</w:t>
            </w:r>
          </w:p>
        </w:tc>
        <w:tc>
          <w:tcPr>
            <w:tcW w:w="1984" w:type="dxa"/>
            <w:noWrap/>
            <w:hideMark/>
          </w:tcPr>
          <w:p w14:paraId="42188C28"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1350.75 ± 61.84ᵇ</w:t>
            </w:r>
          </w:p>
        </w:tc>
        <w:tc>
          <w:tcPr>
            <w:tcW w:w="2273" w:type="dxa"/>
            <w:noWrap/>
            <w:hideMark/>
          </w:tcPr>
          <w:p w14:paraId="42C5C0F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1466.71 ± 45.93ᶜ</w:t>
            </w:r>
          </w:p>
        </w:tc>
        <w:tc>
          <w:tcPr>
            <w:tcW w:w="993" w:type="dxa"/>
            <w:noWrap/>
            <w:hideMark/>
          </w:tcPr>
          <w:p w14:paraId="37885C7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6F8F2A35"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1559B85"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ADG (g day⁻¹)</w:t>
            </w:r>
          </w:p>
        </w:tc>
        <w:tc>
          <w:tcPr>
            <w:tcW w:w="2126" w:type="dxa"/>
            <w:noWrap/>
            <w:hideMark/>
          </w:tcPr>
          <w:p w14:paraId="2C3C1F40"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0.104 ± 0.001ᵃ</w:t>
            </w:r>
          </w:p>
        </w:tc>
        <w:tc>
          <w:tcPr>
            <w:tcW w:w="1984" w:type="dxa"/>
            <w:noWrap/>
            <w:hideMark/>
          </w:tcPr>
          <w:p w14:paraId="19879D3D"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0.126 ± 0.001ᵇ</w:t>
            </w:r>
          </w:p>
        </w:tc>
        <w:tc>
          <w:tcPr>
            <w:tcW w:w="2273" w:type="dxa"/>
            <w:noWrap/>
            <w:hideMark/>
          </w:tcPr>
          <w:p w14:paraId="02A7EF7A"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0.139 ± 0.001ᶜ</w:t>
            </w:r>
          </w:p>
        </w:tc>
        <w:tc>
          <w:tcPr>
            <w:tcW w:w="993" w:type="dxa"/>
            <w:noWrap/>
            <w:hideMark/>
          </w:tcPr>
          <w:p w14:paraId="7F9AC547"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45F3426D"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25315EF"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SGR (% day⁻¹)</w:t>
            </w:r>
          </w:p>
        </w:tc>
        <w:tc>
          <w:tcPr>
            <w:tcW w:w="2126" w:type="dxa"/>
            <w:noWrap/>
            <w:hideMark/>
          </w:tcPr>
          <w:p w14:paraId="287D543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2.731 ± 0.034ᵃ</w:t>
            </w:r>
          </w:p>
        </w:tc>
        <w:tc>
          <w:tcPr>
            <w:tcW w:w="1984" w:type="dxa"/>
            <w:noWrap/>
            <w:hideMark/>
          </w:tcPr>
          <w:p w14:paraId="6B143BAF"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2.971 ± 0.048ᵇ</w:t>
            </w:r>
          </w:p>
        </w:tc>
        <w:tc>
          <w:tcPr>
            <w:tcW w:w="2273" w:type="dxa"/>
            <w:noWrap/>
            <w:hideMark/>
          </w:tcPr>
          <w:p w14:paraId="02429EE4"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3.057 ± 0.033ᶜ</w:t>
            </w:r>
          </w:p>
        </w:tc>
        <w:tc>
          <w:tcPr>
            <w:tcW w:w="993" w:type="dxa"/>
            <w:noWrap/>
            <w:hideMark/>
          </w:tcPr>
          <w:p w14:paraId="50D63D1C"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6C593D76"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048259E"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SR (%)</w:t>
            </w:r>
          </w:p>
        </w:tc>
        <w:tc>
          <w:tcPr>
            <w:tcW w:w="2126" w:type="dxa"/>
            <w:noWrap/>
            <w:hideMark/>
          </w:tcPr>
          <w:p w14:paraId="0AD7E5F5"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80.00 ± 5.00ᵃ</w:t>
            </w:r>
          </w:p>
        </w:tc>
        <w:tc>
          <w:tcPr>
            <w:tcW w:w="1984" w:type="dxa"/>
            <w:noWrap/>
            <w:hideMark/>
          </w:tcPr>
          <w:p w14:paraId="179DAD64"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83.33 ± 5.77ᵃ</w:t>
            </w:r>
          </w:p>
        </w:tc>
        <w:tc>
          <w:tcPr>
            <w:tcW w:w="2273" w:type="dxa"/>
            <w:noWrap/>
            <w:hideMark/>
          </w:tcPr>
          <w:p w14:paraId="1711907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86.67 ± 5.77ᵃ</w:t>
            </w:r>
          </w:p>
        </w:tc>
        <w:tc>
          <w:tcPr>
            <w:tcW w:w="993" w:type="dxa"/>
            <w:noWrap/>
            <w:hideMark/>
          </w:tcPr>
          <w:p w14:paraId="17DF4B52"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0.394</w:t>
            </w:r>
          </w:p>
        </w:tc>
      </w:tr>
    </w:tbl>
    <w:p w14:paraId="495503AD" w14:textId="01430C7A" w:rsidR="0059473F" w:rsidRPr="008F3C89" w:rsidRDefault="00701C48" w:rsidP="00994B7A">
      <w:pPr>
        <w:spacing w:line="240" w:lineRule="auto"/>
        <w:jc w:val="both"/>
        <w:rPr>
          <w:rFonts w:ascii="Times New Roman" w:hAnsi="Times New Roman" w:cs="Times New Roman"/>
        </w:rPr>
      </w:pPr>
      <w:r w:rsidRPr="008F3C89">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IW, initial weight; FW, final weight; WG, weight gain; WGP, weight gain percentage; ADG, average daily gain; SGR, specific growth rate; SR, survival rate; IL, initial length; FL, final length.</w:t>
      </w:r>
    </w:p>
    <w:p w14:paraId="551F1E2E" w14:textId="7C00E4C3"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3.2. Feed utilization</w:t>
      </w:r>
    </w:p>
    <w:p w14:paraId="25D5BDCD" w14:textId="77777777" w:rsidR="00D711A9" w:rsidRDefault="00D711A9" w:rsidP="00994B7A">
      <w:pPr>
        <w:spacing w:line="240" w:lineRule="auto"/>
        <w:jc w:val="both"/>
        <w:rPr>
          <w:rFonts w:ascii="Times New Roman" w:hAnsi="Times New Roman" w:cs="Times New Roman"/>
        </w:rPr>
      </w:pPr>
      <w:r w:rsidRPr="008F3C89">
        <w:rPr>
          <w:rFonts w:ascii="Times New Roman" w:hAnsi="Times New Roman" w:cs="Times New Roman"/>
        </w:rPr>
        <w:t>Feed utilization differed significantly among the experimental treatments. The feed conversion ratio (FCR) was 1.710 ± 0.020 in T1, 1.683 ± 0.045 in T2 and 1.540 ± 0.044 in T3 (P = 0.003). Thus, T3 exhibited the lowest FCR, indicating more efficient feed utilization than T1 and T2. Feed conversion efficiency (FCE) increased from 0.585 ± 0.007 in T1 to 0.594 ± 0.016 in T2 and 0.649 ± 0.018 in T3. Similarly, feed conversion efficiency expressed as a percentage (FCEP) increased from 58.48 ± 0.69% in T1 to 59.43 ± 1.59% in T2 and 64.97 ± 1.81% in T3. For both FCE and FCEP, T3 differed significantly from T1 and T2, whereas T1 and T2 did not differ significantly (P = 0.003).</w:t>
      </w:r>
    </w:p>
    <w:p w14:paraId="15A4AFE7" w14:textId="69FCFD91"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4. Feed utilization of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2268"/>
        <w:gridCol w:w="1843"/>
        <w:gridCol w:w="1985"/>
        <w:gridCol w:w="1842"/>
        <w:gridCol w:w="993"/>
      </w:tblGrid>
      <w:tr w:rsidR="00595A70" w:rsidRPr="008F3C89" w14:paraId="32786E18"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2A7CE28"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1843" w:type="dxa"/>
            <w:noWrap/>
            <w:hideMark/>
          </w:tcPr>
          <w:p w14:paraId="0A9CBB56" w14:textId="7A16F4E6"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5" w:type="dxa"/>
            <w:noWrap/>
            <w:hideMark/>
          </w:tcPr>
          <w:p w14:paraId="39CB8DD0" w14:textId="62E24049"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842" w:type="dxa"/>
            <w:noWrap/>
            <w:hideMark/>
          </w:tcPr>
          <w:p w14:paraId="510C278C" w14:textId="6AD837FA"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5A560E88"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ED5234" w:rsidRPr="008F3C89" w14:paraId="153E25EE"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4F8E99A"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FCR</w:t>
            </w:r>
          </w:p>
        </w:tc>
        <w:tc>
          <w:tcPr>
            <w:tcW w:w="1843" w:type="dxa"/>
            <w:noWrap/>
            <w:hideMark/>
          </w:tcPr>
          <w:p w14:paraId="3C26B1E1"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1.710 ± 0.020ᵃ</w:t>
            </w:r>
          </w:p>
        </w:tc>
        <w:tc>
          <w:tcPr>
            <w:tcW w:w="1985" w:type="dxa"/>
            <w:noWrap/>
            <w:hideMark/>
          </w:tcPr>
          <w:p w14:paraId="3382E506"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1.683 ± 0.045ᵃ</w:t>
            </w:r>
          </w:p>
        </w:tc>
        <w:tc>
          <w:tcPr>
            <w:tcW w:w="1842" w:type="dxa"/>
            <w:noWrap/>
            <w:hideMark/>
          </w:tcPr>
          <w:p w14:paraId="3F98DA51"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1.540 ± 0.044ᵇ</w:t>
            </w:r>
          </w:p>
        </w:tc>
        <w:tc>
          <w:tcPr>
            <w:tcW w:w="993" w:type="dxa"/>
            <w:noWrap/>
            <w:hideMark/>
          </w:tcPr>
          <w:p w14:paraId="65FC25AC"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08655392"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C41EB43"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w:t>
            </w:r>
          </w:p>
        </w:tc>
        <w:tc>
          <w:tcPr>
            <w:tcW w:w="1843" w:type="dxa"/>
            <w:noWrap/>
            <w:hideMark/>
          </w:tcPr>
          <w:p w14:paraId="57EB2DF9"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0.585 ± 0.007ᵃ</w:t>
            </w:r>
          </w:p>
        </w:tc>
        <w:tc>
          <w:tcPr>
            <w:tcW w:w="1985" w:type="dxa"/>
            <w:noWrap/>
            <w:hideMark/>
          </w:tcPr>
          <w:p w14:paraId="744F91FB"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0.594 ± 0.016ᵃ</w:t>
            </w:r>
          </w:p>
        </w:tc>
        <w:tc>
          <w:tcPr>
            <w:tcW w:w="1842" w:type="dxa"/>
            <w:noWrap/>
            <w:hideMark/>
          </w:tcPr>
          <w:p w14:paraId="2BA032EF"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0.649 ± 0.018ᵇ</w:t>
            </w:r>
          </w:p>
        </w:tc>
        <w:tc>
          <w:tcPr>
            <w:tcW w:w="993" w:type="dxa"/>
            <w:noWrap/>
            <w:hideMark/>
          </w:tcPr>
          <w:p w14:paraId="3BCED244" w14:textId="77777777" w:rsidR="00ED5234" w:rsidRPr="008F3C89" w:rsidRDefault="00ED5234" w:rsidP="00994B7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30D8E1B4"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243CBDA"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FCEP (%)</w:t>
            </w:r>
          </w:p>
        </w:tc>
        <w:tc>
          <w:tcPr>
            <w:tcW w:w="1843" w:type="dxa"/>
            <w:noWrap/>
            <w:hideMark/>
          </w:tcPr>
          <w:p w14:paraId="6DF02C6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58.48 ± 0.69ᵃ</w:t>
            </w:r>
          </w:p>
        </w:tc>
        <w:tc>
          <w:tcPr>
            <w:tcW w:w="1985" w:type="dxa"/>
            <w:noWrap/>
            <w:hideMark/>
          </w:tcPr>
          <w:p w14:paraId="31E567A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59.43 ± 1.59ᵃ</w:t>
            </w:r>
          </w:p>
        </w:tc>
        <w:tc>
          <w:tcPr>
            <w:tcW w:w="1842" w:type="dxa"/>
            <w:noWrap/>
            <w:hideMark/>
          </w:tcPr>
          <w:p w14:paraId="48C75175"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64.97 ± 1.81ᵇ</w:t>
            </w:r>
          </w:p>
        </w:tc>
        <w:tc>
          <w:tcPr>
            <w:tcW w:w="993" w:type="dxa"/>
            <w:noWrap/>
            <w:hideMark/>
          </w:tcPr>
          <w:p w14:paraId="218CC7C7"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bl>
    <w:p w14:paraId="62F33DED" w14:textId="289B9CBE" w:rsidR="00F9127B" w:rsidRPr="008F3C89" w:rsidRDefault="00F9127B" w:rsidP="00994B7A">
      <w:pPr>
        <w:spacing w:line="240" w:lineRule="auto"/>
        <w:rPr>
          <w:rFonts w:ascii="Times New Roman" w:hAnsi="Times New Roman" w:cs="Times New Roman"/>
          <w:b/>
          <w:bCs/>
        </w:rPr>
      </w:pPr>
      <w:r w:rsidRPr="008F3C89">
        <w:rPr>
          <w:rFonts w:ascii="Times New Roman" w:hAnsi="Times New Roman" w:cs="Times New Roman"/>
        </w:rPr>
        <w:t xml:space="preserve">Values are presented as mean ± SD (n = 3 replicate tanks per treatment). Different superscript letters within the same row indicate significant differences among treatments, as determined </w:t>
      </w:r>
      <w:r w:rsidRPr="008F3C89">
        <w:rPr>
          <w:rFonts w:ascii="Times New Roman" w:hAnsi="Times New Roman" w:cs="Times New Roman"/>
        </w:rPr>
        <w:lastRenderedPageBreak/>
        <w:t>by Duncan’s multiple range test (P &lt; 0.05). FCR, feed conversion ratio; FCE, feed conversion efficiency; FCEP, feed conversion efficiency percentage.</w:t>
      </w:r>
    </w:p>
    <w:p w14:paraId="13DF3B51" w14:textId="3EC33C76"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3.3. Water quality parameters</w:t>
      </w:r>
    </w:p>
    <w:p w14:paraId="75F33DBB" w14:textId="4A5D2815" w:rsidR="00D711A9" w:rsidRDefault="00D711A9" w:rsidP="00994B7A">
      <w:pPr>
        <w:spacing w:line="240" w:lineRule="auto"/>
        <w:jc w:val="both"/>
        <w:rPr>
          <w:rFonts w:ascii="Times New Roman" w:hAnsi="Times New Roman" w:cs="Times New Roman"/>
        </w:rPr>
      </w:pPr>
      <w:r w:rsidRPr="008F3C89">
        <w:rPr>
          <w:rFonts w:ascii="Times New Roman" w:hAnsi="Times New Roman" w:cs="Times New Roman"/>
        </w:rPr>
        <w:t xml:space="preserve">The recorded water-quality parameters during the experimental period are summarized in Table </w:t>
      </w:r>
      <w:r w:rsidR="006E6F6B" w:rsidRPr="008F3C89">
        <w:rPr>
          <w:rFonts w:ascii="Times New Roman" w:hAnsi="Times New Roman" w:cs="Times New Roman"/>
        </w:rPr>
        <w:t>6</w:t>
      </w:r>
      <w:r w:rsidRPr="008F3C89">
        <w:rPr>
          <w:rFonts w:ascii="Times New Roman" w:hAnsi="Times New Roman" w:cs="Times New Roman"/>
        </w:rPr>
        <w:t>. Dissolved oxygen ranged from 6.54 to 6.83 mg L⁻¹, while pH ranged from 8.0 to 8.1. Water temperature varied from 29.5 to 31.0 °C across the three treatments. Total alkalinity ranged from 166 to 170 mg L⁻¹, and total hardness ranged from 690 to 766 mg L⁻¹. Total ammonia nitrogen ranged from 0.16 to 0.21 mg L⁻¹, with the highest recorded value in T3. These measurements describe the water-quality conditions under which the feeding trial was conducted.</w:t>
      </w:r>
    </w:p>
    <w:p w14:paraId="1F861E1F" w14:textId="773E3F2F"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5. Water Quality Parameters for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0" w:type="auto"/>
        <w:tblLook w:val="04A0" w:firstRow="1" w:lastRow="0" w:firstColumn="1" w:lastColumn="0" w:noHBand="0" w:noVBand="1"/>
      </w:tblPr>
      <w:tblGrid>
        <w:gridCol w:w="2972"/>
        <w:gridCol w:w="2126"/>
        <w:gridCol w:w="2127"/>
        <w:gridCol w:w="1791"/>
      </w:tblGrid>
      <w:tr w:rsidR="00CC7944" w:rsidRPr="008F3C89" w14:paraId="699DAD1F"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17860E8"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Treatments</w:t>
            </w:r>
          </w:p>
        </w:tc>
        <w:tc>
          <w:tcPr>
            <w:tcW w:w="2126" w:type="dxa"/>
            <w:vMerge w:val="restart"/>
          </w:tcPr>
          <w:p w14:paraId="222A567D" w14:textId="0414BF4F"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127" w:type="dxa"/>
            <w:vMerge w:val="restart"/>
          </w:tcPr>
          <w:p w14:paraId="4D44ACD9" w14:textId="1BAA4156"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791" w:type="dxa"/>
            <w:vMerge w:val="restart"/>
          </w:tcPr>
          <w:p w14:paraId="5EA7E233" w14:textId="2A701F5C"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CC7944" w:rsidRPr="008F3C89" w14:paraId="24B450FC"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1075BFF"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Parameters</w:t>
            </w:r>
          </w:p>
        </w:tc>
        <w:tc>
          <w:tcPr>
            <w:tcW w:w="2126" w:type="dxa"/>
            <w:vMerge/>
          </w:tcPr>
          <w:p w14:paraId="72612864"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127" w:type="dxa"/>
            <w:vMerge/>
          </w:tcPr>
          <w:p w14:paraId="14576D9B"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791" w:type="dxa"/>
            <w:vMerge/>
          </w:tcPr>
          <w:p w14:paraId="79148EB9"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CC7944" w:rsidRPr="008F3C89" w14:paraId="555C123F"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34939E1A"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DO</w:t>
            </w:r>
          </w:p>
        </w:tc>
        <w:tc>
          <w:tcPr>
            <w:tcW w:w="2126" w:type="dxa"/>
          </w:tcPr>
          <w:p w14:paraId="1E251B0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6.54</w:t>
            </w:r>
          </w:p>
        </w:tc>
        <w:tc>
          <w:tcPr>
            <w:tcW w:w="2127" w:type="dxa"/>
          </w:tcPr>
          <w:p w14:paraId="108A64EA"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6.83</w:t>
            </w:r>
          </w:p>
        </w:tc>
        <w:tc>
          <w:tcPr>
            <w:tcW w:w="1791" w:type="dxa"/>
          </w:tcPr>
          <w:p w14:paraId="284E0D2C"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6.62</w:t>
            </w:r>
          </w:p>
        </w:tc>
      </w:tr>
      <w:tr w:rsidR="00CC7944" w:rsidRPr="008F3C89" w14:paraId="7E86D51A"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834DCBE"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pH</w:t>
            </w:r>
          </w:p>
        </w:tc>
        <w:tc>
          <w:tcPr>
            <w:tcW w:w="2126" w:type="dxa"/>
          </w:tcPr>
          <w:p w14:paraId="2F054768"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c>
          <w:tcPr>
            <w:tcW w:w="2127" w:type="dxa"/>
          </w:tcPr>
          <w:p w14:paraId="78912736"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8.0</w:t>
            </w:r>
          </w:p>
        </w:tc>
        <w:tc>
          <w:tcPr>
            <w:tcW w:w="1791" w:type="dxa"/>
          </w:tcPr>
          <w:p w14:paraId="739A38E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r>
      <w:tr w:rsidR="00CC7944" w:rsidRPr="008F3C89" w14:paraId="36E884D8"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15AA5423"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Temperature</w:t>
            </w:r>
          </w:p>
        </w:tc>
        <w:tc>
          <w:tcPr>
            <w:tcW w:w="2126" w:type="dxa"/>
          </w:tcPr>
          <w:p w14:paraId="426A88C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29.5</w:t>
            </w:r>
          </w:p>
        </w:tc>
        <w:tc>
          <w:tcPr>
            <w:tcW w:w="2127" w:type="dxa"/>
          </w:tcPr>
          <w:p w14:paraId="0C0DE767"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31.0</w:t>
            </w:r>
          </w:p>
        </w:tc>
        <w:tc>
          <w:tcPr>
            <w:tcW w:w="1791" w:type="dxa"/>
          </w:tcPr>
          <w:p w14:paraId="0C731B3C"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30.5</w:t>
            </w:r>
          </w:p>
        </w:tc>
      </w:tr>
      <w:tr w:rsidR="00CC7944" w:rsidRPr="008F3C89" w14:paraId="26C2EEFA"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13D2737"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Alkalinity</w:t>
            </w:r>
          </w:p>
        </w:tc>
        <w:tc>
          <w:tcPr>
            <w:tcW w:w="2126" w:type="dxa"/>
          </w:tcPr>
          <w:p w14:paraId="72162D2A"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167</w:t>
            </w:r>
          </w:p>
        </w:tc>
        <w:tc>
          <w:tcPr>
            <w:tcW w:w="2127" w:type="dxa"/>
          </w:tcPr>
          <w:p w14:paraId="57CF8956"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166</w:t>
            </w:r>
          </w:p>
        </w:tc>
        <w:tc>
          <w:tcPr>
            <w:tcW w:w="1791" w:type="dxa"/>
          </w:tcPr>
          <w:p w14:paraId="4FD4836E"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170</w:t>
            </w:r>
          </w:p>
        </w:tc>
      </w:tr>
      <w:tr w:rsidR="00CC7944" w:rsidRPr="008F3C89" w14:paraId="19A34F14"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1F56A265"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Hardness</w:t>
            </w:r>
          </w:p>
        </w:tc>
        <w:tc>
          <w:tcPr>
            <w:tcW w:w="2126" w:type="dxa"/>
          </w:tcPr>
          <w:p w14:paraId="59A0D1A9"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720</w:t>
            </w:r>
          </w:p>
        </w:tc>
        <w:tc>
          <w:tcPr>
            <w:tcW w:w="2127" w:type="dxa"/>
          </w:tcPr>
          <w:p w14:paraId="0998197D"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766</w:t>
            </w:r>
          </w:p>
        </w:tc>
        <w:tc>
          <w:tcPr>
            <w:tcW w:w="1791" w:type="dxa"/>
          </w:tcPr>
          <w:p w14:paraId="2B1682C3"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690</w:t>
            </w:r>
          </w:p>
        </w:tc>
      </w:tr>
      <w:tr w:rsidR="00CC7944" w:rsidRPr="008F3C89" w14:paraId="5EE61718"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91D7CBF"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Total Ammonia Nitrogen</w:t>
            </w:r>
          </w:p>
        </w:tc>
        <w:tc>
          <w:tcPr>
            <w:tcW w:w="2126" w:type="dxa"/>
          </w:tcPr>
          <w:p w14:paraId="6B4773F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0.16</w:t>
            </w:r>
          </w:p>
        </w:tc>
        <w:tc>
          <w:tcPr>
            <w:tcW w:w="2127" w:type="dxa"/>
          </w:tcPr>
          <w:p w14:paraId="2F39B17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0.18</w:t>
            </w:r>
          </w:p>
        </w:tc>
        <w:tc>
          <w:tcPr>
            <w:tcW w:w="1791" w:type="dxa"/>
          </w:tcPr>
          <w:p w14:paraId="535AD68F"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0.21</w:t>
            </w:r>
          </w:p>
        </w:tc>
      </w:tr>
    </w:tbl>
    <w:p w14:paraId="4E0F5B02" w14:textId="77777777" w:rsidR="00BA4370" w:rsidRDefault="00BA4370" w:rsidP="00994B7A">
      <w:pPr>
        <w:spacing w:line="240" w:lineRule="auto"/>
        <w:rPr>
          <w:rFonts w:ascii="Times New Roman" w:hAnsi="Times New Roman" w:cs="Times New Roman"/>
          <w:b/>
          <w:bCs/>
        </w:rPr>
      </w:pPr>
    </w:p>
    <w:p w14:paraId="0F851A2D" w14:textId="6765F906" w:rsidR="00D256FA" w:rsidRPr="008F3C89" w:rsidRDefault="002E7446" w:rsidP="00994B7A">
      <w:pPr>
        <w:spacing w:line="240" w:lineRule="auto"/>
        <w:rPr>
          <w:rFonts w:ascii="Times New Roman" w:hAnsi="Times New Roman" w:cs="Times New Roman"/>
          <w:b/>
          <w:bCs/>
        </w:rPr>
      </w:pPr>
      <w:r w:rsidRPr="008F3C89">
        <w:rPr>
          <w:rFonts w:ascii="Times New Roman" w:hAnsi="Times New Roman" w:cs="Times New Roman"/>
          <w:b/>
          <w:bCs/>
        </w:rPr>
        <w:t xml:space="preserve">4. </w:t>
      </w:r>
      <w:r w:rsidR="00D256FA" w:rsidRPr="008F3C89">
        <w:rPr>
          <w:rFonts w:ascii="Times New Roman" w:hAnsi="Times New Roman" w:cs="Times New Roman"/>
          <w:b/>
          <w:bCs/>
        </w:rPr>
        <w:t>Discussion</w:t>
      </w:r>
    </w:p>
    <w:p w14:paraId="0049DF55" w14:textId="29067DF5" w:rsidR="00D256FA" w:rsidRPr="008F3C89" w:rsidRDefault="007B1B06" w:rsidP="00994B7A">
      <w:pPr>
        <w:spacing w:line="240" w:lineRule="auto"/>
        <w:rPr>
          <w:rFonts w:ascii="Times New Roman" w:hAnsi="Times New Roman" w:cs="Times New Roman"/>
          <w:b/>
          <w:bCs/>
        </w:rPr>
      </w:pPr>
      <w:r w:rsidRPr="008F3C89">
        <w:rPr>
          <w:rFonts w:ascii="Times New Roman" w:hAnsi="Times New Roman" w:cs="Times New Roman"/>
          <w:b/>
          <w:bCs/>
        </w:rPr>
        <w:t>4</w:t>
      </w:r>
      <w:r w:rsidR="00D256FA" w:rsidRPr="008F3C89">
        <w:rPr>
          <w:rFonts w:ascii="Times New Roman" w:hAnsi="Times New Roman" w:cs="Times New Roman"/>
          <w:b/>
          <w:bCs/>
        </w:rPr>
        <w:t>.1 Growth performance and feed utilization</w:t>
      </w:r>
    </w:p>
    <w:p w14:paraId="4843C6DE" w14:textId="76DA8C61" w:rsidR="00AE54AF" w:rsidRPr="008F3C89" w:rsidRDefault="00D256FA" w:rsidP="00994B7A">
      <w:pPr>
        <w:spacing w:line="240" w:lineRule="auto"/>
        <w:jc w:val="both"/>
        <w:rPr>
          <w:rFonts w:ascii="Times New Roman" w:hAnsi="Times New Roman" w:cs="Times New Roman"/>
        </w:rPr>
      </w:pPr>
      <w:r w:rsidRPr="008F3C89">
        <w:rPr>
          <w:rFonts w:ascii="Times New Roman" w:hAnsi="Times New Roman" w:cs="Times New Roman"/>
        </w:rPr>
        <w:t>Dietary replacement of fishmeal with Spirulina meal (SPM) significantly influenced the growth performance of milkfish (</w:t>
      </w:r>
      <w:r w:rsidRPr="008F3C89">
        <w:rPr>
          <w:rFonts w:ascii="Times New Roman" w:hAnsi="Times New Roman" w:cs="Times New Roman"/>
          <w:i/>
          <w:iCs/>
        </w:rPr>
        <w:t>Chanos chanos</w:t>
      </w:r>
      <w:r w:rsidRPr="008F3C89">
        <w:rPr>
          <w:rFonts w:ascii="Times New Roman" w:hAnsi="Times New Roman" w:cs="Times New Roman"/>
        </w:rPr>
        <w:t xml:space="preserve">) reared at 10 ppt salinity (Table </w:t>
      </w:r>
      <w:r w:rsidR="002C07CD" w:rsidRPr="008F3C89">
        <w:rPr>
          <w:rFonts w:ascii="Times New Roman" w:hAnsi="Times New Roman" w:cs="Times New Roman"/>
        </w:rPr>
        <w:t>4</w:t>
      </w:r>
      <w:r w:rsidRPr="008F3C89">
        <w:rPr>
          <w:rFonts w:ascii="Times New Roman" w:hAnsi="Times New Roman" w:cs="Times New Roman"/>
        </w:rPr>
        <w:t>)</w:t>
      </w:r>
      <w:r w:rsidR="00417393" w:rsidRPr="008F3C89">
        <w:rPr>
          <w:rFonts w:ascii="Times New Roman" w:hAnsi="Times New Roman" w:cs="Times New Roman"/>
        </w:rPr>
        <w:t xml:space="preserve">, with </w:t>
      </w:r>
      <w:r w:rsidR="000E0EBC" w:rsidRPr="008F3C89">
        <w:rPr>
          <w:rFonts w:ascii="Times New Roman" w:hAnsi="Times New Roman" w:cs="Times New Roman"/>
        </w:rPr>
        <w:t xml:space="preserve">respect to growth indices </w:t>
      </w:r>
      <w:r w:rsidR="007207BD" w:rsidRPr="008F3C89">
        <w:rPr>
          <w:rFonts w:ascii="Times New Roman" w:hAnsi="Times New Roman" w:cs="Times New Roman"/>
        </w:rPr>
        <w:t>such as</w:t>
      </w:r>
      <w:r w:rsidR="000E0EBC" w:rsidRPr="008F3C89">
        <w:rPr>
          <w:rFonts w:ascii="Times New Roman" w:hAnsi="Times New Roman" w:cs="Times New Roman"/>
        </w:rPr>
        <w:t xml:space="preserve"> </w:t>
      </w:r>
      <w:r w:rsidR="00C732B7" w:rsidRPr="008F3C89">
        <w:rPr>
          <w:rFonts w:ascii="Times New Roman" w:hAnsi="Times New Roman" w:cs="Times New Roman"/>
        </w:rPr>
        <w:t>final body weight, weight gain, percentage weight gain, average daily gain and specific growth rate</w:t>
      </w:r>
      <w:r w:rsidR="00EA7767" w:rsidRPr="008F3C89">
        <w:rPr>
          <w:rFonts w:ascii="Times New Roman" w:hAnsi="Times New Roman" w:cs="Times New Roman"/>
        </w:rPr>
        <w:t xml:space="preserve"> (P &lt; 0.05)</w:t>
      </w:r>
      <w:r w:rsidR="003B125E" w:rsidRPr="008F3C89">
        <w:rPr>
          <w:rFonts w:ascii="Times New Roman" w:hAnsi="Times New Roman" w:cs="Times New Roman"/>
        </w:rPr>
        <w:t>,</w:t>
      </w:r>
      <w:r w:rsidR="006E49A6" w:rsidRPr="008F3C89">
        <w:rPr>
          <w:rFonts w:ascii="Times New Roman" w:hAnsi="Times New Roman" w:cs="Times New Roman"/>
        </w:rPr>
        <w:t xml:space="preserve"> </w:t>
      </w:r>
      <w:r w:rsidR="00460A24" w:rsidRPr="008F3C89">
        <w:rPr>
          <w:rFonts w:ascii="Times New Roman" w:hAnsi="Times New Roman" w:cs="Times New Roman"/>
        </w:rPr>
        <w:t>among the treatments</w:t>
      </w:r>
      <w:r w:rsidR="00EA7786" w:rsidRPr="008F3C89">
        <w:rPr>
          <w:rFonts w:ascii="Times New Roman" w:hAnsi="Times New Roman" w:cs="Times New Roman"/>
        </w:rPr>
        <w:t>.</w:t>
      </w:r>
      <w:r w:rsidR="00BF53E1" w:rsidRPr="008F3C89">
        <w:rPr>
          <w:rFonts w:ascii="Times New Roman" w:hAnsi="Times New Roman" w:cs="Times New Roman"/>
        </w:rPr>
        <w:t xml:space="preserve"> </w:t>
      </w:r>
      <w:r w:rsidR="005745EA" w:rsidRPr="008F3C89">
        <w:rPr>
          <w:rFonts w:ascii="Times New Roman" w:hAnsi="Times New Roman" w:cs="Times New Roman"/>
        </w:rPr>
        <w:t>Significant</w:t>
      </w:r>
      <w:r w:rsidR="00BF53E1" w:rsidRPr="008F3C89">
        <w:rPr>
          <w:rFonts w:ascii="Times New Roman" w:hAnsi="Times New Roman" w:cs="Times New Roman"/>
        </w:rPr>
        <w:t xml:space="preserve"> variations were </w:t>
      </w:r>
      <w:r w:rsidR="004069FB" w:rsidRPr="008F3C89">
        <w:rPr>
          <w:rFonts w:ascii="Times New Roman" w:hAnsi="Times New Roman" w:cs="Times New Roman"/>
        </w:rPr>
        <w:t xml:space="preserve">observed with increasing SPM supplementation among the </w:t>
      </w:r>
      <w:r w:rsidR="005F7DEE" w:rsidRPr="008F3C89">
        <w:rPr>
          <w:rFonts w:ascii="Times New Roman" w:hAnsi="Times New Roman" w:cs="Times New Roman"/>
        </w:rPr>
        <w:t>experimental group</w:t>
      </w:r>
      <w:r w:rsidR="00E258D9" w:rsidRPr="008F3C89">
        <w:rPr>
          <w:rFonts w:ascii="Times New Roman" w:hAnsi="Times New Roman" w:cs="Times New Roman"/>
        </w:rPr>
        <w:t xml:space="preserve">s </w:t>
      </w:r>
      <w:r w:rsidR="00033CB2" w:rsidRPr="008F3C89">
        <w:rPr>
          <w:rFonts w:ascii="Times New Roman" w:hAnsi="Times New Roman" w:cs="Times New Roman"/>
        </w:rPr>
        <w:t xml:space="preserve">and </w:t>
      </w:r>
      <w:r w:rsidR="007C28C9" w:rsidRPr="008F3C89">
        <w:rPr>
          <w:rFonts w:ascii="Times New Roman" w:hAnsi="Times New Roman" w:cs="Times New Roman"/>
        </w:rPr>
        <w:t xml:space="preserve">were </w:t>
      </w:r>
      <w:r w:rsidR="00033CB2" w:rsidRPr="008F3C89">
        <w:rPr>
          <w:rFonts w:ascii="Times New Roman" w:hAnsi="Times New Roman" w:cs="Times New Roman"/>
        </w:rPr>
        <w:t xml:space="preserve">found </w:t>
      </w:r>
      <w:r w:rsidR="007923AA" w:rsidRPr="008F3C89">
        <w:rPr>
          <w:rFonts w:ascii="Times New Roman" w:hAnsi="Times New Roman" w:cs="Times New Roman"/>
        </w:rPr>
        <w:t xml:space="preserve">to be </w:t>
      </w:r>
      <w:r w:rsidR="00033CB2" w:rsidRPr="008F3C89">
        <w:rPr>
          <w:rFonts w:ascii="Times New Roman" w:hAnsi="Times New Roman" w:cs="Times New Roman"/>
        </w:rPr>
        <w:t>in alignment with Liu et al. (2026)</w:t>
      </w:r>
      <w:r w:rsidR="006E4FA2" w:rsidRPr="008F3C89">
        <w:rPr>
          <w:rFonts w:ascii="Times New Roman" w:hAnsi="Times New Roman" w:cs="Times New Roman"/>
        </w:rPr>
        <w:t xml:space="preserve">; Alkorbi et al. (2026) </w:t>
      </w:r>
      <w:r w:rsidR="00514B7F" w:rsidRPr="008F3C89">
        <w:rPr>
          <w:rFonts w:ascii="Times New Roman" w:hAnsi="Times New Roman" w:cs="Times New Roman"/>
        </w:rPr>
        <w:t>and Khanna et al. (2026)</w:t>
      </w:r>
      <w:r w:rsidR="007923AA" w:rsidRPr="008F3C89">
        <w:rPr>
          <w:rFonts w:ascii="Times New Roman" w:hAnsi="Times New Roman" w:cs="Times New Roman"/>
        </w:rPr>
        <w:t>,</w:t>
      </w:r>
      <w:r w:rsidR="00514B7F" w:rsidRPr="008F3C89">
        <w:rPr>
          <w:rFonts w:ascii="Times New Roman" w:hAnsi="Times New Roman" w:cs="Times New Roman"/>
        </w:rPr>
        <w:t xml:space="preserve"> who </w:t>
      </w:r>
      <w:r w:rsidR="00170BB0" w:rsidRPr="008F3C89">
        <w:rPr>
          <w:rFonts w:ascii="Times New Roman" w:hAnsi="Times New Roman" w:cs="Times New Roman"/>
        </w:rPr>
        <w:t xml:space="preserve">recorded favourable growth responses with increasing dietary Spirulina inclusion in </w:t>
      </w:r>
      <w:r w:rsidR="00170BB0" w:rsidRPr="008F3C89">
        <w:rPr>
          <w:rFonts w:ascii="Times New Roman" w:hAnsi="Times New Roman" w:cs="Times New Roman"/>
          <w:i/>
          <w:iCs/>
        </w:rPr>
        <w:t>Macrobrachium nipponense</w:t>
      </w:r>
      <w:r w:rsidR="00F06814" w:rsidRPr="008F3C89">
        <w:rPr>
          <w:rFonts w:ascii="Times New Roman" w:hAnsi="Times New Roman" w:cs="Times New Roman"/>
          <w:i/>
          <w:iCs/>
        </w:rPr>
        <w:t xml:space="preserve"> </w:t>
      </w:r>
      <w:r w:rsidR="00F06814" w:rsidRPr="008F3C89">
        <w:rPr>
          <w:rFonts w:ascii="Times New Roman" w:hAnsi="Times New Roman" w:cs="Times New Roman"/>
        </w:rPr>
        <w:t>and</w:t>
      </w:r>
      <w:r w:rsidR="00F06814" w:rsidRPr="008F3C89">
        <w:rPr>
          <w:rFonts w:ascii="Times New Roman" w:hAnsi="Times New Roman" w:cs="Times New Roman"/>
          <w:i/>
          <w:iCs/>
        </w:rPr>
        <w:t xml:space="preserve"> </w:t>
      </w:r>
      <w:r w:rsidR="00170BB0" w:rsidRPr="008F3C89">
        <w:rPr>
          <w:rFonts w:ascii="Times New Roman" w:hAnsi="Times New Roman" w:cs="Times New Roman"/>
          <w:i/>
          <w:iCs/>
        </w:rPr>
        <w:t xml:space="preserve">E. </w:t>
      </w:r>
      <w:r w:rsidR="00DE6683" w:rsidRPr="008F3C89">
        <w:rPr>
          <w:rFonts w:ascii="Times New Roman" w:hAnsi="Times New Roman" w:cs="Times New Roman"/>
          <w:i/>
          <w:iCs/>
        </w:rPr>
        <w:t>S</w:t>
      </w:r>
      <w:r w:rsidR="00170BB0" w:rsidRPr="008F3C89">
        <w:rPr>
          <w:rFonts w:ascii="Times New Roman" w:hAnsi="Times New Roman" w:cs="Times New Roman"/>
          <w:i/>
          <w:iCs/>
        </w:rPr>
        <w:t>uratensis</w:t>
      </w:r>
      <w:r w:rsidR="007855C2" w:rsidRPr="008F3C89">
        <w:rPr>
          <w:rFonts w:ascii="Times New Roman" w:hAnsi="Times New Roman" w:cs="Times New Roman"/>
        </w:rPr>
        <w:t xml:space="preserve">, suggesting that </w:t>
      </w:r>
      <w:r w:rsidR="007001E7" w:rsidRPr="008F3C89">
        <w:rPr>
          <w:rFonts w:ascii="Times New Roman" w:hAnsi="Times New Roman" w:cs="Times New Roman"/>
        </w:rPr>
        <w:t xml:space="preserve">40% FM can be replaced by SPM in </w:t>
      </w:r>
      <w:r w:rsidR="0095002E" w:rsidRPr="008F3C89">
        <w:rPr>
          <w:rFonts w:ascii="Times New Roman" w:hAnsi="Times New Roman" w:cs="Times New Roman"/>
        </w:rPr>
        <w:t xml:space="preserve">the </w:t>
      </w:r>
      <w:r w:rsidR="000B7763" w:rsidRPr="008F3C89">
        <w:rPr>
          <w:rFonts w:ascii="Times New Roman" w:hAnsi="Times New Roman" w:cs="Times New Roman"/>
        </w:rPr>
        <w:t>current study</w:t>
      </w:r>
      <w:r w:rsidR="00DE6683" w:rsidRPr="008F3C89">
        <w:rPr>
          <w:rFonts w:ascii="Times New Roman" w:hAnsi="Times New Roman" w:cs="Times New Roman"/>
        </w:rPr>
        <w:t xml:space="preserve">. </w:t>
      </w:r>
      <w:r w:rsidR="00DC229F" w:rsidRPr="008F3C89">
        <w:rPr>
          <w:rFonts w:ascii="Times New Roman" w:hAnsi="Times New Roman" w:cs="Times New Roman"/>
        </w:rPr>
        <w:t xml:space="preserve">Also, 20% SPM replacement exhibited significantly higher values for these growth parameters than the control and the response at the 20% replacement level was also comparable with the findings of Li et al. (2022), who, based on a meta-analysis of aquaculture studies, estimated that approximately 22.03–24.53% replacement of fishmeal with SPM could be achieved without an overall negative effect on growth and feed utilization. </w:t>
      </w:r>
      <w:r w:rsidRPr="008F3C89">
        <w:rPr>
          <w:rFonts w:ascii="Times New Roman" w:hAnsi="Times New Roman" w:cs="Times New Roman"/>
        </w:rPr>
        <w:t>Final body length was also positively affected by dietary SPM inclusion. Fish receiving the 40% SPM diet attained significantly greater final length than those fed the control diet, while the 20% treatment showed an intermediate response. The greater final length observed at 40% replacement was consistent with the higher final body weight and weight gain recorded in this treatment, indicating that the beneficial effect of SPM inclusion was reflected in both somatic and linear growth.</w:t>
      </w:r>
      <w:r w:rsidR="00AE54AF" w:rsidRPr="008F3C89">
        <w:rPr>
          <w:rFonts w:ascii="Times New Roman" w:hAnsi="Times New Roman" w:cs="Times New Roman"/>
        </w:rPr>
        <w:t xml:space="preserve"> </w:t>
      </w:r>
      <w:r w:rsidRPr="008F3C89">
        <w:rPr>
          <w:rFonts w:ascii="Times New Roman" w:hAnsi="Times New Roman" w:cs="Times New Roman"/>
        </w:rPr>
        <w:t>The improved growth performance observed with SPM inclusion may be associated with the nutritional characteristics of Spirulina</w:t>
      </w:r>
      <w:r w:rsidR="006E4FA2" w:rsidRPr="008F3C89">
        <w:rPr>
          <w:rFonts w:ascii="Times New Roman" w:hAnsi="Times New Roman" w:cs="Times New Roman"/>
        </w:rPr>
        <w:t>,</w:t>
      </w:r>
      <w:r w:rsidRPr="008F3C89">
        <w:rPr>
          <w:rFonts w:ascii="Times New Roman" w:hAnsi="Times New Roman" w:cs="Times New Roman"/>
        </w:rPr>
        <w:t xml:space="preserve"> a protein-rich microalga containing essential amino acids, vitamins, minerals, fatty acids, pigments, and other bioactive compounds, which contribute to its potential as an alternative aquafeed ingredient (Alagawany et al., 2021; Calella et al., 2022; Kumar et al., 2022). Dietary Spirulina has been reported to improve growth </w:t>
      </w:r>
      <w:r w:rsidRPr="008F3C89">
        <w:rPr>
          <w:rFonts w:ascii="Times New Roman" w:hAnsi="Times New Roman" w:cs="Times New Roman"/>
        </w:rPr>
        <w:lastRenderedPageBreak/>
        <w:t xml:space="preserve">and feed utilization in several cultured fish species (Alagawany et al., 2021; Youssef et al., 2023; Spínola et al., 2024). </w:t>
      </w:r>
    </w:p>
    <w:p w14:paraId="26B1F98F" w14:textId="7D89C665" w:rsidR="008439FF" w:rsidRPr="008F3C89" w:rsidRDefault="008439FF" w:rsidP="00994B7A">
      <w:pPr>
        <w:spacing w:line="240" w:lineRule="auto"/>
        <w:rPr>
          <w:rFonts w:ascii="Times New Roman" w:hAnsi="Times New Roman" w:cs="Times New Roman"/>
          <w:b/>
          <w:bCs/>
        </w:rPr>
      </w:pPr>
      <w:r w:rsidRPr="008F3C89">
        <w:rPr>
          <w:rFonts w:ascii="Times New Roman" w:hAnsi="Times New Roman" w:cs="Times New Roman"/>
          <w:b/>
          <w:bCs/>
        </w:rPr>
        <w:t>4.2. Feed utilization</w:t>
      </w:r>
    </w:p>
    <w:p w14:paraId="514DC2C6" w14:textId="77777777" w:rsidR="008439FF" w:rsidRPr="008F3C89" w:rsidRDefault="008439FF" w:rsidP="00994B7A">
      <w:pPr>
        <w:spacing w:line="240" w:lineRule="auto"/>
        <w:jc w:val="both"/>
        <w:rPr>
          <w:rFonts w:ascii="Times New Roman" w:hAnsi="Times New Roman" w:cs="Times New Roman"/>
        </w:rPr>
      </w:pPr>
      <w:r w:rsidRPr="008F3C89">
        <w:rPr>
          <w:rFonts w:ascii="Times New Roman" w:hAnsi="Times New Roman" w:cs="Times New Roman"/>
        </w:rPr>
        <w:t>The improvements in growth were accompanied by significant changes in feed utilization, particularly at 40% FM replacement with SPM. The FCR decreased from 1.710 ± 0.020 in the control to 1.540 ± 0.044 at 40% replacement, corresponding to an approximately 10% reduction. Concurrently, FCE increased from 0.585 ± 0.007 to 0.649 ± 0.018, indicating a greater proportion of feed input converted into biomass gain. The 20% replacement treatment did not differ significantly from the control in these indices, suggesting that the improvement in feed conversion was most evident at the higher replacement level.</w:t>
      </w:r>
    </w:p>
    <w:p w14:paraId="31096411" w14:textId="259BF575" w:rsidR="00D256FA" w:rsidRPr="00BA4370" w:rsidRDefault="008439FF" w:rsidP="00994B7A">
      <w:pPr>
        <w:spacing w:line="240" w:lineRule="auto"/>
        <w:jc w:val="both"/>
        <w:rPr>
          <w:rFonts w:ascii="Times New Roman" w:hAnsi="Times New Roman" w:cs="Times New Roman"/>
        </w:rPr>
      </w:pPr>
      <w:r w:rsidRPr="00BA4370">
        <w:rPr>
          <w:rFonts w:ascii="Times New Roman" w:hAnsi="Times New Roman" w:cs="Times New Roman"/>
        </w:rPr>
        <w:t>This response agrees with the broader findings of Li et al. (2022), who reported an overall improvement in FCR following dietary Spirulina inclusion in fish and shrimp.</w:t>
      </w:r>
      <w:r w:rsidR="005B6EB9" w:rsidRPr="00BA4370">
        <w:rPr>
          <w:rFonts w:ascii="Times New Roman" w:hAnsi="Times New Roman" w:cs="Times New Roman"/>
        </w:rPr>
        <w:t xml:space="preserve"> </w:t>
      </w:r>
      <w:r w:rsidR="00D256FA" w:rsidRPr="00BA4370">
        <w:rPr>
          <w:rFonts w:ascii="Times New Roman" w:hAnsi="Times New Roman" w:cs="Times New Roman"/>
        </w:rPr>
        <w:t>The improved feed utilization may be associated with the nutritional characteristics of Spirulina and its contribution to the nutrient profile of the experimental diets. Previous studies have also reported improved feed utilization following dietary Spirulina inclusion in cultured fish (Alagawany et al., 2021; Youssef et al., 2023; Alkorbi et al., 2026</w:t>
      </w:r>
      <w:r w:rsidR="0068517C" w:rsidRPr="00BA4370">
        <w:rPr>
          <w:rFonts w:ascii="Times New Roman" w:hAnsi="Times New Roman" w:cs="Times New Roman"/>
        </w:rPr>
        <w:t xml:space="preserve">). </w:t>
      </w:r>
      <w:r w:rsidR="002058ED" w:rsidRPr="00BA4370">
        <w:rPr>
          <w:rFonts w:ascii="Times New Roman" w:hAnsi="Times New Roman" w:cs="Times New Roman"/>
        </w:rPr>
        <w:t xml:space="preserve">The consistency between the higher growth indices and improved feed conversion at 40% replacement nevertheless strengthens the evidence that this treatment provided the most </w:t>
      </w:r>
      <w:r w:rsidR="00C43B75" w:rsidRPr="00BA4370">
        <w:rPr>
          <w:rFonts w:ascii="Times New Roman" w:hAnsi="Times New Roman" w:cs="Times New Roman"/>
        </w:rPr>
        <w:t>favourable</w:t>
      </w:r>
      <w:r w:rsidR="002058ED" w:rsidRPr="00BA4370">
        <w:rPr>
          <w:rFonts w:ascii="Times New Roman" w:hAnsi="Times New Roman" w:cs="Times New Roman"/>
        </w:rPr>
        <w:t xml:space="preserve"> production response among the diets evaluated. </w:t>
      </w:r>
    </w:p>
    <w:p w14:paraId="1C9A1D28" w14:textId="1755F005" w:rsidR="00D256FA" w:rsidRPr="008F3C89" w:rsidRDefault="00D44EA6" w:rsidP="00994B7A">
      <w:pPr>
        <w:spacing w:line="240" w:lineRule="auto"/>
        <w:rPr>
          <w:rFonts w:ascii="Times New Roman" w:hAnsi="Times New Roman" w:cs="Times New Roman"/>
          <w:b/>
          <w:bCs/>
        </w:rPr>
      </w:pPr>
      <w:r w:rsidRPr="008F3C89">
        <w:rPr>
          <w:rFonts w:ascii="Times New Roman" w:hAnsi="Times New Roman" w:cs="Times New Roman"/>
          <w:b/>
          <w:bCs/>
        </w:rPr>
        <w:t>4</w:t>
      </w:r>
      <w:r w:rsidR="00D256FA" w:rsidRPr="008F3C89">
        <w:rPr>
          <w:rFonts w:ascii="Times New Roman" w:hAnsi="Times New Roman" w:cs="Times New Roman"/>
          <w:b/>
          <w:bCs/>
        </w:rPr>
        <w:t>.</w:t>
      </w:r>
      <w:r w:rsidR="00DE3CB3" w:rsidRPr="008F3C89">
        <w:rPr>
          <w:rFonts w:ascii="Times New Roman" w:hAnsi="Times New Roman" w:cs="Times New Roman"/>
          <w:b/>
          <w:bCs/>
        </w:rPr>
        <w:t>3</w:t>
      </w:r>
      <w:r w:rsidR="00D256FA" w:rsidRPr="008F3C89">
        <w:rPr>
          <w:rFonts w:ascii="Times New Roman" w:hAnsi="Times New Roman" w:cs="Times New Roman"/>
          <w:b/>
          <w:bCs/>
        </w:rPr>
        <w:t xml:space="preserve"> Survival </w:t>
      </w:r>
      <w:r w:rsidR="0083787F" w:rsidRPr="008F3C89">
        <w:rPr>
          <w:rFonts w:ascii="Times New Roman" w:hAnsi="Times New Roman" w:cs="Times New Roman"/>
          <w:b/>
          <w:bCs/>
        </w:rPr>
        <w:t>rate</w:t>
      </w:r>
    </w:p>
    <w:p w14:paraId="180C3DA0" w14:textId="2691143A" w:rsidR="00D256FA" w:rsidRPr="008F3C89" w:rsidRDefault="00264E74" w:rsidP="00994B7A">
      <w:pPr>
        <w:spacing w:line="240" w:lineRule="auto"/>
        <w:jc w:val="both"/>
        <w:rPr>
          <w:rFonts w:ascii="Times New Roman" w:hAnsi="Times New Roman" w:cs="Times New Roman"/>
        </w:rPr>
      </w:pPr>
      <w:r w:rsidRPr="008F3C89">
        <w:rPr>
          <w:rFonts w:ascii="Times New Roman" w:hAnsi="Times New Roman" w:cs="Times New Roman"/>
        </w:rPr>
        <w:t>Dietary Spirulina meal (SPM) replacement did not significantly affect the survival of milkfish (</w:t>
      </w:r>
      <w:r w:rsidRPr="008F3C89">
        <w:rPr>
          <w:rFonts w:ascii="Times New Roman" w:hAnsi="Times New Roman" w:cs="Times New Roman"/>
          <w:i/>
          <w:iCs/>
        </w:rPr>
        <w:t>Chanos chanos</w:t>
      </w:r>
      <w:r w:rsidRPr="008F3C89">
        <w:rPr>
          <w:rFonts w:ascii="Times New Roman" w:hAnsi="Times New Roman" w:cs="Times New Roman"/>
        </w:rPr>
        <w:t xml:space="preserve">) reared at 10 ppt salinity (P &gt; 0.05). Although survival showed a numerical increase with higher SPM replacement, the differences among treatments were not statistically significant, indicating that the tested replacement levels did not adversely affect survival under the experimental conditions. This finding is consistent with Sukardi et al. (2019), who reported no significant differences in milkfish larval survival between Spirulina-based microcapsule diets and a commercial diet (P &gt; 0.05), with survival rates ranging from 80.6% to 84.6%. Similarly, previous studies have reported </w:t>
      </w:r>
      <w:r w:rsidR="001B7CF1" w:rsidRPr="008F3C89">
        <w:rPr>
          <w:rFonts w:ascii="Times New Roman" w:hAnsi="Times New Roman" w:cs="Times New Roman"/>
        </w:rPr>
        <w:t>favourable</w:t>
      </w:r>
      <w:r w:rsidRPr="008F3C89">
        <w:rPr>
          <w:rFonts w:ascii="Times New Roman" w:hAnsi="Times New Roman" w:cs="Times New Roman"/>
        </w:rPr>
        <w:t xml:space="preserve"> survival responses in fish fed Spirulina-containing diets. For instance, Caguioa and Aban (2026), Khanna et al. (2026), and Sun et al. (2026) reported high survival in Nile tilapia, pearl spot, and the zig-zag eel during the weaning stage when fed diets containing Spirulina. Nevertheless, differences in species, life stage, environmental conditions, stocking density, dietary formulation, and experimental duration should be considered when comparing survival responses among studies. Overall, the present findings suggest that replacing fishmeal with SPM at 20% and 40% did not compromise milkfish survival under the tested brackish-water conditions.</w:t>
      </w:r>
    </w:p>
    <w:p w14:paraId="3B76C375" w14:textId="001A01E7" w:rsidR="00C83A49" w:rsidRPr="008F3C89" w:rsidRDefault="00C83A49" w:rsidP="00994B7A">
      <w:pPr>
        <w:spacing w:line="240" w:lineRule="auto"/>
        <w:jc w:val="both"/>
        <w:rPr>
          <w:rFonts w:ascii="Times New Roman" w:hAnsi="Times New Roman" w:cs="Times New Roman"/>
          <w:b/>
          <w:bCs/>
        </w:rPr>
      </w:pPr>
      <w:r w:rsidRPr="008F3C89">
        <w:rPr>
          <w:rFonts w:ascii="Times New Roman" w:hAnsi="Times New Roman" w:cs="Times New Roman"/>
          <w:b/>
          <w:bCs/>
        </w:rPr>
        <w:t>4.4. Implications and limitations</w:t>
      </w:r>
    </w:p>
    <w:p w14:paraId="073DCD16" w14:textId="7A253166" w:rsidR="00C83A49" w:rsidRPr="008F3C89" w:rsidRDefault="00BD390D" w:rsidP="00994B7A">
      <w:pPr>
        <w:spacing w:line="240" w:lineRule="auto"/>
        <w:jc w:val="both"/>
        <w:rPr>
          <w:rFonts w:ascii="Times New Roman" w:hAnsi="Times New Roman" w:cs="Times New Roman"/>
        </w:rPr>
      </w:pPr>
      <w:r w:rsidRPr="008F3C89">
        <w:rPr>
          <w:rFonts w:ascii="Times New Roman" w:hAnsi="Times New Roman" w:cs="Times New Roman"/>
        </w:rPr>
        <w:t xml:space="preserve">The present study indicates that partial fishmeal replacement with SPM can be associated with improved growth and feed utilization on milkfish fry reared under </w:t>
      </w:r>
      <w:r w:rsidR="00F405B1" w:rsidRPr="008F3C89">
        <w:rPr>
          <w:rFonts w:ascii="Times New Roman" w:hAnsi="Times New Roman" w:cs="Times New Roman"/>
        </w:rPr>
        <w:t xml:space="preserve">brackish water conditions. The highest </w:t>
      </w:r>
      <w:r w:rsidR="00AD56EB" w:rsidRPr="008F3C89">
        <w:rPr>
          <w:rFonts w:ascii="Times New Roman" w:hAnsi="Times New Roman" w:cs="Times New Roman"/>
        </w:rPr>
        <w:t xml:space="preserve">tested replacement level produced the most favourable growth and feed conversion results among the treatments. </w:t>
      </w:r>
    </w:p>
    <w:p w14:paraId="7F4F6576" w14:textId="2A19B596" w:rsidR="00CE6BBB" w:rsidRPr="008F3C89" w:rsidRDefault="00D12ED6" w:rsidP="00994B7A">
      <w:pPr>
        <w:spacing w:line="240" w:lineRule="auto"/>
        <w:rPr>
          <w:rFonts w:ascii="Times New Roman" w:hAnsi="Times New Roman" w:cs="Times New Roman"/>
        </w:rPr>
      </w:pPr>
      <w:r w:rsidRPr="008F3C89">
        <w:rPr>
          <w:rFonts w:ascii="Times New Roman" w:hAnsi="Times New Roman" w:cs="Times New Roman"/>
        </w:rPr>
        <w:t>Future experiments should investigate intermediate and higher replacement levels where nutritionally appropriate, verify nutrient digestibility and amino acid adequacy, and evaluate health indicators and economic feasibility. Such studies would help determine whether the observed benefits can be reproduced under commercial production conditions.</w:t>
      </w:r>
    </w:p>
    <w:p w14:paraId="37CB3270" w14:textId="2D9319BE" w:rsidR="008D19B8" w:rsidRPr="008F3C89" w:rsidRDefault="001D0DE3" w:rsidP="00994B7A">
      <w:pPr>
        <w:spacing w:line="240" w:lineRule="auto"/>
        <w:rPr>
          <w:rFonts w:ascii="Times New Roman" w:hAnsi="Times New Roman" w:cs="Times New Roman"/>
          <w:b/>
          <w:bCs/>
        </w:rPr>
      </w:pPr>
      <w:r w:rsidRPr="008F3C89">
        <w:rPr>
          <w:rFonts w:ascii="Times New Roman" w:hAnsi="Times New Roman" w:cs="Times New Roman"/>
          <w:b/>
          <w:bCs/>
        </w:rPr>
        <w:t xml:space="preserve">5. </w:t>
      </w:r>
      <w:r w:rsidR="008D19B8" w:rsidRPr="008F3C89">
        <w:rPr>
          <w:rFonts w:ascii="Times New Roman" w:hAnsi="Times New Roman" w:cs="Times New Roman"/>
          <w:b/>
          <w:bCs/>
        </w:rPr>
        <w:t xml:space="preserve">Conclusion </w:t>
      </w:r>
    </w:p>
    <w:p w14:paraId="587B2529" w14:textId="552CEE9F" w:rsidR="00C74321" w:rsidRPr="008F3C89" w:rsidRDefault="00C74321" w:rsidP="00994B7A">
      <w:pPr>
        <w:spacing w:line="240" w:lineRule="auto"/>
        <w:jc w:val="both"/>
        <w:rPr>
          <w:rFonts w:ascii="Times New Roman" w:hAnsi="Times New Roman" w:cs="Times New Roman"/>
        </w:rPr>
      </w:pPr>
      <w:r w:rsidRPr="008F3C89">
        <w:rPr>
          <w:rFonts w:ascii="Times New Roman" w:hAnsi="Times New Roman" w:cs="Times New Roman"/>
        </w:rPr>
        <w:lastRenderedPageBreak/>
        <w:t>The present study demonstrated that dietary Spirulina meal (SPM) inclusion positively influenced the growth performance and feed utilization of milkfish (</w:t>
      </w:r>
      <w:r w:rsidRPr="008F3C89">
        <w:rPr>
          <w:rFonts w:ascii="Times New Roman" w:hAnsi="Times New Roman" w:cs="Times New Roman"/>
          <w:i/>
          <w:iCs/>
        </w:rPr>
        <w:t>Chanos chanos</w:t>
      </w:r>
      <w:r w:rsidRPr="008F3C89">
        <w:rPr>
          <w:rFonts w:ascii="Times New Roman" w:hAnsi="Times New Roman" w:cs="Times New Roman"/>
        </w:rPr>
        <w:t>) fry reared at 10 ppt salinity over a 90-day feeding period. Among the three dietary treatments, the 40% fishmeal replacement treatment produced the highest final body weight, weight gain, average daily gain, and specific growth rate, together with the lowest feed conversion ratio and the highest feed conversion efficiency. The 20% replacement treatment also improved growth performance compared with the control, although its feed conversion indices did not differ significantly from those of the control. Survival was numerically higher in fish receiving SPM-containing diets, but the differences were not statistically significant, suggesting that SPM inclusion at the tested levels did not adversely affect survival under the experimental conditions. These findings indicate that SPM is a promising alternative ingredient for reducing fishmeal use in milkfish diets while maintaining favourable growth and feed utilization. However, further studies should evaluate higher and intermediate inclusion levels, nutrient digestibility, physiological and health responses, and the economic feasibility of SPM-based diets before recommending an optimal replacement level for commercial milkfish aquaculture.</w:t>
      </w:r>
    </w:p>
    <w:p w14:paraId="7FBA29F3" w14:textId="77777777" w:rsidR="002A25D3" w:rsidRDefault="002A25D3" w:rsidP="00994B7A">
      <w:pPr>
        <w:spacing w:line="240" w:lineRule="auto"/>
        <w:jc w:val="both"/>
        <w:rPr>
          <w:rFonts w:ascii="Times New Roman" w:hAnsi="Times New Roman" w:cs="Times New Roman"/>
        </w:rPr>
      </w:pPr>
    </w:p>
    <w:p w14:paraId="600290D6" w14:textId="77777777" w:rsidR="002A25D3" w:rsidRPr="002A25D3" w:rsidRDefault="002A25D3" w:rsidP="002A25D3">
      <w:pPr>
        <w:spacing w:after="0" w:line="240" w:lineRule="auto"/>
        <w:rPr>
          <w:rFonts w:ascii="Arial" w:eastAsia="Calibri" w:hAnsi="Arial" w:cs="Arial"/>
          <w:b/>
          <w:kern w:val="0"/>
          <w:sz w:val="20"/>
          <w:szCs w:val="20"/>
          <w:lang w:eastAsia="en-US"/>
          <w14:ligatures w14:val="none"/>
        </w:rPr>
      </w:pPr>
      <w:r w:rsidRPr="002A25D3">
        <w:rPr>
          <w:rFonts w:ascii="Arial" w:eastAsia="Calibri" w:hAnsi="Arial" w:cs="Arial"/>
          <w:b/>
          <w:kern w:val="0"/>
          <w:sz w:val="20"/>
          <w:szCs w:val="20"/>
          <w:lang w:eastAsia="en-US"/>
          <w14:ligatures w14:val="none"/>
        </w:rPr>
        <w:t>Declaration of AI Use</w:t>
      </w:r>
    </w:p>
    <w:p w14:paraId="5D7B44F2"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p>
    <w:p w14:paraId="5D10E4A2"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r w:rsidRPr="002A25D3">
        <w:rPr>
          <w:rFonts w:ascii="Arial" w:eastAsia="Calibri" w:hAnsi="Arial" w:cs="Arial"/>
          <w:kern w:val="0"/>
          <w:sz w:val="20"/>
          <w:szCs w:val="20"/>
          <w:lang w:eastAsia="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200A31"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2433F6DC"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78920F8A" w14:textId="77777777" w:rsidR="002A25D3" w:rsidRPr="002A25D3" w:rsidRDefault="002A25D3" w:rsidP="002A25D3">
      <w:pPr>
        <w:spacing w:after="200" w:line="276" w:lineRule="auto"/>
        <w:rPr>
          <w:rFonts w:ascii="Cambria" w:eastAsia="Times New Roman" w:hAnsi="Cambria" w:cs="Arial"/>
          <w:b/>
          <w:bCs/>
          <w:kern w:val="0"/>
          <w:sz w:val="22"/>
          <w:szCs w:val="22"/>
          <w:lang w:val="en-GB" w:eastAsia="en-GB"/>
          <w14:ligatures w14:val="none"/>
        </w:rPr>
      </w:pPr>
      <w:r w:rsidRPr="002A25D3">
        <w:rPr>
          <w:rFonts w:ascii="Cambria" w:eastAsia="Times New Roman" w:hAnsi="Cambria" w:cs="Arial"/>
          <w:b/>
          <w:bCs/>
          <w:kern w:val="0"/>
          <w:sz w:val="22"/>
          <w:szCs w:val="22"/>
          <w:lang w:val="en-GB" w:eastAsia="en-GB"/>
          <w14:ligatures w14:val="none"/>
        </w:rPr>
        <w:t>COMPETING INTERESTS DISCLAIMER:</w:t>
      </w:r>
    </w:p>
    <w:p w14:paraId="166B1520" w14:textId="77777777" w:rsidR="002A25D3" w:rsidRPr="002A25D3" w:rsidRDefault="002A25D3" w:rsidP="002A25D3">
      <w:pPr>
        <w:spacing w:after="200" w:line="276" w:lineRule="auto"/>
        <w:rPr>
          <w:rFonts w:ascii="Cambria" w:eastAsia="Times New Roman" w:hAnsi="Cambria" w:cs="Times New Roman"/>
          <w:kern w:val="0"/>
          <w:sz w:val="22"/>
          <w:szCs w:val="22"/>
          <w:lang w:val="en-GB" w:eastAsia="en-GB"/>
          <w14:ligatures w14:val="none"/>
        </w:rPr>
      </w:pPr>
      <w:r w:rsidRPr="002A25D3">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157FDC7" w14:textId="77777777" w:rsidR="002A25D3" w:rsidRPr="008F3C89" w:rsidRDefault="002A25D3" w:rsidP="00994B7A">
      <w:pPr>
        <w:spacing w:line="240" w:lineRule="auto"/>
        <w:jc w:val="both"/>
        <w:rPr>
          <w:rFonts w:ascii="Times New Roman" w:hAnsi="Times New Roman" w:cs="Times New Roman"/>
        </w:rPr>
      </w:pPr>
    </w:p>
    <w:p w14:paraId="7FA42A99" w14:textId="0CA64CC9" w:rsidR="00FA21B4" w:rsidRPr="008F3C89" w:rsidRDefault="00FA21B4" w:rsidP="00994B7A">
      <w:pPr>
        <w:spacing w:line="240" w:lineRule="auto"/>
        <w:rPr>
          <w:rFonts w:ascii="Times New Roman" w:hAnsi="Times New Roman" w:cs="Times New Roman"/>
          <w:b/>
          <w:bCs/>
        </w:rPr>
      </w:pPr>
      <w:r w:rsidRPr="008F3C89">
        <w:rPr>
          <w:rFonts w:ascii="Times New Roman" w:hAnsi="Times New Roman" w:cs="Times New Roman"/>
          <w:b/>
          <w:bCs/>
        </w:rPr>
        <w:t>References</w:t>
      </w:r>
      <w:r w:rsidR="009945A3" w:rsidRPr="008F3C89">
        <w:rPr>
          <w:rFonts w:ascii="Times New Roman" w:hAnsi="Times New Roman" w:cs="Times New Roman"/>
          <w:b/>
          <w:bCs/>
        </w:rPr>
        <w:t>:</w:t>
      </w:r>
    </w:p>
    <w:p w14:paraId="31FEE21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Ahmad, A., &amp; Ashraf, S. S. (2023). Sustainable food and feed sources from microalgae: Food security and the circular bioeconomy. Algal Research, 74, 103185. </w:t>
      </w:r>
      <w:hyperlink r:id="rId7" w:history="1">
        <w:r w:rsidRPr="008F3C89">
          <w:rPr>
            <w:rFonts w:ascii="Times New Roman" w:eastAsiaTheme="minorHAnsi" w:hAnsi="Times New Roman" w:cs="Times New Roman"/>
            <w:lang w:eastAsia="en-US"/>
          </w:rPr>
          <w:t>10.1016/j.algal.2023.103185</w:t>
        </w:r>
      </w:hyperlink>
    </w:p>
    <w:p w14:paraId="1A33DFB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Alagawany</w:t>
      </w:r>
      <w:proofErr w:type="spellEnd"/>
      <w:r w:rsidRPr="008F3C89">
        <w:rPr>
          <w:rFonts w:ascii="Times New Roman" w:eastAsiaTheme="minorHAnsi" w:hAnsi="Times New Roman" w:cs="Times New Roman"/>
          <w:lang w:eastAsia="en-US"/>
        </w:rPr>
        <w:t>, M., Taha, A. E., Noreldin, A., El-</w:t>
      </w:r>
      <w:proofErr w:type="spellStart"/>
      <w:r w:rsidRPr="008F3C89">
        <w:rPr>
          <w:rFonts w:ascii="Times New Roman" w:eastAsiaTheme="minorHAnsi" w:hAnsi="Times New Roman" w:cs="Times New Roman"/>
          <w:lang w:eastAsia="en-US"/>
        </w:rPr>
        <w:t>Tarabily</w:t>
      </w:r>
      <w:proofErr w:type="spellEnd"/>
      <w:r w:rsidRPr="008F3C89">
        <w:rPr>
          <w:rFonts w:ascii="Times New Roman" w:eastAsiaTheme="minorHAnsi" w:hAnsi="Times New Roman" w:cs="Times New Roman"/>
          <w:lang w:eastAsia="en-US"/>
        </w:rPr>
        <w:t>, K. A., &amp; Abd El-Hack, M. E. (2021). Nutritional applications of species of Spirulina and Chlorella in farmed fish: A review. Aquaculture, 542, 736841.</w:t>
      </w:r>
    </w:p>
    <w:p w14:paraId="418B2E35" w14:textId="51D7EE31" w:rsidR="005729AE" w:rsidRPr="008F3C89" w:rsidRDefault="005729AE" w:rsidP="00994B7A">
      <w:pPr>
        <w:spacing w:line="240" w:lineRule="auto"/>
        <w:ind w:left="864" w:hangingChars="360" w:hanging="864"/>
        <w:jc w:val="both"/>
        <w:rPr>
          <w:rFonts w:ascii="Times New Roman" w:eastAsiaTheme="minorHAnsi" w:hAnsi="Times New Roman" w:cs="Times New Roman"/>
          <w:color w:val="EE0000"/>
          <w:lang w:eastAsia="en-US"/>
        </w:rPr>
      </w:pPr>
      <w:r w:rsidRPr="008F3C89">
        <w:rPr>
          <w:rFonts w:ascii="Times New Roman" w:eastAsiaTheme="minorHAnsi" w:hAnsi="Times New Roman" w:cs="Times New Roman"/>
          <w:color w:val="EE0000"/>
          <w:lang w:eastAsia="en-US"/>
        </w:rPr>
        <w:t xml:space="preserve">El-Sheekh, M., El-Shourbagy, I., Shalaby, S., &amp; Hosny, S. (2014). Effect of feeding Arthrospira platensis (Spirulina) on growth and carcass composition of hybrid red tilapia (Oreochromis niloticus x Oreochromis mossambicus). </w:t>
      </w:r>
      <w:r w:rsidRPr="008F3C89">
        <w:rPr>
          <w:rFonts w:ascii="Times New Roman" w:eastAsiaTheme="minorHAnsi" w:hAnsi="Times New Roman" w:cs="Times New Roman"/>
          <w:i/>
          <w:iCs/>
          <w:color w:val="EE0000"/>
          <w:lang w:eastAsia="en-US"/>
        </w:rPr>
        <w:t>Turkish Journal of Fisheries and Aquatic Sciences</w:t>
      </w:r>
      <w:r w:rsidRPr="008F3C89">
        <w:rPr>
          <w:rFonts w:ascii="Times New Roman" w:eastAsiaTheme="minorHAnsi" w:hAnsi="Times New Roman" w:cs="Times New Roman"/>
          <w:color w:val="EE0000"/>
          <w:lang w:eastAsia="en-US"/>
        </w:rPr>
        <w:t xml:space="preserve">, </w:t>
      </w:r>
      <w:r w:rsidRPr="008F3C89">
        <w:rPr>
          <w:rFonts w:ascii="Times New Roman" w:eastAsiaTheme="minorHAnsi" w:hAnsi="Times New Roman" w:cs="Times New Roman"/>
          <w:i/>
          <w:iCs/>
          <w:color w:val="EE0000"/>
          <w:lang w:eastAsia="en-US"/>
        </w:rPr>
        <w:t>14</w:t>
      </w:r>
      <w:r w:rsidRPr="008F3C89">
        <w:rPr>
          <w:rFonts w:ascii="Times New Roman" w:eastAsiaTheme="minorHAnsi" w:hAnsi="Times New Roman" w:cs="Times New Roman"/>
          <w:color w:val="EE0000"/>
          <w:lang w:eastAsia="en-US"/>
        </w:rPr>
        <w:t>(2), 471-478.</w:t>
      </w:r>
      <w:r w:rsidR="006C7DFC" w:rsidRPr="008F3C89">
        <w:rPr>
          <w:rFonts w:ascii="Times New Roman" w:eastAsiaTheme="minorHAnsi" w:hAnsi="Times New Roman" w:cs="Times New Roman"/>
          <w:color w:val="EE0000"/>
          <w:lang w:eastAsia="en-US"/>
        </w:rPr>
        <w:t xml:space="preserve"> </w:t>
      </w:r>
      <w:r w:rsidR="006F6445" w:rsidRPr="008F3C89">
        <w:rPr>
          <w:rFonts w:ascii="Times New Roman" w:eastAsiaTheme="minorHAnsi" w:hAnsi="Times New Roman" w:cs="Times New Roman"/>
          <w:color w:val="EE0000"/>
          <w:lang w:eastAsia="en-US"/>
        </w:rPr>
        <w:t xml:space="preserve">DOI: </w:t>
      </w:r>
      <w:r w:rsidR="006C7DFC" w:rsidRPr="008F3C89">
        <w:rPr>
          <w:rFonts w:ascii="Times New Roman" w:eastAsiaTheme="minorHAnsi" w:hAnsi="Times New Roman" w:cs="Times New Roman"/>
          <w:color w:val="EE0000"/>
          <w:lang w:eastAsia="en-US"/>
        </w:rPr>
        <w:t xml:space="preserve">10.4194/1303-2712-v14_2_18. </w:t>
      </w:r>
    </w:p>
    <w:p w14:paraId="1A013A65" w14:textId="2F35E47C"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Alkorbi</w:t>
      </w:r>
      <w:proofErr w:type="spellEnd"/>
      <w:r w:rsidRPr="008F3C89">
        <w:rPr>
          <w:rFonts w:ascii="Times New Roman" w:eastAsiaTheme="minorHAnsi" w:hAnsi="Times New Roman" w:cs="Times New Roman"/>
          <w:lang w:eastAsia="en-US"/>
        </w:rPr>
        <w:t xml:space="preserve">, A. E., </w:t>
      </w:r>
      <w:proofErr w:type="spellStart"/>
      <w:r w:rsidRPr="008F3C89">
        <w:rPr>
          <w:rFonts w:ascii="Times New Roman" w:eastAsiaTheme="minorHAnsi" w:hAnsi="Times New Roman" w:cs="Times New Roman"/>
          <w:lang w:eastAsia="en-US"/>
        </w:rPr>
        <w:t>Albaqami</w:t>
      </w:r>
      <w:proofErr w:type="spellEnd"/>
      <w:r w:rsidRPr="008F3C89">
        <w:rPr>
          <w:rFonts w:ascii="Times New Roman" w:eastAsiaTheme="minorHAnsi" w:hAnsi="Times New Roman" w:cs="Times New Roman"/>
          <w:lang w:eastAsia="en-US"/>
        </w:rPr>
        <w:t xml:space="preserve">, N. M., Alzahrani, A. H., &amp; Ahmad, O. A. (2026). The Impact of Implementing the Spirulina (Arthrospira platensis) Powder to the Nile Tilapia (Oreochromis niloticus) Diets on Growth Performance, Feed and Energy Utilization, and Body Composition. Egyptian Journal of Aquatic Biology and Fisheries, 30(4), 5153-5179. DOI </w:t>
      </w:r>
      <w:hyperlink r:id="rId8" w:tgtFrame="_blank" w:history="1">
        <w:r w:rsidRPr="008F3C89">
          <w:rPr>
            <w:rFonts w:ascii="Times New Roman" w:eastAsiaTheme="minorHAnsi" w:hAnsi="Times New Roman" w:cs="Times New Roman"/>
            <w:lang w:eastAsia="en-US"/>
          </w:rPr>
          <w:t>10.21608/ejabf.2026.524442</w:t>
        </w:r>
      </w:hyperlink>
      <w:r w:rsidRPr="008F3C89">
        <w:rPr>
          <w:rFonts w:ascii="Times New Roman" w:eastAsiaTheme="minorHAnsi" w:hAnsi="Times New Roman" w:cs="Times New Roman"/>
          <w:lang w:eastAsia="en-US"/>
        </w:rPr>
        <w:t xml:space="preserve"> </w:t>
      </w:r>
    </w:p>
    <w:p w14:paraId="3C29EE9D"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lastRenderedPageBreak/>
        <w:t xml:space="preserve">AOAC, 1995. Official Methods of Analysis of the Association of Official Analytical Chemists. Washington, Dc.101. </w:t>
      </w:r>
    </w:p>
    <w:p w14:paraId="2FB3C02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APHA (American Public Health Association)., 1995.Standard methods for the examination of water and waste water, 19th ed. American Public Health Association, Washington, DC.</w:t>
      </w:r>
    </w:p>
    <w:p w14:paraId="1DE0283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Batilong</w:t>
      </w:r>
      <w:proofErr w:type="spellEnd"/>
      <w:r w:rsidRPr="008F3C89">
        <w:rPr>
          <w:rFonts w:ascii="Times New Roman" w:eastAsiaTheme="minorHAnsi" w:hAnsi="Times New Roman" w:cs="Times New Roman"/>
          <w:lang w:eastAsia="en-US"/>
        </w:rPr>
        <w:t xml:space="preserve">, L. S., </w:t>
      </w:r>
      <w:proofErr w:type="spellStart"/>
      <w:r w:rsidRPr="008F3C89">
        <w:rPr>
          <w:rFonts w:ascii="Times New Roman" w:eastAsiaTheme="minorHAnsi" w:hAnsi="Times New Roman" w:cs="Times New Roman"/>
          <w:lang w:eastAsia="en-US"/>
        </w:rPr>
        <w:t>Ranara</w:t>
      </w:r>
      <w:proofErr w:type="spellEnd"/>
      <w:r w:rsidRPr="008F3C89">
        <w:rPr>
          <w:rFonts w:ascii="Times New Roman" w:eastAsiaTheme="minorHAnsi" w:hAnsi="Times New Roman" w:cs="Times New Roman"/>
          <w:lang w:eastAsia="en-US"/>
        </w:rPr>
        <w:t xml:space="preserve">, C. T. B., </w:t>
      </w:r>
      <w:proofErr w:type="spellStart"/>
      <w:r w:rsidRPr="008F3C89">
        <w:rPr>
          <w:rFonts w:ascii="Times New Roman" w:eastAsiaTheme="minorHAnsi" w:hAnsi="Times New Roman" w:cs="Times New Roman"/>
          <w:lang w:eastAsia="en-US"/>
        </w:rPr>
        <w:t>Lumayno</w:t>
      </w:r>
      <w:proofErr w:type="spellEnd"/>
      <w:r w:rsidRPr="008F3C89">
        <w:rPr>
          <w:rFonts w:ascii="Times New Roman" w:eastAsiaTheme="minorHAnsi" w:hAnsi="Times New Roman" w:cs="Times New Roman"/>
          <w:lang w:eastAsia="en-US"/>
        </w:rPr>
        <w:t xml:space="preserve">, S. D. P., Tanay, D. D., Del Castillo, C. S., </w:t>
      </w:r>
      <w:proofErr w:type="spellStart"/>
      <w:r w:rsidRPr="008F3C89">
        <w:rPr>
          <w:rFonts w:ascii="Times New Roman" w:eastAsiaTheme="minorHAnsi" w:hAnsi="Times New Roman" w:cs="Times New Roman"/>
          <w:lang w:eastAsia="en-US"/>
        </w:rPr>
        <w:t>Failaman</w:t>
      </w:r>
      <w:proofErr w:type="spellEnd"/>
      <w:r w:rsidRPr="008F3C89">
        <w:rPr>
          <w:rFonts w:ascii="Times New Roman" w:eastAsiaTheme="minorHAnsi" w:hAnsi="Times New Roman" w:cs="Times New Roman"/>
          <w:lang w:eastAsia="en-US"/>
        </w:rPr>
        <w:t xml:space="preserve">, A. N., &amp; </w:t>
      </w:r>
      <w:proofErr w:type="spellStart"/>
      <w:r w:rsidRPr="008F3C89">
        <w:rPr>
          <w:rFonts w:ascii="Times New Roman" w:eastAsiaTheme="minorHAnsi" w:hAnsi="Times New Roman" w:cs="Times New Roman"/>
          <w:lang w:eastAsia="en-US"/>
        </w:rPr>
        <w:t>Traifalgar</w:t>
      </w:r>
      <w:proofErr w:type="spellEnd"/>
      <w:r w:rsidRPr="008F3C89">
        <w:rPr>
          <w:rFonts w:ascii="Times New Roman" w:eastAsiaTheme="minorHAnsi" w:hAnsi="Times New Roman" w:cs="Times New Roman"/>
          <w:lang w:eastAsia="en-US"/>
        </w:rPr>
        <w:t xml:space="preserve">, R. F. M. (2026). Shrimp head meal as a practical fishmeal substitute in diets for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(Actinopterygii, Gonorynchiformes, Chanidae), fry. Acta </w:t>
      </w:r>
      <w:proofErr w:type="spellStart"/>
      <w:r w:rsidRPr="008F3C89">
        <w:rPr>
          <w:rFonts w:ascii="Times New Roman" w:eastAsiaTheme="minorHAnsi" w:hAnsi="Times New Roman" w:cs="Times New Roman"/>
          <w:lang w:eastAsia="en-US"/>
        </w:rPr>
        <w:t>Ichthyologica</w:t>
      </w:r>
      <w:proofErr w:type="spellEnd"/>
      <w:r w:rsidRPr="008F3C89">
        <w:rPr>
          <w:rFonts w:ascii="Times New Roman" w:eastAsiaTheme="minorHAnsi" w:hAnsi="Times New Roman" w:cs="Times New Roman"/>
          <w:lang w:eastAsia="en-US"/>
        </w:rPr>
        <w:t xml:space="preserve"> et </w:t>
      </w:r>
      <w:proofErr w:type="spellStart"/>
      <w:r w:rsidRPr="008F3C89">
        <w:rPr>
          <w:rFonts w:ascii="Times New Roman" w:eastAsiaTheme="minorHAnsi" w:hAnsi="Times New Roman" w:cs="Times New Roman"/>
          <w:lang w:eastAsia="en-US"/>
        </w:rPr>
        <w:t>Piscatoria</w:t>
      </w:r>
      <w:proofErr w:type="spellEnd"/>
      <w:r w:rsidRPr="008F3C89">
        <w:rPr>
          <w:rFonts w:ascii="Times New Roman" w:eastAsiaTheme="minorHAnsi" w:hAnsi="Times New Roman" w:cs="Times New Roman"/>
          <w:lang w:eastAsia="en-US"/>
        </w:rPr>
        <w:t xml:space="preserve">, 56, 247-254. </w:t>
      </w:r>
      <w:hyperlink r:id="rId9" w:history="1">
        <w:r w:rsidRPr="008F3C89">
          <w:rPr>
            <w:rStyle w:val="Hyperlink"/>
            <w:rFonts w:ascii="Times New Roman" w:eastAsiaTheme="minorHAnsi" w:hAnsi="Times New Roman" w:cs="Times New Roman"/>
            <w:lang w:eastAsia="en-US"/>
          </w:rPr>
          <w:t>https://doi.org/10.3897/aiep.56.184586</w:t>
        </w:r>
      </w:hyperlink>
      <w:r w:rsidRPr="008F3C89">
        <w:rPr>
          <w:rFonts w:ascii="Times New Roman" w:eastAsiaTheme="minorHAnsi" w:hAnsi="Times New Roman" w:cs="Times New Roman"/>
          <w:lang w:eastAsia="en-US"/>
        </w:rPr>
        <w:t xml:space="preserve"> </w:t>
      </w:r>
    </w:p>
    <w:p w14:paraId="3B744DE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Borlongan</w:t>
      </w:r>
      <w:proofErr w:type="spellEnd"/>
      <w:r w:rsidRPr="008F3C89">
        <w:rPr>
          <w:rFonts w:ascii="Times New Roman" w:eastAsiaTheme="minorHAnsi" w:hAnsi="Times New Roman" w:cs="Times New Roman"/>
          <w:lang w:eastAsia="en-US"/>
        </w:rPr>
        <w:t xml:space="preserve">, I. G., &amp; Satoh, S. J. A. R. (2001). Dietary phosphorus requirement of juvenile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Forsskal</w:t>
      </w:r>
      <w:proofErr w:type="spellEnd"/>
      <w:r w:rsidRPr="008F3C89">
        <w:rPr>
          <w:rFonts w:ascii="Times New Roman" w:eastAsiaTheme="minorHAnsi" w:hAnsi="Times New Roman" w:cs="Times New Roman"/>
          <w:lang w:eastAsia="en-US"/>
        </w:rPr>
        <w:t xml:space="preserve">). Aquaculture Research, 32, 26-32. </w:t>
      </w:r>
      <w:hyperlink r:id="rId10" w:history="1">
        <w:r w:rsidRPr="008F3C89">
          <w:rPr>
            <w:rStyle w:val="Hyperlink"/>
            <w:rFonts w:ascii="Times New Roman" w:eastAsiaTheme="minorHAnsi" w:hAnsi="Times New Roman" w:cs="Times New Roman"/>
            <w:lang w:eastAsia="en-US"/>
          </w:rPr>
          <w:t>https://doi.org/10.1046/j.1355-557x.2001.00003.x</w:t>
        </w:r>
      </w:hyperlink>
      <w:r w:rsidRPr="008F3C89">
        <w:rPr>
          <w:rFonts w:ascii="Times New Roman" w:eastAsiaTheme="minorHAnsi" w:hAnsi="Times New Roman" w:cs="Times New Roman"/>
          <w:lang w:eastAsia="en-US"/>
        </w:rPr>
        <w:t xml:space="preserve"> </w:t>
      </w:r>
    </w:p>
    <w:p w14:paraId="77DC808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Caguioa, M. E. T., &amp; Aban, S. M. (2026). Dietary Spirulina Meal Supplementation in Rice Bran-Based Diets Improves Growth Performance and Feed Utilization of Nile Tilapia (Oreochromis niloticus). International Journal of Aquatic Research and Environmental Studies, 6(2), 998-1006. </w:t>
      </w:r>
      <w:hyperlink r:id="rId11" w:history="1">
        <w:r w:rsidRPr="008F3C89">
          <w:rPr>
            <w:rStyle w:val="Hyperlink"/>
            <w:rFonts w:ascii="Times New Roman" w:eastAsiaTheme="minorHAnsi" w:hAnsi="Times New Roman" w:cs="Times New Roman"/>
            <w:lang w:eastAsia="en-US"/>
          </w:rPr>
          <w:t>https://doi.org/10.70102/IJARES/V6I2/6-2-1723</w:t>
        </w:r>
      </w:hyperlink>
      <w:r w:rsidRPr="008F3C89">
        <w:rPr>
          <w:rFonts w:ascii="Times New Roman" w:eastAsiaTheme="minorHAnsi" w:hAnsi="Times New Roman" w:cs="Times New Roman"/>
          <w:lang w:eastAsia="en-US"/>
        </w:rPr>
        <w:t xml:space="preserve"> </w:t>
      </w:r>
    </w:p>
    <w:p w14:paraId="613BF2C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Calella, P., Cerullo, G., Di Dio, M., Liguori, F., Di Onofrio, V., Galle, F., &amp; Liguori, G. (2022). Antioxidant, anti-inflammatory and immunomodulatory effects of spirulina in exercise and sport: A systematic review. Frontiers in Nutrition, 9, 1048258. DOI: </w:t>
      </w:r>
      <w:hyperlink r:id="rId12" w:tgtFrame="_blank" w:history="1">
        <w:r w:rsidRPr="008F3C89">
          <w:rPr>
            <w:rFonts w:ascii="Times New Roman" w:eastAsiaTheme="minorHAnsi" w:hAnsi="Times New Roman" w:cs="Times New Roman"/>
            <w:lang w:eastAsia="en-US"/>
          </w:rPr>
          <w:t>10.3389/fnut.2022.1048258</w:t>
        </w:r>
      </w:hyperlink>
    </w:p>
    <w:p w14:paraId="53DD31BA"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Carneiro, W. F., Castro, T. F. D., Reichel, T., de Castro Uzeda, P. L., Martínez-Palacios, C. A., &amp; Murgas, L. D. S. (2022). Diets containing Arthrospira platensis increase growth, modulate lipid metabolism, and reduce oxidative stress in pacu (</w:t>
      </w:r>
      <w:proofErr w:type="spellStart"/>
      <w:r w:rsidRPr="008F3C89">
        <w:rPr>
          <w:rFonts w:ascii="Times New Roman" w:eastAsiaTheme="minorHAnsi" w:hAnsi="Times New Roman" w:cs="Times New Roman"/>
          <w:lang w:eastAsia="en-US"/>
        </w:rPr>
        <w:t>Piaractus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mesopotamicus</w:t>
      </w:r>
      <w:proofErr w:type="spellEnd"/>
      <w:r w:rsidRPr="008F3C89">
        <w:rPr>
          <w:rFonts w:ascii="Times New Roman" w:eastAsiaTheme="minorHAnsi" w:hAnsi="Times New Roman" w:cs="Times New Roman"/>
          <w:lang w:eastAsia="en-US"/>
        </w:rPr>
        <w:t xml:space="preserve">) exposed to ammonia. Aquaculture, 547, 737402. </w:t>
      </w:r>
      <w:hyperlink r:id="rId13" w:history="1">
        <w:r w:rsidRPr="008F3C89">
          <w:rPr>
            <w:rStyle w:val="Hyperlink"/>
            <w:rFonts w:ascii="Times New Roman" w:eastAsiaTheme="minorHAnsi" w:hAnsi="Times New Roman" w:cs="Times New Roman"/>
            <w:lang w:eastAsia="en-US"/>
          </w:rPr>
          <w:t>https://ui.adsabs.harvard.edu/link_gateway/2022Aquac.54737402C/doi:10.1016/j.aquaculture.2021.737402</w:t>
        </w:r>
      </w:hyperlink>
      <w:r w:rsidRPr="008F3C89">
        <w:rPr>
          <w:rFonts w:ascii="Times New Roman" w:eastAsiaTheme="minorHAnsi" w:hAnsi="Times New Roman" w:cs="Times New Roman"/>
          <w:lang w:eastAsia="en-US"/>
        </w:rPr>
        <w:t xml:space="preserve"> </w:t>
      </w:r>
    </w:p>
    <w:p w14:paraId="67C9955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 Carneiro, W. F., Navarrete-Ramírez, P., Castro, T. F. D., Leão, E. R., Martínez-Chávez, C. C., Martínez-Palacios, C. A., &amp; Murgas, L. D. S. (2025). Replacing fish meal with spirulina (Arthrospira platensis): nutrigenomic modulation of growth, reproductive performance, and metabolism in zebrafish. Animals, 15(17), 2552. </w:t>
      </w:r>
      <w:hyperlink r:id="rId14" w:history="1">
        <w:r w:rsidRPr="008F3C89">
          <w:rPr>
            <w:rFonts w:ascii="Times New Roman" w:eastAsiaTheme="minorHAnsi" w:hAnsi="Times New Roman" w:cs="Times New Roman"/>
            <w:lang w:eastAsia="en-US"/>
          </w:rPr>
          <w:t>https://doi.org/10.3390/ani15172552</w:t>
        </w:r>
      </w:hyperlink>
      <w:r w:rsidRPr="008F3C89">
        <w:rPr>
          <w:rFonts w:ascii="Times New Roman" w:eastAsiaTheme="minorHAnsi" w:hAnsi="Times New Roman" w:cs="Times New Roman"/>
          <w:lang w:eastAsia="en-US"/>
        </w:rPr>
        <w:t>.</w:t>
      </w:r>
    </w:p>
    <w:p w14:paraId="3B724215"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Hachimi Alaoui, M., Elmoujtahid, A., </w:t>
      </w:r>
      <w:proofErr w:type="spellStart"/>
      <w:r w:rsidRPr="008F3C89">
        <w:rPr>
          <w:rFonts w:ascii="Times New Roman" w:eastAsiaTheme="minorHAnsi" w:hAnsi="Times New Roman" w:cs="Times New Roman"/>
          <w:lang w:eastAsia="en-US"/>
        </w:rPr>
        <w:t>Bamaarouf</w:t>
      </w:r>
      <w:proofErr w:type="spellEnd"/>
      <w:r w:rsidRPr="008F3C89">
        <w:rPr>
          <w:rFonts w:ascii="Times New Roman" w:eastAsiaTheme="minorHAnsi" w:hAnsi="Times New Roman" w:cs="Times New Roman"/>
          <w:lang w:eastAsia="en-US"/>
        </w:rPr>
        <w:t xml:space="preserve">, M., &amp; El </w:t>
      </w:r>
      <w:proofErr w:type="spellStart"/>
      <w:r w:rsidRPr="008F3C89">
        <w:rPr>
          <w:rFonts w:ascii="Times New Roman" w:eastAsiaTheme="minorHAnsi" w:hAnsi="Times New Roman" w:cs="Times New Roman"/>
          <w:lang w:eastAsia="en-US"/>
        </w:rPr>
        <w:t>Arroussi</w:t>
      </w:r>
      <w:proofErr w:type="spellEnd"/>
      <w:r w:rsidRPr="008F3C89">
        <w:rPr>
          <w:rFonts w:ascii="Times New Roman" w:eastAsiaTheme="minorHAnsi" w:hAnsi="Times New Roman" w:cs="Times New Roman"/>
          <w:lang w:eastAsia="en-US"/>
        </w:rPr>
        <w:t xml:space="preserve">, H. (2026). Exploring the Potential of Microalgae as Feed Ingredients for Sustainable Aquaculture: A Review of Nutritional and Environmental Benefits. Aquaculture Nutrition, 2026(1), 5217142. </w:t>
      </w:r>
      <w:hyperlink r:id="rId15" w:history="1">
        <w:r w:rsidRPr="008F3C89">
          <w:rPr>
            <w:rFonts w:ascii="Times New Roman" w:eastAsiaTheme="minorHAnsi" w:hAnsi="Times New Roman" w:cs="Times New Roman"/>
            <w:lang w:eastAsia="en-US"/>
          </w:rPr>
          <w:t>https://doi.org/10.1155/anu/5217142</w:t>
        </w:r>
      </w:hyperlink>
      <w:r w:rsidRPr="008F3C89">
        <w:rPr>
          <w:rFonts w:ascii="Times New Roman" w:eastAsiaTheme="minorHAnsi" w:hAnsi="Times New Roman" w:cs="Times New Roman"/>
          <w:lang w:eastAsia="en-US"/>
        </w:rPr>
        <w:t xml:space="preserve"> </w:t>
      </w:r>
    </w:p>
    <w:p w14:paraId="295DEA8F"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Khanna, A. N., Mahadevan, H., </w:t>
      </w:r>
      <w:proofErr w:type="spellStart"/>
      <w:r w:rsidRPr="008F3C89">
        <w:rPr>
          <w:rFonts w:ascii="Times New Roman" w:eastAsiaTheme="minorHAnsi" w:hAnsi="Times New Roman" w:cs="Times New Roman"/>
          <w:lang w:eastAsia="en-US"/>
        </w:rPr>
        <w:t>Syanya</w:t>
      </w:r>
      <w:proofErr w:type="spellEnd"/>
      <w:r w:rsidRPr="008F3C89">
        <w:rPr>
          <w:rFonts w:ascii="Times New Roman" w:eastAsiaTheme="minorHAnsi" w:hAnsi="Times New Roman" w:cs="Times New Roman"/>
          <w:lang w:eastAsia="en-US"/>
        </w:rPr>
        <w:t>, F. J., E, A. P., Bastian, F. R., &amp; Hussain, M. S. (2026). Dietary Arthrospira platensis as a Sustainable Fishmeal Alternative Enhances Growth Performance, Body Composition and Muscle Amino Acid and Fatty Acid Profiles of Pearl Spot (</w:t>
      </w:r>
      <w:proofErr w:type="spellStart"/>
      <w:r w:rsidRPr="008F3C89">
        <w:rPr>
          <w:rFonts w:ascii="Times New Roman" w:eastAsiaTheme="minorHAnsi" w:hAnsi="Times New Roman" w:cs="Times New Roman"/>
          <w:lang w:eastAsia="en-US"/>
        </w:rPr>
        <w:t>Etroplus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suratensis</w:t>
      </w:r>
      <w:proofErr w:type="spellEnd"/>
      <w:r w:rsidRPr="008F3C89">
        <w:rPr>
          <w:rFonts w:ascii="Times New Roman" w:eastAsiaTheme="minorHAnsi" w:hAnsi="Times New Roman" w:cs="Times New Roman"/>
          <w:lang w:eastAsia="en-US"/>
        </w:rPr>
        <w:t xml:space="preserve">). Aquaculture, Fish and Fisheries, 6(4), e70314. </w:t>
      </w:r>
      <w:hyperlink r:id="rId16" w:history="1">
        <w:r w:rsidRPr="008F3C89">
          <w:rPr>
            <w:rFonts w:ascii="Times New Roman" w:eastAsiaTheme="minorHAnsi" w:hAnsi="Times New Roman" w:cs="Times New Roman"/>
            <w:lang w:eastAsia="en-US"/>
          </w:rPr>
          <w:t>https://doi.org/10.1002/aff2.70314</w:t>
        </w:r>
      </w:hyperlink>
    </w:p>
    <w:p w14:paraId="12FC3C0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Khanna, A. N., Mahadevan, H., </w:t>
      </w:r>
      <w:proofErr w:type="spellStart"/>
      <w:r w:rsidRPr="008F3C89">
        <w:rPr>
          <w:rFonts w:ascii="Times New Roman" w:eastAsiaTheme="minorHAnsi" w:hAnsi="Times New Roman" w:cs="Times New Roman"/>
          <w:lang w:eastAsia="en-US"/>
        </w:rPr>
        <w:t>Syanya</w:t>
      </w:r>
      <w:proofErr w:type="spellEnd"/>
      <w:r w:rsidRPr="008F3C89">
        <w:rPr>
          <w:rFonts w:ascii="Times New Roman" w:eastAsiaTheme="minorHAnsi" w:hAnsi="Times New Roman" w:cs="Times New Roman"/>
          <w:lang w:eastAsia="en-US"/>
        </w:rPr>
        <w:t xml:space="preserve">, F. J., Winam, Z. O., Hussain, M. S., Bastian, F. R., &amp; Prakash E, A. (2026). Growth, Survival and Reproductive Responses of Pearl Spot </w:t>
      </w:r>
      <w:r w:rsidRPr="008F3C89">
        <w:rPr>
          <w:rFonts w:ascii="Times New Roman" w:eastAsiaTheme="minorHAnsi" w:hAnsi="Times New Roman" w:cs="Times New Roman"/>
          <w:lang w:eastAsia="en-US"/>
        </w:rPr>
        <w:lastRenderedPageBreak/>
        <w:t>(</w:t>
      </w:r>
      <w:proofErr w:type="spellStart"/>
      <w:r w:rsidRPr="008F3C89">
        <w:rPr>
          <w:rFonts w:ascii="Times New Roman" w:eastAsiaTheme="minorHAnsi" w:hAnsi="Times New Roman" w:cs="Times New Roman"/>
          <w:lang w:eastAsia="en-US"/>
        </w:rPr>
        <w:t>Etroplus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suratensis</w:t>
      </w:r>
      <w:proofErr w:type="spellEnd"/>
      <w:r w:rsidRPr="008F3C89">
        <w:rPr>
          <w:rFonts w:ascii="Times New Roman" w:eastAsiaTheme="minorHAnsi" w:hAnsi="Times New Roman" w:cs="Times New Roman"/>
          <w:lang w:eastAsia="en-US"/>
        </w:rPr>
        <w:t xml:space="preserve">) to Partial Fishmeal Replacement </w:t>
      </w:r>
      <w:proofErr w:type="gramStart"/>
      <w:r w:rsidRPr="008F3C89">
        <w:rPr>
          <w:rFonts w:ascii="Times New Roman" w:eastAsiaTheme="minorHAnsi" w:hAnsi="Times New Roman" w:cs="Times New Roman"/>
          <w:lang w:eastAsia="en-US"/>
        </w:rPr>
        <w:t>With</w:t>
      </w:r>
      <w:proofErr w:type="gramEnd"/>
      <w:r w:rsidRPr="008F3C89">
        <w:rPr>
          <w:rFonts w:ascii="Times New Roman" w:eastAsiaTheme="minorHAnsi" w:hAnsi="Times New Roman" w:cs="Times New Roman"/>
          <w:lang w:eastAsia="en-US"/>
        </w:rPr>
        <w:t xml:space="preserve"> Spirulina (Arthrospira platensis) in Coastal Pond Systems. Aquaculture Research, 2026(1), 2099071.</w:t>
      </w:r>
      <w:hyperlink r:id="rId17" w:history="1">
        <w:r w:rsidRPr="008F3C89">
          <w:rPr>
            <w:rFonts w:ascii="Times New Roman" w:eastAsiaTheme="minorHAnsi" w:hAnsi="Times New Roman" w:cs="Times New Roman"/>
            <w:lang w:eastAsia="en-US"/>
          </w:rPr>
          <w:t>https://doi.org/10.1155/are/2099071</w:t>
        </w:r>
      </w:hyperlink>
    </w:p>
    <w:p w14:paraId="7196B3D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Kumar, R., Hegde, A. S., Sharma, K., Parmar, P., &amp; Srivatsan, V. (2022). Microalgae as a sustainable source of edible proteins and bioactive peptides–Current trends and future prospects. Food Research International, 157, 111338. </w:t>
      </w:r>
      <w:hyperlink r:id="rId18" w:history="1">
        <w:r w:rsidRPr="008F3C89">
          <w:rPr>
            <w:rFonts w:ascii="Times New Roman" w:eastAsiaTheme="minorHAnsi" w:hAnsi="Times New Roman" w:cs="Times New Roman"/>
            <w:lang w:eastAsia="en-US"/>
          </w:rPr>
          <w:t>https://www.sciencedirect.com/science/article/abs/pii/S0963996922003957</w:t>
        </w:r>
      </w:hyperlink>
      <w:r w:rsidRPr="008F3C89">
        <w:rPr>
          <w:rFonts w:ascii="Times New Roman" w:eastAsiaTheme="minorHAnsi" w:hAnsi="Times New Roman" w:cs="Times New Roman"/>
          <w:lang w:eastAsia="en-US"/>
        </w:rPr>
        <w:t xml:space="preserve"> </w:t>
      </w:r>
    </w:p>
    <w:p w14:paraId="3D7E8298"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Li, L., Liu, H., &amp; Zhang, P. (2022). Effect of Spirulina meal supplementation on growth performance and feed utilization in fish and shrimp: A Meta‐Analysis. Aquaculture Nutrition, 2022(1), 8517733. https://doi.org/10.1155/2022/8517733</w:t>
      </w:r>
    </w:p>
    <w:p w14:paraId="3964D750"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Liu, L., Zou, A., Zhao, W., Cao, T., Jiang, F., Yue, D., ... &amp; Gao, Z. (2026). Optimal Dietary Replacement of Fishmeal </w:t>
      </w:r>
      <w:proofErr w:type="gramStart"/>
      <w:r w:rsidRPr="008F3C89">
        <w:rPr>
          <w:rFonts w:ascii="Times New Roman" w:eastAsiaTheme="minorHAnsi" w:hAnsi="Times New Roman" w:cs="Times New Roman"/>
          <w:lang w:eastAsia="en-US"/>
        </w:rPr>
        <w:t>With</w:t>
      </w:r>
      <w:proofErr w:type="gramEnd"/>
      <w:r w:rsidRPr="008F3C89">
        <w:rPr>
          <w:rFonts w:ascii="Times New Roman" w:eastAsiaTheme="minorHAnsi" w:hAnsi="Times New Roman" w:cs="Times New Roman"/>
          <w:lang w:eastAsia="en-US"/>
        </w:rPr>
        <w:t xml:space="preserve"> Spirulina </w:t>
      </w:r>
      <w:proofErr w:type="gramStart"/>
      <w:r w:rsidRPr="008F3C89">
        <w:rPr>
          <w:rFonts w:ascii="Times New Roman" w:eastAsiaTheme="minorHAnsi" w:hAnsi="Times New Roman" w:cs="Times New Roman"/>
          <w:lang w:eastAsia="en-US"/>
        </w:rPr>
        <w:t>platensis</w:t>
      </w:r>
      <w:proofErr w:type="gramEnd"/>
      <w:r w:rsidRPr="008F3C89">
        <w:rPr>
          <w:rFonts w:ascii="Times New Roman" w:eastAsiaTheme="minorHAnsi" w:hAnsi="Times New Roman" w:cs="Times New Roman"/>
          <w:lang w:eastAsia="en-US"/>
        </w:rPr>
        <w:t xml:space="preserve"> Enhances Growth Performance, Digestion, Antioxidant Capacity, Ovarian Development, and Muscle Quality in Macrobrachium </w:t>
      </w:r>
      <w:proofErr w:type="spellStart"/>
      <w:r w:rsidRPr="008F3C89">
        <w:rPr>
          <w:rFonts w:ascii="Times New Roman" w:eastAsiaTheme="minorHAnsi" w:hAnsi="Times New Roman" w:cs="Times New Roman"/>
          <w:lang w:eastAsia="en-US"/>
        </w:rPr>
        <w:t>nipponense</w:t>
      </w:r>
      <w:proofErr w:type="spellEnd"/>
      <w:r w:rsidRPr="008F3C89">
        <w:rPr>
          <w:rFonts w:ascii="Times New Roman" w:eastAsiaTheme="minorHAnsi" w:hAnsi="Times New Roman" w:cs="Times New Roman"/>
          <w:lang w:eastAsia="en-US"/>
        </w:rPr>
        <w:t xml:space="preserve">. Aquaculture Nutrition, 2026(1), 7865897.https://doi.org/10.1155/anu/7865897 </w:t>
      </w:r>
    </w:p>
    <w:p w14:paraId="6CA4E696"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Ma, M., &amp; Hu, Q. (2024). Microalgae as feed sources and feed additives for sustainable aquaculture: Prospects and challenges. Reviews in Aquaculture, 16(2), 818-835. </w:t>
      </w:r>
      <w:hyperlink r:id="rId19" w:history="1">
        <w:r w:rsidRPr="008F3C89">
          <w:rPr>
            <w:rFonts w:ascii="Times New Roman" w:eastAsiaTheme="minorHAnsi" w:hAnsi="Times New Roman" w:cs="Times New Roman"/>
            <w:lang w:eastAsia="en-US"/>
          </w:rPr>
          <w:t>https://doi.org/10.1111/raq.12869</w:t>
        </w:r>
      </w:hyperlink>
      <w:r w:rsidRPr="008F3C89">
        <w:rPr>
          <w:rFonts w:ascii="Times New Roman" w:eastAsiaTheme="minorHAnsi" w:hAnsi="Times New Roman" w:cs="Times New Roman"/>
          <w:lang w:eastAsia="en-US"/>
        </w:rPr>
        <w:t xml:space="preserve"> </w:t>
      </w:r>
    </w:p>
    <w:p w14:paraId="0D2EF01F"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Mulyani</w:t>
      </w:r>
      <w:proofErr w:type="spellEnd"/>
      <w:r w:rsidRPr="008F3C89">
        <w:rPr>
          <w:rFonts w:ascii="Times New Roman" w:eastAsiaTheme="minorHAnsi" w:hAnsi="Times New Roman" w:cs="Times New Roman"/>
          <w:lang w:eastAsia="en-US"/>
        </w:rPr>
        <w:t xml:space="preserve">, S., Budi, S., Cahyono, I., &amp; </w:t>
      </w:r>
      <w:proofErr w:type="spellStart"/>
      <w:r w:rsidRPr="008F3C89">
        <w:rPr>
          <w:rFonts w:ascii="Times New Roman" w:eastAsiaTheme="minorHAnsi" w:hAnsi="Times New Roman" w:cs="Times New Roman"/>
          <w:lang w:eastAsia="en-US"/>
        </w:rPr>
        <w:t>Khairiman</w:t>
      </w:r>
      <w:proofErr w:type="spellEnd"/>
      <w:r w:rsidRPr="008F3C89">
        <w:rPr>
          <w:rFonts w:ascii="Times New Roman" w:eastAsiaTheme="minorHAnsi" w:hAnsi="Times New Roman" w:cs="Times New Roman"/>
          <w:lang w:eastAsia="en-US"/>
        </w:rPr>
        <w:t xml:space="preserve">, K. (2023). Effect of Vitamin C Bioencapsulation in Natural Feed on Protein, Fat, Energy, and Mortality of Milkfish Larvae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Jurnal</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Kelautan</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Tropis</w:t>
      </w:r>
      <w:proofErr w:type="spellEnd"/>
      <w:r w:rsidRPr="008F3C89">
        <w:rPr>
          <w:rFonts w:ascii="Times New Roman" w:eastAsiaTheme="minorHAnsi" w:hAnsi="Times New Roman" w:cs="Times New Roman"/>
          <w:lang w:eastAsia="en-US"/>
        </w:rPr>
        <w:t>, 26(2), 272-282. https://doi.org/10.14710/jkt.v26i2.17969</w:t>
      </w:r>
    </w:p>
    <w:p w14:paraId="5CBE90D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Rahman, M. M., Kim, K. W., &amp; Lee, S. M. (2022). Apparent digestibility coefficients of animal feed ingredients for olive flounder (Paralichthys olivaceus). Fisheries and Aquatic Sciences, 25(11), 537-548. </w:t>
      </w:r>
      <w:hyperlink r:id="rId20" w:history="1">
        <w:r w:rsidRPr="008F3C89">
          <w:rPr>
            <w:rStyle w:val="Hyperlink"/>
            <w:rFonts w:ascii="Times New Roman" w:eastAsiaTheme="minorHAnsi" w:hAnsi="Times New Roman" w:cs="Times New Roman"/>
            <w:lang w:eastAsia="en-US"/>
          </w:rPr>
          <w:t>https://doi.org/10.47853/FAS.2022.e48</w:t>
        </w:r>
      </w:hyperlink>
      <w:r w:rsidRPr="008F3C89">
        <w:rPr>
          <w:rFonts w:ascii="Times New Roman" w:eastAsiaTheme="minorHAnsi" w:hAnsi="Times New Roman" w:cs="Times New Roman"/>
          <w:lang w:eastAsia="en-US"/>
        </w:rPr>
        <w:t xml:space="preserve"> </w:t>
      </w:r>
    </w:p>
    <w:p w14:paraId="15C6FE5E"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Roohani</w:t>
      </w:r>
      <w:proofErr w:type="spellEnd"/>
      <w:r w:rsidRPr="008F3C89">
        <w:rPr>
          <w:rFonts w:ascii="Times New Roman" w:eastAsiaTheme="minorHAnsi" w:hAnsi="Times New Roman" w:cs="Times New Roman"/>
          <w:lang w:eastAsia="en-US"/>
        </w:rPr>
        <w:t xml:space="preserve">, A. M., Abedian Kenari, A., Fallahi </w:t>
      </w:r>
      <w:proofErr w:type="spellStart"/>
      <w:r w:rsidRPr="008F3C89">
        <w:rPr>
          <w:rFonts w:ascii="Times New Roman" w:eastAsiaTheme="minorHAnsi" w:hAnsi="Times New Roman" w:cs="Times New Roman"/>
          <w:lang w:eastAsia="en-US"/>
        </w:rPr>
        <w:t>Kapoorchali</w:t>
      </w:r>
      <w:proofErr w:type="spellEnd"/>
      <w:r w:rsidRPr="008F3C89">
        <w:rPr>
          <w:rFonts w:ascii="Times New Roman" w:eastAsiaTheme="minorHAnsi" w:hAnsi="Times New Roman" w:cs="Times New Roman"/>
          <w:lang w:eastAsia="en-US"/>
        </w:rPr>
        <w:t xml:space="preserve">, M., Borani, M. S., </w:t>
      </w:r>
      <w:proofErr w:type="spellStart"/>
      <w:r w:rsidRPr="008F3C89">
        <w:rPr>
          <w:rFonts w:ascii="Times New Roman" w:eastAsiaTheme="minorHAnsi" w:hAnsi="Times New Roman" w:cs="Times New Roman"/>
          <w:lang w:eastAsia="en-US"/>
        </w:rPr>
        <w:t>Zoriezahra</w:t>
      </w:r>
      <w:proofErr w:type="spellEnd"/>
      <w:r w:rsidRPr="008F3C89">
        <w:rPr>
          <w:rFonts w:ascii="Times New Roman" w:eastAsiaTheme="minorHAnsi" w:hAnsi="Times New Roman" w:cs="Times New Roman"/>
          <w:lang w:eastAsia="en-US"/>
        </w:rPr>
        <w:t xml:space="preserve">, S. J., Smiley, A. H., ... &amp; </w:t>
      </w:r>
      <w:proofErr w:type="spellStart"/>
      <w:r w:rsidRPr="008F3C89">
        <w:rPr>
          <w:rFonts w:ascii="Times New Roman" w:eastAsiaTheme="minorHAnsi" w:hAnsi="Times New Roman" w:cs="Times New Roman"/>
          <w:lang w:eastAsia="en-US"/>
        </w:rPr>
        <w:t>Rombenso</w:t>
      </w:r>
      <w:proofErr w:type="spellEnd"/>
      <w:r w:rsidRPr="008F3C89">
        <w:rPr>
          <w:rFonts w:ascii="Times New Roman" w:eastAsiaTheme="minorHAnsi" w:hAnsi="Times New Roman" w:cs="Times New Roman"/>
          <w:lang w:eastAsia="en-US"/>
        </w:rPr>
        <w:t xml:space="preserve">, A. N. (2019). Effect of spirulina </w:t>
      </w:r>
      <w:proofErr w:type="spellStart"/>
      <w:r w:rsidRPr="008F3C89">
        <w:rPr>
          <w:rFonts w:ascii="Times New Roman" w:eastAsiaTheme="minorHAnsi" w:hAnsi="Times New Roman" w:cs="Times New Roman"/>
          <w:lang w:eastAsia="en-US"/>
        </w:rPr>
        <w:t>Spirulina</w:t>
      </w:r>
      <w:proofErr w:type="spellEnd"/>
      <w:r w:rsidRPr="008F3C89">
        <w:rPr>
          <w:rFonts w:ascii="Times New Roman" w:eastAsiaTheme="minorHAnsi" w:hAnsi="Times New Roman" w:cs="Times New Roman"/>
          <w:lang w:eastAsia="en-US"/>
        </w:rPr>
        <w:t xml:space="preserve"> platensis as a complementary ingredient to reduce dietary fish meal on the growth performance, whole‐body composition, fatty acid and amino acid profiles, and pigmentation of Caspian brown trout (Salmo trutta </w:t>
      </w:r>
      <w:proofErr w:type="spellStart"/>
      <w:r w:rsidRPr="008F3C89">
        <w:rPr>
          <w:rFonts w:ascii="Times New Roman" w:eastAsiaTheme="minorHAnsi" w:hAnsi="Times New Roman" w:cs="Times New Roman"/>
          <w:lang w:eastAsia="en-US"/>
        </w:rPr>
        <w:t>caspius</w:t>
      </w:r>
      <w:proofErr w:type="spellEnd"/>
      <w:r w:rsidRPr="008F3C89">
        <w:rPr>
          <w:rFonts w:ascii="Times New Roman" w:eastAsiaTheme="minorHAnsi" w:hAnsi="Times New Roman" w:cs="Times New Roman"/>
          <w:lang w:eastAsia="en-US"/>
        </w:rPr>
        <w:t xml:space="preserve">) juveniles. Aquaculture Nutrition, 25(3), 633-645. </w:t>
      </w:r>
      <w:hyperlink r:id="rId21" w:history="1">
        <w:r w:rsidRPr="008F3C89">
          <w:rPr>
            <w:rFonts w:ascii="Times New Roman" w:eastAsiaTheme="minorHAnsi" w:hAnsi="Times New Roman" w:cs="Times New Roman"/>
            <w:lang w:eastAsia="en-US"/>
          </w:rPr>
          <w:t>https://doi.org/10.1111/anu.12885</w:t>
        </w:r>
      </w:hyperlink>
      <w:r w:rsidRPr="008F3C89">
        <w:rPr>
          <w:rFonts w:ascii="Times New Roman" w:eastAsiaTheme="minorHAnsi" w:hAnsi="Times New Roman" w:cs="Times New Roman"/>
          <w:lang w:eastAsia="en-US"/>
        </w:rPr>
        <w:t>.</w:t>
      </w:r>
    </w:p>
    <w:p w14:paraId="0E191E77"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Shah, M. R., </w:t>
      </w:r>
      <w:proofErr w:type="spellStart"/>
      <w:r w:rsidRPr="008F3C89">
        <w:rPr>
          <w:rFonts w:ascii="Times New Roman" w:eastAsiaTheme="minorHAnsi" w:hAnsi="Times New Roman" w:cs="Times New Roman"/>
          <w:lang w:eastAsia="en-US"/>
        </w:rPr>
        <w:t>Lutzu</w:t>
      </w:r>
      <w:proofErr w:type="spellEnd"/>
      <w:r w:rsidRPr="008F3C89">
        <w:rPr>
          <w:rFonts w:ascii="Times New Roman" w:eastAsiaTheme="minorHAnsi" w:hAnsi="Times New Roman" w:cs="Times New Roman"/>
          <w:lang w:eastAsia="en-US"/>
        </w:rPr>
        <w:t xml:space="preserve">, G. A., Alam, A., Sarker, P., Kabir Chowdhury, M. A., </w:t>
      </w:r>
      <w:proofErr w:type="spellStart"/>
      <w:r w:rsidRPr="008F3C89">
        <w:rPr>
          <w:rFonts w:ascii="Times New Roman" w:eastAsiaTheme="minorHAnsi" w:hAnsi="Times New Roman" w:cs="Times New Roman"/>
          <w:lang w:eastAsia="en-US"/>
        </w:rPr>
        <w:t>Parsaeimehr</w:t>
      </w:r>
      <w:proofErr w:type="spellEnd"/>
      <w:r w:rsidRPr="008F3C89">
        <w:rPr>
          <w:rFonts w:ascii="Times New Roman" w:eastAsiaTheme="minorHAnsi" w:hAnsi="Times New Roman" w:cs="Times New Roman"/>
          <w:lang w:eastAsia="en-US"/>
        </w:rPr>
        <w:t xml:space="preserve">, A., ... &amp; </w:t>
      </w:r>
      <w:proofErr w:type="spellStart"/>
      <w:r w:rsidRPr="008F3C89">
        <w:rPr>
          <w:rFonts w:ascii="Times New Roman" w:eastAsiaTheme="minorHAnsi" w:hAnsi="Times New Roman" w:cs="Times New Roman"/>
          <w:lang w:eastAsia="en-US"/>
        </w:rPr>
        <w:t>Daroch</w:t>
      </w:r>
      <w:proofErr w:type="spellEnd"/>
      <w:r w:rsidRPr="008F3C89">
        <w:rPr>
          <w:rFonts w:ascii="Times New Roman" w:eastAsiaTheme="minorHAnsi" w:hAnsi="Times New Roman" w:cs="Times New Roman"/>
          <w:lang w:eastAsia="en-US"/>
        </w:rPr>
        <w:t xml:space="preserve">, M. (2018). Microalgae in aquafeeds for a sustainable aquaculture industry. Journal of applied phycology, 30(1), 197-213. </w:t>
      </w:r>
      <w:hyperlink r:id="rId22" w:history="1">
        <w:r w:rsidRPr="008F3C89">
          <w:rPr>
            <w:rFonts w:ascii="Times New Roman" w:eastAsiaTheme="minorHAnsi" w:hAnsi="Times New Roman" w:cs="Times New Roman"/>
            <w:lang w:eastAsia="en-US"/>
          </w:rPr>
          <w:t>https://doi.org/10.1007/s10811-017-1234-z</w:t>
        </w:r>
      </w:hyperlink>
      <w:r w:rsidRPr="008F3C89">
        <w:rPr>
          <w:rFonts w:ascii="Times New Roman" w:eastAsiaTheme="minorHAnsi" w:hAnsi="Times New Roman" w:cs="Times New Roman"/>
          <w:lang w:eastAsia="en-US"/>
        </w:rPr>
        <w:t xml:space="preserve"> </w:t>
      </w:r>
    </w:p>
    <w:p w14:paraId="74B26530"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Sontakke, R., Tiwari, V. K., </w:t>
      </w:r>
      <w:proofErr w:type="spellStart"/>
      <w:r w:rsidRPr="008F3C89">
        <w:rPr>
          <w:rFonts w:ascii="Times New Roman" w:eastAsiaTheme="minorHAnsi" w:hAnsi="Times New Roman" w:cs="Times New Roman"/>
          <w:lang w:eastAsia="en-US"/>
        </w:rPr>
        <w:t>Paniprasad</w:t>
      </w:r>
      <w:proofErr w:type="spellEnd"/>
      <w:r w:rsidRPr="008F3C89">
        <w:rPr>
          <w:rFonts w:ascii="Times New Roman" w:eastAsiaTheme="minorHAnsi" w:hAnsi="Times New Roman" w:cs="Times New Roman"/>
          <w:lang w:eastAsia="en-US"/>
        </w:rPr>
        <w:t xml:space="preserve">, K., Rani, A. M., &amp; Ande, M. P. (2019). NON-SPECIFIC IMMUNE AND ANTIOXIDANT STATUS OF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VARIES WITH THE CARBON SOURCE USED IN THE BIOFLOC SYSTEM. Journal of Experimental Zoology India, 22(1), 109. </w:t>
      </w:r>
      <w:hyperlink r:id="rId23" w:history="1">
        <w:r w:rsidRPr="008F3C89">
          <w:rPr>
            <w:rStyle w:val="Hyperlink"/>
            <w:rFonts w:ascii="Times New Roman" w:eastAsiaTheme="minorHAnsi" w:hAnsi="Times New Roman" w:cs="Times New Roman"/>
            <w:lang w:eastAsia="en-US"/>
          </w:rPr>
          <w:t>https://www.researchgate.net/publication/339529129_NON-SPECIFIC_IMMUNE_AND_ANTIOXIDANT_STATUS_OF_MILKFISH_CHANOS_CHANOS_VARIES_WITH_THE_CARBON_SOURCE_USED_IN_THE_BIOFLOC_SYSTEM</w:t>
        </w:r>
      </w:hyperlink>
      <w:r w:rsidRPr="008F3C89">
        <w:rPr>
          <w:rFonts w:ascii="Times New Roman" w:eastAsiaTheme="minorHAnsi" w:hAnsi="Times New Roman" w:cs="Times New Roman"/>
          <w:lang w:eastAsia="en-US"/>
        </w:rPr>
        <w:t xml:space="preserve"> </w:t>
      </w:r>
    </w:p>
    <w:p w14:paraId="7AE0D7D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lastRenderedPageBreak/>
        <w:t>Spínola, M. P., Mendes, A. R., &amp; Prates, J. A. (2024). Chemical composition, bioactivities, and applications of Spirulina (</w:t>
      </w:r>
      <w:proofErr w:type="spellStart"/>
      <w:r w:rsidRPr="008F3C89">
        <w:rPr>
          <w:rFonts w:ascii="Times New Roman" w:eastAsiaTheme="minorHAnsi" w:hAnsi="Times New Roman" w:cs="Times New Roman"/>
          <w:lang w:eastAsia="en-US"/>
        </w:rPr>
        <w:t>Limnospira</w:t>
      </w:r>
      <w:proofErr w:type="spellEnd"/>
      <w:r w:rsidRPr="008F3C89">
        <w:rPr>
          <w:rFonts w:ascii="Times New Roman" w:eastAsiaTheme="minorHAnsi" w:hAnsi="Times New Roman" w:cs="Times New Roman"/>
          <w:lang w:eastAsia="en-US"/>
        </w:rPr>
        <w:t xml:space="preserve"> platensis) in food, feed, and medicine. Foods, 13(22), 3656. https://doi.org/10.3390/foods13223656</w:t>
      </w:r>
    </w:p>
    <w:p w14:paraId="1EC591F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Sukardi</w:t>
      </w:r>
      <w:proofErr w:type="spellEnd"/>
      <w:r w:rsidRPr="008F3C89">
        <w:rPr>
          <w:rFonts w:ascii="Times New Roman" w:eastAsiaTheme="minorHAnsi" w:hAnsi="Times New Roman" w:cs="Times New Roman"/>
          <w:lang w:eastAsia="en-US"/>
        </w:rPr>
        <w:t xml:space="preserve">, P., Yansah, N., </w:t>
      </w:r>
      <w:proofErr w:type="spellStart"/>
      <w:r w:rsidRPr="008F3C89">
        <w:rPr>
          <w:rFonts w:ascii="Times New Roman" w:eastAsiaTheme="minorHAnsi" w:hAnsi="Times New Roman" w:cs="Times New Roman"/>
          <w:lang w:eastAsia="en-US"/>
        </w:rPr>
        <w:t>Winanto</w:t>
      </w:r>
      <w:proofErr w:type="spellEnd"/>
      <w:r w:rsidRPr="008F3C89">
        <w:rPr>
          <w:rFonts w:ascii="Times New Roman" w:eastAsiaTheme="minorHAnsi" w:hAnsi="Times New Roman" w:cs="Times New Roman"/>
          <w:lang w:eastAsia="en-US"/>
        </w:rPr>
        <w:t xml:space="preserve">, T., </w:t>
      </w:r>
      <w:proofErr w:type="spellStart"/>
      <w:r w:rsidRPr="008F3C89">
        <w:rPr>
          <w:rFonts w:ascii="Times New Roman" w:eastAsiaTheme="minorHAnsi" w:hAnsi="Times New Roman" w:cs="Times New Roman"/>
          <w:lang w:eastAsia="en-US"/>
        </w:rPr>
        <w:t>Marnani</w:t>
      </w:r>
      <w:proofErr w:type="spellEnd"/>
      <w:r w:rsidRPr="008F3C89">
        <w:rPr>
          <w:rFonts w:ascii="Times New Roman" w:eastAsiaTheme="minorHAnsi" w:hAnsi="Times New Roman" w:cs="Times New Roman"/>
          <w:lang w:eastAsia="en-US"/>
        </w:rPr>
        <w:t xml:space="preserve">, S., </w:t>
      </w:r>
      <w:proofErr w:type="spellStart"/>
      <w:r w:rsidRPr="008F3C89">
        <w:rPr>
          <w:rFonts w:ascii="Times New Roman" w:eastAsiaTheme="minorHAnsi" w:hAnsi="Times New Roman" w:cs="Times New Roman"/>
          <w:lang w:eastAsia="en-US"/>
        </w:rPr>
        <w:t>Prayogo</w:t>
      </w:r>
      <w:proofErr w:type="spellEnd"/>
      <w:r w:rsidRPr="008F3C89">
        <w:rPr>
          <w:rFonts w:ascii="Times New Roman" w:eastAsiaTheme="minorHAnsi" w:hAnsi="Times New Roman" w:cs="Times New Roman"/>
          <w:lang w:eastAsia="en-US"/>
        </w:rPr>
        <w:t xml:space="preserve">, N. A., Harisam, T., &amp; </w:t>
      </w:r>
      <w:proofErr w:type="spellStart"/>
      <w:r w:rsidRPr="008F3C89">
        <w:rPr>
          <w:rFonts w:ascii="Times New Roman" w:eastAsiaTheme="minorHAnsi" w:hAnsi="Times New Roman" w:cs="Times New Roman"/>
          <w:lang w:eastAsia="en-US"/>
        </w:rPr>
        <w:t>Sudaryono</w:t>
      </w:r>
      <w:proofErr w:type="spellEnd"/>
      <w:r w:rsidRPr="008F3C89">
        <w:rPr>
          <w:rFonts w:ascii="Times New Roman" w:eastAsiaTheme="minorHAnsi" w:hAnsi="Times New Roman" w:cs="Times New Roman"/>
          <w:lang w:eastAsia="en-US"/>
        </w:rPr>
        <w:t xml:space="preserve">, A. (2019). A Dietary Microcapsule Based </w:t>
      </w:r>
      <w:proofErr w:type="gramStart"/>
      <w:r w:rsidRPr="008F3C89">
        <w:rPr>
          <w:rFonts w:ascii="Times New Roman" w:eastAsiaTheme="minorHAnsi" w:hAnsi="Times New Roman" w:cs="Times New Roman"/>
          <w:lang w:eastAsia="en-US"/>
        </w:rPr>
        <w:t>On</w:t>
      </w:r>
      <w:proofErr w:type="gramEnd"/>
      <w:r w:rsidRPr="008F3C89">
        <w:rPr>
          <w:rFonts w:ascii="Times New Roman" w:eastAsiaTheme="minorHAnsi" w:hAnsi="Times New Roman" w:cs="Times New Roman"/>
          <w:lang w:eastAsia="en-US"/>
        </w:rPr>
        <w:t xml:space="preserve"> Single Cell Protein (Spirulina Platensis) For Milk Fish, Chanos-Chanos, Larvae. </w:t>
      </w:r>
      <w:proofErr w:type="spellStart"/>
      <w:r w:rsidRPr="008F3C89">
        <w:rPr>
          <w:rFonts w:ascii="Times New Roman" w:eastAsiaTheme="minorHAnsi" w:hAnsi="Times New Roman" w:cs="Times New Roman"/>
          <w:lang w:eastAsia="en-US"/>
        </w:rPr>
        <w:t>Biotropia</w:t>
      </w:r>
      <w:proofErr w:type="spellEnd"/>
      <w:r w:rsidRPr="008F3C89">
        <w:rPr>
          <w:rFonts w:ascii="Times New Roman" w:eastAsiaTheme="minorHAnsi" w:hAnsi="Times New Roman" w:cs="Times New Roman"/>
          <w:lang w:eastAsia="en-US"/>
        </w:rPr>
        <w:t xml:space="preserve">, 26(3), 272109. </w:t>
      </w:r>
      <w:hyperlink r:id="rId24" w:history="1">
        <w:r w:rsidRPr="008F3C89">
          <w:rPr>
            <w:rStyle w:val="Hyperlink"/>
            <w:rFonts w:ascii="Times New Roman" w:eastAsiaTheme="minorHAnsi" w:hAnsi="Times New Roman" w:cs="Times New Roman"/>
            <w:lang w:eastAsia="en-US"/>
          </w:rPr>
          <w:t>https://doi.org/10.11598/btb.2019.26.3.1103</w:t>
        </w:r>
      </w:hyperlink>
      <w:r w:rsidRPr="008F3C89">
        <w:rPr>
          <w:rFonts w:ascii="Times New Roman" w:eastAsiaTheme="minorHAnsi" w:hAnsi="Times New Roman" w:cs="Times New Roman"/>
          <w:lang w:eastAsia="en-US"/>
        </w:rPr>
        <w:t xml:space="preserve"> </w:t>
      </w:r>
    </w:p>
    <w:p w14:paraId="1C7CE355"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Sun, D., Wang, C., Xiang, W., Xu, X., Wu, H., &amp; Zou, J. (2026). Replacing Fish Meal with Spirulina platensis powder During the Weaning Period of Zig-zag eel (</w:t>
      </w:r>
      <w:proofErr w:type="spellStart"/>
      <w:r w:rsidRPr="008F3C89">
        <w:rPr>
          <w:rFonts w:ascii="Times New Roman" w:eastAsiaTheme="minorHAnsi" w:hAnsi="Times New Roman" w:cs="Times New Roman"/>
          <w:lang w:eastAsia="en-US"/>
        </w:rPr>
        <w:t>Mastacembelus</w:t>
      </w:r>
      <w:proofErr w:type="spellEnd"/>
      <w:r w:rsidRPr="008F3C89">
        <w:rPr>
          <w:rFonts w:ascii="Times New Roman" w:eastAsiaTheme="minorHAnsi" w:hAnsi="Times New Roman" w:cs="Times New Roman"/>
          <w:lang w:eastAsia="en-US"/>
        </w:rPr>
        <w:t xml:space="preserve"> armatus): Effects on Growth, Survival Rate, Digestive Organ Responses, and Gut Microbiota Changes. Animal Feed Science and Technology, 116964. 10.1016/j.anifeedsci.2026.116641.  </w:t>
      </w:r>
    </w:p>
    <w:p w14:paraId="7E29F55D"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Youssef, I. M., Saleh, E. S., Tawfeek, S. S., Abdel-Fadeel, A. A., Abdel-Razik, A. R. H., &amp; Abdel-Daim, A. S. (2023). Effect of Spirulina platensis on growth, hematological, biochemical, and immunological parameters of Nile tilapia (Oreochromis niloticus). Tropical Animal Health and Production, 55(4), 275.DOI: 10.1007/s11250-023-03657-3</w:t>
      </w:r>
    </w:p>
    <w:p w14:paraId="2AB6E78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Zhang, F., Man, Y. B., Mo, W. Y., &amp; Wong, M. H. (2020). Application of Spirulina in aquaculture: a review on wastewater treatment and fish growth. Reviews in Aquaculture, 12(2), 582-599. </w:t>
      </w:r>
      <w:hyperlink r:id="rId25" w:history="1">
        <w:r w:rsidRPr="008F3C89">
          <w:rPr>
            <w:rFonts w:ascii="Times New Roman" w:eastAsiaTheme="minorHAnsi" w:hAnsi="Times New Roman" w:cs="Times New Roman"/>
            <w:lang w:eastAsia="en-US"/>
          </w:rPr>
          <w:t>https://doi.org/10.1111/raq.12341</w:t>
        </w:r>
      </w:hyperlink>
      <w:r w:rsidRPr="008F3C89">
        <w:rPr>
          <w:rFonts w:ascii="Times New Roman" w:eastAsiaTheme="minorHAnsi" w:hAnsi="Times New Roman" w:cs="Times New Roman"/>
          <w:lang w:eastAsia="en-US"/>
        </w:rPr>
        <w:t xml:space="preserve"> </w:t>
      </w:r>
    </w:p>
    <w:p w14:paraId="45DDBBF4" w14:textId="77777777" w:rsidR="00E603E2" w:rsidRPr="008611D8"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Zhang, W., Deng, Y., Yang, Z., Kong, Q., Liu, P., Liao, H., &amp; Tang, H. (2024). Effects of partial replacement of fishmeal with Spirulina platensis powder and addition of Spirulina platensis polysaccharide on growth, nutrition, antioxidant capacity and gut microbiota of Micropterus </w:t>
      </w:r>
      <w:proofErr w:type="spellStart"/>
      <w:r w:rsidRPr="008F3C89">
        <w:rPr>
          <w:rFonts w:ascii="Times New Roman" w:eastAsiaTheme="minorHAnsi" w:hAnsi="Times New Roman" w:cs="Times New Roman"/>
          <w:lang w:eastAsia="en-US"/>
        </w:rPr>
        <w:t>salmoides</w:t>
      </w:r>
      <w:proofErr w:type="spellEnd"/>
      <w:r w:rsidRPr="008F3C89">
        <w:rPr>
          <w:rFonts w:ascii="Times New Roman" w:eastAsiaTheme="minorHAnsi" w:hAnsi="Times New Roman" w:cs="Times New Roman"/>
          <w:lang w:eastAsia="en-US"/>
        </w:rPr>
        <w:t xml:space="preserve">. Aquaculture, 586, 740802. </w:t>
      </w:r>
      <w:hyperlink r:id="rId26" w:history="1">
        <w:r w:rsidRPr="008F3C89">
          <w:rPr>
            <w:rFonts w:ascii="Times New Roman" w:eastAsiaTheme="minorHAnsi" w:hAnsi="Times New Roman" w:cs="Times New Roman"/>
            <w:lang w:eastAsia="en-US"/>
          </w:rPr>
          <w:t>https://www.sciencedirect.com/science/article/pii/S0044848624002631</w:t>
        </w:r>
      </w:hyperlink>
      <w:r w:rsidRPr="008F3C89">
        <w:rPr>
          <w:rFonts w:ascii="Times New Roman" w:eastAsiaTheme="minorHAnsi" w:hAnsi="Times New Roman" w:cs="Times New Roman"/>
          <w:lang w:eastAsia="en-US"/>
        </w:rPr>
        <w:t>.</w:t>
      </w:r>
      <w:r w:rsidRPr="008611D8">
        <w:rPr>
          <w:rFonts w:ascii="Times New Roman" w:eastAsiaTheme="minorHAnsi" w:hAnsi="Times New Roman" w:cs="Times New Roman"/>
          <w:lang w:eastAsia="en-US"/>
        </w:rPr>
        <w:t xml:space="preserve"> </w:t>
      </w:r>
    </w:p>
    <w:sectPr w:rsidR="00E603E2" w:rsidRPr="008611D8">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1E75" w14:textId="77777777" w:rsidR="00E50726" w:rsidRDefault="00E50726" w:rsidP="003B3883">
      <w:pPr>
        <w:spacing w:after="0" w:line="240" w:lineRule="auto"/>
      </w:pPr>
      <w:r>
        <w:separator/>
      </w:r>
    </w:p>
  </w:endnote>
  <w:endnote w:type="continuationSeparator" w:id="0">
    <w:p w14:paraId="66555EB4" w14:textId="77777777" w:rsidR="00E50726" w:rsidRDefault="00E50726" w:rsidP="003B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D0E7" w14:textId="77777777" w:rsidR="005C05BF" w:rsidRDefault="005C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E756" w14:textId="77777777" w:rsidR="005C05BF" w:rsidRDefault="005C0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BC1A" w14:textId="77777777" w:rsidR="005C05BF" w:rsidRDefault="005C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497A0" w14:textId="77777777" w:rsidR="00E50726" w:rsidRDefault="00E50726" w:rsidP="003B3883">
      <w:pPr>
        <w:spacing w:after="0" w:line="240" w:lineRule="auto"/>
      </w:pPr>
      <w:r>
        <w:separator/>
      </w:r>
    </w:p>
  </w:footnote>
  <w:footnote w:type="continuationSeparator" w:id="0">
    <w:p w14:paraId="69D036F7" w14:textId="77777777" w:rsidR="00E50726" w:rsidRDefault="00E50726" w:rsidP="003B3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BC1" w14:textId="0B4695E2" w:rsidR="005C05BF" w:rsidRDefault="00000000">
    <w:pPr>
      <w:pStyle w:val="Header"/>
    </w:pPr>
    <w:r>
      <w:rPr>
        <w:noProof/>
      </w:rPr>
      <w:pict w14:anchorId="2DAAC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FB98" w14:textId="2DBFDCAB" w:rsidR="005C05BF" w:rsidRDefault="00000000">
    <w:pPr>
      <w:pStyle w:val="Header"/>
    </w:pPr>
    <w:r>
      <w:rPr>
        <w:noProof/>
      </w:rPr>
      <w:pict w14:anchorId="52C013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5C7A" w14:textId="6E0D5C91" w:rsidR="005C05BF" w:rsidRDefault="00000000">
    <w:pPr>
      <w:pStyle w:val="Header"/>
    </w:pPr>
    <w:r>
      <w:rPr>
        <w:noProof/>
      </w:rPr>
      <w:pict w14:anchorId="29C7B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495"/>
    <w:multiLevelType w:val="hybridMultilevel"/>
    <w:tmpl w:val="E70EA244"/>
    <w:lvl w:ilvl="0" w:tplc="2000000F">
      <w:start w:val="6"/>
      <w:numFmt w:val="decimal"/>
      <w:lvlText w:val="%1."/>
      <w:lvlJc w:val="left"/>
      <w:pPr>
        <w:ind w:left="720" w:hanging="360"/>
      </w:pPr>
      <w:rPr>
        <w:b w:val="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935AD6"/>
    <w:multiLevelType w:val="multilevel"/>
    <w:tmpl w:val="3EA6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9216D"/>
    <w:multiLevelType w:val="multilevel"/>
    <w:tmpl w:val="1A24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83F07"/>
    <w:multiLevelType w:val="multilevel"/>
    <w:tmpl w:val="650AB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A2C57"/>
    <w:multiLevelType w:val="multilevel"/>
    <w:tmpl w:val="A676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02AAA"/>
    <w:multiLevelType w:val="multilevel"/>
    <w:tmpl w:val="D1E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00A92"/>
    <w:multiLevelType w:val="multilevel"/>
    <w:tmpl w:val="7486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04354"/>
    <w:multiLevelType w:val="multilevel"/>
    <w:tmpl w:val="6A4A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E6BAC"/>
    <w:multiLevelType w:val="hybridMultilevel"/>
    <w:tmpl w:val="B0AC52BC"/>
    <w:lvl w:ilvl="0" w:tplc="403A7C3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5885175"/>
    <w:multiLevelType w:val="multilevel"/>
    <w:tmpl w:val="7E2A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F74B1"/>
    <w:multiLevelType w:val="multilevel"/>
    <w:tmpl w:val="0AD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20C36"/>
    <w:multiLevelType w:val="multilevel"/>
    <w:tmpl w:val="47C4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B32AB"/>
    <w:multiLevelType w:val="multilevel"/>
    <w:tmpl w:val="2374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55DF1"/>
    <w:multiLevelType w:val="multilevel"/>
    <w:tmpl w:val="5C1C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A49B5"/>
    <w:multiLevelType w:val="multilevel"/>
    <w:tmpl w:val="C116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154B6"/>
    <w:multiLevelType w:val="multilevel"/>
    <w:tmpl w:val="125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87439"/>
    <w:multiLevelType w:val="multilevel"/>
    <w:tmpl w:val="FBCA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1267EF"/>
    <w:multiLevelType w:val="hybridMultilevel"/>
    <w:tmpl w:val="58169BC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F9C237D"/>
    <w:multiLevelType w:val="hybridMultilevel"/>
    <w:tmpl w:val="4B3476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BCD5753"/>
    <w:multiLevelType w:val="multilevel"/>
    <w:tmpl w:val="BAA2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4850CE"/>
    <w:multiLevelType w:val="hybridMultilevel"/>
    <w:tmpl w:val="5F2A550C"/>
    <w:lvl w:ilvl="0" w:tplc="2000000F">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1" w15:restartNumberingAfterBreak="0">
    <w:nsid w:val="7FEA7679"/>
    <w:multiLevelType w:val="multilevel"/>
    <w:tmpl w:val="A27A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399720">
    <w:abstractNumId w:val="3"/>
  </w:num>
  <w:num w:numId="2" w16cid:durableId="1802454582">
    <w:abstractNumId w:val="11"/>
  </w:num>
  <w:num w:numId="3" w16cid:durableId="1852646806">
    <w:abstractNumId w:val="17"/>
  </w:num>
  <w:num w:numId="4" w16cid:durableId="2068188434">
    <w:abstractNumId w:val="8"/>
  </w:num>
  <w:num w:numId="5" w16cid:durableId="1755081025">
    <w:abstractNumId w:val="1"/>
  </w:num>
  <w:num w:numId="6" w16cid:durableId="926696912">
    <w:abstractNumId w:val="6"/>
  </w:num>
  <w:num w:numId="7" w16cid:durableId="6450994">
    <w:abstractNumId w:val="15"/>
  </w:num>
  <w:num w:numId="8" w16cid:durableId="448739176">
    <w:abstractNumId w:val="4"/>
  </w:num>
  <w:num w:numId="9" w16cid:durableId="1623000541">
    <w:abstractNumId w:val="14"/>
  </w:num>
  <w:num w:numId="10" w16cid:durableId="867068549">
    <w:abstractNumId w:val="7"/>
  </w:num>
  <w:num w:numId="11" w16cid:durableId="107285895">
    <w:abstractNumId w:val="12"/>
  </w:num>
  <w:num w:numId="12" w16cid:durableId="37051189">
    <w:abstractNumId w:val="5"/>
  </w:num>
  <w:num w:numId="13" w16cid:durableId="524368721">
    <w:abstractNumId w:val="13"/>
  </w:num>
  <w:num w:numId="14" w16cid:durableId="90471717">
    <w:abstractNumId w:val="16"/>
  </w:num>
  <w:num w:numId="15" w16cid:durableId="350646436">
    <w:abstractNumId w:val="10"/>
  </w:num>
  <w:num w:numId="16" w16cid:durableId="1513954851">
    <w:abstractNumId w:val="2"/>
  </w:num>
  <w:num w:numId="17" w16cid:durableId="1990287297">
    <w:abstractNumId w:val="19"/>
  </w:num>
  <w:num w:numId="18" w16cid:durableId="476066845">
    <w:abstractNumId w:val="9"/>
  </w:num>
  <w:num w:numId="19" w16cid:durableId="1320424357">
    <w:abstractNumId w:val="21"/>
  </w:num>
  <w:num w:numId="20" w16cid:durableId="16202204">
    <w:abstractNumId w:val="20"/>
  </w:num>
  <w:num w:numId="21" w16cid:durableId="327371170">
    <w:abstractNumId w:val="18"/>
  </w:num>
  <w:num w:numId="22" w16cid:durableId="111158537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D2"/>
    <w:rsid w:val="000002E6"/>
    <w:rsid w:val="00002635"/>
    <w:rsid w:val="00003268"/>
    <w:rsid w:val="00007D17"/>
    <w:rsid w:val="000129CD"/>
    <w:rsid w:val="000155A4"/>
    <w:rsid w:val="00015D49"/>
    <w:rsid w:val="000205BD"/>
    <w:rsid w:val="00021BFE"/>
    <w:rsid w:val="0002240A"/>
    <w:rsid w:val="00027EB1"/>
    <w:rsid w:val="00033CB2"/>
    <w:rsid w:val="000355AA"/>
    <w:rsid w:val="000367BA"/>
    <w:rsid w:val="00041EE0"/>
    <w:rsid w:val="000428F6"/>
    <w:rsid w:val="00043EBE"/>
    <w:rsid w:val="000442F3"/>
    <w:rsid w:val="00052131"/>
    <w:rsid w:val="00052564"/>
    <w:rsid w:val="00052D11"/>
    <w:rsid w:val="00055C76"/>
    <w:rsid w:val="000567CC"/>
    <w:rsid w:val="00056C8E"/>
    <w:rsid w:val="00057FEF"/>
    <w:rsid w:val="00060C17"/>
    <w:rsid w:val="00063E6C"/>
    <w:rsid w:val="00063EC3"/>
    <w:rsid w:val="000658F2"/>
    <w:rsid w:val="00065B4C"/>
    <w:rsid w:val="0007230B"/>
    <w:rsid w:val="00072F68"/>
    <w:rsid w:val="00074377"/>
    <w:rsid w:val="0007725C"/>
    <w:rsid w:val="00077761"/>
    <w:rsid w:val="00082BB2"/>
    <w:rsid w:val="000841D2"/>
    <w:rsid w:val="00084ED4"/>
    <w:rsid w:val="00090EFF"/>
    <w:rsid w:val="0009151E"/>
    <w:rsid w:val="00092106"/>
    <w:rsid w:val="0009354D"/>
    <w:rsid w:val="000940DD"/>
    <w:rsid w:val="00094DA0"/>
    <w:rsid w:val="0009578D"/>
    <w:rsid w:val="00096D77"/>
    <w:rsid w:val="000A01BE"/>
    <w:rsid w:val="000A2FF5"/>
    <w:rsid w:val="000B7763"/>
    <w:rsid w:val="000C3D54"/>
    <w:rsid w:val="000C571F"/>
    <w:rsid w:val="000C610D"/>
    <w:rsid w:val="000C6403"/>
    <w:rsid w:val="000C77CF"/>
    <w:rsid w:val="000D093D"/>
    <w:rsid w:val="000E0EBC"/>
    <w:rsid w:val="000E78AB"/>
    <w:rsid w:val="000F0919"/>
    <w:rsid w:val="000F1182"/>
    <w:rsid w:val="000F1ED7"/>
    <w:rsid w:val="000F70C3"/>
    <w:rsid w:val="000F7C58"/>
    <w:rsid w:val="001035A6"/>
    <w:rsid w:val="00114CFA"/>
    <w:rsid w:val="00114F37"/>
    <w:rsid w:val="00115CE6"/>
    <w:rsid w:val="00117FA7"/>
    <w:rsid w:val="00121B51"/>
    <w:rsid w:val="00125FB3"/>
    <w:rsid w:val="00133DF9"/>
    <w:rsid w:val="00134F77"/>
    <w:rsid w:val="00135AE4"/>
    <w:rsid w:val="0014096B"/>
    <w:rsid w:val="0014214F"/>
    <w:rsid w:val="00142BDA"/>
    <w:rsid w:val="00144E82"/>
    <w:rsid w:val="00145690"/>
    <w:rsid w:val="00146B31"/>
    <w:rsid w:val="00151116"/>
    <w:rsid w:val="001535C5"/>
    <w:rsid w:val="001566B3"/>
    <w:rsid w:val="00162147"/>
    <w:rsid w:val="00163B94"/>
    <w:rsid w:val="001676F6"/>
    <w:rsid w:val="00170BA3"/>
    <w:rsid w:val="00170BB0"/>
    <w:rsid w:val="0017446B"/>
    <w:rsid w:val="0017656F"/>
    <w:rsid w:val="0017744D"/>
    <w:rsid w:val="0019094A"/>
    <w:rsid w:val="00192965"/>
    <w:rsid w:val="0019368A"/>
    <w:rsid w:val="001943BC"/>
    <w:rsid w:val="001A07FE"/>
    <w:rsid w:val="001A44E7"/>
    <w:rsid w:val="001A53A0"/>
    <w:rsid w:val="001A7B88"/>
    <w:rsid w:val="001B0C5E"/>
    <w:rsid w:val="001B7CF1"/>
    <w:rsid w:val="001C02E9"/>
    <w:rsid w:val="001C56DD"/>
    <w:rsid w:val="001C7B33"/>
    <w:rsid w:val="001D0DE3"/>
    <w:rsid w:val="001D10A9"/>
    <w:rsid w:val="001D2748"/>
    <w:rsid w:val="001D4B4C"/>
    <w:rsid w:val="001D68E6"/>
    <w:rsid w:val="001D7CF9"/>
    <w:rsid w:val="001E5D32"/>
    <w:rsid w:val="001F345A"/>
    <w:rsid w:val="001F78F9"/>
    <w:rsid w:val="00200C81"/>
    <w:rsid w:val="002016F3"/>
    <w:rsid w:val="00204C3F"/>
    <w:rsid w:val="002058ED"/>
    <w:rsid w:val="00207284"/>
    <w:rsid w:val="002072F6"/>
    <w:rsid w:val="0020777B"/>
    <w:rsid w:val="00212BDF"/>
    <w:rsid w:val="00216961"/>
    <w:rsid w:val="002206F5"/>
    <w:rsid w:val="002220F6"/>
    <w:rsid w:val="002237E9"/>
    <w:rsid w:val="00223958"/>
    <w:rsid w:val="00224A0C"/>
    <w:rsid w:val="00225881"/>
    <w:rsid w:val="00225945"/>
    <w:rsid w:val="002270E0"/>
    <w:rsid w:val="00227D39"/>
    <w:rsid w:val="00233D22"/>
    <w:rsid w:val="0023566E"/>
    <w:rsid w:val="00237FA9"/>
    <w:rsid w:val="00240CAB"/>
    <w:rsid w:val="002416F0"/>
    <w:rsid w:val="00243FA5"/>
    <w:rsid w:val="002446A1"/>
    <w:rsid w:val="00246343"/>
    <w:rsid w:val="00251231"/>
    <w:rsid w:val="00253C34"/>
    <w:rsid w:val="002554F3"/>
    <w:rsid w:val="00255CF3"/>
    <w:rsid w:val="00257555"/>
    <w:rsid w:val="00262E21"/>
    <w:rsid w:val="0026417B"/>
    <w:rsid w:val="00264A69"/>
    <w:rsid w:val="00264E74"/>
    <w:rsid w:val="002725E6"/>
    <w:rsid w:val="00275011"/>
    <w:rsid w:val="002771D9"/>
    <w:rsid w:val="00277523"/>
    <w:rsid w:val="00290CB8"/>
    <w:rsid w:val="0029131E"/>
    <w:rsid w:val="00292054"/>
    <w:rsid w:val="00293619"/>
    <w:rsid w:val="0029452E"/>
    <w:rsid w:val="002A0BB4"/>
    <w:rsid w:val="002A20F4"/>
    <w:rsid w:val="002A25D3"/>
    <w:rsid w:val="002A2868"/>
    <w:rsid w:val="002A7EA9"/>
    <w:rsid w:val="002B30FB"/>
    <w:rsid w:val="002B46D2"/>
    <w:rsid w:val="002B5924"/>
    <w:rsid w:val="002B6417"/>
    <w:rsid w:val="002C0792"/>
    <w:rsid w:val="002C07CD"/>
    <w:rsid w:val="002C154B"/>
    <w:rsid w:val="002C1597"/>
    <w:rsid w:val="002C58D4"/>
    <w:rsid w:val="002D04C8"/>
    <w:rsid w:val="002D40F2"/>
    <w:rsid w:val="002E3D23"/>
    <w:rsid w:val="002E4B51"/>
    <w:rsid w:val="002E4D40"/>
    <w:rsid w:val="002E7446"/>
    <w:rsid w:val="002E7AD4"/>
    <w:rsid w:val="002F0307"/>
    <w:rsid w:val="002F04BF"/>
    <w:rsid w:val="002F1217"/>
    <w:rsid w:val="002F35E6"/>
    <w:rsid w:val="002F4262"/>
    <w:rsid w:val="002F4D9B"/>
    <w:rsid w:val="002F5196"/>
    <w:rsid w:val="002F7523"/>
    <w:rsid w:val="00301820"/>
    <w:rsid w:val="0030186C"/>
    <w:rsid w:val="00305943"/>
    <w:rsid w:val="00321DFE"/>
    <w:rsid w:val="00322951"/>
    <w:rsid w:val="00326567"/>
    <w:rsid w:val="003351A5"/>
    <w:rsid w:val="00340CF6"/>
    <w:rsid w:val="00344722"/>
    <w:rsid w:val="00344FDA"/>
    <w:rsid w:val="00353608"/>
    <w:rsid w:val="00361829"/>
    <w:rsid w:val="00363165"/>
    <w:rsid w:val="00365706"/>
    <w:rsid w:val="00366DE0"/>
    <w:rsid w:val="00367815"/>
    <w:rsid w:val="003702E2"/>
    <w:rsid w:val="00370374"/>
    <w:rsid w:val="00370493"/>
    <w:rsid w:val="00371AA3"/>
    <w:rsid w:val="00371F8A"/>
    <w:rsid w:val="0037231B"/>
    <w:rsid w:val="0037605B"/>
    <w:rsid w:val="00383878"/>
    <w:rsid w:val="00387D86"/>
    <w:rsid w:val="003913D1"/>
    <w:rsid w:val="00393285"/>
    <w:rsid w:val="003978C3"/>
    <w:rsid w:val="00397B32"/>
    <w:rsid w:val="003A01ED"/>
    <w:rsid w:val="003A590D"/>
    <w:rsid w:val="003B02F8"/>
    <w:rsid w:val="003B125E"/>
    <w:rsid w:val="003B13F0"/>
    <w:rsid w:val="003B1590"/>
    <w:rsid w:val="003B30E1"/>
    <w:rsid w:val="003B3883"/>
    <w:rsid w:val="003C6A6C"/>
    <w:rsid w:val="003D32A3"/>
    <w:rsid w:val="003D4376"/>
    <w:rsid w:val="003D658C"/>
    <w:rsid w:val="003E0586"/>
    <w:rsid w:val="003E4701"/>
    <w:rsid w:val="003E4E76"/>
    <w:rsid w:val="003E580D"/>
    <w:rsid w:val="003F0128"/>
    <w:rsid w:val="003F0AE5"/>
    <w:rsid w:val="003F1F3B"/>
    <w:rsid w:val="003F5A86"/>
    <w:rsid w:val="00405651"/>
    <w:rsid w:val="004069FB"/>
    <w:rsid w:val="00414B61"/>
    <w:rsid w:val="00417393"/>
    <w:rsid w:val="00420A28"/>
    <w:rsid w:val="00421F83"/>
    <w:rsid w:val="004224FD"/>
    <w:rsid w:val="00423A3D"/>
    <w:rsid w:val="00425D78"/>
    <w:rsid w:val="00430E22"/>
    <w:rsid w:val="00445F6F"/>
    <w:rsid w:val="00453633"/>
    <w:rsid w:val="00457363"/>
    <w:rsid w:val="0046094F"/>
    <w:rsid w:val="00460A24"/>
    <w:rsid w:val="0046460C"/>
    <w:rsid w:val="0047260C"/>
    <w:rsid w:val="00472D86"/>
    <w:rsid w:val="004763F8"/>
    <w:rsid w:val="00481005"/>
    <w:rsid w:val="004843A4"/>
    <w:rsid w:val="0049046F"/>
    <w:rsid w:val="00490E08"/>
    <w:rsid w:val="00490ED1"/>
    <w:rsid w:val="0049266C"/>
    <w:rsid w:val="00494AAE"/>
    <w:rsid w:val="00496800"/>
    <w:rsid w:val="00497E20"/>
    <w:rsid w:val="004A0270"/>
    <w:rsid w:val="004A286C"/>
    <w:rsid w:val="004A2AAC"/>
    <w:rsid w:val="004A6684"/>
    <w:rsid w:val="004A7947"/>
    <w:rsid w:val="004B2DB3"/>
    <w:rsid w:val="004B420B"/>
    <w:rsid w:val="004B4B37"/>
    <w:rsid w:val="004C2641"/>
    <w:rsid w:val="004C2B54"/>
    <w:rsid w:val="004C45AF"/>
    <w:rsid w:val="004C49F7"/>
    <w:rsid w:val="004C53E5"/>
    <w:rsid w:val="004D3478"/>
    <w:rsid w:val="004D36C2"/>
    <w:rsid w:val="004E4D5C"/>
    <w:rsid w:val="004E6BF6"/>
    <w:rsid w:val="00500010"/>
    <w:rsid w:val="00500912"/>
    <w:rsid w:val="00507145"/>
    <w:rsid w:val="00510778"/>
    <w:rsid w:val="005114C8"/>
    <w:rsid w:val="00514B7F"/>
    <w:rsid w:val="00515B27"/>
    <w:rsid w:val="00516CF3"/>
    <w:rsid w:val="00516DE3"/>
    <w:rsid w:val="005229EB"/>
    <w:rsid w:val="00526618"/>
    <w:rsid w:val="0053016A"/>
    <w:rsid w:val="005474F5"/>
    <w:rsid w:val="005531E3"/>
    <w:rsid w:val="005579AD"/>
    <w:rsid w:val="00560C36"/>
    <w:rsid w:val="00560C9F"/>
    <w:rsid w:val="00561AD4"/>
    <w:rsid w:val="00561C43"/>
    <w:rsid w:val="005729AE"/>
    <w:rsid w:val="00572B0C"/>
    <w:rsid w:val="00573086"/>
    <w:rsid w:val="005745EA"/>
    <w:rsid w:val="00575715"/>
    <w:rsid w:val="00580396"/>
    <w:rsid w:val="00581BDB"/>
    <w:rsid w:val="00583F76"/>
    <w:rsid w:val="0058514F"/>
    <w:rsid w:val="00590B9A"/>
    <w:rsid w:val="00592B47"/>
    <w:rsid w:val="0059473F"/>
    <w:rsid w:val="00595A70"/>
    <w:rsid w:val="005A1FA0"/>
    <w:rsid w:val="005A25BF"/>
    <w:rsid w:val="005A7FAA"/>
    <w:rsid w:val="005B0579"/>
    <w:rsid w:val="005B1E6B"/>
    <w:rsid w:val="005B41B5"/>
    <w:rsid w:val="005B435C"/>
    <w:rsid w:val="005B6EB9"/>
    <w:rsid w:val="005B7483"/>
    <w:rsid w:val="005C052F"/>
    <w:rsid w:val="005C05BF"/>
    <w:rsid w:val="005C1D37"/>
    <w:rsid w:val="005C3DD7"/>
    <w:rsid w:val="005D2683"/>
    <w:rsid w:val="005D4F75"/>
    <w:rsid w:val="005D5A62"/>
    <w:rsid w:val="005D6AE8"/>
    <w:rsid w:val="005D6B7D"/>
    <w:rsid w:val="005E04B3"/>
    <w:rsid w:val="005E112B"/>
    <w:rsid w:val="005E28B8"/>
    <w:rsid w:val="005E4272"/>
    <w:rsid w:val="005E5D46"/>
    <w:rsid w:val="005F19D9"/>
    <w:rsid w:val="005F1CF7"/>
    <w:rsid w:val="005F2D47"/>
    <w:rsid w:val="005F7DEE"/>
    <w:rsid w:val="00605D0F"/>
    <w:rsid w:val="0060658C"/>
    <w:rsid w:val="00607785"/>
    <w:rsid w:val="00607BFC"/>
    <w:rsid w:val="0061413A"/>
    <w:rsid w:val="00617F9C"/>
    <w:rsid w:val="006221B9"/>
    <w:rsid w:val="00630AF4"/>
    <w:rsid w:val="0063226F"/>
    <w:rsid w:val="00633235"/>
    <w:rsid w:val="00633AA5"/>
    <w:rsid w:val="00644846"/>
    <w:rsid w:val="00644A82"/>
    <w:rsid w:val="00652493"/>
    <w:rsid w:val="00663878"/>
    <w:rsid w:val="00667088"/>
    <w:rsid w:val="00667281"/>
    <w:rsid w:val="00671339"/>
    <w:rsid w:val="00674E9C"/>
    <w:rsid w:val="006776E9"/>
    <w:rsid w:val="00680C46"/>
    <w:rsid w:val="00680EC9"/>
    <w:rsid w:val="00681005"/>
    <w:rsid w:val="00681659"/>
    <w:rsid w:val="00682738"/>
    <w:rsid w:val="006837B2"/>
    <w:rsid w:val="00683A79"/>
    <w:rsid w:val="00684C9E"/>
    <w:rsid w:val="0068517C"/>
    <w:rsid w:val="0068610B"/>
    <w:rsid w:val="006873D3"/>
    <w:rsid w:val="006929E2"/>
    <w:rsid w:val="00692ABE"/>
    <w:rsid w:val="00692C32"/>
    <w:rsid w:val="00694BC5"/>
    <w:rsid w:val="00694C47"/>
    <w:rsid w:val="00694DF9"/>
    <w:rsid w:val="00695D4F"/>
    <w:rsid w:val="006968F3"/>
    <w:rsid w:val="006A3580"/>
    <w:rsid w:val="006A3ED0"/>
    <w:rsid w:val="006C0791"/>
    <w:rsid w:val="006C226A"/>
    <w:rsid w:val="006C2437"/>
    <w:rsid w:val="006C3753"/>
    <w:rsid w:val="006C7DFC"/>
    <w:rsid w:val="006D38CD"/>
    <w:rsid w:val="006D6B08"/>
    <w:rsid w:val="006D73AC"/>
    <w:rsid w:val="006E4906"/>
    <w:rsid w:val="006E49A6"/>
    <w:rsid w:val="006E4EAD"/>
    <w:rsid w:val="006E4FA2"/>
    <w:rsid w:val="006E50BA"/>
    <w:rsid w:val="006E6F6B"/>
    <w:rsid w:val="006E7788"/>
    <w:rsid w:val="006F2CF9"/>
    <w:rsid w:val="006F3FEE"/>
    <w:rsid w:val="006F6445"/>
    <w:rsid w:val="006F75E1"/>
    <w:rsid w:val="007001E7"/>
    <w:rsid w:val="00701C48"/>
    <w:rsid w:val="00701D37"/>
    <w:rsid w:val="00701E0D"/>
    <w:rsid w:val="00703A48"/>
    <w:rsid w:val="00704279"/>
    <w:rsid w:val="00707758"/>
    <w:rsid w:val="00712E82"/>
    <w:rsid w:val="0071309F"/>
    <w:rsid w:val="00714AF4"/>
    <w:rsid w:val="00716551"/>
    <w:rsid w:val="007207BD"/>
    <w:rsid w:val="00723B91"/>
    <w:rsid w:val="00730739"/>
    <w:rsid w:val="00733FB0"/>
    <w:rsid w:val="00740BD3"/>
    <w:rsid w:val="00751E77"/>
    <w:rsid w:val="00752075"/>
    <w:rsid w:val="00752AAE"/>
    <w:rsid w:val="00754FD9"/>
    <w:rsid w:val="00760B2B"/>
    <w:rsid w:val="00763107"/>
    <w:rsid w:val="00763C2D"/>
    <w:rsid w:val="0076593C"/>
    <w:rsid w:val="007742E3"/>
    <w:rsid w:val="00775A8C"/>
    <w:rsid w:val="00775DB2"/>
    <w:rsid w:val="00784A4D"/>
    <w:rsid w:val="0078523A"/>
    <w:rsid w:val="007855C2"/>
    <w:rsid w:val="00785953"/>
    <w:rsid w:val="007863E9"/>
    <w:rsid w:val="007923AA"/>
    <w:rsid w:val="00795674"/>
    <w:rsid w:val="00795E84"/>
    <w:rsid w:val="007B1B06"/>
    <w:rsid w:val="007B718D"/>
    <w:rsid w:val="007B74B4"/>
    <w:rsid w:val="007C08F2"/>
    <w:rsid w:val="007C28C9"/>
    <w:rsid w:val="007C6815"/>
    <w:rsid w:val="007D103C"/>
    <w:rsid w:val="007D32C0"/>
    <w:rsid w:val="007D3E81"/>
    <w:rsid w:val="007D5F38"/>
    <w:rsid w:val="007E5F3C"/>
    <w:rsid w:val="007E66CC"/>
    <w:rsid w:val="007F199C"/>
    <w:rsid w:val="007F22C4"/>
    <w:rsid w:val="007F38A8"/>
    <w:rsid w:val="007F3B44"/>
    <w:rsid w:val="007F7EAA"/>
    <w:rsid w:val="00803CA9"/>
    <w:rsid w:val="00804440"/>
    <w:rsid w:val="00812313"/>
    <w:rsid w:val="00812E26"/>
    <w:rsid w:val="008130A2"/>
    <w:rsid w:val="00813860"/>
    <w:rsid w:val="00814F11"/>
    <w:rsid w:val="008170E5"/>
    <w:rsid w:val="00817398"/>
    <w:rsid w:val="00817E14"/>
    <w:rsid w:val="0082139C"/>
    <w:rsid w:val="00821CAC"/>
    <w:rsid w:val="00825F0C"/>
    <w:rsid w:val="008350CD"/>
    <w:rsid w:val="0083787F"/>
    <w:rsid w:val="008439FF"/>
    <w:rsid w:val="00845EAB"/>
    <w:rsid w:val="008461BF"/>
    <w:rsid w:val="00850674"/>
    <w:rsid w:val="00852718"/>
    <w:rsid w:val="00853223"/>
    <w:rsid w:val="00855662"/>
    <w:rsid w:val="00855B84"/>
    <w:rsid w:val="00856F57"/>
    <w:rsid w:val="008611D8"/>
    <w:rsid w:val="00863BB0"/>
    <w:rsid w:val="0086423C"/>
    <w:rsid w:val="008645CE"/>
    <w:rsid w:val="008663FA"/>
    <w:rsid w:val="0086725F"/>
    <w:rsid w:val="00867F47"/>
    <w:rsid w:val="00872418"/>
    <w:rsid w:val="00872593"/>
    <w:rsid w:val="00874C7A"/>
    <w:rsid w:val="00875AD2"/>
    <w:rsid w:val="00877738"/>
    <w:rsid w:val="00882E77"/>
    <w:rsid w:val="008862B0"/>
    <w:rsid w:val="00886519"/>
    <w:rsid w:val="008869AC"/>
    <w:rsid w:val="00890F4B"/>
    <w:rsid w:val="008944E6"/>
    <w:rsid w:val="0089568D"/>
    <w:rsid w:val="00896DC9"/>
    <w:rsid w:val="008A25A8"/>
    <w:rsid w:val="008A2636"/>
    <w:rsid w:val="008A3DFF"/>
    <w:rsid w:val="008A4164"/>
    <w:rsid w:val="008B37DA"/>
    <w:rsid w:val="008B3C12"/>
    <w:rsid w:val="008B5870"/>
    <w:rsid w:val="008C21B8"/>
    <w:rsid w:val="008C3D8C"/>
    <w:rsid w:val="008C5488"/>
    <w:rsid w:val="008C668F"/>
    <w:rsid w:val="008D1602"/>
    <w:rsid w:val="008D19B8"/>
    <w:rsid w:val="008D290B"/>
    <w:rsid w:val="008D75AC"/>
    <w:rsid w:val="008E07C6"/>
    <w:rsid w:val="008E1860"/>
    <w:rsid w:val="008E36DC"/>
    <w:rsid w:val="008E37B9"/>
    <w:rsid w:val="008E3938"/>
    <w:rsid w:val="008E47C9"/>
    <w:rsid w:val="008E5F64"/>
    <w:rsid w:val="008E6407"/>
    <w:rsid w:val="008E753A"/>
    <w:rsid w:val="008E7978"/>
    <w:rsid w:val="008E7C3A"/>
    <w:rsid w:val="008F2D65"/>
    <w:rsid w:val="008F3C89"/>
    <w:rsid w:val="008F4152"/>
    <w:rsid w:val="008F4850"/>
    <w:rsid w:val="008F494A"/>
    <w:rsid w:val="008F4EF6"/>
    <w:rsid w:val="008F5669"/>
    <w:rsid w:val="008F5A19"/>
    <w:rsid w:val="008F6E55"/>
    <w:rsid w:val="00903B1A"/>
    <w:rsid w:val="009052AB"/>
    <w:rsid w:val="009144D6"/>
    <w:rsid w:val="009165DB"/>
    <w:rsid w:val="00916E91"/>
    <w:rsid w:val="00920513"/>
    <w:rsid w:val="00920C48"/>
    <w:rsid w:val="00920F50"/>
    <w:rsid w:val="009303CD"/>
    <w:rsid w:val="009333FC"/>
    <w:rsid w:val="00936064"/>
    <w:rsid w:val="00943489"/>
    <w:rsid w:val="0094382E"/>
    <w:rsid w:val="009438BE"/>
    <w:rsid w:val="009463E0"/>
    <w:rsid w:val="0095002E"/>
    <w:rsid w:val="0095068A"/>
    <w:rsid w:val="0095070B"/>
    <w:rsid w:val="00953F17"/>
    <w:rsid w:val="00954102"/>
    <w:rsid w:val="00955403"/>
    <w:rsid w:val="00962ABB"/>
    <w:rsid w:val="0096390E"/>
    <w:rsid w:val="0096608C"/>
    <w:rsid w:val="00966E4D"/>
    <w:rsid w:val="009706B3"/>
    <w:rsid w:val="009742B6"/>
    <w:rsid w:val="00981CC2"/>
    <w:rsid w:val="00987411"/>
    <w:rsid w:val="00990D27"/>
    <w:rsid w:val="009945A3"/>
    <w:rsid w:val="00994B7A"/>
    <w:rsid w:val="00994F93"/>
    <w:rsid w:val="0099772B"/>
    <w:rsid w:val="00997782"/>
    <w:rsid w:val="009B1504"/>
    <w:rsid w:val="009B3254"/>
    <w:rsid w:val="009B3F71"/>
    <w:rsid w:val="009C33D5"/>
    <w:rsid w:val="009C5453"/>
    <w:rsid w:val="009D0E3A"/>
    <w:rsid w:val="009D46DD"/>
    <w:rsid w:val="009D7664"/>
    <w:rsid w:val="009E2929"/>
    <w:rsid w:val="009E2AA1"/>
    <w:rsid w:val="009E577B"/>
    <w:rsid w:val="009E5FF8"/>
    <w:rsid w:val="009F1433"/>
    <w:rsid w:val="009F1D53"/>
    <w:rsid w:val="009F2EA8"/>
    <w:rsid w:val="009F4FEA"/>
    <w:rsid w:val="009F6EC5"/>
    <w:rsid w:val="009F7777"/>
    <w:rsid w:val="00A0027A"/>
    <w:rsid w:val="00A0169A"/>
    <w:rsid w:val="00A01C4F"/>
    <w:rsid w:val="00A01F48"/>
    <w:rsid w:val="00A10B25"/>
    <w:rsid w:val="00A1551D"/>
    <w:rsid w:val="00A21318"/>
    <w:rsid w:val="00A352C1"/>
    <w:rsid w:val="00A35B1D"/>
    <w:rsid w:val="00A402D1"/>
    <w:rsid w:val="00A431DF"/>
    <w:rsid w:val="00A43E7F"/>
    <w:rsid w:val="00A46225"/>
    <w:rsid w:val="00A53B5D"/>
    <w:rsid w:val="00A56CB0"/>
    <w:rsid w:val="00A5724D"/>
    <w:rsid w:val="00A573E8"/>
    <w:rsid w:val="00A574CC"/>
    <w:rsid w:val="00A6015E"/>
    <w:rsid w:val="00A61896"/>
    <w:rsid w:val="00A621E7"/>
    <w:rsid w:val="00A62263"/>
    <w:rsid w:val="00A63EC7"/>
    <w:rsid w:val="00A65308"/>
    <w:rsid w:val="00A65903"/>
    <w:rsid w:val="00A668CD"/>
    <w:rsid w:val="00A66EE9"/>
    <w:rsid w:val="00A67451"/>
    <w:rsid w:val="00A75AD2"/>
    <w:rsid w:val="00A810FB"/>
    <w:rsid w:val="00A811FF"/>
    <w:rsid w:val="00A831A3"/>
    <w:rsid w:val="00A93CA5"/>
    <w:rsid w:val="00A95F80"/>
    <w:rsid w:val="00AA2727"/>
    <w:rsid w:val="00AA6CD6"/>
    <w:rsid w:val="00AB1F2E"/>
    <w:rsid w:val="00AB493E"/>
    <w:rsid w:val="00AB7658"/>
    <w:rsid w:val="00AB76EC"/>
    <w:rsid w:val="00AC02A4"/>
    <w:rsid w:val="00AC1336"/>
    <w:rsid w:val="00AC1AA4"/>
    <w:rsid w:val="00AC2B4A"/>
    <w:rsid w:val="00AC2DB7"/>
    <w:rsid w:val="00AC3F8C"/>
    <w:rsid w:val="00AC4661"/>
    <w:rsid w:val="00AC5C0C"/>
    <w:rsid w:val="00AC7763"/>
    <w:rsid w:val="00AD0197"/>
    <w:rsid w:val="00AD0277"/>
    <w:rsid w:val="00AD0C82"/>
    <w:rsid w:val="00AD3ADF"/>
    <w:rsid w:val="00AD3E28"/>
    <w:rsid w:val="00AD56EB"/>
    <w:rsid w:val="00AD5B5A"/>
    <w:rsid w:val="00AD7165"/>
    <w:rsid w:val="00AE4D41"/>
    <w:rsid w:val="00AE54AF"/>
    <w:rsid w:val="00AF062D"/>
    <w:rsid w:val="00AF1115"/>
    <w:rsid w:val="00AF7F12"/>
    <w:rsid w:val="00AF7F47"/>
    <w:rsid w:val="00B07AA2"/>
    <w:rsid w:val="00B1640F"/>
    <w:rsid w:val="00B215D2"/>
    <w:rsid w:val="00B2197A"/>
    <w:rsid w:val="00B225CD"/>
    <w:rsid w:val="00B2284F"/>
    <w:rsid w:val="00B22D8E"/>
    <w:rsid w:val="00B331BB"/>
    <w:rsid w:val="00B378F9"/>
    <w:rsid w:val="00B40475"/>
    <w:rsid w:val="00B438FF"/>
    <w:rsid w:val="00B442F1"/>
    <w:rsid w:val="00B45A47"/>
    <w:rsid w:val="00B50709"/>
    <w:rsid w:val="00B5107C"/>
    <w:rsid w:val="00B5702E"/>
    <w:rsid w:val="00B570FB"/>
    <w:rsid w:val="00B60A9C"/>
    <w:rsid w:val="00B65B91"/>
    <w:rsid w:val="00B73D5F"/>
    <w:rsid w:val="00B77A61"/>
    <w:rsid w:val="00B77B67"/>
    <w:rsid w:val="00B82A7E"/>
    <w:rsid w:val="00B8566F"/>
    <w:rsid w:val="00B93E14"/>
    <w:rsid w:val="00B94CDF"/>
    <w:rsid w:val="00B959D0"/>
    <w:rsid w:val="00B9649C"/>
    <w:rsid w:val="00B97B18"/>
    <w:rsid w:val="00BA4370"/>
    <w:rsid w:val="00BA46BA"/>
    <w:rsid w:val="00BA70C6"/>
    <w:rsid w:val="00BA7937"/>
    <w:rsid w:val="00BB2C19"/>
    <w:rsid w:val="00BB678B"/>
    <w:rsid w:val="00BC1BC1"/>
    <w:rsid w:val="00BC2464"/>
    <w:rsid w:val="00BD2E3E"/>
    <w:rsid w:val="00BD390D"/>
    <w:rsid w:val="00BD607C"/>
    <w:rsid w:val="00BD7EC7"/>
    <w:rsid w:val="00BD7F1F"/>
    <w:rsid w:val="00BE162F"/>
    <w:rsid w:val="00BE3682"/>
    <w:rsid w:val="00BE40ED"/>
    <w:rsid w:val="00BE5656"/>
    <w:rsid w:val="00BE68D6"/>
    <w:rsid w:val="00BE7EFA"/>
    <w:rsid w:val="00BF0851"/>
    <w:rsid w:val="00BF0932"/>
    <w:rsid w:val="00BF0F27"/>
    <w:rsid w:val="00BF4951"/>
    <w:rsid w:val="00BF53E1"/>
    <w:rsid w:val="00BF6F29"/>
    <w:rsid w:val="00C01173"/>
    <w:rsid w:val="00C036E2"/>
    <w:rsid w:val="00C03B5D"/>
    <w:rsid w:val="00C131DE"/>
    <w:rsid w:val="00C13D72"/>
    <w:rsid w:val="00C15D31"/>
    <w:rsid w:val="00C167F7"/>
    <w:rsid w:val="00C16BB5"/>
    <w:rsid w:val="00C201C7"/>
    <w:rsid w:val="00C2154D"/>
    <w:rsid w:val="00C26622"/>
    <w:rsid w:val="00C266B4"/>
    <w:rsid w:val="00C26F0C"/>
    <w:rsid w:val="00C32467"/>
    <w:rsid w:val="00C32DF5"/>
    <w:rsid w:val="00C3382A"/>
    <w:rsid w:val="00C40783"/>
    <w:rsid w:val="00C407BE"/>
    <w:rsid w:val="00C42485"/>
    <w:rsid w:val="00C43B75"/>
    <w:rsid w:val="00C44907"/>
    <w:rsid w:val="00C451D0"/>
    <w:rsid w:val="00C4792C"/>
    <w:rsid w:val="00C50538"/>
    <w:rsid w:val="00C5693E"/>
    <w:rsid w:val="00C576B7"/>
    <w:rsid w:val="00C66538"/>
    <w:rsid w:val="00C732B7"/>
    <w:rsid w:val="00C74082"/>
    <w:rsid w:val="00C74321"/>
    <w:rsid w:val="00C74B0A"/>
    <w:rsid w:val="00C75D88"/>
    <w:rsid w:val="00C773B6"/>
    <w:rsid w:val="00C8227D"/>
    <w:rsid w:val="00C82BA5"/>
    <w:rsid w:val="00C83A49"/>
    <w:rsid w:val="00C846CC"/>
    <w:rsid w:val="00C87D01"/>
    <w:rsid w:val="00C944E8"/>
    <w:rsid w:val="00CA12D4"/>
    <w:rsid w:val="00CA21EF"/>
    <w:rsid w:val="00CA3DFE"/>
    <w:rsid w:val="00CB1385"/>
    <w:rsid w:val="00CB1B79"/>
    <w:rsid w:val="00CB2169"/>
    <w:rsid w:val="00CB25F5"/>
    <w:rsid w:val="00CC1D01"/>
    <w:rsid w:val="00CC41CA"/>
    <w:rsid w:val="00CC53D6"/>
    <w:rsid w:val="00CC7944"/>
    <w:rsid w:val="00CD0D16"/>
    <w:rsid w:val="00CD23D2"/>
    <w:rsid w:val="00CD3854"/>
    <w:rsid w:val="00CD50C2"/>
    <w:rsid w:val="00CD59C1"/>
    <w:rsid w:val="00CD62A9"/>
    <w:rsid w:val="00CE3E36"/>
    <w:rsid w:val="00CE5906"/>
    <w:rsid w:val="00CE6971"/>
    <w:rsid w:val="00CE6BBB"/>
    <w:rsid w:val="00CE7605"/>
    <w:rsid w:val="00CF299E"/>
    <w:rsid w:val="00CF4597"/>
    <w:rsid w:val="00CF489A"/>
    <w:rsid w:val="00CF7B50"/>
    <w:rsid w:val="00CF7D9C"/>
    <w:rsid w:val="00D0111B"/>
    <w:rsid w:val="00D03EE0"/>
    <w:rsid w:val="00D051E6"/>
    <w:rsid w:val="00D11B79"/>
    <w:rsid w:val="00D12ED6"/>
    <w:rsid w:val="00D14DE1"/>
    <w:rsid w:val="00D16FB7"/>
    <w:rsid w:val="00D17329"/>
    <w:rsid w:val="00D22ABB"/>
    <w:rsid w:val="00D256FA"/>
    <w:rsid w:val="00D25BE6"/>
    <w:rsid w:val="00D26105"/>
    <w:rsid w:val="00D27279"/>
    <w:rsid w:val="00D27EC2"/>
    <w:rsid w:val="00D27F3C"/>
    <w:rsid w:val="00D35770"/>
    <w:rsid w:val="00D36EF4"/>
    <w:rsid w:val="00D37BA6"/>
    <w:rsid w:val="00D41AA7"/>
    <w:rsid w:val="00D433ED"/>
    <w:rsid w:val="00D44EA6"/>
    <w:rsid w:val="00D46857"/>
    <w:rsid w:val="00D51560"/>
    <w:rsid w:val="00D52F4A"/>
    <w:rsid w:val="00D5522A"/>
    <w:rsid w:val="00D55BEE"/>
    <w:rsid w:val="00D6385D"/>
    <w:rsid w:val="00D64B88"/>
    <w:rsid w:val="00D65EB9"/>
    <w:rsid w:val="00D65EDE"/>
    <w:rsid w:val="00D664D0"/>
    <w:rsid w:val="00D67348"/>
    <w:rsid w:val="00D70F99"/>
    <w:rsid w:val="00D711A9"/>
    <w:rsid w:val="00D7128F"/>
    <w:rsid w:val="00D71FF2"/>
    <w:rsid w:val="00D723DD"/>
    <w:rsid w:val="00D7326C"/>
    <w:rsid w:val="00D75BA6"/>
    <w:rsid w:val="00D768DF"/>
    <w:rsid w:val="00D77508"/>
    <w:rsid w:val="00D81B34"/>
    <w:rsid w:val="00D82770"/>
    <w:rsid w:val="00D8669B"/>
    <w:rsid w:val="00D9234F"/>
    <w:rsid w:val="00D9265D"/>
    <w:rsid w:val="00D93318"/>
    <w:rsid w:val="00D95C44"/>
    <w:rsid w:val="00DA265F"/>
    <w:rsid w:val="00DA4079"/>
    <w:rsid w:val="00DA41BE"/>
    <w:rsid w:val="00DB0277"/>
    <w:rsid w:val="00DB1FE2"/>
    <w:rsid w:val="00DC21F7"/>
    <w:rsid w:val="00DC229F"/>
    <w:rsid w:val="00DC33CE"/>
    <w:rsid w:val="00DC4768"/>
    <w:rsid w:val="00DC7738"/>
    <w:rsid w:val="00DD0B4D"/>
    <w:rsid w:val="00DD139D"/>
    <w:rsid w:val="00DD223A"/>
    <w:rsid w:val="00DE11D9"/>
    <w:rsid w:val="00DE1C0A"/>
    <w:rsid w:val="00DE2247"/>
    <w:rsid w:val="00DE39E6"/>
    <w:rsid w:val="00DE3CB3"/>
    <w:rsid w:val="00DE6683"/>
    <w:rsid w:val="00DE6B9D"/>
    <w:rsid w:val="00DF2307"/>
    <w:rsid w:val="00DF3FB8"/>
    <w:rsid w:val="00DF7167"/>
    <w:rsid w:val="00E007AF"/>
    <w:rsid w:val="00E01110"/>
    <w:rsid w:val="00E0201B"/>
    <w:rsid w:val="00E03BA0"/>
    <w:rsid w:val="00E1047F"/>
    <w:rsid w:val="00E11F46"/>
    <w:rsid w:val="00E138B3"/>
    <w:rsid w:val="00E13F1A"/>
    <w:rsid w:val="00E1782C"/>
    <w:rsid w:val="00E23388"/>
    <w:rsid w:val="00E24119"/>
    <w:rsid w:val="00E258D9"/>
    <w:rsid w:val="00E260F6"/>
    <w:rsid w:val="00E262B0"/>
    <w:rsid w:val="00E31DFB"/>
    <w:rsid w:val="00E34AFB"/>
    <w:rsid w:val="00E50726"/>
    <w:rsid w:val="00E5239C"/>
    <w:rsid w:val="00E5240E"/>
    <w:rsid w:val="00E53C96"/>
    <w:rsid w:val="00E578B9"/>
    <w:rsid w:val="00E603E2"/>
    <w:rsid w:val="00E60EDB"/>
    <w:rsid w:val="00E63635"/>
    <w:rsid w:val="00E67DC3"/>
    <w:rsid w:val="00E703BC"/>
    <w:rsid w:val="00E70E83"/>
    <w:rsid w:val="00E711BD"/>
    <w:rsid w:val="00E712E3"/>
    <w:rsid w:val="00E821F4"/>
    <w:rsid w:val="00E840B6"/>
    <w:rsid w:val="00E8486A"/>
    <w:rsid w:val="00E85273"/>
    <w:rsid w:val="00E87C27"/>
    <w:rsid w:val="00E90656"/>
    <w:rsid w:val="00E92DAF"/>
    <w:rsid w:val="00EA192B"/>
    <w:rsid w:val="00EA1C3A"/>
    <w:rsid w:val="00EA28F9"/>
    <w:rsid w:val="00EA7767"/>
    <w:rsid w:val="00EA7786"/>
    <w:rsid w:val="00EB2AC6"/>
    <w:rsid w:val="00EB7909"/>
    <w:rsid w:val="00EC115C"/>
    <w:rsid w:val="00EC227D"/>
    <w:rsid w:val="00EC429E"/>
    <w:rsid w:val="00EC60E0"/>
    <w:rsid w:val="00EC6293"/>
    <w:rsid w:val="00EC69F0"/>
    <w:rsid w:val="00EC6D11"/>
    <w:rsid w:val="00ED04B9"/>
    <w:rsid w:val="00ED5234"/>
    <w:rsid w:val="00ED5307"/>
    <w:rsid w:val="00EE0BD5"/>
    <w:rsid w:val="00EE5D32"/>
    <w:rsid w:val="00EE7014"/>
    <w:rsid w:val="00EF1AAC"/>
    <w:rsid w:val="00EF22E9"/>
    <w:rsid w:val="00EF2788"/>
    <w:rsid w:val="00F01A97"/>
    <w:rsid w:val="00F026A6"/>
    <w:rsid w:val="00F028D9"/>
    <w:rsid w:val="00F04541"/>
    <w:rsid w:val="00F04F48"/>
    <w:rsid w:val="00F06814"/>
    <w:rsid w:val="00F13BCB"/>
    <w:rsid w:val="00F203E6"/>
    <w:rsid w:val="00F21C3E"/>
    <w:rsid w:val="00F25952"/>
    <w:rsid w:val="00F27876"/>
    <w:rsid w:val="00F405B1"/>
    <w:rsid w:val="00F445E4"/>
    <w:rsid w:val="00F44E3B"/>
    <w:rsid w:val="00F5050B"/>
    <w:rsid w:val="00F50B83"/>
    <w:rsid w:val="00F5111A"/>
    <w:rsid w:val="00F60893"/>
    <w:rsid w:val="00F61C95"/>
    <w:rsid w:val="00F7263F"/>
    <w:rsid w:val="00F729DC"/>
    <w:rsid w:val="00F73FFA"/>
    <w:rsid w:val="00F7500F"/>
    <w:rsid w:val="00F76A9A"/>
    <w:rsid w:val="00F80430"/>
    <w:rsid w:val="00F82A2D"/>
    <w:rsid w:val="00F84D4A"/>
    <w:rsid w:val="00F855E8"/>
    <w:rsid w:val="00F876BA"/>
    <w:rsid w:val="00F87E60"/>
    <w:rsid w:val="00F91172"/>
    <w:rsid w:val="00F9127B"/>
    <w:rsid w:val="00F921E6"/>
    <w:rsid w:val="00F933E8"/>
    <w:rsid w:val="00F93C9D"/>
    <w:rsid w:val="00F93DC7"/>
    <w:rsid w:val="00F94738"/>
    <w:rsid w:val="00F97964"/>
    <w:rsid w:val="00FA0151"/>
    <w:rsid w:val="00FA1F08"/>
    <w:rsid w:val="00FA21B4"/>
    <w:rsid w:val="00FA317F"/>
    <w:rsid w:val="00FA60AE"/>
    <w:rsid w:val="00FA667E"/>
    <w:rsid w:val="00FB07B9"/>
    <w:rsid w:val="00FB0994"/>
    <w:rsid w:val="00FB2097"/>
    <w:rsid w:val="00FB34B8"/>
    <w:rsid w:val="00FB3E76"/>
    <w:rsid w:val="00FB5849"/>
    <w:rsid w:val="00FC48A0"/>
    <w:rsid w:val="00FC59B0"/>
    <w:rsid w:val="00FC5C07"/>
    <w:rsid w:val="00FC60DF"/>
    <w:rsid w:val="00FC7B96"/>
    <w:rsid w:val="00FD073E"/>
    <w:rsid w:val="00FD134F"/>
    <w:rsid w:val="00FD4BD2"/>
    <w:rsid w:val="00FD5778"/>
    <w:rsid w:val="00FD5DFE"/>
    <w:rsid w:val="00FE0D49"/>
    <w:rsid w:val="00FE33AD"/>
    <w:rsid w:val="00FF02D7"/>
    <w:rsid w:val="00FF0DDD"/>
    <w:rsid w:val="00FF3A73"/>
    <w:rsid w:val="00FF6306"/>
    <w:rsid w:val="00FF6AEA"/>
    <w:rsid w:val="00FF7500"/>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E0F5D"/>
  <w15:chartTrackingRefBased/>
  <w15:docId w15:val="{A9808C54-56A6-408C-97AD-2D536F45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1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1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1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1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1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1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1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1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1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1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5D2"/>
    <w:rPr>
      <w:rFonts w:eastAsiaTheme="majorEastAsia" w:cstheme="majorBidi"/>
      <w:color w:val="272727" w:themeColor="text1" w:themeTint="D8"/>
    </w:rPr>
  </w:style>
  <w:style w:type="paragraph" w:styleId="Title">
    <w:name w:val="Title"/>
    <w:basedOn w:val="Normal"/>
    <w:next w:val="Normal"/>
    <w:link w:val="TitleChar"/>
    <w:uiPriority w:val="10"/>
    <w:qFormat/>
    <w:rsid w:val="00B21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5D2"/>
    <w:pPr>
      <w:spacing w:before="160"/>
      <w:jc w:val="center"/>
    </w:pPr>
    <w:rPr>
      <w:i/>
      <w:iCs/>
      <w:color w:val="404040" w:themeColor="text1" w:themeTint="BF"/>
    </w:rPr>
  </w:style>
  <w:style w:type="character" w:customStyle="1" w:styleId="QuoteChar">
    <w:name w:val="Quote Char"/>
    <w:basedOn w:val="DefaultParagraphFont"/>
    <w:link w:val="Quote"/>
    <w:uiPriority w:val="29"/>
    <w:rsid w:val="00B215D2"/>
    <w:rPr>
      <w:i/>
      <w:iCs/>
      <w:color w:val="404040" w:themeColor="text1" w:themeTint="BF"/>
    </w:rPr>
  </w:style>
  <w:style w:type="paragraph" w:styleId="ListParagraph">
    <w:name w:val="List Paragraph"/>
    <w:basedOn w:val="Normal"/>
    <w:uiPriority w:val="34"/>
    <w:qFormat/>
    <w:rsid w:val="00B215D2"/>
    <w:pPr>
      <w:ind w:left="720"/>
      <w:contextualSpacing/>
    </w:pPr>
  </w:style>
  <w:style w:type="character" w:styleId="IntenseEmphasis">
    <w:name w:val="Intense Emphasis"/>
    <w:basedOn w:val="DefaultParagraphFont"/>
    <w:uiPriority w:val="21"/>
    <w:qFormat/>
    <w:rsid w:val="00B215D2"/>
    <w:rPr>
      <w:i/>
      <w:iCs/>
      <w:color w:val="2F5496" w:themeColor="accent1" w:themeShade="BF"/>
    </w:rPr>
  </w:style>
  <w:style w:type="paragraph" w:styleId="IntenseQuote">
    <w:name w:val="Intense Quote"/>
    <w:basedOn w:val="Normal"/>
    <w:next w:val="Normal"/>
    <w:link w:val="IntenseQuoteChar"/>
    <w:uiPriority w:val="30"/>
    <w:qFormat/>
    <w:rsid w:val="00B21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15D2"/>
    <w:rPr>
      <w:i/>
      <w:iCs/>
      <w:color w:val="2F5496" w:themeColor="accent1" w:themeShade="BF"/>
    </w:rPr>
  </w:style>
  <w:style w:type="character" w:styleId="IntenseReference">
    <w:name w:val="Intense Reference"/>
    <w:basedOn w:val="DefaultParagraphFont"/>
    <w:uiPriority w:val="32"/>
    <w:qFormat/>
    <w:rsid w:val="00B215D2"/>
    <w:rPr>
      <w:b/>
      <w:bCs/>
      <w:smallCaps/>
      <w:color w:val="2F5496" w:themeColor="accent1" w:themeShade="BF"/>
      <w:spacing w:val="5"/>
    </w:rPr>
  </w:style>
  <w:style w:type="character" w:styleId="Hyperlink">
    <w:name w:val="Hyperlink"/>
    <w:basedOn w:val="DefaultParagraphFont"/>
    <w:uiPriority w:val="99"/>
    <w:unhideWhenUsed/>
    <w:rsid w:val="00526618"/>
    <w:rPr>
      <w:color w:val="0563C1" w:themeColor="hyperlink"/>
      <w:u w:val="single"/>
    </w:rPr>
  </w:style>
  <w:style w:type="character" w:styleId="UnresolvedMention">
    <w:name w:val="Unresolved Mention"/>
    <w:basedOn w:val="DefaultParagraphFont"/>
    <w:uiPriority w:val="99"/>
    <w:semiHidden/>
    <w:unhideWhenUsed/>
    <w:rsid w:val="00526618"/>
    <w:rPr>
      <w:color w:val="605E5C"/>
      <w:shd w:val="clear" w:color="auto" w:fill="E1DFDD"/>
    </w:rPr>
  </w:style>
  <w:style w:type="paragraph" w:styleId="NormalWeb">
    <w:name w:val="Normal (Web)"/>
    <w:basedOn w:val="Normal"/>
    <w:uiPriority w:val="99"/>
    <w:unhideWhenUsed/>
    <w:rsid w:val="0080444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8A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A3D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52131"/>
    <w:rPr>
      <w:color w:val="954F72" w:themeColor="followedHyperlink"/>
      <w:u w:val="single"/>
    </w:rPr>
  </w:style>
  <w:style w:type="paragraph" w:customStyle="1" w:styleId="z1qcye">
    <w:name w:val="z1qcye"/>
    <w:basedOn w:val="Normal"/>
    <w:rsid w:val="00D52F4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D52F4A"/>
  </w:style>
  <w:style w:type="character" w:styleId="Strong">
    <w:name w:val="Strong"/>
    <w:basedOn w:val="DefaultParagraphFont"/>
    <w:uiPriority w:val="22"/>
    <w:qFormat/>
    <w:rsid w:val="00D52F4A"/>
    <w:rPr>
      <w:b/>
      <w:bCs/>
    </w:rPr>
  </w:style>
  <w:style w:type="character" w:styleId="Emphasis">
    <w:name w:val="Emphasis"/>
    <w:basedOn w:val="DefaultParagraphFont"/>
    <w:uiPriority w:val="20"/>
    <w:qFormat/>
    <w:rsid w:val="00D52F4A"/>
    <w:rPr>
      <w:i/>
      <w:iCs/>
    </w:rPr>
  </w:style>
  <w:style w:type="paragraph" w:styleId="Header">
    <w:name w:val="header"/>
    <w:basedOn w:val="Normal"/>
    <w:link w:val="HeaderChar"/>
    <w:uiPriority w:val="99"/>
    <w:unhideWhenUsed/>
    <w:rsid w:val="003B38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83"/>
  </w:style>
  <w:style w:type="paragraph" w:styleId="Footer">
    <w:name w:val="footer"/>
    <w:basedOn w:val="Normal"/>
    <w:link w:val="FooterChar"/>
    <w:uiPriority w:val="99"/>
    <w:unhideWhenUsed/>
    <w:rsid w:val="003B38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83"/>
  </w:style>
  <w:style w:type="paragraph" w:styleId="BodyText">
    <w:name w:val="Body Text"/>
    <w:basedOn w:val="Normal"/>
    <w:link w:val="BodyTextChar"/>
    <w:uiPriority w:val="1"/>
    <w:qFormat/>
    <w:rsid w:val="008461BF"/>
    <w:pPr>
      <w:widowControl w:val="0"/>
      <w:autoSpaceDE w:val="0"/>
      <w:autoSpaceDN w:val="0"/>
      <w:spacing w:after="0" w:line="240" w:lineRule="auto"/>
      <w:ind w:left="1200" w:hanging="1080"/>
      <w:jc w:val="both"/>
    </w:pPr>
    <w:rPr>
      <w:rFonts w:ascii="Times New Roman" w:eastAsia="Times New Roman" w:hAnsi="Times New Roman" w:cs="Times New Roman"/>
      <w:kern w:val="0"/>
      <w:lang w:eastAsia="en-US"/>
      <w14:ligatures w14:val="none"/>
    </w:rPr>
  </w:style>
  <w:style w:type="character" w:customStyle="1" w:styleId="BodyTextChar">
    <w:name w:val="Body Text Char"/>
    <w:basedOn w:val="DefaultParagraphFont"/>
    <w:link w:val="BodyText"/>
    <w:uiPriority w:val="1"/>
    <w:rsid w:val="008461BF"/>
    <w:rPr>
      <w:rFonts w:ascii="Times New Roman" w:eastAsia="Times New Roman" w:hAnsi="Times New Roman" w:cs="Times New Roman"/>
      <w:kern w:val="0"/>
      <w:lang w:val="en-US" w:eastAsia="en-US"/>
      <w14:ligatures w14:val="none"/>
    </w:rPr>
  </w:style>
  <w:style w:type="table" w:styleId="PlainTable2">
    <w:name w:val="Plain Table 2"/>
    <w:basedOn w:val="TableNormal"/>
    <w:uiPriority w:val="42"/>
    <w:rsid w:val="00B331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i.adsabs.harvard.edu/link_gateway/2022Aquac.54737402C/doi:10.1016/j.aquaculture.2021.737402" TargetMode="External"/><Relationship Id="rId18" Type="http://schemas.openxmlformats.org/officeDocument/2006/relationships/hyperlink" Target="https://www.sciencedirect.com/science/article/abs/pii/S0963996922003957" TargetMode="External"/><Relationship Id="rId26" Type="http://schemas.openxmlformats.org/officeDocument/2006/relationships/hyperlink" Target="https://www.sciencedirect.com/science/article/pii/S0044848624002631" TargetMode="External"/><Relationship Id="rId3" Type="http://schemas.openxmlformats.org/officeDocument/2006/relationships/settings" Target="settings.xml"/><Relationship Id="rId21" Type="http://schemas.openxmlformats.org/officeDocument/2006/relationships/hyperlink" Target="https://doi.org/10.1111/anu.12885" TargetMode="External"/><Relationship Id="rId34" Type="http://schemas.openxmlformats.org/officeDocument/2006/relationships/theme" Target="theme/theme1.xml"/><Relationship Id="rId7" Type="http://schemas.openxmlformats.org/officeDocument/2006/relationships/hyperlink" Target="https://doi.org/10.1016/j.algal.2023.103185" TargetMode="External"/><Relationship Id="rId12" Type="http://schemas.openxmlformats.org/officeDocument/2006/relationships/hyperlink" Target="https://www.frontiersin.org/journals/nutrition/articles/10.3389/fnut.2022.1048258/full" TargetMode="External"/><Relationship Id="rId17" Type="http://schemas.openxmlformats.org/officeDocument/2006/relationships/hyperlink" Target="https://doi.org/10.1155/are/2099071" TargetMode="External"/><Relationship Id="rId25" Type="http://schemas.openxmlformats.org/officeDocument/2006/relationships/hyperlink" Target="https://doi.org/10.1111/raq.1234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2/aff2.70314" TargetMode="External"/><Relationship Id="rId20" Type="http://schemas.openxmlformats.org/officeDocument/2006/relationships/hyperlink" Target="https://doi.org/10.47853/FAS.2022.e48"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0102/IJARES/V6I2/6-2-1723" TargetMode="External"/><Relationship Id="rId24" Type="http://schemas.openxmlformats.org/officeDocument/2006/relationships/hyperlink" Target="https://doi.org/10.11598/btb.2019.26.3.1103"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155/anu/5217142" TargetMode="External"/><Relationship Id="rId23" Type="http://schemas.openxmlformats.org/officeDocument/2006/relationships/hyperlink" Target="https://www.researchgate.net/publication/339529129_NON-SPECIFIC_IMMUNE_AND_ANTIOXIDANT_STATUS_OF_MILKFISH_CHANOS_CHANOS_VARIES_WITH_THE_CARBON_SOURCE_USED_IN_THE_BIOFLOC_SYSTEM" TargetMode="External"/><Relationship Id="rId28" Type="http://schemas.openxmlformats.org/officeDocument/2006/relationships/header" Target="header2.xml"/><Relationship Id="rId10" Type="http://schemas.openxmlformats.org/officeDocument/2006/relationships/hyperlink" Target="https://doi.org/10.1046/j.1355-557x.2001.00003.x" TargetMode="External"/><Relationship Id="rId19" Type="http://schemas.openxmlformats.org/officeDocument/2006/relationships/hyperlink" Target="https://doi.org/10.1111/raq.12869"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3897/aiep.56.184586" TargetMode="External"/><Relationship Id="rId14" Type="http://schemas.openxmlformats.org/officeDocument/2006/relationships/hyperlink" Target="https://doi.org/10.3390/ani15172552" TargetMode="External"/><Relationship Id="rId22" Type="http://schemas.openxmlformats.org/officeDocument/2006/relationships/hyperlink" Target="https://doi.org/10.1007/s10811-017-1234-z"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ejabf.journals.ekb.eg/article_524442_9019a7f75ac8a7420a0ca980e6e4c7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16581</TotalTime>
  <Pages>12</Pages>
  <Words>5489</Words>
  <Characters>31292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SUNKE 'S</dc:creator>
  <cp:keywords/>
  <dc:description/>
  <cp:lastModifiedBy>ridhdhisarbarad1998@gmail.com</cp:lastModifiedBy>
  <cp:revision>2228</cp:revision>
  <dcterms:created xsi:type="dcterms:W3CDTF">2026-09-17T16:54:00Z</dcterms:created>
  <dcterms:modified xsi:type="dcterms:W3CDTF">2026-10-26T17:27:00Z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4bee5f3e-7a55-43e9-a60b-8aab3c286fcc</vt:lpwstr>
  </property>
</Properties>
</file>