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717A26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717A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717A26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717A2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717A26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717A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6E9DBBC7" w:rsidR="000F510C" w:rsidRPr="00717A26" w:rsidRDefault="009D2F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Ms_UPJOZ_6476</w:t>
            </w:r>
          </w:p>
        </w:tc>
      </w:tr>
      <w:tr w:rsidR="000F510C" w:rsidRPr="00717A26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717A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0CDEDBD" w:rsidR="000F510C" w:rsidRPr="00717A26" w:rsidRDefault="009D2F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Effect of Spirulina Meal on Growth Performance, Feed Utilization and Survival in Milkfish (Chanos </w:t>
            </w:r>
            <w:proofErr w:type="spellStart"/>
            <w:r w:rsidRPr="00717A26">
              <w:rPr>
                <w:rFonts w:ascii="Arial" w:hAnsi="Arial" w:cs="Arial"/>
                <w:b/>
                <w:sz w:val="20"/>
                <w:szCs w:val="20"/>
                <w:lang w:val="en-GB"/>
              </w:rPr>
              <w:t>chanos</w:t>
            </w:r>
            <w:proofErr w:type="spellEnd"/>
            <w:r w:rsidRPr="00717A26">
              <w:rPr>
                <w:rFonts w:ascii="Arial" w:hAnsi="Arial" w:cs="Arial"/>
                <w:b/>
                <w:sz w:val="20"/>
                <w:szCs w:val="20"/>
                <w:lang w:val="en-GB"/>
              </w:rPr>
              <w:t>) fry</w:t>
            </w:r>
          </w:p>
        </w:tc>
      </w:tr>
      <w:tr w:rsidR="000F510C" w:rsidRPr="00717A26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717A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717A26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717A26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DA3D1D3" w14:textId="77777777" w:rsidR="000F510C" w:rsidRPr="00717A26" w:rsidRDefault="000F510C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653EDD7A" w14:textId="77777777" w:rsidR="000F510C" w:rsidRPr="00717A26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717A2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17A2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17A2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717A26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717A26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717A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717A2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17A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17A2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717A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717A2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4531E6ED" w:rsidR="000F510C" w:rsidRPr="00717A26" w:rsidRDefault="00043F8C" w:rsidP="00043F8C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717A26">
              <w:rPr>
                <w:rFonts w:ascii="Arial" w:hAnsi="Arial" w:cs="Arial"/>
                <w:sz w:val="20"/>
                <w:szCs w:val="20"/>
                <w:lang w:val="en-GB"/>
              </w:rPr>
              <w:t xml:space="preserve">This study provides useful insights into the potential of Spirulina meal as a sustainable feed ingredient for improving growth, feed utilization, and survival in milkfish fry. </w:t>
            </w:r>
            <w:r w:rsidRPr="00717A26">
              <w:rPr>
                <w:rFonts w:ascii="Arial" w:hAnsi="Arial" w:cs="Arial"/>
                <w:sz w:val="20"/>
                <w:szCs w:val="20"/>
                <w:lang w:val="en-IN"/>
              </w:rPr>
              <w:t>Milkfish require nutritionally balanced, protein-rich diets for optimal growth, while studies on their culture and feed management, particularly during the fry stage, remain limited.</w:t>
            </w:r>
          </w:p>
        </w:tc>
        <w:tc>
          <w:tcPr>
            <w:tcW w:w="1667" w:type="pct"/>
          </w:tcPr>
          <w:p w14:paraId="305EFE14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717A26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717A26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717A2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17A2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717A2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717A26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717A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717A26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A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17A2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717A2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717A2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717A26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717A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4C5D85" w14:textId="78ACA7A1" w:rsidR="0019428C" w:rsidRPr="00717A26" w:rsidRDefault="0019428C" w:rsidP="00D609BD">
            <w:pPr>
              <w:rPr>
                <w:rFonts w:ascii="Arial" w:hAnsi="Arial" w:cs="Arial"/>
                <w:sz w:val="20"/>
                <w:szCs w:val="20"/>
              </w:rPr>
            </w:pPr>
            <w:r w:rsidRPr="00717A26">
              <w:rPr>
                <w:rFonts w:ascii="Arial" w:hAnsi="Arial" w:cs="Arial"/>
                <w:sz w:val="20"/>
                <w:szCs w:val="20"/>
              </w:rPr>
              <w:t xml:space="preserve">4 </w:t>
            </w:r>
          </w:p>
          <w:p w14:paraId="0B813A4F" w14:textId="773C3864" w:rsidR="000F510C" w:rsidRPr="00717A26" w:rsidRDefault="00D609BD" w:rsidP="00D609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</w:rPr>
              <w:t>Clear and directly reflects on the study of Spirulina meal, growth, feed utilization, and survival.</w:t>
            </w:r>
          </w:p>
        </w:tc>
        <w:tc>
          <w:tcPr>
            <w:tcW w:w="1667" w:type="pct"/>
          </w:tcPr>
          <w:p w14:paraId="77A6A384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717A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D924A1" w14:textId="645F0DF3" w:rsidR="0019428C" w:rsidRPr="00717A26" w:rsidRDefault="0019428C" w:rsidP="0019428C">
            <w:pPr>
              <w:rPr>
                <w:rFonts w:ascii="Arial" w:hAnsi="Arial" w:cs="Arial"/>
                <w:sz w:val="20"/>
                <w:szCs w:val="20"/>
              </w:rPr>
            </w:pPr>
            <w:r w:rsidRPr="00717A26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48073392" w14:textId="12A7D669" w:rsidR="000F510C" w:rsidRPr="00717A26" w:rsidRDefault="0019428C" w:rsidP="0019428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</w:rPr>
              <w:t>Contains objective, treatments, duration, replication, major results, and conclusion</w:t>
            </w:r>
          </w:p>
        </w:tc>
        <w:tc>
          <w:tcPr>
            <w:tcW w:w="1667" w:type="pct"/>
          </w:tcPr>
          <w:p w14:paraId="575247A5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717A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F8923A" w14:textId="77777777" w:rsidR="000F510C" w:rsidRPr="00717A26" w:rsidRDefault="0019428C" w:rsidP="0019428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  <w:p w14:paraId="4B944E1A" w14:textId="1AF167DF" w:rsidR="0019428C" w:rsidRPr="00717A26" w:rsidRDefault="0019428C" w:rsidP="0019428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  <w:lang w:val="en-GB"/>
              </w:rPr>
              <w:t>Key words can be reduced, such as words like fishmeal replacement can be removed.</w:t>
            </w:r>
          </w:p>
        </w:tc>
        <w:tc>
          <w:tcPr>
            <w:tcW w:w="1667" w:type="pct"/>
          </w:tcPr>
          <w:p w14:paraId="1385131D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717A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921D94" w14:textId="4A85860A" w:rsidR="0019428C" w:rsidRPr="00717A26" w:rsidRDefault="0019428C" w:rsidP="0019428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  <w:p w14:paraId="783AB14C" w14:textId="18E2DF02" w:rsidR="000F510C" w:rsidRPr="00717A26" w:rsidRDefault="0019428C" w:rsidP="0019428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  <w:lang w:val="en-GB"/>
              </w:rPr>
              <w:t>Establishes the rationale for fishmeal replacement and identifies limited information on Spirulina in milkfish</w:t>
            </w:r>
            <w:r w:rsidRPr="00717A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EB0A7E5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717A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C78F89" w14:textId="57E9F0C4" w:rsidR="0019428C" w:rsidRPr="00717A26" w:rsidRDefault="0019428C" w:rsidP="0019428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14:paraId="3EAD2ABB" w14:textId="5DCD8080" w:rsidR="000F510C" w:rsidRPr="00717A26" w:rsidRDefault="0019428C" w:rsidP="0019428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  <w:lang w:val="en-GB"/>
              </w:rPr>
              <w:t>Clearly states evaluation of 0%, 20% and 40% SPM at 10 ppt salinity.</w:t>
            </w:r>
          </w:p>
        </w:tc>
        <w:tc>
          <w:tcPr>
            <w:tcW w:w="1667" w:type="pct"/>
          </w:tcPr>
          <w:p w14:paraId="144D114B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717A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C4A6F5" w14:textId="77777777" w:rsidR="000F510C" w:rsidRPr="00717A26" w:rsidRDefault="00880361" w:rsidP="0088036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3E8A8BC9" w14:textId="04BEE60C" w:rsidR="00880361" w:rsidRPr="00717A26" w:rsidRDefault="00880361" w:rsidP="008803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  <w:lang w:val="en-GB"/>
              </w:rPr>
              <w:t>Yes, the literature review is relevant, up to date, and also recent.</w:t>
            </w:r>
          </w:p>
        </w:tc>
        <w:tc>
          <w:tcPr>
            <w:tcW w:w="1667" w:type="pct"/>
          </w:tcPr>
          <w:p w14:paraId="642162CD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717A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F805E" w14:textId="7E4C6412" w:rsidR="00880361" w:rsidRPr="00717A26" w:rsidRDefault="00880361" w:rsidP="008803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  <w:p w14:paraId="7FA60B1D" w14:textId="4CD1DB86" w:rsidR="000F510C" w:rsidRPr="00717A26" w:rsidRDefault="00880361" w:rsidP="008803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  <w:lang w:val="en-GB"/>
              </w:rPr>
              <w:t>Check experimental replication, stocking, feeding rate, diet formulation, water-quality monitoring, and statistical design.</w:t>
            </w:r>
          </w:p>
        </w:tc>
        <w:tc>
          <w:tcPr>
            <w:tcW w:w="1667" w:type="pct"/>
          </w:tcPr>
          <w:p w14:paraId="20055112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717A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651C0" w14:textId="77777777" w:rsidR="000F510C" w:rsidRPr="00717A26" w:rsidRDefault="003C1421" w:rsidP="003C142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  <w:p w14:paraId="6FE7670A" w14:textId="4FC0D15F" w:rsidR="003C1421" w:rsidRPr="00717A26" w:rsidRDefault="003C1421" w:rsidP="003C1421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</w:rPr>
              <w:t>The authors should add an appropriate statement regarding animal welfare/ethical approval or institutional permission, as applicable to their experimental procedures.</w:t>
            </w:r>
          </w:p>
        </w:tc>
        <w:tc>
          <w:tcPr>
            <w:tcW w:w="1667" w:type="pct"/>
          </w:tcPr>
          <w:p w14:paraId="1B68E1C5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717A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717A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8242" w14:textId="77777777" w:rsidR="000F510C" w:rsidRPr="00717A26" w:rsidRDefault="003C142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  <w:p w14:paraId="1252942F" w14:textId="541B2DE9" w:rsidR="003C1421" w:rsidRPr="00717A26" w:rsidRDefault="003C142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</w:rPr>
              <w:t>Check consistency between tables, text, statistical significance and superscript letters.</w:t>
            </w:r>
          </w:p>
        </w:tc>
        <w:tc>
          <w:tcPr>
            <w:tcW w:w="1667" w:type="pct"/>
          </w:tcPr>
          <w:p w14:paraId="050B8A59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717A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6F448BE2" w14:textId="77777777" w:rsidR="000F510C" w:rsidRPr="00717A26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717A2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29BBC1" w14:textId="711492A2" w:rsidR="003C1421" w:rsidRPr="00717A26" w:rsidRDefault="003C1421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</w:rPr>
              <w:lastRenderedPageBreak/>
              <w:t>3</w:t>
            </w:r>
          </w:p>
          <w:p w14:paraId="19501005" w14:textId="63DBB7C0" w:rsidR="000F510C" w:rsidRPr="00717A26" w:rsidRDefault="003C142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</w:rPr>
              <w:t>Check consistency between tables, text, statistical significance, and superscript letters.</w:t>
            </w:r>
          </w:p>
        </w:tc>
        <w:tc>
          <w:tcPr>
            <w:tcW w:w="1667" w:type="pct"/>
          </w:tcPr>
          <w:p w14:paraId="2F834205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717A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F8CA15" w14:textId="096D7ED8" w:rsidR="003C1421" w:rsidRPr="00717A26" w:rsidRDefault="003C1421" w:rsidP="003C1421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  <w:p w14:paraId="387BE408" w14:textId="7A711327" w:rsidR="000F510C" w:rsidRPr="00717A26" w:rsidRDefault="003C1421" w:rsidP="003C1421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</w:rPr>
              <w:t>Check whether interpretations are adequately supported and whether cited studies genuinely support the comparisons.</w:t>
            </w:r>
          </w:p>
        </w:tc>
        <w:tc>
          <w:tcPr>
            <w:tcW w:w="1667" w:type="pct"/>
          </w:tcPr>
          <w:p w14:paraId="03E7C7F3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717A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129797" w14:textId="594E7563" w:rsidR="00D44765" w:rsidRPr="00717A26" w:rsidRDefault="00D44765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  <w:p w14:paraId="453C7B86" w14:textId="09360962" w:rsidR="000F510C" w:rsidRPr="00717A26" w:rsidRDefault="00D447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</w:rPr>
              <w:t>Check that the conclusion does not claim more than the experiment demonstrates; it appropriately notes that further studies are needed before recommending an optimal commercial replacement level.</w:t>
            </w:r>
          </w:p>
        </w:tc>
        <w:tc>
          <w:tcPr>
            <w:tcW w:w="1667" w:type="pct"/>
          </w:tcPr>
          <w:p w14:paraId="3C5BA1F1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717A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0351A2" w14:textId="77777777" w:rsidR="000F510C" w:rsidRPr="00717A26" w:rsidRDefault="00D447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  <w:p w14:paraId="0AD1E09E" w14:textId="0F130D96" w:rsidR="00D44765" w:rsidRPr="00717A26" w:rsidRDefault="00D447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</w:rPr>
              <w:t xml:space="preserve">The manuscript itself identifies the need for digestibility, amino-acid adequacy, health indicators, intermediate/higher levels, and economic evaluation. </w:t>
            </w:r>
          </w:p>
        </w:tc>
        <w:tc>
          <w:tcPr>
            <w:tcW w:w="1667" w:type="pct"/>
          </w:tcPr>
          <w:p w14:paraId="30A2C359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717A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FB2CF2C" w14:textId="49C28EDE" w:rsidR="00D44765" w:rsidRPr="00717A26" w:rsidRDefault="00D44765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  <w:p w14:paraId="411343A0" w14:textId="402DFF95" w:rsidR="000F510C" w:rsidRPr="00717A26" w:rsidRDefault="00D447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</w:rPr>
              <w:t>Check whether all cited references are authentic, relevant, current and correctly formatted.</w:t>
            </w:r>
          </w:p>
        </w:tc>
        <w:tc>
          <w:tcPr>
            <w:tcW w:w="1667" w:type="pct"/>
          </w:tcPr>
          <w:p w14:paraId="1B1618FC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717A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717A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717A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B0DA527" w14:textId="45859B5D" w:rsidR="000F510C" w:rsidRPr="00717A26" w:rsidRDefault="006206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4D89D299" w14:textId="4A4ADCF9" w:rsidR="006206CC" w:rsidRPr="00717A26" w:rsidRDefault="006206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</w:rPr>
              <w:t>Check grammar, terminology, units, table numbering, and consistency of abbreviations.</w:t>
            </w:r>
          </w:p>
          <w:p w14:paraId="16C4C573" w14:textId="77777777" w:rsidR="006206CC" w:rsidRPr="00717A26" w:rsidRDefault="006206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D78EDE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717A2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717A2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717A2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17A2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717A2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717A26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717A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717A2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717A2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17A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17A2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17A2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717A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717A2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717A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717A26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6CD7CBDC" w:rsidR="000F510C" w:rsidRPr="00717A26" w:rsidRDefault="006206CC" w:rsidP="006206C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717A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717A2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717A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717A2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9261DCF" w:rsidR="000F510C" w:rsidRPr="00717A26" w:rsidRDefault="006206CC" w:rsidP="006206C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717A26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17A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717A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717A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82F0847" w14:textId="77777777" w:rsidR="000F510C" w:rsidRPr="00717A26" w:rsidRDefault="006206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0F5D3049" w14:textId="77777777" w:rsidR="00CE5E47" w:rsidRPr="00717A26" w:rsidRDefault="00CE5E47" w:rsidP="00CE5E47">
            <w:pPr>
              <w:keepNext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717A26">
              <w:rPr>
                <w:rFonts w:ascii="Arial" w:eastAsia="MS Mincho" w:hAnsi="Arial" w:cs="Arial"/>
                <w:sz w:val="20"/>
                <w:szCs w:val="20"/>
              </w:rPr>
              <w:t>The manuscript describes T2/T3 as 20% and 40% SPM, while Table 1 shows Spirulina meal quantities of 5.4 and 10.8% of the complete diet, respectively, alongside reduced fishmeal. This should be made completely clear to the reader because “20%/40% inclusion” and “20%/40% fishmeal replacement” are not necessarily the same thing.</w:t>
            </w:r>
          </w:p>
          <w:p w14:paraId="5E369BE9" w14:textId="161915B7" w:rsidR="00CE5E47" w:rsidRPr="00717A26" w:rsidRDefault="00CE5E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717A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717A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717A2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717A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717A26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F231CB0" w:rsidR="000F510C" w:rsidRPr="00717A26" w:rsidRDefault="006206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17A26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717A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717A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717A2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717A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717A2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3F171E08" w:rsidR="000F510C" w:rsidRPr="00717A26" w:rsidRDefault="006206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A26">
              <w:rPr>
                <w:rFonts w:ascii="Arial" w:hAnsi="Arial" w:cs="Arial"/>
                <w:sz w:val="20"/>
                <w:szCs w:val="20"/>
              </w:rPr>
              <w:t>The authors should add an appropriate statement regarding animal welfare/ethical approval or institutional permission, as applicable to their experimental procedures.</w:t>
            </w:r>
          </w:p>
        </w:tc>
        <w:tc>
          <w:tcPr>
            <w:tcW w:w="1667" w:type="pct"/>
          </w:tcPr>
          <w:p w14:paraId="2FD23908" w14:textId="77777777" w:rsidR="000F510C" w:rsidRPr="00717A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717A26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FAF0C2A" w14:textId="77777777" w:rsidR="00717A26" w:rsidRPr="00717A26" w:rsidRDefault="00717A26" w:rsidP="00717A26">
      <w:pPr>
        <w:rPr>
          <w:rFonts w:ascii="Arial" w:hAnsi="Arial" w:cs="Arial"/>
          <w:b/>
          <w:sz w:val="20"/>
          <w:szCs w:val="20"/>
        </w:rPr>
      </w:pPr>
    </w:p>
    <w:p w14:paraId="29728B24" w14:textId="77777777" w:rsidR="00717A26" w:rsidRPr="00717A26" w:rsidRDefault="00717A26" w:rsidP="00717A26">
      <w:pPr>
        <w:rPr>
          <w:rFonts w:ascii="Arial" w:hAnsi="Arial" w:cs="Arial"/>
          <w:b/>
          <w:sz w:val="20"/>
          <w:szCs w:val="20"/>
          <w:u w:val="single"/>
        </w:rPr>
      </w:pPr>
      <w:r w:rsidRPr="00717A26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01159E0" w14:textId="77777777" w:rsidR="00717A26" w:rsidRPr="00717A26" w:rsidRDefault="00717A2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11A0261" w14:textId="2F8331EE" w:rsidR="00717A26" w:rsidRPr="00717A26" w:rsidRDefault="00717A26" w:rsidP="00717A2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spellStart"/>
      <w:r w:rsidRPr="00717A26">
        <w:rPr>
          <w:rFonts w:ascii="Arial" w:eastAsia="MS Mincho" w:hAnsi="Arial" w:cs="Arial"/>
          <w:b/>
          <w:bCs/>
          <w:sz w:val="20"/>
          <w:szCs w:val="20"/>
          <w:lang w:val="en-GB"/>
        </w:rPr>
        <w:t>Ridhdhisa</w:t>
      </w:r>
      <w:proofErr w:type="spellEnd"/>
      <w:r w:rsidRPr="00717A26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R. Barad</w:t>
      </w:r>
      <w:r w:rsidRPr="00717A26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17A26">
        <w:rPr>
          <w:rFonts w:ascii="Arial" w:eastAsia="MS Mincho" w:hAnsi="Arial" w:cs="Arial"/>
          <w:b/>
          <w:bCs/>
          <w:sz w:val="20"/>
          <w:szCs w:val="20"/>
          <w:lang w:val="en-GB"/>
        </w:rPr>
        <w:t>Kamdhenu University, India</w:t>
      </w:r>
    </w:p>
    <w:sectPr w:rsidR="00717A26" w:rsidRPr="00717A26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50115" w14:textId="77777777" w:rsidR="00BA72EB" w:rsidRDefault="00BA72EB">
      <w:r>
        <w:separator/>
      </w:r>
    </w:p>
  </w:endnote>
  <w:endnote w:type="continuationSeparator" w:id="0">
    <w:p w14:paraId="1DFE0AB6" w14:textId="77777777" w:rsidR="00BA72EB" w:rsidRDefault="00BA7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D2EAE" w14:textId="77777777" w:rsidR="00BA72EB" w:rsidRDefault="00BA72EB">
      <w:r>
        <w:separator/>
      </w:r>
    </w:p>
  </w:footnote>
  <w:footnote w:type="continuationSeparator" w:id="0">
    <w:p w14:paraId="0A2F5DE9" w14:textId="77777777" w:rsidR="00BA72EB" w:rsidRDefault="00BA7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43F8C"/>
    <w:rsid w:val="000F510C"/>
    <w:rsid w:val="001678DB"/>
    <w:rsid w:val="0019428C"/>
    <w:rsid w:val="002144C3"/>
    <w:rsid w:val="002319F6"/>
    <w:rsid w:val="002F0307"/>
    <w:rsid w:val="003A23F7"/>
    <w:rsid w:val="003A5988"/>
    <w:rsid w:val="003C1421"/>
    <w:rsid w:val="00610FFC"/>
    <w:rsid w:val="006206CC"/>
    <w:rsid w:val="006518EB"/>
    <w:rsid w:val="006D4715"/>
    <w:rsid w:val="00717A26"/>
    <w:rsid w:val="0073517E"/>
    <w:rsid w:val="007E1E53"/>
    <w:rsid w:val="008138E5"/>
    <w:rsid w:val="00820973"/>
    <w:rsid w:val="0084796D"/>
    <w:rsid w:val="00880361"/>
    <w:rsid w:val="008A048C"/>
    <w:rsid w:val="009C5CAC"/>
    <w:rsid w:val="009D2F57"/>
    <w:rsid w:val="00AD2A0C"/>
    <w:rsid w:val="00AD2C20"/>
    <w:rsid w:val="00B27293"/>
    <w:rsid w:val="00B61CE3"/>
    <w:rsid w:val="00BA72EB"/>
    <w:rsid w:val="00C21838"/>
    <w:rsid w:val="00CE5E47"/>
    <w:rsid w:val="00D44765"/>
    <w:rsid w:val="00D609BD"/>
    <w:rsid w:val="00EA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E47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upjoz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5C157-533D-44AB-AB85-6F367F72B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992</Words>
  <Characters>5660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42</cp:revision>
  <dcterms:created xsi:type="dcterms:W3CDTF">2026-03-24T06:15:00Z</dcterms:created>
  <dcterms:modified xsi:type="dcterms:W3CDTF">2026-10-29T10:18:00Z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