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D386" w14:textId="77777777" w:rsidR="00EA7B6F" w:rsidRPr="00EA7B6F" w:rsidRDefault="00EA7B6F" w:rsidP="00695D58">
      <w:pPr>
        <w:spacing w:after="0" w:line="360" w:lineRule="auto"/>
        <w:jc w:val="both"/>
        <w:rPr>
          <w:rFonts w:ascii="Times New Roman" w:hAnsi="Times New Roman" w:cs="Times New Roman"/>
          <w:b/>
          <w:bCs/>
          <w:sz w:val="24"/>
          <w:szCs w:val="24"/>
          <w:u w:val="single"/>
        </w:rPr>
      </w:pPr>
      <w:r w:rsidRPr="00EA7B6F">
        <w:rPr>
          <w:rFonts w:ascii="Times New Roman" w:hAnsi="Times New Roman" w:cs="Times New Roman"/>
          <w:b/>
          <w:bCs/>
          <w:sz w:val="24"/>
          <w:szCs w:val="24"/>
          <w:u w:val="single"/>
        </w:rPr>
        <w:t>Original Research Article</w:t>
      </w:r>
    </w:p>
    <w:p w14:paraId="58356FD5" w14:textId="77777777" w:rsidR="00FB510A" w:rsidRPr="00305561" w:rsidRDefault="00686AED"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 xml:space="preserve">OCCURRENCE, SPATIAL DISTRIBUTION AND SEASONAL POPULATION DYNAMICS OF </w:t>
      </w:r>
      <w:proofErr w:type="spellStart"/>
      <w:r w:rsidR="00F96A7A" w:rsidRPr="00AF1D27">
        <w:rPr>
          <w:rFonts w:ascii="Times New Roman" w:hAnsi="Times New Roman" w:cs="Times New Roman"/>
          <w:b/>
          <w:bCs/>
          <w:i/>
          <w:iCs/>
          <w:sz w:val="24"/>
          <w:szCs w:val="24"/>
        </w:rPr>
        <w:t>Orseolia</w:t>
      </w:r>
      <w:proofErr w:type="spellEnd"/>
      <w:r w:rsidR="00F96A7A" w:rsidRPr="00AF1D27">
        <w:rPr>
          <w:rFonts w:ascii="Times New Roman" w:hAnsi="Times New Roman" w:cs="Times New Roman"/>
          <w:b/>
          <w:bCs/>
          <w:i/>
          <w:iCs/>
          <w:sz w:val="24"/>
          <w:szCs w:val="24"/>
        </w:rPr>
        <w:t xml:space="preserve"> oryzae</w:t>
      </w:r>
      <w:r w:rsidR="00F96A7A" w:rsidRPr="00305561">
        <w:rPr>
          <w:rFonts w:ascii="Times New Roman" w:hAnsi="Times New Roman" w:cs="Times New Roman"/>
          <w:b/>
          <w:bCs/>
          <w:sz w:val="24"/>
          <w:szCs w:val="24"/>
        </w:rPr>
        <w:t xml:space="preserve"> </w:t>
      </w:r>
      <w:r w:rsidRPr="00305561">
        <w:rPr>
          <w:rFonts w:ascii="Times New Roman" w:hAnsi="Times New Roman" w:cs="Times New Roman"/>
          <w:b/>
          <w:bCs/>
          <w:sz w:val="24"/>
          <w:szCs w:val="24"/>
        </w:rPr>
        <w:t>IN CANAL-IRRIGATED PADDY FIELDS OF NALGONDA MANDAL, TELANGANA</w:t>
      </w:r>
    </w:p>
    <w:p w14:paraId="1510190C" w14:textId="77777777" w:rsidR="0012179C" w:rsidRDefault="0012179C" w:rsidP="00695D58">
      <w:pPr>
        <w:spacing w:after="0" w:line="360" w:lineRule="auto"/>
        <w:jc w:val="both"/>
        <w:rPr>
          <w:rFonts w:ascii="Times New Roman" w:hAnsi="Times New Roman" w:cs="Times New Roman"/>
          <w:b/>
          <w:bCs/>
          <w:sz w:val="24"/>
          <w:szCs w:val="24"/>
        </w:rPr>
      </w:pPr>
    </w:p>
    <w:p w14:paraId="259D8C98" w14:textId="77777777" w:rsidR="00411A4F" w:rsidRPr="00305561" w:rsidRDefault="00411A4F" w:rsidP="00695D58">
      <w:pPr>
        <w:spacing w:after="0" w:line="360" w:lineRule="auto"/>
        <w:jc w:val="both"/>
        <w:rPr>
          <w:rFonts w:ascii="Times New Roman" w:hAnsi="Times New Roman" w:cs="Times New Roman"/>
          <w:b/>
          <w:bCs/>
          <w:sz w:val="24"/>
          <w:szCs w:val="24"/>
        </w:rPr>
      </w:pPr>
    </w:p>
    <w:p w14:paraId="282775A4" w14:textId="77777777" w:rsidR="00E83B01" w:rsidRPr="00305561" w:rsidRDefault="00E83B01"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Abstract</w:t>
      </w:r>
    </w:p>
    <w:p w14:paraId="61D5CCD1" w14:textId="77777777" w:rsidR="00695D58" w:rsidRDefault="00695D58" w:rsidP="00695D58">
      <w:pPr>
        <w:spacing w:after="0" w:line="360" w:lineRule="auto"/>
        <w:jc w:val="both"/>
        <w:rPr>
          <w:rFonts w:ascii="Times New Roman" w:hAnsi="Times New Roman" w:cs="Times New Roman"/>
          <w:sz w:val="24"/>
          <w:szCs w:val="24"/>
        </w:rPr>
      </w:pPr>
      <w:r w:rsidRPr="00695D58">
        <w:rPr>
          <w:rFonts w:ascii="Times New Roman" w:hAnsi="Times New Roman" w:cs="Times New Roman"/>
          <w:sz w:val="24"/>
          <w:szCs w:val="24"/>
          <w:highlight w:val="yellow"/>
        </w:rPr>
        <w:t xml:space="preserve">The Asian rice gall midge, </w:t>
      </w:r>
      <w:proofErr w:type="spellStart"/>
      <w:r w:rsidRPr="00695D58">
        <w:rPr>
          <w:rFonts w:ascii="Times New Roman" w:hAnsi="Times New Roman" w:cs="Times New Roman"/>
          <w:sz w:val="24"/>
          <w:szCs w:val="24"/>
          <w:highlight w:val="yellow"/>
        </w:rPr>
        <w:t>Orseolia</w:t>
      </w:r>
      <w:proofErr w:type="spellEnd"/>
      <w:r w:rsidRPr="00695D58">
        <w:rPr>
          <w:rFonts w:ascii="Times New Roman" w:hAnsi="Times New Roman" w:cs="Times New Roman"/>
          <w:sz w:val="24"/>
          <w:szCs w:val="24"/>
          <w:highlight w:val="yellow"/>
        </w:rPr>
        <w:t xml:space="preserve"> oryzae (Wood-Mason), is a pest of irrigated rice in Telangana, but fine-scale information on its local distribution and seasonal incidence in Nalgonda Mandal remains limited. This study </w:t>
      </w:r>
      <w:proofErr w:type="spellStart"/>
      <w:r w:rsidRPr="00695D58">
        <w:rPr>
          <w:rFonts w:ascii="Times New Roman" w:hAnsi="Times New Roman" w:cs="Times New Roman"/>
          <w:sz w:val="24"/>
          <w:szCs w:val="24"/>
          <w:highlight w:val="yellow"/>
        </w:rPr>
        <w:t>characterised</w:t>
      </w:r>
      <w:proofErr w:type="spellEnd"/>
      <w:r w:rsidRPr="00695D58">
        <w:rPr>
          <w:rFonts w:ascii="Times New Roman" w:hAnsi="Times New Roman" w:cs="Times New Roman"/>
          <w:sz w:val="24"/>
          <w:szCs w:val="24"/>
          <w:highlight w:val="yellow"/>
        </w:rPr>
        <w:t xml:space="preserve"> its occurrence, spatial distribution, infestation levels and seasonal population dynamics in </w:t>
      </w:r>
      <w:proofErr w:type="spellStart"/>
      <w:r w:rsidRPr="00695D58">
        <w:rPr>
          <w:rFonts w:ascii="Times New Roman" w:hAnsi="Times New Roman" w:cs="Times New Roman"/>
          <w:sz w:val="24"/>
          <w:szCs w:val="24"/>
          <w:highlight w:val="yellow"/>
        </w:rPr>
        <w:t>Appajipeta</w:t>
      </w:r>
      <w:proofErr w:type="spellEnd"/>
      <w:r w:rsidRPr="00695D58">
        <w:rPr>
          <w:rFonts w:ascii="Times New Roman" w:hAnsi="Times New Roman" w:cs="Times New Roman"/>
          <w:sz w:val="24"/>
          <w:szCs w:val="24"/>
          <w:highlight w:val="yellow"/>
        </w:rPr>
        <w:t xml:space="preserve"> and </w:t>
      </w:r>
      <w:proofErr w:type="spellStart"/>
      <w:r w:rsidRPr="00695D58">
        <w:rPr>
          <w:rFonts w:ascii="Times New Roman" w:hAnsi="Times New Roman" w:cs="Times New Roman"/>
          <w:sz w:val="24"/>
          <w:szCs w:val="24"/>
          <w:highlight w:val="yellow"/>
        </w:rPr>
        <w:t>Khajiramaram</w:t>
      </w:r>
      <w:proofErr w:type="spellEnd"/>
      <w:r w:rsidRPr="00695D58">
        <w:rPr>
          <w:rFonts w:ascii="Times New Roman" w:hAnsi="Times New Roman" w:cs="Times New Roman"/>
          <w:sz w:val="24"/>
          <w:szCs w:val="24"/>
          <w:highlight w:val="yellow"/>
        </w:rPr>
        <w:t xml:space="preserve"> during three consecutive Kharif seasons (2023–2025). Two fields were selected in each village, with five fixed 5 m × 5 m plots per field (20 plots; 500 m²). Observations were made fortnightly from transplanting to harvest, recording plot occurrence, damaged hills, silver shoots and affected-hill abundance. Across the study area, pooled plot occurrence was 69.17%, plant incidence was 21.99 ± 3.18%, silver shoot percentage was 9.16 ± 1.22%, and mean abundance was 4.40 ± 0.64 affected hills per 25 m² plot. Mean silver shoot percentage exceeded the 5% economic threshold level reported in the manuscript. Infestation was recorded in both villages during all three seasons, with a higher pooled plant incidence in </w:t>
      </w:r>
      <w:proofErr w:type="spellStart"/>
      <w:r w:rsidRPr="00695D58">
        <w:rPr>
          <w:rFonts w:ascii="Times New Roman" w:hAnsi="Times New Roman" w:cs="Times New Roman"/>
          <w:sz w:val="24"/>
          <w:szCs w:val="24"/>
          <w:highlight w:val="yellow"/>
        </w:rPr>
        <w:t>Appajipeta</w:t>
      </w:r>
      <w:proofErr w:type="spellEnd"/>
      <w:r w:rsidRPr="00695D58">
        <w:rPr>
          <w:rFonts w:ascii="Times New Roman" w:hAnsi="Times New Roman" w:cs="Times New Roman"/>
          <w:sz w:val="24"/>
          <w:szCs w:val="24"/>
          <w:highlight w:val="yellow"/>
        </w:rPr>
        <w:t xml:space="preserve"> than in </w:t>
      </w:r>
      <w:proofErr w:type="spellStart"/>
      <w:r w:rsidRPr="00695D58">
        <w:rPr>
          <w:rFonts w:ascii="Times New Roman" w:hAnsi="Times New Roman" w:cs="Times New Roman"/>
          <w:sz w:val="24"/>
          <w:szCs w:val="24"/>
          <w:highlight w:val="yellow"/>
        </w:rPr>
        <w:t>Khajiramaram</w:t>
      </w:r>
      <w:proofErr w:type="spellEnd"/>
      <w:r w:rsidRPr="00695D58">
        <w:rPr>
          <w:rFonts w:ascii="Times New Roman" w:hAnsi="Times New Roman" w:cs="Times New Roman"/>
          <w:sz w:val="24"/>
          <w:szCs w:val="24"/>
          <w:highlight w:val="yellow"/>
        </w:rPr>
        <w:t>. Visible silver shoots were absent at 15 days after transplanting (DAT), first appeared at 30 DAT and peaked at maximum tillering (60 DAT; 21.30 ± 1.86%). Silver shoot percentage subsequently declined after panicle initiation and reached 0.00% at harvest (120 DAT). These observations provide a local baseline for monitoring rice gall midge infestation in relation to crop growth stage.</w:t>
      </w:r>
    </w:p>
    <w:p w14:paraId="781FDD79" w14:textId="20A12A05" w:rsidR="00E83B01" w:rsidRPr="00305561" w:rsidRDefault="00E83B01"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Keywords:</w:t>
      </w:r>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oryzae</w:t>
      </w:r>
      <w:r w:rsidRPr="00305561">
        <w:rPr>
          <w:rFonts w:ascii="Times New Roman" w:hAnsi="Times New Roman" w:cs="Times New Roman"/>
          <w:sz w:val="24"/>
          <w:szCs w:val="24"/>
        </w:rPr>
        <w:t>, silver shoot, spatial distribution, seasonal dynamics, Nalgonda, rice pest</w:t>
      </w:r>
    </w:p>
    <w:p w14:paraId="798060D1" w14:textId="77777777" w:rsidR="007700AE" w:rsidRPr="00305561" w:rsidRDefault="00FE2BE1"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INTRODUCTION</w:t>
      </w:r>
    </w:p>
    <w:p w14:paraId="4D0F277D"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Cultivated Asian rice (</w:t>
      </w:r>
      <w:r>
        <w:rPr>
          <w:rFonts w:ascii="Times New Roman" w:hAnsi="Times New Roman" w:cs="Times New Roman"/>
          <w:i/>
          <w:iCs/>
          <w:sz w:val="24"/>
          <w:szCs w:val="24"/>
        </w:rPr>
        <w:t>Oryza sativa</w:t>
      </w:r>
      <w:r>
        <w:rPr>
          <w:rFonts w:ascii="Times New Roman" w:hAnsi="Times New Roman" w:cs="Times New Roman"/>
          <w:sz w:val="24"/>
          <w:szCs w:val="24"/>
        </w:rPr>
        <w:t xml:space="preserve"> L.) is the dietary foundation for more than half of the global human population and is of major importance to global food security (Choi et al., 2017; Collard et al., 2008; Das &amp; Rao, 2015). Rice is also an important cereal crop in India (Hajjar et al., 2023). Telangana is a major irrigated-rice-producing state, supported by irrigation infrastructure and intensive paddy cultivation (Bhargavi &amp; Tejomoortula, 2026). Nalgonda District, irrigated by the Nagarjuna Sagar Left Bank Canal network, the Musi River project and minor tanks, supports continuous Kharif paddy cultivation in villages such as Appajipeta and Khajiramaram.</w:t>
      </w:r>
    </w:p>
    <w:p w14:paraId="596AC019" w14:textId="77777777" w:rsidR="007700AE" w:rsidRPr="00695D58"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Intensified irrigated cultivation</w:t>
      </w:r>
      <w:r>
        <w:rPr>
          <w:rFonts w:ascii="Times New Roman" w:hAnsi="Times New Roman" w:cs="Times New Roman"/>
          <w:sz w:val="24"/>
          <w:szCs w:val="24"/>
          <w:highlight w:val="yellow"/>
        </w:rPr>
        <w:t xml:space="preserve">—including </w:t>
      </w:r>
      <w:r>
        <w:rPr>
          <w:rFonts w:ascii="Times New Roman" w:hAnsi="Times New Roman" w:cs="Times New Roman"/>
          <w:sz w:val="24"/>
          <w:szCs w:val="24"/>
        </w:rPr>
        <w:t>close hill spacing, continuous standing water, staggered transplanting, genetic uniformity and elevated nitrogen</w:t>
      </w:r>
      <w:r>
        <w:rPr>
          <w:rFonts w:ascii="Times New Roman" w:hAnsi="Times New Roman" w:cs="Times New Roman"/>
          <w:sz w:val="24"/>
          <w:szCs w:val="24"/>
          <w:highlight w:val="yellow"/>
        </w:rPr>
        <w:t>—</w:t>
      </w:r>
      <w:r>
        <w:rPr>
          <w:rFonts w:ascii="Times New Roman" w:hAnsi="Times New Roman" w:cs="Times New Roman"/>
          <w:sz w:val="24"/>
          <w:szCs w:val="24"/>
        </w:rPr>
        <w:t xml:space="preserve">may alter the canopy microclimate and host-plant nutritional status, potentially influencing pest occurrence (Peñalver-Cruz &amp; Horgan, 2022; Rawat et al., 2012). Numerous insect species feed on rice, and several are economically important pests in South and Southeast Asia (Pathak &amp; Khan, 1994). Among these, </w:t>
      </w:r>
      <w:r>
        <w:rPr>
          <w:rFonts w:ascii="Times New Roman" w:hAnsi="Times New Roman" w:cs="Times New Roman"/>
          <w:i/>
          <w:iCs/>
          <w:sz w:val="24"/>
          <w:szCs w:val="24"/>
        </w:rPr>
        <w:t>Orseolia oryzae</w:t>
      </w:r>
      <w:r>
        <w:rPr>
          <w:rFonts w:ascii="Times New Roman" w:hAnsi="Times New Roman" w:cs="Times New Roman"/>
          <w:sz w:val="24"/>
          <w:szCs w:val="24"/>
        </w:rPr>
        <w:t xml:space="preserve"> is an economically important rice pest that also occurs in Telangana (Bentur et al., 2016; Bhargavi &amp; Tejomoortula, 2026; Pathak &amp; Khan, 1994; Saicharan et al., 2025). Infestation can cause substantial production losses by transforming productive tillers into sterile silver shoots (Agarrwal et al., 2014; Bentur et al., 2016; Rawat et al., 2012).</w:t>
      </w:r>
    </w:p>
    <w:p w14:paraId="6F58692E" w14:textId="77777777" w:rsidR="00F60031" w:rsidRPr="00695D58" w:rsidRDefault="00000000" w:rsidP="00695D58">
      <w:pPr>
        <w:spacing w:after="0" w:line="360" w:lineRule="auto"/>
        <w:jc w:val="both"/>
        <w:rPr>
          <w:rFonts w:ascii="Times New Roman" w:hAnsi="Times New Roman" w:cs="Times New Roman"/>
          <w:sz w:val="24"/>
          <w:szCs w:val="24"/>
        </w:rPr>
      </w:pPr>
      <w:r w:rsidRPr="00695D58">
        <w:rPr>
          <w:rFonts w:ascii="Times New Roman" w:hAnsi="Times New Roman"/>
          <w:sz w:val="24"/>
          <w:highlight w:val="yellow"/>
        </w:rPr>
        <w:t>A field evaluation of rice genotypes in Warangal, Telangana, has documented differences in plant damage and silver-shoot incidence under natural gall-midge infestation, indicating variation in injury among the tested genotypes (Malathi et al., 2026).</w:t>
      </w:r>
    </w:p>
    <w:p w14:paraId="2DC7EB58" w14:textId="77777777" w:rsidR="007700AE" w:rsidRPr="00695D58"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Severe gall-midge infestations can reduce grain yield considerably by suppressing productive tiller development (Bentur et al., 2016; Bhargavi &amp; Tejomoortula, 2026). The economic threshold level is 5.0% silver shoots (or 1 silver shoot per square metre at active tillering) (Hajjar et al., 2023). Several Telangana rice-growing areas have recorded gall-midge infestation and biotype variation (Saicharan et al., 2025; Seni et al., 2023). In Nalgonda Mandal, the influence of cultivar susceptibility and local seasonal conditions warrants field-based monitoring.</w:t>
      </w:r>
    </w:p>
    <w:p w14:paraId="699C5C84" w14:textId="77777777" w:rsidR="00F60031" w:rsidRPr="00695D58" w:rsidRDefault="00000000" w:rsidP="00695D58">
      <w:pPr>
        <w:spacing w:after="0" w:line="360" w:lineRule="auto"/>
        <w:jc w:val="both"/>
        <w:rPr>
          <w:rFonts w:ascii="Times New Roman" w:hAnsi="Times New Roman" w:cs="Times New Roman"/>
          <w:sz w:val="24"/>
          <w:szCs w:val="24"/>
        </w:rPr>
      </w:pPr>
      <w:r w:rsidRPr="00695D58">
        <w:rPr>
          <w:rFonts w:ascii="Times New Roman" w:hAnsi="Times New Roman"/>
          <w:sz w:val="24"/>
          <w:highlight w:val="yellow"/>
        </w:rPr>
        <w:t>A recent review of agricultural insect pests identifies temperature, precipitation and host-plant availability as factors that can affect insect phenology, providing broader context for season-specific pest monitoring (Tetarwal et al., 2026).</w:t>
      </w:r>
    </w:p>
    <w:p w14:paraId="2E963415" w14:textId="77777777" w:rsidR="00F60031" w:rsidRPr="00695D58" w:rsidRDefault="00000000" w:rsidP="00695D58">
      <w:pPr>
        <w:spacing w:after="0" w:line="360" w:lineRule="auto"/>
        <w:jc w:val="both"/>
        <w:rPr>
          <w:rFonts w:ascii="Times New Roman" w:hAnsi="Times New Roman" w:cs="Times New Roman"/>
          <w:sz w:val="24"/>
          <w:szCs w:val="24"/>
        </w:rPr>
      </w:pPr>
      <w:r w:rsidRPr="00695D58">
        <w:rPr>
          <w:rFonts w:ascii="Times New Roman" w:hAnsi="Times New Roman"/>
          <w:sz w:val="24"/>
          <w:highlight w:val="yellow"/>
        </w:rPr>
        <w:t>Field observations from neighbouring Andhra Pradesh have also documented seasonal changes in Asian rice gall-midge catches and silver-shoot incidence (Paramasiva et al., 2025).</w:t>
      </w:r>
    </w:p>
    <w:p w14:paraId="5358D455" w14:textId="77777777" w:rsidR="007700AE" w:rsidRPr="00695D58"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O. oryzae</w:t>
      </w:r>
      <w:r>
        <w:rPr>
          <w:rFonts w:ascii="Times New Roman" w:hAnsi="Times New Roman" w:cs="Times New Roman"/>
          <w:sz w:val="24"/>
          <w:szCs w:val="24"/>
        </w:rPr>
        <w:t xml:space="preserve"> is an obligate holometabolous endoparasite of vegetative rice tillers (Bhargavi &amp; Tejomoortula, 2026; Harris et al., 2003). Adults are nocturnal, short-lived and non-feeding; females deposit 100–350 eggs near the ligule or outer leaf sheath (Bhargavi &amp; Tejomoortula, 2026). Neonate larvae must reach an undifferentiated vegetative apical meristem, inducing cecidogenesis that produces the characteristic hollow silver shoot (Agarrwal et al., 2014; Rawat et al., 2012; Sinha et al., 2012). The pest is strictly synchronised with the vegetative phase: visible gall</w:t>
      </w:r>
      <w:r>
        <w:rPr>
          <w:rFonts w:ascii="Times New Roman" w:hAnsi="Times New Roman" w:cs="Times New Roman"/>
          <w:sz w:val="24"/>
          <w:szCs w:val="24"/>
          <w:highlight w:val="yellow"/>
        </w:rPr>
        <w:t xml:space="preserve"> incidence i</w:t>
      </w:r>
      <w:r>
        <w:rPr>
          <w:rFonts w:ascii="Times New Roman" w:hAnsi="Times New Roman" w:cs="Times New Roman"/>
          <w:sz w:val="24"/>
          <w:szCs w:val="24"/>
        </w:rPr>
        <w:t>s absent at early vegetative stages (~15 DAT), peak</w:t>
      </w:r>
      <w:r>
        <w:rPr>
          <w:rFonts w:ascii="Times New Roman" w:hAnsi="Times New Roman" w:cs="Times New Roman"/>
          <w:sz w:val="24"/>
          <w:szCs w:val="24"/>
          <w:highlight w:val="yellow"/>
        </w:rPr>
        <w:t>s</w:t>
      </w:r>
      <w:r>
        <w:rPr>
          <w:rFonts w:ascii="Times New Roman" w:hAnsi="Times New Roman" w:cs="Times New Roman"/>
          <w:sz w:val="24"/>
          <w:szCs w:val="24"/>
        </w:rPr>
        <w:t xml:space="preserve"> at maximum tillering (~60 DAT) and cease</w:t>
      </w:r>
      <w:r>
        <w:rPr>
          <w:rFonts w:ascii="Times New Roman" w:hAnsi="Times New Roman" w:cs="Times New Roman"/>
          <w:sz w:val="24"/>
          <w:szCs w:val="24"/>
          <w:highlight w:val="yellow"/>
        </w:rPr>
        <w:t>s</w:t>
      </w:r>
      <w:r>
        <w:rPr>
          <w:rFonts w:ascii="Times New Roman" w:hAnsi="Times New Roman" w:cs="Times New Roman"/>
          <w:sz w:val="24"/>
          <w:szCs w:val="24"/>
        </w:rPr>
        <w:t xml:space="preserve"> after panicle initiation (~75 DAT) because meristem differentiation and lignification terminate host suitability (Harris et al., 2003; Seni et al., 2023).</w:t>
      </w:r>
    </w:p>
    <w:p w14:paraId="11D69E64" w14:textId="77777777" w:rsidR="00F60031" w:rsidRPr="00695D58" w:rsidRDefault="00000000" w:rsidP="00695D58">
      <w:pPr>
        <w:spacing w:after="0" w:line="360" w:lineRule="auto"/>
        <w:jc w:val="both"/>
        <w:rPr>
          <w:rFonts w:ascii="Times New Roman" w:hAnsi="Times New Roman" w:cs="Times New Roman"/>
          <w:sz w:val="24"/>
          <w:szCs w:val="24"/>
        </w:rPr>
      </w:pPr>
      <w:r w:rsidRPr="00695D58">
        <w:rPr>
          <w:rFonts w:ascii="Times New Roman" w:hAnsi="Times New Roman"/>
          <w:sz w:val="24"/>
          <w:highlight w:val="yellow"/>
        </w:rPr>
        <w:t xml:space="preserve">Experimental screening of rice landraces has identified both antixenosis and antibiosis as mechanisms of resistance to </w:t>
      </w:r>
      <w:r w:rsidRPr="00695D58">
        <w:rPr>
          <w:rFonts w:ascii="Times New Roman" w:hAnsi="Times New Roman"/>
          <w:i/>
          <w:sz w:val="24"/>
          <w:highlight w:val="yellow"/>
        </w:rPr>
        <w:t>O. oryzae</w:t>
      </w:r>
      <w:r w:rsidRPr="00695D58">
        <w:rPr>
          <w:rFonts w:ascii="Times New Roman" w:hAnsi="Times New Roman"/>
          <w:sz w:val="24"/>
          <w:highlight w:val="yellow"/>
        </w:rPr>
        <w:t xml:space="preserve"> (Sahu et al., 2024).</w:t>
      </w:r>
    </w:p>
    <w:p w14:paraId="7187302D" w14:textId="77777777" w:rsidR="00F60031" w:rsidRPr="00695D58" w:rsidRDefault="00000000" w:rsidP="00695D58">
      <w:pPr>
        <w:spacing w:after="0" w:line="360" w:lineRule="auto"/>
        <w:jc w:val="both"/>
        <w:rPr>
          <w:rFonts w:ascii="Times New Roman" w:hAnsi="Times New Roman" w:cs="Times New Roman"/>
          <w:sz w:val="24"/>
          <w:szCs w:val="24"/>
        </w:rPr>
      </w:pPr>
      <w:r w:rsidRPr="00695D58">
        <w:rPr>
          <w:rFonts w:ascii="Times New Roman" w:hAnsi="Times New Roman"/>
          <w:sz w:val="24"/>
          <w:highlight w:val="yellow"/>
        </w:rPr>
        <w:t xml:space="preserve">Recent germplasm screening has further associated resistance to </w:t>
      </w:r>
      <w:r w:rsidRPr="00695D58">
        <w:rPr>
          <w:rFonts w:ascii="Times New Roman" w:hAnsi="Times New Roman"/>
          <w:i/>
          <w:sz w:val="24"/>
          <w:highlight w:val="yellow"/>
        </w:rPr>
        <w:t>O. oryzae</w:t>
      </w:r>
      <w:r w:rsidRPr="00695D58">
        <w:rPr>
          <w:rFonts w:ascii="Times New Roman" w:hAnsi="Times New Roman"/>
          <w:sz w:val="24"/>
          <w:highlight w:val="yellow"/>
        </w:rPr>
        <w:t xml:space="preserve"> with variation in seedling morphological and physiological traits, including leaf-sheath characteristics (Huang et al., 2026).</w:t>
      </w:r>
    </w:p>
    <w:p w14:paraId="6A5023FC" w14:textId="77777777" w:rsidR="007700AE"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extensive research </w:t>
      </w:r>
      <w:r>
        <w:rPr>
          <w:rFonts w:ascii="Times New Roman" w:hAnsi="Times New Roman" w:cs="Times New Roman"/>
          <w:sz w:val="24"/>
          <w:szCs w:val="24"/>
          <w:highlight w:val="yellow"/>
        </w:rPr>
        <w:t>has b</w:t>
      </w:r>
      <w:r>
        <w:rPr>
          <w:rFonts w:ascii="Times New Roman" w:hAnsi="Times New Roman" w:cs="Times New Roman"/>
          <w:sz w:val="24"/>
          <w:szCs w:val="24"/>
        </w:rPr>
        <w:t>e</w:t>
      </w:r>
      <w:r>
        <w:rPr>
          <w:rFonts w:ascii="Times New Roman" w:hAnsi="Times New Roman" w:cs="Times New Roman"/>
          <w:sz w:val="24"/>
          <w:szCs w:val="24"/>
          <w:highlight w:val="yellow"/>
        </w:rPr>
        <w:t>en conduc</w:t>
      </w:r>
      <w:r>
        <w:rPr>
          <w:rFonts w:ascii="Times New Roman" w:hAnsi="Times New Roman" w:cs="Times New Roman"/>
          <w:sz w:val="24"/>
          <w:szCs w:val="24"/>
        </w:rPr>
        <w:t>t</w:t>
      </w:r>
      <w:r>
        <w:rPr>
          <w:rFonts w:ascii="Times New Roman" w:hAnsi="Times New Roman" w:cs="Times New Roman"/>
          <w:sz w:val="24"/>
          <w:szCs w:val="24"/>
          <w:highlight w:val="yellow"/>
        </w:rPr>
        <w:t>ed</w:t>
      </w:r>
      <w:r>
        <w:rPr>
          <w:rFonts w:ascii="Times New Roman" w:hAnsi="Times New Roman" w:cs="Times New Roman"/>
          <w:sz w:val="24"/>
          <w:szCs w:val="24"/>
        </w:rPr>
        <w:t xml:space="preserve"> at centres in Warangal, Jagtial, Rudrur and other locations, fine-scale</w:t>
      </w:r>
      <w:r>
        <w:rPr>
          <w:rFonts w:ascii="Times New Roman" w:hAnsi="Times New Roman" w:cs="Times New Roman"/>
          <w:sz w:val="24"/>
          <w:szCs w:val="24"/>
          <w:highlight w:val="yellow"/>
        </w:rPr>
        <w:t>,</w:t>
      </w:r>
      <w:r>
        <w:rPr>
          <w:rFonts w:ascii="Times New Roman" w:hAnsi="Times New Roman" w:cs="Times New Roman"/>
          <w:sz w:val="24"/>
          <w:szCs w:val="24"/>
        </w:rPr>
        <w:t xml:space="preserve"> multi-season spatial and phenological baseline</w:t>
      </w:r>
      <w:r>
        <w:rPr>
          <w:rFonts w:ascii="Times New Roman" w:hAnsi="Times New Roman" w:cs="Times New Roman"/>
          <w:sz w:val="24"/>
          <w:szCs w:val="24"/>
          <w:highlight w:val="yellow"/>
        </w:rPr>
        <w:t xml:space="preserve"> data</w:t>
      </w:r>
      <w:r>
        <w:rPr>
          <w:rFonts w:ascii="Times New Roman" w:hAnsi="Times New Roman" w:cs="Times New Roman"/>
          <w:sz w:val="24"/>
          <w:szCs w:val="24"/>
        </w:rPr>
        <w:t xml:space="preserve"> were lacking for the canal-irrigated belt of Nalgonda Mandal (Saicharan et al., 2025). The present study therefore assessed occurrence, distribution, abundance and infestation levels of </w:t>
      </w:r>
      <w:r>
        <w:rPr>
          <w:rFonts w:ascii="Times New Roman" w:hAnsi="Times New Roman" w:cs="Times New Roman"/>
          <w:i/>
          <w:iCs/>
          <w:sz w:val="24"/>
          <w:szCs w:val="24"/>
        </w:rPr>
        <w:t>O. oryzae</w:t>
      </w:r>
      <w:r>
        <w:rPr>
          <w:rFonts w:ascii="Times New Roman" w:hAnsi="Times New Roman" w:cs="Times New Roman"/>
          <w:sz w:val="24"/>
          <w:szCs w:val="24"/>
        </w:rPr>
        <w:t xml:space="preserve"> and its seasonal incidence and population dynamics in relation to rice growth stages during Kharif 2023–2025.</w:t>
      </w:r>
    </w:p>
    <w:p w14:paraId="69CB256D" w14:textId="77777777" w:rsidR="00695D58" w:rsidRPr="00305561" w:rsidRDefault="00695D58" w:rsidP="00695D58">
      <w:pPr>
        <w:spacing w:after="0" w:line="360" w:lineRule="auto"/>
        <w:jc w:val="both"/>
        <w:rPr>
          <w:rFonts w:ascii="Times New Roman" w:hAnsi="Times New Roman" w:cs="Times New Roman"/>
          <w:sz w:val="24"/>
          <w:szCs w:val="24"/>
        </w:rPr>
      </w:pPr>
    </w:p>
    <w:p w14:paraId="1F815B48" w14:textId="77777777" w:rsidR="007700AE" w:rsidRPr="00305561" w:rsidRDefault="00FE2BE1"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MATERIALS AND METHODS</w:t>
      </w:r>
    </w:p>
    <w:p w14:paraId="40979FBD" w14:textId="77777777" w:rsidR="002635BD"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field investigation was conducted in the rice-growing agro-ecosystem of Appajipeta and Khajiramaram villages, Nalgonda Mandal, Nalgonda District, Telangana State, India. These villages were selected </w:t>
      </w:r>
      <w:r>
        <w:rPr>
          <w:rFonts w:ascii="Times New Roman" w:hAnsi="Times New Roman" w:cs="Times New Roman"/>
          <w:sz w:val="24"/>
          <w:szCs w:val="24"/>
          <w:highlight w:val="yellow"/>
        </w:rPr>
        <w:t>because o</w:t>
      </w:r>
      <w:r>
        <w:rPr>
          <w:rFonts w:ascii="Times New Roman" w:hAnsi="Times New Roman" w:cs="Times New Roman"/>
          <w:sz w:val="24"/>
          <w:szCs w:val="24"/>
        </w:rPr>
        <w:t>f</w:t>
      </w:r>
      <w:r>
        <w:rPr>
          <w:rFonts w:ascii="Times New Roman" w:hAnsi="Times New Roman" w:cs="Times New Roman"/>
          <w:sz w:val="24"/>
          <w:szCs w:val="24"/>
          <w:highlight w:val="yellow"/>
        </w:rPr>
        <w:t xml:space="preserve"> thei</w:t>
      </w:r>
      <w:r>
        <w:rPr>
          <w:rFonts w:ascii="Times New Roman" w:hAnsi="Times New Roman" w:cs="Times New Roman"/>
          <w:sz w:val="24"/>
          <w:szCs w:val="24"/>
        </w:rPr>
        <w:t>r continuous Kharif paddy cultivation and suitability for repeated ecological monitoring (Bhargavi &amp; Tejomoortula, 2026; Paramasiva et al., 2025). A hierarchical multi-stage sampling design was adopted. In each village, two independent paddy fields (Field I and Field II) were selected (four fields total). Within each field, five fixed sampling plots (Plot I to Plot V) measuring 5 m × 5 m (25 m²) were demarcated, resulting in 20 plots and a total sampled area of 500 m². Fields followed similar agronomic practices with respect to variety, fertili</w:t>
      </w:r>
      <w:r>
        <w:rPr>
          <w:rFonts w:ascii="Times New Roman" w:hAnsi="Times New Roman" w:cs="Times New Roman"/>
          <w:sz w:val="24"/>
          <w:szCs w:val="24"/>
          <w:highlight w:val="yellow"/>
        </w:rPr>
        <w:t>s</w:t>
      </w:r>
      <w:r>
        <w:rPr>
          <w:rFonts w:ascii="Times New Roman" w:hAnsi="Times New Roman" w:cs="Times New Roman"/>
          <w:sz w:val="24"/>
          <w:szCs w:val="24"/>
        </w:rPr>
        <w:t xml:space="preserve">er application, irrigation and pesticide history. </w:t>
      </w:r>
      <w:r>
        <w:rPr>
          <w:rFonts w:ascii="Times New Roman" w:hAnsi="Times New Roman" w:cs="Times New Roman"/>
          <w:sz w:val="24"/>
          <w:szCs w:val="24"/>
          <w:highlight w:val="yellow"/>
        </w:rPr>
        <w:t>The g</w:t>
      </w:r>
      <w:r>
        <w:rPr>
          <w:rFonts w:ascii="Times New Roman" w:hAnsi="Times New Roman" w:cs="Times New Roman"/>
          <w:sz w:val="24"/>
          <w:szCs w:val="24"/>
        </w:rPr>
        <w:t>eographical coordinates of the four fields were</w:t>
      </w:r>
      <w:r>
        <w:rPr>
          <w:rFonts w:ascii="Times New Roman" w:hAnsi="Times New Roman" w:cs="Times New Roman"/>
          <w:sz w:val="24"/>
          <w:szCs w:val="24"/>
          <w:highlight w:val="yellow"/>
        </w:rPr>
        <w:t xml:space="preserve"> as follows</w:t>
      </w:r>
      <w:r>
        <w:rPr>
          <w:rFonts w:ascii="Times New Roman" w:hAnsi="Times New Roman" w:cs="Times New Roman"/>
          <w:sz w:val="24"/>
          <w:szCs w:val="24"/>
        </w:rPr>
        <w:t>: Appajipeta Field I (17.1148189°N, 79.1772166°E), Field II (17.1142479°N, 79.1754211°E); Khajiramaram Field I (17.0747334°N, 79.3356680°E), Field II (17.0735709°N, 79.3353616°E) (Fig. 1).</w:t>
      </w:r>
    </w:p>
    <w:p w14:paraId="13D7F38C" w14:textId="77777777" w:rsidR="00597AD2" w:rsidRPr="00305561" w:rsidRDefault="00597AD2"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noProof/>
          <w:sz w:val="24"/>
          <w:szCs w:val="24"/>
        </w:rPr>
        <w:lastRenderedPageBreak/>
        <w:drawing>
          <wp:inline distT="0" distB="0" distL="0" distR="0" wp14:anchorId="3A8FC473" wp14:editId="1DB91A72">
            <wp:extent cx="5615940" cy="3600450"/>
            <wp:effectExtent l="19050" t="19050" r="22860" b="19050"/>
            <wp:docPr id="81902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65" t="1592" r="1351" b="3990"/>
                    <a:stretch>
                      <a:fillRect/>
                    </a:stretch>
                  </pic:blipFill>
                  <pic:spPr bwMode="auto">
                    <a:xfrm>
                      <a:off x="0" y="0"/>
                      <a:ext cx="5615940" cy="360045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A70C30" w14:textId="77777777" w:rsidR="00597AD2" w:rsidRPr="00305561" w:rsidRDefault="00597AD2" w:rsidP="00695D58">
      <w:pPr>
        <w:spacing w:after="0" w:line="360" w:lineRule="auto"/>
        <w:jc w:val="both"/>
        <w:rPr>
          <w:rFonts w:ascii="Times New Roman" w:hAnsi="Times New Roman" w:cs="Times New Roman"/>
          <w:sz w:val="24"/>
          <w:szCs w:val="24"/>
        </w:rPr>
      </w:pPr>
      <w:r w:rsidRPr="00597AD2">
        <w:rPr>
          <w:rFonts w:ascii="Times New Roman" w:hAnsi="Times New Roman" w:cs="Times New Roman"/>
          <w:b/>
          <w:bCs/>
          <w:sz w:val="24"/>
          <w:szCs w:val="24"/>
        </w:rPr>
        <w:t>Fig. 1</w:t>
      </w:r>
      <w:r w:rsidRPr="00597AD2">
        <w:rPr>
          <w:rFonts w:ascii="Times New Roman" w:hAnsi="Times New Roman" w:cs="Times New Roman"/>
          <w:sz w:val="24"/>
          <w:szCs w:val="24"/>
        </w:rPr>
        <w:t xml:space="preserve">. Study area map showing </w:t>
      </w:r>
      <w:proofErr w:type="spellStart"/>
      <w:r w:rsidRPr="00597AD2">
        <w:rPr>
          <w:rFonts w:ascii="Times New Roman" w:hAnsi="Times New Roman" w:cs="Times New Roman"/>
          <w:sz w:val="24"/>
          <w:szCs w:val="24"/>
        </w:rPr>
        <w:t>Appajipeta</w:t>
      </w:r>
      <w:proofErr w:type="spellEnd"/>
      <w:r w:rsidRPr="00597AD2">
        <w:rPr>
          <w:rFonts w:ascii="Times New Roman" w:hAnsi="Times New Roman" w:cs="Times New Roman"/>
          <w:sz w:val="24"/>
          <w:szCs w:val="24"/>
        </w:rPr>
        <w:t xml:space="preserve"> and </w:t>
      </w:r>
      <w:proofErr w:type="spellStart"/>
      <w:r w:rsidRPr="00597AD2">
        <w:rPr>
          <w:rFonts w:ascii="Times New Roman" w:hAnsi="Times New Roman" w:cs="Times New Roman"/>
          <w:sz w:val="24"/>
          <w:szCs w:val="24"/>
        </w:rPr>
        <w:t>Khajiramaram</w:t>
      </w:r>
      <w:proofErr w:type="spellEnd"/>
      <w:r w:rsidRPr="00597AD2">
        <w:rPr>
          <w:rFonts w:ascii="Times New Roman" w:hAnsi="Times New Roman" w:cs="Times New Roman"/>
          <w:sz w:val="24"/>
          <w:szCs w:val="24"/>
        </w:rPr>
        <w:t xml:space="preserve"> villages</w:t>
      </w:r>
    </w:p>
    <w:p w14:paraId="498B6E78" w14:textId="77777777" w:rsidR="00305561" w:rsidRDefault="00305561" w:rsidP="00695D58">
      <w:pPr>
        <w:spacing w:after="0" w:line="360" w:lineRule="auto"/>
        <w:jc w:val="both"/>
        <w:rPr>
          <w:rFonts w:ascii="Times New Roman" w:hAnsi="Times New Roman" w:cs="Times New Roman"/>
          <w:sz w:val="24"/>
          <w:szCs w:val="24"/>
        </w:rPr>
      </w:pPr>
    </w:p>
    <w:p w14:paraId="0519D40E"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Field observations were carried out during three consecutive Kharif seasons (2023, 2024 and 2025) at fortnightly (15-day) intervals from transplanting to harvest. In each 5 m × 5 m plot, 20 rice hills were randomly selected on every sampling date (100 hills per field), with </w:t>
      </w:r>
      <w:r>
        <w:rPr>
          <w:rFonts w:ascii="Times New Roman" w:hAnsi="Times New Roman" w:cs="Times New Roman"/>
          <w:sz w:val="24"/>
          <w:szCs w:val="24"/>
          <w:highlight w:val="yellow"/>
        </w:rPr>
        <w:t>a n</w:t>
      </w:r>
      <w:r>
        <w:rPr>
          <w:rFonts w:ascii="Times New Roman" w:hAnsi="Times New Roman" w:cs="Times New Roman"/>
          <w:sz w:val="24"/>
          <w:szCs w:val="24"/>
        </w:rPr>
        <w:t>e</w:t>
      </w:r>
      <w:r>
        <w:rPr>
          <w:rFonts w:ascii="Times New Roman" w:hAnsi="Times New Roman" w:cs="Times New Roman"/>
          <w:sz w:val="24"/>
          <w:szCs w:val="24"/>
          <w:highlight w:val="yellow"/>
        </w:rPr>
        <w:t>w</w:t>
      </w:r>
      <w:r>
        <w:rPr>
          <w:rFonts w:ascii="Times New Roman" w:hAnsi="Times New Roman" w:cs="Times New Roman"/>
          <w:sz w:val="24"/>
          <w:szCs w:val="24"/>
        </w:rPr>
        <w:t xml:space="preserve"> random selection at each visit. Data on pest occurrence, number of infested plants, total tillers and number of silver shoots were recorded.</w:t>
      </w:r>
    </w:p>
    <w:p w14:paraId="4AE8C420" w14:textId="77777777" w:rsidR="007700AE" w:rsidRPr="00305561" w:rsidRDefault="007700AE"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Occurrence and spatial distribution were assessed at plot, field and village levels. A plot was considered positive when one or more hills showed characteristic silver shoots or live developmental stages. Occurrence (%) = (Number of sampling plots positive for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 Total number of sampling plots examined) × 100. Plant-level pest incidence (%) = (Number of pest-affected hills / Total number of hills examined) × 100. Silver shoot percentage (SS%) = (Number of silver shoots observed / Total number of tillers examined) × 100. Mean pest abundance (hills / 20 hills / 25 m² plot) = Total number of pest-affected hills recorded across plots / Total number of sampling plots examined.</w:t>
      </w:r>
    </w:p>
    <w:p w14:paraId="5EB8CB73" w14:textId="77777777" w:rsidR="007700AE" w:rsidRPr="00305561" w:rsidRDefault="007700AE"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Fortnightly data on pest incidence (%), SS% and mean pest abundance for Kharif 2023, 2024 and 2025 were arranged chronologically to identify onset, peak and decline. Seasonal mean incidence (%) = (Σ Incidence (%) of all sampling occasions) / Total number of sampling occasions in the season. Pest population fluctuations were related to rice phenological stages </w:t>
      </w:r>
      <w:r w:rsidRPr="00305561">
        <w:rPr>
          <w:rFonts w:ascii="Times New Roman" w:hAnsi="Times New Roman" w:cs="Times New Roman"/>
          <w:sz w:val="24"/>
          <w:szCs w:val="24"/>
        </w:rPr>
        <w:lastRenderedPageBreak/>
        <w:t>(early vegetative, active tillering, maximum tillering, panicle initiation and reproductive stages), determined by visual observation following standard agronomic descriptors.</w:t>
      </w:r>
    </w:p>
    <w:p w14:paraId="7261F415"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 field data were compiled in Microsoft Excel and analysed using SPSS version 26. Mean, range, standard deviation (SD), standard error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mean (SEm±) and </w:t>
      </w:r>
      <w:r>
        <w:rPr>
          <w:rFonts w:ascii="Times New Roman" w:hAnsi="Times New Roman" w:cs="Times New Roman"/>
          <w:sz w:val="24"/>
          <w:szCs w:val="24"/>
          <w:highlight w:val="yellow"/>
        </w:rPr>
        <w:t>c</w:t>
      </w:r>
      <w:r>
        <w:rPr>
          <w:rFonts w:ascii="Times New Roman" w:hAnsi="Times New Roman" w:cs="Times New Roman"/>
          <w:sz w:val="24"/>
          <w:szCs w:val="24"/>
        </w:rPr>
        <w:t xml:space="preserve">ritical </w:t>
      </w:r>
      <w:r>
        <w:rPr>
          <w:rFonts w:ascii="Times New Roman" w:hAnsi="Times New Roman" w:cs="Times New Roman"/>
          <w:sz w:val="24"/>
          <w:szCs w:val="24"/>
          <w:highlight w:val="yellow"/>
        </w:rPr>
        <w:t>d</w:t>
      </w:r>
      <w:r>
        <w:rPr>
          <w:rFonts w:ascii="Times New Roman" w:hAnsi="Times New Roman" w:cs="Times New Roman"/>
          <w:sz w:val="24"/>
          <w:szCs w:val="24"/>
        </w:rPr>
        <w:t>ifference (CD at 5% probability via one-way ANOVA) were calculated for spatial and temporal variations.</w:t>
      </w:r>
    </w:p>
    <w:p w14:paraId="32DDCCC1" w14:textId="77777777" w:rsidR="007700AE" w:rsidRPr="00305561" w:rsidRDefault="00FE2BE1"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RESULTS</w:t>
      </w:r>
    </w:p>
    <w:p w14:paraId="0204DD29" w14:textId="77777777" w:rsidR="0086719E" w:rsidRPr="00305561" w:rsidRDefault="0086719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Natural field infestation of </w:t>
      </w:r>
      <w:r>
        <w:rPr>
          <w:rFonts w:ascii="Times New Roman" w:hAnsi="Times New Roman" w:cs="Times New Roman"/>
          <w:i/>
          <w:sz w:val="24"/>
          <w:szCs w:val="24"/>
          <w:highlight w:val="yellow"/>
        </w:rPr>
        <w:t>Orseolia oryzae</w:t>
      </w:r>
      <w:r>
        <w:rPr>
          <w:rFonts w:ascii="Times New Roman" w:hAnsi="Times New Roman" w:cs="Times New Roman"/>
          <w:sz w:val="24"/>
          <w:szCs w:val="24"/>
        </w:rPr>
        <w:t xml:space="preserve"> was recorded during three consecutive Kharif seasons (2023, 2024 and 2025) in Appajipeta and Khajiramaram villages of Nalgonda Mandal using a hierarchical multi-stage sampling design. The pest was present in both villages throughout the study period and exhibited clear spatial and temporal patterns. </w:t>
      </w:r>
      <w:r>
        <w:rPr>
          <w:rFonts w:ascii="Times New Roman" w:hAnsi="Times New Roman" w:cs="Times New Roman"/>
          <w:sz w:val="24"/>
          <w:szCs w:val="24"/>
          <w:highlight w:val="yellow"/>
        </w:rPr>
        <w:t>S</w:t>
      </w:r>
      <w:r>
        <w:rPr>
          <w:rFonts w:ascii="Times New Roman" w:hAnsi="Times New Roman" w:cs="Times New Roman"/>
          <w:sz w:val="24"/>
          <w:szCs w:val="24"/>
        </w:rPr>
        <w:t>ilver shoot percentage remained above the economic threshold level, while</w:t>
      </w:r>
      <w:r>
        <w:rPr>
          <w:rFonts w:ascii="Times New Roman" w:hAnsi="Times New Roman" w:cs="Times New Roman"/>
          <w:sz w:val="24"/>
          <w:szCs w:val="24"/>
          <w:highlight w:val="yellow"/>
        </w:rPr>
        <w:t xml:space="preserve"> plot-level occurrence, plant incidence and abundance were also recorded, and</w:t>
      </w:r>
      <w:r>
        <w:rPr>
          <w:rFonts w:ascii="Times New Roman" w:hAnsi="Times New Roman" w:cs="Times New Roman"/>
          <w:sz w:val="24"/>
          <w:szCs w:val="24"/>
        </w:rPr>
        <w:t xml:space="preserve"> the population followed a distinct unimodal seasonal curve tightly synchronised with the vegetative growth stages of rice. Detailed spatial distribution and infestation levels are presented in Section 4.1, and the seasonal population dynamics in relation to crop phenology are described in Section 4.2.</w:t>
      </w:r>
    </w:p>
    <w:p w14:paraId="0FA52798"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Occurrence, Spatial Distribution, Infestation Levels, and Abundance of </w:t>
      </w:r>
      <w:r>
        <w:rPr>
          <w:rFonts w:ascii="Times New Roman" w:hAnsi="Times New Roman" w:cs="Times New Roman"/>
          <w:b/>
          <w:bCs/>
          <w:i/>
          <w:iCs/>
          <w:sz w:val="24"/>
          <w:szCs w:val="24"/>
        </w:rPr>
        <w:t>Orseolia oryzae</w:t>
      </w:r>
      <w:r>
        <w:rPr>
          <w:rFonts w:ascii="Times New Roman" w:hAnsi="Times New Roman" w:cs="Times New Roman"/>
          <w:sz w:val="24"/>
          <w:szCs w:val="24"/>
        </w:rPr>
        <w:t xml:space="preserve">: The pest was present in both study villages during all three consecutive Kharif seasons and </w:t>
      </w:r>
      <w:r>
        <w:rPr>
          <w:rFonts w:ascii="Times New Roman" w:hAnsi="Times New Roman" w:cs="Times New Roman"/>
          <w:sz w:val="24"/>
          <w:szCs w:val="24"/>
          <w:highlight w:val="yellow"/>
        </w:rPr>
        <w:t>sho</w:t>
      </w:r>
      <w:r>
        <w:rPr>
          <w:rFonts w:ascii="Times New Roman" w:hAnsi="Times New Roman" w:cs="Times New Roman"/>
          <w:sz w:val="24"/>
          <w:szCs w:val="24"/>
        </w:rPr>
        <w:t>w</w:t>
      </w:r>
      <w:r>
        <w:rPr>
          <w:rFonts w:ascii="Times New Roman" w:hAnsi="Times New Roman" w:cs="Times New Roman"/>
          <w:sz w:val="24"/>
          <w:szCs w:val="24"/>
          <w:highlight w:val="yellow"/>
        </w:rPr>
        <w:t>ed per</w:t>
      </w:r>
      <w:r>
        <w:rPr>
          <w:rFonts w:ascii="Times New Roman" w:hAnsi="Times New Roman" w:cs="Times New Roman"/>
          <w:sz w:val="24"/>
          <w:szCs w:val="24"/>
        </w:rPr>
        <w:t>s</w:t>
      </w:r>
      <w:r>
        <w:rPr>
          <w:rFonts w:ascii="Times New Roman" w:hAnsi="Times New Roman" w:cs="Times New Roman"/>
          <w:sz w:val="24"/>
          <w:szCs w:val="24"/>
          <w:highlight w:val="yellow"/>
        </w:rPr>
        <w:t>ist</w:t>
      </w:r>
      <w:r>
        <w:rPr>
          <w:rFonts w:ascii="Times New Roman" w:hAnsi="Times New Roman" w:cs="Times New Roman"/>
          <w:sz w:val="24"/>
          <w:szCs w:val="24"/>
        </w:rPr>
        <w:t>en</w:t>
      </w:r>
      <w:r>
        <w:rPr>
          <w:rFonts w:ascii="Times New Roman" w:hAnsi="Times New Roman" w:cs="Times New Roman"/>
          <w:sz w:val="24"/>
          <w:szCs w:val="24"/>
          <w:highlight w:val="yellow"/>
        </w:rPr>
        <w:t>t occurr</w:t>
      </w:r>
      <w:r>
        <w:rPr>
          <w:rFonts w:ascii="Times New Roman" w:hAnsi="Times New Roman" w:cs="Times New Roman"/>
          <w:sz w:val="24"/>
          <w:szCs w:val="24"/>
        </w:rPr>
        <w:t>e</w:t>
      </w:r>
      <w:r>
        <w:rPr>
          <w:rFonts w:ascii="Times New Roman" w:hAnsi="Times New Roman" w:cs="Times New Roman"/>
          <w:sz w:val="24"/>
          <w:szCs w:val="24"/>
          <w:highlight w:val="yellow"/>
        </w:rPr>
        <w:t>n</w:t>
      </w:r>
      <w:r>
        <w:rPr>
          <w:rFonts w:ascii="Times New Roman" w:hAnsi="Times New Roman" w:cs="Times New Roman"/>
          <w:sz w:val="24"/>
          <w:szCs w:val="24"/>
        </w:rPr>
        <w:t>c</w:t>
      </w:r>
      <w:r>
        <w:rPr>
          <w:rFonts w:ascii="Times New Roman" w:hAnsi="Times New Roman" w:cs="Times New Roman"/>
          <w:sz w:val="24"/>
          <w:szCs w:val="24"/>
          <w:highlight w:val="yellow"/>
        </w:rPr>
        <w:t>e</w:t>
      </w:r>
      <w:r>
        <w:rPr>
          <w:rFonts w:ascii="Times New Roman" w:hAnsi="Times New Roman" w:cs="Times New Roman"/>
          <w:sz w:val="24"/>
          <w:szCs w:val="24"/>
        </w:rPr>
        <w:t xml:space="preserve">. During the peak period of activity (September to October), plot-level occurrence reached 80.00% to 100.00% in all four fields. Across the active infestation period (30 to 105 DAT; 6 fortnightly observations across 5 plots per field, </w:t>
      </w:r>
      <w:r>
        <w:rPr>
          <w:rFonts w:ascii="Times New Roman" w:hAnsi="Times New Roman" w:cs="Times New Roman"/>
          <w:i/>
          <w:iCs/>
          <w:sz w:val="24"/>
          <w:szCs w:val="24"/>
        </w:rPr>
        <w:t>n</w:t>
      </w:r>
      <w:r>
        <w:rPr>
          <w:rFonts w:ascii="Times New Roman" w:hAnsi="Times New Roman" w:cs="Times New Roman"/>
          <w:sz w:val="24"/>
          <w:szCs w:val="24"/>
        </w:rPr>
        <w:t xml:space="preserve"> = 30 plot-observations per field per season), seasonal mean plot occurrence in Appajipeta was 68.33% in Kharif 2023, 73.33% in Kharif 2024 and 70.00% in Kharif 2025 (three-year village pooled mean: 70.56%). In Khajiramaram the corresponding values were 65.00%, 71.67% and 66.67% (three-year village pooled mean: 67.78%). The overall pooled mean occurrence across all 20 plots and three seasons was 69.17% (Table 1).</w:t>
      </w:r>
    </w:p>
    <w:p w14:paraId="4DECA074" w14:textId="77777777" w:rsidR="007700AE" w:rsidRPr="00305561" w:rsidRDefault="007700AE"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Plant-level pest incidence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21.45 ± 3.12% during Kharif 2023, 24.80 ± 3.65% during Kharif 2024 and 22.10 ± 2.98% during Kharif 2025 (three-year pooled mean 22.78 ± 3.25%).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values were 19.85 ± 2.84%, 23.15 ± 3.40% and 20.60 ± 3.05% (three-year village mean 21.20 ± 3.10%). The overall mean plant incidence across the entire study area was 21.99 ± 3.18%. Among the three years, Kharif 2024 recorded the highest plant-level damage in both villages (Table 1).</w:t>
      </w:r>
    </w:p>
    <w:p w14:paraId="09D44F65" w14:textId="77777777" w:rsidR="007700AE" w:rsidRPr="00305561" w:rsidRDefault="007700AE"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Tiller-level infestation (SS%)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8.92 ± 1.15% in Kharif 2023, 10.46 ± 1.42% in Kharif 2024 and 9.18 ± 1.20% in Kharif 2025 (three-year pooled mean 9.52 ± 1.26%).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values were 8.14 ± 1.08%, 9.75 ± 1.35% and 8.50 ± 1.12% (three-year </w:t>
      </w:r>
      <w:r w:rsidRPr="00305561">
        <w:rPr>
          <w:rFonts w:ascii="Times New Roman" w:hAnsi="Times New Roman" w:cs="Times New Roman"/>
          <w:sz w:val="24"/>
          <w:szCs w:val="24"/>
        </w:rPr>
        <w:lastRenderedPageBreak/>
        <w:t>pooled mean 8.80 ± 1.18%). The overall mean silver shoot percentage across all 20 plots and three years was 9.16 ± 1.22%. This value is higher than the standard economic threshold level of 5% SS. The highest tiller damage was recorded during Kharif 2024 in both villages (Table 1).</w:t>
      </w:r>
    </w:p>
    <w:p w14:paraId="30F69395" w14:textId="77777777" w:rsidR="007700AE" w:rsidRPr="00305561" w:rsidRDefault="007700AE"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Mean pest abundance ranged from 3.90 ± 0.56 to 5.08 ± 0.74 affected hills per 20 examined hills per 25 m² plot.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Field I recorded the highest three-year pooled mean (4.69 ± 0.66)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Field II the lowest (4.14 ± 0.61). The overall mean abundance across all 20 plots and three seasons was 4.40 ± 0.64 affected hills per 25 m² (Table 1).</w:t>
      </w:r>
    </w:p>
    <w:p w14:paraId="7E889650" w14:textId="77777777" w:rsidR="00EA0E37" w:rsidRPr="00305561" w:rsidRDefault="00EA0E37"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Table 1</w:t>
      </w:r>
      <w:r w:rsidRPr="00305561">
        <w:rPr>
          <w:rFonts w:ascii="Times New Roman" w:hAnsi="Times New Roman" w:cs="Times New Roman"/>
          <w:sz w:val="24"/>
          <w:szCs w:val="24"/>
        </w:rPr>
        <w:t xml:space="preserve">. Plot occurrence, plant incidence, silver shoot percentage and pest abundance of </w:t>
      </w:r>
      <w:proofErr w:type="spellStart"/>
      <w:r w:rsidRPr="00305561">
        <w:rPr>
          <w:rFonts w:ascii="Times New Roman" w:hAnsi="Times New Roman" w:cs="Times New Roman"/>
          <w:sz w:val="24"/>
          <w:szCs w:val="24"/>
        </w:rPr>
        <w:t>Orseolia</w:t>
      </w:r>
      <w:proofErr w:type="spellEnd"/>
      <w:r w:rsidRPr="00305561">
        <w:rPr>
          <w:rFonts w:ascii="Times New Roman" w:hAnsi="Times New Roman" w:cs="Times New Roman"/>
          <w:sz w:val="24"/>
          <w:szCs w:val="24"/>
        </w:rPr>
        <w:t xml:space="preserve"> oryzae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during Kharif 2023–2025 (Mean ± SD)</w:t>
      </w:r>
    </w:p>
    <w:tbl>
      <w:tblPr>
        <w:tblStyle w:val="TableGrid"/>
        <w:tblW w:w="5000" w:type="pct"/>
        <w:tblLook w:val="04A0" w:firstRow="1" w:lastRow="0" w:firstColumn="1" w:lastColumn="0" w:noHBand="0" w:noVBand="1"/>
      </w:tblPr>
      <w:tblGrid>
        <w:gridCol w:w="1631"/>
        <w:gridCol w:w="759"/>
        <w:gridCol w:w="938"/>
        <w:gridCol w:w="1448"/>
        <w:gridCol w:w="1304"/>
        <w:gridCol w:w="1376"/>
        <w:gridCol w:w="1560"/>
      </w:tblGrid>
      <w:tr w:rsidR="00EA0E37" w:rsidRPr="00305561" w14:paraId="4861DCC1" w14:textId="77777777" w:rsidTr="00053A8F">
        <w:tc>
          <w:tcPr>
            <w:tcW w:w="905" w:type="pct"/>
            <w:vAlign w:val="center"/>
            <w:hideMark/>
          </w:tcPr>
          <w:p w14:paraId="58FB7D70"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Village</w:t>
            </w:r>
          </w:p>
        </w:tc>
        <w:tc>
          <w:tcPr>
            <w:tcW w:w="421" w:type="pct"/>
            <w:vAlign w:val="center"/>
            <w:hideMark/>
          </w:tcPr>
          <w:p w14:paraId="43080DA0"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Field</w:t>
            </w:r>
          </w:p>
        </w:tc>
        <w:tc>
          <w:tcPr>
            <w:tcW w:w="520" w:type="pct"/>
            <w:vAlign w:val="center"/>
            <w:hideMark/>
          </w:tcPr>
          <w:p w14:paraId="26FF8818"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Season</w:t>
            </w:r>
          </w:p>
        </w:tc>
        <w:tc>
          <w:tcPr>
            <w:tcW w:w="803" w:type="pct"/>
            <w:vAlign w:val="center"/>
            <w:hideMark/>
          </w:tcPr>
          <w:p w14:paraId="3414D9CF"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Plot Occurrence (%)</w:t>
            </w:r>
          </w:p>
        </w:tc>
        <w:tc>
          <w:tcPr>
            <w:tcW w:w="723" w:type="pct"/>
            <w:vAlign w:val="center"/>
            <w:hideMark/>
          </w:tcPr>
          <w:p w14:paraId="1EF4B2EB"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Plant Incidence (% damaged hills)</w:t>
            </w:r>
          </w:p>
        </w:tc>
        <w:tc>
          <w:tcPr>
            <w:tcW w:w="763" w:type="pct"/>
            <w:vAlign w:val="center"/>
            <w:hideMark/>
          </w:tcPr>
          <w:p w14:paraId="2C80973F"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Infestation Level (SS%)</w:t>
            </w:r>
          </w:p>
        </w:tc>
        <w:tc>
          <w:tcPr>
            <w:tcW w:w="865" w:type="pct"/>
            <w:vAlign w:val="center"/>
            <w:hideMark/>
          </w:tcPr>
          <w:p w14:paraId="5C37165D"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Mean Pest Abundance (affected hills / 20 hills / 25 m²)</w:t>
            </w:r>
          </w:p>
        </w:tc>
      </w:tr>
      <w:tr w:rsidR="00EA0E37" w:rsidRPr="00305561" w14:paraId="5953B604" w14:textId="77777777" w:rsidTr="00053A8F">
        <w:tc>
          <w:tcPr>
            <w:tcW w:w="905" w:type="pct"/>
            <w:vAlign w:val="center"/>
            <w:hideMark/>
          </w:tcPr>
          <w:p w14:paraId="6D5EB253" w14:textId="77777777" w:rsidR="00EA0E37" w:rsidRPr="00305561" w:rsidRDefault="00EA0E37" w:rsidP="00695D58">
            <w:pPr>
              <w:spacing w:line="360" w:lineRule="auto"/>
              <w:jc w:val="both"/>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p>
        </w:tc>
        <w:tc>
          <w:tcPr>
            <w:tcW w:w="421" w:type="pct"/>
            <w:vAlign w:val="center"/>
            <w:hideMark/>
          </w:tcPr>
          <w:p w14:paraId="64EC0EA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Field I</w:t>
            </w:r>
          </w:p>
        </w:tc>
        <w:tc>
          <w:tcPr>
            <w:tcW w:w="520" w:type="pct"/>
            <w:vAlign w:val="center"/>
            <w:hideMark/>
          </w:tcPr>
          <w:p w14:paraId="4EFB7AF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20A9C64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2C2761A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22.10 ± 3.20</w:t>
            </w:r>
          </w:p>
        </w:tc>
        <w:tc>
          <w:tcPr>
            <w:tcW w:w="763" w:type="pct"/>
            <w:vAlign w:val="center"/>
            <w:hideMark/>
          </w:tcPr>
          <w:p w14:paraId="7DD982A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9.24 ± 1.18</w:t>
            </w:r>
          </w:p>
        </w:tc>
        <w:tc>
          <w:tcPr>
            <w:tcW w:w="865" w:type="pct"/>
            <w:vAlign w:val="center"/>
            <w:hideMark/>
          </w:tcPr>
          <w:p w14:paraId="1C75413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4.42 ± 0.64</w:t>
            </w:r>
          </w:p>
        </w:tc>
      </w:tr>
      <w:tr w:rsidR="00EA0E37" w:rsidRPr="00305561" w14:paraId="55774C2A" w14:textId="77777777" w:rsidTr="00053A8F">
        <w:tc>
          <w:tcPr>
            <w:tcW w:w="905" w:type="pct"/>
            <w:vAlign w:val="center"/>
            <w:hideMark/>
          </w:tcPr>
          <w:p w14:paraId="7B7AABE3"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2C212E02"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0FEED70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58BBC1E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76.67</w:t>
            </w:r>
          </w:p>
        </w:tc>
        <w:tc>
          <w:tcPr>
            <w:tcW w:w="723" w:type="pct"/>
            <w:vAlign w:val="center"/>
            <w:hideMark/>
          </w:tcPr>
          <w:p w14:paraId="360B2BD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25.40 ± 3.72</w:t>
            </w:r>
          </w:p>
        </w:tc>
        <w:tc>
          <w:tcPr>
            <w:tcW w:w="763" w:type="pct"/>
            <w:vAlign w:val="center"/>
            <w:hideMark/>
          </w:tcPr>
          <w:p w14:paraId="659CA36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10.82 ± 1.48</w:t>
            </w:r>
          </w:p>
        </w:tc>
        <w:tc>
          <w:tcPr>
            <w:tcW w:w="865" w:type="pct"/>
            <w:vAlign w:val="center"/>
            <w:hideMark/>
          </w:tcPr>
          <w:p w14:paraId="453676C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5.08 ± 0.74</w:t>
            </w:r>
          </w:p>
        </w:tc>
      </w:tr>
      <w:tr w:rsidR="00EA0E37" w:rsidRPr="00305561" w14:paraId="7A7CF900" w14:textId="77777777" w:rsidTr="00053A8F">
        <w:tc>
          <w:tcPr>
            <w:tcW w:w="905" w:type="pct"/>
            <w:vAlign w:val="center"/>
            <w:hideMark/>
          </w:tcPr>
          <w:p w14:paraId="5CB1D6F9"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2D9107FE"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2FEC669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1B28044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6939AAD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22.80 ± 3.05</w:t>
            </w:r>
          </w:p>
        </w:tc>
        <w:tc>
          <w:tcPr>
            <w:tcW w:w="763" w:type="pct"/>
            <w:vAlign w:val="center"/>
            <w:hideMark/>
          </w:tcPr>
          <w:p w14:paraId="645C65D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9.45 ± 1.24</w:t>
            </w:r>
          </w:p>
        </w:tc>
        <w:tc>
          <w:tcPr>
            <w:tcW w:w="865" w:type="pct"/>
            <w:vAlign w:val="center"/>
            <w:hideMark/>
          </w:tcPr>
          <w:p w14:paraId="47BB60C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4.56 ± 0.61</w:t>
            </w:r>
          </w:p>
        </w:tc>
      </w:tr>
      <w:tr w:rsidR="00EA0E37" w:rsidRPr="00305561" w14:paraId="24C69E35" w14:textId="77777777" w:rsidTr="00053A8F">
        <w:tc>
          <w:tcPr>
            <w:tcW w:w="905" w:type="pct"/>
            <w:vAlign w:val="center"/>
            <w:hideMark/>
          </w:tcPr>
          <w:p w14:paraId="27696A1D"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1218B0C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58429EC1" w14:textId="77777777" w:rsidR="00EA0E37" w:rsidRPr="00305561" w:rsidRDefault="00EA0E37" w:rsidP="00695D58">
            <w:pPr>
              <w:spacing w:line="360" w:lineRule="auto"/>
              <w:jc w:val="both"/>
              <w:rPr>
                <w:rFonts w:ascii="Times New Roman" w:hAnsi="Times New Roman" w:cs="Times New Roman"/>
                <w:sz w:val="24"/>
                <w:szCs w:val="24"/>
              </w:rPr>
            </w:pPr>
          </w:p>
        </w:tc>
        <w:tc>
          <w:tcPr>
            <w:tcW w:w="803" w:type="pct"/>
            <w:vAlign w:val="center"/>
            <w:hideMark/>
          </w:tcPr>
          <w:p w14:paraId="0ED1318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72.22</w:t>
            </w:r>
          </w:p>
        </w:tc>
        <w:tc>
          <w:tcPr>
            <w:tcW w:w="723" w:type="pct"/>
            <w:vAlign w:val="center"/>
            <w:hideMark/>
          </w:tcPr>
          <w:p w14:paraId="0A64B7B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23.43 ± 3.32</w:t>
            </w:r>
          </w:p>
        </w:tc>
        <w:tc>
          <w:tcPr>
            <w:tcW w:w="763" w:type="pct"/>
            <w:vAlign w:val="center"/>
            <w:hideMark/>
          </w:tcPr>
          <w:p w14:paraId="54E9CF5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9.84 ± 1.30</w:t>
            </w:r>
          </w:p>
        </w:tc>
        <w:tc>
          <w:tcPr>
            <w:tcW w:w="865" w:type="pct"/>
            <w:vAlign w:val="center"/>
            <w:hideMark/>
          </w:tcPr>
          <w:p w14:paraId="28C4E65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4.69 ± 0.66</w:t>
            </w:r>
          </w:p>
        </w:tc>
      </w:tr>
      <w:tr w:rsidR="00EA0E37" w:rsidRPr="00305561" w14:paraId="34338FE1" w14:textId="77777777" w:rsidTr="00053A8F">
        <w:tc>
          <w:tcPr>
            <w:tcW w:w="905" w:type="pct"/>
            <w:vAlign w:val="center"/>
            <w:hideMark/>
          </w:tcPr>
          <w:p w14:paraId="72B02CF8" w14:textId="77777777" w:rsidR="00EA0E37" w:rsidRPr="00305561" w:rsidRDefault="00EA0E37" w:rsidP="00695D58">
            <w:pPr>
              <w:spacing w:line="360" w:lineRule="auto"/>
              <w:jc w:val="both"/>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p>
        </w:tc>
        <w:tc>
          <w:tcPr>
            <w:tcW w:w="421" w:type="pct"/>
            <w:vAlign w:val="center"/>
            <w:hideMark/>
          </w:tcPr>
          <w:p w14:paraId="6BBA1E8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Field II</w:t>
            </w:r>
          </w:p>
        </w:tc>
        <w:tc>
          <w:tcPr>
            <w:tcW w:w="520" w:type="pct"/>
            <w:vAlign w:val="center"/>
            <w:hideMark/>
          </w:tcPr>
          <w:p w14:paraId="5E3110C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1B5E95D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16A80FC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20.80 ± 3.04</w:t>
            </w:r>
          </w:p>
        </w:tc>
        <w:tc>
          <w:tcPr>
            <w:tcW w:w="763" w:type="pct"/>
            <w:vAlign w:val="center"/>
            <w:hideMark/>
          </w:tcPr>
          <w:p w14:paraId="4871627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8.60 ± 1.12</w:t>
            </w:r>
          </w:p>
        </w:tc>
        <w:tc>
          <w:tcPr>
            <w:tcW w:w="865" w:type="pct"/>
            <w:vAlign w:val="center"/>
            <w:hideMark/>
          </w:tcPr>
          <w:p w14:paraId="40DB32A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4.16 ± 0.61</w:t>
            </w:r>
          </w:p>
        </w:tc>
      </w:tr>
      <w:tr w:rsidR="00EA0E37" w:rsidRPr="00305561" w14:paraId="216E3086" w14:textId="77777777" w:rsidTr="00053A8F">
        <w:tc>
          <w:tcPr>
            <w:tcW w:w="905" w:type="pct"/>
            <w:vAlign w:val="center"/>
            <w:hideMark/>
          </w:tcPr>
          <w:p w14:paraId="392388B3"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23400C54"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6B25A91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1ED3ADA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39B95CE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24.20 ± 3.58</w:t>
            </w:r>
          </w:p>
        </w:tc>
        <w:tc>
          <w:tcPr>
            <w:tcW w:w="763" w:type="pct"/>
            <w:vAlign w:val="center"/>
            <w:hideMark/>
          </w:tcPr>
          <w:p w14:paraId="172DA1B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10.10 ± 1.36</w:t>
            </w:r>
          </w:p>
        </w:tc>
        <w:tc>
          <w:tcPr>
            <w:tcW w:w="865" w:type="pct"/>
            <w:vAlign w:val="center"/>
            <w:hideMark/>
          </w:tcPr>
          <w:p w14:paraId="4CA2ED1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4.84 ± 0.72</w:t>
            </w:r>
          </w:p>
        </w:tc>
      </w:tr>
      <w:tr w:rsidR="00EA0E37" w:rsidRPr="00305561" w14:paraId="6F218CFE" w14:textId="77777777" w:rsidTr="00053A8F">
        <w:tc>
          <w:tcPr>
            <w:tcW w:w="905" w:type="pct"/>
            <w:vAlign w:val="center"/>
            <w:hideMark/>
          </w:tcPr>
          <w:p w14:paraId="1B483BC1"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3D2921FF"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6E0A070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11BC9E1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0C0AA11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21.40 ± 2.91</w:t>
            </w:r>
          </w:p>
        </w:tc>
        <w:tc>
          <w:tcPr>
            <w:tcW w:w="763" w:type="pct"/>
            <w:vAlign w:val="center"/>
            <w:hideMark/>
          </w:tcPr>
          <w:p w14:paraId="0ED1DD8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8.91 ± 1.16</w:t>
            </w:r>
          </w:p>
        </w:tc>
        <w:tc>
          <w:tcPr>
            <w:tcW w:w="865" w:type="pct"/>
            <w:vAlign w:val="center"/>
            <w:hideMark/>
          </w:tcPr>
          <w:p w14:paraId="242D0B9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4.28 ± 0.58</w:t>
            </w:r>
          </w:p>
        </w:tc>
      </w:tr>
      <w:tr w:rsidR="00EA0E37" w:rsidRPr="00305561" w14:paraId="676CD516" w14:textId="77777777" w:rsidTr="00053A8F">
        <w:tc>
          <w:tcPr>
            <w:tcW w:w="905" w:type="pct"/>
            <w:vAlign w:val="center"/>
            <w:hideMark/>
          </w:tcPr>
          <w:p w14:paraId="752AEBE0"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0AA7D71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63F3DB7B" w14:textId="77777777" w:rsidR="00EA0E37" w:rsidRPr="00305561" w:rsidRDefault="00EA0E37" w:rsidP="00695D58">
            <w:pPr>
              <w:spacing w:line="360" w:lineRule="auto"/>
              <w:jc w:val="both"/>
              <w:rPr>
                <w:rFonts w:ascii="Times New Roman" w:hAnsi="Times New Roman" w:cs="Times New Roman"/>
                <w:sz w:val="24"/>
                <w:szCs w:val="24"/>
              </w:rPr>
            </w:pPr>
          </w:p>
        </w:tc>
        <w:tc>
          <w:tcPr>
            <w:tcW w:w="803" w:type="pct"/>
            <w:vAlign w:val="center"/>
            <w:hideMark/>
          </w:tcPr>
          <w:p w14:paraId="1D37F22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68.89</w:t>
            </w:r>
          </w:p>
        </w:tc>
        <w:tc>
          <w:tcPr>
            <w:tcW w:w="723" w:type="pct"/>
            <w:vAlign w:val="center"/>
            <w:hideMark/>
          </w:tcPr>
          <w:p w14:paraId="0650737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22.13 ± 3.18</w:t>
            </w:r>
          </w:p>
        </w:tc>
        <w:tc>
          <w:tcPr>
            <w:tcW w:w="763" w:type="pct"/>
            <w:vAlign w:val="center"/>
            <w:hideMark/>
          </w:tcPr>
          <w:p w14:paraId="57698A4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9.20 ± 1.21</w:t>
            </w:r>
          </w:p>
        </w:tc>
        <w:tc>
          <w:tcPr>
            <w:tcW w:w="865" w:type="pct"/>
            <w:vAlign w:val="center"/>
            <w:hideMark/>
          </w:tcPr>
          <w:p w14:paraId="06EA593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4.43 ± 0.64</w:t>
            </w:r>
          </w:p>
        </w:tc>
      </w:tr>
      <w:tr w:rsidR="00EA0E37" w:rsidRPr="00305561" w14:paraId="59D9A7F7" w14:textId="77777777" w:rsidTr="00053A8F">
        <w:tc>
          <w:tcPr>
            <w:tcW w:w="905" w:type="pct"/>
            <w:vAlign w:val="center"/>
            <w:hideMark/>
          </w:tcPr>
          <w:p w14:paraId="5537ABD8" w14:textId="77777777" w:rsidR="00EA0E37" w:rsidRPr="00305561" w:rsidRDefault="00EA0E37" w:rsidP="00695D58">
            <w:pPr>
              <w:spacing w:line="360" w:lineRule="auto"/>
              <w:jc w:val="both"/>
              <w:rPr>
                <w:rFonts w:ascii="Times New Roman" w:hAnsi="Times New Roman" w:cs="Times New Roman"/>
                <w:sz w:val="24"/>
                <w:szCs w:val="24"/>
              </w:rPr>
            </w:pPr>
            <w:proofErr w:type="spellStart"/>
            <w:r w:rsidRPr="00305561">
              <w:rPr>
                <w:rFonts w:ascii="Times New Roman" w:hAnsi="Times New Roman" w:cs="Times New Roman"/>
                <w:sz w:val="24"/>
                <w:szCs w:val="24"/>
              </w:rPr>
              <w:lastRenderedPageBreak/>
              <w:t>Appajipeta</w:t>
            </w:r>
            <w:proofErr w:type="spellEnd"/>
            <w:r w:rsidRPr="00305561">
              <w:rPr>
                <w:rFonts w:ascii="Times New Roman" w:hAnsi="Times New Roman" w:cs="Times New Roman"/>
                <w:sz w:val="24"/>
                <w:szCs w:val="24"/>
              </w:rPr>
              <w:t xml:space="preserve"> Pooled</w:t>
            </w:r>
          </w:p>
        </w:tc>
        <w:tc>
          <w:tcPr>
            <w:tcW w:w="421" w:type="pct"/>
            <w:vAlign w:val="center"/>
            <w:hideMark/>
          </w:tcPr>
          <w:p w14:paraId="53C86B2A"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4AC4011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2023–2025</w:t>
            </w:r>
          </w:p>
        </w:tc>
        <w:tc>
          <w:tcPr>
            <w:tcW w:w="803" w:type="pct"/>
            <w:vAlign w:val="center"/>
            <w:hideMark/>
          </w:tcPr>
          <w:p w14:paraId="5C6B09E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70.56</w:t>
            </w:r>
          </w:p>
        </w:tc>
        <w:tc>
          <w:tcPr>
            <w:tcW w:w="723" w:type="pct"/>
            <w:vAlign w:val="center"/>
            <w:hideMark/>
          </w:tcPr>
          <w:p w14:paraId="1168ADE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22.78 ± 3.25</w:t>
            </w:r>
          </w:p>
        </w:tc>
        <w:tc>
          <w:tcPr>
            <w:tcW w:w="763" w:type="pct"/>
            <w:vAlign w:val="center"/>
            <w:hideMark/>
          </w:tcPr>
          <w:p w14:paraId="77E34FF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9.52 ± 1.26</w:t>
            </w:r>
          </w:p>
        </w:tc>
        <w:tc>
          <w:tcPr>
            <w:tcW w:w="865" w:type="pct"/>
            <w:vAlign w:val="center"/>
            <w:hideMark/>
          </w:tcPr>
          <w:p w14:paraId="66800F5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4.56 ± 0.65</w:t>
            </w:r>
          </w:p>
        </w:tc>
      </w:tr>
      <w:tr w:rsidR="00EA0E37" w:rsidRPr="00305561" w14:paraId="3A69465C" w14:textId="77777777" w:rsidTr="00053A8F">
        <w:tc>
          <w:tcPr>
            <w:tcW w:w="905" w:type="pct"/>
            <w:vAlign w:val="center"/>
            <w:hideMark/>
          </w:tcPr>
          <w:p w14:paraId="0E0D9862" w14:textId="77777777" w:rsidR="00EA0E37" w:rsidRPr="00305561" w:rsidRDefault="00EA0E37" w:rsidP="00695D58">
            <w:pPr>
              <w:spacing w:line="360" w:lineRule="auto"/>
              <w:jc w:val="both"/>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p>
        </w:tc>
        <w:tc>
          <w:tcPr>
            <w:tcW w:w="421" w:type="pct"/>
            <w:vAlign w:val="center"/>
            <w:hideMark/>
          </w:tcPr>
          <w:p w14:paraId="3A9B9F6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Field I</w:t>
            </w:r>
          </w:p>
        </w:tc>
        <w:tc>
          <w:tcPr>
            <w:tcW w:w="520" w:type="pct"/>
            <w:vAlign w:val="center"/>
            <w:hideMark/>
          </w:tcPr>
          <w:p w14:paraId="7F3FD86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4F5F113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0D250ED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20.20 ± 2.90</w:t>
            </w:r>
          </w:p>
        </w:tc>
        <w:tc>
          <w:tcPr>
            <w:tcW w:w="763" w:type="pct"/>
            <w:vAlign w:val="center"/>
            <w:hideMark/>
          </w:tcPr>
          <w:p w14:paraId="61B6A14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8.32 ± 1.10</w:t>
            </w:r>
          </w:p>
        </w:tc>
        <w:tc>
          <w:tcPr>
            <w:tcW w:w="865" w:type="pct"/>
            <w:vAlign w:val="center"/>
            <w:hideMark/>
          </w:tcPr>
          <w:p w14:paraId="3656C8F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4.04 ± 0.58</w:t>
            </w:r>
          </w:p>
        </w:tc>
      </w:tr>
      <w:tr w:rsidR="00EA0E37" w:rsidRPr="00305561" w14:paraId="66BA20DE" w14:textId="77777777" w:rsidTr="00053A8F">
        <w:tc>
          <w:tcPr>
            <w:tcW w:w="905" w:type="pct"/>
            <w:vAlign w:val="center"/>
            <w:hideMark/>
          </w:tcPr>
          <w:p w14:paraId="73BD16F4"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38267F2F"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37EA015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2741791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73.33</w:t>
            </w:r>
          </w:p>
        </w:tc>
        <w:tc>
          <w:tcPr>
            <w:tcW w:w="723" w:type="pct"/>
            <w:vAlign w:val="center"/>
            <w:hideMark/>
          </w:tcPr>
          <w:p w14:paraId="15CE1F3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23.80 ± 3.48</w:t>
            </w:r>
          </w:p>
        </w:tc>
        <w:tc>
          <w:tcPr>
            <w:tcW w:w="763" w:type="pct"/>
            <w:vAlign w:val="center"/>
            <w:hideMark/>
          </w:tcPr>
          <w:p w14:paraId="1F90A15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10.02 ± 1.40</w:t>
            </w:r>
          </w:p>
        </w:tc>
        <w:tc>
          <w:tcPr>
            <w:tcW w:w="865" w:type="pct"/>
            <w:vAlign w:val="center"/>
            <w:hideMark/>
          </w:tcPr>
          <w:p w14:paraId="0A89E24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4.76 ± 0.70</w:t>
            </w:r>
          </w:p>
        </w:tc>
      </w:tr>
      <w:tr w:rsidR="00EA0E37" w:rsidRPr="00305561" w14:paraId="65C55582" w14:textId="77777777" w:rsidTr="00053A8F">
        <w:tc>
          <w:tcPr>
            <w:tcW w:w="905" w:type="pct"/>
            <w:vAlign w:val="center"/>
            <w:hideMark/>
          </w:tcPr>
          <w:p w14:paraId="0D8BE082"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4A30985E"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4552306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7D16D81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706D0F4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21.10 ± 3.12</w:t>
            </w:r>
          </w:p>
        </w:tc>
        <w:tc>
          <w:tcPr>
            <w:tcW w:w="763" w:type="pct"/>
            <w:vAlign w:val="center"/>
            <w:hideMark/>
          </w:tcPr>
          <w:p w14:paraId="22EFC25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8.74 ± 1.15</w:t>
            </w:r>
          </w:p>
        </w:tc>
        <w:tc>
          <w:tcPr>
            <w:tcW w:w="865" w:type="pct"/>
            <w:vAlign w:val="center"/>
            <w:hideMark/>
          </w:tcPr>
          <w:p w14:paraId="62FED88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4.22 ± 0.62</w:t>
            </w:r>
          </w:p>
        </w:tc>
      </w:tr>
      <w:tr w:rsidR="00EA0E37" w:rsidRPr="00305561" w14:paraId="228DB1F7" w14:textId="77777777" w:rsidTr="00053A8F">
        <w:tc>
          <w:tcPr>
            <w:tcW w:w="905" w:type="pct"/>
            <w:vAlign w:val="center"/>
            <w:hideMark/>
          </w:tcPr>
          <w:p w14:paraId="5E6E4B58"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484D571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5A14062B" w14:textId="77777777" w:rsidR="00EA0E37" w:rsidRPr="00305561" w:rsidRDefault="00EA0E37" w:rsidP="00695D58">
            <w:pPr>
              <w:spacing w:line="360" w:lineRule="auto"/>
              <w:jc w:val="both"/>
              <w:rPr>
                <w:rFonts w:ascii="Times New Roman" w:hAnsi="Times New Roman" w:cs="Times New Roman"/>
                <w:sz w:val="24"/>
                <w:szCs w:val="24"/>
              </w:rPr>
            </w:pPr>
          </w:p>
        </w:tc>
        <w:tc>
          <w:tcPr>
            <w:tcW w:w="803" w:type="pct"/>
            <w:vAlign w:val="center"/>
            <w:hideMark/>
          </w:tcPr>
          <w:p w14:paraId="4D3D8B8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68.89</w:t>
            </w:r>
          </w:p>
        </w:tc>
        <w:tc>
          <w:tcPr>
            <w:tcW w:w="723" w:type="pct"/>
            <w:vAlign w:val="center"/>
            <w:hideMark/>
          </w:tcPr>
          <w:p w14:paraId="4D1E365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21.70 ± 3.17</w:t>
            </w:r>
          </w:p>
        </w:tc>
        <w:tc>
          <w:tcPr>
            <w:tcW w:w="763" w:type="pct"/>
            <w:vAlign w:val="center"/>
            <w:hideMark/>
          </w:tcPr>
          <w:p w14:paraId="1B18B82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9.03 ± 1.22</w:t>
            </w:r>
          </w:p>
        </w:tc>
        <w:tc>
          <w:tcPr>
            <w:tcW w:w="865" w:type="pct"/>
            <w:vAlign w:val="center"/>
            <w:hideMark/>
          </w:tcPr>
          <w:p w14:paraId="1E5E4BC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4.34 ± 0.63</w:t>
            </w:r>
          </w:p>
        </w:tc>
      </w:tr>
      <w:tr w:rsidR="00EA0E37" w:rsidRPr="00305561" w14:paraId="27A16D11" w14:textId="77777777" w:rsidTr="00053A8F">
        <w:tc>
          <w:tcPr>
            <w:tcW w:w="905" w:type="pct"/>
            <w:vAlign w:val="center"/>
            <w:hideMark/>
          </w:tcPr>
          <w:p w14:paraId="30F10BB3" w14:textId="77777777" w:rsidR="00EA0E37" w:rsidRPr="00305561" w:rsidRDefault="00EA0E37" w:rsidP="00695D58">
            <w:pPr>
              <w:spacing w:line="360" w:lineRule="auto"/>
              <w:jc w:val="both"/>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p>
        </w:tc>
        <w:tc>
          <w:tcPr>
            <w:tcW w:w="421" w:type="pct"/>
            <w:vAlign w:val="center"/>
            <w:hideMark/>
          </w:tcPr>
          <w:p w14:paraId="2A5AA9F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Field II</w:t>
            </w:r>
          </w:p>
        </w:tc>
        <w:tc>
          <w:tcPr>
            <w:tcW w:w="520" w:type="pct"/>
            <w:vAlign w:val="center"/>
            <w:hideMark/>
          </w:tcPr>
          <w:p w14:paraId="7338588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53AA0CE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63.33</w:t>
            </w:r>
          </w:p>
        </w:tc>
        <w:tc>
          <w:tcPr>
            <w:tcW w:w="723" w:type="pct"/>
            <w:vAlign w:val="center"/>
            <w:hideMark/>
          </w:tcPr>
          <w:p w14:paraId="3DBE31D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19.50 ± 2.78</w:t>
            </w:r>
          </w:p>
        </w:tc>
        <w:tc>
          <w:tcPr>
            <w:tcW w:w="763" w:type="pct"/>
            <w:vAlign w:val="center"/>
            <w:hideMark/>
          </w:tcPr>
          <w:p w14:paraId="448BE8B7"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7.96 ± 1.06</w:t>
            </w:r>
          </w:p>
        </w:tc>
        <w:tc>
          <w:tcPr>
            <w:tcW w:w="865" w:type="pct"/>
            <w:vAlign w:val="center"/>
            <w:hideMark/>
          </w:tcPr>
          <w:p w14:paraId="466B90D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3.90 ± 0.56</w:t>
            </w:r>
          </w:p>
        </w:tc>
      </w:tr>
      <w:tr w:rsidR="00EA0E37" w:rsidRPr="00305561" w14:paraId="5E2730B1" w14:textId="77777777" w:rsidTr="00053A8F">
        <w:tc>
          <w:tcPr>
            <w:tcW w:w="905" w:type="pct"/>
            <w:vAlign w:val="center"/>
            <w:hideMark/>
          </w:tcPr>
          <w:p w14:paraId="76E1E589"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532FBA18"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6903185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36C9917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6DDEE74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22.50 ± 3.32</w:t>
            </w:r>
          </w:p>
        </w:tc>
        <w:tc>
          <w:tcPr>
            <w:tcW w:w="763" w:type="pct"/>
            <w:vAlign w:val="center"/>
            <w:hideMark/>
          </w:tcPr>
          <w:p w14:paraId="1B5BBFE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9.48 ± 1.30</w:t>
            </w:r>
          </w:p>
        </w:tc>
        <w:tc>
          <w:tcPr>
            <w:tcW w:w="865" w:type="pct"/>
            <w:vAlign w:val="center"/>
            <w:hideMark/>
          </w:tcPr>
          <w:p w14:paraId="29DEA9D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4.50 ± 0.66</w:t>
            </w:r>
          </w:p>
        </w:tc>
      </w:tr>
      <w:tr w:rsidR="00EA0E37" w:rsidRPr="00305561" w14:paraId="32EFDECF" w14:textId="77777777" w:rsidTr="00053A8F">
        <w:tc>
          <w:tcPr>
            <w:tcW w:w="905" w:type="pct"/>
            <w:vAlign w:val="center"/>
            <w:hideMark/>
          </w:tcPr>
          <w:p w14:paraId="2083D2FD"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7C4201D5"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0B4D44F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2E5C541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27128FF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20.10 ± 2.98</w:t>
            </w:r>
          </w:p>
        </w:tc>
        <w:tc>
          <w:tcPr>
            <w:tcW w:w="763" w:type="pct"/>
            <w:vAlign w:val="center"/>
            <w:hideMark/>
          </w:tcPr>
          <w:p w14:paraId="0E2A6EA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8.26 ± 1.09</w:t>
            </w:r>
          </w:p>
        </w:tc>
        <w:tc>
          <w:tcPr>
            <w:tcW w:w="865" w:type="pct"/>
            <w:vAlign w:val="center"/>
            <w:hideMark/>
          </w:tcPr>
          <w:p w14:paraId="0CE471D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4.02 ± 0.60</w:t>
            </w:r>
          </w:p>
        </w:tc>
      </w:tr>
      <w:tr w:rsidR="00EA0E37" w:rsidRPr="00305561" w14:paraId="2AAC07AE" w14:textId="77777777" w:rsidTr="00053A8F">
        <w:tc>
          <w:tcPr>
            <w:tcW w:w="905" w:type="pct"/>
            <w:vAlign w:val="center"/>
            <w:hideMark/>
          </w:tcPr>
          <w:p w14:paraId="37436A4A" w14:textId="77777777" w:rsidR="00EA0E37" w:rsidRPr="00305561" w:rsidRDefault="00EA0E37" w:rsidP="00695D58">
            <w:pPr>
              <w:spacing w:line="360" w:lineRule="auto"/>
              <w:jc w:val="both"/>
              <w:rPr>
                <w:rFonts w:ascii="Times New Roman" w:hAnsi="Times New Roman" w:cs="Times New Roman"/>
                <w:sz w:val="24"/>
                <w:szCs w:val="24"/>
              </w:rPr>
            </w:pPr>
          </w:p>
        </w:tc>
        <w:tc>
          <w:tcPr>
            <w:tcW w:w="421" w:type="pct"/>
            <w:vAlign w:val="center"/>
            <w:hideMark/>
          </w:tcPr>
          <w:p w14:paraId="3051707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3F54B8C2" w14:textId="77777777" w:rsidR="00EA0E37" w:rsidRPr="00305561" w:rsidRDefault="00EA0E37" w:rsidP="00695D58">
            <w:pPr>
              <w:spacing w:line="360" w:lineRule="auto"/>
              <w:jc w:val="both"/>
              <w:rPr>
                <w:rFonts w:ascii="Times New Roman" w:hAnsi="Times New Roman" w:cs="Times New Roman"/>
                <w:sz w:val="24"/>
                <w:szCs w:val="24"/>
              </w:rPr>
            </w:pPr>
          </w:p>
        </w:tc>
        <w:tc>
          <w:tcPr>
            <w:tcW w:w="803" w:type="pct"/>
            <w:vAlign w:val="center"/>
            <w:hideMark/>
          </w:tcPr>
          <w:p w14:paraId="3040CC6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40EE9B2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20.70 ± 3.03</w:t>
            </w:r>
          </w:p>
        </w:tc>
        <w:tc>
          <w:tcPr>
            <w:tcW w:w="763" w:type="pct"/>
            <w:vAlign w:val="center"/>
            <w:hideMark/>
          </w:tcPr>
          <w:p w14:paraId="1CC229A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8.57 ± 1.15</w:t>
            </w:r>
          </w:p>
        </w:tc>
        <w:tc>
          <w:tcPr>
            <w:tcW w:w="865" w:type="pct"/>
            <w:vAlign w:val="center"/>
            <w:hideMark/>
          </w:tcPr>
          <w:p w14:paraId="5FC52F1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4.14 ± 0.61</w:t>
            </w:r>
          </w:p>
        </w:tc>
      </w:tr>
      <w:tr w:rsidR="00EA0E37" w:rsidRPr="00305561" w14:paraId="334E5F02" w14:textId="77777777" w:rsidTr="00053A8F">
        <w:tc>
          <w:tcPr>
            <w:tcW w:w="905" w:type="pct"/>
            <w:vAlign w:val="center"/>
            <w:hideMark/>
          </w:tcPr>
          <w:p w14:paraId="24AF69E4" w14:textId="77777777" w:rsidR="00EA0E37" w:rsidRPr="00305561" w:rsidRDefault="00EA0E37" w:rsidP="00695D58">
            <w:pPr>
              <w:spacing w:line="360" w:lineRule="auto"/>
              <w:jc w:val="both"/>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Pooled</w:t>
            </w:r>
          </w:p>
        </w:tc>
        <w:tc>
          <w:tcPr>
            <w:tcW w:w="421" w:type="pct"/>
            <w:vAlign w:val="center"/>
            <w:hideMark/>
          </w:tcPr>
          <w:p w14:paraId="787E14D5" w14:textId="77777777" w:rsidR="00EA0E37" w:rsidRPr="00305561" w:rsidRDefault="00EA0E37" w:rsidP="00695D58">
            <w:pPr>
              <w:spacing w:line="360" w:lineRule="auto"/>
              <w:jc w:val="both"/>
              <w:rPr>
                <w:rFonts w:ascii="Times New Roman" w:hAnsi="Times New Roman" w:cs="Times New Roman"/>
                <w:sz w:val="24"/>
                <w:szCs w:val="24"/>
              </w:rPr>
            </w:pPr>
          </w:p>
        </w:tc>
        <w:tc>
          <w:tcPr>
            <w:tcW w:w="520" w:type="pct"/>
            <w:vAlign w:val="center"/>
            <w:hideMark/>
          </w:tcPr>
          <w:p w14:paraId="17F23AC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2023–2025</w:t>
            </w:r>
          </w:p>
        </w:tc>
        <w:tc>
          <w:tcPr>
            <w:tcW w:w="803" w:type="pct"/>
            <w:vAlign w:val="center"/>
            <w:hideMark/>
          </w:tcPr>
          <w:p w14:paraId="42C4858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67.78</w:t>
            </w:r>
          </w:p>
        </w:tc>
        <w:tc>
          <w:tcPr>
            <w:tcW w:w="723" w:type="pct"/>
            <w:vAlign w:val="center"/>
            <w:hideMark/>
          </w:tcPr>
          <w:p w14:paraId="08438B9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21.20 ± 3.10</w:t>
            </w:r>
          </w:p>
        </w:tc>
        <w:tc>
          <w:tcPr>
            <w:tcW w:w="763" w:type="pct"/>
            <w:vAlign w:val="center"/>
            <w:hideMark/>
          </w:tcPr>
          <w:p w14:paraId="224E3FB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8.80 ± 1.18</w:t>
            </w:r>
          </w:p>
        </w:tc>
        <w:tc>
          <w:tcPr>
            <w:tcW w:w="865" w:type="pct"/>
            <w:vAlign w:val="center"/>
            <w:hideMark/>
          </w:tcPr>
          <w:p w14:paraId="2EEF745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4.24 ± 0.62</w:t>
            </w:r>
          </w:p>
        </w:tc>
      </w:tr>
      <w:tr w:rsidR="00EA0E37" w:rsidRPr="00305561" w14:paraId="32738D62" w14:textId="77777777" w:rsidTr="00053A8F">
        <w:tc>
          <w:tcPr>
            <w:tcW w:w="905" w:type="pct"/>
            <w:vAlign w:val="center"/>
            <w:hideMark/>
          </w:tcPr>
          <w:p w14:paraId="609F94C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Overall Study Area</w:t>
            </w:r>
          </w:p>
        </w:tc>
        <w:tc>
          <w:tcPr>
            <w:tcW w:w="421" w:type="pct"/>
            <w:vAlign w:val="center"/>
            <w:hideMark/>
          </w:tcPr>
          <w:p w14:paraId="651CB52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All 20 plots</w:t>
            </w:r>
          </w:p>
        </w:tc>
        <w:tc>
          <w:tcPr>
            <w:tcW w:w="520" w:type="pct"/>
            <w:vAlign w:val="center"/>
            <w:hideMark/>
          </w:tcPr>
          <w:p w14:paraId="195F290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Pooled</w:t>
            </w:r>
          </w:p>
        </w:tc>
        <w:tc>
          <w:tcPr>
            <w:tcW w:w="803" w:type="pct"/>
            <w:vAlign w:val="center"/>
            <w:hideMark/>
          </w:tcPr>
          <w:p w14:paraId="72B50B4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69.17</w:t>
            </w:r>
          </w:p>
        </w:tc>
        <w:tc>
          <w:tcPr>
            <w:tcW w:w="723" w:type="pct"/>
            <w:vAlign w:val="center"/>
            <w:hideMark/>
          </w:tcPr>
          <w:p w14:paraId="267E0BD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21.99 ± 3.18</w:t>
            </w:r>
          </w:p>
        </w:tc>
        <w:tc>
          <w:tcPr>
            <w:tcW w:w="763" w:type="pct"/>
            <w:vAlign w:val="center"/>
            <w:hideMark/>
          </w:tcPr>
          <w:p w14:paraId="4C9A074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9.16 ± 1.22</w:t>
            </w:r>
          </w:p>
        </w:tc>
        <w:tc>
          <w:tcPr>
            <w:tcW w:w="865" w:type="pct"/>
            <w:vAlign w:val="center"/>
            <w:hideMark/>
          </w:tcPr>
          <w:p w14:paraId="4C173C5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4.40 ± 0.64</w:t>
            </w:r>
          </w:p>
        </w:tc>
      </w:tr>
    </w:tbl>
    <w:p w14:paraId="1603BB07" w14:textId="77777777" w:rsidR="00EA0E37" w:rsidRPr="00305561" w:rsidRDefault="00EA0E37" w:rsidP="00695D58">
      <w:pPr>
        <w:spacing w:after="0" w:line="360" w:lineRule="auto"/>
        <w:jc w:val="both"/>
        <w:rPr>
          <w:rFonts w:ascii="Times New Roman" w:hAnsi="Times New Roman" w:cs="Times New Roman"/>
          <w:sz w:val="24"/>
          <w:szCs w:val="24"/>
        </w:rPr>
      </w:pPr>
    </w:p>
    <w:p w14:paraId="282AA787"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Seasonal Incidence and Population Dynamics in Relation to Rice Growth Stages</w:t>
      </w:r>
      <w:r>
        <w:rPr>
          <w:rFonts w:ascii="Times New Roman" w:hAnsi="Times New Roman" w:cs="Times New Roman"/>
          <w:sz w:val="24"/>
          <w:szCs w:val="24"/>
        </w:rPr>
        <w:t>: Fortnightly monitoring from transplanting (</w:t>
      </w:r>
      <w:r>
        <w:rPr>
          <w:rFonts w:ascii="Times New Roman" w:hAnsi="Times New Roman" w:cs="Times New Roman"/>
          <w:sz w:val="24"/>
          <w:szCs w:val="24"/>
          <w:highlight w:val="yellow"/>
        </w:rPr>
        <w:t xml:space="preserve">the </w:t>
      </w:r>
      <w:r>
        <w:rPr>
          <w:rFonts w:ascii="Times New Roman" w:hAnsi="Times New Roman" w:cs="Times New Roman"/>
          <w:sz w:val="24"/>
          <w:szCs w:val="24"/>
        </w:rPr>
        <w:t>first fortnight of August) to harvest (</w:t>
      </w:r>
      <w:r>
        <w:rPr>
          <w:rFonts w:ascii="Times New Roman" w:hAnsi="Times New Roman" w:cs="Times New Roman"/>
          <w:sz w:val="24"/>
          <w:szCs w:val="24"/>
          <w:highlight w:val="yellow"/>
        </w:rPr>
        <w:t xml:space="preserve">the </w:t>
      </w:r>
      <w:r>
        <w:rPr>
          <w:rFonts w:ascii="Times New Roman" w:hAnsi="Times New Roman" w:cs="Times New Roman"/>
          <w:sz w:val="24"/>
          <w:szCs w:val="24"/>
        </w:rPr>
        <w:t>second fortnight of November) showed a clear unimodal seasonal pattern. The crop remained completely free of gall-midge symptoms (0.00% SS) during the first fortnight of August (15 DAT). Initial infestation was first recorded during the second fortnight of August (30 DAT), with mean plant incidence of 10.50% in 2023, 13.00% in 2024 and 11.25% in 2025 (pooled 11.58 ± 1.28%) and corresponding SS% of 3.42%, 4.18% and 3.65% (pooled 3.75 ± 0.39%).</w:t>
      </w:r>
    </w:p>
    <w:p w14:paraId="0769B16D" w14:textId="77777777" w:rsidR="007700AE" w:rsidRPr="00305561" w:rsidRDefault="007700AE"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pest multiplied rapidly throughout September. Infestation rose sharply during the first fortnight of September (45 DAT) and reached its seasonal peak during the second fortnight of </w:t>
      </w:r>
      <w:r w:rsidRPr="00305561">
        <w:rPr>
          <w:rFonts w:ascii="Times New Roman" w:hAnsi="Times New Roman" w:cs="Times New Roman"/>
          <w:sz w:val="24"/>
          <w:szCs w:val="24"/>
        </w:rPr>
        <w:lastRenderedPageBreak/>
        <w:t>September (60 DAT). At peak activity, mean plant damage was 46.50% in 2023, 52.00% in 2024 and 48.25% in 2025 (pooled 48.92 ± 2.81%). Tiller infestation peaked at 19.85% SS in 2023, 23.40% SS in 2024 and 20.65% SS in 2025 (pooled 21.30 ± 1.86% SS; abundance 9.78 ± 0.56 affected hills per 25 m²). After the late-September peak, incidence declined during the first fortnight of October (75 DAT; pooled 13.68 ± 1.25% SS) and the second fortnight of October (90 DAT; pooled 5.84 ± 0.72% SS). By the first fortnight of November (105 DAT), fresh gall formation had almost stopped (1.12 ± 0.21% SS). No active infestation (0.00% SS) was recorded at harvest (120 DAT) (Table 2).</w:t>
      </w:r>
    </w:p>
    <w:p w14:paraId="7CC84BBB"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population was closely linked to growth stages and</w:t>
      </w:r>
      <w:r>
        <w:rPr>
          <w:rFonts w:ascii="Times New Roman" w:hAnsi="Times New Roman" w:cs="Times New Roman"/>
          <w:sz w:val="24"/>
          <w:szCs w:val="24"/>
          <w:highlight w:val="yellow"/>
        </w:rPr>
        <w:t xml:space="preserve"> was</w:t>
      </w:r>
      <w:r>
        <w:rPr>
          <w:rFonts w:ascii="Times New Roman" w:hAnsi="Times New Roman" w:cs="Times New Roman"/>
          <w:sz w:val="24"/>
          <w:szCs w:val="24"/>
        </w:rPr>
        <w:t xml:space="preserve"> active mainly during the vegetative phase. During the early vegetative stage (15 DAT), no silver shoots were visible (0.00% SS). In the active tillering stage (30–45 DAT), pooled SS% rose from 3.75% to 14.02%. The highest infestation was recorded at the maximum tillering stage (60 DAT; pooled mean 21.30%). After panicle initiation (75 DAT), infestation started declining (pooled mean 13.68% SS). During the reproductive and maturity stages (90–120 DAT), almost no new galls were formed and SS% fell from 5.84% to 0.00% by harvest. These observations show that </w:t>
      </w:r>
      <w:r>
        <w:rPr>
          <w:rFonts w:ascii="Times New Roman" w:hAnsi="Times New Roman" w:cs="Times New Roman"/>
          <w:i/>
          <w:iCs/>
          <w:sz w:val="24"/>
          <w:szCs w:val="24"/>
        </w:rPr>
        <w:t>Orseolia oryzae</w:t>
      </w:r>
      <w:r>
        <w:rPr>
          <w:rFonts w:ascii="Times New Roman" w:hAnsi="Times New Roman" w:cs="Times New Roman"/>
          <w:sz w:val="24"/>
          <w:szCs w:val="24"/>
        </w:rPr>
        <w:t xml:space="preserve"> is strictly a vegetative-stage pest; its population rises with tiller production and collapses once the crop moves into the reproductive phase (Table 2).</w:t>
      </w:r>
    </w:p>
    <w:p w14:paraId="2B0E3A6C" w14:textId="77777777" w:rsidR="00EA0E37" w:rsidRPr="00305561" w:rsidRDefault="00EA0E37" w:rsidP="00695D58">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Table 2</w:t>
      </w:r>
      <w:r w:rsidRPr="00305561">
        <w:rPr>
          <w:rFonts w:ascii="Times New Roman" w:hAnsi="Times New Roman" w:cs="Times New Roman"/>
          <w:sz w:val="24"/>
          <w:szCs w:val="24"/>
        </w:rPr>
        <w:t xml:space="preserve">. Fortnightly incidence, silver shoot percentage and abundance of </w:t>
      </w:r>
      <w:proofErr w:type="spellStart"/>
      <w:r w:rsidRPr="00305561">
        <w:rPr>
          <w:rFonts w:ascii="Times New Roman" w:hAnsi="Times New Roman" w:cs="Times New Roman"/>
          <w:sz w:val="24"/>
          <w:szCs w:val="24"/>
        </w:rPr>
        <w:t>Orseolia</w:t>
      </w:r>
      <w:proofErr w:type="spellEnd"/>
      <w:r w:rsidRPr="00305561">
        <w:rPr>
          <w:rFonts w:ascii="Times New Roman" w:hAnsi="Times New Roman" w:cs="Times New Roman"/>
          <w:sz w:val="24"/>
          <w:szCs w:val="24"/>
        </w:rPr>
        <w:t xml:space="preserve"> oryzae in relation to rice growth stage (pooled across 20 plots, Kharif 2023–2025)</w:t>
      </w:r>
    </w:p>
    <w:tbl>
      <w:tblPr>
        <w:tblStyle w:val="TableGrid"/>
        <w:tblW w:w="0" w:type="auto"/>
        <w:tblLook w:val="04A0" w:firstRow="1" w:lastRow="0" w:firstColumn="1" w:lastColumn="0" w:noHBand="0" w:noVBand="1"/>
      </w:tblPr>
      <w:tblGrid>
        <w:gridCol w:w="1906"/>
        <w:gridCol w:w="705"/>
        <w:gridCol w:w="1691"/>
        <w:gridCol w:w="1650"/>
        <w:gridCol w:w="1200"/>
        <w:gridCol w:w="1864"/>
      </w:tblGrid>
      <w:tr w:rsidR="00EA0E37" w:rsidRPr="00305561" w14:paraId="08300E47" w14:textId="77777777" w:rsidTr="00EA0E37">
        <w:tc>
          <w:tcPr>
            <w:tcW w:w="0" w:type="auto"/>
            <w:vAlign w:val="center"/>
            <w:hideMark/>
          </w:tcPr>
          <w:p w14:paraId="5BE413E1"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Fortnight</w:t>
            </w:r>
          </w:p>
        </w:tc>
        <w:tc>
          <w:tcPr>
            <w:tcW w:w="0" w:type="auto"/>
            <w:vAlign w:val="center"/>
            <w:hideMark/>
          </w:tcPr>
          <w:p w14:paraId="57DB85FD"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DAT</w:t>
            </w:r>
          </w:p>
        </w:tc>
        <w:tc>
          <w:tcPr>
            <w:tcW w:w="0" w:type="auto"/>
            <w:vAlign w:val="center"/>
            <w:hideMark/>
          </w:tcPr>
          <w:p w14:paraId="1BB0204A"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Growth Stage</w:t>
            </w:r>
          </w:p>
        </w:tc>
        <w:tc>
          <w:tcPr>
            <w:tcW w:w="0" w:type="auto"/>
            <w:vAlign w:val="center"/>
            <w:hideMark/>
          </w:tcPr>
          <w:p w14:paraId="4ED38781"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Pooled Incidence (%)</w:t>
            </w:r>
          </w:p>
        </w:tc>
        <w:tc>
          <w:tcPr>
            <w:tcW w:w="0" w:type="auto"/>
            <w:vAlign w:val="center"/>
            <w:hideMark/>
          </w:tcPr>
          <w:p w14:paraId="24024ACA"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Pooled SS (%)</w:t>
            </w:r>
          </w:p>
        </w:tc>
        <w:tc>
          <w:tcPr>
            <w:tcW w:w="0" w:type="auto"/>
            <w:vAlign w:val="center"/>
            <w:hideMark/>
          </w:tcPr>
          <w:p w14:paraId="06FBE294" w14:textId="77777777" w:rsidR="00EA0E37" w:rsidRPr="00305561" w:rsidRDefault="00EA0E37" w:rsidP="00695D58">
            <w:pPr>
              <w:spacing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Abundance (hills/25 m²)</w:t>
            </w:r>
          </w:p>
        </w:tc>
      </w:tr>
      <w:tr w:rsidR="00EA0E37" w:rsidRPr="00305561" w14:paraId="5AF57DF5" w14:textId="77777777" w:rsidTr="00EA0E37">
        <w:tc>
          <w:tcPr>
            <w:tcW w:w="0" w:type="auto"/>
            <w:vAlign w:val="center"/>
            <w:hideMark/>
          </w:tcPr>
          <w:p w14:paraId="36A06A5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Aug I</w:t>
            </w:r>
          </w:p>
        </w:tc>
        <w:tc>
          <w:tcPr>
            <w:tcW w:w="0" w:type="auto"/>
            <w:vAlign w:val="center"/>
            <w:hideMark/>
          </w:tcPr>
          <w:p w14:paraId="431CA6C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15</w:t>
            </w:r>
          </w:p>
        </w:tc>
        <w:tc>
          <w:tcPr>
            <w:tcW w:w="0" w:type="auto"/>
            <w:vAlign w:val="center"/>
            <w:hideMark/>
          </w:tcPr>
          <w:p w14:paraId="3D37275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Early Vegetative</w:t>
            </w:r>
          </w:p>
        </w:tc>
        <w:tc>
          <w:tcPr>
            <w:tcW w:w="0" w:type="auto"/>
            <w:vAlign w:val="center"/>
            <w:hideMark/>
          </w:tcPr>
          <w:p w14:paraId="07EC0E0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05E377A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0271988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0.00 ± 0.00</w:t>
            </w:r>
          </w:p>
        </w:tc>
      </w:tr>
      <w:tr w:rsidR="00EA0E37" w:rsidRPr="00305561" w14:paraId="0586E6DC" w14:textId="77777777" w:rsidTr="00EA0E37">
        <w:tc>
          <w:tcPr>
            <w:tcW w:w="0" w:type="auto"/>
            <w:vAlign w:val="center"/>
            <w:hideMark/>
          </w:tcPr>
          <w:p w14:paraId="16EE171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Aug II</w:t>
            </w:r>
          </w:p>
        </w:tc>
        <w:tc>
          <w:tcPr>
            <w:tcW w:w="0" w:type="auto"/>
            <w:vAlign w:val="center"/>
            <w:hideMark/>
          </w:tcPr>
          <w:p w14:paraId="46F7C9B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30</w:t>
            </w:r>
          </w:p>
        </w:tc>
        <w:tc>
          <w:tcPr>
            <w:tcW w:w="0" w:type="auto"/>
            <w:vAlign w:val="center"/>
            <w:hideMark/>
          </w:tcPr>
          <w:p w14:paraId="2B01F92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Active Tillering (Early)</w:t>
            </w:r>
          </w:p>
        </w:tc>
        <w:tc>
          <w:tcPr>
            <w:tcW w:w="0" w:type="auto"/>
            <w:vAlign w:val="center"/>
            <w:hideMark/>
          </w:tcPr>
          <w:p w14:paraId="05BF085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11.58 ± 1.28</w:t>
            </w:r>
          </w:p>
        </w:tc>
        <w:tc>
          <w:tcPr>
            <w:tcW w:w="0" w:type="auto"/>
            <w:vAlign w:val="center"/>
            <w:hideMark/>
          </w:tcPr>
          <w:p w14:paraId="0CAF783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3.75 ± 0.39</w:t>
            </w:r>
          </w:p>
        </w:tc>
        <w:tc>
          <w:tcPr>
            <w:tcW w:w="0" w:type="auto"/>
            <w:vAlign w:val="center"/>
            <w:hideMark/>
          </w:tcPr>
          <w:p w14:paraId="42A315C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2.32 ± 0.26</w:t>
            </w:r>
          </w:p>
        </w:tc>
      </w:tr>
      <w:tr w:rsidR="00EA0E37" w:rsidRPr="00305561" w14:paraId="5741F728" w14:textId="77777777" w:rsidTr="00EA0E37">
        <w:tc>
          <w:tcPr>
            <w:tcW w:w="0" w:type="auto"/>
            <w:vAlign w:val="center"/>
            <w:hideMark/>
          </w:tcPr>
          <w:p w14:paraId="2353338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Sep I</w:t>
            </w:r>
          </w:p>
        </w:tc>
        <w:tc>
          <w:tcPr>
            <w:tcW w:w="0" w:type="auto"/>
            <w:vAlign w:val="center"/>
            <w:hideMark/>
          </w:tcPr>
          <w:p w14:paraId="49ED99D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45</w:t>
            </w:r>
          </w:p>
        </w:tc>
        <w:tc>
          <w:tcPr>
            <w:tcW w:w="0" w:type="auto"/>
            <w:vAlign w:val="center"/>
            <w:hideMark/>
          </w:tcPr>
          <w:p w14:paraId="3B32A87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Active Tillering (Mid)</w:t>
            </w:r>
          </w:p>
        </w:tc>
        <w:tc>
          <w:tcPr>
            <w:tcW w:w="0" w:type="auto"/>
            <w:vAlign w:val="center"/>
            <w:hideMark/>
          </w:tcPr>
          <w:p w14:paraId="21769AC7"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33.50 ± 2.78</w:t>
            </w:r>
          </w:p>
        </w:tc>
        <w:tc>
          <w:tcPr>
            <w:tcW w:w="0" w:type="auto"/>
            <w:vAlign w:val="center"/>
            <w:hideMark/>
          </w:tcPr>
          <w:p w14:paraId="5E1C963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14.02 ± 1.47</w:t>
            </w:r>
          </w:p>
        </w:tc>
        <w:tc>
          <w:tcPr>
            <w:tcW w:w="0" w:type="auto"/>
            <w:vAlign w:val="center"/>
            <w:hideMark/>
          </w:tcPr>
          <w:p w14:paraId="09BA9DB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6.70 ± 0.56</w:t>
            </w:r>
          </w:p>
        </w:tc>
      </w:tr>
      <w:tr w:rsidR="00EA0E37" w:rsidRPr="00305561" w14:paraId="3DEF10E2" w14:textId="77777777" w:rsidTr="00EA0E37">
        <w:tc>
          <w:tcPr>
            <w:tcW w:w="0" w:type="auto"/>
            <w:vAlign w:val="center"/>
            <w:hideMark/>
          </w:tcPr>
          <w:p w14:paraId="18B3ACC6"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Sep II</w:t>
            </w:r>
          </w:p>
        </w:tc>
        <w:tc>
          <w:tcPr>
            <w:tcW w:w="0" w:type="auto"/>
            <w:vAlign w:val="center"/>
            <w:hideMark/>
          </w:tcPr>
          <w:p w14:paraId="3FF7E95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60</w:t>
            </w:r>
          </w:p>
        </w:tc>
        <w:tc>
          <w:tcPr>
            <w:tcW w:w="0" w:type="auto"/>
            <w:vAlign w:val="center"/>
            <w:hideMark/>
          </w:tcPr>
          <w:p w14:paraId="24BF9E67"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Maximum Tillering</w:t>
            </w:r>
          </w:p>
        </w:tc>
        <w:tc>
          <w:tcPr>
            <w:tcW w:w="0" w:type="auto"/>
            <w:vAlign w:val="center"/>
            <w:hideMark/>
          </w:tcPr>
          <w:p w14:paraId="662C893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48.92 ± 2.81</w:t>
            </w:r>
          </w:p>
        </w:tc>
        <w:tc>
          <w:tcPr>
            <w:tcW w:w="0" w:type="auto"/>
            <w:vAlign w:val="center"/>
            <w:hideMark/>
          </w:tcPr>
          <w:p w14:paraId="55980A5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21.30 ± 1.86</w:t>
            </w:r>
          </w:p>
        </w:tc>
        <w:tc>
          <w:tcPr>
            <w:tcW w:w="0" w:type="auto"/>
            <w:vAlign w:val="center"/>
            <w:hideMark/>
          </w:tcPr>
          <w:p w14:paraId="44D1C13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9.78 ± 0.56</w:t>
            </w:r>
          </w:p>
        </w:tc>
      </w:tr>
      <w:tr w:rsidR="00EA0E37" w:rsidRPr="00305561" w14:paraId="25EA8411" w14:textId="77777777" w:rsidTr="00EA0E37">
        <w:tc>
          <w:tcPr>
            <w:tcW w:w="0" w:type="auto"/>
            <w:vAlign w:val="center"/>
            <w:hideMark/>
          </w:tcPr>
          <w:p w14:paraId="1767922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Oct I</w:t>
            </w:r>
          </w:p>
        </w:tc>
        <w:tc>
          <w:tcPr>
            <w:tcW w:w="0" w:type="auto"/>
            <w:vAlign w:val="center"/>
            <w:hideMark/>
          </w:tcPr>
          <w:p w14:paraId="7B5DE8A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75</w:t>
            </w:r>
          </w:p>
        </w:tc>
        <w:tc>
          <w:tcPr>
            <w:tcW w:w="0" w:type="auto"/>
            <w:vAlign w:val="center"/>
            <w:hideMark/>
          </w:tcPr>
          <w:p w14:paraId="5CB2773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Panicle Initiation</w:t>
            </w:r>
          </w:p>
        </w:tc>
        <w:tc>
          <w:tcPr>
            <w:tcW w:w="0" w:type="auto"/>
            <w:vAlign w:val="center"/>
            <w:hideMark/>
          </w:tcPr>
          <w:p w14:paraId="4594C6F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36.00 ± 2.29</w:t>
            </w:r>
          </w:p>
        </w:tc>
        <w:tc>
          <w:tcPr>
            <w:tcW w:w="0" w:type="auto"/>
            <w:vAlign w:val="center"/>
            <w:hideMark/>
          </w:tcPr>
          <w:p w14:paraId="77A18B81"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13.68 ± 1.25</w:t>
            </w:r>
          </w:p>
        </w:tc>
        <w:tc>
          <w:tcPr>
            <w:tcW w:w="0" w:type="auto"/>
            <w:vAlign w:val="center"/>
            <w:hideMark/>
          </w:tcPr>
          <w:p w14:paraId="0B71C04A"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7.20 ± 0.46</w:t>
            </w:r>
          </w:p>
        </w:tc>
      </w:tr>
      <w:tr w:rsidR="00EA0E37" w:rsidRPr="00305561" w14:paraId="1FBB2D6A" w14:textId="77777777" w:rsidTr="00EA0E37">
        <w:tc>
          <w:tcPr>
            <w:tcW w:w="0" w:type="auto"/>
            <w:vAlign w:val="center"/>
            <w:hideMark/>
          </w:tcPr>
          <w:p w14:paraId="30D947F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lastRenderedPageBreak/>
              <w:t>Oct II</w:t>
            </w:r>
          </w:p>
        </w:tc>
        <w:tc>
          <w:tcPr>
            <w:tcW w:w="0" w:type="auto"/>
            <w:vAlign w:val="center"/>
            <w:hideMark/>
          </w:tcPr>
          <w:p w14:paraId="1AAA5C4C"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90</w:t>
            </w:r>
          </w:p>
        </w:tc>
        <w:tc>
          <w:tcPr>
            <w:tcW w:w="0" w:type="auto"/>
            <w:vAlign w:val="center"/>
            <w:hideMark/>
          </w:tcPr>
          <w:p w14:paraId="14A37E5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Flowering / Booting</w:t>
            </w:r>
          </w:p>
        </w:tc>
        <w:tc>
          <w:tcPr>
            <w:tcW w:w="0" w:type="auto"/>
            <w:vAlign w:val="center"/>
            <w:hideMark/>
          </w:tcPr>
          <w:p w14:paraId="5F339CC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17.83 ± 1.53</w:t>
            </w:r>
          </w:p>
        </w:tc>
        <w:tc>
          <w:tcPr>
            <w:tcW w:w="0" w:type="auto"/>
            <w:vAlign w:val="center"/>
            <w:hideMark/>
          </w:tcPr>
          <w:p w14:paraId="5A13A80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5.84 ± 0.72</w:t>
            </w:r>
          </w:p>
        </w:tc>
        <w:tc>
          <w:tcPr>
            <w:tcW w:w="0" w:type="auto"/>
            <w:vAlign w:val="center"/>
            <w:hideMark/>
          </w:tcPr>
          <w:p w14:paraId="3F223E4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3.57 ± 0.31</w:t>
            </w:r>
          </w:p>
        </w:tc>
      </w:tr>
      <w:tr w:rsidR="00EA0E37" w:rsidRPr="00305561" w14:paraId="01ACF349" w14:textId="77777777" w:rsidTr="00EA0E37">
        <w:tc>
          <w:tcPr>
            <w:tcW w:w="0" w:type="auto"/>
            <w:vAlign w:val="center"/>
            <w:hideMark/>
          </w:tcPr>
          <w:p w14:paraId="6ACA014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Nov I</w:t>
            </w:r>
          </w:p>
        </w:tc>
        <w:tc>
          <w:tcPr>
            <w:tcW w:w="0" w:type="auto"/>
            <w:vAlign w:val="center"/>
            <w:hideMark/>
          </w:tcPr>
          <w:p w14:paraId="629F6BA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105</w:t>
            </w:r>
          </w:p>
        </w:tc>
        <w:tc>
          <w:tcPr>
            <w:tcW w:w="0" w:type="auto"/>
            <w:vAlign w:val="center"/>
            <w:hideMark/>
          </w:tcPr>
          <w:p w14:paraId="18F22A35"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Milking / Dough</w:t>
            </w:r>
          </w:p>
        </w:tc>
        <w:tc>
          <w:tcPr>
            <w:tcW w:w="0" w:type="auto"/>
            <w:vAlign w:val="center"/>
            <w:hideMark/>
          </w:tcPr>
          <w:p w14:paraId="1D49F7BE"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5.17 ± 0.76</w:t>
            </w:r>
          </w:p>
        </w:tc>
        <w:tc>
          <w:tcPr>
            <w:tcW w:w="0" w:type="auto"/>
            <w:vAlign w:val="center"/>
            <w:hideMark/>
          </w:tcPr>
          <w:p w14:paraId="39B1E84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1.12 ± 0.21</w:t>
            </w:r>
          </w:p>
        </w:tc>
        <w:tc>
          <w:tcPr>
            <w:tcW w:w="0" w:type="auto"/>
            <w:vAlign w:val="center"/>
            <w:hideMark/>
          </w:tcPr>
          <w:p w14:paraId="7927A9E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1.03 ± 0.15</w:t>
            </w:r>
          </w:p>
        </w:tc>
      </w:tr>
      <w:tr w:rsidR="00EA0E37" w:rsidRPr="00305561" w14:paraId="6283212E" w14:textId="77777777" w:rsidTr="00EA0E37">
        <w:tc>
          <w:tcPr>
            <w:tcW w:w="0" w:type="auto"/>
            <w:vAlign w:val="center"/>
            <w:hideMark/>
          </w:tcPr>
          <w:p w14:paraId="62FDE33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Nov II</w:t>
            </w:r>
          </w:p>
        </w:tc>
        <w:tc>
          <w:tcPr>
            <w:tcW w:w="0" w:type="auto"/>
            <w:vAlign w:val="center"/>
            <w:hideMark/>
          </w:tcPr>
          <w:p w14:paraId="410217C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120</w:t>
            </w:r>
          </w:p>
        </w:tc>
        <w:tc>
          <w:tcPr>
            <w:tcW w:w="0" w:type="auto"/>
            <w:vAlign w:val="center"/>
            <w:hideMark/>
          </w:tcPr>
          <w:p w14:paraId="08566477"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Maturity / Harvest</w:t>
            </w:r>
          </w:p>
        </w:tc>
        <w:tc>
          <w:tcPr>
            <w:tcW w:w="0" w:type="auto"/>
            <w:vAlign w:val="center"/>
            <w:hideMark/>
          </w:tcPr>
          <w:p w14:paraId="7558EDC9"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6FA73FF0"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7E4CC73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0.00 ± 0.00</w:t>
            </w:r>
          </w:p>
        </w:tc>
      </w:tr>
      <w:tr w:rsidR="00EA0E37" w:rsidRPr="00305561" w14:paraId="26A71E26" w14:textId="77777777" w:rsidTr="00EA0E37">
        <w:tc>
          <w:tcPr>
            <w:tcW w:w="0" w:type="auto"/>
            <w:vAlign w:val="center"/>
            <w:hideMark/>
          </w:tcPr>
          <w:p w14:paraId="5B9CD553"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Seasonal mean (30–105 DAT)</w:t>
            </w:r>
          </w:p>
        </w:tc>
        <w:tc>
          <w:tcPr>
            <w:tcW w:w="0" w:type="auto"/>
            <w:vAlign w:val="center"/>
            <w:hideMark/>
          </w:tcPr>
          <w:p w14:paraId="2AB0B568" w14:textId="77777777" w:rsidR="00EA0E37" w:rsidRPr="00305561" w:rsidRDefault="00EA0E37" w:rsidP="00695D58">
            <w:pPr>
              <w:spacing w:line="360" w:lineRule="auto"/>
              <w:jc w:val="both"/>
              <w:rPr>
                <w:rFonts w:ascii="Times New Roman" w:hAnsi="Times New Roman" w:cs="Times New Roman"/>
                <w:sz w:val="24"/>
                <w:szCs w:val="24"/>
              </w:rPr>
            </w:pPr>
          </w:p>
        </w:tc>
        <w:tc>
          <w:tcPr>
            <w:tcW w:w="0" w:type="auto"/>
            <w:vAlign w:val="center"/>
            <w:hideMark/>
          </w:tcPr>
          <w:p w14:paraId="582C31F8" w14:textId="77777777" w:rsidR="00EA0E37" w:rsidRPr="00305561" w:rsidRDefault="00EA0E37" w:rsidP="00695D58">
            <w:pPr>
              <w:spacing w:line="360" w:lineRule="auto"/>
              <w:jc w:val="both"/>
              <w:rPr>
                <w:rFonts w:ascii="Times New Roman" w:hAnsi="Times New Roman" w:cs="Times New Roman"/>
                <w:sz w:val="24"/>
                <w:szCs w:val="24"/>
              </w:rPr>
            </w:pPr>
          </w:p>
        </w:tc>
        <w:tc>
          <w:tcPr>
            <w:tcW w:w="0" w:type="auto"/>
            <w:vAlign w:val="center"/>
            <w:hideMark/>
          </w:tcPr>
          <w:p w14:paraId="3285D31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25.50 ± 1.91</w:t>
            </w:r>
          </w:p>
        </w:tc>
        <w:tc>
          <w:tcPr>
            <w:tcW w:w="0" w:type="auto"/>
            <w:vAlign w:val="center"/>
            <w:hideMark/>
          </w:tcPr>
          <w:p w14:paraId="53008EBF"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9.95 ± 0.98</w:t>
            </w:r>
          </w:p>
        </w:tc>
        <w:tc>
          <w:tcPr>
            <w:tcW w:w="0" w:type="auto"/>
            <w:vAlign w:val="center"/>
            <w:hideMark/>
          </w:tcPr>
          <w:p w14:paraId="57710A5B"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5.10 ± 0.38</w:t>
            </w:r>
          </w:p>
        </w:tc>
      </w:tr>
      <w:tr w:rsidR="00EA0E37" w:rsidRPr="00305561" w14:paraId="7932C668" w14:textId="77777777" w:rsidTr="00EA0E37">
        <w:tc>
          <w:tcPr>
            <w:tcW w:w="0" w:type="auto"/>
            <w:vAlign w:val="center"/>
            <w:hideMark/>
          </w:tcPr>
          <w:p w14:paraId="743C7084"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Seasonal mean (all 8 visits)</w:t>
            </w:r>
          </w:p>
        </w:tc>
        <w:tc>
          <w:tcPr>
            <w:tcW w:w="0" w:type="auto"/>
            <w:vAlign w:val="center"/>
            <w:hideMark/>
          </w:tcPr>
          <w:p w14:paraId="4DB57A8D" w14:textId="77777777" w:rsidR="00EA0E37" w:rsidRPr="00305561" w:rsidRDefault="00EA0E37" w:rsidP="00695D58">
            <w:pPr>
              <w:spacing w:line="360" w:lineRule="auto"/>
              <w:jc w:val="both"/>
              <w:rPr>
                <w:rFonts w:ascii="Times New Roman" w:hAnsi="Times New Roman" w:cs="Times New Roman"/>
                <w:sz w:val="24"/>
                <w:szCs w:val="24"/>
              </w:rPr>
            </w:pPr>
          </w:p>
        </w:tc>
        <w:tc>
          <w:tcPr>
            <w:tcW w:w="0" w:type="auto"/>
            <w:vAlign w:val="center"/>
            <w:hideMark/>
          </w:tcPr>
          <w:p w14:paraId="462B6424" w14:textId="77777777" w:rsidR="00EA0E37" w:rsidRPr="00305561" w:rsidRDefault="00EA0E37" w:rsidP="00695D58">
            <w:pPr>
              <w:spacing w:line="360" w:lineRule="auto"/>
              <w:jc w:val="both"/>
              <w:rPr>
                <w:rFonts w:ascii="Times New Roman" w:hAnsi="Times New Roman" w:cs="Times New Roman"/>
                <w:sz w:val="24"/>
                <w:szCs w:val="24"/>
              </w:rPr>
            </w:pPr>
          </w:p>
        </w:tc>
        <w:tc>
          <w:tcPr>
            <w:tcW w:w="0" w:type="auto"/>
            <w:vAlign w:val="center"/>
            <w:hideMark/>
          </w:tcPr>
          <w:p w14:paraId="09AD88A8"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19.13 ± 1.43</w:t>
            </w:r>
          </w:p>
        </w:tc>
        <w:tc>
          <w:tcPr>
            <w:tcW w:w="0" w:type="auto"/>
            <w:vAlign w:val="center"/>
            <w:hideMark/>
          </w:tcPr>
          <w:p w14:paraId="616044C2"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7.46 ± 0.74</w:t>
            </w:r>
          </w:p>
        </w:tc>
        <w:tc>
          <w:tcPr>
            <w:tcW w:w="0" w:type="auto"/>
            <w:vAlign w:val="center"/>
            <w:hideMark/>
          </w:tcPr>
          <w:p w14:paraId="453ABB5D" w14:textId="77777777" w:rsidR="00EA0E37" w:rsidRPr="00305561" w:rsidRDefault="00EA0E37" w:rsidP="00695D58">
            <w:pPr>
              <w:spacing w:line="360" w:lineRule="auto"/>
              <w:jc w:val="both"/>
              <w:rPr>
                <w:rFonts w:ascii="Times New Roman" w:hAnsi="Times New Roman" w:cs="Times New Roman"/>
                <w:sz w:val="24"/>
                <w:szCs w:val="24"/>
              </w:rPr>
            </w:pPr>
            <w:r w:rsidRPr="00305561">
              <w:rPr>
                <w:rFonts w:ascii="Times New Roman" w:hAnsi="Times New Roman" w:cs="Times New Roman"/>
                <w:sz w:val="24"/>
                <w:szCs w:val="24"/>
              </w:rPr>
              <w:t>3.83 ± 0.29</w:t>
            </w:r>
          </w:p>
        </w:tc>
      </w:tr>
    </w:tbl>
    <w:p w14:paraId="2BF28C01" w14:textId="77777777" w:rsidR="005878BC" w:rsidRPr="00305561" w:rsidRDefault="005878BC" w:rsidP="00695D58">
      <w:pPr>
        <w:spacing w:after="0" w:line="360" w:lineRule="auto"/>
        <w:jc w:val="both"/>
        <w:rPr>
          <w:rFonts w:ascii="Times New Roman" w:hAnsi="Times New Roman" w:cs="Times New Roman"/>
          <w:sz w:val="24"/>
          <w:szCs w:val="24"/>
        </w:rPr>
      </w:pPr>
    </w:p>
    <w:p w14:paraId="12F1BE89" w14:textId="77777777" w:rsidR="007700AE" w:rsidRPr="00305561" w:rsidRDefault="00FE2BE1"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DISCUSSION</w:t>
      </w:r>
    </w:p>
    <w:p w14:paraId="5F273BC6"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Hierarchical multi-stage sampling demonstrated that </w:t>
      </w:r>
      <w:r>
        <w:rPr>
          <w:rFonts w:ascii="Times New Roman" w:hAnsi="Times New Roman" w:cs="Times New Roman"/>
          <w:i/>
          <w:iCs/>
          <w:sz w:val="24"/>
          <w:szCs w:val="24"/>
        </w:rPr>
        <w:t>O. oryzae</w:t>
      </w:r>
      <w:r>
        <w:rPr>
          <w:rFonts w:ascii="Times New Roman" w:hAnsi="Times New Roman" w:cs="Times New Roman"/>
          <w:sz w:val="24"/>
          <w:szCs w:val="24"/>
        </w:rPr>
        <w:t xml:space="preserve"> maintained a continuous and widespread spatial presence across both Appajipeta and Khajiramaram villages </w:t>
      </w:r>
      <w:r>
        <w:rPr>
          <w:rFonts w:ascii="Times New Roman" w:hAnsi="Times New Roman" w:cs="Times New Roman"/>
          <w:sz w:val="24"/>
          <w:szCs w:val="24"/>
          <w:highlight w:val="yellow"/>
        </w:rPr>
        <w:t>du</w:t>
      </w:r>
      <w:r>
        <w:rPr>
          <w:rFonts w:ascii="Times New Roman" w:hAnsi="Times New Roman" w:cs="Times New Roman"/>
          <w:sz w:val="24"/>
          <w:szCs w:val="24"/>
        </w:rPr>
        <w:t>r</w:t>
      </w:r>
      <w:r>
        <w:rPr>
          <w:rFonts w:ascii="Times New Roman" w:hAnsi="Times New Roman" w:cs="Times New Roman"/>
          <w:sz w:val="24"/>
          <w:szCs w:val="24"/>
          <w:highlight w:val="yellow"/>
        </w:rPr>
        <w:t>in</w:t>
      </w:r>
      <w:r>
        <w:rPr>
          <w:rFonts w:ascii="Times New Roman" w:hAnsi="Times New Roman" w:cs="Times New Roman"/>
          <w:sz w:val="24"/>
          <w:szCs w:val="24"/>
        </w:rPr>
        <w:t>g all three consecutive Kharif seasons. During the peak vegetative multiplication phase in September and October, plot-level pest occurrence reached 80.00% to 100.00% across all four fields, confirming that virtually every 25 m² sampling unit experienced active gall midge coloni</w:t>
      </w:r>
      <w:r>
        <w:rPr>
          <w:rFonts w:ascii="Times New Roman" w:hAnsi="Times New Roman" w:cs="Times New Roman"/>
          <w:sz w:val="24"/>
          <w:szCs w:val="24"/>
          <w:highlight w:val="yellow"/>
        </w:rPr>
        <w:t>s</w:t>
      </w:r>
      <w:r>
        <w:rPr>
          <w:rFonts w:ascii="Times New Roman" w:hAnsi="Times New Roman" w:cs="Times New Roman"/>
          <w:sz w:val="24"/>
          <w:szCs w:val="24"/>
        </w:rPr>
        <w:t>ation. The three-year pooled plot occurrence was 69.17%, with Appajipeta recording a slightly higher seasonal plot positivity (village pooled mean 70.56%) than Khajiramaram (67.78%). A parallel spatial gradient was observed for plant-level incidence and plot-level abundance (Bentur et al., 2016; Bhargavi &amp; Tejomoortula, 2026; Malathi et al., 2026; Saicharan et al., 2025; Seni et al., 2023).</w:t>
      </w:r>
    </w:p>
    <w:p w14:paraId="7F2D08FF"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high degree of spatial homogeneity and persistent inter-annual endemicity can be attributed to the contiguous lowland paddy landscape of Nalgonda Mandal, where uniform agronomic practices</w:t>
      </w:r>
      <w:r>
        <w:rPr>
          <w:rFonts w:ascii="Times New Roman" w:hAnsi="Times New Roman" w:cs="Times New Roman"/>
          <w:sz w:val="24"/>
          <w:szCs w:val="24"/>
          <w:highlight w:val="yellow"/>
        </w:rPr>
        <w:t>—</w:t>
      </w:r>
      <w:r>
        <w:rPr>
          <w:rFonts w:ascii="Times New Roman" w:hAnsi="Times New Roman" w:cs="Times New Roman"/>
          <w:sz w:val="24"/>
          <w:szCs w:val="24"/>
        </w:rPr>
        <w:t>including standing irrigation water, dense hill spacing and synchronous Kharif cultivation</w:t>
      </w:r>
      <w:r>
        <w:rPr>
          <w:rFonts w:ascii="Times New Roman" w:hAnsi="Times New Roman" w:cs="Times New Roman"/>
          <w:sz w:val="24"/>
          <w:szCs w:val="24"/>
          <w:highlight w:val="yellow"/>
        </w:rPr>
        <w:t>—</w:t>
      </w:r>
      <w:r>
        <w:rPr>
          <w:rFonts w:ascii="Times New Roman" w:hAnsi="Times New Roman" w:cs="Times New Roman"/>
          <w:sz w:val="24"/>
          <w:szCs w:val="24"/>
        </w:rPr>
        <w:t>buffer microclimatic extremes. Because adult gall midges are delicate, short-lived nocturnal fliers with limited long-range dispersal capacity, their uniform spatial distribution indicates that local coloni</w:t>
      </w:r>
      <w:r>
        <w:rPr>
          <w:rFonts w:ascii="Times New Roman" w:hAnsi="Times New Roman" w:cs="Times New Roman"/>
          <w:sz w:val="24"/>
          <w:szCs w:val="24"/>
          <w:highlight w:val="yellow"/>
        </w:rPr>
        <w:t>s</w:t>
      </w:r>
      <w:r>
        <w:rPr>
          <w:rFonts w:ascii="Times New Roman" w:hAnsi="Times New Roman" w:cs="Times New Roman"/>
          <w:sz w:val="24"/>
          <w:szCs w:val="24"/>
        </w:rPr>
        <w:t xml:space="preserve">ation originates primarily from within-field and bund-margin carryover reservoirs rather than long-distance migration (Bhargavi &amp; Tejomoortula, 2026; Hajjar et al., 2023; Harris &amp; Gagné, 1982). Diapausing or quiescent pre-pupae and larvae survive the dry off-season in unploughed post-harvest rice stubbles, ratoon tillers, volunteer rice seedlings and sympatric wild </w:t>
      </w:r>
      <w:r>
        <w:rPr>
          <w:rFonts w:ascii="Times New Roman" w:hAnsi="Times New Roman" w:cs="Times New Roman"/>
          <w:i/>
          <w:iCs/>
          <w:sz w:val="24"/>
          <w:szCs w:val="24"/>
        </w:rPr>
        <w:t>Oryza</w:t>
      </w:r>
      <w:r>
        <w:rPr>
          <w:rFonts w:ascii="Times New Roman" w:hAnsi="Times New Roman" w:cs="Times New Roman"/>
          <w:sz w:val="24"/>
          <w:szCs w:val="24"/>
        </w:rPr>
        <w:t xml:space="preserve"> or hygrophilous Poaceae hosts (</w:t>
      </w:r>
      <w:r>
        <w:rPr>
          <w:rFonts w:ascii="Times New Roman" w:hAnsi="Times New Roman" w:cs="Times New Roman"/>
          <w:i/>
          <w:iCs/>
          <w:sz w:val="24"/>
          <w:szCs w:val="24"/>
        </w:rPr>
        <w:t>Leersia hexandra</w:t>
      </w:r>
      <w:r>
        <w:rPr>
          <w:rFonts w:ascii="Times New Roman" w:hAnsi="Times New Roman" w:cs="Times New Roman"/>
          <w:sz w:val="24"/>
          <w:szCs w:val="24"/>
        </w:rPr>
        <w:t xml:space="preserve">, </w:t>
      </w:r>
      <w:r>
        <w:rPr>
          <w:rFonts w:ascii="Times New Roman" w:hAnsi="Times New Roman" w:cs="Times New Roman"/>
          <w:i/>
          <w:iCs/>
          <w:sz w:val="24"/>
          <w:szCs w:val="24"/>
        </w:rPr>
        <w:t>Echinochloa crus-galli</w:t>
      </w:r>
      <w:r>
        <w:rPr>
          <w:rFonts w:ascii="Times New Roman" w:hAnsi="Times New Roman" w:cs="Times New Roman"/>
          <w:sz w:val="24"/>
          <w:szCs w:val="24"/>
        </w:rPr>
        <w:t xml:space="preserve">, </w:t>
      </w:r>
      <w:r>
        <w:rPr>
          <w:rFonts w:ascii="Times New Roman" w:hAnsi="Times New Roman" w:cs="Times New Roman"/>
          <w:i/>
          <w:iCs/>
          <w:sz w:val="24"/>
          <w:szCs w:val="24"/>
        </w:rPr>
        <w:t>Cynodon dactylon</w:t>
      </w:r>
      <w:r>
        <w:rPr>
          <w:rFonts w:ascii="Times New Roman" w:hAnsi="Times New Roman" w:cs="Times New Roman"/>
          <w:sz w:val="24"/>
          <w:szCs w:val="24"/>
        </w:rPr>
        <w:t xml:space="preserve"> and </w:t>
      </w:r>
      <w:r>
        <w:rPr>
          <w:rFonts w:ascii="Times New Roman" w:hAnsi="Times New Roman" w:cs="Times New Roman"/>
          <w:i/>
          <w:iCs/>
          <w:sz w:val="24"/>
          <w:szCs w:val="24"/>
        </w:rPr>
        <w:t>Ischaemum</w:t>
      </w:r>
      <w:r>
        <w:rPr>
          <w:rFonts w:ascii="Times New Roman" w:hAnsi="Times New Roman" w:cs="Times New Roman"/>
          <w:sz w:val="24"/>
          <w:szCs w:val="24"/>
          <w:highlight w:val="yellow"/>
        </w:rPr>
        <w:t xml:space="preserve"> spp.</w:t>
      </w:r>
      <w:r>
        <w:rPr>
          <w:rFonts w:ascii="Times New Roman" w:hAnsi="Times New Roman" w:cs="Times New Roman"/>
          <w:sz w:val="24"/>
          <w:szCs w:val="24"/>
        </w:rPr>
        <w:t>) growing along moist irrigation channels and field bunds (Bhargavi &amp; Tejomoortula, 2026; Harris et al., 2003; Pathak &amp; Khan, 1994). With the onset of early Kharif monsoon rains, adult emergence from these marginal reservoirs facilitates rapid, uniform invasion into newly transplanted paddy fields.</w:t>
      </w:r>
    </w:p>
    <w:p w14:paraId="7DBF1851"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Pooled across all 20 plots and three Kharif seasons, </w:t>
      </w:r>
      <w:r>
        <w:rPr>
          <w:rFonts w:ascii="Times New Roman" w:hAnsi="Times New Roman" w:cs="Times New Roman"/>
          <w:i/>
          <w:iCs/>
          <w:sz w:val="24"/>
          <w:szCs w:val="24"/>
        </w:rPr>
        <w:t>O. oryzae</w:t>
      </w:r>
      <w:r>
        <w:rPr>
          <w:rFonts w:ascii="Times New Roman" w:hAnsi="Times New Roman" w:cs="Times New Roman"/>
          <w:sz w:val="24"/>
          <w:szCs w:val="24"/>
        </w:rPr>
        <w:t xml:space="preserve"> damaged 21.99 ± 3.18% of all examined rice hills (mean abundance 4.40 ± 0.64 affected hills out of 20 hills per 25 m² plot) and converted 9.16 ± 1.22% of all tillers into sterile silver shoots. In every field and cropping year, the seasonal mean silver shoot percentage remained consistently above the nationally accepted </w:t>
      </w:r>
      <w:r>
        <w:rPr>
          <w:rFonts w:ascii="Times New Roman" w:hAnsi="Times New Roman" w:cs="Times New Roman"/>
          <w:sz w:val="24"/>
          <w:szCs w:val="24"/>
          <w:highlight w:val="yellow"/>
        </w:rPr>
        <w:t>e</w:t>
      </w:r>
      <w:r>
        <w:rPr>
          <w:rFonts w:ascii="Times New Roman" w:hAnsi="Times New Roman" w:cs="Times New Roman"/>
          <w:sz w:val="24"/>
          <w:szCs w:val="24"/>
        </w:rPr>
        <w:t xml:space="preserve">conomic </w:t>
      </w:r>
      <w:r>
        <w:rPr>
          <w:rFonts w:ascii="Times New Roman" w:hAnsi="Times New Roman" w:cs="Times New Roman"/>
          <w:sz w:val="24"/>
          <w:szCs w:val="24"/>
          <w:highlight w:val="yellow"/>
        </w:rPr>
        <w:t>t</w:t>
      </w:r>
      <w:r>
        <w:rPr>
          <w:rFonts w:ascii="Times New Roman" w:hAnsi="Times New Roman" w:cs="Times New Roman"/>
          <w:sz w:val="24"/>
          <w:szCs w:val="24"/>
        </w:rPr>
        <w:t xml:space="preserve">hreshold </w:t>
      </w:r>
      <w:r>
        <w:rPr>
          <w:rFonts w:ascii="Times New Roman" w:hAnsi="Times New Roman" w:cs="Times New Roman"/>
          <w:sz w:val="24"/>
          <w:szCs w:val="24"/>
          <w:highlight w:val="yellow"/>
        </w:rPr>
        <w:t>l</w:t>
      </w:r>
      <w:r>
        <w:rPr>
          <w:rFonts w:ascii="Times New Roman" w:hAnsi="Times New Roman" w:cs="Times New Roman"/>
          <w:sz w:val="24"/>
          <w:szCs w:val="24"/>
        </w:rPr>
        <w:t>evel of 5.0% SS (Hajjar et al., 2023; Pathak &amp; Khan, 1994). Feeding by the first-instar maggot at the vegetative apical meristem reprograms host primary metabolism to construct a nutritive gall chamber while suppressing floral differentiation (Agarrwal et al., 2014; Rawat et al., 2012; Sardesai et al., 2001; Sinha et al., 2012). Although early attack stimulates production of accessory tillers, sustained infestation exceeding the 5% SS threshold ensures that these late-emerging tillers are re-infested or fail to produce mature panicles (Bhargavi &amp; Tejomoortula, 2026; Harris et al., 2003). Silver-shoot formation is associated with loss of productive tillers and may reduce grain yield (Bentur et al., 2016; Bhargavi &amp; Tejomoortula, 2026).</w:t>
      </w:r>
    </w:p>
    <w:p w14:paraId="2714DB08"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Comparison across the three cropping years revealed a consistent temporal hierarchy: Kharif 2024 recorded the highest overall plot occurrence, plant incidence, silver shoot percentage and plot abundance, followed by Kharif 2025 and Kharif 2023. Such inter-annual variations are characteristic of monsoon-driven agro-ecosystems, where year-to-year differences in the onset, intensity and fortnightly distribution of August–September rainfall modulate canopy relative humidity and neonate larval survival (Seni et al., 2023). The consistently high field infestation levels a</w:t>
      </w:r>
      <w:r>
        <w:rPr>
          <w:rFonts w:ascii="Times New Roman" w:hAnsi="Times New Roman" w:cs="Times New Roman"/>
          <w:sz w:val="24"/>
          <w:szCs w:val="24"/>
          <w:highlight w:val="yellow"/>
        </w:rPr>
        <w:t>re cons</w:t>
      </w:r>
      <w:r>
        <w:rPr>
          <w:rFonts w:ascii="Times New Roman" w:hAnsi="Times New Roman" w:cs="Times New Roman"/>
          <w:sz w:val="24"/>
          <w:szCs w:val="24"/>
        </w:rPr>
        <w:t>i</w:t>
      </w:r>
      <w:r>
        <w:rPr>
          <w:rFonts w:ascii="Times New Roman" w:hAnsi="Times New Roman" w:cs="Times New Roman"/>
          <w:sz w:val="24"/>
          <w:szCs w:val="24"/>
          <w:highlight w:val="yellow"/>
        </w:rPr>
        <w:t>ste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with contemporary biotype surveillance documenting highly virulent regional populations of </w:t>
      </w:r>
      <w:r>
        <w:rPr>
          <w:rFonts w:ascii="Times New Roman" w:hAnsi="Times New Roman" w:cs="Times New Roman"/>
          <w:i/>
          <w:iCs/>
          <w:sz w:val="24"/>
          <w:szCs w:val="24"/>
        </w:rPr>
        <w:t>O. oryzae</w:t>
      </w:r>
      <w:r>
        <w:rPr>
          <w:rFonts w:ascii="Times New Roman" w:hAnsi="Times New Roman" w:cs="Times New Roman"/>
          <w:sz w:val="24"/>
          <w:szCs w:val="24"/>
        </w:rPr>
        <w:t xml:space="preserve"> in Telangana, including Biotype 4M in Warangal and Biotype 3 in Jagtial and Rudrur/Nizamabad (Saicharan et al., 2025; Vijaya Lakshmi et al., 2006).</w:t>
      </w:r>
    </w:p>
    <w:p w14:paraId="66238245"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Systematic fortnightly monitoring revealed a highly consistent, unimodal seasonal population curve. The newly transplanted crop remained </w:t>
      </w:r>
      <w:r>
        <w:rPr>
          <w:rFonts w:ascii="Times New Roman" w:hAnsi="Times New Roman" w:cs="Times New Roman"/>
          <w:sz w:val="24"/>
          <w:szCs w:val="24"/>
          <w:highlight w:val="yellow"/>
        </w:rPr>
        <w:t>fr</w:t>
      </w:r>
      <w:r>
        <w:rPr>
          <w:rFonts w:ascii="Times New Roman" w:hAnsi="Times New Roman" w:cs="Times New Roman"/>
          <w:sz w:val="24"/>
          <w:szCs w:val="24"/>
        </w:rPr>
        <w:t>ee of visible silver shoot symptoms at 15 DAT. Initial field symptom expression was consistently recorded at 30 DAT. Thereafter the pest population multiplied exponentially throughout September, culminating in a sharp peak at 60 DAT (maximum tillering). Following this late-September climax, infestation declined progressively and reached complete cessation at harvest (120 DAT). This unimodal trajectory is con</w:t>
      </w:r>
      <w:r>
        <w:rPr>
          <w:rFonts w:ascii="Times New Roman" w:hAnsi="Times New Roman" w:cs="Times New Roman"/>
          <w:sz w:val="24"/>
          <w:szCs w:val="24"/>
          <w:highlight w:val="yellow"/>
        </w:rPr>
        <w:t>siste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with contemporary phenological and light-trap investigations across Indian rice agro-ecosystems (Bhargavi &amp; Tejomoortula, 2026; Seni et al., 2023). Seni et al. (2023) documented that </w:t>
      </w:r>
      <w:r>
        <w:rPr>
          <w:rFonts w:ascii="Times New Roman" w:hAnsi="Times New Roman" w:cs="Times New Roman"/>
          <w:i/>
          <w:iCs/>
          <w:sz w:val="24"/>
          <w:szCs w:val="24"/>
        </w:rPr>
        <w:t>O. oryzae</w:t>
      </w:r>
      <w:r>
        <w:rPr>
          <w:rFonts w:ascii="Times New Roman" w:hAnsi="Times New Roman" w:cs="Times New Roman"/>
          <w:sz w:val="24"/>
          <w:szCs w:val="24"/>
        </w:rPr>
        <w:t xml:space="preserve"> field activity is strictly concentrated between the 35th and 43rd Standard Meteorological Weeks, with peak silver shoot expression between the 38th and 40th SMW. The absence of visible galls at 15 DAT followed by sudden emergence at 30 DAT is explained by the developmental thermal constants and endoparasitic latency: adult midges colonize the crop around 10–18 DAT; after 3–4 days </w:t>
      </w:r>
      <w:r>
        <w:rPr>
          <w:rFonts w:ascii="Times New Roman" w:hAnsi="Times New Roman" w:cs="Times New Roman"/>
          <w:sz w:val="24"/>
          <w:szCs w:val="24"/>
          <w:highlight w:val="yellow"/>
        </w:rPr>
        <w:t xml:space="preserve">of </w:t>
      </w:r>
      <w:r>
        <w:rPr>
          <w:rFonts w:ascii="Times New Roman" w:hAnsi="Times New Roman" w:cs="Times New Roman"/>
          <w:sz w:val="24"/>
          <w:szCs w:val="24"/>
        </w:rPr>
        <w:t>embryonic incubation and 10–14 days of internal larval feeding, the fused leaf sheath elongates into an externally visible silver shoot only after 18–25 days (Bhargavi &amp; Tejomoortula, 2026; Hajjar et al., 2023; Harris et al., 2003). Subsequent overlapping generations completed within 19–23 days under warm, humid September conditions drive the rapid population surge at 45 and 60 DAT (Atray et al., 2015; Bentur et al., 2016).</w:t>
      </w:r>
    </w:p>
    <w:p w14:paraId="7B496C07" w14:textId="77777777" w:rsidR="007700AE" w:rsidRPr="00305561" w:rsidRDefault="007700AE" w:rsidP="00695D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When evaluated across crop phenological stages, </w:t>
      </w:r>
      <w:r>
        <w:rPr>
          <w:rFonts w:ascii="Times New Roman" w:hAnsi="Times New Roman" w:cs="Times New Roman"/>
          <w:i/>
          <w:iCs/>
          <w:sz w:val="24"/>
          <w:szCs w:val="24"/>
        </w:rPr>
        <w:t>O. oryzae</w:t>
      </w:r>
      <w:r>
        <w:rPr>
          <w:rFonts w:ascii="Times New Roman" w:hAnsi="Times New Roman" w:cs="Times New Roman"/>
          <w:sz w:val="24"/>
          <w:szCs w:val="24"/>
        </w:rPr>
        <w:t xml:space="preserve"> behaved strictly as an obligate vegetative-stage herbivore. </w:t>
      </w:r>
      <w:r>
        <w:rPr>
          <w:rFonts w:ascii="Times New Roman" w:hAnsi="Times New Roman" w:cs="Times New Roman"/>
          <w:sz w:val="24"/>
          <w:szCs w:val="24"/>
          <w:highlight w:val="yellow"/>
        </w:rPr>
        <w:t>No v</w:t>
      </w:r>
      <w:r>
        <w:rPr>
          <w:rFonts w:ascii="Times New Roman" w:hAnsi="Times New Roman" w:cs="Times New Roman"/>
          <w:sz w:val="24"/>
          <w:szCs w:val="24"/>
        </w:rPr>
        <w:t>isible gall</w:t>
      </w:r>
      <w:r>
        <w:rPr>
          <w:rFonts w:ascii="Times New Roman" w:hAnsi="Times New Roman" w:cs="Times New Roman"/>
          <w:sz w:val="24"/>
          <w:szCs w:val="24"/>
          <w:highlight w:val="yellow"/>
        </w:rPr>
        <w:t>s</w:t>
      </w:r>
      <w:r>
        <w:rPr>
          <w:rFonts w:ascii="Times New Roman" w:hAnsi="Times New Roman" w:cs="Times New Roman"/>
          <w:sz w:val="24"/>
          <w:szCs w:val="24"/>
        </w:rPr>
        <w:t xml:space="preserve">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recorded</w:t>
      </w:r>
      <w:r>
        <w:rPr>
          <w:rFonts w:ascii="Times New Roman" w:hAnsi="Times New Roman" w:cs="Times New Roman"/>
          <w:sz w:val="24"/>
          <w:szCs w:val="24"/>
        </w:rPr>
        <w:t xml:space="preserve"> at 15 DAT despite initial adult immigration. As the crop entered active tillering, silver shoot incidence escalated, reaching</w:t>
      </w:r>
      <w:r>
        <w:rPr>
          <w:rFonts w:ascii="Times New Roman" w:hAnsi="Times New Roman" w:cs="Times New Roman"/>
          <w:sz w:val="24"/>
          <w:szCs w:val="24"/>
          <w:highlight w:val="yellow"/>
        </w:rPr>
        <w:t xml:space="preserve"> its</w:t>
      </w:r>
      <w:r>
        <w:rPr>
          <w:rFonts w:ascii="Times New Roman" w:hAnsi="Times New Roman" w:cs="Times New Roman"/>
          <w:sz w:val="24"/>
          <w:szCs w:val="24"/>
        </w:rPr>
        <w:t xml:space="preserve"> maximum expression (21.30% SS) at maximum tillering (60 DAT). The transition to panicle initiation (75 DAT) marked an immediate inflection point </w:t>
      </w:r>
      <w:r>
        <w:rPr>
          <w:rFonts w:ascii="Times New Roman" w:hAnsi="Times New Roman" w:cs="Times New Roman"/>
          <w:sz w:val="24"/>
          <w:szCs w:val="24"/>
          <w:highlight w:val="yellow"/>
        </w:rPr>
        <w:t xml:space="preserve">at </w:t>
      </w:r>
      <w:r>
        <w:rPr>
          <w:rFonts w:ascii="Times New Roman" w:hAnsi="Times New Roman" w:cs="Times New Roman"/>
          <w:sz w:val="24"/>
          <w:szCs w:val="24"/>
        </w:rPr>
        <w:t>wh</w:t>
      </w:r>
      <w:r>
        <w:rPr>
          <w:rFonts w:ascii="Times New Roman" w:hAnsi="Times New Roman" w:cs="Times New Roman"/>
          <w:sz w:val="24"/>
          <w:szCs w:val="24"/>
          <w:highlight w:val="yellow"/>
        </w:rPr>
        <w:t>ich</w:t>
      </w:r>
      <w:r>
        <w:rPr>
          <w:rFonts w:ascii="Times New Roman" w:hAnsi="Times New Roman" w:cs="Times New Roman"/>
          <w:sz w:val="24"/>
          <w:szCs w:val="24"/>
        </w:rPr>
        <w:t xml:space="preserve"> infestation began to </w:t>
      </w:r>
      <w:r>
        <w:rPr>
          <w:rFonts w:ascii="Times New Roman" w:hAnsi="Times New Roman" w:cs="Times New Roman"/>
          <w:sz w:val="24"/>
          <w:szCs w:val="24"/>
          <w:highlight w:val="yellow"/>
        </w:rPr>
        <w:t>de</w:t>
      </w:r>
      <w:r>
        <w:rPr>
          <w:rFonts w:ascii="Times New Roman" w:hAnsi="Times New Roman" w:cs="Times New Roman"/>
          <w:sz w:val="24"/>
          <w:szCs w:val="24"/>
        </w:rPr>
        <w:t>cl</w:t>
      </w:r>
      <w:r>
        <w:rPr>
          <w:rFonts w:ascii="Times New Roman" w:hAnsi="Times New Roman" w:cs="Times New Roman"/>
          <w:sz w:val="24"/>
          <w:szCs w:val="24"/>
          <w:highlight w:val="yellow"/>
        </w:rPr>
        <w:t>in</w:t>
      </w:r>
      <w:r>
        <w:rPr>
          <w:rFonts w:ascii="Times New Roman" w:hAnsi="Times New Roman" w:cs="Times New Roman"/>
          <w:sz w:val="24"/>
          <w:szCs w:val="24"/>
        </w:rPr>
        <w:t>e, declining further through booting/flowering, milking/dough and maturity. The biological basis lies in the anatomical requirements of the first-instar larva, which possesses highly reduced piercing-sucking mouthparts and cannot penetrate differentiated or lignified tissues (Bhargavi &amp; Tejomoortula, 2026; Harris et al., 2003; Seni et al., 2023). Hatched larvae must crawl down the moisture film between tightly furled leaf sheaths to reach an actively dividing, undifferentiated vegetative apical meristem (Agarrwal et al., 2014; Sinha et al., 2012). During active and maximum tillering, each hill rapidly emits primary, secondary and tertiary tillers that serve as ideal feeding and gall-induction sites (Sahu et al., 2024). Once the plant reaches panicle initiation, the vegetative shoot apical meristem differentiates into a reproductive floral primordium and basal internodes undergo rapid elongation, silica deposition and lignification; first-instar maggots are physically excluded and starve without inducing silver shoots (Bentur &amp; Kalode, 1996; Bentur et al., 2016; Pathak &amp; Khan, 1994). Residual silver shoots after 75 DAT represented senescing galls formed earlier on late tertiary or non-productive basal tillers. This phenological restriction confirms that the critical window of crop vulnerability in Nalgonda District is strictly bounded between 25 and 60 DAT, supporting closer surveillance and need-based management during the vulnerable vegetative phase (Hajjar et al., 2023).</w:t>
      </w:r>
    </w:p>
    <w:p w14:paraId="4AC23603" w14:textId="77777777" w:rsidR="007700AE" w:rsidRPr="00305561" w:rsidRDefault="00FE2BE1"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CONCLUSION</w:t>
      </w:r>
    </w:p>
    <w:p w14:paraId="48D5250B" w14:textId="3BBD2313" w:rsidR="006E10A7" w:rsidRDefault="00695D58" w:rsidP="00695D58">
      <w:pPr>
        <w:spacing w:after="0" w:line="360" w:lineRule="auto"/>
        <w:jc w:val="both"/>
        <w:rPr>
          <w:rFonts w:ascii="Times New Roman" w:hAnsi="Times New Roman" w:cs="Times New Roman"/>
          <w:sz w:val="24"/>
          <w:szCs w:val="24"/>
        </w:rPr>
      </w:pPr>
      <w:r w:rsidRPr="00695D58">
        <w:rPr>
          <w:rFonts w:ascii="Times New Roman" w:hAnsi="Times New Roman" w:cs="Times New Roman"/>
          <w:sz w:val="24"/>
          <w:szCs w:val="24"/>
          <w:highlight w:val="yellow"/>
        </w:rPr>
        <w:t xml:space="preserve">The three-season investigation documented recurring infestation by </w:t>
      </w:r>
      <w:proofErr w:type="spellStart"/>
      <w:r w:rsidRPr="00695D58">
        <w:rPr>
          <w:rFonts w:ascii="Times New Roman" w:hAnsi="Times New Roman" w:cs="Times New Roman"/>
          <w:sz w:val="24"/>
          <w:szCs w:val="24"/>
          <w:highlight w:val="yellow"/>
        </w:rPr>
        <w:t>Orseolia</w:t>
      </w:r>
      <w:proofErr w:type="spellEnd"/>
      <w:r w:rsidRPr="00695D58">
        <w:rPr>
          <w:rFonts w:ascii="Times New Roman" w:hAnsi="Times New Roman" w:cs="Times New Roman"/>
          <w:sz w:val="24"/>
          <w:szCs w:val="24"/>
          <w:highlight w:val="yellow"/>
        </w:rPr>
        <w:t xml:space="preserve"> oryzae in canal-irrigated paddy fields of </w:t>
      </w:r>
      <w:proofErr w:type="spellStart"/>
      <w:r w:rsidRPr="00695D58">
        <w:rPr>
          <w:rFonts w:ascii="Times New Roman" w:hAnsi="Times New Roman" w:cs="Times New Roman"/>
          <w:sz w:val="24"/>
          <w:szCs w:val="24"/>
          <w:highlight w:val="yellow"/>
        </w:rPr>
        <w:t>Appajipeta</w:t>
      </w:r>
      <w:proofErr w:type="spellEnd"/>
      <w:r w:rsidRPr="00695D58">
        <w:rPr>
          <w:rFonts w:ascii="Times New Roman" w:hAnsi="Times New Roman" w:cs="Times New Roman"/>
          <w:sz w:val="24"/>
          <w:szCs w:val="24"/>
          <w:highlight w:val="yellow"/>
        </w:rPr>
        <w:t xml:space="preserve"> and </w:t>
      </w:r>
      <w:proofErr w:type="spellStart"/>
      <w:r w:rsidRPr="00695D58">
        <w:rPr>
          <w:rFonts w:ascii="Times New Roman" w:hAnsi="Times New Roman" w:cs="Times New Roman"/>
          <w:sz w:val="24"/>
          <w:szCs w:val="24"/>
          <w:highlight w:val="yellow"/>
        </w:rPr>
        <w:t>Khajiramaram</w:t>
      </w:r>
      <w:proofErr w:type="spellEnd"/>
      <w:r w:rsidRPr="00695D58">
        <w:rPr>
          <w:rFonts w:ascii="Times New Roman" w:hAnsi="Times New Roman" w:cs="Times New Roman"/>
          <w:sz w:val="24"/>
          <w:szCs w:val="24"/>
          <w:highlight w:val="yellow"/>
        </w:rPr>
        <w:t xml:space="preserve">, Nalgonda Mandal. Across the 20 fixed </w:t>
      </w:r>
      <w:r w:rsidRPr="00695D58">
        <w:rPr>
          <w:rFonts w:ascii="Times New Roman" w:hAnsi="Times New Roman" w:cs="Times New Roman"/>
          <w:sz w:val="24"/>
          <w:szCs w:val="24"/>
          <w:highlight w:val="yellow"/>
        </w:rPr>
        <w:lastRenderedPageBreak/>
        <w:t>plots, pooled occurrence was 69.17%, mean plant incidence was 21.99 ± 3.18%, mean silver shoot percentage was 9.16 ± 1.22%, and mean abundance was 4.40 ± 0.64 affected hills per 25 m² plot. The overall silver shoot percentage was above the 5% economic threshold level cited in the manuscript, indicating that gall-midge injury was substantial within the sampled fields. Although infestation levels differed modestly between villages and cropping years, the seasonal pattern was similar across the study period. No visible silver shoots were recorded at 15 days after transplanting, whereas the highest pooled silver shoot percentage occurred during maximum tillering at 60 days (21.30 ± 1.86%). Infestation declined following panicle initiation and was not recorded at harvest. These findings establish a site-specific description of spatial occurrence and the timing of visible injury, which can inform monitoring during vegetative growth in comparable canal-irrigated paddy fields.</w:t>
      </w:r>
    </w:p>
    <w:p w14:paraId="113578C8" w14:textId="77777777" w:rsidR="00695D58" w:rsidRDefault="00695D58" w:rsidP="00695D58">
      <w:pPr>
        <w:spacing w:after="0" w:line="360" w:lineRule="auto"/>
        <w:jc w:val="both"/>
        <w:rPr>
          <w:rFonts w:ascii="Times New Roman" w:hAnsi="Times New Roman" w:cs="Times New Roman"/>
          <w:sz w:val="24"/>
          <w:szCs w:val="24"/>
        </w:rPr>
      </w:pPr>
    </w:p>
    <w:p w14:paraId="53D01C78" w14:textId="1C9270A9" w:rsidR="00695D58" w:rsidRPr="00695D58" w:rsidRDefault="00695D58" w:rsidP="00695D58">
      <w:pPr>
        <w:spacing w:after="0" w:line="360" w:lineRule="auto"/>
        <w:jc w:val="both"/>
        <w:rPr>
          <w:rFonts w:ascii="Times New Roman" w:hAnsi="Times New Roman" w:cs="Times New Roman"/>
          <w:b/>
          <w:bCs/>
          <w:sz w:val="24"/>
          <w:szCs w:val="24"/>
        </w:rPr>
      </w:pPr>
      <w:r w:rsidRPr="00695D58">
        <w:rPr>
          <w:rFonts w:ascii="Times New Roman" w:hAnsi="Times New Roman" w:cs="Times New Roman"/>
          <w:b/>
          <w:bCs/>
          <w:sz w:val="24"/>
          <w:szCs w:val="24"/>
        </w:rPr>
        <w:t>Limitations</w:t>
      </w:r>
    </w:p>
    <w:p w14:paraId="38333EB2" w14:textId="6BFE6E29" w:rsidR="00695D58" w:rsidRPr="00695D58" w:rsidRDefault="00695D58" w:rsidP="00695D58">
      <w:pPr>
        <w:spacing w:after="0" w:line="360" w:lineRule="auto"/>
        <w:jc w:val="both"/>
        <w:rPr>
          <w:rFonts w:ascii="Times New Roman" w:hAnsi="Times New Roman" w:cs="Times New Roman"/>
          <w:sz w:val="24"/>
          <w:szCs w:val="24"/>
        </w:rPr>
      </w:pPr>
      <w:r w:rsidRPr="00695D58">
        <w:rPr>
          <w:rFonts w:ascii="Times New Roman" w:hAnsi="Times New Roman" w:cs="Times New Roman"/>
          <w:sz w:val="24"/>
          <w:szCs w:val="24"/>
        </w:rPr>
        <w:t xml:space="preserve">The investigation covered two villages and four canal-irrigated paddy fields in Nalgonda Mandal during the Kharif seasons of 2023–2025. Consequently, its findings should not be </w:t>
      </w:r>
      <w:proofErr w:type="spellStart"/>
      <w:r w:rsidRPr="00695D58">
        <w:rPr>
          <w:rFonts w:ascii="Times New Roman" w:hAnsi="Times New Roman" w:cs="Times New Roman"/>
          <w:sz w:val="24"/>
          <w:szCs w:val="24"/>
        </w:rPr>
        <w:t>generalised</w:t>
      </w:r>
      <w:proofErr w:type="spellEnd"/>
      <w:r w:rsidRPr="00695D58">
        <w:rPr>
          <w:rFonts w:ascii="Times New Roman" w:hAnsi="Times New Roman" w:cs="Times New Roman"/>
          <w:sz w:val="24"/>
          <w:szCs w:val="24"/>
        </w:rPr>
        <w:t xml:space="preserve"> to all rice-growing environments in Telangana. Fortnightly observations describe infestation at the recorded sampling intervals and do not resolve changes occurring between visits. As grain yield was not measured and individual environmental drivers were not evaluated separately, the documented infestation levels cannot be used to estimate local yield losses or establish causal relationships with particular weather or management factors.</w:t>
      </w:r>
    </w:p>
    <w:p w14:paraId="01E98A11" w14:textId="77777777" w:rsidR="00695D58" w:rsidRDefault="00695D58" w:rsidP="00695D58">
      <w:pPr>
        <w:spacing w:after="0" w:line="360" w:lineRule="auto"/>
        <w:jc w:val="both"/>
        <w:rPr>
          <w:rFonts w:ascii="Times New Roman" w:hAnsi="Times New Roman" w:cs="Times New Roman"/>
          <w:sz w:val="24"/>
          <w:szCs w:val="24"/>
        </w:rPr>
      </w:pPr>
    </w:p>
    <w:p w14:paraId="33FAF688" w14:textId="77777777" w:rsidR="006E10A7" w:rsidRPr="006E10A7" w:rsidRDefault="006E10A7" w:rsidP="00695D58">
      <w:pPr>
        <w:spacing w:after="0" w:line="240" w:lineRule="auto"/>
        <w:jc w:val="both"/>
        <w:rPr>
          <w:rFonts w:ascii="Arial" w:eastAsia="Calibri" w:hAnsi="Arial" w:cs="Arial"/>
          <w:b/>
          <w:kern w:val="0"/>
          <w:sz w:val="20"/>
          <w:szCs w:val="20"/>
          <w:lang w:bidi="ar-SA"/>
          <w14:ligatures w14:val="none"/>
        </w:rPr>
      </w:pPr>
      <w:r w:rsidRPr="006E10A7">
        <w:rPr>
          <w:rFonts w:ascii="Arial" w:eastAsia="Calibri" w:hAnsi="Arial" w:cs="Arial"/>
          <w:b/>
          <w:kern w:val="0"/>
          <w:sz w:val="20"/>
          <w:szCs w:val="20"/>
          <w:lang w:bidi="ar-SA"/>
          <w14:ligatures w14:val="none"/>
        </w:rPr>
        <w:t>Declaration of AI Use</w:t>
      </w:r>
    </w:p>
    <w:p w14:paraId="3DD08996" w14:textId="77777777" w:rsidR="006E10A7" w:rsidRPr="006E10A7" w:rsidRDefault="006E10A7" w:rsidP="00695D58">
      <w:pPr>
        <w:spacing w:after="0" w:line="240" w:lineRule="auto"/>
        <w:jc w:val="both"/>
        <w:rPr>
          <w:rFonts w:ascii="Arial" w:eastAsia="Calibri" w:hAnsi="Arial" w:cs="Arial"/>
          <w:kern w:val="0"/>
          <w:sz w:val="20"/>
          <w:szCs w:val="20"/>
          <w:lang w:bidi="ar-SA"/>
          <w14:ligatures w14:val="none"/>
        </w:rPr>
      </w:pPr>
    </w:p>
    <w:p w14:paraId="043B1297" w14:textId="77777777" w:rsidR="006E10A7" w:rsidRPr="006E10A7" w:rsidRDefault="006E10A7" w:rsidP="00695D58">
      <w:pPr>
        <w:spacing w:after="0" w:line="240" w:lineRule="auto"/>
        <w:jc w:val="both"/>
        <w:rPr>
          <w:rFonts w:ascii="Arial" w:eastAsia="Calibri" w:hAnsi="Arial" w:cs="Arial"/>
          <w:kern w:val="0"/>
          <w:sz w:val="20"/>
          <w:szCs w:val="20"/>
          <w:lang w:bidi="ar-SA"/>
          <w14:ligatures w14:val="none"/>
        </w:rPr>
      </w:pPr>
      <w:r w:rsidRPr="006E10A7">
        <w:rPr>
          <w:rFonts w:ascii="Arial" w:eastAsia="Calibri" w:hAnsi="Arial" w:cs="Arial"/>
          <w:kern w:val="0"/>
          <w:sz w:val="20"/>
          <w:szCs w:val="20"/>
          <w:lang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944EF30" w14:textId="77777777" w:rsidR="006E10A7" w:rsidRPr="006E10A7" w:rsidRDefault="006E10A7" w:rsidP="00695D58">
      <w:pPr>
        <w:spacing w:after="0" w:line="240" w:lineRule="auto"/>
        <w:jc w:val="both"/>
        <w:rPr>
          <w:rFonts w:ascii="Times New Roman" w:eastAsia="Calibri" w:hAnsi="Times New Roman" w:cs="Times New Roman"/>
          <w:kern w:val="0"/>
          <w:lang w:bidi="ar-SA"/>
          <w14:ligatures w14:val="none"/>
        </w:rPr>
      </w:pPr>
    </w:p>
    <w:p w14:paraId="1498F775" w14:textId="77777777" w:rsidR="006E10A7" w:rsidRPr="006E10A7" w:rsidRDefault="006E10A7" w:rsidP="00695D58">
      <w:pPr>
        <w:spacing w:after="0" w:line="240" w:lineRule="auto"/>
        <w:jc w:val="both"/>
        <w:rPr>
          <w:rFonts w:ascii="Times New Roman" w:eastAsia="Calibri" w:hAnsi="Times New Roman" w:cs="Times New Roman"/>
          <w:kern w:val="0"/>
          <w:lang w:bidi="ar-SA"/>
          <w14:ligatures w14:val="none"/>
        </w:rPr>
      </w:pPr>
    </w:p>
    <w:p w14:paraId="4B59F003" w14:textId="77777777" w:rsidR="006E10A7" w:rsidRPr="006E10A7" w:rsidRDefault="006E10A7" w:rsidP="00695D58">
      <w:pPr>
        <w:spacing w:after="200" w:line="276" w:lineRule="auto"/>
        <w:jc w:val="both"/>
        <w:rPr>
          <w:rFonts w:ascii="Cambria" w:eastAsia="Times New Roman" w:hAnsi="Cambria" w:cs="Arial"/>
          <w:b/>
          <w:bCs/>
          <w:kern w:val="0"/>
          <w:lang w:val="en-GB" w:eastAsia="en-GB" w:bidi="ar-SA"/>
          <w14:ligatures w14:val="none"/>
        </w:rPr>
      </w:pPr>
      <w:r w:rsidRPr="006E10A7">
        <w:rPr>
          <w:rFonts w:ascii="Cambria" w:eastAsia="Times New Roman" w:hAnsi="Cambria" w:cs="Arial"/>
          <w:b/>
          <w:bCs/>
          <w:kern w:val="0"/>
          <w:lang w:val="en-GB" w:eastAsia="en-GB" w:bidi="ar-SA"/>
          <w14:ligatures w14:val="none"/>
        </w:rPr>
        <w:t>COMPETING INTERESTS DISCLAIMER:</w:t>
      </w:r>
    </w:p>
    <w:p w14:paraId="545978E2" w14:textId="77777777" w:rsidR="006E10A7" w:rsidRPr="006E10A7" w:rsidRDefault="006E10A7" w:rsidP="00695D58">
      <w:pPr>
        <w:spacing w:after="200" w:line="276" w:lineRule="auto"/>
        <w:jc w:val="both"/>
        <w:rPr>
          <w:rFonts w:ascii="Cambria" w:eastAsia="Times New Roman" w:hAnsi="Cambria" w:cs="Times New Roman"/>
          <w:kern w:val="0"/>
          <w:lang w:val="en-GB" w:eastAsia="en-GB" w:bidi="ar-SA"/>
          <w14:ligatures w14:val="none"/>
        </w:rPr>
      </w:pPr>
      <w:r w:rsidRPr="006E10A7">
        <w:rPr>
          <w:rFonts w:ascii="Cambria" w:eastAsia="Times New Roman" w:hAnsi="Cambria" w:cs="Arial"/>
          <w:kern w:val="0"/>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077F4F1F" w14:textId="77777777" w:rsidR="006E10A7" w:rsidRPr="00305561" w:rsidRDefault="006E10A7" w:rsidP="00695D58">
      <w:pPr>
        <w:spacing w:after="0" w:line="360" w:lineRule="auto"/>
        <w:jc w:val="both"/>
        <w:rPr>
          <w:rFonts w:ascii="Times New Roman" w:hAnsi="Times New Roman" w:cs="Times New Roman"/>
          <w:sz w:val="24"/>
          <w:szCs w:val="24"/>
        </w:rPr>
      </w:pPr>
    </w:p>
    <w:p w14:paraId="3A0B03A5" w14:textId="77777777" w:rsidR="00AC08D2" w:rsidRPr="00305561" w:rsidRDefault="00AC08D2" w:rsidP="00695D58">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REFERENCES</w:t>
      </w:r>
    </w:p>
    <w:p>
      <w:pPr>
        <w:spacing w:after="80" w:line="240" w:lineRule="auto"/>
        <w:ind w:left="360" w:hanging="360"/>
        <w:jc w:val="left"/>
      </w:pPr>
      <w:r>
        <w:t xml:space="preserve">Agarrwal, R., Bentur, J. S., &amp; Nair, S. (2014). </w:t>
      </w:r>
      <w:r>
        <w:t xml:space="preserve">Gas chromatography mass spectrometry based metabolic profiling reveals biomarkers involved in rice-gall midge interactions. </w:t>
      </w:r>
      <w:r>
        <w:rPr>
          <w:i/>
        </w:rPr>
        <w:t>Journal of Integrative Plant Biology</w:t>
      </w:r>
      <w:r>
        <w:t xml:space="preserve">, </w:t>
      </w:r>
      <w:r>
        <w:rPr>
          <w:i/>
        </w:rPr>
        <w:t>56</w:t>
      </w:r>
      <w:r>
        <w:t>(9)</w:t>
      </w:r>
      <w:r>
        <w:t>, 837–848</w:t>
      </w:r>
      <w:r>
        <w:t xml:space="preserve">. </w:t>
      </w:r>
      <w:hyperlink r:id="rId7">
        <w:r>
          <w:rPr>
            <w:color w:val="1155CC"/>
            <w:u w:val="single"/>
          </w:rPr>
          <w:t>https://doi.org/10.1111/jipb.12244</w:t>
        </w:r>
      </w:hyperlink>
    </w:p>
    <w:p>
      <w:pPr>
        <w:spacing w:after="80" w:line="240" w:lineRule="auto"/>
        <w:ind w:left="360" w:hanging="360"/>
        <w:jc w:val="left"/>
      </w:pPr>
      <w:r>
        <w:t xml:space="preserve">Atray, I., Bentur, J. S., &amp; Nair, S. (2015). </w:t>
      </w:r>
      <w:r>
        <w:t>The Asian rice gall midge (</w:t>
      </w:r>
      <w:r>
        <w:rPr>
          <w:i/>
        </w:rPr>
        <w:t>Orseolia oryzae</w:t>
      </w:r>
      <w:r>
        <w:t xml:space="preserve">) mitogenome has evolved novel gene boundaries and tandem repeats that distinguish its biotypes. </w:t>
      </w:r>
      <w:r>
        <w:rPr>
          <w:i/>
        </w:rPr>
        <w:t>PLOS ONE</w:t>
      </w:r>
      <w:r>
        <w:t xml:space="preserve">, </w:t>
      </w:r>
      <w:r>
        <w:rPr>
          <w:i/>
        </w:rPr>
        <w:t>10</w:t>
      </w:r>
      <w:r>
        <w:t>(7)</w:t>
      </w:r>
      <w:r>
        <w:t>, Article e0134625</w:t>
      </w:r>
      <w:r>
        <w:t xml:space="preserve">. </w:t>
      </w:r>
      <w:hyperlink r:id="rId32">
        <w:r>
          <w:rPr>
            <w:color w:val="1155CC"/>
            <w:u w:val="single"/>
          </w:rPr>
          <w:t>https://doi.org/10.1371/journal.pone.0134625</w:t>
        </w:r>
      </w:hyperlink>
    </w:p>
    <w:p>
      <w:pPr>
        <w:spacing w:after="80" w:line="240" w:lineRule="auto"/>
        <w:ind w:left="360" w:hanging="360"/>
        <w:jc w:val="left"/>
      </w:pPr>
      <w:r>
        <w:t xml:space="preserve">Bentur, J. S., &amp; Kalode, M. B. (1996). </w:t>
      </w:r>
      <w:r>
        <w:t xml:space="preserve">Hypersensitive reaction and induced resistance in rice against the Asian rice gall midge </w:t>
      </w:r>
      <w:r>
        <w:rPr>
          <w:i/>
        </w:rPr>
        <w:t>Orseolia oryzae</w:t>
      </w:r>
      <w:r>
        <w:t xml:space="preserve">. </w:t>
      </w:r>
      <w:r>
        <w:rPr>
          <w:i/>
        </w:rPr>
        <w:t>Entomologia Experimentalis et Applicata</w:t>
      </w:r>
      <w:r>
        <w:t xml:space="preserve">, </w:t>
      </w:r>
      <w:r>
        <w:rPr>
          <w:i/>
        </w:rPr>
        <w:t>78</w:t>
      </w:r>
      <w:r>
        <w:t>(1)</w:t>
      </w:r>
      <w:r>
        <w:t>, 77–81</w:t>
      </w:r>
      <w:r>
        <w:t xml:space="preserve">. </w:t>
      </w:r>
      <w:hyperlink r:id="rId8">
        <w:r>
          <w:rPr>
            <w:color w:val="1155CC"/>
            <w:u w:val="single"/>
          </w:rPr>
          <w:t>https://doi.org/10.1111/j.1570-7458.1996.tb00766.x</w:t>
        </w:r>
      </w:hyperlink>
    </w:p>
    <w:p>
      <w:pPr>
        <w:spacing w:after="80" w:line="240" w:lineRule="auto"/>
        <w:ind w:left="360" w:hanging="360"/>
        <w:jc w:val="left"/>
      </w:pPr>
      <w:r>
        <w:t xml:space="preserve">Bentur, J. S., Rawat, N., Divya, D., Sinha, D. K., Agarrwal, R., Atray, I., &amp; Nair, S. (2016). </w:t>
      </w:r>
      <w:r>
        <w:t xml:space="preserve">Rice–gall midge interactions: Battle for survival. </w:t>
      </w:r>
      <w:r>
        <w:rPr>
          <w:i/>
        </w:rPr>
        <w:t>Journal of Insect Physiology</w:t>
      </w:r>
      <w:r>
        <w:t xml:space="preserve">, </w:t>
      </w:r>
      <w:r>
        <w:rPr>
          <w:i/>
        </w:rPr>
        <w:t>84</w:t>
      </w:r>
      <w:r>
        <w:t>, 40–49</w:t>
      </w:r>
      <w:r>
        <w:t xml:space="preserve">. </w:t>
      </w:r>
      <w:hyperlink r:id="rId9">
        <w:r>
          <w:rPr>
            <w:color w:val="1155CC"/>
            <w:u w:val="single"/>
          </w:rPr>
          <w:t>https://doi.org/10.1016/j.jinsphys.2015.09.008</w:t>
        </w:r>
      </w:hyperlink>
    </w:p>
    <w:p>
      <w:pPr>
        <w:spacing w:after="80" w:line="240" w:lineRule="auto"/>
        <w:ind w:left="360" w:hanging="360"/>
        <w:jc w:val="left"/>
      </w:pPr>
      <w:r>
        <w:t xml:space="preserve">Bhargavi, A., &amp; Tejomoortula, S. R. (2026). </w:t>
      </w:r>
      <w:r>
        <w:t>Biodiversity and ecological dynamics of the Asian rice gall midge (</w:t>
      </w:r>
      <w:r>
        <w:rPr>
          <w:i/>
        </w:rPr>
        <w:t>Orseolia oryzae</w:t>
      </w:r>
      <w:r>
        <w:t xml:space="preserve">) in paddy ecosystems: A comprehensive review. </w:t>
      </w:r>
      <w:r>
        <w:rPr>
          <w:i/>
        </w:rPr>
        <w:t>Asian Research Journal of Agriculture</w:t>
      </w:r>
      <w:r>
        <w:t xml:space="preserve">, </w:t>
      </w:r>
      <w:r>
        <w:rPr>
          <w:i/>
        </w:rPr>
        <w:t>19</w:t>
      </w:r>
      <w:r>
        <w:t>(4)</w:t>
      </w:r>
      <w:r>
        <w:t>, 114–130</w:t>
      </w:r>
      <w:r>
        <w:t xml:space="preserve">. </w:t>
      </w:r>
      <w:hyperlink r:id="rId33">
        <w:r>
          <w:rPr>
            <w:color w:val="1155CC"/>
            <w:u w:val="single"/>
          </w:rPr>
          <w:t>https://doi.org/10.9734/arja/2026/v19i4918</w:t>
        </w:r>
      </w:hyperlink>
    </w:p>
    <w:p>
      <w:pPr>
        <w:spacing w:after="80" w:line="240" w:lineRule="auto"/>
        <w:ind w:left="360" w:hanging="360"/>
        <w:jc w:val="left"/>
      </w:pPr>
      <w:r>
        <w:t xml:space="preserve">Choi, J. Y., Platts, A. E., Fuller, D. Q., Hsing, Y. I., Wing, R. A., &amp; Purugganan, M. D. (2017). </w:t>
      </w:r>
      <w:r>
        <w:t xml:space="preserve">The rice paradox: Multiple origins but single domestication in Asian rice. </w:t>
      </w:r>
      <w:r>
        <w:rPr>
          <w:i/>
        </w:rPr>
        <w:t>Molecular Biology and Evolution</w:t>
      </w:r>
      <w:r>
        <w:t xml:space="preserve">, </w:t>
      </w:r>
      <w:r>
        <w:rPr>
          <w:i/>
        </w:rPr>
        <w:t>34</w:t>
      </w:r>
      <w:r>
        <w:t>(4)</w:t>
      </w:r>
      <w:r>
        <w:t>, 969–979</w:t>
      </w:r>
      <w:r>
        <w:t xml:space="preserve">. </w:t>
      </w:r>
      <w:hyperlink r:id="rId11">
        <w:r>
          <w:rPr>
            <w:color w:val="1155CC"/>
            <w:u w:val="single"/>
          </w:rPr>
          <w:t>https://doi.org/10.1093/molbev/msx049</w:t>
        </w:r>
      </w:hyperlink>
    </w:p>
    <w:p>
      <w:pPr>
        <w:spacing w:after="80" w:line="240" w:lineRule="auto"/>
        <w:ind w:left="360" w:hanging="360"/>
        <w:jc w:val="left"/>
      </w:pPr>
      <w:r>
        <w:t xml:space="preserve">Collard, B. C. Y., Cruz, C. M. V., McNally, K. L., Virk, P. S., &amp; Mackill, D. J. (2008). </w:t>
      </w:r>
      <w:r>
        <w:t xml:space="preserve">Rice molecular breeding laboratories in the genomics era: Current status and future considerations. </w:t>
      </w:r>
      <w:r>
        <w:rPr>
          <w:i/>
        </w:rPr>
        <w:t>International Journal of Plant Genomics</w:t>
      </w:r>
      <w:r>
        <w:t xml:space="preserve">, </w:t>
      </w:r>
      <w:r>
        <w:rPr>
          <w:i/>
        </w:rPr>
        <w:t>2008</w:t>
      </w:r>
      <w:r>
        <w:t>, Article 524847</w:t>
      </w:r>
      <w:r>
        <w:t xml:space="preserve">. </w:t>
      </w:r>
      <w:hyperlink r:id="rId12">
        <w:r>
          <w:rPr>
            <w:color w:val="1155CC"/>
            <w:u w:val="single"/>
          </w:rPr>
          <w:t>https://doi.org/10.1155/2008/524847</w:t>
        </w:r>
      </w:hyperlink>
    </w:p>
    <w:p>
      <w:pPr>
        <w:spacing w:after="80" w:line="240" w:lineRule="auto"/>
        <w:ind w:left="360" w:hanging="360"/>
        <w:jc w:val="left"/>
      </w:pPr>
      <w:r>
        <w:t xml:space="preserve">Das, G., &amp; Rao, G. J. N. (2015). </w:t>
      </w:r>
      <w:r>
        <w:t xml:space="preserve">Molecular marker assisted gene stacking for biotic and abiotic stress resistance genes in an elite rice cultivar. </w:t>
      </w:r>
      <w:r>
        <w:rPr>
          <w:i/>
        </w:rPr>
        <w:t>Frontiers in Plant Science</w:t>
      </w:r>
      <w:r>
        <w:t xml:space="preserve">, </w:t>
      </w:r>
      <w:r>
        <w:rPr>
          <w:i/>
        </w:rPr>
        <w:t>6</w:t>
      </w:r>
      <w:r>
        <w:t>, Article 698</w:t>
      </w:r>
      <w:r>
        <w:t xml:space="preserve">. </w:t>
      </w:r>
      <w:hyperlink r:id="rId34">
        <w:r>
          <w:rPr>
            <w:color w:val="1155CC"/>
            <w:u w:val="single"/>
          </w:rPr>
          <w:t>https://doi.org/10.3389/fpls.2015.00698</w:t>
        </w:r>
      </w:hyperlink>
    </w:p>
    <w:p>
      <w:pPr>
        <w:spacing w:after="80" w:line="240" w:lineRule="auto"/>
        <w:ind w:left="360" w:hanging="360"/>
        <w:jc w:val="left"/>
      </w:pPr>
      <w:r>
        <w:t xml:space="preserve">Hajjar, M. J., Ahmed, N., Alhudaib, K. A., &amp; Ullah, H. (2023). </w:t>
      </w:r>
      <w:r>
        <w:t xml:space="preserve">Integrated insect pest management techniques for rice. </w:t>
      </w:r>
      <w:r>
        <w:rPr>
          <w:i/>
        </w:rPr>
        <w:t>Sustainability</w:t>
      </w:r>
      <w:r>
        <w:t xml:space="preserve">, </w:t>
      </w:r>
      <w:r>
        <w:rPr>
          <w:i/>
        </w:rPr>
        <w:t>15</w:t>
      </w:r>
      <w:r>
        <w:t>(5)</w:t>
      </w:r>
      <w:r>
        <w:t>, Article 4499</w:t>
      </w:r>
      <w:r>
        <w:t xml:space="preserve">. </w:t>
      </w:r>
      <w:hyperlink r:id="rId35">
        <w:r>
          <w:rPr>
            <w:color w:val="1155CC"/>
            <w:u w:val="single"/>
          </w:rPr>
          <w:t>https://doi.org/10.3390/su15054499</w:t>
        </w:r>
      </w:hyperlink>
    </w:p>
    <w:p>
      <w:pPr>
        <w:spacing w:after="80" w:line="240" w:lineRule="auto"/>
        <w:ind w:left="360" w:hanging="360"/>
        <w:jc w:val="left"/>
      </w:pPr>
      <w:r>
        <w:t xml:space="preserve">Harris, K. M., &amp; Gagné, R. J. (1982). </w:t>
      </w:r>
      <w:r>
        <w:t xml:space="preserve">Description of the African rice gall midge, </w:t>
      </w:r>
      <w:r>
        <w:rPr>
          <w:i/>
        </w:rPr>
        <w:t>Orseolia oryzivora</w:t>
      </w:r>
      <w:r>
        <w:t xml:space="preserve"> sp. n., with comparative notes on the Asian rice gall midge, </w:t>
      </w:r>
      <w:r>
        <w:rPr>
          <w:i/>
        </w:rPr>
        <w:t>O. oryzae</w:t>
      </w:r>
      <w:r>
        <w:t xml:space="preserve"> (Wood-Mason) (Diptera: Cecidomyiidae). </w:t>
      </w:r>
      <w:r>
        <w:rPr>
          <w:i/>
        </w:rPr>
        <w:t>Bulletin of Entomological Research</w:t>
      </w:r>
      <w:r>
        <w:t xml:space="preserve">, </w:t>
      </w:r>
      <w:r>
        <w:rPr>
          <w:i/>
        </w:rPr>
        <w:t>72</w:t>
      </w:r>
      <w:r>
        <w:t>(3)</w:t>
      </w:r>
      <w:r>
        <w:t>, 467–472</w:t>
      </w:r>
      <w:r>
        <w:t xml:space="preserve">. </w:t>
      </w:r>
      <w:hyperlink r:id="rId14">
        <w:r>
          <w:rPr>
            <w:color w:val="1155CC"/>
            <w:u w:val="single"/>
          </w:rPr>
          <w:t>https://doi.org/10.1017/S000748530001364X</w:t>
        </w:r>
      </w:hyperlink>
    </w:p>
    <w:p>
      <w:pPr>
        <w:spacing w:after="80" w:line="240" w:lineRule="auto"/>
        <w:ind w:left="360" w:hanging="360"/>
        <w:jc w:val="left"/>
      </w:pPr>
      <w:r>
        <w:t xml:space="preserve">Harris, M. O., Stuart, J. J., Mohan, M., Nair, S., Lamb, R. J., &amp; Rohfritsch, O. (2003). </w:t>
      </w:r>
      <w:r>
        <w:t xml:space="preserve">Grasses and gall midges: Plant defense and insect adaptation. </w:t>
      </w:r>
      <w:r>
        <w:rPr>
          <w:i/>
        </w:rPr>
        <w:t>Annual Review of Entomology</w:t>
      </w:r>
      <w:r>
        <w:t xml:space="preserve">, </w:t>
      </w:r>
      <w:r>
        <w:rPr>
          <w:i/>
        </w:rPr>
        <w:t>48</w:t>
      </w:r>
      <w:r>
        <w:t>, 549–577</w:t>
      </w:r>
      <w:r>
        <w:t xml:space="preserve">. </w:t>
      </w:r>
      <w:hyperlink r:id="rId15">
        <w:r>
          <w:rPr>
            <w:color w:val="1155CC"/>
            <w:u w:val="single"/>
          </w:rPr>
          <w:t>https://doi.org/10.1146/annurev.ento.48.091801.112559</w:t>
        </w:r>
      </w:hyperlink>
    </w:p>
    <w:p>
      <w:pPr>
        <w:spacing w:after="80" w:line="240" w:lineRule="auto"/>
        <w:ind w:left="360" w:hanging="360"/>
        <w:jc w:val="left"/>
      </w:pPr>
      <w:r>
        <w:t xml:space="preserve">Huang, F., Li, X., Jiang, Z., Huang, H., Ahmad, S., Liao, S., Wei, J., Peng, J., Zhong, X., Liao, Z., Li, J., Huang, Y., Wu, B., Li, D., &amp; Qiu, Y. (2026). </w:t>
      </w:r>
      <w:r>
        <w:t>Bridging germplasm and mechanisms: Screening for resistance and decoding defense strategies against rice gall midge (</w:t>
      </w:r>
      <w:r>
        <w:rPr>
          <w:i/>
        </w:rPr>
        <w:t>Orseolia oryzae</w:t>
      </w:r>
      <w:r>
        <w:t xml:space="preserve"> Wood-Mason) in rice. </w:t>
      </w:r>
      <w:r>
        <w:rPr>
          <w:i/>
        </w:rPr>
        <w:t>Theoretical and Applied Genetics</w:t>
      </w:r>
      <w:r>
        <w:t xml:space="preserve">, </w:t>
      </w:r>
      <w:r>
        <w:rPr>
          <w:i/>
        </w:rPr>
        <w:t>139</w:t>
      </w:r>
      <w:r>
        <w:t>(9)</w:t>
      </w:r>
      <w:r>
        <w:t>, Article 239</w:t>
      </w:r>
      <w:r>
        <w:t xml:space="preserve">. </w:t>
      </w:r>
      <w:hyperlink r:id="rId16">
        <w:r>
          <w:rPr>
            <w:color w:val="1155CC"/>
            <w:u w:val="single"/>
          </w:rPr>
          <w:t>https://doi.org/10.1007/s00122-026-05350-2</w:t>
        </w:r>
      </w:hyperlink>
    </w:p>
    <w:p>
      <w:pPr>
        <w:spacing w:after="80" w:line="240" w:lineRule="auto"/>
        <w:ind w:left="360" w:hanging="360"/>
        <w:jc w:val="left"/>
      </w:pPr>
      <w:r>
        <w:t xml:space="preserve">Malathi, S., Kumar, R. S., Padmakumari, A. P., &amp; Chandra, B. S. (2026). </w:t>
      </w:r>
      <w:r>
        <w:t xml:space="preserve">Phenotypic screening of rice genotypes against gall midge, </w:t>
      </w:r>
      <w:r>
        <w:rPr>
          <w:i/>
        </w:rPr>
        <w:t>Orseolia oryzae</w:t>
      </w:r>
      <w:r>
        <w:t xml:space="preserve"> (Wood-Mason) in Warangal, Telangana, India. </w:t>
      </w:r>
      <w:r>
        <w:rPr>
          <w:i/>
        </w:rPr>
        <w:t>Journal of Experimental Agriculture International</w:t>
      </w:r>
      <w:r>
        <w:t xml:space="preserve">, </w:t>
      </w:r>
      <w:r>
        <w:rPr>
          <w:i/>
        </w:rPr>
        <w:t>48</w:t>
      </w:r>
      <w:r>
        <w:t>(5)</w:t>
      </w:r>
      <w:r>
        <w:t>, 575–581</w:t>
      </w:r>
      <w:r>
        <w:t xml:space="preserve">. </w:t>
      </w:r>
      <w:hyperlink r:id="rId17">
        <w:r>
          <w:rPr>
            <w:color w:val="1155CC"/>
            <w:u w:val="single"/>
          </w:rPr>
          <w:t>https://doi.org/10.9734/jeai/2026/v48i54250</w:t>
        </w:r>
      </w:hyperlink>
    </w:p>
    <w:p>
      <w:pPr>
        <w:spacing w:after="80" w:line="240" w:lineRule="auto"/>
        <w:ind w:left="360" w:hanging="360"/>
        <w:jc w:val="left"/>
      </w:pPr>
      <w:r>
        <w:t xml:space="preserve">Paramasiva, I., Sreelakshmi, Ch., Madhusudhan, P., Sameera, S. K., &amp; Vineetha, U. (2025). </w:t>
      </w:r>
      <w:r>
        <w:t xml:space="preserve">Seasonal incidence of rice gall midge, </w:t>
      </w:r>
      <w:r>
        <w:rPr>
          <w:i/>
        </w:rPr>
        <w:t>Orseolia oryzae</w:t>
      </w:r>
      <w:r>
        <w:t xml:space="preserve"> (Wood-Mason) and its correlation with weather factors. </w:t>
      </w:r>
      <w:r>
        <w:rPr>
          <w:i/>
        </w:rPr>
        <w:t>Plant Archives</w:t>
      </w:r>
      <w:r>
        <w:t xml:space="preserve">, </w:t>
      </w:r>
      <w:r>
        <w:rPr>
          <w:i/>
        </w:rPr>
        <w:t>25</w:t>
      </w:r>
      <w:r>
        <w:t>(1)</w:t>
      </w:r>
      <w:r>
        <w:t>, 183–188</w:t>
      </w:r>
      <w:r>
        <w:t xml:space="preserve">. </w:t>
      </w:r>
      <w:hyperlink r:id="rId18">
        <w:r>
          <w:rPr>
            <w:color w:val="1155CC"/>
            <w:u w:val="single"/>
          </w:rPr>
          <w:t>https://doi.org/10.51470/PLANTARCHIVES.2025.v25.no.1.028</w:t>
        </w:r>
      </w:hyperlink>
    </w:p>
    <w:p>
      <w:pPr>
        <w:spacing w:after="80" w:line="240" w:lineRule="auto"/>
        <w:ind w:left="360" w:hanging="360"/>
        <w:jc w:val="left"/>
      </w:pPr>
      <w:r>
        <w:t xml:space="preserve">Pathak, M. D., &amp; Khan, Z. R. (1994). </w:t>
      </w:r>
      <w:r>
        <w:rPr>
          <w:i/>
        </w:rPr>
        <w:t>Insect pests of rice.</w:t>
      </w:r>
      <w:r>
        <w:t xml:space="preserve"> International Rice Research Institute. </w:t>
      </w:r>
      <w:hyperlink r:id="rId36">
        <w:r>
          <w:rPr>
            <w:color w:val="1155CC"/>
            <w:u w:val="single"/>
          </w:rPr>
          <w:t>https://vufind.juniv.edu/Record/89253/Details</w:t>
        </w:r>
      </w:hyperlink>
    </w:p>
    <w:p>
      <w:pPr>
        <w:spacing w:after="80" w:line="240" w:lineRule="auto"/>
        <w:ind w:left="360" w:hanging="360"/>
        <w:jc w:val="left"/>
      </w:pPr>
      <w:r>
        <w:t xml:space="preserve">Peñalver-Cruz, A., &amp; Horgan, F. G. (2022). </w:t>
      </w:r>
      <w:r>
        <w:t xml:space="preserve">Interactions between rice resistance to planthoppers and honeydew-related egg parasitism under varying levels of nitrogenous fertilizer. </w:t>
      </w:r>
      <w:r>
        <w:rPr>
          <w:i/>
        </w:rPr>
        <w:t>Insects</w:t>
      </w:r>
      <w:r>
        <w:t xml:space="preserve">, </w:t>
      </w:r>
      <w:r>
        <w:rPr>
          <w:i/>
        </w:rPr>
        <w:t>13</w:t>
      </w:r>
      <w:r>
        <w:t>(3)</w:t>
      </w:r>
      <w:r>
        <w:t>, Article 251</w:t>
      </w:r>
      <w:r>
        <w:t xml:space="preserve">. </w:t>
      </w:r>
      <w:hyperlink r:id="rId37">
        <w:r>
          <w:rPr>
            <w:color w:val="1155CC"/>
            <w:u w:val="single"/>
          </w:rPr>
          <w:t>https://doi.org/10.3390/insects13030251</w:t>
        </w:r>
      </w:hyperlink>
    </w:p>
    <w:p>
      <w:pPr>
        <w:spacing w:after="80" w:line="240" w:lineRule="auto"/>
        <w:ind w:left="360" w:hanging="360"/>
        <w:jc w:val="left"/>
      </w:pPr>
      <w:r>
        <w:t xml:space="preserve">Rawat, N., Neeraja, C. N., Nair, S., &amp; Bentur, J. S. (2012). </w:t>
      </w:r>
      <w:r>
        <w:t xml:space="preserve">Differential gene expression in gall midge susceptible rice genotypes revealed by suppressive subtraction hybridization (SSH) cDNA libraries and microarray analysis. </w:t>
      </w:r>
      <w:r>
        <w:rPr>
          <w:i/>
        </w:rPr>
        <w:t>Rice</w:t>
      </w:r>
      <w:r>
        <w:t xml:space="preserve">, </w:t>
      </w:r>
      <w:r>
        <w:rPr>
          <w:i/>
        </w:rPr>
        <w:t>5</w:t>
      </w:r>
      <w:r>
        <w:t>(1)</w:t>
      </w:r>
      <w:r>
        <w:t>, Article 8</w:t>
      </w:r>
      <w:r>
        <w:t xml:space="preserve">. </w:t>
      </w:r>
      <w:hyperlink r:id="rId19">
        <w:r>
          <w:rPr>
            <w:color w:val="1155CC"/>
            <w:u w:val="single"/>
          </w:rPr>
          <w:t>https://doi.org/10.1186/1939-8433-5-8</w:t>
        </w:r>
      </w:hyperlink>
    </w:p>
    <w:p>
      <w:pPr>
        <w:spacing w:after="80" w:line="240" w:lineRule="auto"/>
        <w:ind w:left="360" w:hanging="360"/>
        <w:jc w:val="left"/>
      </w:pPr>
      <w:r>
        <w:t xml:space="preserve">Sahu, N., Gowda Gadratagi, B., Guru-Pirasanna-Pandi, G., Patil, N. B., Basak, N., Rath, P. C., Anilkumar, C., &amp; Rath, L. K. (2024). </w:t>
      </w:r>
      <w:r>
        <w:t xml:space="preserve">Antixenosis and antibiosis mechanisms of resistance to Asian rice gall midge, </w:t>
      </w:r>
      <w:r>
        <w:rPr>
          <w:i/>
        </w:rPr>
        <w:t>Orseolia oryzae</w:t>
      </w:r>
      <w:r>
        <w:t xml:space="preserve"> (Wood-Mason) in rice land races. </w:t>
      </w:r>
      <w:r>
        <w:rPr>
          <w:i/>
        </w:rPr>
        <w:t>Annals of Applied Biology</w:t>
      </w:r>
      <w:r>
        <w:t xml:space="preserve">, </w:t>
      </w:r>
      <w:r>
        <w:rPr>
          <w:i/>
        </w:rPr>
        <w:t>185</w:t>
      </w:r>
      <w:r>
        <w:t>(2)</w:t>
      </w:r>
      <w:r>
        <w:t>, 183–194</w:t>
      </w:r>
      <w:r>
        <w:t xml:space="preserve">. </w:t>
      </w:r>
      <w:hyperlink r:id="rId20">
        <w:r>
          <w:rPr>
            <w:color w:val="1155CC"/>
            <w:u w:val="single"/>
          </w:rPr>
          <w:t>https://doi.org/10.1111/aab.12876</w:t>
        </w:r>
      </w:hyperlink>
    </w:p>
    <w:p>
      <w:pPr>
        <w:spacing w:after="80" w:line="240" w:lineRule="auto"/>
        <w:ind w:left="360" w:hanging="360"/>
        <w:jc w:val="left"/>
      </w:pPr>
      <w:r>
        <w:t xml:space="preserve">Saicharan, M., Omprakash, S., Krishna Chaitanya, A., Rathod, R., Soundharya, B., Samatha Parameswari, Y., Anjaiah, T., &amp; Balaji Naik, B. (2025). </w:t>
      </w:r>
      <w:r>
        <w:t xml:space="preserve">Assessment of rice gall midge, </w:t>
      </w:r>
      <w:r>
        <w:rPr>
          <w:i/>
        </w:rPr>
        <w:t>Orseolia oryzae</w:t>
      </w:r>
      <w:r>
        <w:t xml:space="preserve"> (Wood Mason) biotype using gene differentials in Rudrur, Nizamabad District, Telangana State, India. </w:t>
      </w:r>
      <w:r>
        <w:rPr>
          <w:i/>
        </w:rPr>
        <w:t>Journal of Scientific Research and Reports</w:t>
      </w:r>
      <w:r>
        <w:t xml:space="preserve">, </w:t>
      </w:r>
      <w:r>
        <w:rPr>
          <w:i/>
        </w:rPr>
        <w:t>31</w:t>
      </w:r>
      <w:r>
        <w:t>(12)</w:t>
      </w:r>
      <w:r>
        <w:t>, 1353–1362</w:t>
      </w:r>
      <w:r>
        <w:t xml:space="preserve">. </w:t>
      </w:r>
      <w:hyperlink r:id="rId38">
        <w:r>
          <w:rPr>
            <w:color w:val="1155CC"/>
            <w:u w:val="single"/>
          </w:rPr>
          <w:t>https://doi.org/10.9734/jsrr/2025/v31i123866</w:t>
        </w:r>
      </w:hyperlink>
    </w:p>
    <w:p>
      <w:pPr>
        <w:spacing w:after="80" w:line="240" w:lineRule="auto"/>
        <w:ind w:left="360" w:hanging="360"/>
        <w:jc w:val="left"/>
      </w:pPr>
      <w:r>
        <w:t xml:space="preserve">Sardesai, N., Rajyashri, K. R., Behura, S. K., Nair, S., &amp; Mohan, M. (2001). </w:t>
      </w:r>
      <w:r>
        <w:t xml:space="preserve">Genetic, physiological and molecular interactions of rice and its major dipteran pest, gall midge. </w:t>
      </w:r>
      <w:r>
        <w:rPr>
          <w:i/>
        </w:rPr>
        <w:t>Plant Cell, Tissue and Organ Culture</w:t>
      </w:r>
      <w:r>
        <w:t xml:space="preserve">, </w:t>
      </w:r>
      <w:r>
        <w:rPr>
          <w:i/>
        </w:rPr>
        <w:t>64</w:t>
      </w:r>
      <w:r>
        <w:t>(2–3)</w:t>
      </w:r>
      <w:r>
        <w:t>, 115–131</w:t>
      </w:r>
      <w:r>
        <w:t xml:space="preserve">. </w:t>
      </w:r>
      <w:hyperlink r:id="rId39">
        <w:r>
          <w:rPr>
            <w:color w:val="1155CC"/>
            <w:u w:val="single"/>
          </w:rPr>
          <w:t>https://doi.org/10.1023/A:1010727607866</w:t>
        </w:r>
      </w:hyperlink>
    </w:p>
    <w:p>
      <w:pPr>
        <w:spacing w:after="80" w:line="240" w:lineRule="auto"/>
        <w:ind w:left="360" w:hanging="360"/>
        <w:jc w:val="left"/>
      </w:pPr>
      <w:r>
        <w:t xml:space="preserve">Seni, A., Pal, R., Kar, I., &amp; Mishra, K. M. (2023). </w:t>
      </w:r>
      <w:r>
        <w:t xml:space="preserve">Seasonal incidence of gall midge, </w:t>
      </w:r>
      <w:r>
        <w:rPr>
          <w:i/>
        </w:rPr>
        <w:t>Orseolia oryzae</w:t>
      </w:r>
      <w:r>
        <w:t xml:space="preserve"> (Wood-Mason), a major insect pest of rice and its reaction on various rice germplasm. </w:t>
      </w:r>
      <w:r>
        <w:rPr>
          <w:i/>
        </w:rPr>
        <w:t>Journal of Entomological Research</w:t>
      </w:r>
      <w:r>
        <w:t xml:space="preserve">, </w:t>
      </w:r>
      <w:r>
        <w:rPr>
          <w:i/>
        </w:rPr>
        <w:t>47</w:t>
      </w:r>
      <w:r>
        <w:t>(2)</w:t>
      </w:r>
      <w:r>
        <w:t>, 381–385</w:t>
      </w:r>
      <w:r>
        <w:t xml:space="preserve">. </w:t>
      </w:r>
      <w:hyperlink r:id="rId40">
        <w:r>
          <w:rPr>
            <w:color w:val="1155CC"/>
            <w:u w:val="single"/>
          </w:rPr>
          <w:t>https://doi.org/10.5958/0974-4576.2023.00069.5</w:t>
        </w:r>
      </w:hyperlink>
    </w:p>
    <w:p>
      <w:pPr>
        <w:spacing w:after="80" w:line="240" w:lineRule="auto"/>
        <w:ind w:left="360" w:hanging="360"/>
        <w:jc w:val="left"/>
      </w:pPr>
      <w:r>
        <w:t xml:space="preserve">Sinha, D. K., Nagaraju, J., Tomar, A., Bentur, J. S., &amp; Nair, S. (2012). </w:t>
      </w:r>
      <w:r>
        <w:t xml:space="preserve">Pyrosequencing-based transcriptome analysis of the Asian rice gall midge reveals differential response during compatible and incompatible interaction. </w:t>
      </w:r>
      <w:r>
        <w:rPr>
          <w:i/>
        </w:rPr>
        <w:t>International Journal of Molecular Sciences</w:t>
      </w:r>
      <w:r>
        <w:t xml:space="preserve">, </w:t>
      </w:r>
      <w:r>
        <w:rPr>
          <w:i/>
        </w:rPr>
        <w:t>13</w:t>
      </w:r>
      <w:r>
        <w:t>(10)</w:t>
      </w:r>
      <w:r>
        <w:t>, 13079–13103</w:t>
      </w:r>
      <w:r>
        <w:t xml:space="preserve">. </w:t>
      </w:r>
      <w:hyperlink r:id="rId21">
        <w:r>
          <w:rPr>
            <w:color w:val="1155CC"/>
            <w:u w:val="single"/>
          </w:rPr>
          <w:t>https://doi.org/10.3390/ijms131013079</w:t>
        </w:r>
      </w:hyperlink>
    </w:p>
    <w:p>
      <w:pPr>
        <w:spacing w:after="80" w:line="240" w:lineRule="auto"/>
        <w:ind w:left="360" w:hanging="360"/>
        <w:jc w:val="left"/>
      </w:pPr>
      <w:r>
        <w:t xml:space="preserve">Tetarwal, O., Ghanswa, R., Chopra, N., Ghaswa, R., &amp; Jat, G. R. (2026). </w:t>
      </w:r>
      <w:r>
        <w:t xml:space="preserve">Climate-driven range shifts in insect pests: Redrawing the global map of crop vulnerability. </w:t>
      </w:r>
      <w:r>
        <w:rPr>
          <w:i/>
        </w:rPr>
        <w:t>Journal of Global Agriculture and Ecology</w:t>
      </w:r>
      <w:r>
        <w:t xml:space="preserve">, </w:t>
      </w:r>
      <w:r>
        <w:rPr>
          <w:i/>
        </w:rPr>
        <w:t>18</w:t>
      </w:r>
      <w:r>
        <w:t>(3)</w:t>
      </w:r>
      <w:r>
        <w:t>, 132–145</w:t>
      </w:r>
      <w:r>
        <w:t xml:space="preserve">. </w:t>
      </w:r>
      <w:hyperlink r:id="rId22">
        <w:r>
          <w:rPr>
            <w:color w:val="1155CC"/>
            <w:u w:val="single"/>
          </w:rPr>
          <w:t>https://doi.org/10.56557/jogae/2026/v18i310845</w:t>
        </w:r>
      </w:hyperlink>
    </w:p>
    <w:p>
      <w:pPr>
        <w:spacing w:after="80" w:line="240" w:lineRule="auto"/>
        <w:ind w:left="360" w:hanging="360"/>
        <w:jc w:val="left"/>
      </w:pPr>
      <w:r>
        <w:t xml:space="preserve">Vijaya Lakshmi, P., Amudhan, S., Hima Bindu, K., Cheralu, C., &amp; Bentur, J. S. (2006). </w:t>
      </w:r>
      <w:r>
        <w:t xml:space="preserve">A new biotype of the Asian rice gall midge </w:t>
      </w:r>
      <w:r>
        <w:rPr>
          <w:i/>
        </w:rPr>
        <w:t>Orseolia oryzae</w:t>
      </w:r>
      <w:r>
        <w:t xml:space="preserve"> (Diptera: Cecidomyiidae) characterized from the Warangal population in Andhra Pradesh, India. </w:t>
      </w:r>
      <w:r>
        <w:rPr>
          <w:i/>
        </w:rPr>
        <w:t>International Journal of Tropical Insect Science</w:t>
      </w:r>
      <w:r>
        <w:t xml:space="preserve">, </w:t>
      </w:r>
      <w:r>
        <w:rPr>
          <w:i/>
        </w:rPr>
        <w:t>26</w:t>
      </w:r>
      <w:r>
        <w:t>(3)</w:t>
      </w:r>
      <w:r>
        <w:t>, 207–211</w:t>
      </w:r>
      <w:r>
        <w:t xml:space="preserve">. </w:t>
      </w:r>
      <w:hyperlink r:id="rId41">
        <w:r>
          <w:rPr>
            <w:color w:val="1155CC"/>
            <w:u w:val="single"/>
          </w:rPr>
          <w:t>https://doi.org/10.1079/IJT2006114</w:t>
        </w:r>
      </w:hyperlink>
    </w:p>
    <w:sectPr w:rsidR="00CA2B3C" w:rsidRPr="00695D58" w:rsidSect="00DA275C">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102BF" w14:textId="77777777" w:rsidR="009D27AB" w:rsidRDefault="009D27AB" w:rsidP="00411A4F">
      <w:pPr>
        <w:spacing w:after="0" w:line="240" w:lineRule="auto"/>
      </w:pPr>
      <w:r>
        <w:separator/>
      </w:r>
    </w:p>
  </w:endnote>
  <w:endnote w:type="continuationSeparator" w:id="0">
    <w:p w14:paraId="775AA843" w14:textId="77777777" w:rsidR="009D27AB" w:rsidRDefault="009D27AB" w:rsidP="0041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DB9DF" w14:textId="77777777" w:rsidR="00411A4F" w:rsidRDefault="00411A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A5A8" w14:textId="77777777" w:rsidR="00411A4F" w:rsidRDefault="00411A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BF03" w14:textId="77777777" w:rsidR="00411A4F" w:rsidRDefault="00411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F6A65" w14:textId="77777777" w:rsidR="009D27AB" w:rsidRDefault="009D27AB" w:rsidP="00411A4F">
      <w:pPr>
        <w:spacing w:after="0" w:line="240" w:lineRule="auto"/>
      </w:pPr>
      <w:r>
        <w:separator/>
      </w:r>
    </w:p>
  </w:footnote>
  <w:footnote w:type="continuationSeparator" w:id="0">
    <w:p w14:paraId="3EAC6D11" w14:textId="77777777" w:rsidR="009D27AB" w:rsidRDefault="009D27AB" w:rsidP="00411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A47F" w14:textId="77777777" w:rsidR="00411A4F" w:rsidRDefault="00000000">
    <w:pPr>
      <w:pStyle w:val="Header"/>
    </w:pPr>
    <w:r>
      <w:rPr>
        <w:noProof/>
      </w:rPr>
      <w:pict w14:anchorId="182F7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6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7373" w14:textId="77777777" w:rsidR="00411A4F" w:rsidRDefault="00000000">
    <w:pPr>
      <w:pStyle w:val="Header"/>
    </w:pPr>
    <w:r>
      <w:rPr>
        <w:noProof/>
      </w:rPr>
      <w:pict w14:anchorId="73C846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7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FDD6" w14:textId="77777777" w:rsidR="00411A4F" w:rsidRDefault="00000000">
    <w:pPr>
      <w:pStyle w:val="Header"/>
    </w:pPr>
    <w:r>
      <w:rPr>
        <w:noProof/>
      </w:rPr>
      <w:pict w14:anchorId="6E81A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6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2DA"/>
    <w:rsid w:val="00053A8F"/>
    <w:rsid w:val="0012179C"/>
    <w:rsid w:val="002635BD"/>
    <w:rsid w:val="002C21F6"/>
    <w:rsid w:val="00305561"/>
    <w:rsid w:val="00322FB5"/>
    <w:rsid w:val="003643D1"/>
    <w:rsid w:val="00373EBD"/>
    <w:rsid w:val="003A4691"/>
    <w:rsid w:val="003F5342"/>
    <w:rsid w:val="003F7465"/>
    <w:rsid w:val="00411A4F"/>
    <w:rsid w:val="00422EAF"/>
    <w:rsid w:val="005100EA"/>
    <w:rsid w:val="00557E34"/>
    <w:rsid w:val="005878BC"/>
    <w:rsid w:val="00597AD2"/>
    <w:rsid w:val="005B2D40"/>
    <w:rsid w:val="005D74D6"/>
    <w:rsid w:val="00686AED"/>
    <w:rsid w:val="00695D58"/>
    <w:rsid w:val="006E10A7"/>
    <w:rsid w:val="007700AE"/>
    <w:rsid w:val="0086719E"/>
    <w:rsid w:val="009072DA"/>
    <w:rsid w:val="00946C7C"/>
    <w:rsid w:val="009D27AB"/>
    <w:rsid w:val="00A64570"/>
    <w:rsid w:val="00AC08D2"/>
    <w:rsid w:val="00AF1D27"/>
    <w:rsid w:val="00CA2B3C"/>
    <w:rsid w:val="00DA275C"/>
    <w:rsid w:val="00E64513"/>
    <w:rsid w:val="00E83B01"/>
    <w:rsid w:val="00EA0E37"/>
    <w:rsid w:val="00EA7B6F"/>
    <w:rsid w:val="00F31D12"/>
    <w:rsid w:val="00F60031"/>
    <w:rsid w:val="00F96A7A"/>
    <w:rsid w:val="00FB510A"/>
    <w:rsid w:val="00FE2BE1"/>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1D151"/>
  <w15:chartTrackingRefBased/>
  <w15:docId w15:val="{83898744-07F5-43A7-AA2E-1ADE90D1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Gautami"/>
        <w:kern w:val="2"/>
        <w:sz w:val="22"/>
        <w:szCs w:val="22"/>
        <w:lang w:val="en-US" w:eastAsia="en-US" w:bidi="te-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7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72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72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72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7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2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72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72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72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72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7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2DA"/>
    <w:rPr>
      <w:rFonts w:eastAsiaTheme="majorEastAsia" w:cstheme="majorBidi"/>
      <w:color w:val="272727" w:themeColor="text1" w:themeTint="D8"/>
    </w:rPr>
  </w:style>
  <w:style w:type="paragraph" w:styleId="Title">
    <w:name w:val="Title"/>
    <w:basedOn w:val="Normal"/>
    <w:next w:val="Normal"/>
    <w:link w:val="TitleChar"/>
    <w:uiPriority w:val="10"/>
    <w:qFormat/>
    <w:rsid w:val="00907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2DA"/>
    <w:pPr>
      <w:spacing w:before="160"/>
      <w:jc w:val="center"/>
    </w:pPr>
    <w:rPr>
      <w:i/>
      <w:iCs/>
      <w:color w:val="404040" w:themeColor="text1" w:themeTint="BF"/>
    </w:rPr>
  </w:style>
  <w:style w:type="character" w:customStyle="1" w:styleId="QuoteChar">
    <w:name w:val="Quote Char"/>
    <w:basedOn w:val="DefaultParagraphFont"/>
    <w:link w:val="Quote"/>
    <w:uiPriority w:val="29"/>
    <w:rsid w:val="009072DA"/>
    <w:rPr>
      <w:i/>
      <w:iCs/>
      <w:color w:val="404040" w:themeColor="text1" w:themeTint="BF"/>
    </w:rPr>
  </w:style>
  <w:style w:type="paragraph" w:styleId="ListParagraph">
    <w:name w:val="List Paragraph"/>
    <w:basedOn w:val="Normal"/>
    <w:uiPriority w:val="34"/>
    <w:qFormat/>
    <w:rsid w:val="009072DA"/>
    <w:pPr>
      <w:ind w:left="720"/>
      <w:contextualSpacing/>
    </w:pPr>
  </w:style>
  <w:style w:type="character" w:styleId="IntenseEmphasis">
    <w:name w:val="Intense Emphasis"/>
    <w:basedOn w:val="DefaultParagraphFont"/>
    <w:uiPriority w:val="21"/>
    <w:qFormat/>
    <w:rsid w:val="009072DA"/>
    <w:rPr>
      <w:i/>
      <w:iCs/>
      <w:color w:val="2F5496" w:themeColor="accent1" w:themeShade="BF"/>
    </w:rPr>
  </w:style>
  <w:style w:type="paragraph" w:styleId="IntenseQuote">
    <w:name w:val="Intense Quote"/>
    <w:basedOn w:val="Normal"/>
    <w:next w:val="Normal"/>
    <w:link w:val="IntenseQuoteChar"/>
    <w:uiPriority w:val="30"/>
    <w:qFormat/>
    <w:rsid w:val="00907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72DA"/>
    <w:rPr>
      <w:i/>
      <w:iCs/>
      <w:color w:val="2F5496" w:themeColor="accent1" w:themeShade="BF"/>
    </w:rPr>
  </w:style>
  <w:style w:type="character" w:styleId="IntenseReference">
    <w:name w:val="Intense Reference"/>
    <w:basedOn w:val="DefaultParagraphFont"/>
    <w:uiPriority w:val="32"/>
    <w:qFormat/>
    <w:rsid w:val="009072DA"/>
    <w:rPr>
      <w:b/>
      <w:bCs/>
      <w:smallCaps/>
      <w:color w:val="2F5496" w:themeColor="accent1" w:themeShade="BF"/>
      <w:spacing w:val="5"/>
    </w:rPr>
  </w:style>
  <w:style w:type="character" w:styleId="Hyperlink">
    <w:name w:val="Hyperlink"/>
    <w:basedOn w:val="DefaultParagraphFont"/>
    <w:uiPriority w:val="99"/>
    <w:unhideWhenUsed/>
    <w:rsid w:val="007700AE"/>
    <w:rPr>
      <w:color w:val="0563C1" w:themeColor="hyperlink"/>
      <w:u w:val="single"/>
    </w:rPr>
  </w:style>
  <w:style w:type="character" w:styleId="UnresolvedMention">
    <w:name w:val="Unresolved Mention"/>
    <w:basedOn w:val="DefaultParagraphFont"/>
    <w:uiPriority w:val="99"/>
    <w:semiHidden/>
    <w:unhideWhenUsed/>
    <w:rsid w:val="007700AE"/>
    <w:rPr>
      <w:color w:val="605E5C"/>
      <w:shd w:val="clear" w:color="auto" w:fill="E1DFDD"/>
    </w:rPr>
  </w:style>
  <w:style w:type="table" w:styleId="TableGrid">
    <w:name w:val="Table Grid"/>
    <w:basedOn w:val="TableNormal"/>
    <w:uiPriority w:val="39"/>
    <w:rsid w:val="00EA0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1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A4F"/>
  </w:style>
  <w:style w:type="paragraph" w:styleId="Footer">
    <w:name w:val="footer"/>
    <w:basedOn w:val="Normal"/>
    <w:link w:val="FooterChar"/>
    <w:uiPriority w:val="99"/>
    <w:unhideWhenUsed/>
    <w:rsid w:val="00411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570-7458.1996.tb00766.x" TargetMode="External"/><Relationship Id="rId13" Type="http://schemas.openxmlformats.org/officeDocument/2006/relationships/hyperlink" Target="https://doi.org/10.1371/journal.pone.0138714" TargetMode="External"/><Relationship Id="rId18" Type="http://schemas.openxmlformats.org/officeDocument/2006/relationships/hyperlink" Target="https://doi.org/10.51470/PLANTARCHIVES.2025.v25.no.1.028"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i.org/10.3390/ijms131013079" TargetMode="External"/><Relationship Id="rId7" Type="http://schemas.openxmlformats.org/officeDocument/2006/relationships/hyperlink" Target="https://doi.org/10.1111/jipb.12244" TargetMode="External"/><Relationship Id="rId12" Type="http://schemas.openxmlformats.org/officeDocument/2006/relationships/hyperlink" Target="https://doi.org/10.1155/2008/524847" TargetMode="External"/><Relationship Id="rId17" Type="http://schemas.openxmlformats.org/officeDocument/2006/relationships/hyperlink" Target="https://doi.org/10.9734/jeai/2026/v48i54250"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doi.org/10.1007/s00122-026-05350-2" TargetMode="External"/><Relationship Id="rId20" Type="http://schemas.openxmlformats.org/officeDocument/2006/relationships/hyperlink" Target="https://doi.org/10.1111/aab.12876"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93/molbev/msx049"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doi.org/10.1146/annurev.ento.48.091801.112559" TargetMode="External"/><Relationship Id="rId23" Type="http://schemas.openxmlformats.org/officeDocument/2006/relationships/hyperlink" Target="https://doi.org/10.1017/S1742758406000613" TargetMode="External"/><Relationship Id="rId28" Type="http://schemas.openxmlformats.org/officeDocument/2006/relationships/header" Target="header3.xml"/><Relationship Id="rId10" Type="http://schemas.openxmlformats.org/officeDocument/2006/relationships/hyperlink" Target="https://www.cabi.org/isc" TargetMode="External"/><Relationship Id="rId19" Type="http://schemas.openxmlformats.org/officeDocument/2006/relationships/hyperlink" Target="https://doi.org/10.1186/1939-8433-5-8"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016/j.jinsphys.2015.09.008" TargetMode="External"/><Relationship Id="rId14" Type="http://schemas.openxmlformats.org/officeDocument/2006/relationships/hyperlink" Target="https://doi.org/10.1017/S000748530001364X" TargetMode="External"/><Relationship Id="rId22" Type="http://schemas.openxmlformats.org/officeDocument/2006/relationships/hyperlink" Target="https://doi.org/10.56557/jogae/2026/v18i310845" TargetMode="External"/><Relationship Id="rId27" Type="http://schemas.openxmlformats.org/officeDocument/2006/relationships/footer" Target="footer2.xml"/><Relationship Id="rId30" Type="http://schemas.openxmlformats.org/officeDocument/2006/relationships/fontTable" Target="fontTable.xml"/><Relationship Id="rId32" Type="http://schemas.openxmlformats.org/officeDocument/2006/relationships/hyperlink" Target="https://doi.org/10.1371/journal.pone.0134625" TargetMode="External"/><Relationship Id="rId33" Type="http://schemas.openxmlformats.org/officeDocument/2006/relationships/hyperlink" Target="https://doi.org/10.9734/arja/2026/v19i4918" TargetMode="External"/><Relationship Id="rId34" Type="http://schemas.openxmlformats.org/officeDocument/2006/relationships/hyperlink" Target="https://doi.org/10.3389/fpls.2015.00698" TargetMode="External"/><Relationship Id="rId35" Type="http://schemas.openxmlformats.org/officeDocument/2006/relationships/hyperlink" Target="https://doi.org/10.3390/su15054499" TargetMode="External"/><Relationship Id="rId36" Type="http://schemas.openxmlformats.org/officeDocument/2006/relationships/hyperlink" Target="https://vufind.juniv.edu/Record/89253/Details" TargetMode="External"/><Relationship Id="rId37" Type="http://schemas.openxmlformats.org/officeDocument/2006/relationships/hyperlink" Target="https://doi.org/10.3390/insects13030251" TargetMode="External"/><Relationship Id="rId38" Type="http://schemas.openxmlformats.org/officeDocument/2006/relationships/hyperlink" Target="https://doi.org/10.9734/jsrr/2025/v31i123866" TargetMode="External"/><Relationship Id="rId39" Type="http://schemas.openxmlformats.org/officeDocument/2006/relationships/hyperlink" Target="https://doi.org/10.1023/A:1010727607866" TargetMode="External"/><Relationship Id="rId40" Type="http://schemas.openxmlformats.org/officeDocument/2006/relationships/hyperlink" Target="https://doi.org/10.5958/0974-4576.2023.00069.5" TargetMode="External"/><Relationship Id="rId41" Type="http://schemas.openxmlformats.org/officeDocument/2006/relationships/hyperlink" Target="https://doi.org/10.1079/IJT2006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16</Pages>
  <Words>5635</Words>
  <Characters>32124</Characters>
  <Application>Microsoft Office Word</Application>
  <DocSecurity>0</DocSecurity>
  <Lines>267</Lines>
  <Paragraphs>75</Paragraphs>
  <ScaleCrop>false</ScaleCrop>
  <Company/>
  <LinksUpToDate>false</LinksUpToDate>
  <CharactersWithSpaces>37684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Modala Mallesh</dc:creator>
  <cp:keywords/>
  <dc:description/>
  <cp:lastModifiedBy>SDI PC New 16</cp:lastModifiedBy>
  <cp:revision>34</cp:revision>
  <cp:lastPrinted>2026-10-13T13:58:00Z</cp:lastPrinted>
  <dcterms:created xsi:type="dcterms:W3CDTF">2026-10-13T10:22:00Z</dcterms:created>
  <dcterms:modified xsi:type="dcterms:W3CDTF">2026-10-23T13:16:00Z</dcterms:modified>
</cp:coreProperties>
</file>