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E2234" w14:textId="77777777" w:rsidR="003555B9" w:rsidRDefault="00000000">
      <w:pPr>
        <w:pStyle w:val="Heading1"/>
      </w:pPr>
      <w:r>
        <w:t>Original Research Article</w:t>
      </w:r>
    </w:p>
    <w:p w14:paraId="3C901593" w14:textId="77777777" w:rsidR="008014C5" w:rsidRPr="008014C5" w:rsidRDefault="008014C5" w:rsidP="008014C5"/>
    <w:p w14:paraId="5582FFA1" w14:textId="77777777" w:rsidR="003555B9" w:rsidRDefault="00000000">
      <w:pPr>
        <w:spacing w:line="36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Developmental and reproductive biology of Brinjal Shoot and fruit borer (</w:t>
      </w:r>
      <w:proofErr w:type="spellStart"/>
      <w:r>
        <w:rPr>
          <w:rFonts w:ascii="Times New Roman" w:hAnsi="Times New Roman" w:cs="Times New Roman"/>
          <w:b/>
          <w:bCs/>
          <w:i/>
          <w:iCs/>
          <w:color w:val="000000"/>
          <w:sz w:val="24"/>
          <w:szCs w:val="24"/>
        </w:rPr>
        <w:t>Leucinodes</w:t>
      </w:r>
      <w:proofErr w:type="spellEnd"/>
      <w:r>
        <w:rPr>
          <w:rFonts w:ascii="Times New Roman" w:hAnsi="Times New Roman" w:cs="Times New Roman"/>
          <w:b/>
          <w:bCs/>
          <w:i/>
          <w:iCs/>
          <w:color w:val="000000"/>
          <w:sz w:val="24"/>
          <w:szCs w:val="24"/>
        </w:rPr>
        <w:t xml:space="preserve"> </w:t>
      </w:r>
      <w:proofErr w:type="spellStart"/>
      <w:r>
        <w:rPr>
          <w:rFonts w:ascii="Times New Roman" w:hAnsi="Times New Roman" w:cs="Times New Roman"/>
          <w:b/>
          <w:bCs/>
          <w:i/>
          <w:iCs/>
          <w:color w:val="000000"/>
          <w:sz w:val="24"/>
          <w:szCs w:val="24"/>
        </w:rPr>
        <w:t>orbonalis</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Guenee</w:t>
      </w:r>
      <w:proofErr w:type="spellEnd"/>
      <w:r>
        <w:rPr>
          <w:rFonts w:ascii="Times New Roman" w:hAnsi="Times New Roman" w:cs="Times New Roman"/>
          <w:b/>
          <w:bCs/>
          <w:color w:val="000000"/>
          <w:sz w:val="24"/>
          <w:szCs w:val="24"/>
        </w:rPr>
        <w:t>) in Brinjal (</w:t>
      </w:r>
      <w:r>
        <w:rPr>
          <w:rFonts w:ascii="Times New Roman" w:hAnsi="Times New Roman" w:cs="Times New Roman"/>
          <w:i/>
          <w:iCs/>
          <w:sz w:val="24"/>
          <w:szCs w:val="24"/>
        </w:rPr>
        <w:t>Solanum melongena</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L </w:t>
      </w:r>
      <w:r>
        <w:rPr>
          <w:rFonts w:ascii="Times New Roman" w:hAnsi="Times New Roman" w:cs="Times New Roman"/>
          <w:b/>
          <w:bCs/>
          <w:color w:val="000000"/>
          <w:sz w:val="24"/>
          <w:szCs w:val="24"/>
        </w:rPr>
        <w:t>)</w:t>
      </w:r>
      <w:proofErr w:type="gramEnd"/>
      <w:r>
        <w:rPr>
          <w:rFonts w:ascii="Times New Roman" w:hAnsi="Times New Roman" w:cs="Times New Roman"/>
          <w:b/>
          <w:bCs/>
          <w:color w:val="000000"/>
          <w:sz w:val="24"/>
          <w:szCs w:val="24"/>
        </w:rPr>
        <w:t xml:space="preserve"> under the lab conditions</w:t>
      </w:r>
    </w:p>
    <w:p w14:paraId="1D959C0E" w14:textId="77777777" w:rsidR="003555B9" w:rsidRDefault="003555B9">
      <w:pPr>
        <w:jc w:val="center"/>
        <w:rPr>
          <w:rFonts w:ascii="Times New Roman" w:hAnsi="Times New Roman" w:cs="Times New Roman"/>
          <w:b/>
          <w:bCs/>
          <w:color w:val="000000"/>
          <w:sz w:val="24"/>
          <w:szCs w:val="24"/>
        </w:rPr>
      </w:pPr>
    </w:p>
    <w:p w14:paraId="0F909364" w14:textId="77777777" w:rsidR="003555B9" w:rsidRDefault="00000000">
      <w:pPr>
        <w:jc w:val="center"/>
        <w:rPr>
          <w:rFonts w:ascii="Times New Roman" w:hAnsi="Times New Roman" w:cs="Times New Roman"/>
          <w:sz w:val="24"/>
          <w:szCs w:val="24"/>
        </w:rPr>
      </w:pPr>
      <w:r>
        <w:rPr>
          <w:rFonts w:ascii="Times New Roman" w:hAnsi="Times New Roman" w:cs="Times New Roman"/>
          <w:b/>
          <w:sz w:val="24"/>
          <w:szCs w:val="24"/>
        </w:rPr>
        <w:t>Abstract</w:t>
      </w:r>
    </w:p>
    <w:p w14:paraId="48821810" w14:textId="77777777" w:rsidR="00C07FAE" w:rsidRPr="00C07FAE" w:rsidRDefault="00C07FAE" w:rsidP="00EC746B">
      <w:pPr>
        <w:suppressAutoHyphens w:val="0"/>
        <w:spacing w:before="100" w:beforeAutospacing="1" w:after="100" w:afterAutospacing="1" w:line="240" w:lineRule="auto"/>
        <w:jc w:val="both"/>
        <w:rPr>
          <w:rFonts w:ascii="Times New Roman" w:eastAsia="Times New Roman" w:hAnsi="Times New Roman" w:cs="Times New Roman"/>
          <w:kern w:val="0"/>
          <w:sz w:val="24"/>
          <w:szCs w:val="24"/>
          <w:lang w:val="en-US" w:eastAsia="en-US"/>
        </w:rPr>
      </w:pPr>
      <w:r w:rsidRPr="00C07FAE">
        <w:rPr>
          <w:rFonts w:ascii="Times New Roman" w:eastAsia="Times New Roman" w:hAnsi="Times New Roman" w:cs="Times New Roman"/>
          <w:kern w:val="0"/>
          <w:sz w:val="24"/>
          <w:szCs w:val="24"/>
          <w:lang w:val="en-US" w:eastAsia="en-US"/>
        </w:rPr>
        <w:t xml:space="preserve">The developmental and reproductive biology of the brinjal shoot and fruit borer, </w:t>
      </w:r>
      <w:proofErr w:type="spellStart"/>
      <w:r w:rsidRPr="00C07FAE">
        <w:rPr>
          <w:rFonts w:ascii="Times New Roman" w:eastAsia="Times New Roman" w:hAnsi="Times New Roman" w:cs="Times New Roman"/>
          <w:i/>
          <w:iCs/>
          <w:kern w:val="0"/>
          <w:sz w:val="24"/>
          <w:szCs w:val="24"/>
          <w:lang w:val="en-US" w:eastAsia="en-US"/>
        </w:rPr>
        <w:t>Leucinodes</w:t>
      </w:r>
      <w:proofErr w:type="spellEnd"/>
      <w:r w:rsidRPr="00C07FAE">
        <w:rPr>
          <w:rFonts w:ascii="Times New Roman" w:eastAsia="Times New Roman" w:hAnsi="Times New Roman" w:cs="Times New Roman"/>
          <w:i/>
          <w:iCs/>
          <w:kern w:val="0"/>
          <w:sz w:val="24"/>
          <w:szCs w:val="24"/>
          <w:lang w:val="en-US" w:eastAsia="en-US"/>
        </w:rPr>
        <w:t xml:space="preserve"> </w:t>
      </w:r>
      <w:proofErr w:type="spellStart"/>
      <w:r w:rsidRPr="00C07FAE">
        <w:rPr>
          <w:rFonts w:ascii="Times New Roman" w:eastAsia="Times New Roman" w:hAnsi="Times New Roman" w:cs="Times New Roman"/>
          <w:i/>
          <w:iCs/>
          <w:kern w:val="0"/>
          <w:sz w:val="24"/>
          <w:szCs w:val="24"/>
          <w:lang w:val="en-US" w:eastAsia="en-US"/>
        </w:rPr>
        <w:t>orbonalis</w:t>
      </w:r>
      <w:proofErr w:type="spellEnd"/>
      <w:r w:rsidRPr="00C07FAE">
        <w:rPr>
          <w:rFonts w:ascii="Times New Roman" w:eastAsia="Times New Roman" w:hAnsi="Times New Roman" w:cs="Times New Roman"/>
          <w:kern w:val="0"/>
          <w:sz w:val="24"/>
          <w:szCs w:val="24"/>
          <w:lang w:val="en-US" w:eastAsia="en-US"/>
        </w:rPr>
        <w:t xml:space="preserve"> </w:t>
      </w:r>
      <w:proofErr w:type="spellStart"/>
      <w:r w:rsidRPr="00C07FAE">
        <w:rPr>
          <w:rFonts w:ascii="Times New Roman" w:eastAsia="Times New Roman" w:hAnsi="Times New Roman" w:cs="Times New Roman"/>
          <w:kern w:val="0"/>
          <w:sz w:val="24"/>
          <w:szCs w:val="24"/>
          <w:lang w:val="en-US" w:eastAsia="en-US"/>
        </w:rPr>
        <w:t>Guenée</w:t>
      </w:r>
      <w:proofErr w:type="spellEnd"/>
      <w:r w:rsidRPr="00C07FAE">
        <w:rPr>
          <w:rFonts w:ascii="Times New Roman" w:eastAsia="Times New Roman" w:hAnsi="Times New Roman" w:cs="Times New Roman"/>
          <w:kern w:val="0"/>
          <w:sz w:val="24"/>
          <w:szCs w:val="24"/>
          <w:lang w:val="en-US" w:eastAsia="en-US"/>
        </w:rPr>
        <w:t xml:space="preserve"> (Lepidoptera: </w:t>
      </w:r>
      <w:proofErr w:type="spellStart"/>
      <w:r w:rsidRPr="00C07FAE">
        <w:rPr>
          <w:rFonts w:ascii="Times New Roman" w:eastAsia="Times New Roman" w:hAnsi="Times New Roman" w:cs="Times New Roman"/>
          <w:kern w:val="0"/>
          <w:sz w:val="24"/>
          <w:szCs w:val="24"/>
          <w:lang w:val="en-US" w:eastAsia="en-US"/>
        </w:rPr>
        <w:t>Crambidae</w:t>
      </w:r>
      <w:proofErr w:type="spellEnd"/>
      <w:r w:rsidRPr="00C07FAE">
        <w:rPr>
          <w:rFonts w:ascii="Times New Roman" w:eastAsia="Times New Roman" w:hAnsi="Times New Roman" w:cs="Times New Roman"/>
          <w:kern w:val="0"/>
          <w:sz w:val="24"/>
          <w:szCs w:val="24"/>
          <w:lang w:val="en-US" w:eastAsia="en-US"/>
        </w:rPr>
        <w:t xml:space="preserve">), was investigated under laboratory conditions using insects cultured from infested brinjal fruits of the Pusa Purple Round variety. Eggs from the subsequent laboratory generation were used to record incubation, hatchability, successive larval instars, pre-pupal and pupal durations, adult longevity, reproductive periods, fecundity and sex ratio. Observations were </w:t>
      </w:r>
      <w:proofErr w:type="spellStart"/>
      <w:r w:rsidRPr="00C07FAE">
        <w:rPr>
          <w:rFonts w:ascii="Times New Roman" w:eastAsia="Times New Roman" w:hAnsi="Times New Roman" w:cs="Times New Roman"/>
          <w:kern w:val="0"/>
          <w:sz w:val="24"/>
          <w:szCs w:val="24"/>
          <w:lang w:val="en-US" w:eastAsia="en-US"/>
        </w:rPr>
        <w:t>summarised</w:t>
      </w:r>
      <w:proofErr w:type="spellEnd"/>
      <w:r w:rsidRPr="00C07FAE">
        <w:rPr>
          <w:rFonts w:ascii="Times New Roman" w:eastAsia="Times New Roman" w:hAnsi="Times New Roman" w:cs="Times New Roman"/>
          <w:kern w:val="0"/>
          <w:sz w:val="24"/>
          <w:szCs w:val="24"/>
          <w:lang w:val="en-US" w:eastAsia="en-US"/>
        </w:rPr>
        <w:t xml:space="preserve"> as means ± standard deviations and observed ranges. Incubation lasted 3–5 days (3.91 ± 0.64 days), and egg hatchability ranged from 65% to 76% (68.96 ± 3.85%). Five larval instars were identified, with a combined larval duration of 12.40–17.00 days (14.09 ± 1.20 days). Mean pre-pupal and pupal durations were 1.70 ± 0.34 and 9.58 ± 0.98 days, respectively. Development from egg to adult emergence required 25.60–33.40 days (29.28 ± 1.98 days). Adult males survived for 4.00 ± 0.76 days, compared with 5.40 ± 1.08 days for females. Pre-oviposition, oviposition and post-oviposition periods averaged 1.65 ± 0.32, 3.69 ± 0.33 and 1.74 ± 0.31 days, respectively. Female fecundity averaged 178.28 ± 11.61 eggs, and the male-to-female sex ratio was 1:2. These findings describe stage-specific development and reproduction under the conditions examined and provide a laboratory baseline for subsequent studies of this pest.</w:t>
      </w:r>
    </w:p>
    <w:p w14:paraId="507ED5F2" w14:textId="77777777" w:rsidR="00F461D9" w:rsidRPr="00F461D9" w:rsidRDefault="00000000" w:rsidP="00EC746B">
      <w:pPr>
        <w:pStyle w:val="NormalWeb"/>
        <w:jc w:val="both"/>
        <w:rPr>
          <w:rFonts w:eastAsia="Times New Roman"/>
          <w:kern w:val="0"/>
          <w:lang w:val="en-US" w:eastAsia="en-US"/>
        </w:rPr>
      </w:pPr>
      <w:r>
        <w:t xml:space="preserve">Key Words: </w:t>
      </w:r>
      <w:proofErr w:type="spellStart"/>
      <w:r w:rsidR="00F461D9" w:rsidRPr="00F461D9">
        <w:rPr>
          <w:rFonts w:eastAsia="Times New Roman"/>
          <w:i/>
          <w:iCs/>
          <w:kern w:val="0"/>
          <w:lang w:val="en-US" w:eastAsia="en-US"/>
        </w:rPr>
        <w:t>Leucinodes</w:t>
      </w:r>
      <w:proofErr w:type="spellEnd"/>
      <w:r w:rsidR="00F461D9" w:rsidRPr="00F461D9">
        <w:rPr>
          <w:rFonts w:eastAsia="Times New Roman"/>
          <w:i/>
          <w:iCs/>
          <w:kern w:val="0"/>
          <w:lang w:val="en-US" w:eastAsia="en-US"/>
        </w:rPr>
        <w:t xml:space="preserve"> </w:t>
      </w:r>
      <w:proofErr w:type="spellStart"/>
      <w:r w:rsidR="00F461D9" w:rsidRPr="00F461D9">
        <w:rPr>
          <w:rFonts w:eastAsia="Times New Roman"/>
          <w:i/>
          <w:iCs/>
          <w:kern w:val="0"/>
          <w:lang w:val="en-US" w:eastAsia="en-US"/>
        </w:rPr>
        <w:t>orbonalis</w:t>
      </w:r>
      <w:proofErr w:type="spellEnd"/>
      <w:r w:rsidR="00F461D9" w:rsidRPr="00F461D9">
        <w:rPr>
          <w:rFonts w:eastAsia="Times New Roman"/>
          <w:kern w:val="0"/>
          <w:lang w:val="en-US" w:eastAsia="en-US"/>
        </w:rPr>
        <w:t xml:space="preserve">; </w:t>
      </w:r>
      <w:r w:rsidR="00F461D9" w:rsidRPr="00F461D9">
        <w:rPr>
          <w:rFonts w:eastAsia="Times New Roman"/>
          <w:i/>
          <w:iCs/>
          <w:kern w:val="0"/>
          <w:lang w:val="en-US" w:eastAsia="en-US"/>
        </w:rPr>
        <w:t>Solanum melongena</w:t>
      </w:r>
      <w:r w:rsidR="00F461D9" w:rsidRPr="00F461D9">
        <w:rPr>
          <w:rFonts w:eastAsia="Times New Roman"/>
          <w:kern w:val="0"/>
          <w:lang w:val="en-US" w:eastAsia="en-US"/>
        </w:rPr>
        <w:t>; brinjal; shoot and fruit borer; incubation period; egg hatchability; larval instars; pupal duration; adult longevity; fecundity; sex ratio.</w:t>
      </w:r>
    </w:p>
    <w:p w14:paraId="312D9ACC" w14:textId="2CE282CD" w:rsidR="003555B9" w:rsidRDefault="003555B9">
      <w:pPr>
        <w:spacing w:line="360" w:lineRule="auto"/>
        <w:jc w:val="both"/>
        <w:rPr>
          <w:rFonts w:ascii="Times New Roman" w:hAnsi="Times New Roman" w:cs="Times New Roman"/>
          <w:sz w:val="24"/>
          <w:szCs w:val="24"/>
        </w:rPr>
      </w:pPr>
    </w:p>
    <w:p w14:paraId="3D983F01" w14:textId="77777777" w:rsidR="003555B9" w:rsidRDefault="00000000">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Introduction:</w:t>
      </w:r>
    </w:p>
    <w:p w14:paraId="304A7C03" w14:textId="77777777" w:rsidR="004A3ECD" w:rsidRPr="004A3ECD" w:rsidRDefault="004A3ECD" w:rsidP="004A3ECD">
      <w:pPr>
        <w:spacing w:line="360" w:lineRule="auto"/>
        <w:jc w:val="both"/>
        <w:rPr>
          <w:rFonts w:ascii="Times New Roman" w:hAnsi="Times New Roman" w:cs="Times New Roman"/>
          <w:sz w:val="24"/>
          <w:szCs w:val="24"/>
        </w:rPr>
      </w:pPr>
      <w:r w:rsidRPr="004A3ECD">
        <w:rPr>
          <w:rFonts w:ascii="Times New Roman" w:hAnsi="Times New Roman" w:cs="Times New Roman"/>
          <w:sz w:val="24"/>
          <w:szCs w:val="24"/>
        </w:rPr>
        <w:t xml:space="preserve">Brinjal (Solanum melongena L.), a member of the family Solanaceae, is an important vegetable crop cultivated worldwide. It is commonly known as aubergine in Europe, eggplant in North America and baingan in India. The crop is predominantly cultivated in the hot and humid climatic regions of Southeast Asia (Thapa, 2010). Owing to its versatility and adaptability to diverse culinary uses, brinjal is extensively cultivated throughout India (Shukla &amp; Naik, 1993). India ranks as the second-largest producer of brinjal globally (Abirami et al., 2026). According to the Department of Agriculture and Farmers Welfare (n.d.), the crop occupies approximately 691 thousand hectares in India, with an annual production of around 13.25 million tonnes and an average productivity of 19.17 tonnes per </w:t>
      </w:r>
      <w:r w:rsidRPr="004A3ECD">
        <w:rPr>
          <w:rFonts w:ascii="Times New Roman" w:hAnsi="Times New Roman" w:cs="Times New Roman"/>
          <w:sz w:val="24"/>
          <w:szCs w:val="24"/>
        </w:rPr>
        <w:lastRenderedPageBreak/>
        <w:t>hectare.</w:t>
      </w:r>
      <w:r>
        <w:rPr>
          <w:rFonts w:ascii="Times New Roman" w:hAnsi="Times New Roman" w:cs="Times New Roman"/>
          <w:sz w:val="24"/>
          <w:szCs w:val="24"/>
        </w:rPr>
        <w:t xml:space="preserve"> </w:t>
      </w:r>
      <w:r w:rsidRPr="004A3ECD">
        <w:rPr>
          <w:rFonts w:ascii="Times New Roman" w:hAnsi="Times New Roman" w:cs="Times New Roman"/>
          <w:sz w:val="24"/>
          <w:szCs w:val="24"/>
        </w:rPr>
        <w:t>Brinjal fruits are nutritionally valuable, containing carbohydrates, proteins and dietary fibre, in addition to serving as a source of essential vitamins and minerals. However, like other agricultural crops, brinjal is susceptible to a range of biotic and abiotic stresses that can adversely affect plant growth and overall productivity. Several insect pests belonging to different taxonomic orders and families attack brinjal at various stages of crop development. The major insect pests associated with brinjal include the brinjal shoot and fruit borer (</w:t>
      </w:r>
      <w:proofErr w:type="spellStart"/>
      <w:r w:rsidRPr="004A3ECD">
        <w:rPr>
          <w:rFonts w:ascii="Times New Roman" w:hAnsi="Times New Roman" w:cs="Times New Roman"/>
          <w:sz w:val="24"/>
          <w:szCs w:val="24"/>
        </w:rPr>
        <w:t>Leucinodes</w:t>
      </w:r>
      <w:proofErr w:type="spellEnd"/>
      <w:r w:rsidRPr="004A3ECD">
        <w:rPr>
          <w:rFonts w:ascii="Times New Roman" w:hAnsi="Times New Roman" w:cs="Times New Roman"/>
          <w:sz w:val="24"/>
          <w:szCs w:val="24"/>
        </w:rPr>
        <w:t xml:space="preserve"> </w:t>
      </w:r>
      <w:proofErr w:type="spellStart"/>
      <w:r w:rsidRPr="004A3ECD">
        <w:rPr>
          <w:rFonts w:ascii="Times New Roman" w:hAnsi="Times New Roman" w:cs="Times New Roman"/>
          <w:sz w:val="24"/>
          <w:szCs w:val="24"/>
        </w:rPr>
        <w:t>orbonalis</w:t>
      </w:r>
      <w:proofErr w:type="spellEnd"/>
      <w:r w:rsidRPr="004A3ECD">
        <w:rPr>
          <w:rFonts w:ascii="Times New Roman" w:hAnsi="Times New Roman" w:cs="Times New Roman"/>
          <w:sz w:val="24"/>
          <w:szCs w:val="24"/>
        </w:rPr>
        <w:t xml:space="preserve">), </w:t>
      </w:r>
      <w:proofErr w:type="spellStart"/>
      <w:r w:rsidRPr="004A3ECD">
        <w:rPr>
          <w:rFonts w:ascii="Times New Roman" w:hAnsi="Times New Roman" w:cs="Times New Roman"/>
          <w:sz w:val="24"/>
          <w:szCs w:val="24"/>
        </w:rPr>
        <w:t>hadda</w:t>
      </w:r>
      <w:proofErr w:type="spellEnd"/>
      <w:r w:rsidRPr="004A3ECD">
        <w:rPr>
          <w:rFonts w:ascii="Times New Roman" w:hAnsi="Times New Roman" w:cs="Times New Roman"/>
          <w:sz w:val="24"/>
          <w:szCs w:val="24"/>
        </w:rPr>
        <w:t xml:space="preserve"> beetle (</w:t>
      </w:r>
      <w:proofErr w:type="spellStart"/>
      <w:r w:rsidRPr="004A3ECD">
        <w:rPr>
          <w:rFonts w:ascii="Times New Roman" w:hAnsi="Times New Roman" w:cs="Times New Roman"/>
          <w:sz w:val="24"/>
          <w:szCs w:val="24"/>
        </w:rPr>
        <w:t>Henosepilachna</w:t>
      </w:r>
      <w:proofErr w:type="spellEnd"/>
      <w:r w:rsidRPr="004A3ECD">
        <w:rPr>
          <w:rFonts w:ascii="Times New Roman" w:hAnsi="Times New Roman" w:cs="Times New Roman"/>
          <w:sz w:val="24"/>
          <w:szCs w:val="24"/>
        </w:rPr>
        <w:t xml:space="preserve"> </w:t>
      </w:r>
      <w:proofErr w:type="spellStart"/>
      <w:r w:rsidRPr="004A3ECD">
        <w:rPr>
          <w:rFonts w:ascii="Times New Roman" w:hAnsi="Times New Roman" w:cs="Times New Roman"/>
          <w:sz w:val="24"/>
          <w:szCs w:val="24"/>
        </w:rPr>
        <w:t>vigintioctopunctata</w:t>
      </w:r>
      <w:proofErr w:type="spellEnd"/>
      <w:r w:rsidRPr="004A3ECD">
        <w:rPr>
          <w:rFonts w:ascii="Times New Roman" w:hAnsi="Times New Roman" w:cs="Times New Roman"/>
          <w:sz w:val="24"/>
          <w:szCs w:val="24"/>
        </w:rPr>
        <w:t>), leafhopper (</w:t>
      </w:r>
      <w:proofErr w:type="spellStart"/>
      <w:r w:rsidRPr="004A3ECD">
        <w:rPr>
          <w:rFonts w:ascii="Times New Roman" w:hAnsi="Times New Roman" w:cs="Times New Roman"/>
          <w:sz w:val="24"/>
          <w:szCs w:val="24"/>
        </w:rPr>
        <w:t>Amrasca</w:t>
      </w:r>
      <w:proofErr w:type="spellEnd"/>
      <w:r w:rsidRPr="004A3ECD">
        <w:rPr>
          <w:rFonts w:ascii="Times New Roman" w:hAnsi="Times New Roman" w:cs="Times New Roman"/>
          <w:sz w:val="24"/>
          <w:szCs w:val="24"/>
        </w:rPr>
        <w:t xml:space="preserve"> </w:t>
      </w:r>
      <w:proofErr w:type="spellStart"/>
      <w:r w:rsidRPr="004A3ECD">
        <w:rPr>
          <w:rFonts w:ascii="Times New Roman" w:hAnsi="Times New Roman" w:cs="Times New Roman"/>
          <w:sz w:val="24"/>
          <w:szCs w:val="24"/>
        </w:rPr>
        <w:t>devastans</w:t>
      </w:r>
      <w:proofErr w:type="spellEnd"/>
      <w:r w:rsidRPr="004A3ECD">
        <w:rPr>
          <w:rFonts w:ascii="Times New Roman" w:hAnsi="Times New Roman" w:cs="Times New Roman"/>
          <w:sz w:val="24"/>
          <w:szCs w:val="24"/>
        </w:rPr>
        <w:t>), stem borer (</w:t>
      </w:r>
      <w:proofErr w:type="spellStart"/>
      <w:r w:rsidRPr="004A3ECD">
        <w:rPr>
          <w:rFonts w:ascii="Times New Roman" w:hAnsi="Times New Roman" w:cs="Times New Roman"/>
          <w:sz w:val="24"/>
          <w:szCs w:val="24"/>
        </w:rPr>
        <w:t>Euzophera</w:t>
      </w:r>
      <w:proofErr w:type="spellEnd"/>
      <w:r w:rsidRPr="004A3ECD">
        <w:rPr>
          <w:rFonts w:ascii="Times New Roman" w:hAnsi="Times New Roman" w:cs="Times New Roman"/>
          <w:sz w:val="24"/>
          <w:szCs w:val="24"/>
        </w:rPr>
        <w:t xml:space="preserve"> </w:t>
      </w:r>
      <w:proofErr w:type="spellStart"/>
      <w:r w:rsidRPr="004A3ECD">
        <w:rPr>
          <w:rFonts w:ascii="Times New Roman" w:hAnsi="Times New Roman" w:cs="Times New Roman"/>
          <w:sz w:val="24"/>
          <w:szCs w:val="24"/>
        </w:rPr>
        <w:t>perticella</w:t>
      </w:r>
      <w:proofErr w:type="spellEnd"/>
      <w:r w:rsidRPr="004A3ECD">
        <w:rPr>
          <w:rFonts w:ascii="Times New Roman" w:hAnsi="Times New Roman" w:cs="Times New Roman"/>
          <w:sz w:val="24"/>
          <w:szCs w:val="24"/>
        </w:rPr>
        <w:t>), lace bug (</w:t>
      </w:r>
      <w:proofErr w:type="spellStart"/>
      <w:r w:rsidRPr="004A3ECD">
        <w:rPr>
          <w:rFonts w:ascii="Times New Roman" w:hAnsi="Times New Roman" w:cs="Times New Roman"/>
          <w:sz w:val="24"/>
          <w:szCs w:val="24"/>
        </w:rPr>
        <w:t>Urentius</w:t>
      </w:r>
      <w:proofErr w:type="spellEnd"/>
      <w:r w:rsidRPr="004A3ECD">
        <w:rPr>
          <w:rFonts w:ascii="Times New Roman" w:hAnsi="Times New Roman" w:cs="Times New Roman"/>
          <w:sz w:val="24"/>
          <w:szCs w:val="24"/>
        </w:rPr>
        <w:t xml:space="preserve"> echinus), aphid (Aphis gossypii) and whitefly (</w:t>
      </w:r>
      <w:proofErr w:type="spellStart"/>
      <w:r w:rsidRPr="004A3ECD">
        <w:rPr>
          <w:rFonts w:ascii="Times New Roman" w:hAnsi="Times New Roman" w:cs="Times New Roman"/>
          <w:sz w:val="24"/>
          <w:szCs w:val="24"/>
        </w:rPr>
        <w:t>Bemisia</w:t>
      </w:r>
      <w:proofErr w:type="spellEnd"/>
      <w:r w:rsidRPr="004A3ECD">
        <w:rPr>
          <w:rFonts w:ascii="Times New Roman" w:hAnsi="Times New Roman" w:cs="Times New Roman"/>
          <w:sz w:val="24"/>
          <w:szCs w:val="24"/>
        </w:rPr>
        <w:t xml:space="preserve"> </w:t>
      </w:r>
      <w:proofErr w:type="spellStart"/>
      <w:r w:rsidRPr="004A3ECD">
        <w:rPr>
          <w:rFonts w:ascii="Times New Roman" w:hAnsi="Times New Roman" w:cs="Times New Roman"/>
          <w:sz w:val="24"/>
          <w:szCs w:val="24"/>
        </w:rPr>
        <w:t>tabaci</w:t>
      </w:r>
      <w:proofErr w:type="spellEnd"/>
      <w:r w:rsidRPr="004A3ECD">
        <w:rPr>
          <w:rFonts w:ascii="Times New Roman" w:hAnsi="Times New Roman" w:cs="Times New Roman"/>
          <w:sz w:val="24"/>
          <w:szCs w:val="24"/>
        </w:rPr>
        <w:t>) (</w:t>
      </w:r>
      <w:proofErr w:type="spellStart"/>
      <w:r w:rsidRPr="004A3ECD">
        <w:rPr>
          <w:rFonts w:ascii="Times New Roman" w:hAnsi="Times New Roman" w:cs="Times New Roman"/>
          <w:sz w:val="24"/>
          <w:szCs w:val="24"/>
        </w:rPr>
        <w:t>Borkakati</w:t>
      </w:r>
      <w:proofErr w:type="spellEnd"/>
      <w:r w:rsidRPr="004A3ECD">
        <w:rPr>
          <w:rFonts w:ascii="Times New Roman" w:hAnsi="Times New Roman" w:cs="Times New Roman"/>
          <w:sz w:val="24"/>
          <w:szCs w:val="24"/>
        </w:rPr>
        <w:t xml:space="preserve"> et al., 2019; Sharma et al., 2017; Singh &amp; Singh, 2001; Tripura et al., 2017).</w:t>
      </w:r>
    </w:p>
    <w:p w14:paraId="34844227" w14:textId="77777777" w:rsidR="004A3ECD" w:rsidRPr="004A3ECD" w:rsidRDefault="004A3ECD" w:rsidP="004A3ECD">
      <w:pPr>
        <w:spacing w:line="360" w:lineRule="auto"/>
        <w:jc w:val="both"/>
        <w:rPr>
          <w:rFonts w:ascii="Times New Roman" w:hAnsi="Times New Roman" w:cs="Times New Roman"/>
          <w:sz w:val="24"/>
          <w:szCs w:val="24"/>
        </w:rPr>
      </w:pPr>
    </w:p>
    <w:p w14:paraId="50EA9B72" w14:textId="77777777" w:rsidR="004A3ECD" w:rsidRPr="004A3ECD" w:rsidRDefault="004A3ECD" w:rsidP="004A3ECD">
      <w:pPr>
        <w:spacing w:line="360" w:lineRule="auto"/>
        <w:jc w:val="both"/>
        <w:rPr>
          <w:rFonts w:ascii="Times New Roman" w:hAnsi="Times New Roman" w:cs="Times New Roman"/>
          <w:sz w:val="24"/>
          <w:szCs w:val="24"/>
        </w:rPr>
      </w:pPr>
      <w:r w:rsidRPr="004A3ECD">
        <w:rPr>
          <w:rFonts w:ascii="Times New Roman" w:hAnsi="Times New Roman" w:cs="Times New Roman"/>
          <w:sz w:val="24"/>
          <w:szCs w:val="24"/>
        </w:rPr>
        <w:t xml:space="preserve">Among these pests, the brinjal shoot and fruit borer, </w:t>
      </w:r>
      <w:proofErr w:type="spellStart"/>
      <w:r w:rsidRPr="004A3ECD">
        <w:rPr>
          <w:rFonts w:ascii="Times New Roman" w:hAnsi="Times New Roman" w:cs="Times New Roman"/>
          <w:sz w:val="24"/>
          <w:szCs w:val="24"/>
        </w:rPr>
        <w:t>Leucinodes</w:t>
      </w:r>
      <w:proofErr w:type="spellEnd"/>
      <w:r w:rsidRPr="004A3ECD">
        <w:rPr>
          <w:rFonts w:ascii="Times New Roman" w:hAnsi="Times New Roman" w:cs="Times New Roman"/>
          <w:sz w:val="24"/>
          <w:szCs w:val="24"/>
        </w:rPr>
        <w:t xml:space="preserve"> </w:t>
      </w:r>
      <w:proofErr w:type="spellStart"/>
      <w:r w:rsidRPr="004A3ECD">
        <w:rPr>
          <w:rFonts w:ascii="Times New Roman" w:hAnsi="Times New Roman" w:cs="Times New Roman"/>
          <w:sz w:val="24"/>
          <w:szCs w:val="24"/>
        </w:rPr>
        <w:t>orbonalis</w:t>
      </w:r>
      <w:proofErr w:type="spellEnd"/>
      <w:r w:rsidRPr="004A3ECD">
        <w:rPr>
          <w:rFonts w:ascii="Times New Roman" w:hAnsi="Times New Roman" w:cs="Times New Roman"/>
          <w:sz w:val="24"/>
          <w:szCs w:val="24"/>
        </w:rPr>
        <w:t xml:space="preserve"> </w:t>
      </w:r>
      <w:proofErr w:type="spellStart"/>
      <w:r w:rsidRPr="004A3ECD">
        <w:rPr>
          <w:rFonts w:ascii="Times New Roman" w:hAnsi="Times New Roman" w:cs="Times New Roman"/>
          <w:sz w:val="24"/>
          <w:szCs w:val="24"/>
        </w:rPr>
        <w:t>Guenée</w:t>
      </w:r>
      <w:proofErr w:type="spellEnd"/>
      <w:r w:rsidRPr="004A3ECD">
        <w:rPr>
          <w:rFonts w:ascii="Times New Roman" w:hAnsi="Times New Roman" w:cs="Times New Roman"/>
          <w:sz w:val="24"/>
          <w:szCs w:val="24"/>
        </w:rPr>
        <w:t xml:space="preserve"> (Lepidoptera: </w:t>
      </w:r>
      <w:proofErr w:type="spellStart"/>
      <w:r w:rsidRPr="004A3ECD">
        <w:rPr>
          <w:rFonts w:ascii="Times New Roman" w:hAnsi="Times New Roman" w:cs="Times New Roman"/>
          <w:sz w:val="24"/>
          <w:szCs w:val="24"/>
        </w:rPr>
        <w:t>Crambidae</w:t>
      </w:r>
      <w:proofErr w:type="spellEnd"/>
      <w:r w:rsidRPr="004A3ECD">
        <w:rPr>
          <w:rFonts w:ascii="Times New Roman" w:hAnsi="Times New Roman" w:cs="Times New Roman"/>
          <w:sz w:val="24"/>
          <w:szCs w:val="24"/>
        </w:rPr>
        <w:t>), is a major constraint on brinjal (Solanum melongena L.) production. Depending on the geographical location and prevailing ecological conditions, infestation by this pest can result in yield losses ranging from 70 to 92% (Dhandapani et al., 2003; Saravanan et al., 2026). During the flowering and fruiting stages, the larvae infest flower buds and fruits, frequently entering beneath the calyx without exhibiting conspicuous external symptoms during the initial stages of infestation (Dhaliwal, 2019). Larval feeding on the growing points can cause shoots to wilt and desiccate, with severe infestations resulting in substantial shoot damage. Infested flower buds may abscise prematurely, whereas damaged fruits develop characteristic exit holes, thereby diminishing their marketability and compromising both the quality and quantity of the yield.</w:t>
      </w:r>
    </w:p>
    <w:p w14:paraId="535A56FB" w14:textId="77777777" w:rsidR="004A3ECD" w:rsidRPr="004A3ECD" w:rsidRDefault="004A3ECD" w:rsidP="004A3ECD">
      <w:pPr>
        <w:spacing w:line="360" w:lineRule="auto"/>
        <w:jc w:val="both"/>
        <w:rPr>
          <w:rFonts w:ascii="Times New Roman" w:hAnsi="Times New Roman" w:cs="Times New Roman"/>
          <w:sz w:val="24"/>
          <w:szCs w:val="24"/>
        </w:rPr>
      </w:pPr>
    </w:p>
    <w:p w14:paraId="5166F3B4" w14:textId="4BC7AA9B" w:rsidR="004A3ECD" w:rsidRDefault="004A3ECD" w:rsidP="004A3ECD">
      <w:pPr>
        <w:spacing w:line="360" w:lineRule="auto"/>
        <w:jc w:val="both"/>
        <w:rPr>
          <w:rFonts w:ascii="Times New Roman" w:hAnsi="Times New Roman" w:cs="Times New Roman"/>
          <w:bCs/>
          <w:sz w:val="24"/>
          <w:szCs w:val="24"/>
        </w:rPr>
      </w:pPr>
      <w:r w:rsidRPr="004A3ECD">
        <w:rPr>
          <w:rFonts w:ascii="Times New Roman" w:hAnsi="Times New Roman" w:cs="Times New Roman"/>
          <w:sz w:val="24"/>
          <w:szCs w:val="24"/>
        </w:rPr>
        <w:t>The adult brinjal shoot and fruit borer is a medium-sized, white moth characterised by distinctive brown and black markings on its wings (</w:t>
      </w:r>
      <w:proofErr w:type="spellStart"/>
      <w:r w:rsidRPr="004A3ECD">
        <w:rPr>
          <w:rFonts w:ascii="Times New Roman" w:hAnsi="Times New Roman" w:cs="Times New Roman"/>
          <w:sz w:val="24"/>
          <w:szCs w:val="24"/>
        </w:rPr>
        <w:t>Bhoya</w:t>
      </w:r>
      <w:proofErr w:type="spellEnd"/>
      <w:r w:rsidRPr="004A3ECD">
        <w:rPr>
          <w:rFonts w:ascii="Times New Roman" w:hAnsi="Times New Roman" w:cs="Times New Roman"/>
          <w:sz w:val="24"/>
          <w:szCs w:val="24"/>
        </w:rPr>
        <w:t xml:space="preserve"> &amp; Patel, 2018). Following mating, female moths lay numerous creamy-white eggs individually on tender shoots, flower buds and the surfaces of young fruits. Newly emerged larvae are creamy white in colour, gradually turning light pink as they develop. During the early larval stages, the larvae feed on leaves and flower buds before boring into petioles, leaf midribs and tender shoots. After entering the plant tissues, they seal the entry holes with frass and continue feeding internally, thereby causing concealed damage to the affected plant parts (</w:t>
      </w:r>
      <w:proofErr w:type="spellStart"/>
      <w:r w:rsidRPr="004A3ECD">
        <w:rPr>
          <w:rFonts w:ascii="Times New Roman" w:hAnsi="Times New Roman" w:cs="Times New Roman"/>
          <w:sz w:val="24"/>
          <w:szCs w:val="24"/>
        </w:rPr>
        <w:t>Kunjwal</w:t>
      </w:r>
      <w:proofErr w:type="spellEnd"/>
      <w:r w:rsidRPr="004A3ECD">
        <w:rPr>
          <w:rFonts w:ascii="Times New Roman" w:hAnsi="Times New Roman" w:cs="Times New Roman"/>
          <w:sz w:val="24"/>
          <w:szCs w:val="24"/>
        </w:rPr>
        <w:t xml:space="preserve"> &amp; Srivastava, 2018; Saraswathi et al., 2024).</w:t>
      </w:r>
    </w:p>
    <w:p w14:paraId="0999729D" w14:textId="6535861D" w:rsidR="003555B9" w:rsidRPr="004A3ECD" w:rsidRDefault="00000000" w:rsidP="004A3ECD">
      <w:pPr>
        <w:spacing w:line="360" w:lineRule="auto"/>
        <w:jc w:val="both"/>
        <w:rPr>
          <w:rFonts w:ascii="Times New Roman" w:hAnsi="Times New Roman" w:cs="Times New Roman"/>
          <w:sz w:val="24"/>
          <w:szCs w:val="24"/>
        </w:rPr>
      </w:pPr>
      <w:r w:rsidRPr="006A0553">
        <w:rPr>
          <w:bCs/>
          <w:highlight w:val="yellow"/>
        </w:rPr>
        <w:lastRenderedPageBreak/>
        <w:t>Seasonal field observations have documented changes in shoot and fruit infestation during the cropping period, indicating the importance of considering pest development in relation to crop growth stages (Roy et al., 2025).</w:t>
      </w:r>
      <w:r w:rsidR="006A0553">
        <w:rPr>
          <w:bCs/>
          <w:highlight w:val="yellow"/>
        </w:rPr>
        <w:t xml:space="preserve"> </w:t>
      </w:r>
      <w:r w:rsidRPr="006A0553">
        <w:rPr>
          <w:bCs/>
          <w:highlight w:val="yellow"/>
        </w:rPr>
        <w:t xml:space="preserve">Recent investigations have also examined vitellogenin associated with reproduction in </w:t>
      </w:r>
      <w:proofErr w:type="spellStart"/>
      <w:r w:rsidRPr="006A0553">
        <w:rPr>
          <w:bCs/>
          <w:i/>
          <w:highlight w:val="yellow"/>
        </w:rPr>
        <w:t>Leucinodes</w:t>
      </w:r>
      <w:proofErr w:type="spellEnd"/>
      <w:r w:rsidRPr="006A0553">
        <w:rPr>
          <w:bCs/>
          <w:i/>
          <w:highlight w:val="yellow"/>
        </w:rPr>
        <w:t xml:space="preserve"> </w:t>
      </w:r>
      <w:proofErr w:type="spellStart"/>
      <w:r w:rsidRPr="006A0553">
        <w:rPr>
          <w:bCs/>
          <w:i/>
          <w:highlight w:val="yellow"/>
        </w:rPr>
        <w:t>orbonalis</w:t>
      </w:r>
      <w:proofErr w:type="spellEnd"/>
      <w:r w:rsidRPr="006A0553">
        <w:rPr>
          <w:bCs/>
          <w:highlight w:val="yellow"/>
        </w:rPr>
        <w:t xml:space="preserve"> (Ashok et al., 2025) and generated genomic resources for further study of this pest (Despabiladeras et al., 2025).</w:t>
      </w:r>
      <w:r w:rsidR="006A0553">
        <w:rPr>
          <w:bCs/>
          <w:highlight w:val="yellow"/>
        </w:rPr>
        <w:t xml:space="preserve"> </w:t>
      </w:r>
      <w:r w:rsidRPr="006A0553">
        <w:rPr>
          <w:bCs/>
          <w:highlight w:val="yellow"/>
        </w:rPr>
        <w:t>However, direct documentation of stage-specific developmental duration, egg hatchability, adult longevity and fecundity remains necessary for describing the pest under the laboratory conditions used in the present study.</w:t>
      </w:r>
    </w:p>
    <w:p w14:paraId="5ECEA52F" w14:textId="77777777" w:rsidR="003555B9" w:rsidRDefault="0000000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The present study focuses on the developmental and reproductive biology of</w:t>
      </w:r>
      <w:r>
        <w:rPr>
          <w:rFonts w:ascii="Times New Roman" w:hAnsi="Times New Roman" w:cs="Times New Roman"/>
          <w:sz w:val="24"/>
          <w:szCs w:val="24"/>
          <w:highlight w:val="yellow"/>
        </w:rPr>
        <w:t xml:space="preserve"> the brinjal shoot and</w:t>
      </w:r>
      <w:r>
        <w:rPr>
          <w:rFonts w:ascii="Times New Roman" w:hAnsi="Times New Roman" w:cs="Times New Roman"/>
          <w:sz w:val="24"/>
          <w:szCs w:val="24"/>
        </w:rPr>
        <w:t xml:space="preserve"> fruit borer (</w:t>
      </w:r>
      <w:proofErr w:type="spellStart"/>
      <w:r>
        <w:rPr>
          <w:rFonts w:ascii="Times New Roman" w:hAnsi="Times New Roman" w:cs="Times New Roman"/>
          <w:i/>
          <w:iCs/>
          <w:sz w:val="24"/>
          <w:szCs w:val="24"/>
        </w:rPr>
        <w:t>Leucinodes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orbonalis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Guen</w:t>
      </w:r>
      <w:r>
        <w:rPr>
          <w:rFonts w:ascii="Times New Roman" w:hAnsi="Times New Roman" w:cs="Times New Roman"/>
          <w:sz w:val="24"/>
          <w:szCs w:val="24"/>
          <w:highlight w:val="yellow"/>
        </w:rPr>
        <w:t>é</w:t>
      </w:r>
      <w:r>
        <w:rPr>
          <w:rFonts w:ascii="Times New Roman" w:hAnsi="Times New Roman" w:cs="Times New Roman"/>
          <w:sz w:val="24"/>
          <w:szCs w:val="24"/>
        </w:rPr>
        <w:t>e</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o</w:t>
      </w:r>
      <w:r>
        <w:rPr>
          <w:rFonts w:ascii="Times New Roman" w:hAnsi="Times New Roman" w:cs="Times New Roman"/>
          <w:sz w:val="24"/>
          <w:szCs w:val="24"/>
        </w:rPr>
        <w:t xml:space="preserve">n </w:t>
      </w:r>
      <w:r>
        <w:rPr>
          <w:rFonts w:ascii="Times New Roman" w:hAnsi="Times New Roman" w:cs="Times New Roman"/>
          <w:sz w:val="24"/>
          <w:szCs w:val="24"/>
          <w:highlight w:val="yellow"/>
        </w:rPr>
        <w:t>b</w:t>
      </w:r>
      <w:r>
        <w:rPr>
          <w:rFonts w:ascii="Times New Roman" w:hAnsi="Times New Roman" w:cs="Times New Roman"/>
          <w:sz w:val="24"/>
          <w:szCs w:val="24"/>
        </w:rPr>
        <w:t>rinjal (</w:t>
      </w:r>
      <w:r>
        <w:rPr>
          <w:rFonts w:ascii="Times New Roman" w:hAnsi="Times New Roman" w:cs="Times New Roman"/>
          <w:i/>
          <w:iCs/>
          <w:sz w:val="24"/>
          <w:szCs w:val="24"/>
        </w:rPr>
        <w:t>Solanum melongena</w:t>
      </w:r>
      <w:r>
        <w:rPr>
          <w:rFonts w:ascii="Times New Roman" w:hAnsi="Times New Roman" w:cs="Times New Roman"/>
          <w:sz w:val="24"/>
          <w:szCs w:val="24"/>
        </w:rPr>
        <w:t xml:space="preserve"> L</w:t>
      </w:r>
      <w:r>
        <w:rPr>
          <w:rFonts w:ascii="Times New Roman" w:hAnsi="Times New Roman" w:cs="Times New Roman"/>
          <w:sz w:val="24"/>
          <w:szCs w:val="24"/>
          <w:highlight w:val="yellow"/>
        </w:rPr>
        <w:t>.</w:t>
      </w:r>
      <w:r>
        <w:rPr>
          <w:rFonts w:ascii="Times New Roman" w:hAnsi="Times New Roman" w:cs="Times New Roman"/>
          <w:sz w:val="24"/>
          <w:szCs w:val="24"/>
        </w:rPr>
        <w:t>) under lab</w:t>
      </w:r>
      <w:r>
        <w:rPr>
          <w:rFonts w:ascii="Times New Roman" w:hAnsi="Times New Roman" w:cs="Times New Roman"/>
          <w:sz w:val="24"/>
          <w:szCs w:val="24"/>
          <w:highlight w:val="yellow"/>
        </w:rPr>
        <w:t>oratory</w:t>
      </w:r>
      <w:r>
        <w:rPr>
          <w:rFonts w:ascii="Times New Roman" w:hAnsi="Times New Roman" w:cs="Times New Roman"/>
          <w:sz w:val="24"/>
          <w:szCs w:val="24"/>
        </w:rPr>
        <w:t xml:space="preserve"> conditions.  </w:t>
      </w:r>
    </w:p>
    <w:p w14:paraId="70CDF251" w14:textId="5A3766D6" w:rsidR="006A0553" w:rsidRDefault="00000000">
      <w:pPr>
        <w:pStyle w:val="isselectedend"/>
        <w:spacing w:line="360" w:lineRule="auto"/>
        <w:jc w:val="both"/>
        <w:rPr>
          <w:b/>
          <w:bCs/>
        </w:rPr>
      </w:pPr>
      <w:r>
        <w:rPr>
          <w:b/>
          <w:bCs/>
        </w:rPr>
        <w:t>2. Materials and methods</w:t>
      </w:r>
    </w:p>
    <w:p w14:paraId="38A3E619" w14:textId="4D773235" w:rsidR="003555B9" w:rsidRDefault="00000000">
      <w:pPr>
        <w:pStyle w:val="isselectedend"/>
        <w:spacing w:line="360" w:lineRule="auto"/>
        <w:jc w:val="both"/>
      </w:pPr>
      <w:r>
        <w:t xml:space="preserve">A laboratory culture of the brinjal </w:t>
      </w:r>
      <w:proofErr w:type="gramStart"/>
      <w:r>
        <w:t>shoot</w:t>
      </w:r>
      <w:proofErr w:type="gramEnd"/>
      <w:r>
        <w:t xml:space="preserve"> and fruit borer, </w:t>
      </w:r>
      <w:proofErr w:type="spellStart"/>
      <w:r>
        <w:rPr>
          <w:i/>
          <w:iCs/>
        </w:rPr>
        <w:t>Leucinodes</w:t>
      </w:r>
      <w:proofErr w:type="spellEnd"/>
      <w:r>
        <w:rPr>
          <w:i/>
          <w:iCs/>
        </w:rPr>
        <w:t xml:space="preserve"> </w:t>
      </w:r>
      <w:proofErr w:type="spellStart"/>
      <w:r>
        <w:rPr>
          <w:i/>
          <w:iCs/>
        </w:rPr>
        <w:t>orbonalis</w:t>
      </w:r>
      <w:proofErr w:type="spellEnd"/>
      <w:r>
        <w:t xml:space="preserve"> </w:t>
      </w:r>
      <w:proofErr w:type="spellStart"/>
      <w:r>
        <w:t>Guenée</w:t>
      </w:r>
      <w:proofErr w:type="spellEnd"/>
      <w:r>
        <w:t xml:space="preserve"> (Lepidoptera: </w:t>
      </w:r>
      <w:proofErr w:type="spellStart"/>
      <w:r>
        <w:t>Crambidae</w:t>
      </w:r>
      <w:proofErr w:type="spellEnd"/>
      <w:r>
        <w:t xml:space="preserve">), was </w:t>
      </w:r>
      <w:r>
        <w:rPr>
          <w:highlight w:val="yellow"/>
        </w:rPr>
        <w:t>es</w:t>
      </w:r>
      <w:r>
        <w:t>t</w:t>
      </w:r>
      <w:r>
        <w:rPr>
          <w:highlight w:val="yellow"/>
        </w:rPr>
        <w:t>ablish</w:t>
      </w:r>
      <w:r>
        <w:t xml:space="preserve">ed in </w:t>
      </w:r>
      <w:r>
        <w:rPr>
          <w:highlight w:val="yellow"/>
        </w:rPr>
        <w:t>the D</w:t>
      </w:r>
      <w:r>
        <w:t xml:space="preserve">epartment of </w:t>
      </w:r>
      <w:r>
        <w:rPr>
          <w:highlight w:val="yellow"/>
        </w:rPr>
        <w:t>E</w:t>
      </w:r>
      <w:r>
        <w:t>ntomology, Chandra Shekhar Azad University of Agriculture and Technology, Kanpur</w:t>
      </w:r>
      <w:r>
        <w:rPr>
          <w:highlight w:val="yellow"/>
        </w:rPr>
        <w:t>,</w:t>
      </w:r>
      <w:r>
        <w:t xml:space="preserve"> using infested </w:t>
      </w:r>
      <w:r>
        <w:rPr>
          <w:highlight w:val="yellow"/>
        </w:rPr>
        <w:t>f</w:t>
      </w:r>
      <w:r>
        <w:t>r</w:t>
      </w:r>
      <w:r>
        <w:rPr>
          <w:highlight w:val="yellow"/>
        </w:rPr>
        <w:t>u</w:t>
      </w:r>
      <w:r>
        <w:t>i</w:t>
      </w:r>
      <w:r>
        <w:rPr>
          <w:highlight w:val="yellow"/>
        </w:rPr>
        <w:t>ts of th</w:t>
      </w:r>
      <w:r>
        <w:t xml:space="preserve">e Pusa Purple </w:t>
      </w:r>
      <w:r>
        <w:rPr>
          <w:highlight w:val="yellow"/>
        </w:rPr>
        <w:t>R</w:t>
      </w:r>
      <w:r>
        <w:t xml:space="preserve">ound </w:t>
      </w:r>
      <w:r>
        <w:rPr>
          <w:highlight w:val="yellow"/>
        </w:rPr>
        <w:t>va</w:t>
      </w:r>
      <w:r>
        <w:t>ri</w:t>
      </w:r>
      <w:r>
        <w:rPr>
          <w:highlight w:val="yellow"/>
        </w:rPr>
        <w:t>e</w:t>
      </w:r>
      <w:r>
        <w:t>t</w:t>
      </w:r>
      <w:r>
        <w:rPr>
          <w:highlight w:val="yellow"/>
        </w:rPr>
        <w:t>y</w:t>
      </w:r>
      <w:r>
        <w:t xml:space="preserve"> collected from the field. The larvae and pupae were maintained individually in glass Petri dishes (10 × 10 cm) under room-temperature conditions. Newly emerged adults were paired and kept in glass chimneys lined with black paper strips for oviposition. Adults were provided with </w:t>
      </w:r>
      <w:r>
        <w:rPr>
          <w:highlight w:val="yellow"/>
        </w:rPr>
        <w:t xml:space="preserve">a </w:t>
      </w:r>
      <w:r>
        <w:t xml:space="preserve">10% sugar solution </w:t>
      </w:r>
      <w:r>
        <w:rPr>
          <w:highlight w:val="yellow"/>
        </w:rPr>
        <w:t>ab</w:t>
      </w:r>
      <w:r>
        <w:t>so</w:t>
      </w:r>
      <w:r>
        <w:rPr>
          <w:highlight w:val="yellow"/>
        </w:rPr>
        <w:t>rb</w:t>
      </w:r>
      <w:r>
        <w:t>ed in cotton as food. Eggs obtained from the culture were reared for one generation, and eggs from the subsequent generation were used for the biological studies. For the experiment, five eggs were maintained per Petri dish</w:t>
      </w:r>
      <w:r>
        <w:rPr>
          <w:highlight w:val="yellow"/>
        </w:rPr>
        <w:t>,</w:t>
      </w:r>
      <w:r>
        <w:t xml:space="preserve"> with five replications. </w:t>
      </w:r>
      <w:r>
        <w:rPr>
          <w:highlight w:val="yellow"/>
        </w:rPr>
        <w:t>Four to five n</w:t>
      </w:r>
      <w:r>
        <w:t xml:space="preserve">ewly hatched larvae were transferred to glass Petri dishes with fresh brinjal fruit slices and tender leaves, which were replaced regularly to maintain hygienic conditions and prevent fungal growth. </w:t>
      </w:r>
    </w:p>
    <w:p w14:paraId="02BF27C0" w14:textId="77777777" w:rsidR="003555B9" w:rsidRDefault="00000000">
      <w:pPr>
        <w:pStyle w:val="isselectedend"/>
        <w:spacing w:line="360" w:lineRule="auto"/>
        <w:jc w:val="both"/>
      </w:pPr>
      <w:r>
        <w:tab/>
        <w:t xml:space="preserve">Observations were recorded </w:t>
      </w:r>
      <w:r>
        <w:rPr>
          <w:highlight w:val="yellow"/>
        </w:rPr>
        <w:t>f</w:t>
      </w:r>
      <w:r>
        <w:t>o</w:t>
      </w:r>
      <w:r>
        <w:rPr>
          <w:highlight w:val="yellow"/>
        </w:rPr>
        <w:t>r the</w:t>
      </w:r>
      <w:r>
        <w:t xml:space="preserve"> incubation period, duration of each larval instar, total larval and pupal periods, adult longevity, pre-oviposition, oviposition and post-oviposition periods, fecundity, sex ratio and total developmental period. Larval instars were identified based on </w:t>
      </w:r>
      <w:proofErr w:type="spellStart"/>
      <w:r>
        <w:t>moulting</w:t>
      </w:r>
      <w:proofErr w:type="spellEnd"/>
      <w:r>
        <w:t xml:space="preserve">, exuviae, and changes in larval morphology. The total developmental period was calculated from egg to adult emergence. Data were expressed as </w:t>
      </w:r>
      <w:r>
        <w:rPr>
          <w:highlight w:val="yellow"/>
        </w:rPr>
        <w:t xml:space="preserve">the </w:t>
      </w:r>
      <w:r>
        <w:t>mean ± standard deviation (SD)</w:t>
      </w:r>
      <w:r>
        <w:rPr>
          <w:highlight w:val="yellow"/>
        </w:rPr>
        <w:t>,</w:t>
      </w:r>
      <w:r>
        <w:t xml:space="preserve"> </w:t>
      </w:r>
      <w:r>
        <w:rPr>
          <w:highlight w:val="yellow"/>
        </w:rPr>
        <w:t>t</w:t>
      </w:r>
      <w:r>
        <w:t>og</w:t>
      </w:r>
      <w:r>
        <w:rPr>
          <w:highlight w:val="yellow"/>
        </w:rPr>
        <w:t>ether</w:t>
      </w:r>
      <w:r>
        <w:t xml:space="preserve"> with the minimum–maximum range</w:t>
      </w:r>
      <w:r>
        <w:rPr>
          <w:highlight w:val="yellow"/>
        </w:rPr>
        <w:t>.</w:t>
      </w:r>
      <w:r>
        <w:t xml:space="preserve"> </w:t>
      </w:r>
      <w:r>
        <w:rPr>
          <w:highlight w:val="yellow"/>
        </w:rPr>
        <w:t>T</w:t>
      </w:r>
      <w:r>
        <w:t xml:space="preserve">he sex ratio was calculated </w:t>
      </w:r>
      <w:r>
        <w:rPr>
          <w:highlight w:val="yellow"/>
        </w:rPr>
        <w:t>fr</w:t>
      </w:r>
      <w:r>
        <w:t>o</w:t>
      </w:r>
      <w:r>
        <w:rPr>
          <w:highlight w:val="yellow"/>
        </w:rPr>
        <w:t>m</w:t>
      </w:r>
      <w:r>
        <w:t xml:space="preserve"> the number</w:t>
      </w:r>
      <w:r>
        <w:rPr>
          <w:highlight w:val="yellow"/>
        </w:rPr>
        <w:t>s</w:t>
      </w:r>
      <w:r>
        <w:t xml:space="preserve"> of males and females after t</w:t>
      </w:r>
      <w:r>
        <w:rPr>
          <w:highlight w:val="yellow"/>
        </w:rPr>
        <w:t>h</w:t>
      </w:r>
      <w:r>
        <w:t>e laboratory o</w:t>
      </w:r>
      <w:r>
        <w:rPr>
          <w:highlight w:val="yellow"/>
        </w:rPr>
        <w:t>bserva</w:t>
      </w:r>
      <w:r>
        <w:t>tion</w:t>
      </w:r>
      <w:r>
        <w:rPr>
          <w:highlight w:val="yellow"/>
        </w:rPr>
        <w:t>s had been compiled in a Microsoft Excel spreadsheet</w:t>
      </w:r>
      <w:r>
        <w:t>.</w:t>
      </w:r>
    </w:p>
    <w:p w14:paraId="7A649BFB" w14:textId="77777777" w:rsidR="003555B9" w:rsidRDefault="00000000">
      <w:pPr>
        <w:rPr>
          <w:rFonts w:ascii="Times New Roman" w:hAnsi="Times New Roman" w:cs="Times New Roman"/>
          <w:b/>
          <w:sz w:val="24"/>
          <w:szCs w:val="24"/>
        </w:rPr>
      </w:pPr>
      <w:r>
        <w:rPr>
          <w:rFonts w:ascii="Times New Roman" w:hAnsi="Times New Roman" w:cs="Times New Roman"/>
          <w:b/>
          <w:sz w:val="24"/>
          <w:szCs w:val="24"/>
        </w:rPr>
        <w:lastRenderedPageBreak/>
        <w:t>Results and discussion:</w:t>
      </w:r>
    </w:p>
    <w:p w14:paraId="00C0E4F9" w14:textId="77777777" w:rsidR="003555B9" w:rsidRDefault="00000000">
      <w:pPr>
        <w:spacing w:line="360" w:lineRule="auto"/>
        <w:jc w:val="both"/>
      </w:pPr>
      <w:r>
        <w:rPr>
          <w:rFonts w:ascii="Times New Roman" w:hAnsi="Times New Roman" w:cs="Times New Roman"/>
          <w:b/>
          <w:bCs/>
          <w:sz w:val="24"/>
          <w:szCs w:val="24"/>
        </w:rPr>
        <w:t>Incubation Period and Egg Hatching:</w:t>
      </w:r>
      <w:r>
        <w:rPr>
          <w:rFonts w:ascii="Times New Roman" w:hAnsi="Times New Roman" w:cs="Times New Roman"/>
          <w:sz w:val="24"/>
          <w:szCs w:val="24"/>
        </w:rPr>
        <w:t xml:space="preserve"> The incubation period of </w:t>
      </w:r>
      <w:r>
        <w:rPr>
          <w:rStyle w:val="Emphasis"/>
          <w:rFonts w:ascii="Times New Roman" w:hAnsi="Times New Roman" w:cs="Times New Roman"/>
          <w:sz w:val="24"/>
          <w:szCs w:val="24"/>
        </w:rPr>
        <w:t>L.</w:t>
      </w:r>
      <w:r>
        <w:rPr>
          <w:rStyle w:val="Emphasis"/>
          <w:rFonts w:ascii="Times New Roman" w:hAnsi="Times New Roman" w:cs="Times New Roman"/>
          <w:sz w:val="24"/>
          <w:szCs w:val="24"/>
          <w:highlight w:val="yellow"/>
        </w:rPr>
        <w:t xml:space="preserve"> </w:t>
      </w:r>
      <w:proofErr w:type="spellStart"/>
      <w:r>
        <w:rPr>
          <w:rStyle w:val="Emphasis"/>
          <w:rFonts w:ascii="Times New Roman" w:hAnsi="Times New Roman" w:cs="Times New Roman"/>
          <w:sz w:val="24"/>
          <w:szCs w:val="24"/>
        </w:rPr>
        <w:t>orbonalis</w:t>
      </w:r>
      <w:proofErr w:type="spellEnd"/>
      <w:r>
        <w:rPr>
          <w:rFonts w:ascii="Times New Roman" w:hAnsi="Times New Roman" w:cs="Times New Roman"/>
          <w:sz w:val="24"/>
          <w:szCs w:val="24"/>
        </w:rPr>
        <w:t xml:space="preserve"> ranged from 3 to 5 days, with a mean duration of 3.91 ± 0.64 days (</w:t>
      </w:r>
      <w:r>
        <w:rPr>
          <w:rFonts w:ascii="Times New Roman" w:hAnsi="Times New Roman" w:cs="Times New Roman"/>
          <w:b/>
          <w:bCs/>
          <w:sz w:val="24"/>
          <w:szCs w:val="24"/>
        </w:rPr>
        <w:t xml:space="preserve">Table 1), </w:t>
      </w:r>
      <w:r>
        <w:rPr>
          <w:rFonts w:ascii="Times New Roman" w:hAnsi="Times New Roman" w:cs="Times New Roman"/>
          <w:sz w:val="24"/>
          <w:szCs w:val="24"/>
        </w:rPr>
        <w:t>while egg hatchability ranged from 65 to 76%, with a mean of 68.96 ± 3.85%. Freshly laid eggs were creamy white, elongated and oval, turning orange with a prominent black spot before hatching. The observed incubation period was comparable to th</w:t>
      </w:r>
      <w:r>
        <w:rPr>
          <w:rFonts w:ascii="Times New Roman" w:hAnsi="Times New Roman" w:cs="Times New Roman"/>
          <w:sz w:val="24"/>
          <w:szCs w:val="24"/>
          <w:highlight w:val="yellow"/>
        </w:rPr>
        <w:t>e peri</w:t>
      </w:r>
      <w:r>
        <w:rPr>
          <w:rFonts w:ascii="Times New Roman" w:hAnsi="Times New Roman" w:cs="Times New Roman"/>
          <w:sz w:val="24"/>
          <w:szCs w:val="24"/>
        </w:rPr>
        <w:t>o</w:t>
      </w:r>
      <w:r>
        <w:rPr>
          <w:rFonts w:ascii="Times New Roman" w:hAnsi="Times New Roman" w:cs="Times New Roman"/>
          <w:sz w:val="24"/>
          <w:szCs w:val="24"/>
          <w:highlight w:val="yellow"/>
        </w:rPr>
        <w:t>d</w:t>
      </w:r>
      <w:r>
        <w:rPr>
          <w:rFonts w:ascii="Times New Roman" w:hAnsi="Times New Roman" w:cs="Times New Roman"/>
          <w:sz w:val="24"/>
          <w:szCs w:val="24"/>
        </w:rPr>
        <w:t xml:space="preserve">s reported by Iesa (2021), Ponnusamy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(2021), and </w:t>
      </w:r>
      <w:proofErr w:type="spellStart"/>
      <w:r>
        <w:rPr>
          <w:rFonts w:ascii="Times New Roman" w:hAnsi="Times New Roman" w:cs="Times New Roman"/>
          <w:sz w:val="24"/>
          <w:szCs w:val="24"/>
        </w:rPr>
        <w:t>Laichattiwar</w:t>
      </w:r>
      <w:proofErr w:type="spellEnd"/>
      <w:r>
        <w:rPr>
          <w:rFonts w:ascii="Times New Roman" w:hAnsi="Times New Roman" w:cs="Times New Roman"/>
          <w:sz w:val="24"/>
          <w:szCs w:val="24"/>
        </w:rPr>
        <w:t xml:space="preserve"> </w:t>
      </w:r>
      <w:r>
        <w:rPr>
          <w:rStyle w:val="Emphasis"/>
          <w:rFonts w:ascii="Times New Roman" w:hAnsi="Times New Roman" w:cs="Times New Roman"/>
          <w:sz w:val="24"/>
          <w:szCs w:val="24"/>
        </w:rPr>
        <w:t>et al.</w:t>
      </w:r>
      <w:r>
        <w:rPr>
          <w:rFonts w:ascii="Times New Roman" w:hAnsi="Times New Roman" w:cs="Times New Roman"/>
          <w:sz w:val="24"/>
          <w:szCs w:val="24"/>
        </w:rPr>
        <w:t xml:space="preserve"> (2017). Similarly, egg hatchability was comparable to the values reported by Wali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(2022) and Sahana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(2026). </w:t>
      </w:r>
      <w:r>
        <w:rPr>
          <w:rFonts w:ascii="Times New Roman" w:hAnsi="Times New Roman" w:cs="Times New Roman"/>
          <w:sz w:val="24"/>
          <w:szCs w:val="24"/>
          <w:highlight w:val="yellow"/>
        </w:rPr>
        <w:t>V</w:t>
      </w:r>
      <w:r>
        <w:rPr>
          <w:rFonts w:ascii="Times New Roman" w:hAnsi="Times New Roman" w:cs="Times New Roman"/>
          <w:sz w:val="24"/>
          <w:szCs w:val="24"/>
        </w:rPr>
        <w:t>ariations among studies may be attributed to differences in laboratory conditions and egg viability.</w:t>
      </w:r>
    </w:p>
    <w:p w14:paraId="031CE786" w14:textId="77777777" w:rsidR="003555B9" w:rsidRDefault="00000000">
      <w:pPr>
        <w:spacing w:line="360" w:lineRule="auto"/>
        <w:jc w:val="both"/>
        <w:rPr>
          <w:rFonts w:ascii="Times New Roman" w:hAnsi="Times New Roman" w:cs="Times New Roman"/>
          <w:sz w:val="24"/>
          <w:szCs w:val="24"/>
        </w:rPr>
      </w:pPr>
      <w:r>
        <w:rPr>
          <w:rFonts w:ascii="Times New Roman" w:hAnsi="Times New Roman" w:cs="Times New Roman"/>
          <w:b/>
          <w:sz w:val="24"/>
          <w:szCs w:val="24"/>
        </w:rPr>
        <w:t>Larval Period:</w:t>
      </w:r>
      <w:r>
        <w:rPr>
          <w:rFonts w:ascii="Times New Roman" w:hAnsi="Times New Roman" w:cs="Times New Roman"/>
          <w:sz w:val="24"/>
          <w:szCs w:val="24"/>
        </w:rPr>
        <w:t xml:space="preserve"> The total larval period ranged from 12.40</w:t>
      </w:r>
      <w:r>
        <w:rPr>
          <w:rFonts w:ascii="Times New Roman" w:hAnsi="Times New Roman" w:cs="Times New Roman"/>
          <w:sz w:val="24"/>
          <w:szCs w:val="24"/>
          <w:highlight w:val="yellow"/>
        </w:rPr>
        <w:t xml:space="preserve"> to </w:t>
      </w:r>
      <w:r>
        <w:rPr>
          <w:rFonts w:ascii="Times New Roman" w:hAnsi="Times New Roman" w:cs="Times New Roman"/>
          <w:sz w:val="24"/>
          <w:szCs w:val="24"/>
        </w:rPr>
        <w:t xml:space="preserve">17.00 days, with a mean duration of 14.09 ± 1.20 days </w:t>
      </w:r>
      <w:r>
        <w:rPr>
          <w:rFonts w:ascii="Times New Roman" w:hAnsi="Times New Roman" w:cs="Times New Roman"/>
          <w:sz w:val="24"/>
          <w:szCs w:val="24"/>
          <w:highlight w:val="yellow"/>
        </w:rPr>
        <w:t>(</w:t>
      </w:r>
      <w:r>
        <w:rPr>
          <w:rFonts w:ascii="Times New Roman" w:hAnsi="Times New Roman" w:cs="Times New Roman"/>
          <w:b/>
          <w:bCs/>
          <w:sz w:val="24"/>
          <w:szCs w:val="24"/>
        </w:rPr>
        <w:t>Table 1</w:t>
      </w:r>
      <w:r>
        <w:rPr>
          <w:rFonts w:ascii="Times New Roman" w:hAnsi="Times New Roman" w:cs="Times New Roman"/>
          <w:b/>
          <w:bCs/>
          <w:sz w:val="24"/>
          <w:szCs w:val="24"/>
          <w:highlight w:val="yellow"/>
        </w:rPr>
        <w:t>)</w:t>
      </w:r>
      <w:r>
        <w:rPr>
          <w:rFonts w:ascii="Times New Roman" w:hAnsi="Times New Roman" w:cs="Times New Roman"/>
          <w:b/>
          <w:bCs/>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Newly hatched larvae were dirty white and gradually changed to pink and pinkish brown during later instars, with a brown to chestnut-brown head capsule. Similar larval colour characteristics were reported by Bindu </w:t>
      </w:r>
      <w:r>
        <w:rPr>
          <w:rStyle w:val="Emphasis"/>
          <w:rFonts w:ascii="Times New Roman" w:hAnsi="Times New Roman" w:cs="Times New Roman"/>
          <w:sz w:val="24"/>
          <w:szCs w:val="24"/>
        </w:rPr>
        <w:t>et al.</w:t>
      </w:r>
      <w:r>
        <w:rPr>
          <w:rFonts w:ascii="Times New Roman" w:hAnsi="Times New Roman" w:cs="Times New Roman"/>
          <w:sz w:val="24"/>
          <w:szCs w:val="24"/>
        </w:rPr>
        <w:t xml:space="preserve"> (2015). Larval development </w:t>
      </w:r>
      <w:r>
        <w:rPr>
          <w:rFonts w:ascii="Times New Roman" w:hAnsi="Times New Roman" w:cs="Times New Roman"/>
          <w:sz w:val="24"/>
          <w:szCs w:val="24"/>
          <w:highlight w:val="yellow"/>
        </w:rPr>
        <w:t>comprise</w:t>
      </w:r>
      <w:r>
        <w:rPr>
          <w:rFonts w:ascii="Times New Roman" w:hAnsi="Times New Roman" w:cs="Times New Roman"/>
          <w:sz w:val="24"/>
          <w:szCs w:val="24"/>
        </w:rPr>
        <w:t>d five distinct instars, with mean durations of 1.46 ± 0.38, 2.58 ± 0.36, 2.79 ± 0.67, 3.51 ± 0.44 and</w:t>
      </w:r>
      <w:r>
        <w:rPr>
          <w:rFonts w:ascii="Times New Roman" w:hAnsi="Times New Roman" w:cs="Times New Roman"/>
          <w:sz w:val="24"/>
          <w:szCs w:val="24"/>
          <w:highlight w:val="yellow"/>
        </w:rPr>
        <w:t xml:space="preserve"> 3.75 ± 0.30 days for the first, second, third,</w:t>
      </w:r>
      <w:r>
        <w:rPr>
          <w:rFonts w:ascii="Times New Roman" w:hAnsi="Times New Roman" w:cs="Times New Roman"/>
          <w:sz w:val="24"/>
          <w:szCs w:val="24"/>
        </w:rPr>
        <w:t xml:space="preserve"> fourth and fifth instars, respectively. Th</w:t>
      </w:r>
      <w:r>
        <w:rPr>
          <w:rFonts w:ascii="Times New Roman" w:hAnsi="Times New Roman" w:cs="Times New Roman"/>
          <w:sz w:val="24"/>
          <w:szCs w:val="24"/>
          <w:highlight w:val="yellow"/>
        </w:rPr>
        <w:t>ese observat</w:t>
      </w:r>
      <w:r>
        <w:rPr>
          <w:rFonts w:ascii="Times New Roman" w:hAnsi="Times New Roman" w:cs="Times New Roman"/>
          <w:sz w:val="24"/>
          <w:szCs w:val="24"/>
        </w:rPr>
        <w:t>i</w:t>
      </w:r>
      <w:r>
        <w:rPr>
          <w:rFonts w:ascii="Times New Roman" w:hAnsi="Times New Roman" w:cs="Times New Roman"/>
          <w:sz w:val="24"/>
          <w:szCs w:val="24"/>
          <w:highlight w:val="yellow"/>
        </w:rPr>
        <w:t>on</w:t>
      </w:r>
      <w:r>
        <w:rPr>
          <w:rFonts w:ascii="Times New Roman" w:hAnsi="Times New Roman" w:cs="Times New Roman"/>
          <w:sz w:val="24"/>
          <w:szCs w:val="24"/>
        </w:rPr>
        <w:t>s w</w:t>
      </w:r>
      <w:r>
        <w:rPr>
          <w:rFonts w:ascii="Times New Roman" w:hAnsi="Times New Roman" w:cs="Times New Roman"/>
          <w:sz w:val="24"/>
          <w:szCs w:val="24"/>
          <w:highlight w:val="yellow"/>
        </w:rPr>
        <w:t>ere</w:t>
      </w:r>
      <w:r>
        <w:rPr>
          <w:rFonts w:ascii="Times New Roman" w:hAnsi="Times New Roman" w:cs="Times New Roman"/>
          <w:sz w:val="24"/>
          <w:szCs w:val="24"/>
        </w:rPr>
        <w:t xml:space="preserve"> comparable to the</w:t>
      </w:r>
      <w:r>
        <w:rPr>
          <w:rFonts w:ascii="Times New Roman" w:hAnsi="Times New Roman" w:cs="Times New Roman"/>
          <w:sz w:val="24"/>
          <w:szCs w:val="24"/>
          <w:highlight w:val="yellow"/>
        </w:rPr>
        <w:t xml:space="preserve"> developmental</w:t>
      </w:r>
      <w:r>
        <w:rPr>
          <w:rFonts w:ascii="Times New Roman" w:hAnsi="Times New Roman" w:cs="Times New Roman"/>
          <w:sz w:val="24"/>
          <w:szCs w:val="24"/>
        </w:rPr>
        <w:t xml:space="preserve"> durations reported by </w:t>
      </w:r>
      <w:r>
        <w:rPr>
          <w:rFonts w:ascii="Times New Roman" w:hAnsi="Times New Roman" w:cs="Times New Roman"/>
          <w:sz w:val="24"/>
          <w:szCs w:val="24"/>
          <w:highlight w:val="yellow"/>
        </w:rPr>
        <w:t>Kum</w:t>
      </w:r>
      <w:r>
        <w:rPr>
          <w:rFonts w:ascii="Times New Roman" w:hAnsi="Times New Roman" w:cs="Times New Roman"/>
          <w:sz w:val="24"/>
          <w:szCs w:val="24"/>
        </w:rPr>
        <w:t xml:space="preserve">ar </w:t>
      </w:r>
      <w:r>
        <w:rPr>
          <w:rStyle w:val="Emphasis"/>
          <w:rFonts w:ascii="Times New Roman" w:hAnsi="Times New Roman" w:cs="Times New Roman"/>
          <w:sz w:val="24"/>
          <w:szCs w:val="24"/>
        </w:rPr>
        <w:t>et al.</w:t>
      </w:r>
      <w:r>
        <w:rPr>
          <w:rFonts w:ascii="Times New Roman" w:hAnsi="Times New Roman" w:cs="Times New Roman"/>
          <w:sz w:val="24"/>
          <w:szCs w:val="24"/>
        </w:rPr>
        <w:t xml:space="preserve"> (20</w:t>
      </w:r>
      <w:r>
        <w:rPr>
          <w:rFonts w:ascii="Times New Roman" w:hAnsi="Times New Roman" w:cs="Times New Roman"/>
          <w:sz w:val="24"/>
          <w:szCs w:val="24"/>
          <w:highlight w:val="yellow"/>
        </w:rPr>
        <w:t>25</w:t>
      </w:r>
      <w:r>
        <w:rPr>
          <w:rFonts w:ascii="Times New Roman" w:hAnsi="Times New Roman" w:cs="Times New Roman"/>
          <w:sz w:val="24"/>
          <w:szCs w:val="24"/>
        </w:rPr>
        <w:t xml:space="preserve">), Patel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(2024), </w:t>
      </w:r>
      <w:r>
        <w:rPr>
          <w:rFonts w:ascii="Times New Roman" w:hAnsi="Times New Roman" w:cs="Times New Roman"/>
          <w:sz w:val="24"/>
          <w:szCs w:val="24"/>
          <w:highlight w:val="yellow"/>
        </w:rPr>
        <w:t xml:space="preserve">Yadav et al. (2015) </w:t>
      </w:r>
      <w:r>
        <w:rPr>
          <w:rFonts w:ascii="Times New Roman" w:hAnsi="Times New Roman" w:cs="Times New Roman"/>
          <w:sz w:val="24"/>
          <w:szCs w:val="24"/>
        </w:rPr>
        <w:t xml:space="preserve">and </w:t>
      </w:r>
      <w:r>
        <w:rPr>
          <w:rFonts w:ascii="Times New Roman" w:hAnsi="Times New Roman" w:cs="Times New Roman"/>
          <w:sz w:val="24"/>
          <w:szCs w:val="24"/>
          <w:highlight w:val="yellow"/>
        </w:rPr>
        <w:t>Y</w:t>
      </w:r>
      <w:r>
        <w:rPr>
          <w:rFonts w:ascii="Times New Roman" w:hAnsi="Times New Roman" w:cs="Times New Roman"/>
          <w:sz w:val="24"/>
          <w:szCs w:val="24"/>
        </w:rPr>
        <w:t>a</w:t>
      </w:r>
      <w:r>
        <w:rPr>
          <w:rFonts w:ascii="Times New Roman" w:hAnsi="Times New Roman" w:cs="Times New Roman"/>
          <w:sz w:val="24"/>
          <w:szCs w:val="24"/>
          <w:highlight w:val="yellow"/>
        </w:rPr>
        <w:t>dav</w:t>
      </w:r>
      <w:r>
        <w:rPr>
          <w:rFonts w:ascii="Times New Roman" w:hAnsi="Times New Roman" w:cs="Times New Roman"/>
          <w:sz w:val="24"/>
          <w:szCs w:val="24"/>
        </w:rPr>
        <w:t xml:space="preserve">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(2025).</w:t>
      </w:r>
    </w:p>
    <w:p w14:paraId="06EAA29A" w14:textId="77777777" w:rsidR="003555B9" w:rsidRDefault="00000000">
      <w:pPr>
        <w:spacing w:line="360" w:lineRule="auto"/>
        <w:jc w:val="both"/>
      </w:pPr>
      <w:r>
        <w:rPr>
          <w:rFonts w:ascii="Times New Roman" w:hAnsi="Times New Roman" w:cs="Times New Roman"/>
          <w:b/>
          <w:sz w:val="24"/>
          <w:szCs w:val="24"/>
        </w:rPr>
        <w:t xml:space="preserve">Pre-pupal and Pupal Periods: </w:t>
      </w:r>
      <w:r>
        <w:rPr>
          <w:rFonts w:ascii="Times New Roman" w:hAnsi="Times New Roman" w:cs="Times New Roman"/>
          <w:sz w:val="24"/>
          <w:szCs w:val="24"/>
        </w:rPr>
        <w:t>Fifth-instar larvae ceased feeding and became sluggish before pupation. The pre-pupal period ranged from 1</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to 2 days, with a mean duration of 1.70 ± 0.34 days, whereas the pupal period ranged from 8 to 11 days, with a mean of 9.58 ± 0.98 days </w:t>
      </w:r>
      <w:r>
        <w:rPr>
          <w:rFonts w:ascii="Times New Roman" w:hAnsi="Times New Roman" w:cs="Times New Roman"/>
          <w:sz w:val="24"/>
          <w:szCs w:val="24"/>
          <w:highlight w:val="yellow"/>
        </w:rPr>
        <w:t>(</w:t>
      </w:r>
      <w:r>
        <w:rPr>
          <w:rFonts w:ascii="Times New Roman" w:hAnsi="Times New Roman" w:cs="Times New Roman"/>
          <w:b/>
          <w:bCs/>
          <w:sz w:val="24"/>
          <w:szCs w:val="24"/>
        </w:rPr>
        <w:t>Table 1</w:t>
      </w:r>
      <w:r>
        <w:rPr>
          <w:rFonts w:ascii="Times New Roman" w:hAnsi="Times New Roman" w:cs="Times New Roman"/>
          <w:b/>
          <w:bCs/>
          <w:sz w:val="24"/>
          <w:szCs w:val="24"/>
          <w:highlight w:val="yellow"/>
        </w:rPr>
        <w:t>)</w:t>
      </w:r>
      <w:r>
        <w:rPr>
          <w:rFonts w:ascii="Times New Roman" w:hAnsi="Times New Roman" w:cs="Times New Roman"/>
          <w:b/>
          <w:bCs/>
          <w:sz w:val="24"/>
          <w:szCs w:val="24"/>
        </w:rPr>
        <w:t>.</w:t>
      </w:r>
      <w:r>
        <w:rPr>
          <w:rFonts w:ascii="Times New Roman" w:hAnsi="Times New Roman" w:cs="Times New Roman"/>
          <w:sz w:val="24"/>
          <w:szCs w:val="24"/>
        </w:rPr>
        <w:t xml:space="preserve"> The pupae were dark brown in colour. The pre-pupal duration was comparable to that reported by Patel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(2024), whereas the pupal duration was slightly longer than the 8.45 days reported by Wali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(2022) but comparable to the 9.00 ± 2.00 days reported by Kamal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(2026).</w:t>
      </w:r>
    </w:p>
    <w:p w14:paraId="726C9F48" w14:textId="77777777" w:rsidR="003555B9" w:rsidRDefault="00000000">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Total Developmental Period: </w:t>
      </w:r>
      <w:r>
        <w:rPr>
          <w:rFonts w:ascii="Times New Roman" w:hAnsi="Times New Roman" w:cs="Times New Roman"/>
          <w:sz w:val="24"/>
          <w:szCs w:val="24"/>
        </w:rPr>
        <w:t>The total developmental period from egg to adult emergence ranged from 25.60 to 33.40 days, with a mean of 29.28 ± 1.98 days (</w:t>
      </w:r>
      <w:r>
        <w:rPr>
          <w:rFonts w:ascii="Times New Roman" w:hAnsi="Times New Roman" w:cs="Times New Roman"/>
          <w:b/>
          <w:bCs/>
          <w:sz w:val="24"/>
          <w:szCs w:val="24"/>
        </w:rPr>
        <w:t>Table 1).</w:t>
      </w:r>
      <w:r>
        <w:rPr>
          <w:rFonts w:ascii="Times New Roman" w:hAnsi="Times New Roman" w:cs="Times New Roman"/>
          <w:sz w:val="24"/>
          <w:szCs w:val="24"/>
        </w:rPr>
        <w:t xml:space="preserve"> The observed duration was comparable to the 27.43 ± 1.75 days reported by </w:t>
      </w:r>
      <w:proofErr w:type="spellStart"/>
      <w:r>
        <w:rPr>
          <w:rFonts w:ascii="Times New Roman" w:hAnsi="Times New Roman" w:cs="Times New Roman"/>
          <w:sz w:val="24"/>
          <w:szCs w:val="24"/>
        </w:rPr>
        <w:t>Laichattiwar</w:t>
      </w:r>
      <w:proofErr w:type="spellEnd"/>
      <w:r>
        <w:rPr>
          <w:rFonts w:ascii="Times New Roman" w:hAnsi="Times New Roman" w:cs="Times New Roman"/>
          <w:sz w:val="24"/>
          <w:szCs w:val="24"/>
        </w:rPr>
        <w:t xml:space="preserve"> </w:t>
      </w:r>
      <w:r>
        <w:rPr>
          <w:rStyle w:val="Emphasis"/>
          <w:rFonts w:ascii="Times New Roman" w:hAnsi="Times New Roman" w:cs="Times New Roman"/>
          <w:sz w:val="24"/>
          <w:szCs w:val="24"/>
        </w:rPr>
        <w:t>et al.</w:t>
      </w:r>
      <w:r>
        <w:rPr>
          <w:rFonts w:ascii="Times New Roman" w:hAnsi="Times New Roman" w:cs="Times New Roman"/>
          <w:sz w:val="24"/>
          <w:szCs w:val="24"/>
        </w:rPr>
        <w:t xml:space="preserve"> (2017) and 31.3 days reported by Iesa (2021), but shorter than the 34.9 ± 2.19 days reported by Chiranjiv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(2023) (</w:t>
      </w:r>
      <w:r>
        <w:rPr>
          <w:rFonts w:ascii="Times New Roman" w:hAnsi="Times New Roman" w:cs="Times New Roman"/>
          <w:b/>
          <w:bCs/>
          <w:sz w:val="24"/>
          <w:szCs w:val="24"/>
        </w:rPr>
        <w:t>Plate 1).</w:t>
      </w:r>
    </w:p>
    <w:tbl>
      <w:tblPr>
        <w:tblpPr w:rightFromText="180" w:vertAnchor="text" w:horzAnchor="margin" w:tblpX="5" w:tblpY="371"/>
        <w:tblW w:w="8243" w:type="dxa"/>
        <w:tblLayout w:type="fixed"/>
        <w:tblLook w:val="04A0" w:firstRow="1" w:lastRow="0" w:firstColumn="1" w:lastColumn="0" w:noHBand="0" w:noVBand="1"/>
      </w:tblPr>
      <w:tblGrid>
        <w:gridCol w:w="4376"/>
        <w:gridCol w:w="1613"/>
        <w:gridCol w:w="2254"/>
      </w:tblGrid>
      <w:tr w:rsidR="003555B9" w14:paraId="3137F42D"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4C277A99" w14:textId="77777777" w:rsidR="003555B9" w:rsidRDefault="00000000">
            <w:pPr>
              <w:spacing w:after="0" w:line="240" w:lineRule="auto"/>
              <w:jc w:val="both"/>
            </w:pPr>
            <w:r>
              <w:rPr>
                <w:rFonts w:ascii="Times New Roman" w:eastAsia="Times New Roman" w:hAnsi="Times New Roman" w:cs="Times New Roman"/>
                <w:b/>
                <w:bCs/>
                <w:kern w:val="0"/>
                <w:sz w:val="24"/>
                <w:szCs w:val="24"/>
                <w:lang w:eastAsia="en-IN" w:bidi="hi-IN"/>
              </w:rPr>
              <w:t>Developmental Stages</w:t>
            </w:r>
          </w:p>
        </w:tc>
        <w:tc>
          <w:tcPr>
            <w:tcW w:w="1613" w:type="dxa"/>
            <w:tcBorders>
              <w:top w:val="single" w:sz="4" w:space="0" w:color="000000"/>
              <w:left w:val="single" w:sz="4" w:space="0" w:color="000000"/>
              <w:bottom w:val="single" w:sz="4" w:space="0" w:color="000000"/>
              <w:right w:val="single" w:sz="4" w:space="0" w:color="000000"/>
            </w:tcBorders>
            <w:vAlign w:val="bottom"/>
          </w:tcPr>
          <w:p w14:paraId="2197209E" w14:textId="77777777" w:rsidR="003555B9" w:rsidRDefault="00000000">
            <w:pPr>
              <w:spacing w:after="0" w:line="240" w:lineRule="auto"/>
              <w:jc w:val="center"/>
            </w:pPr>
            <w:r>
              <w:rPr>
                <w:rFonts w:ascii="Times New Roman" w:eastAsia="Times New Roman" w:hAnsi="Times New Roman" w:cs="Times New Roman"/>
                <w:b/>
                <w:bCs/>
                <w:kern w:val="0"/>
                <w:sz w:val="24"/>
                <w:szCs w:val="24"/>
                <w:lang w:eastAsia="en-IN" w:bidi="hi-IN"/>
              </w:rPr>
              <w:t>Range (Days)</w:t>
            </w:r>
          </w:p>
        </w:tc>
        <w:tc>
          <w:tcPr>
            <w:tcW w:w="2254" w:type="dxa"/>
            <w:tcBorders>
              <w:top w:val="single" w:sz="4" w:space="0" w:color="000000"/>
              <w:left w:val="single" w:sz="4" w:space="0" w:color="000000"/>
              <w:bottom w:val="single" w:sz="4" w:space="0" w:color="000000"/>
              <w:right w:val="single" w:sz="4" w:space="0" w:color="000000"/>
            </w:tcBorders>
            <w:vAlign w:val="bottom"/>
          </w:tcPr>
          <w:p w14:paraId="3DCB097E" w14:textId="77777777" w:rsidR="003555B9" w:rsidRDefault="00000000">
            <w:pPr>
              <w:spacing w:after="0" w:line="240" w:lineRule="auto"/>
              <w:jc w:val="center"/>
            </w:pPr>
            <w:r>
              <w:rPr>
                <w:rFonts w:ascii="Times New Roman" w:eastAsia="Times New Roman" w:hAnsi="Times New Roman" w:cs="Times New Roman"/>
                <w:b/>
                <w:bCs/>
                <w:kern w:val="0"/>
                <w:sz w:val="24"/>
                <w:szCs w:val="24"/>
                <w:lang w:eastAsia="en-IN" w:bidi="hi-IN"/>
              </w:rPr>
              <w:t>Mean ± S.D.</w:t>
            </w:r>
          </w:p>
        </w:tc>
      </w:tr>
      <w:tr w:rsidR="003555B9" w14:paraId="2520529F"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4A9F2E2D"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lastRenderedPageBreak/>
              <w:t>Incubation period</w:t>
            </w:r>
          </w:p>
        </w:tc>
        <w:tc>
          <w:tcPr>
            <w:tcW w:w="1613" w:type="dxa"/>
            <w:tcBorders>
              <w:top w:val="single" w:sz="4" w:space="0" w:color="000000"/>
              <w:left w:val="single" w:sz="4" w:space="0" w:color="000000"/>
              <w:bottom w:val="single" w:sz="4" w:space="0" w:color="000000"/>
              <w:right w:val="single" w:sz="4" w:space="0" w:color="000000"/>
            </w:tcBorders>
          </w:tcPr>
          <w:p w14:paraId="57BB474B"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3-5</w:t>
            </w:r>
          </w:p>
        </w:tc>
        <w:tc>
          <w:tcPr>
            <w:tcW w:w="2254" w:type="dxa"/>
            <w:tcBorders>
              <w:top w:val="single" w:sz="4" w:space="0" w:color="000000"/>
              <w:left w:val="single" w:sz="4" w:space="0" w:color="000000"/>
              <w:bottom w:val="single" w:sz="4" w:space="0" w:color="000000"/>
              <w:right w:val="single" w:sz="4" w:space="0" w:color="000000"/>
            </w:tcBorders>
          </w:tcPr>
          <w:p w14:paraId="46AAE502"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3.91 ± 0.64</w:t>
            </w:r>
          </w:p>
        </w:tc>
      </w:tr>
      <w:tr w:rsidR="003555B9" w14:paraId="101F9CBA"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640E6FE2"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Hatching percentage (%)</w:t>
            </w:r>
          </w:p>
        </w:tc>
        <w:tc>
          <w:tcPr>
            <w:tcW w:w="1613" w:type="dxa"/>
            <w:tcBorders>
              <w:top w:val="single" w:sz="4" w:space="0" w:color="000000"/>
              <w:left w:val="single" w:sz="4" w:space="0" w:color="000000"/>
              <w:bottom w:val="single" w:sz="4" w:space="0" w:color="000000"/>
              <w:right w:val="single" w:sz="4" w:space="0" w:color="000000"/>
            </w:tcBorders>
          </w:tcPr>
          <w:p w14:paraId="18E70DF1"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65-76%</w:t>
            </w:r>
          </w:p>
        </w:tc>
        <w:tc>
          <w:tcPr>
            <w:tcW w:w="2254" w:type="dxa"/>
            <w:tcBorders>
              <w:top w:val="single" w:sz="4" w:space="0" w:color="000000"/>
              <w:left w:val="single" w:sz="4" w:space="0" w:color="000000"/>
              <w:bottom w:val="single" w:sz="4" w:space="0" w:color="000000"/>
              <w:right w:val="single" w:sz="4" w:space="0" w:color="000000"/>
            </w:tcBorders>
          </w:tcPr>
          <w:p w14:paraId="730E8C0C"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68.96± 3.85%</w:t>
            </w:r>
          </w:p>
        </w:tc>
      </w:tr>
      <w:tr w:rsidR="003555B9" w14:paraId="4D064029"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27CC427F" w14:textId="77777777" w:rsidR="003555B9" w:rsidRDefault="00000000">
            <w:pPr>
              <w:spacing w:after="0" w:line="240" w:lineRule="auto"/>
              <w:jc w:val="both"/>
            </w:pPr>
            <w:r>
              <w:rPr>
                <w:rFonts w:ascii="Times New Roman" w:eastAsia="Times New Roman" w:hAnsi="Times New Roman" w:cs="Times New Roman"/>
                <w:b/>
                <w:bCs/>
                <w:kern w:val="0"/>
                <w:sz w:val="24"/>
                <w:szCs w:val="24"/>
                <w:lang w:eastAsia="en-IN" w:bidi="hi-IN"/>
              </w:rPr>
              <w:t>Larval period</w:t>
            </w:r>
          </w:p>
        </w:tc>
        <w:tc>
          <w:tcPr>
            <w:tcW w:w="1613" w:type="dxa"/>
            <w:tcBorders>
              <w:top w:val="single" w:sz="4" w:space="0" w:color="000000"/>
              <w:left w:val="single" w:sz="4" w:space="0" w:color="000000"/>
              <w:bottom w:val="single" w:sz="4" w:space="0" w:color="000000"/>
              <w:right w:val="single" w:sz="4" w:space="0" w:color="000000"/>
            </w:tcBorders>
          </w:tcPr>
          <w:p w14:paraId="621FBB15" w14:textId="77777777" w:rsidR="003555B9" w:rsidRDefault="003555B9">
            <w:pPr>
              <w:snapToGrid w:val="0"/>
              <w:spacing w:after="0" w:line="240" w:lineRule="auto"/>
              <w:jc w:val="center"/>
              <w:rPr>
                <w:rFonts w:ascii="Times New Roman" w:eastAsia="Times New Roman" w:hAnsi="Times New Roman" w:cs="Times New Roman"/>
                <w:b/>
                <w:bCs/>
                <w:kern w:val="0"/>
                <w:sz w:val="24"/>
                <w:szCs w:val="24"/>
                <w:lang w:eastAsia="en-IN" w:bidi="hi-IN"/>
              </w:rPr>
            </w:pPr>
          </w:p>
        </w:tc>
        <w:tc>
          <w:tcPr>
            <w:tcW w:w="2254" w:type="dxa"/>
            <w:tcBorders>
              <w:top w:val="single" w:sz="4" w:space="0" w:color="000000"/>
              <w:left w:val="single" w:sz="4" w:space="0" w:color="000000"/>
              <w:bottom w:val="single" w:sz="4" w:space="0" w:color="000000"/>
              <w:right w:val="single" w:sz="4" w:space="0" w:color="000000"/>
            </w:tcBorders>
          </w:tcPr>
          <w:p w14:paraId="7658F043" w14:textId="77777777" w:rsidR="003555B9" w:rsidRDefault="003555B9">
            <w:pPr>
              <w:snapToGrid w:val="0"/>
              <w:spacing w:after="0" w:line="240" w:lineRule="auto"/>
              <w:jc w:val="center"/>
              <w:rPr>
                <w:rFonts w:ascii="Times New Roman" w:eastAsia="Times New Roman" w:hAnsi="Times New Roman" w:cs="Times New Roman"/>
                <w:b/>
                <w:bCs/>
                <w:kern w:val="0"/>
                <w:sz w:val="24"/>
                <w:szCs w:val="24"/>
                <w:lang w:eastAsia="en-IN" w:bidi="hi-IN"/>
              </w:rPr>
            </w:pPr>
          </w:p>
        </w:tc>
      </w:tr>
      <w:tr w:rsidR="003555B9" w14:paraId="1A8FC043"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03D84E9F"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I instar</w:t>
            </w:r>
          </w:p>
        </w:tc>
        <w:tc>
          <w:tcPr>
            <w:tcW w:w="1613" w:type="dxa"/>
            <w:tcBorders>
              <w:top w:val="single" w:sz="4" w:space="0" w:color="000000"/>
              <w:left w:val="single" w:sz="4" w:space="0" w:color="000000"/>
              <w:bottom w:val="single" w:sz="4" w:space="0" w:color="000000"/>
              <w:right w:val="single" w:sz="4" w:space="0" w:color="000000"/>
            </w:tcBorders>
          </w:tcPr>
          <w:p w14:paraId="1C4CE88E"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1-2</w:t>
            </w:r>
          </w:p>
        </w:tc>
        <w:tc>
          <w:tcPr>
            <w:tcW w:w="2254" w:type="dxa"/>
            <w:tcBorders>
              <w:top w:val="single" w:sz="4" w:space="0" w:color="000000"/>
              <w:left w:val="single" w:sz="4" w:space="0" w:color="000000"/>
              <w:bottom w:val="single" w:sz="4" w:space="0" w:color="000000"/>
              <w:right w:val="single" w:sz="4" w:space="0" w:color="000000"/>
            </w:tcBorders>
          </w:tcPr>
          <w:p w14:paraId="4D824B4E"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1.46 ± 0.38</w:t>
            </w:r>
          </w:p>
        </w:tc>
      </w:tr>
      <w:tr w:rsidR="003555B9" w14:paraId="09048A87"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17CF8469"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II instar</w:t>
            </w:r>
          </w:p>
        </w:tc>
        <w:tc>
          <w:tcPr>
            <w:tcW w:w="1613" w:type="dxa"/>
            <w:tcBorders>
              <w:top w:val="single" w:sz="4" w:space="0" w:color="000000"/>
              <w:left w:val="single" w:sz="4" w:space="0" w:color="000000"/>
              <w:bottom w:val="single" w:sz="4" w:space="0" w:color="000000"/>
              <w:right w:val="single" w:sz="4" w:space="0" w:color="000000"/>
            </w:tcBorders>
          </w:tcPr>
          <w:p w14:paraId="0F178138"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2-3</w:t>
            </w:r>
          </w:p>
        </w:tc>
        <w:tc>
          <w:tcPr>
            <w:tcW w:w="2254" w:type="dxa"/>
            <w:tcBorders>
              <w:top w:val="single" w:sz="4" w:space="0" w:color="000000"/>
              <w:left w:val="single" w:sz="4" w:space="0" w:color="000000"/>
              <w:bottom w:val="single" w:sz="4" w:space="0" w:color="000000"/>
              <w:right w:val="single" w:sz="4" w:space="0" w:color="000000"/>
            </w:tcBorders>
          </w:tcPr>
          <w:p w14:paraId="13C5095A"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2.58 ± 0.36</w:t>
            </w:r>
          </w:p>
        </w:tc>
      </w:tr>
      <w:tr w:rsidR="003555B9" w14:paraId="04AC6FCA"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0E4325CD"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III instar</w:t>
            </w:r>
          </w:p>
        </w:tc>
        <w:tc>
          <w:tcPr>
            <w:tcW w:w="1613" w:type="dxa"/>
            <w:tcBorders>
              <w:top w:val="single" w:sz="4" w:space="0" w:color="000000"/>
              <w:left w:val="single" w:sz="4" w:space="0" w:color="000000"/>
              <w:bottom w:val="single" w:sz="4" w:space="0" w:color="000000"/>
              <w:right w:val="single" w:sz="4" w:space="0" w:color="000000"/>
            </w:tcBorders>
          </w:tcPr>
          <w:p w14:paraId="410DEB43"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2-4</w:t>
            </w:r>
          </w:p>
        </w:tc>
        <w:tc>
          <w:tcPr>
            <w:tcW w:w="2254" w:type="dxa"/>
            <w:tcBorders>
              <w:top w:val="single" w:sz="4" w:space="0" w:color="000000"/>
              <w:left w:val="single" w:sz="4" w:space="0" w:color="000000"/>
              <w:bottom w:val="single" w:sz="4" w:space="0" w:color="000000"/>
              <w:right w:val="single" w:sz="4" w:space="0" w:color="000000"/>
            </w:tcBorders>
          </w:tcPr>
          <w:p w14:paraId="4E072F3F"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2.79 ± 0.67</w:t>
            </w:r>
          </w:p>
        </w:tc>
      </w:tr>
      <w:tr w:rsidR="003555B9" w14:paraId="0C6D697B"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66493B13"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IV instar</w:t>
            </w:r>
          </w:p>
        </w:tc>
        <w:tc>
          <w:tcPr>
            <w:tcW w:w="1613" w:type="dxa"/>
            <w:tcBorders>
              <w:top w:val="single" w:sz="4" w:space="0" w:color="000000"/>
              <w:left w:val="single" w:sz="4" w:space="0" w:color="000000"/>
              <w:bottom w:val="single" w:sz="4" w:space="0" w:color="000000"/>
              <w:right w:val="single" w:sz="4" w:space="0" w:color="000000"/>
            </w:tcBorders>
          </w:tcPr>
          <w:p w14:paraId="226C2591"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3-4</w:t>
            </w:r>
          </w:p>
        </w:tc>
        <w:tc>
          <w:tcPr>
            <w:tcW w:w="2254" w:type="dxa"/>
            <w:tcBorders>
              <w:top w:val="single" w:sz="4" w:space="0" w:color="000000"/>
              <w:left w:val="single" w:sz="4" w:space="0" w:color="000000"/>
              <w:bottom w:val="single" w:sz="4" w:space="0" w:color="000000"/>
              <w:right w:val="single" w:sz="4" w:space="0" w:color="000000"/>
            </w:tcBorders>
          </w:tcPr>
          <w:p w14:paraId="29E9E11A"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3.51 ± 0.44</w:t>
            </w:r>
          </w:p>
        </w:tc>
      </w:tr>
      <w:tr w:rsidR="003555B9" w14:paraId="58A4FBC0"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5C744EA7"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V instar</w:t>
            </w:r>
          </w:p>
        </w:tc>
        <w:tc>
          <w:tcPr>
            <w:tcW w:w="1613" w:type="dxa"/>
            <w:tcBorders>
              <w:top w:val="single" w:sz="4" w:space="0" w:color="000000"/>
              <w:left w:val="single" w:sz="4" w:space="0" w:color="000000"/>
              <w:bottom w:val="single" w:sz="4" w:space="0" w:color="000000"/>
              <w:right w:val="single" w:sz="4" w:space="0" w:color="000000"/>
            </w:tcBorders>
          </w:tcPr>
          <w:p w14:paraId="74FA34A2"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3-4</w:t>
            </w:r>
          </w:p>
        </w:tc>
        <w:tc>
          <w:tcPr>
            <w:tcW w:w="2254" w:type="dxa"/>
            <w:tcBorders>
              <w:top w:val="single" w:sz="4" w:space="0" w:color="000000"/>
              <w:left w:val="single" w:sz="4" w:space="0" w:color="000000"/>
              <w:bottom w:val="single" w:sz="4" w:space="0" w:color="000000"/>
              <w:right w:val="single" w:sz="4" w:space="0" w:color="000000"/>
            </w:tcBorders>
          </w:tcPr>
          <w:p w14:paraId="3DC20E22"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3.75 ± 0.30</w:t>
            </w:r>
          </w:p>
        </w:tc>
      </w:tr>
      <w:tr w:rsidR="003555B9" w14:paraId="4FB00E73"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4C5AE6F1"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Total larval period</w:t>
            </w:r>
          </w:p>
        </w:tc>
        <w:tc>
          <w:tcPr>
            <w:tcW w:w="1613" w:type="dxa"/>
            <w:tcBorders>
              <w:top w:val="single" w:sz="4" w:space="0" w:color="000000"/>
              <w:left w:val="single" w:sz="4" w:space="0" w:color="000000"/>
              <w:bottom w:val="single" w:sz="4" w:space="0" w:color="000000"/>
              <w:right w:val="single" w:sz="4" w:space="0" w:color="000000"/>
            </w:tcBorders>
          </w:tcPr>
          <w:p w14:paraId="565A7E7F"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12.40 -17.00</w:t>
            </w:r>
          </w:p>
        </w:tc>
        <w:tc>
          <w:tcPr>
            <w:tcW w:w="2254" w:type="dxa"/>
            <w:tcBorders>
              <w:top w:val="single" w:sz="4" w:space="0" w:color="000000"/>
              <w:left w:val="single" w:sz="4" w:space="0" w:color="000000"/>
              <w:bottom w:val="single" w:sz="4" w:space="0" w:color="000000"/>
              <w:right w:val="single" w:sz="4" w:space="0" w:color="000000"/>
            </w:tcBorders>
          </w:tcPr>
          <w:p w14:paraId="68B3AAE5"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14.09 ± 1.20</w:t>
            </w:r>
          </w:p>
        </w:tc>
      </w:tr>
      <w:tr w:rsidR="003555B9" w14:paraId="688A40CD"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302723E6"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Pre-pupal period</w:t>
            </w:r>
          </w:p>
        </w:tc>
        <w:tc>
          <w:tcPr>
            <w:tcW w:w="1613" w:type="dxa"/>
            <w:tcBorders>
              <w:top w:val="single" w:sz="4" w:space="0" w:color="000000"/>
              <w:left w:val="single" w:sz="4" w:space="0" w:color="000000"/>
              <w:bottom w:val="single" w:sz="4" w:space="0" w:color="000000"/>
              <w:right w:val="single" w:sz="4" w:space="0" w:color="000000"/>
            </w:tcBorders>
          </w:tcPr>
          <w:p w14:paraId="68990B64"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1-2</w:t>
            </w:r>
          </w:p>
        </w:tc>
        <w:tc>
          <w:tcPr>
            <w:tcW w:w="2254" w:type="dxa"/>
            <w:tcBorders>
              <w:top w:val="single" w:sz="4" w:space="0" w:color="000000"/>
              <w:left w:val="single" w:sz="4" w:space="0" w:color="000000"/>
              <w:bottom w:val="single" w:sz="4" w:space="0" w:color="000000"/>
              <w:right w:val="single" w:sz="4" w:space="0" w:color="000000"/>
            </w:tcBorders>
          </w:tcPr>
          <w:p w14:paraId="5256D730"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1.70 ± 0.34</w:t>
            </w:r>
          </w:p>
        </w:tc>
      </w:tr>
      <w:tr w:rsidR="003555B9" w14:paraId="4D4DF049"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1AE4D5B0" w14:textId="77777777" w:rsidR="003555B9" w:rsidRDefault="00000000">
            <w:pPr>
              <w:spacing w:after="0" w:line="240" w:lineRule="auto"/>
              <w:jc w:val="both"/>
              <w:rPr>
                <w:rFonts w:ascii="Times New Roman" w:eastAsia="Times New Roman" w:hAnsi="Times New Roman" w:cs="Times New Roman"/>
                <w:color w:val="000000"/>
                <w:kern w:val="0"/>
                <w:sz w:val="24"/>
                <w:szCs w:val="24"/>
                <w:lang w:eastAsia="en-IN" w:bidi="hi-IN"/>
              </w:rPr>
            </w:pPr>
            <w:r>
              <w:rPr>
                <w:rFonts w:ascii="Times New Roman" w:eastAsia="Times New Roman" w:hAnsi="Times New Roman" w:cs="Times New Roman"/>
                <w:color w:val="000000"/>
                <w:kern w:val="0"/>
                <w:sz w:val="24"/>
                <w:szCs w:val="24"/>
                <w:lang w:eastAsia="en-IN" w:bidi="hi-IN"/>
              </w:rPr>
              <w:t>Pupal Period</w:t>
            </w:r>
          </w:p>
        </w:tc>
        <w:tc>
          <w:tcPr>
            <w:tcW w:w="1613" w:type="dxa"/>
            <w:tcBorders>
              <w:top w:val="single" w:sz="4" w:space="0" w:color="000000"/>
              <w:left w:val="single" w:sz="4" w:space="0" w:color="000000"/>
              <w:bottom w:val="single" w:sz="4" w:space="0" w:color="000000"/>
              <w:right w:val="single" w:sz="4" w:space="0" w:color="000000"/>
            </w:tcBorders>
          </w:tcPr>
          <w:p w14:paraId="57E672EA"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8-11</w:t>
            </w:r>
          </w:p>
        </w:tc>
        <w:tc>
          <w:tcPr>
            <w:tcW w:w="2254" w:type="dxa"/>
            <w:tcBorders>
              <w:top w:val="single" w:sz="4" w:space="0" w:color="000000"/>
              <w:left w:val="single" w:sz="4" w:space="0" w:color="000000"/>
              <w:bottom w:val="single" w:sz="4" w:space="0" w:color="000000"/>
              <w:right w:val="single" w:sz="4" w:space="0" w:color="000000"/>
            </w:tcBorders>
          </w:tcPr>
          <w:p w14:paraId="3ED35AC4"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9.58 ± 0.98</w:t>
            </w:r>
          </w:p>
        </w:tc>
      </w:tr>
      <w:tr w:rsidR="003555B9" w14:paraId="555D8382"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42080D9E" w14:textId="77777777" w:rsidR="003555B9" w:rsidRDefault="00000000">
            <w:pPr>
              <w:spacing w:after="0" w:line="240" w:lineRule="auto"/>
              <w:jc w:val="both"/>
              <w:rPr>
                <w:rFonts w:ascii="Times New Roman" w:eastAsia="Times New Roman" w:hAnsi="Times New Roman" w:cs="Times New Roman"/>
                <w:b/>
                <w:bCs/>
                <w:kern w:val="0"/>
                <w:sz w:val="24"/>
                <w:szCs w:val="24"/>
                <w:lang w:eastAsia="en-IN" w:bidi="hi-IN"/>
              </w:rPr>
            </w:pPr>
            <w:r>
              <w:rPr>
                <w:rFonts w:ascii="Times New Roman" w:eastAsia="Times New Roman" w:hAnsi="Times New Roman" w:cs="Times New Roman"/>
                <w:b/>
                <w:bCs/>
                <w:kern w:val="0"/>
                <w:sz w:val="24"/>
                <w:szCs w:val="24"/>
                <w:lang w:eastAsia="en-IN" w:bidi="hi-IN"/>
              </w:rPr>
              <w:t>Total Developmental Period</w:t>
            </w:r>
          </w:p>
        </w:tc>
        <w:tc>
          <w:tcPr>
            <w:tcW w:w="1613" w:type="dxa"/>
            <w:tcBorders>
              <w:top w:val="single" w:sz="4" w:space="0" w:color="000000"/>
              <w:left w:val="single" w:sz="4" w:space="0" w:color="000000"/>
              <w:bottom w:val="single" w:sz="4" w:space="0" w:color="000000"/>
              <w:right w:val="single" w:sz="4" w:space="0" w:color="000000"/>
            </w:tcBorders>
          </w:tcPr>
          <w:p w14:paraId="49FF2BDB" w14:textId="77777777" w:rsidR="003555B9" w:rsidRDefault="00000000">
            <w:pPr>
              <w:spacing w:after="0" w:line="240" w:lineRule="auto"/>
              <w:rPr>
                <w:rFonts w:ascii="Times New Roman" w:eastAsia="Times New Roman" w:hAnsi="Times New Roman" w:cs="Times New Roman"/>
                <w:b/>
                <w:bCs/>
                <w:color w:val="000000"/>
                <w:kern w:val="0"/>
                <w:sz w:val="24"/>
                <w:szCs w:val="24"/>
                <w:lang w:eastAsia="en-IN" w:bidi="hi-IN"/>
              </w:rPr>
            </w:pPr>
            <w:r>
              <w:rPr>
                <w:rFonts w:ascii="Times New Roman" w:hAnsi="Times New Roman" w:cs="Times New Roman"/>
                <w:sz w:val="24"/>
                <w:szCs w:val="24"/>
              </w:rPr>
              <w:t>25.60–33.40</w:t>
            </w:r>
          </w:p>
        </w:tc>
        <w:tc>
          <w:tcPr>
            <w:tcW w:w="2254" w:type="dxa"/>
            <w:tcBorders>
              <w:top w:val="single" w:sz="4" w:space="0" w:color="000000"/>
              <w:left w:val="single" w:sz="4" w:space="0" w:color="000000"/>
              <w:bottom w:val="single" w:sz="4" w:space="0" w:color="000000"/>
              <w:right w:val="single" w:sz="4" w:space="0" w:color="000000"/>
            </w:tcBorders>
          </w:tcPr>
          <w:p w14:paraId="5D425902" w14:textId="77777777" w:rsidR="003555B9" w:rsidRDefault="00000000">
            <w:pPr>
              <w:spacing w:after="0" w:line="240" w:lineRule="auto"/>
              <w:rPr>
                <w:rFonts w:ascii="Times New Roman" w:eastAsia="Times New Roman" w:hAnsi="Times New Roman" w:cs="Times New Roman"/>
                <w:b/>
                <w:bCs/>
                <w:color w:val="000000"/>
                <w:kern w:val="0"/>
                <w:sz w:val="24"/>
                <w:szCs w:val="24"/>
                <w:lang w:eastAsia="en-IN" w:bidi="hi-IN"/>
              </w:rPr>
            </w:pPr>
            <w:r>
              <w:rPr>
                <w:rFonts w:ascii="Times New Roman" w:hAnsi="Times New Roman" w:cs="Times New Roman"/>
                <w:sz w:val="24"/>
                <w:szCs w:val="24"/>
              </w:rPr>
              <w:t>29.28 ± 1.98</w:t>
            </w:r>
          </w:p>
        </w:tc>
      </w:tr>
      <w:tr w:rsidR="003555B9" w14:paraId="7F99940F"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7F8AEDA3" w14:textId="77777777" w:rsidR="003555B9" w:rsidRDefault="00000000">
            <w:pPr>
              <w:spacing w:after="0" w:line="240" w:lineRule="auto"/>
              <w:jc w:val="both"/>
            </w:pPr>
            <w:r>
              <w:rPr>
                <w:rFonts w:ascii="Times New Roman" w:eastAsia="Times New Roman" w:hAnsi="Times New Roman" w:cs="Times New Roman"/>
                <w:b/>
                <w:bCs/>
                <w:kern w:val="0"/>
                <w:sz w:val="24"/>
                <w:szCs w:val="24"/>
                <w:lang w:eastAsia="en-IN" w:bidi="hi-IN"/>
              </w:rPr>
              <w:t>Adult longevity</w:t>
            </w:r>
          </w:p>
        </w:tc>
        <w:tc>
          <w:tcPr>
            <w:tcW w:w="1613" w:type="dxa"/>
            <w:tcBorders>
              <w:top w:val="single" w:sz="4" w:space="0" w:color="000000"/>
              <w:left w:val="single" w:sz="4" w:space="0" w:color="000000"/>
              <w:bottom w:val="single" w:sz="4" w:space="0" w:color="000000"/>
              <w:right w:val="single" w:sz="4" w:space="0" w:color="000000"/>
            </w:tcBorders>
          </w:tcPr>
          <w:p w14:paraId="0FCB7723" w14:textId="77777777" w:rsidR="003555B9" w:rsidRDefault="003555B9">
            <w:pPr>
              <w:snapToGrid w:val="0"/>
              <w:spacing w:after="0" w:line="240" w:lineRule="auto"/>
              <w:jc w:val="center"/>
              <w:rPr>
                <w:rFonts w:ascii="Times New Roman" w:eastAsia="Times New Roman" w:hAnsi="Times New Roman" w:cs="Times New Roman"/>
                <w:b/>
                <w:bCs/>
                <w:kern w:val="0"/>
                <w:sz w:val="24"/>
                <w:szCs w:val="24"/>
                <w:lang w:eastAsia="en-IN" w:bidi="hi-IN"/>
              </w:rPr>
            </w:pPr>
          </w:p>
        </w:tc>
        <w:tc>
          <w:tcPr>
            <w:tcW w:w="2254" w:type="dxa"/>
            <w:tcBorders>
              <w:top w:val="single" w:sz="4" w:space="0" w:color="000000"/>
              <w:left w:val="single" w:sz="4" w:space="0" w:color="000000"/>
              <w:bottom w:val="single" w:sz="4" w:space="0" w:color="000000"/>
              <w:right w:val="single" w:sz="4" w:space="0" w:color="000000"/>
            </w:tcBorders>
          </w:tcPr>
          <w:p w14:paraId="0BA62301" w14:textId="77777777" w:rsidR="003555B9" w:rsidRDefault="003555B9">
            <w:pPr>
              <w:snapToGrid w:val="0"/>
              <w:spacing w:after="0" w:line="240" w:lineRule="auto"/>
              <w:jc w:val="center"/>
              <w:rPr>
                <w:rFonts w:ascii="Times New Roman" w:eastAsia="Times New Roman" w:hAnsi="Times New Roman" w:cs="Times New Roman"/>
                <w:b/>
                <w:bCs/>
                <w:color w:val="000000"/>
                <w:kern w:val="0"/>
                <w:sz w:val="24"/>
                <w:szCs w:val="24"/>
                <w:lang w:eastAsia="en-IN" w:bidi="hi-IN"/>
              </w:rPr>
            </w:pPr>
          </w:p>
        </w:tc>
      </w:tr>
      <w:tr w:rsidR="003555B9" w14:paraId="4FA4A5FB"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41D1F437" w14:textId="77777777" w:rsidR="003555B9" w:rsidRDefault="00000000">
            <w:pPr>
              <w:spacing w:after="0" w:line="240" w:lineRule="auto"/>
              <w:jc w:val="both"/>
              <w:rPr>
                <w:rFonts w:ascii="Times New Roman" w:eastAsia="Times New Roman" w:hAnsi="Times New Roman" w:cs="Times New Roman"/>
                <w:color w:val="000000"/>
                <w:kern w:val="0"/>
                <w:sz w:val="24"/>
                <w:szCs w:val="24"/>
                <w:lang w:eastAsia="en-IN" w:bidi="hi-IN"/>
              </w:rPr>
            </w:pPr>
            <w:r>
              <w:rPr>
                <w:rFonts w:ascii="Times New Roman" w:eastAsia="Times New Roman" w:hAnsi="Times New Roman" w:cs="Times New Roman"/>
                <w:color w:val="000000"/>
                <w:kern w:val="0"/>
                <w:sz w:val="24"/>
                <w:szCs w:val="24"/>
                <w:lang w:eastAsia="en-IN" w:bidi="hi-IN"/>
              </w:rPr>
              <w:t>Male</w:t>
            </w:r>
          </w:p>
        </w:tc>
        <w:tc>
          <w:tcPr>
            <w:tcW w:w="1613" w:type="dxa"/>
            <w:tcBorders>
              <w:top w:val="single" w:sz="4" w:space="0" w:color="000000"/>
              <w:left w:val="single" w:sz="4" w:space="0" w:color="000000"/>
              <w:bottom w:val="single" w:sz="4" w:space="0" w:color="000000"/>
              <w:right w:val="single" w:sz="4" w:space="0" w:color="000000"/>
            </w:tcBorders>
          </w:tcPr>
          <w:p w14:paraId="2E92CA0F"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3-5</w:t>
            </w:r>
          </w:p>
        </w:tc>
        <w:tc>
          <w:tcPr>
            <w:tcW w:w="2254" w:type="dxa"/>
            <w:tcBorders>
              <w:top w:val="single" w:sz="4" w:space="0" w:color="000000"/>
              <w:left w:val="single" w:sz="4" w:space="0" w:color="000000"/>
              <w:bottom w:val="single" w:sz="4" w:space="0" w:color="000000"/>
              <w:right w:val="single" w:sz="4" w:space="0" w:color="000000"/>
            </w:tcBorders>
          </w:tcPr>
          <w:p w14:paraId="505E6063"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4.0 ± 0.76</w:t>
            </w:r>
          </w:p>
        </w:tc>
      </w:tr>
      <w:tr w:rsidR="003555B9" w14:paraId="36457CF9"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7A807D39" w14:textId="77777777" w:rsidR="003555B9" w:rsidRDefault="00000000">
            <w:pPr>
              <w:spacing w:after="0" w:line="240" w:lineRule="auto"/>
              <w:jc w:val="both"/>
              <w:rPr>
                <w:rFonts w:ascii="Times New Roman" w:eastAsia="Times New Roman" w:hAnsi="Times New Roman" w:cs="Times New Roman"/>
                <w:color w:val="000000"/>
                <w:kern w:val="0"/>
                <w:sz w:val="24"/>
                <w:szCs w:val="24"/>
                <w:lang w:eastAsia="en-IN" w:bidi="hi-IN"/>
              </w:rPr>
            </w:pPr>
            <w:r>
              <w:rPr>
                <w:rFonts w:ascii="Times New Roman" w:eastAsia="Times New Roman" w:hAnsi="Times New Roman" w:cs="Times New Roman"/>
                <w:color w:val="000000"/>
                <w:kern w:val="0"/>
                <w:sz w:val="24"/>
                <w:szCs w:val="24"/>
                <w:lang w:eastAsia="en-IN" w:bidi="hi-IN"/>
              </w:rPr>
              <w:t>Female</w:t>
            </w:r>
          </w:p>
        </w:tc>
        <w:tc>
          <w:tcPr>
            <w:tcW w:w="1613" w:type="dxa"/>
            <w:tcBorders>
              <w:top w:val="single" w:sz="4" w:space="0" w:color="000000"/>
              <w:left w:val="single" w:sz="4" w:space="0" w:color="000000"/>
              <w:bottom w:val="single" w:sz="4" w:space="0" w:color="000000"/>
              <w:right w:val="single" w:sz="4" w:space="0" w:color="000000"/>
            </w:tcBorders>
          </w:tcPr>
          <w:p w14:paraId="2E50FB41"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4-7</w:t>
            </w:r>
          </w:p>
        </w:tc>
        <w:tc>
          <w:tcPr>
            <w:tcW w:w="2254" w:type="dxa"/>
            <w:tcBorders>
              <w:top w:val="single" w:sz="4" w:space="0" w:color="000000"/>
              <w:left w:val="single" w:sz="4" w:space="0" w:color="000000"/>
              <w:bottom w:val="single" w:sz="4" w:space="0" w:color="000000"/>
              <w:right w:val="single" w:sz="4" w:space="0" w:color="000000"/>
            </w:tcBorders>
          </w:tcPr>
          <w:p w14:paraId="73C3B6B7"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5.4 ± 1.08</w:t>
            </w:r>
          </w:p>
        </w:tc>
      </w:tr>
      <w:tr w:rsidR="003555B9" w14:paraId="424CFC0B"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22D824EA"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Pre-oviposition period</w:t>
            </w:r>
          </w:p>
        </w:tc>
        <w:tc>
          <w:tcPr>
            <w:tcW w:w="1613" w:type="dxa"/>
            <w:tcBorders>
              <w:top w:val="single" w:sz="4" w:space="0" w:color="000000"/>
              <w:left w:val="single" w:sz="4" w:space="0" w:color="000000"/>
              <w:bottom w:val="single" w:sz="4" w:space="0" w:color="000000"/>
              <w:right w:val="single" w:sz="4" w:space="0" w:color="000000"/>
            </w:tcBorders>
          </w:tcPr>
          <w:p w14:paraId="590CF149"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1-2</w:t>
            </w:r>
          </w:p>
        </w:tc>
        <w:tc>
          <w:tcPr>
            <w:tcW w:w="2254" w:type="dxa"/>
            <w:tcBorders>
              <w:top w:val="single" w:sz="4" w:space="0" w:color="000000"/>
              <w:left w:val="single" w:sz="4" w:space="0" w:color="000000"/>
              <w:bottom w:val="single" w:sz="4" w:space="0" w:color="000000"/>
              <w:right w:val="single" w:sz="4" w:space="0" w:color="000000"/>
            </w:tcBorders>
          </w:tcPr>
          <w:p w14:paraId="609153E9"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1.65 ± 0.32</w:t>
            </w:r>
          </w:p>
        </w:tc>
      </w:tr>
      <w:tr w:rsidR="003555B9" w14:paraId="3A395F8E"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1E6E0924"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Oviposition period</w:t>
            </w:r>
          </w:p>
        </w:tc>
        <w:tc>
          <w:tcPr>
            <w:tcW w:w="1613" w:type="dxa"/>
            <w:tcBorders>
              <w:top w:val="single" w:sz="4" w:space="0" w:color="000000"/>
              <w:left w:val="single" w:sz="4" w:space="0" w:color="000000"/>
              <w:bottom w:val="single" w:sz="4" w:space="0" w:color="000000"/>
              <w:right w:val="single" w:sz="4" w:space="0" w:color="000000"/>
            </w:tcBorders>
          </w:tcPr>
          <w:p w14:paraId="7E616711"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3-4</w:t>
            </w:r>
          </w:p>
        </w:tc>
        <w:tc>
          <w:tcPr>
            <w:tcW w:w="2254" w:type="dxa"/>
            <w:tcBorders>
              <w:top w:val="single" w:sz="4" w:space="0" w:color="000000"/>
              <w:left w:val="single" w:sz="4" w:space="0" w:color="000000"/>
              <w:bottom w:val="single" w:sz="4" w:space="0" w:color="000000"/>
              <w:right w:val="single" w:sz="4" w:space="0" w:color="000000"/>
            </w:tcBorders>
          </w:tcPr>
          <w:p w14:paraId="79BBF1D5"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3.69 ± 0.33</w:t>
            </w:r>
          </w:p>
        </w:tc>
      </w:tr>
      <w:tr w:rsidR="003555B9" w14:paraId="7B57065F"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4613A912"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Post-oviposition period</w:t>
            </w:r>
          </w:p>
        </w:tc>
        <w:tc>
          <w:tcPr>
            <w:tcW w:w="1613" w:type="dxa"/>
            <w:tcBorders>
              <w:top w:val="single" w:sz="4" w:space="0" w:color="000000"/>
              <w:left w:val="single" w:sz="4" w:space="0" w:color="000000"/>
              <w:bottom w:val="single" w:sz="4" w:space="0" w:color="000000"/>
              <w:right w:val="single" w:sz="4" w:space="0" w:color="000000"/>
            </w:tcBorders>
          </w:tcPr>
          <w:p w14:paraId="7B49F33F"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1-2</w:t>
            </w:r>
          </w:p>
        </w:tc>
        <w:tc>
          <w:tcPr>
            <w:tcW w:w="2254" w:type="dxa"/>
            <w:tcBorders>
              <w:top w:val="single" w:sz="4" w:space="0" w:color="000000"/>
              <w:left w:val="single" w:sz="4" w:space="0" w:color="000000"/>
              <w:bottom w:val="single" w:sz="4" w:space="0" w:color="000000"/>
              <w:right w:val="single" w:sz="4" w:space="0" w:color="000000"/>
            </w:tcBorders>
          </w:tcPr>
          <w:p w14:paraId="5F05C4AD"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1.74 ± 0.31</w:t>
            </w:r>
          </w:p>
        </w:tc>
      </w:tr>
      <w:tr w:rsidR="003555B9" w14:paraId="65C3D9BA"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549C6F6F"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Fecundity (eggs/female)</w:t>
            </w:r>
          </w:p>
        </w:tc>
        <w:tc>
          <w:tcPr>
            <w:tcW w:w="1613" w:type="dxa"/>
            <w:tcBorders>
              <w:top w:val="single" w:sz="4" w:space="0" w:color="000000"/>
              <w:left w:val="single" w:sz="4" w:space="0" w:color="000000"/>
              <w:bottom w:val="single" w:sz="4" w:space="0" w:color="000000"/>
              <w:right w:val="single" w:sz="4" w:space="0" w:color="000000"/>
            </w:tcBorders>
          </w:tcPr>
          <w:p w14:paraId="106BD828"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170–205</w:t>
            </w:r>
          </w:p>
        </w:tc>
        <w:tc>
          <w:tcPr>
            <w:tcW w:w="2254" w:type="dxa"/>
            <w:tcBorders>
              <w:top w:val="single" w:sz="4" w:space="0" w:color="000000"/>
              <w:left w:val="single" w:sz="4" w:space="0" w:color="000000"/>
              <w:bottom w:val="single" w:sz="4" w:space="0" w:color="000000"/>
              <w:right w:val="single" w:sz="4" w:space="0" w:color="000000"/>
            </w:tcBorders>
          </w:tcPr>
          <w:p w14:paraId="1450406A"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sz w:val="24"/>
                <w:szCs w:val="24"/>
              </w:rPr>
              <w:t>178.28 ±11.61</w:t>
            </w:r>
          </w:p>
        </w:tc>
      </w:tr>
      <w:tr w:rsidR="003555B9" w14:paraId="29387609" w14:textId="77777777">
        <w:trPr>
          <w:trHeight w:val="250"/>
        </w:trPr>
        <w:tc>
          <w:tcPr>
            <w:tcW w:w="4376" w:type="dxa"/>
            <w:tcBorders>
              <w:top w:val="single" w:sz="4" w:space="0" w:color="000000"/>
              <w:left w:val="single" w:sz="4" w:space="0" w:color="000000"/>
              <w:bottom w:val="single" w:sz="4" w:space="0" w:color="000000"/>
              <w:right w:val="single" w:sz="4" w:space="0" w:color="000000"/>
            </w:tcBorders>
            <w:vAlign w:val="bottom"/>
          </w:tcPr>
          <w:p w14:paraId="2584AFC1" w14:textId="77777777" w:rsidR="003555B9" w:rsidRDefault="00000000">
            <w:pPr>
              <w:spacing w:after="0" w:line="240" w:lineRule="auto"/>
              <w:jc w:val="both"/>
            </w:pPr>
            <w:r>
              <w:rPr>
                <w:rFonts w:ascii="Times New Roman" w:eastAsia="Times New Roman" w:hAnsi="Times New Roman" w:cs="Times New Roman"/>
                <w:color w:val="000000"/>
                <w:kern w:val="0"/>
                <w:sz w:val="24"/>
                <w:szCs w:val="24"/>
                <w:lang w:eastAsia="en-IN" w:bidi="hi-IN"/>
              </w:rPr>
              <w:t>Sex ratio (</w:t>
            </w:r>
            <w:proofErr w:type="gramStart"/>
            <w:r>
              <w:rPr>
                <w:rFonts w:ascii="Times New Roman" w:eastAsia="Times New Roman" w:hAnsi="Times New Roman" w:cs="Times New Roman"/>
                <w:color w:val="000000"/>
                <w:kern w:val="0"/>
                <w:sz w:val="24"/>
                <w:szCs w:val="24"/>
                <w:lang w:eastAsia="en-IN" w:bidi="hi-IN"/>
              </w:rPr>
              <w:t>Male :</w:t>
            </w:r>
            <w:proofErr w:type="gramEnd"/>
            <w:r>
              <w:rPr>
                <w:rFonts w:ascii="Times New Roman" w:eastAsia="Times New Roman" w:hAnsi="Times New Roman" w:cs="Times New Roman"/>
                <w:color w:val="000000"/>
                <w:kern w:val="0"/>
                <w:sz w:val="24"/>
                <w:szCs w:val="24"/>
                <w:lang w:eastAsia="en-IN" w:bidi="hi-IN"/>
              </w:rPr>
              <w:t xml:space="preserve"> Female)</w:t>
            </w:r>
          </w:p>
        </w:tc>
        <w:tc>
          <w:tcPr>
            <w:tcW w:w="1613" w:type="dxa"/>
            <w:tcBorders>
              <w:top w:val="single" w:sz="4" w:space="0" w:color="000000"/>
              <w:left w:val="single" w:sz="4" w:space="0" w:color="000000"/>
              <w:bottom w:val="single" w:sz="4" w:space="0" w:color="000000"/>
              <w:right w:val="single" w:sz="4" w:space="0" w:color="000000"/>
            </w:tcBorders>
            <w:vAlign w:val="bottom"/>
          </w:tcPr>
          <w:p w14:paraId="6E574A44" w14:textId="77777777" w:rsidR="003555B9" w:rsidRDefault="00000000">
            <w:pPr>
              <w:spacing w:after="0" w:line="240" w:lineRule="auto"/>
              <w:jc w:val="center"/>
              <w:rPr>
                <w:rFonts w:ascii="Times New Roman" w:eastAsia="Times New Roman" w:hAnsi="Times New Roman" w:cs="Times New Roman"/>
                <w:color w:val="000000"/>
                <w:kern w:val="0"/>
                <w:sz w:val="24"/>
                <w:szCs w:val="24"/>
                <w:lang w:eastAsia="en-IN" w:bidi="hi-IN"/>
              </w:rPr>
            </w:pPr>
            <w:r>
              <w:rPr>
                <w:rFonts w:ascii="Times New Roman" w:hAnsi="Times New Roman" w:cs="Times New Roman"/>
                <w:color w:val="000000"/>
                <w:sz w:val="24"/>
                <w:szCs w:val="24"/>
              </w:rPr>
              <w:t>1:2</w:t>
            </w:r>
          </w:p>
        </w:tc>
        <w:tc>
          <w:tcPr>
            <w:tcW w:w="2254" w:type="dxa"/>
            <w:tcBorders>
              <w:top w:val="single" w:sz="4" w:space="0" w:color="000000"/>
              <w:left w:val="single" w:sz="4" w:space="0" w:color="000000"/>
              <w:bottom w:val="single" w:sz="4" w:space="0" w:color="000000"/>
              <w:right w:val="single" w:sz="4" w:space="0" w:color="000000"/>
            </w:tcBorders>
            <w:vAlign w:val="bottom"/>
          </w:tcPr>
          <w:p w14:paraId="25C8F3AA" w14:textId="77777777" w:rsidR="003555B9" w:rsidRDefault="003555B9">
            <w:pPr>
              <w:snapToGrid w:val="0"/>
              <w:spacing w:after="0" w:line="240" w:lineRule="auto"/>
              <w:jc w:val="center"/>
              <w:rPr>
                <w:rFonts w:ascii="Times New Roman" w:eastAsia="Times New Roman" w:hAnsi="Times New Roman" w:cs="Times New Roman"/>
                <w:color w:val="000000"/>
                <w:kern w:val="0"/>
                <w:sz w:val="24"/>
                <w:szCs w:val="24"/>
                <w:lang w:eastAsia="en-IN" w:bidi="hi-IN"/>
              </w:rPr>
            </w:pPr>
          </w:p>
        </w:tc>
      </w:tr>
    </w:tbl>
    <w:p w14:paraId="7614F05D" w14:textId="77777777" w:rsidR="003555B9" w:rsidRDefault="003555B9">
      <w:pPr>
        <w:spacing w:line="360" w:lineRule="auto"/>
        <w:jc w:val="both"/>
        <w:rPr>
          <w:rFonts w:ascii="Times New Roman" w:hAnsi="Times New Roman" w:cs="Times New Roman"/>
          <w:sz w:val="24"/>
          <w:szCs w:val="24"/>
        </w:rPr>
      </w:pPr>
    </w:p>
    <w:p w14:paraId="1C56095D" w14:textId="77777777" w:rsidR="003555B9" w:rsidRDefault="003555B9">
      <w:pPr>
        <w:spacing w:line="360" w:lineRule="auto"/>
        <w:jc w:val="both"/>
        <w:rPr>
          <w:rFonts w:ascii="Times New Roman" w:hAnsi="Times New Roman" w:cs="Times New Roman"/>
          <w:sz w:val="24"/>
          <w:szCs w:val="24"/>
        </w:rPr>
      </w:pPr>
    </w:p>
    <w:p w14:paraId="2BB1E5B7" w14:textId="77777777" w:rsidR="003555B9" w:rsidRDefault="003555B9">
      <w:pPr>
        <w:spacing w:line="360" w:lineRule="auto"/>
        <w:jc w:val="both"/>
        <w:rPr>
          <w:rFonts w:ascii="Times New Roman" w:hAnsi="Times New Roman" w:cs="Times New Roman"/>
          <w:sz w:val="24"/>
          <w:szCs w:val="24"/>
        </w:rPr>
      </w:pPr>
    </w:p>
    <w:p w14:paraId="62C66868" w14:textId="77777777" w:rsidR="003555B9" w:rsidRDefault="003555B9">
      <w:pPr>
        <w:spacing w:line="360" w:lineRule="auto"/>
        <w:jc w:val="both"/>
        <w:rPr>
          <w:rFonts w:ascii="Times New Roman" w:hAnsi="Times New Roman" w:cs="Times New Roman"/>
          <w:sz w:val="24"/>
          <w:szCs w:val="24"/>
        </w:rPr>
      </w:pPr>
    </w:p>
    <w:p w14:paraId="70A05032" w14:textId="77777777" w:rsidR="003555B9" w:rsidRDefault="003555B9">
      <w:pPr>
        <w:rPr>
          <w:rFonts w:ascii="Times New Roman" w:hAnsi="Times New Roman" w:cs="Times New Roman"/>
          <w:sz w:val="24"/>
          <w:szCs w:val="24"/>
        </w:rPr>
      </w:pPr>
    </w:p>
    <w:p w14:paraId="51317604" w14:textId="77777777" w:rsidR="003555B9" w:rsidRDefault="003555B9">
      <w:pPr>
        <w:rPr>
          <w:rFonts w:ascii="Times New Roman" w:hAnsi="Times New Roman" w:cs="Times New Roman"/>
          <w:sz w:val="24"/>
          <w:szCs w:val="24"/>
        </w:rPr>
      </w:pPr>
    </w:p>
    <w:p w14:paraId="71894800" w14:textId="77777777" w:rsidR="003555B9" w:rsidRDefault="003555B9">
      <w:pPr>
        <w:rPr>
          <w:rFonts w:ascii="Times New Roman" w:hAnsi="Times New Roman" w:cs="Times New Roman"/>
          <w:sz w:val="24"/>
          <w:szCs w:val="24"/>
        </w:rPr>
      </w:pPr>
    </w:p>
    <w:p w14:paraId="3A9C0BF4" w14:textId="77777777" w:rsidR="003555B9" w:rsidRDefault="003555B9">
      <w:pPr>
        <w:rPr>
          <w:rFonts w:ascii="Times New Roman" w:hAnsi="Times New Roman" w:cs="Times New Roman"/>
          <w:sz w:val="24"/>
          <w:szCs w:val="24"/>
        </w:rPr>
      </w:pPr>
    </w:p>
    <w:p w14:paraId="0F837579" w14:textId="77777777" w:rsidR="003555B9" w:rsidRDefault="003555B9">
      <w:pPr>
        <w:rPr>
          <w:rFonts w:ascii="Times New Roman" w:hAnsi="Times New Roman" w:cs="Times New Roman"/>
          <w:sz w:val="24"/>
          <w:szCs w:val="24"/>
        </w:rPr>
      </w:pPr>
    </w:p>
    <w:p w14:paraId="413E50AA" w14:textId="77777777" w:rsidR="003555B9" w:rsidRDefault="003555B9">
      <w:pPr>
        <w:rPr>
          <w:rFonts w:ascii="Times New Roman" w:hAnsi="Times New Roman" w:cs="Times New Roman"/>
          <w:sz w:val="24"/>
          <w:szCs w:val="24"/>
        </w:rPr>
      </w:pPr>
    </w:p>
    <w:p w14:paraId="0EA95BF5" w14:textId="77777777" w:rsidR="003555B9" w:rsidRDefault="003555B9">
      <w:pPr>
        <w:rPr>
          <w:rFonts w:ascii="Times New Roman" w:hAnsi="Times New Roman" w:cs="Times New Roman"/>
          <w:sz w:val="24"/>
          <w:szCs w:val="24"/>
        </w:rPr>
      </w:pPr>
    </w:p>
    <w:p w14:paraId="12398373" w14:textId="77777777" w:rsidR="003555B9" w:rsidRDefault="003555B9">
      <w:pPr>
        <w:rPr>
          <w:rFonts w:ascii="Times New Roman" w:hAnsi="Times New Roman" w:cs="Times New Roman"/>
          <w:sz w:val="24"/>
          <w:szCs w:val="24"/>
        </w:rPr>
      </w:pPr>
    </w:p>
    <w:p w14:paraId="43748428" w14:textId="77777777" w:rsidR="003555B9" w:rsidRDefault="003555B9">
      <w:pPr>
        <w:spacing w:line="360" w:lineRule="auto"/>
        <w:jc w:val="both"/>
        <w:rPr>
          <w:rFonts w:ascii="Times New Roman" w:hAnsi="Times New Roman" w:cs="Times New Roman"/>
          <w:b/>
          <w:bCs/>
          <w:sz w:val="24"/>
          <w:szCs w:val="24"/>
        </w:rPr>
      </w:pPr>
    </w:p>
    <w:p w14:paraId="67FEC0E7" w14:textId="77777777" w:rsidR="003555B9" w:rsidRDefault="00000000">
      <w:pPr>
        <w:spacing w:line="360" w:lineRule="auto"/>
        <w:jc w:val="both"/>
        <w:rPr>
          <w:rFonts w:ascii="Times New Roman" w:hAnsi="Times New Roman" w:cs="Times New Roman"/>
          <w:i/>
          <w:iCs/>
          <w:sz w:val="24"/>
          <w:szCs w:val="24"/>
        </w:rPr>
      </w:pPr>
      <w:r>
        <w:rPr>
          <w:rFonts w:ascii="Times New Roman" w:hAnsi="Times New Roman" w:cs="Times New Roman"/>
          <w:b/>
          <w:bCs/>
          <w:sz w:val="24"/>
          <w:szCs w:val="24"/>
        </w:rPr>
        <w:t>Table</w:t>
      </w:r>
      <w:r>
        <w:rPr>
          <w:rFonts w:ascii="Times New Roman" w:hAnsi="Times New Roman" w:cs="Times New Roman"/>
          <w:sz w:val="24"/>
          <w:szCs w:val="24"/>
        </w:rPr>
        <w:t xml:space="preserve">. </w:t>
      </w:r>
      <w:r>
        <w:rPr>
          <w:rFonts w:ascii="Times New Roman" w:hAnsi="Times New Roman" w:cs="Times New Roman"/>
          <w:b/>
          <w:bCs/>
          <w:sz w:val="24"/>
          <w:szCs w:val="24"/>
        </w:rPr>
        <w:t>1.: Biology of Brinjal Fruit and Shoot Borer (</w:t>
      </w:r>
      <w:proofErr w:type="spellStart"/>
      <w:r>
        <w:rPr>
          <w:rFonts w:ascii="Times New Roman" w:hAnsi="Times New Roman" w:cs="Times New Roman"/>
          <w:b/>
          <w:bCs/>
          <w:i/>
          <w:iCs/>
          <w:sz w:val="24"/>
          <w:szCs w:val="24"/>
        </w:rPr>
        <w:t>Leucinodes</w:t>
      </w:r>
      <w:proofErr w:type="spellEnd"/>
      <w:r>
        <w:rPr>
          <w:rFonts w:ascii="Times New Roman" w:hAnsi="Times New Roman" w:cs="Times New Roman"/>
          <w:b/>
          <w:bCs/>
          <w:i/>
          <w:iCs/>
          <w:sz w:val="24"/>
          <w:szCs w:val="24"/>
        </w:rPr>
        <w:t xml:space="preserve"> </w:t>
      </w:r>
      <w:proofErr w:type="spellStart"/>
      <w:proofErr w:type="gramStart"/>
      <w:r>
        <w:rPr>
          <w:rFonts w:ascii="Times New Roman" w:hAnsi="Times New Roman" w:cs="Times New Roman"/>
          <w:b/>
          <w:bCs/>
          <w:i/>
          <w:iCs/>
          <w:sz w:val="24"/>
          <w:szCs w:val="24"/>
        </w:rPr>
        <w:t>orbonalis.</w:t>
      </w:r>
      <w:r>
        <w:rPr>
          <w:rFonts w:ascii="Times New Roman" w:hAnsi="Times New Roman" w:cs="Times New Roman"/>
          <w:b/>
          <w:bCs/>
          <w:sz w:val="24"/>
          <w:szCs w:val="24"/>
        </w:rPr>
        <w:t>Guenee</w:t>
      </w:r>
      <w:proofErr w:type="spellEnd"/>
      <w:proofErr w:type="gramEnd"/>
      <w:r>
        <w:rPr>
          <w:rFonts w:ascii="Times New Roman" w:hAnsi="Times New Roman" w:cs="Times New Roman"/>
          <w:b/>
          <w:bCs/>
          <w:sz w:val="24"/>
          <w:szCs w:val="24"/>
        </w:rPr>
        <w:t>)</w:t>
      </w:r>
    </w:p>
    <w:p w14:paraId="49C76B9B" w14:textId="1EDBC83F" w:rsidR="003555B9" w:rsidRDefault="004A3ECD">
      <w:r>
        <w:rPr>
          <w:noProof/>
        </w:rPr>
        <w:pict w14:anchorId="4013E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50.75pt;height:297pt;visibility:visible;mso-wrap-style:square">
            <v:imagedata r:id="rId7" o:title=""/>
          </v:shape>
        </w:pict>
      </w:r>
    </w:p>
    <w:p w14:paraId="1CFF3A07" w14:textId="77777777" w:rsidR="005929D0" w:rsidRDefault="005929D0"/>
    <w:p w14:paraId="38D2A9CD" w14:textId="76FC62F2" w:rsidR="003555B9" w:rsidRDefault="00000000">
      <w:pPr>
        <w:spacing w:line="360" w:lineRule="auto"/>
        <w:jc w:val="both"/>
        <w:rPr>
          <w:rFonts w:ascii="Times New Roman" w:hAnsi="Times New Roman" w:cs="Times New Roman"/>
          <w:sz w:val="24"/>
          <w:szCs w:val="24"/>
          <w:lang w:val="en-US" w:eastAsia="en-US"/>
        </w:rPr>
      </w:pPr>
      <w:r>
        <w:rPr>
          <w:noProof/>
        </w:rPr>
        <w:pict w14:anchorId="06E2B289">
          <v:shapetype id="_x0000_t202" coordsize="21600,21600" o:spt="202" path="m,l,21600r21600,l21600,xe">
            <v:stroke joinstyle="miter"/>
            <v:path gradientshapeok="t" o:connecttype="rect"/>
          </v:shapetype>
          <v:shape id="Frame7" o:spid="_x0000_s2050" type="#_x0000_t202" style="position:absolute;left:0;text-align:left;margin-left:-19.65pt;margin-top:11.95pt;width:470.25pt;height:21.9pt;z-index:1;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" strokecolor="white">
            <v:textbox>
              <w:txbxContent>
                <w:p w14:paraId="4642BF1B" w14:textId="77777777" w:rsidR="003555B9" w:rsidRDefault="00000000">
                  <w:r>
                    <w:rPr>
                      <w:rFonts w:ascii="Times New Roman" w:hAnsi="Times New Roman" w:cs="Times New Roman"/>
                      <w:b/>
                      <w:bCs/>
                      <w:sz w:val="24"/>
                      <w:szCs w:val="24"/>
                    </w:rPr>
                    <w:t xml:space="preserve">Plate 1.: Life Cycle of Brinjal Shoot and Fruit Borer </w:t>
                  </w:r>
                  <w:proofErr w:type="spellStart"/>
                  <w:r>
                    <w:rPr>
                      <w:rFonts w:ascii="Times New Roman" w:hAnsi="Times New Roman" w:cs="Times New Roman"/>
                      <w:b/>
                      <w:bCs/>
                      <w:i/>
                      <w:iCs/>
                      <w:sz w:val="24"/>
                      <w:szCs w:val="24"/>
                    </w:rPr>
                    <w:t>Leucinodes</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orbonalis</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sz w:val="24"/>
                      <w:szCs w:val="24"/>
                    </w:rPr>
                    <w:t>Guenee</w:t>
                  </w:r>
                  <w:proofErr w:type="spellEnd"/>
                  <w:r>
                    <w:rPr>
                      <w:rFonts w:ascii="Times New Roman" w:hAnsi="Times New Roman" w:cs="Times New Roman"/>
                      <w:b/>
                      <w:bCs/>
                      <w:sz w:val="24"/>
                      <w:szCs w:val="24"/>
                    </w:rPr>
                    <w:t>)</w:t>
                  </w:r>
                </w:p>
              </w:txbxContent>
            </v:textbox>
          </v:shape>
        </w:pict>
      </w:r>
    </w:p>
    <w:p w14:paraId="04C8F046" w14:textId="77777777" w:rsidR="003555B9" w:rsidRDefault="00000000">
      <w:pPr>
        <w:spacing w:line="360" w:lineRule="auto"/>
        <w:jc w:val="both"/>
      </w:pPr>
      <w:r>
        <w:rPr>
          <w:rFonts w:ascii="Times New Roman" w:hAnsi="Times New Roman" w:cs="Times New Roman"/>
          <w:b/>
          <w:sz w:val="24"/>
          <w:szCs w:val="24"/>
        </w:rPr>
        <w:lastRenderedPageBreak/>
        <w:t xml:space="preserve">Adult Characteristics and Longevity: </w:t>
      </w:r>
      <w:r>
        <w:rPr>
          <w:rFonts w:ascii="Times New Roman" w:hAnsi="Times New Roman" w:cs="Times New Roman"/>
          <w:sz w:val="24"/>
          <w:szCs w:val="24"/>
        </w:rPr>
        <w:t>Adults were generally inactive during the day and active at night. The moths had white bodies, blackish-brown heads and thoraxes and pinkish-brown marks on the forewings. The hindwings were dirty white with black spots. Females were generally larger than males and differed in abdominal structure. Male longevity ranged from 3 to 5 days, with a mean of 4.00 ± 0.76 days, whereas female longevity ranged from 4 to 7 days, with a mean of 5.40 ± 1.08 days (</w:t>
      </w:r>
      <w:r>
        <w:rPr>
          <w:rFonts w:ascii="Times New Roman" w:hAnsi="Times New Roman" w:cs="Times New Roman"/>
          <w:b/>
          <w:bCs/>
          <w:sz w:val="24"/>
          <w:szCs w:val="24"/>
        </w:rPr>
        <w:t>Table 1).</w:t>
      </w:r>
      <w:r>
        <w:rPr>
          <w:rFonts w:ascii="Times New Roman" w:hAnsi="Times New Roman" w:cs="Times New Roman"/>
          <w:sz w:val="24"/>
          <w:szCs w:val="24"/>
        </w:rPr>
        <w:t xml:space="preserve"> The adult characteristics were similar to those reported by </w:t>
      </w:r>
      <w:proofErr w:type="spellStart"/>
      <w:r>
        <w:rPr>
          <w:rFonts w:ascii="Times New Roman" w:hAnsi="Times New Roman" w:cs="Times New Roman"/>
          <w:sz w:val="24"/>
          <w:szCs w:val="24"/>
        </w:rPr>
        <w:t>Bhoya</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and Pat</w:t>
      </w:r>
      <w:r>
        <w:rPr>
          <w:rStyle w:val="Emphasis"/>
          <w:rFonts w:ascii="Times New Roman" w:hAnsi="Times New Roman" w:cs="Times New Roman"/>
          <w:sz w:val="24"/>
          <w:szCs w:val="24"/>
        </w:rPr>
        <w:t>el</w:t>
      </w:r>
      <w:r>
        <w:rPr>
          <w:rFonts w:ascii="Times New Roman" w:hAnsi="Times New Roman" w:cs="Times New Roman"/>
          <w:sz w:val="24"/>
          <w:szCs w:val="24"/>
        </w:rPr>
        <w:t xml:space="preserve"> (2018). The longer longevity of females was also comparable to the findings of </w:t>
      </w:r>
      <w:proofErr w:type="spellStart"/>
      <w:r>
        <w:rPr>
          <w:rFonts w:ascii="Times New Roman" w:hAnsi="Times New Roman" w:cs="Times New Roman"/>
          <w:sz w:val="24"/>
          <w:szCs w:val="24"/>
        </w:rPr>
        <w:t>Laichattiwar</w:t>
      </w:r>
      <w:proofErr w:type="spellEnd"/>
      <w:r>
        <w:rPr>
          <w:rFonts w:ascii="Times New Roman" w:hAnsi="Times New Roman" w:cs="Times New Roman"/>
          <w:sz w:val="24"/>
          <w:szCs w:val="24"/>
        </w:rPr>
        <w:t xml:space="preserve"> </w:t>
      </w:r>
      <w:r>
        <w:rPr>
          <w:rStyle w:val="Emphasis"/>
          <w:rFonts w:ascii="Times New Roman" w:hAnsi="Times New Roman" w:cs="Times New Roman"/>
          <w:sz w:val="24"/>
          <w:szCs w:val="24"/>
        </w:rPr>
        <w:t>et al.</w:t>
      </w:r>
      <w:r>
        <w:rPr>
          <w:rFonts w:ascii="Times New Roman" w:hAnsi="Times New Roman" w:cs="Times New Roman"/>
          <w:sz w:val="24"/>
          <w:szCs w:val="24"/>
        </w:rPr>
        <w:t xml:space="preserve"> (2017) and Iesa (2021).</w:t>
      </w:r>
    </w:p>
    <w:p w14:paraId="2BB655E4" w14:textId="77777777" w:rsidR="003555B9" w:rsidRDefault="00000000">
      <w:pPr>
        <w:spacing w:line="360" w:lineRule="auto"/>
        <w:jc w:val="both"/>
      </w:pPr>
      <w:r>
        <w:rPr>
          <w:rFonts w:ascii="Times New Roman" w:hAnsi="Times New Roman" w:cs="Times New Roman"/>
          <w:b/>
          <w:sz w:val="24"/>
          <w:szCs w:val="24"/>
        </w:rPr>
        <w:t xml:space="preserve">Reproductive Parameters: </w:t>
      </w:r>
      <w:r>
        <w:rPr>
          <w:rFonts w:ascii="Times New Roman" w:hAnsi="Times New Roman" w:cs="Times New Roman"/>
          <w:sz w:val="24"/>
          <w:szCs w:val="24"/>
        </w:rPr>
        <w:t xml:space="preserve">The pre-oviposition, oviposition, and post-oviposition periods averaged 1.65 ± 0.32, 3.69 ± 0.33, and 1.74 ± 0.31 days, respectively. The oviposition period was the longest of the three reproductive phases. The pre-oviposition period was comparable to the 1.51 days reported by Ponnusamy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(2021), while the oviposition period was close to the 3.3 days reported by Wali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(2022). However, Iesa (2021) reported a longer oviposition period of 4.50 days. The observed variation may be associated with differences in laboratory conditions and other experimental factors.</w:t>
      </w:r>
    </w:p>
    <w:p w14:paraId="0D09E8F8" w14:textId="77777777" w:rsidR="003555B9" w:rsidRDefault="00000000">
      <w:pPr>
        <w:spacing w:line="360" w:lineRule="auto"/>
        <w:jc w:val="both"/>
      </w:pPr>
      <w:r>
        <w:rPr>
          <w:rFonts w:ascii="Times New Roman" w:hAnsi="Times New Roman" w:cs="Times New Roman"/>
          <w:b/>
          <w:sz w:val="24"/>
          <w:szCs w:val="24"/>
        </w:rPr>
        <w:t xml:space="preserve">Fecundity and Sex Ratio: </w:t>
      </w:r>
      <w:r>
        <w:rPr>
          <w:rFonts w:ascii="Times New Roman" w:hAnsi="Times New Roman" w:cs="Times New Roman"/>
          <w:sz w:val="24"/>
          <w:szCs w:val="24"/>
        </w:rPr>
        <w:t xml:space="preserve">Fecundity ranged from 170 to 205 eggs per female, with a mean of 178.28 ± 11.61 eggs. This was comparable to the approximately 170 eggs per female reported by Singh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(2022), but lower than the 197.3 and 217 eggs per female reported by Wali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(2022) and Iesa (2021), respectively. The observed sex ratio was 1:2 (</w:t>
      </w:r>
      <w:proofErr w:type="spellStart"/>
      <w:proofErr w:type="gramStart"/>
      <w:r>
        <w:rPr>
          <w:rFonts w:ascii="Times New Roman" w:hAnsi="Times New Roman" w:cs="Times New Roman"/>
          <w:sz w:val="24"/>
          <w:szCs w:val="24"/>
        </w:rPr>
        <w:t>male</w:t>
      </w:r>
      <w:r>
        <w:rPr>
          <w:rFonts w:ascii="Times New Roman" w:hAnsi="Times New Roman" w:cs="Times New Roman"/>
          <w:sz w:val="24"/>
          <w:szCs w:val="24"/>
          <w:highlight w:val="yellow"/>
        </w:rPr>
        <w:t>:female</w:t>
      </w:r>
      <w:proofErr w:type="spellEnd"/>
      <w:proofErr w:type="gramEnd"/>
      <w:r>
        <w:rPr>
          <w:rFonts w:ascii="Times New Roman" w:hAnsi="Times New Roman" w:cs="Times New Roman"/>
          <w:sz w:val="24"/>
          <w:szCs w:val="24"/>
        </w:rPr>
        <w:t xml:space="preserve">), indicating a female-biased population. A similar sex ratio was reported by Chiranjiv </w:t>
      </w:r>
      <w:r>
        <w:rPr>
          <w:rStyle w:val="Emphasis"/>
          <w:rFonts w:ascii="Times New Roman" w:hAnsi="Times New Roman" w:cs="Times New Roman"/>
          <w:sz w:val="24"/>
          <w:szCs w:val="24"/>
        </w:rPr>
        <w:t>et al.</w:t>
      </w:r>
      <w:r>
        <w:rPr>
          <w:rFonts w:ascii="Times New Roman" w:hAnsi="Times New Roman" w:cs="Times New Roman"/>
          <w:sz w:val="24"/>
          <w:szCs w:val="24"/>
        </w:rPr>
        <w:t xml:space="preserve"> (2023), whereas </w:t>
      </w:r>
      <w:proofErr w:type="spellStart"/>
      <w:r>
        <w:rPr>
          <w:rFonts w:ascii="Times New Roman" w:hAnsi="Times New Roman" w:cs="Times New Roman"/>
          <w:sz w:val="24"/>
          <w:szCs w:val="24"/>
        </w:rPr>
        <w:t>Rohokale</w:t>
      </w:r>
      <w:proofErr w:type="spellEnd"/>
      <w:r>
        <w:rPr>
          <w:rFonts w:ascii="Times New Roman" w:hAnsi="Times New Roman" w:cs="Times New Roman"/>
          <w:sz w:val="24"/>
          <w:szCs w:val="24"/>
        </w:rPr>
        <w:t xml:space="preserve"> </w:t>
      </w:r>
      <w:r>
        <w:rPr>
          <w:rStyle w:val="Emphasis"/>
          <w:rFonts w:ascii="Times New Roman" w:hAnsi="Times New Roman" w:cs="Times New Roman"/>
          <w:sz w:val="24"/>
          <w:szCs w:val="24"/>
        </w:rPr>
        <w:t>et al.</w:t>
      </w:r>
      <w:r>
        <w:rPr>
          <w:rFonts w:ascii="Times New Roman" w:hAnsi="Times New Roman" w:cs="Times New Roman"/>
          <w:sz w:val="24"/>
          <w:szCs w:val="24"/>
        </w:rPr>
        <w:t xml:space="preserve"> (2018) reported a 1.94:1 female-to-male ratio.</w:t>
      </w:r>
    </w:p>
    <w:p w14:paraId="503B1D1A" w14:textId="00AC8336" w:rsidR="003555B9" w:rsidRDefault="00000000">
      <w:pPr>
        <w:spacing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14:paraId="46B1D800" w14:textId="77777777" w:rsidR="001E6019" w:rsidRDefault="001E6019" w:rsidP="00FE335E">
      <w:pPr>
        <w:suppressAutoHyphens w:val="0"/>
        <w:spacing w:before="100" w:beforeAutospacing="1" w:after="100" w:afterAutospacing="1" w:line="240" w:lineRule="auto"/>
        <w:jc w:val="both"/>
        <w:rPr>
          <w:rFonts w:ascii="Times New Roman" w:eastAsia="Times New Roman" w:hAnsi="Times New Roman" w:cs="Times New Roman"/>
          <w:kern w:val="0"/>
          <w:sz w:val="24"/>
          <w:szCs w:val="24"/>
          <w:lang w:val="en-US" w:eastAsia="en-US"/>
        </w:rPr>
      </w:pPr>
      <w:r w:rsidRPr="001E6019">
        <w:rPr>
          <w:rFonts w:ascii="Times New Roman" w:eastAsia="Times New Roman" w:hAnsi="Times New Roman" w:cs="Times New Roman"/>
          <w:kern w:val="0"/>
          <w:sz w:val="24"/>
          <w:szCs w:val="24"/>
          <w:lang w:val="en-US" w:eastAsia="en-US"/>
        </w:rPr>
        <w:t xml:space="preserve">This laboratory investigation </w:t>
      </w:r>
      <w:proofErr w:type="spellStart"/>
      <w:r w:rsidRPr="001E6019">
        <w:rPr>
          <w:rFonts w:ascii="Times New Roman" w:eastAsia="Times New Roman" w:hAnsi="Times New Roman" w:cs="Times New Roman"/>
          <w:kern w:val="0"/>
          <w:sz w:val="24"/>
          <w:szCs w:val="24"/>
          <w:lang w:val="en-US" w:eastAsia="en-US"/>
        </w:rPr>
        <w:t>characterised</w:t>
      </w:r>
      <w:proofErr w:type="spellEnd"/>
      <w:r w:rsidRPr="001E6019">
        <w:rPr>
          <w:rFonts w:ascii="Times New Roman" w:eastAsia="Times New Roman" w:hAnsi="Times New Roman" w:cs="Times New Roman"/>
          <w:kern w:val="0"/>
          <w:sz w:val="24"/>
          <w:szCs w:val="24"/>
          <w:lang w:val="en-US" w:eastAsia="en-US"/>
        </w:rPr>
        <w:t xml:space="preserve"> the developmental and reproductive biology of the brinjal shoot and fruit borer, </w:t>
      </w:r>
      <w:proofErr w:type="spellStart"/>
      <w:r w:rsidRPr="001E6019">
        <w:rPr>
          <w:rFonts w:ascii="Times New Roman" w:eastAsia="Times New Roman" w:hAnsi="Times New Roman" w:cs="Times New Roman"/>
          <w:i/>
          <w:iCs/>
          <w:kern w:val="0"/>
          <w:sz w:val="24"/>
          <w:szCs w:val="24"/>
          <w:lang w:val="en-US" w:eastAsia="en-US"/>
        </w:rPr>
        <w:t>Leucinodes</w:t>
      </w:r>
      <w:proofErr w:type="spellEnd"/>
      <w:r w:rsidRPr="001E6019">
        <w:rPr>
          <w:rFonts w:ascii="Times New Roman" w:eastAsia="Times New Roman" w:hAnsi="Times New Roman" w:cs="Times New Roman"/>
          <w:i/>
          <w:iCs/>
          <w:kern w:val="0"/>
          <w:sz w:val="24"/>
          <w:szCs w:val="24"/>
          <w:lang w:val="en-US" w:eastAsia="en-US"/>
        </w:rPr>
        <w:t xml:space="preserve"> </w:t>
      </w:r>
      <w:proofErr w:type="spellStart"/>
      <w:r w:rsidRPr="001E6019">
        <w:rPr>
          <w:rFonts w:ascii="Times New Roman" w:eastAsia="Times New Roman" w:hAnsi="Times New Roman" w:cs="Times New Roman"/>
          <w:i/>
          <w:iCs/>
          <w:kern w:val="0"/>
          <w:sz w:val="24"/>
          <w:szCs w:val="24"/>
          <w:lang w:val="en-US" w:eastAsia="en-US"/>
        </w:rPr>
        <w:t>orbonalis</w:t>
      </w:r>
      <w:proofErr w:type="spellEnd"/>
      <w:r w:rsidRPr="001E6019">
        <w:rPr>
          <w:rFonts w:ascii="Times New Roman" w:eastAsia="Times New Roman" w:hAnsi="Times New Roman" w:cs="Times New Roman"/>
          <w:kern w:val="0"/>
          <w:sz w:val="24"/>
          <w:szCs w:val="24"/>
          <w:lang w:val="en-US" w:eastAsia="en-US"/>
        </w:rPr>
        <w:t xml:space="preserve"> </w:t>
      </w:r>
      <w:proofErr w:type="spellStart"/>
      <w:r w:rsidRPr="001E6019">
        <w:rPr>
          <w:rFonts w:ascii="Times New Roman" w:eastAsia="Times New Roman" w:hAnsi="Times New Roman" w:cs="Times New Roman"/>
          <w:kern w:val="0"/>
          <w:sz w:val="24"/>
          <w:szCs w:val="24"/>
          <w:lang w:val="en-US" w:eastAsia="en-US"/>
        </w:rPr>
        <w:t>Guenée</w:t>
      </w:r>
      <w:proofErr w:type="spellEnd"/>
      <w:r w:rsidRPr="001E6019">
        <w:rPr>
          <w:rFonts w:ascii="Times New Roman" w:eastAsia="Times New Roman" w:hAnsi="Times New Roman" w:cs="Times New Roman"/>
          <w:kern w:val="0"/>
          <w:sz w:val="24"/>
          <w:szCs w:val="24"/>
          <w:lang w:val="en-US" w:eastAsia="en-US"/>
        </w:rPr>
        <w:t>, reared on brinjal. Five larval instars were observed, and the mean total larval period was 14.09 ± 1.20 days. The mean durations of the pre-pupal and pupal stages were 1.70 ± 0.34 and 9.58 ± 0.98 days, respectively, while development from egg to adult emergence required an average of 29.28 ± 1.98 days. Egg hatchability averaged 68.96 ± 3.85%, and female fecundity averaged 178.28 ± 11.61 eggs. Female adults survived longer than males, with mean longevities of 5.40 ± 1.08 and 4.00 ± 0.76 days, respectively. The recorded sex ratio of 1:2 (male) indicated a higher proportion of females in the observed population. Together, these measurements describe the biological characteristics of this laboratory-reared population and provide a basis for comparison with subsequent studies. The findings should be interpreted within the laboratory conditions and host material examined rather than extrapolated directly to field populations or pest-management outcomes.</w:t>
      </w:r>
    </w:p>
    <w:p w14:paraId="508BFC4C" w14:textId="139F7FF6" w:rsidR="00892391" w:rsidRPr="00B41D97" w:rsidRDefault="00892391" w:rsidP="00F333C5">
      <w:pPr>
        <w:suppressAutoHyphens w:val="0"/>
        <w:spacing w:before="100" w:beforeAutospacing="1" w:after="100" w:afterAutospacing="1" w:line="240" w:lineRule="auto"/>
        <w:jc w:val="both"/>
        <w:rPr>
          <w:rFonts w:ascii="Times New Roman" w:eastAsia="Times New Roman" w:hAnsi="Times New Roman" w:cs="Times New Roman"/>
          <w:b/>
          <w:bCs/>
          <w:kern w:val="0"/>
          <w:sz w:val="24"/>
          <w:szCs w:val="24"/>
          <w:lang w:val="en-US" w:eastAsia="en-US"/>
        </w:rPr>
      </w:pPr>
      <w:r w:rsidRPr="00B41D97">
        <w:rPr>
          <w:rFonts w:ascii="Times New Roman" w:eastAsia="Times New Roman" w:hAnsi="Times New Roman" w:cs="Times New Roman"/>
          <w:b/>
          <w:bCs/>
          <w:kern w:val="0"/>
          <w:sz w:val="24"/>
          <w:szCs w:val="24"/>
          <w:lang w:val="en-US" w:eastAsia="en-US"/>
        </w:rPr>
        <w:lastRenderedPageBreak/>
        <w:t>Limitations</w:t>
      </w:r>
    </w:p>
    <w:p w14:paraId="51E34639" w14:textId="77777777" w:rsidR="00892391" w:rsidRPr="00892391" w:rsidRDefault="00892391" w:rsidP="00F333C5">
      <w:pPr>
        <w:suppressAutoHyphens w:val="0"/>
        <w:spacing w:before="100" w:beforeAutospacing="1" w:after="100" w:afterAutospacing="1" w:line="240" w:lineRule="auto"/>
        <w:jc w:val="both"/>
        <w:rPr>
          <w:rFonts w:ascii="Times New Roman" w:eastAsia="Times New Roman" w:hAnsi="Times New Roman" w:cs="Times New Roman"/>
          <w:kern w:val="0"/>
          <w:sz w:val="24"/>
          <w:szCs w:val="24"/>
          <w:lang w:val="en-US" w:eastAsia="en-US"/>
        </w:rPr>
      </w:pPr>
      <w:r w:rsidRPr="00892391">
        <w:rPr>
          <w:rFonts w:ascii="Times New Roman" w:eastAsia="Times New Roman" w:hAnsi="Times New Roman" w:cs="Times New Roman"/>
          <w:kern w:val="0"/>
          <w:sz w:val="24"/>
          <w:szCs w:val="24"/>
          <w:lang w:val="en-US" w:eastAsia="en-US"/>
        </w:rPr>
        <w:t>The observations were obtained from a laboratory culture established using infested fruits of the Pusa Purple Round brinjal variety and therefore represent the conditions and host material used in this study. Developmental durations and reproductive measurements may differ under other environmental or host conditions. The study reports descriptive ranges, means and standard deviations rather than comparative tests across environmental treatments. Consequently, the reported values should be interpreted as laboratory-specific biological parameters and not as direct estimates of field development, infestation severity or management effectiveness.</w:t>
      </w:r>
    </w:p>
    <w:p w14:paraId="410DBCD5" w14:textId="77777777" w:rsidR="00892391" w:rsidRPr="001E6019" w:rsidRDefault="00892391" w:rsidP="00FE335E">
      <w:pPr>
        <w:suppressAutoHyphens w:val="0"/>
        <w:spacing w:before="100" w:beforeAutospacing="1" w:after="100" w:afterAutospacing="1" w:line="240" w:lineRule="auto"/>
        <w:jc w:val="both"/>
        <w:rPr>
          <w:rFonts w:ascii="Times New Roman" w:eastAsia="Times New Roman" w:hAnsi="Times New Roman" w:cs="Times New Roman"/>
          <w:kern w:val="0"/>
          <w:sz w:val="24"/>
          <w:szCs w:val="24"/>
          <w:lang w:val="en-US" w:eastAsia="en-US"/>
        </w:rPr>
      </w:pPr>
    </w:p>
    <w:p w14:paraId="33DB18DD" w14:textId="77777777" w:rsidR="003555B9" w:rsidRDefault="003555B9">
      <w:pPr>
        <w:spacing w:line="360" w:lineRule="auto"/>
        <w:jc w:val="both"/>
        <w:rPr>
          <w:rFonts w:ascii="Times New Roman" w:hAnsi="Times New Roman" w:cs="Times New Roman"/>
          <w:sz w:val="24"/>
          <w:szCs w:val="24"/>
        </w:rPr>
      </w:pPr>
    </w:p>
    <w:p w14:paraId="7755A089" w14:textId="77777777" w:rsidR="003555B9" w:rsidRDefault="003555B9">
      <w:pPr>
        <w:spacing w:line="360" w:lineRule="auto"/>
        <w:jc w:val="both"/>
        <w:rPr>
          <w:rFonts w:ascii="Times New Roman" w:hAnsi="Times New Roman" w:cs="Times New Roman"/>
          <w:sz w:val="24"/>
          <w:szCs w:val="24"/>
        </w:rPr>
      </w:pPr>
    </w:p>
    <w:p w14:paraId="2AFCA833" w14:textId="77777777" w:rsidR="003555B9" w:rsidRDefault="00000000">
      <w:pPr>
        <w:spacing w:after="0" w:line="240" w:lineRule="auto"/>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Declaration of AI Use</w:t>
      </w:r>
    </w:p>
    <w:p w14:paraId="39CD6CE4" w14:textId="77777777" w:rsidR="003555B9" w:rsidRDefault="003555B9">
      <w:pPr>
        <w:spacing w:after="0" w:line="240" w:lineRule="auto"/>
        <w:rPr>
          <w:rFonts w:ascii="Times New Roman" w:hAnsi="Times New Roman" w:cs="Times New Roman"/>
          <w:b/>
          <w:kern w:val="0"/>
          <w:sz w:val="24"/>
          <w:szCs w:val="24"/>
          <w:lang w:val="en-US"/>
        </w:rPr>
      </w:pPr>
    </w:p>
    <w:p w14:paraId="18D741CB" w14:textId="77777777" w:rsidR="003555B9" w:rsidRDefault="00000000">
      <w:pPr>
        <w:spacing w:after="0" w:line="240" w:lineRule="auto"/>
        <w:rPr>
          <w:rFonts w:ascii="Times New Roman" w:hAnsi="Times New Roman" w:cs="Times New Roman"/>
          <w:kern w:val="0"/>
          <w:sz w:val="24"/>
          <w:szCs w:val="24"/>
          <w:lang w:val="en-US"/>
        </w:rPr>
      </w:pPr>
      <w:r>
        <w:rPr>
          <w:rFonts w:ascii="Times New Roman" w:hAnsi="Times New Roman" w:cs="Times New Roman"/>
          <w:kern w:val="0"/>
          <w:sz w:val="24"/>
          <w:szCs w:val="24"/>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503CFDB" w14:textId="77777777" w:rsidR="003555B9" w:rsidRDefault="003555B9">
      <w:pPr>
        <w:spacing w:after="0" w:line="240" w:lineRule="auto"/>
        <w:jc w:val="both"/>
        <w:rPr>
          <w:rFonts w:ascii="Times New Roman" w:hAnsi="Times New Roman" w:cs="Times New Roman"/>
          <w:kern w:val="0"/>
          <w:sz w:val="24"/>
          <w:szCs w:val="24"/>
          <w:lang w:val="en-US"/>
        </w:rPr>
      </w:pPr>
    </w:p>
    <w:p w14:paraId="4E49C67F" w14:textId="77777777" w:rsidR="003555B9" w:rsidRDefault="003555B9">
      <w:pPr>
        <w:spacing w:after="0" w:line="240" w:lineRule="auto"/>
        <w:jc w:val="both"/>
        <w:rPr>
          <w:rFonts w:ascii="Times New Roman" w:hAnsi="Times New Roman" w:cs="Times New Roman"/>
          <w:kern w:val="0"/>
          <w:sz w:val="24"/>
          <w:szCs w:val="24"/>
          <w:lang w:val="en-US"/>
        </w:rPr>
      </w:pPr>
    </w:p>
    <w:p w14:paraId="7F50C9FA" w14:textId="77777777" w:rsidR="003555B9" w:rsidRDefault="00000000">
      <w:pPr>
        <w:spacing w:after="200" w:line="276" w:lineRule="auto"/>
      </w:pPr>
      <w:r>
        <w:rPr>
          <w:rFonts w:ascii="Times New Roman" w:eastAsia="Times New Roman" w:hAnsi="Times New Roman" w:cs="Times New Roman"/>
          <w:b/>
          <w:bCs/>
          <w:kern w:val="0"/>
          <w:sz w:val="24"/>
          <w:szCs w:val="24"/>
          <w:lang w:val="en-GB" w:eastAsia="en-GB"/>
        </w:rPr>
        <w:t>COMPETING INTERESTS DISCLAIMER:</w:t>
      </w:r>
    </w:p>
    <w:p w14:paraId="596185D6" w14:textId="77777777" w:rsidR="003555B9" w:rsidRDefault="00000000">
      <w:pPr>
        <w:spacing w:after="200" w:line="276" w:lineRule="auto"/>
        <w:rPr>
          <w:rFonts w:ascii="Times New Roman" w:eastAsia="Times New Roman" w:hAnsi="Times New Roman" w:cs="Times New Roman"/>
          <w:kern w:val="0"/>
          <w:sz w:val="24"/>
          <w:szCs w:val="24"/>
          <w:lang w:val="en-GB" w:eastAsia="en-GB"/>
        </w:rPr>
      </w:pPr>
      <w:r>
        <w:rPr>
          <w:rFonts w:ascii="Times New Roman" w:eastAsia="Times New Roman" w:hAnsi="Times New Roman" w:cs="Times New Roman"/>
          <w:kern w:val="0"/>
          <w:sz w:val="24"/>
          <w:szCs w:val="24"/>
          <w:lang w:val="en-GB" w:eastAsia="en-GB"/>
        </w:rPr>
        <w:t>Authors have declared that they have no known competing financial interests OR non-financial interests OR personal relationships that could have appeared to influence the work reported in this paper.</w:t>
      </w:r>
    </w:p>
    <w:p w14:paraId="0D585310" w14:textId="77777777" w:rsidR="003555B9" w:rsidRDefault="003555B9">
      <w:pPr>
        <w:rPr>
          <w:rFonts w:ascii="Times New Roman" w:eastAsia="Times New Roman" w:hAnsi="Times New Roman" w:cs="Times New Roman"/>
          <w:b/>
          <w:bCs/>
          <w:kern w:val="0"/>
          <w:sz w:val="24"/>
          <w:szCs w:val="24"/>
          <w:lang w:val="en-GB" w:eastAsia="en-GB"/>
        </w:rPr>
      </w:pPr>
    </w:p>
    <w:p w14:paraId="10774B02" w14:textId="77777777" w:rsidR="003555B9" w:rsidRDefault="003555B9">
      <w:pPr>
        <w:rPr>
          <w:rFonts w:ascii="Times New Roman" w:hAnsi="Times New Roman" w:cs="Times New Roman"/>
          <w:b/>
          <w:bCs/>
          <w:sz w:val="24"/>
          <w:szCs w:val="24"/>
        </w:rPr>
      </w:pPr>
    </w:p>
    <w:p w14:paraId="4B853610" w14:textId="77777777" w:rsidR="003555B9" w:rsidRDefault="00000000">
      <w:pPr>
        <w:rPr>
          <w:rFonts w:ascii="Times New Roman" w:hAnsi="Times New Roman" w:cs="Times New Roman"/>
          <w:b/>
          <w:bCs/>
          <w:sz w:val="24"/>
          <w:szCs w:val="24"/>
        </w:rPr>
      </w:pPr>
      <w:r>
        <w:rPr>
          <w:rFonts w:ascii="Times New Roman" w:hAnsi="Times New Roman" w:cs="Times New Roman"/>
          <w:b/>
          <w:bCs/>
          <w:sz w:val="24"/>
          <w:szCs w:val="24"/>
        </w:rPr>
        <w:t>References:</w:t>
      </w:r>
    </w:p>
    <w:p w14:paraId="5077CF57" w14:textId="77777777" w:rsidR="003555B9" w:rsidRDefault="003555B9">
      <w:pPr>
        <w:jc w:val="both"/>
        <w:rPr>
          <w:rFonts w:ascii="Times New Roman" w:hAnsi="Times New Roman" w:cs="Times New Roman"/>
          <w:b/>
          <w:bCs/>
          <w:sz w:val="24"/>
          <w:szCs w:val="24"/>
        </w:rPr>
      </w:pPr>
    </w:p>
    <w:p w14:paraId="4870F3D2" w14:textId="6B8E7C34"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Abirami, K., Devasena, P., Poornima, S., &amp; </w:t>
      </w:r>
      <w:proofErr w:type="spellStart"/>
      <w:r w:rsidRPr="00BA3F41">
        <w:rPr>
          <w:rFonts w:ascii="Times New Roman" w:eastAsia="Times New Roman" w:hAnsi="Times New Roman" w:cs="Times New Roman"/>
          <w:kern w:val="0"/>
          <w:sz w:val="24"/>
          <w:szCs w:val="24"/>
          <w:lang w:val="en-US" w:eastAsia="en-US"/>
        </w:rPr>
        <w:t>Esakkiammal</w:t>
      </w:r>
      <w:proofErr w:type="spellEnd"/>
      <w:r w:rsidRPr="00BA3F41">
        <w:rPr>
          <w:rFonts w:ascii="Times New Roman" w:eastAsia="Times New Roman" w:hAnsi="Times New Roman" w:cs="Times New Roman"/>
          <w:kern w:val="0"/>
          <w:sz w:val="24"/>
          <w:szCs w:val="24"/>
          <w:lang w:val="en-US" w:eastAsia="en-US"/>
        </w:rPr>
        <w:t xml:space="preserve">, S. D. (2026). Recent advances in production technology of brinjal. In Sustainable cultivation strategies for summer vegetable crops: A comprehensive guide for cultivation and crop management (Chapter 3). </w:t>
      </w:r>
    </w:p>
    <w:p w14:paraId="304698C1"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Ashok, K., Bhargava, C. N., Venkatesh, R., Balasubramani, V., Murugan, M., Geethalakshmi, V., Manamohan, M., Jha, G. K., &amp; Asokan, R. (2025). Molecular characterization and CRISPR/Cas9 validation of the precursor of egg yolk protein gene, vitellogenin of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(Lepidoptera: </w:t>
      </w:r>
      <w:proofErr w:type="spellStart"/>
      <w:r w:rsidRPr="00BA3F41">
        <w:rPr>
          <w:rFonts w:ascii="Times New Roman" w:eastAsia="Times New Roman" w:hAnsi="Times New Roman" w:cs="Times New Roman"/>
          <w:kern w:val="0"/>
          <w:sz w:val="24"/>
          <w:szCs w:val="24"/>
          <w:lang w:val="en-US" w:eastAsia="en-US"/>
        </w:rPr>
        <w:t>Crambidae</w:t>
      </w:r>
      <w:proofErr w:type="spellEnd"/>
      <w:r w:rsidRPr="00BA3F41">
        <w:rPr>
          <w:rFonts w:ascii="Times New Roman" w:eastAsia="Times New Roman" w:hAnsi="Times New Roman" w:cs="Times New Roman"/>
          <w:kern w:val="0"/>
          <w:sz w:val="24"/>
          <w:szCs w:val="24"/>
          <w:lang w:val="en-US" w:eastAsia="en-US"/>
        </w:rPr>
        <w:t xml:space="preserve">). Gene, 933, Article 148925. </w:t>
      </w:r>
      <w:hyperlink r:id="rId8" w:history="1">
        <w:r w:rsidRPr="00BA3F41">
          <w:rPr>
            <w:rFonts w:ascii="Times New Roman" w:eastAsia="Times New Roman" w:hAnsi="Times New Roman" w:cs="Times New Roman"/>
            <w:color w:val="0000FF"/>
            <w:kern w:val="0"/>
            <w:sz w:val="24"/>
            <w:szCs w:val="24"/>
            <w:u w:val="single"/>
            <w:lang w:val="en-US" w:eastAsia="en-US"/>
          </w:rPr>
          <w:t>https://doi.org/10.1016/j.gene.2024.148925</w:t>
        </w:r>
      </w:hyperlink>
    </w:p>
    <w:p w14:paraId="1F5EF94F"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proofErr w:type="spellStart"/>
      <w:r w:rsidRPr="00BA3F41">
        <w:rPr>
          <w:rFonts w:ascii="Times New Roman" w:eastAsia="Times New Roman" w:hAnsi="Times New Roman" w:cs="Times New Roman"/>
          <w:kern w:val="0"/>
          <w:sz w:val="24"/>
          <w:szCs w:val="24"/>
          <w:lang w:val="en-US" w:eastAsia="en-US"/>
        </w:rPr>
        <w:lastRenderedPageBreak/>
        <w:t>Bhoya</w:t>
      </w:r>
      <w:proofErr w:type="spellEnd"/>
      <w:r w:rsidRPr="00BA3F41">
        <w:rPr>
          <w:rFonts w:ascii="Times New Roman" w:eastAsia="Times New Roman" w:hAnsi="Times New Roman" w:cs="Times New Roman"/>
          <w:kern w:val="0"/>
          <w:sz w:val="24"/>
          <w:szCs w:val="24"/>
          <w:lang w:val="en-US" w:eastAsia="en-US"/>
        </w:rPr>
        <w:t xml:space="preserve">, K. M., &amp; Patel, C. J. (2018). Biology of brinjal shoot and fruit borer. International Journal of Current Microbiology and Applied Sciences, 7(11), 2605–2612. </w:t>
      </w:r>
      <w:hyperlink r:id="rId9" w:history="1">
        <w:r w:rsidRPr="00BA3F41">
          <w:rPr>
            <w:rFonts w:ascii="Times New Roman" w:eastAsia="Times New Roman" w:hAnsi="Times New Roman" w:cs="Times New Roman"/>
            <w:color w:val="0000FF"/>
            <w:kern w:val="0"/>
            <w:sz w:val="24"/>
            <w:szCs w:val="24"/>
            <w:u w:val="single"/>
            <w:lang w:val="en-US" w:eastAsia="en-US"/>
          </w:rPr>
          <w:t>https://doi.org/10.20546/ijcmas.2018.711.297</w:t>
        </w:r>
      </w:hyperlink>
    </w:p>
    <w:p w14:paraId="198F1355"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Bindu, S. P., Pramanik, A., &amp; Padhi, G. K. (2015). Studies on biology and physical measurements of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of brinjal in West Bengal, India. Global Journal of Biology, Agriculture &amp; Health Sciences, 4(1), 215–219. </w:t>
      </w:r>
      <w:hyperlink r:id="rId10" w:history="1">
        <w:r w:rsidRPr="00BA3F41">
          <w:rPr>
            <w:rFonts w:ascii="Times New Roman" w:eastAsia="Times New Roman" w:hAnsi="Times New Roman" w:cs="Times New Roman"/>
            <w:color w:val="0000FF"/>
            <w:kern w:val="0"/>
            <w:sz w:val="24"/>
            <w:szCs w:val="24"/>
            <w:u w:val="single"/>
            <w:lang w:val="en-US" w:eastAsia="en-US"/>
          </w:rPr>
          <w:t>https://www.walshmedicalmedia.com/abstract/studies-on-biology-and-physical-measurements-of-shoot-and-fruit-borer-leucinodes-orbonalis-guenee-of-brinjal-in-west-ben-2210.html</w:t>
        </w:r>
      </w:hyperlink>
    </w:p>
    <w:p w14:paraId="20E5703C"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proofErr w:type="spellStart"/>
      <w:r w:rsidRPr="00BA3F41">
        <w:rPr>
          <w:rFonts w:ascii="Times New Roman" w:eastAsia="Times New Roman" w:hAnsi="Times New Roman" w:cs="Times New Roman"/>
          <w:kern w:val="0"/>
          <w:sz w:val="24"/>
          <w:szCs w:val="24"/>
          <w:lang w:val="en-US" w:eastAsia="en-US"/>
        </w:rPr>
        <w:t>Borkakati</w:t>
      </w:r>
      <w:proofErr w:type="spellEnd"/>
      <w:r w:rsidRPr="00BA3F41">
        <w:rPr>
          <w:rFonts w:ascii="Times New Roman" w:eastAsia="Times New Roman" w:hAnsi="Times New Roman" w:cs="Times New Roman"/>
          <w:kern w:val="0"/>
          <w:sz w:val="24"/>
          <w:szCs w:val="24"/>
          <w:lang w:val="en-US" w:eastAsia="en-US"/>
        </w:rPr>
        <w:t xml:space="preserve">, R. N., Venkatesh, M. R., &amp; Saikia, D. K. (2019). Insect pests of brinjal and their natural enemies. Journal of Entomology and Zoology Studies, 7(1), 932–937. </w:t>
      </w:r>
      <w:hyperlink r:id="rId11" w:history="1">
        <w:r w:rsidRPr="00BA3F41">
          <w:rPr>
            <w:rFonts w:ascii="Times New Roman" w:eastAsia="Times New Roman" w:hAnsi="Times New Roman" w:cs="Times New Roman"/>
            <w:color w:val="0000FF"/>
            <w:kern w:val="0"/>
            <w:sz w:val="24"/>
            <w:szCs w:val="24"/>
            <w:u w:val="single"/>
            <w:lang w:val="en-US" w:eastAsia="en-US"/>
          </w:rPr>
          <w:t>https://www.entomoljournal.com/archives/2019/vol7issue1/PartO/7-1-158-892.pdf</w:t>
        </w:r>
      </w:hyperlink>
    </w:p>
    <w:p w14:paraId="1D0F64CC"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Chiranjiv, </w:t>
      </w:r>
      <w:proofErr w:type="spellStart"/>
      <w:r w:rsidRPr="00BA3F41">
        <w:rPr>
          <w:rFonts w:ascii="Times New Roman" w:eastAsia="Times New Roman" w:hAnsi="Times New Roman" w:cs="Times New Roman"/>
          <w:kern w:val="0"/>
          <w:sz w:val="24"/>
          <w:szCs w:val="24"/>
          <w:lang w:val="en-US" w:eastAsia="en-US"/>
        </w:rPr>
        <w:t>Haldhar</w:t>
      </w:r>
      <w:proofErr w:type="spellEnd"/>
      <w:r w:rsidRPr="00BA3F41">
        <w:rPr>
          <w:rFonts w:ascii="Times New Roman" w:eastAsia="Times New Roman" w:hAnsi="Times New Roman" w:cs="Times New Roman"/>
          <w:kern w:val="0"/>
          <w:sz w:val="24"/>
          <w:szCs w:val="24"/>
          <w:lang w:val="en-US" w:eastAsia="en-US"/>
        </w:rPr>
        <w:t>, S. M., Singh, K. I., Singh, N. G., Ibrar, S. M., &amp; Mishra, O. P. (2023). Biology and morphometric of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on brinjal crop under laboratory conditions. Journal of Agriculture and Ecology, 16, 67–72. </w:t>
      </w:r>
      <w:hyperlink r:id="rId12" w:history="1">
        <w:r w:rsidRPr="00BA3F41">
          <w:rPr>
            <w:rFonts w:ascii="Times New Roman" w:eastAsia="Times New Roman" w:hAnsi="Times New Roman" w:cs="Times New Roman"/>
            <w:color w:val="0000FF"/>
            <w:kern w:val="0"/>
            <w:sz w:val="24"/>
            <w:szCs w:val="24"/>
            <w:u w:val="single"/>
            <w:lang w:val="en-US" w:eastAsia="en-US"/>
          </w:rPr>
          <w:t>https://doi.org/10.58628/JAE-2316-214</w:t>
        </w:r>
      </w:hyperlink>
    </w:p>
    <w:p w14:paraId="729AA605"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Department of Agriculture and Farmers Welfare. (n.d.). </w:t>
      </w:r>
      <w:proofErr w:type="spellStart"/>
      <w:r w:rsidRPr="00BA3F41">
        <w:rPr>
          <w:rFonts w:ascii="Times New Roman" w:eastAsia="Times New Roman" w:hAnsi="Times New Roman" w:cs="Times New Roman"/>
          <w:kern w:val="0"/>
          <w:sz w:val="24"/>
          <w:szCs w:val="24"/>
          <w:lang w:val="en-US" w:eastAsia="en-US"/>
        </w:rPr>
        <w:t>UPAg</w:t>
      </w:r>
      <w:proofErr w:type="spellEnd"/>
      <w:r w:rsidRPr="00BA3F41">
        <w:rPr>
          <w:rFonts w:ascii="Times New Roman" w:eastAsia="Times New Roman" w:hAnsi="Times New Roman" w:cs="Times New Roman"/>
          <w:kern w:val="0"/>
          <w:sz w:val="24"/>
          <w:szCs w:val="24"/>
          <w:lang w:val="en-US" w:eastAsia="en-US"/>
        </w:rPr>
        <w:t xml:space="preserve">: Unified portal for agricultural statistics—Area, production and yield. Government of India. </w:t>
      </w:r>
      <w:hyperlink r:id="rId13" w:history="1">
        <w:r w:rsidRPr="00BA3F41">
          <w:rPr>
            <w:rFonts w:ascii="Times New Roman" w:eastAsia="Times New Roman" w:hAnsi="Times New Roman" w:cs="Times New Roman"/>
            <w:color w:val="0000FF"/>
            <w:kern w:val="0"/>
            <w:sz w:val="24"/>
            <w:szCs w:val="24"/>
            <w:u w:val="single"/>
            <w:lang w:val="en-US" w:eastAsia="en-US"/>
          </w:rPr>
          <w:t>https://www.upag.gov.in/area-productivity</w:t>
        </w:r>
      </w:hyperlink>
    </w:p>
    <w:p w14:paraId="31E00BB2"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Despabiladeras, J. B., Punzalan, J. A. M., &amp; Bautista, M. A. M. (2025). Nuclear genome assembly of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(Lepidoptera: </w:t>
      </w:r>
      <w:proofErr w:type="spellStart"/>
      <w:r w:rsidRPr="00BA3F41">
        <w:rPr>
          <w:rFonts w:ascii="Times New Roman" w:eastAsia="Times New Roman" w:hAnsi="Times New Roman" w:cs="Times New Roman"/>
          <w:kern w:val="0"/>
          <w:sz w:val="24"/>
          <w:szCs w:val="24"/>
          <w:lang w:val="en-US" w:eastAsia="en-US"/>
        </w:rPr>
        <w:t>Crambidae</w:t>
      </w:r>
      <w:proofErr w:type="spellEnd"/>
      <w:r w:rsidRPr="00BA3F41">
        <w:rPr>
          <w:rFonts w:ascii="Times New Roman" w:eastAsia="Times New Roman" w:hAnsi="Times New Roman" w:cs="Times New Roman"/>
          <w:kern w:val="0"/>
          <w:sz w:val="24"/>
          <w:szCs w:val="24"/>
          <w:lang w:val="en-US" w:eastAsia="en-US"/>
        </w:rPr>
        <w:t xml:space="preserve">) collected from the Philippines. Journal of Insect Science, 25(3), Article 24. </w:t>
      </w:r>
      <w:hyperlink r:id="rId14" w:history="1">
        <w:r w:rsidRPr="00BA3F41">
          <w:rPr>
            <w:rFonts w:ascii="Times New Roman" w:eastAsia="Times New Roman" w:hAnsi="Times New Roman" w:cs="Times New Roman"/>
            <w:color w:val="0000FF"/>
            <w:kern w:val="0"/>
            <w:sz w:val="24"/>
            <w:szCs w:val="24"/>
            <w:u w:val="single"/>
            <w:lang w:val="en-US" w:eastAsia="en-US"/>
          </w:rPr>
          <w:t>https://doi.org/10.1093/jisesa/ieaf066</w:t>
        </w:r>
      </w:hyperlink>
    </w:p>
    <w:p w14:paraId="7B2D8B7E"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Dhaliwal, N. K. (2019). Ecology and management of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in brinjal [Doctoral dissertation, Punjab Agricultural University]. </w:t>
      </w:r>
      <w:proofErr w:type="spellStart"/>
      <w:r w:rsidRPr="00BA3F41">
        <w:rPr>
          <w:rFonts w:ascii="Times New Roman" w:eastAsia="Times New Roman" w:hAnsi="Times New Roman" w:cs="Times New Roman"/>
          <w:kern w:val="0"/>
          <w:sz w:val="24"/>
          <w:szCs w:val="24"/>
          <w:lang w:val="en-US" w:eastAsia="en-US"/>
        </w:rPr>
        <w:t>Krishikosh</w:t>
      </w:r>
      <w:proofErr w:type="spellEnd"/>
      <w:r w:rsidRPr="00BA3F41">
        <w:rPr>
          <w:rFonts w:ascii="Times New Roman" w:eastAsia="Times New Roman" w:hAnsi="Times New Roman" w:cs="Times New Roman"/>
          <w:kern w:val="0"/>
          <w:sz w:val="24"/>
          <w:szCs w:val="24"/>
          <w:lang w:val="en-US" w:eastAsia="en-US"/>
        </w:rPr>
        <w:t xml:space="preserve"> Institutional Repository. </w:t>
      </w:r>
      <w:hyperlink r:id="rId15" w:history="1">
        <w:r w:rsidRPr="00BA3F41">
          <w:rPr>
            <w:rFonts w:ascii="Times New Roman" w:eastAsia="Times New Roman" w:hAnsi="Times New Roman" w:cs="Times New Roman"/>
            <w:color w:val="0000FF"/>
            <w:kern w:val="0"/>
            <w:sz w:val="24"/>
            <w:szCs w:val="24"/>
            <w:u w:val="single"/>
            <w:lang w:val="en-US" w:eastAsia="en-US"/>
          </w:rPr>
          <w:t>https://krishikosh.egranth.ac.in/server/api/core/bitstreams/f85dc0ed-e4b8-4a8c-bba6-47f9d62e3eda/content</w:t>
        </w:r>
      </w:hyperlink>
    </w:p>
    <w:p w14:paraId="1D4D6D31"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Dhandapani, N., </w:t>
      </w:r>
      <w:proofErr w:type="spellStart"/>
      <w:r w:rsidRPr="00BA3F41">
        <w:rPr>
          <w:rFonts w:ascii="Times New Roman" w:eastAsia="Times New Roman" w:hAnsi="Times New Roman" w:cs="Times New Roman"/>
          <w:kern w:val="0"/>
          <w:sz w:val="24"/>
          <w:szCs w:val="24"/>
          <w:lang w:val="en-US" w:eastAsia="en-US"/>
        </w:rPr>
        <w:t>Shelkar</w:t>
      </w:r>
      <w:proofErr w:type="spellEnd"/>
      <w:r w:rsidRPr="00BA3F41">
        <w:rPr>
          <w:rFonts w:ascii="Times New Roman" w:eastAsia="Times New Roman" w:hAnsi="Times New Roman" w:cs="Times New Roman"/>
          <w:kern w:val="0"/>
          <w:sz w:val="24"/>
          <w:szCs w:val="24"/>
          <w:lang w:val="en-US" w:eastAsia="en-US"/>
        </w:rPr>
        <w:t xml:space="preserve">, U. R., &amp; Murugan, M. (2003). Bio-intensive pest management (BIPM) in major vegetable crops: An Indian perspective. Journal of Food, Agriculture &amp; Environment, 1(2), 333–339. </w:t>
      </w:r>
      <w:hyperlink r:id="rId16" w:history="1">
        <w:r w:rsidRPr="00BA3F41">
          <w:rPr>
            <w:rFonts w:ascii="Times New Roman" w:eastAsia="Times New Roman" w:hAnsi="Times New Roman" w:cs="Times New Roman"/>
            <w:color w:val="0000FF"/>
            <w:kern w:val="0"/>
            <w:sz w:val="24"/>
            <w:szCs w:val="24"/>
            <w:u w:val="single"/>
            <w:lang w:val="en-US" w:eastAsia="en-US"/>
          </w:rPr>
          <w:t>https://www.wflpublisher.com/Abstract/389</w:t>
        </w:r>
      </w:hyperlink>
    </w:p>
    <w:p w14:paraId="3E62B390"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Iesa, M. A. M. (2021). Biology of brinjal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and screening of various genotypes for resistance. Turkish Online Journal of Qualitative Inquiry, 12(6), 6025–6032. </w:t>
      </w:r>
      <w:hyperlink r:id="rId17" w:history="1">
        <w:r w:rsidRPr="00BA3F41">
          <w:rPr>
            <w:rFonts w:ascii="Times New Roman" w:eastAsia="Times New Roman" w:hAnsi="Times New Roman" w:cs="Times New Roman"/>
            <w:color w:val="0000FF"/>
            <w:kern w:val="0"/>
            <w:sz w:val="24"/>
            <w:szCs w:val="24"/>
            <w:u w:val="single"/>
            <w:lang w:val="en-US" w:eastAsia="en-US"/>
          </w:rPr>
          <w:t>https://tojqi.net/index.php/journal/article/view/2644</w:t>
        </w:r>
      </w:hyperlink>
    </w:p>
    <w:p w14:paraId="6B8F6F14"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Kamal, P., Chandra, U., Singh, S. K., Yahya, M., Sharma, K. R., Kumar, A., &amp; Veer, R. (2026). Biological and </w:t>
      </w:r>
      <w:proofErr w:type="spellStart"/>
      <w:r w:rsidRPr="00BA3F41">
        <w:rPr>
          <w:rFonts w:ascii="Times New Roman" w:eastAsia="Times New Roman" w:hAnsi="Times New Roman" w:cs="Times New Roman"/>
          <w:kern w:val="0"/>
          <w:sz w:val="24"/>
          <w:szCs w:val="24"/>
          <w:lang w:val="en-US" w:eastAsia="en-US"/>
        </w:rPr>
        <w:t>ontogenic</w:t>
      </w:r>
      <w:proofErr w:type="spellEnd"/>
      <w:r w:rsidRPr="00BA3F41">
        <w:rPr>
          <w:rFonts w:ascii="Times New Roman" w:eastAsia="Times New Roman" w:hAnsi="Times New Roman" w:cs="Times New Roman"/>
          <w:kern w:val="0"/>
          <w:sz w:val="24"/>
          <w:szCs w:val="24"/>
          <w:lang w:val="en-US" w:eastAsia="en-US"/>
        </w:rPr>
        <w:t xml:space="preserve"> studies of brinjal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under controlled laboratory conditions. Uttar Pradesh Journal of Zoology, 47(12), 166–176. </w:t>
      </w:r>
      <w:hyperlink r:id="rId18" w:history="1">
        <w:r w:rsidRPr="00BA3F41">
          <w:rPr>
            <w:rFonts w:ascii="Times New Roman" w:eastAsia="Times New Roman" w:hAnsi="Times New Roman" w:cs="Times New Roman"/>
            <w:color w:val="0000FF"/>
            <w:kern w:val="0"/>
            <w:sz w:val="24"/>
            <w:szCs w:val="24"/>
            <w:u w:val="single"/>
            <w:lang w:val="en-US" w:eastAsia="en-US"/>
          </w:rPr>
          <w:t>https://doi.org/10.56557/upjoz/2026/v47i125716</w:t>
        </w:r>
      </w:hyperlink>
    </w:p>
    <w:p w14:paraId="78A55550"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Kumar, A., Singh, R. S., Biswas, S. K., Maurya, C. L., Kumar, S., &amp; Singh, M. (2025). Biology of brinjal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at room temperature. Journal of Advances in Biology &amp; Biotechnology, 28(3), 894–899. </w:t>
      </w:r>
      <w:hyperlink r:id="rId19" w:history="1">
        <w:r w:rsidRPr="00BA3F41">
          <w:rPr>
            <w:rFonts w:ascii="Times New Roman" w:eastAsia="Times New Roman" w:hAnsi="Times New Roman" w:cs="Times New Roman"/>
            <w:color w:val="0000FF"/>
            <w:kern w:val="0"/>
            <w:sz w:val="24"/>
            <w:szCs w:val="24"/>
            <w:u w:val="single"/>
            <w:lang w:val="en-US" w:eastAsia="en-US"/>
          </w:rPr>
          <w:t>https://doi.org/10.9734/jabb/2025/v28i32146</w:t>
        </w:r>
      </w:hyperlink>
    </w:p>
    <w:p w14:paraId="79C6D26C"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proofErr w:type="spellStart"/>
      <w:r w:rsidRPr="00BA3F41">
        <w:rPr>
          <w:rFonts w:ascii="Times New Roman" w:eastAsia="Times New Roman" w:hAnsi="Times New Roman" w:cs="Times New Roman"/>
          <w:kern w:val="0"/>
          <w:sz w:val="24"/>
          <w:szCs w:val="24"/>
          <w:lang w:val="en-US" w:eastAsia="en-US"/>
        </w:rPr>
        <w:lastRenderedPageBreak/>
        <w:t>Kunjwal</w:t>
      </w:r>
      <w:proofErr w:type="spellEnd"/>
      <w:r w:rsidRPr="00BA3F41">
        <w:rPr>
          <w:rFonts w:ascii="Times New Roman" w:eastAsia="Times New Roman" w:hAnsi="Times New Roman" w:cs="Times New Roman"/>
          <w:kern w:val="0"/>
          <w:sz w:val="24"/>
          <w:szCs w:val="24"/>
          <w:lang w:val="en-US" w:eastAsia="en-US"/>
        </w:rPr>
        <w:t xml:space="preserve">, N., &amp; Srivastava, R. M. (2018). Insect pests of vegetables. In Omkar (Ed.), Pests and their management (pp. 163–221). Springer. </w:t>
      </w:r>
      <w:hyperlink r:id="rId20" w:history="1">
        <w:r w:rsidRPr="00BA3F41">
          <w:rPr>
            <w:rFonts w:ascii="Times New Roman" w:eastAsia="Times New Roman" w:hAnsi="Times New Roman" w:cs="Times New Roman"/>
            <w:color w:val="0000FF"/>
            <w:kern w:val="0"/>
            <w:sz w:val="24"/>
            <w:szCs w:val="24"/>
            <w:u w:val="single"/>
            <w:lang w:val="en-US" w:eastAsia="en-US"/>
          </w:rPr>
          <w:t>https://doi.org/10.1007/978-981-10-8687-8_7</w:t>
        </w:r>
      </w:hyperlink>
    </w:p>
    <w:p w14:paraId="5B837CE2"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proofErr w:type="spellStart"/>
      <w:r w:rsidRPr="00BA3F41">
        <w:rPr>
          <w:rFonts w:ascii="Times New Roman" w:eastAsia="Times New Roman" w:hAnsi="Times New Roman" w:cs="Times New Roman"/>
          <w:kern w:val="0"/>
          <w:sz w:val="24"/>
          <w:szCs w:val="24"/>
          <w:lang w:val="en-US" w:eastAsia="en-US"/>
        </w:rPr>
        <w:t>Laichattiwar</w:t>
      </w:r>
      <w:proofErr w:type="spellEnd"/>
      <w:r w:rsidRPr="00BA3F41">
        <w:rPr>
          <w:rFonts w:ascii="Times New Roman" w:eastAsia="Times New Roman" w:hAnsi="Times New Roman" w:cs="Times New Roman"/>
          <w:kern w:val="0"/>
          <w:sz w:val="24"/>
          <w:szCs w:val="24"/>
          <w:lang w:val="en-US" w:eastAsia="en-US"/>
        </w:rPr>
        <w:t xml:space="preserve">, M. A., Meena, R. S., &amp; Raghuraman, M. (2017). Biology and morphometry of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on brinjal, Solanum melongena (Mill.). Journal of Entomology and Zoology Studies, 5(4), 877–880. </w:t>
      </w:r>
      <w:hyperlink r:id="rId21" w:history="1">
        <w:r w:rsidRPr="00BA3F41">
          <w:rPr>
            <w:rFonts w:ascii="Times New Roman" w:eastAsia="Times New Roman" w:hAnsi="Times New Roman" w:cs="Times New Roman"/>
            <w:color w:val="0000FF"/>
            <w:kern w:val="0"/>
            <w:sz w:val="24"/>
            <w:szCs w:val="24"/>
            <w:u w:val="single"/>
            <w:lang w:val="en-US" w:eastAsia="en-US"/>
          </w:rPr>
          <w:t>https://www.entomoljournal.com/archives/2017/vol5issue4/PartL/5-4-146-456.pdf</w:t>
        </w:r>
      </w:hyperlink>
    </w:p>
    <w:p w14:paraId="5E5AC97C"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Patel, A. H., Patel, R. K., Vaghela, B. B., &amp; </w:t>
      </w:r>
      <w:proofErr w:type="spellStart"/>
      <w:r w:rsidRPr="00BA3F41">
        <w:rPr>
          <w:rFonts w:ascii="Times New Roman" w:eastAsia="Times New Roman" w:hAnsi="Times New Roman" w:cs="Times New Roman"/>
          <w:kern w:val="0"/>
          <w:sz w:val="24"/>
          <w:szCs w:val="24"/>
          <w:lang w:val="en-US" w:eastAsia="en-US"/>
        </w:rPr>
        <w:t>Gothi</w:t>
      </w:r>
      <w:proofErr w:type="spellEnd"/>
      <w:r w:rsidRPr="00BA3F41">
        <w:rPr>
          <w:rFonts w:ascii="Times New Roman" w:eastAsia="Times New Roman" w:hAnsi="Times New Roman" w:cs="Times New Roman"/>
          <w:kern w:val="0"/>
          <w:sz w:val="24"/>
          <w:szCs w:val="24"/>
          <w:lang w:val="en-US" w:eastAsia="en-US"/>
        </w:rPr>
        <w:t xml:space="preserve">, H. R. (2024). Study of biology of brinjal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International Journal of Advanced Biochemistry Research, 8(12S), 1128–1132. </w:t>
      </w:r>
      <w:hyperlink r:id="rId22" w:history="1">
        <w:r w:rsidRPr="00BA3F41">
          <w:rPr>
            <w:rFonts w:ascii="Times New Roman" w:eastAsia="Times New Roman" w:hAnsi="Times New Roman" w:cs="Times New Roman"/>
            <w:color w:val="0000FF"/>
            <w:kern w:val="0"/>
            <w:sz w:val="24"/>
            <w:szCs w:val="24"/>
            <w:u w:val="single"/>
            <w:lang w:val="en-US" w:eastAsia="en-US"/>
          </w:rPr>
          <w:t>https://doi.org/10.33545/26174693.2024.v8.i12Sn.3320</w:t>
        </w:r>
      </w:hyperlink>
    </w:p>
    <w:p w14:paraId="5BF07CA7"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Ponnusamy, N., Singh, S. P. N., &amp; Sahoo, S. K. (2021). The life cycle of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(Guen.) on eggplant in different seasons under </w:t>
      </w:r>
      <w:proofErr w:type="spellStart"/>
      <w:r w:rsidRPr="00BA3F41">
        <w:rPr>
          <w:rFonts w:ascii="Times New Roman" w:eastAsia="Times New Roman" w:hAnsi="Times New Roman" w:cs="Times New Roman"/>
          <w:kern w:val="0"/>
          <w:sz w:val="24"/>
          <w:szCs w:val="24"/>
          <w:lang w:val="en-US" w:eastAsia="en-US"/>
        </w:rPr>
        <w:t>Samastipur</w:t>
      </w:r>
      <w:proofErr w:type="spellEnd"/>
      <w:r w:rsidRPr="00BA3F41">
        <w:rPr>
          <w:rFonts w:ascii="Times New Roman" w:eastAsia="Times New Roman" w:hAnsi="Times New Roman" w:cs="Times New Roman"/>
          <w:kern w:val="0"/>
          <w:sz w:val="24"/>
          <w:szCs w:val="24"/>
          <w:lang w:val="en-US" w:eastAsia="en-US"/>
        </w:rPr>
        <w:t xml:space="preserve"> conditions of Bihar, India. Biological Forum – An International Journal, 13(4), 56–59. </w:t>
      </w:r>
      <w:hyperlink r:id="rId23" w:history="1">
        <w:r w:rsidRPr="00BA3F41">
          <w:rPr>
            <w:rFonts w:ascii="Times New Roman" w:eastAsia="Times New Roman" w:hAnsi="Times New Roman" w:cs="Times New Roman"/>
            <w:color w:val="0000FF"/>
            <w:kern w:val="0"/>
            <w:sz w:val="24"/>
            <w:szCs w:val="24"/>
            <w:u w:val="single"/>
            <w:lang w:val="en-US" w:eastAsia="en-US"/>
          </w:rPr>
          <w:t>https://www.researchtrend.net/bfij/the-life-cycle-of-shoot-and-fruit-borer-leucinodes-orbonalis-guen-on-eggplant-in-different-seasons-under-samastipur-conditions-of-bihar-india-3319</w:t>
        </w:r>
      </w:hyperlink>
    </w:p>
    <w:p w14:paraId="33EAEE02"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proofErr w:type="spellStart"/>
      <w:r w:rsidRPr="00BA3F41">
        <w:rPr>
          <w:rFonts w:ascii="Times New Roman" w:eastAsia="Times New Roman" w:hAnsi="Times New Roman" w:cs="Times New Roman"/>
          <w:kern w:val="0"/>
          <w:sz w:val="24"/>
          <w:szCs w:val="24"/>
          <w:lang w:val="en-US" w:eastAsia="en-US"/>
        </w:rPr>
        <w:t>Rohokale</w:t>
      </w:r>
      <w:proofErr w:type="spellEnd"/>
      <w:r w:rsidRPr="00BA3F41">
        <w:rPr>
          <w:rFonts w:ascii="Times New Roman" w:eastAsia="Times New Roman" w:hAnsi="Times New Roman" w:cs="Times New Roman"/>
          <w:kern w:val="0"/>
          <w:sz w:val="24"/>
          <w:szCs w:val="24"/>
          <w:lang w:val="en-US" w:eastAsia="en-US"/>
        </w:rPr>
        <w:t xml:space="preserve">, Y. A., </w:t>
      </w:r>
      <w:proofErr w:type="spellStart"/>
      <w:r w:rsidRPr="00BA3F41">
        <w:rPr>
          <w:rFonts w:ascii="Times New Roman" w:eastAsia="Times New Roman" w:hAnsi="Times New Roman" w:cs="Times New Roman"/>
          <w:kern w:val="0"/>
          <w:sz w:val="24"/>
          <w:szCs w:val="24"/>
          <w:lang w:val="en-US" w:eastAsia="en-US"/>
        </w:rPr>
        <w:t>Sonkamble</w:t>
      </w:r>
      <w:proofErr w:type="spellEnd"/>
      <w:r w:rsidRPr="00BA3F41">
        <w:rPr>
          <w:rFonts w:ascii="Times New Roman" w:eastAsia="Times New Roman" w:hAnsi="Times New Roman" w:cs="Times New Roman"/>
          <w:kern w:val="0"/>
          <w:sz w:val="24"/>
          <w:szCs w:val="24"/>
          <w:lang w:val="en-US" w:eastAsia="en-US"/>
        </w:rPr>
        <w:t xml:space="preserve">, M. M., &amp; Bokan, S. C. (2018). Biology of brinjal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in laboratory condition. Journal of Entomology and Zoology Studies, 6(4), 1878–1881. </w:t>
      </w:r>
      <w:hyperlink r:id="rId24" w:history="1">
        <w:r w:rsidRPr="00BA3F41">
          <w:rPr>
            <w:rFonts w:ascii="Times New Roman" w:eastAsia="Times New Roman" w:hAnsi="Times New Roman" w:cs="Times New Roman"/>
            <w:color w:val="0000FF"/>
            <w:kern w:val="0"/>
            <w:sz w:val="24"/>
            <w:szCs w:val="24"/>
            <w:u w:val="single"/>
            <w:lang w:val="en-US" w:eastAsia="en-US"/>
          </w:rPr>
          <w:t>https://www.entomoljournal.com/archives/2018/vol6issue4/PartAE/6-4-300-342.pdf</w:t>
        </w:r>
      </w:hyperlink>
    </w:p>
    <w:p w14:paraId="56B98650"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Roy, A., </w:t>
      </w:r>
      <w:proofErr w:type="spellStart"/>
      <w:r w:rsidRPr="00BA3F41">
        <w:rPr>
          <w:rFonts w:ascii="Times New Roman" w:eastAsia="Times New Roman" w:hAnsi="Times New Roman" w:cs="Times New Roman"/>
          <w:kern w:val="0"/>
          <w:sz w:val="24"/>
          <w:szCs w:val="24"/>
          <w:lang w:val="en-US" w:eastAsia="en-US"/>
        </w:rPr>
        <w:t>Seervi</w:t>
      </w:r>
      <w:proofErr w:type="spellEnd"/>
      <w:r w:rsidRPr="00BA3F41">
        <w:rPr>
          <w:rFonts w:ascii="Times New Roman" w:eastAsia="Times New Roman" w:hAnsi="Times New Roman" w:cs="Times New Roman"/>
          <w:kern w:val="0"/>
          <w:sz w:val="24"/>
          <w:szCs w:val="24"/>
          <w:lang w:val="en-US" w:eastAsia="en-US"/>
        </w:rPr>
        <w:t xml:space="preserve">, S., &amp; Kumar, S. (2025). The seasonal incidence of brinjal </w:t>
      </w:r>
      <w:proofErr w:type="gramStart"/>
      <w:r w:rsidRPr="00BA3F41">
        <w:rPr>
          <w:rFonts w:ascii="Times New Roman" w:eastAsia="Times New Roman" w:hAnsi="Times New Roman" w:cs="Times New Roman"/>
          <w:kern w:val="0"/>
          <w:sz w:val="24"/>
          <w:szCs w:val="24"/>
          <w:lang w:val="en-US" w:eastAsia="en-US"/>
        </w:rPr>
        <w:t>shoot</w:t>
      </w:r>
      <w:proofErr w:type="gramEnd"/>
      <w:r w:rsidRPr="00BA3F41">
        <w:rPr>
          <w:rFonts w:ascii="Times New Roman" w:eastAsia="Times New Roman" w:hAnsi="Times New Roman" w:cs="Times New Roman"/>
          <w:kern w:val="0"/>
          <w:sz w:val="24"/>
          <w:szCs w:val="24"/>
          <w:lang w:val="en-US" w:eastAsia="en-US"/>
        </w:rPr>
        <w:t xml:space="preserve">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G. Journal of Advances in Biology &amp; Biotechnology, 28(10), 1486–1492. </w:t>
      </w:r>
      <w:hyperlink r:id="rId25" w:history="1">
        <w:r w:rsidRPr="00BA3F41">
          <w:rPr>
            <w:rFonts w:ascii="Times New Roman" w:eastAsia="Times New Roman" w:hAnsi="Times New Roman" w:cs="Times New Roman"/>
            <w:color w:val="0000FF"/>
            <w:kern w:val="0"/>
            <w:sz w:val="24"/>
            <w:szCs w:val="24"/>
            <w:u w:val="single"/>
            <w:lang w:val="en-US" w:eastAsia="en-US"/>
          </w:rPr>
          <w:t>https://doi.org/10.9734/jabb/2025/v28i103163</w:t>
        </w:r>
      </w:hyperlink>
    </w:p>
    <w:p w14:paraId="26627EC2"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Sahana, R. N., Sunitha, T. R., Pramod, G., Nitish Kumar, L. S., &amp; Kavitha, T. R. (2026). Biology of the brinjal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(Lepidoptera: </w:t>
      </w:r>
      <w:proofErr w:type="spellStart"/>
      <w:r w:rsidRPr="00BA3F41">
        <w:rPr>
          <w:rFonts w:ascii="Times New Roman" w:eastAsia="Times New Roman" w:hAnsi="Times New Roman" w:cs="Times New Roman"/>
          <w:kern w:val="0"/>
          <w:sz w:val="24"/>
          <w:szCs w:val="24"/>
          <w:lang w:val="en-US" w:eastAsia="en-US"/>
        </w:rPr>
        <w:t>Crambidae</w:t>
      </w:r>
      <w:proofErr w:type="spellEnd"/>
      <w:r w:rsidRPr="00BA3F41">
        <w:rPr>
          <w:rFonts w:ascii="Times New Roman" w:eastAsia="Times New Roman" w:hAnsi="Times New Roman" w:cs="Times New Roman"/>
          <w:kern w:val="0"/>
          <w:sz w:val="24"/>
          <w:szCs w:val="24"/>
          <w:lang w:val="en-US" w:eastAsia="en-US"/>
        </w:rPr>
        <w:t xml:space="preserve">), under laboratory conditions. Journal of Scientific Research and Reports, 32(8), 667–675. </w:t>
      </w:r>
      <w:hyperlink r:id="rId26" w:history="1">
        <w:r w:rsidRPr="00BA3F41">
          <w:rPr>
            <w:rFonts w:ascii="Times New Roman" w:eastAsia="Times New Roman" w:hAnsi="Times New Roman" w:cs="Times New Roman"/>
            <w:color w:val="0000FF"/>
            <w:kern w:val="0"/>
            <w:sz w:val="24"/>
            <w:szCs w:val="24"/>
            <w:u w:val="single"/>
            <w:lang w:val="en-US" w:eastAsia="en-US"/>
          </w:rPr>
          <w:t>https://doi.org/10.9734/jsrr/2026/v32i84411</w:t>
        </w:r>
      </w:hyperlink>
    </w:p>
    <w:p w14:paraId="2BA5AE32"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Saraswathi, S., Sowrabha, R., </w:t>
      </w:r>
      <w:proofErr w:type="spellStart"/>
      <w:r w:rsidRPr="00BA3F41">
        <w:rPr>
          <w:rFonts w:ascii="Times New Roman" w:eastAsia="Times New Roman" w:hAnsi="Times New Roman" w:cs="Times New Roman"/>
          <w:kern w:val="0"/>
          <w:sz w:val="24"/>
          <w:szCs w:val="24"/>
          <w:lang w:val="en-US" w:eastAsia="en-US"/>
        </w:rPr>
        <w:t>Tannavi</w:t>
      </w:r>
      <w:proofErr w:type="spellEnd"/>
      <w:r w:rsidRPr="00BA3F41">
        <w:rPr>
          <w:rFonts w:ascii="Times New Roman" w:eastAsia="Times New Roman" w:hAnsi="Times New Roman" w:cs="Times New Roman"/>
          <w:kern w:val="0"/>
          <w:sz w:val="24"/>
          <w:szCs w:val="24"/>
          <w:lang w:val="en-US" w:eastAsia="en-US"/>
        </w:rPr>
        <w:t xml:space="preserve">, K., &amp; </w:t>
      </w:r>
      <w:proofErr w:type="spellStart"/>
      <w:r w:rsidRPr="00BA3F41">
        <w:rPr>
          <w:rFonts w:ascii="Times New Roman" w:eastAsia="Times New Roman" w:hAnsi="Times New Roman" w:cs="Times New Roman"/>
          <w:kern w:val="0"/>
          <w:sz w:val="24"/>
          <w:szCs w:val="24"/>
          <w:lang w:val="en-US" w:eastAsia="en-US"/>
        </w:rPr>
        <w:t>Manjulakumari</w:t>
      </w:r>
      <w:proofErr w:type="spellEnd"/>
      <w:r w:rsidRPr="00BA3F41">
        <w:rPr>
          <w:rFonts w:ascii="Times New Roman" w:eastAsia="Times New Roman" w:hAnsi="Times New Roman" w:cs="Times New Roman"/>
          <w:kern w:val="0"/>
          <w:sz w:val="24"/>
          <w:szCs w:val="24"/>
          <w:lang w:val="en-US" w:eastAsia="en-US"/>
        </w:rPr>
        <w:t xml:space="preserve">, D. (2024). Pest control strategies for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Guene—A review. International Journal of Pest Management, 70(4), 1015–1028. </w:t>
      </w:r>
      <w:hyperlink r:id="rId27" w:history="1">
        <w:r w:rsidRPr="00BA3F41">
          <w:rPr>
            <w:rFonts w:ascii="Times New Roman" w:eastAsia="Times New Roman" w:hAnsi="Times New Roman" w:cs="Times New Roman"/>
            <w:color w:val="0000FF"/>
            <w:kern w:val="0"/>
            <w:sz w:val="24"/>
            <w:szCs w:val="24"/>
            <w:u w:val="single"/>
            <w:lang w:val="en-US" w:eastAsia="en-US"/>
          </w:rPr>
          <w:t>https://doi.org/10.1080/09670874.2022.2064558</w:t>
        </w:r>
      </w:hyperlink>
    </w:p>
    <w:p w14:paraId="0E188637"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Saravanan, S., Shanmugam, P. S., Nataraj, N., </w:t>
      </w:r>
      <w:proofErr w:type="spellStart"/>
      <w:r w:rsidRPr="00BA3F41">
        <w:rPr>
          <w:rFonts w:ascii="Times New Roman" w:eastAsia="Times New Roman" w:hAnsi="Times New Roman" w:cs="Times New Roman"/>
          <w:kern w:val="0"/>
          <w:sz w:val="24"/>
          <w:szCs w:val="24"/>
          <w:lang w:val="en-US" w:eastAsia="en-US"/>
        </w:rPr>
        <w:t>Subaharan</w:t>
      </w:r>
      <w:proofErr w:type="spellEnd"/>
      <w:r w:rsidRPr="00BA3F41">
        <w:rPr>
          <w:rFonts w:ascii="Times New Roman" w:eastAsia="Times New Roman" w:hAnsi="Times New Roman" w:cs="Times New Roman"/>
          <w:kern w:val="0"/>
          <w:sz w:val="24"/>
          <w:szCs w:val="24"/>
          <w:lang w:val="en-US" w:eastAsia="en-US"/>
        </w:rPr>
        <w:t xml:space="preserve">, K., Murugan, M., Praveenkumar, C., Goswami, S., Udhayakumar, M., Udayakumar, A., &amp; Sushil, S. N. (2026). Exploiting chemical ecology: Innovative and eco-friendly management methods for brinjal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(Lepidoptera: </w:t>
      </w:r>
      <w:proofErr w:type="spellStart"/>
      <w:r w:rsidRPr="00BA3F41">
        <w:rPr>
          <w:rFonts w:ascii="Times New Roman" w:eastAsia="Times New Roman" w:hAnsi="Times New Roman" w:cs="Times New Roman"/>
          <w:kern w:val="0"/>
          <w:sz w:val="24"/>
          <w:szCs w:val="24"/>
          <w:lang w:val="en-US" w:eastAsia="en-US"/>
        </w:rPr>
        <w:t>Crambidae</w:t>
      </w:r>
      <w:proofErr w:type="spellEnd"/>
      <w:r w:rsidRPr="00BA3F41">
        <w:rPr>
          <w:rFonts w:ascii="Times New Roman" w:eastAsia="Times New Roman" w:hAnsi="Times New Roman" w:cs="Times New Roman"/>
          <w:kern w:val="0"/>
          <w:sz w:val="24"/>
          <w:szCs w:val="24"/>
          <w:lang w:val="en-US" w:eastAsia="en-US"/>
        </w:rPr>
        <w:t xml:space="preserve">) in brinjal. </w:t>
      </w:r>
      <w:proofErr w:type="spellStart"/>
      <w:r w:rsidRPr="00BA3F41">
        <w:rPr>
          <w:rFonts w:ascii="Times New Roman" w:eastAsia="Times New Roman" w:hAnsi="Times New Roman" w:cs="Times New Roman"/>
          <w:kern w:val="0"/>
          <w:sz w:val="24"/>
          <w:szCs w:val="24"/>
          <w:lang w:val="en-US" w:eastAsia="en-US"/>
        </w:rPr>
        <w:t>Entomologia</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Experimentalis</w:t>
      </w:r>
      <w:proofErr w:type="spellEnd"/>
      <w:r w:rsidRPr="00BA3F41">
        <w:rPr>
          <w:rFonts w:ascii="Times New Roman" w:eastAsia="Times New Roman" w:hAnsi="Times New Roman" w:cs="Times New Roman"/>
          <w:kern w:val="0"/>
          <w:sz w:val="24"/>
          <w:szCs w:val="24"/>
          <w:lang w:val="en-US" w:eastAsia="en-US"/>
        </w:rPr>
        <w:t xml:space="preserve"> et </w:t>
      </w:r>
      <w:proofErr w:type="spellStart"/>
      <w:r w:rsidRPr="00BA3F41">
        <w:rPr>
          <w:rFonts w:ascii="Times New Roman" w:eastAsia="Times New Roman" w:hAnsi="Times New Roman" w:cs="Times New Roman"/>
          <w:kern w:val="0"/>
          <w:sz w:val="24"/>
          <w:szCs w:val="24"/>
          <w:lang w:val="en-US" w:eastAsia="en-US"/>
        </w:rPr>
        <w:t>Applicata</w:t>
      </w:r>
      <w:proofErr w:type="spellEnd"/>
      <w:r w:rsidRPr="00BA3F41">
        <w:rPr>
          <w:rFonts w:ascii="Times New Roman" w:eastAsia="Times New Roman" w:hAnsi="Times New Roman" w:cs="Times New Roman"/>
          <w:kern w:val="0"/>
          <w:sz w:val="24"/>
          <w:szCs w:val="24"/>
          <w:lang w:val="en-US" w:eastAsia="en-US"/>
        </w:rPr>
        <w:t xml:space="preserve">. </w:t>
      </w:r>
      <w:hyperlink r:id="rId28" w:history="1">
        <w:r w:rsidRPr="00BA3F41">
          <w:rPr>
            <w:rFonts w:ascii="Times New Roman" w:eastAsia="Times New Roman" w:hAnsi="Times New Roman" w:cs="Times New Roman"/>
            <w:color w:val="0000FF"/>
            <w:kern w:val="0"/>
            <w:sz w:val="24"/>
            <w:szCs w:val="24"/>
            <w:u w:val="single"/>
            <w:lang w:val="en-US" w:eastAsia="en-US"/>
          </w:rPr>
          <w:t>https://doi.org/10.1111/eea.70084</w:t>
        </w:r>
      </w:hyperlink>
    </w:p>
    <w:p w14:paraId="5DE19B7C"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Sharma, A., Rana, R. S., Sharma, K. C., Kumar, A., &amp; Singh, S. (2017). Screening of brinjal cultivars resistance against brinjal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International Journal of Entomology Research, 2(5), 69–75. </w:t>
      </w:r>
      <w:hyperlink r:id="rId29" w:history="1">
        <w:r w:rsidRPr="00BA3F41">
          <w:rPr>
            <w:rFonts w:ascii="Times New Roman" w:eastAsia="Times New Roman" w:hAnsi="Times New Roman" w:cs="Times New Roman"/>
            <w:color w:val="0000FF"/>
            <w:kern w:val="0"/>
            <w:sz w:val="24"/>
            <w:szCs w:val="24"/>
            <w:u w:val="single"/>
            <w:lang w:val="en-US" w:eastAsia="en-US"/>
          </w:rPr>
          <w:t>https://www.entomologyjournals.com/assets/archives/2017/vol2issue5/2-5-20-922.pdf</w:t>
        </w:r>
      </w:hyperlink>
    </w:p>
    <w:p w14:paraId="3316C408" w14:textId="543FB659"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lastRenderedPageBreak/>
        <w:t xml:space="preserve">Shukla, V., &amp; Naik, L. B. (1993). </w:t>
      </w:r>
      <w:proofErr w:type="spellStart"/>
      <w:r w:rsidRPr="00BA3F41">
        <w:rPr>
          <w:rFonts w:ascii="Times New Roman" w:eastAsia="Times New Roman" w:hAnsi="Times New Roman" w:cs="Times New Roman"/>
          <w:kern w:val="0"/>
          <w:sz w:val="24"/>
          <w:szCs w:val="24"/>
          <w:lang w:val="en-US" w:eastAsia="en-US"/>
        </w:rPr>
        <w:t>Agro</w:t>
      </w:r>
      <w:proofErr w:type="spellEnd"/>
      <w:r w:rsidRPr="00BA3F41">
        <w:rPr>
          <w:rFonts w:ascii="Times New Roman" w:eastAsia="Times New Roman" w:hAnsi="Times New Roman" w:cs="Times New Roman"/>
          <w:kern w:val="0"/>
          <w:sz w:val="24"/>
          <w:szCs w:val="24"/>
          <w:lang w:val="en-US" w:eastAsia="en-US"/>
        </w:rPr>
        <w:t xml:space="preserve">-techniques of solanaceous vegetables. In K. L. Chadha &amp; G. Kalloo (Eds.), Advances in horticulture: Vol. 5. Vegetable crops, Part I (p. 365). Malhotra Publishing House. </w:t>
      </w:r>
    </w:p>
    <w:p w14:paraId="0B6B3489"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Singh, G., Singh, D. V., &amp; </w:t>
      </w:r>
      <w:proofErr w:type="spellStart"/>
      <w:r w:rsidRPr="00BA3F41">
        <w:rPr>
          <w:rFonts w:ascii="Times New Roman" w:eastAsia="Times New Roman" w:hAnsi="Times New Roman" w:cs="Times New Roman"/>
          <w:kern w:val="0"/>
          <w:sz w:val="24"/>
          <w:szCs w:val="24"/>
          <w:lang w:val="en-US" w:eastAsia="en-US"/>
        </w:rPr>
        <w:t>Anokhe</w:t>
      </w:r>
      <w:proofErr w:type="spellEnd"/>
      <w:r w:rsidRPr="00BA3F41">
        <w:rPr>
          <w:rFonts w:ascii="Times New Roman" w:eastAsia="Times New Roman" w:hAnsi="Times New Roman" w:cs="Times New Roman"/>
          <w:kern w:val="0"/>
          <w:sz w:val="24"/>
          <w:szCs w:val="24"/>
          <w:lang w:val="en-US" w:eastAsia="en-US"/>
        </w:rPr>
        <w:t xml:space="preserve">, A. (2022). Biology of brinjal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Journal of Entomological Research, 46(3), 603–606. </w:t>
      </w:r>
      <w:hyperlink r:id="rId30" w:history="1">
        <w:r w:rsidRPr="00BA3F41">
          <w:rPr>
            <w:rFonts w:ascii="Times New Roman" w:eastAsia="Times New Roman" w:hAnsi="Times New Roman" w:cs="Times New Roman"/>
            <w:color w:val="0000FF"/>
            <w:kern w:val="0"/>
            <w:sz w:val="24"/>
            <w:szCs w:val="24"/>
            <w:u w:val="single"/>
            <w:lang w:val="en-US" w:eastAsia="en-US"/>
          </w:rPr>
          <w:t>https://doi.org/10.5958/0974-4576.2022.00120.7</w:t>
        </w:r>
      </w:hyperlink>
    </w:p>
    <w:p w14:paraId="2ACB2624"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Singh, Y. P., &amp; Singh, P. P. (2001). Screening of brinjal (Solanum melongena L.) cultivars against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Guen.) at medium-high altitude hills of Meghalaya. Indian Journal of Plant Protection, 29(1–2), 34–38. </w:t>
      </w:r>
      <w:hyperlink r:id="rId31" w:history="1">
        <w:r w:rsidRPr="00BA3F41">
          <w:rPr>
            <w:rFonts w:ascii="Times New Roman" w:eastAsia="Times New Roman" w:hAnsi="Times New Roman" w:cs="Times New Roman"/>
            <w:color w:val="0000FF"/>
            <w:kern w:val="0"/>
            <w:sz w:val="24"/>
            <w:szCs w:val="24"/>
            <w:u w:val="single"/>
            <w:lang w:val="en-US" w:eastAsia="en-US"/>
          </w:rPr>
          <w:t>https://indianjournals.com/article/ijpp1-29-1and2-006</w:t>
        </w:r>
      </w:hyperlink>
    </w:p>
    <w:p w14:paraId="4E82F9A9" w14:textId="2B435E0F"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Thapa, R. B. (2010). Integrated management of brinjal fruit and shoot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Guen.: An overview. Journal of the Institute of Agriculture and Animal Science, 31, 1–16. </w:t>
      </w:r>
    </w:p>
    <w:p w14:paraId="11B0A648"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Tripura, A., Chatterjee, M. L., Pande, R., &amp; Patra, S. (2017). Biorational management of brinjal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in the mid-hills of Meghalaya. Journal of Entomology and Zoology Studies, 5(4), 41–45. </w:t>
      </w:r>
      <w:hyperlink r:id="rId32" w:history="1">
        <w:r w:rsidRPr="00BA3F41">
          <w:rPr>
            <w:rFonts w:ascii="Times New Roman" w:eastAsia="Times New Roman" w:hAnsi="Times New Roman" w:cs="Times New Roman"/>
            <w:color w:val="0000FF"/>
            <w:kern w:val="0"/>
            <w:sz w:val="24"/>
            <w:szCs w:val="24"/>
            <w:u w:val="single"/>
            <w:lang w:val="en-US" w:eastAsia="en-US"/>
          </w:rPr>
          <w:t>https://www.entomoljournal.com/archives/2017/vol5issue4/PartA/5-3-144-414.pdf</w:t>
        </w:r>
      </w:hyperlink>
    </w:p>
    <w:p w14:paraId="40E7E27C"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Wali, K., Varma, C. B., </w:t>
      </w:r>
      <w:proofErr w:type="spellStart"/>
      <w:r w:rsidRPr="00BA3F41">
        <w:rPr>
          <w:rFonts w:ascii="Times New Roman" w:eastAsia="Times New Roman" w:hAnsi="Times New Roman" w:cs="Times New Roman"/>
          <w:kern w:val="0"/>
          <w:sz w:val="24"/>
          <w:szCs w:val="24"/>
          <w:lang w:val="en-US" w:eastAsia="en-US"/>
        </w:rPr>
        <w:t>Sisodiya</w:t>
      </w:r>
      <w:proofErr w:type="spellEnd"/>
      <w:r w:rsidRPr="00BA3F41">
        <w:rPr>
          <w:rFonts w:ascii="Times New Roman" w:eastAsia="Times New Roman" w:hAnsi="Times New Roman" w:cs="Times New Roman"/>
          <w:kern w:val="0"/>
          <w:sz w:val="24"/>
          <w:szCs w:val="24"/>
          <w:lang w:val="en-US" w:eastAsia="en-US"/>
        </w:rPr>
        <w:t xml:space="preserve">, D. B., &amp; Gamit, S. S. (2022). Biology of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in brinjal. International Journal of Veterinary Medicine, 4, 11–18. </w:t>
      </w:r>
      <w:hyperlink r:id="rId33" w:history="1">
        <w:r w:rsidRPr="00BA3F41">
          <w:rPr>
            <w:rFonts w:ascii="Times New Roman" w:eastAsia="Times New Roman" w:hAnsi="Times New Roman" w:cs="Times New Roman"/>
            <w:color w:val="0000FF"/>
            <w:kern w:val="0"/>
            <w:sz w:val="24"/>
            <w:szCs w:val="24"/>
            <w:u w:val="single"/>
            <w:lang w:val="en-US" w:eastAsia="en-US"/>
          </w:rPr>
          <w:t>https://www.iaras.org/home/caijvm/biology-of-shoot-and-fruit-borer-leucinodes-orbonalis-guenee-in-brinjal</w:t>
        </w:r>
      </w:hyperlink>
    </w:p>
    <w:p w14:paraId="1AE89015"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Yadav, A., Sachan, S. K., Yadav, A., &amp; Yadav, T. (2015). Biology of brinjal shoot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G. under laboratory conditions at 35°C temperature and 90% relative humidity during 2009 and 2010. Plant Archives, 15(2), 889–893. </w:t>
      </w:r>
      <w:hyperlink r:id="rId34" w:history="1">
        <w:r w:rsidRPr="00BA3F41">
          <w:rPr>
            <w:rFonts w:ascii="Times New Roman" w:eastAsia="Times New Roman" w:hAnsi="Times New Roman" w:cs="Times New Roman"/>
            <w:color w:val="0000FF"/>
            <w:kern w:val="0"/>
            <w:sz w:val="24"/>
            <w:szCs w:val="24"/>
            <w:u w:val="single"/>
            <w:lang w:val="en-US" w:eastAsia="en-US"/>
          </w:rPr>
          <w:t>https://www.plantarchives.org/pdf%2015-2/889-893%20%283040%29.pdf</w:t>
        </w:r>
      </w:hyperlink>
    </w:p>
    <w:p w14:paraId="66EC31B8" w14:textId="77777777" w:rsidR="00BA3F41" w:rsidRPr="00BA3F41" w:rsidRDefault="00BA3F41" w:rsidP="00BA3F41">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rPr>
      </w:pPr>
      <w:r w:rsidRPr="00BA3F41">
        <w:rPr>
          <w:rFonts w:ascii="Times New Roman" w:eastAsia="Times New Roman" w:hAnsi="Times New Roman" w:cs="Times New Roman"/>
          <w:kern w:val="0"/>
          <w:sz w:val="24"/>
          <w:szCs w:val="24"/>
          <w:lang w:val="en-US" w:eastAsia="en-US"/>
        </w:rPr>
        <w:t xml:space="preserve">Yadav, R., Sharma, S. L., Choudhary, S., Sharma, M., &amp; Hussain, A. (2025). Developmental biology of brinjal </w:t>
      </w:r>
      <w:proofErr w:type="gramStart"/>
      <w:r w:rsidRPr="00BA3F41">
        <w:rPr>
          <w:rFonts w:ascii="Times New Roman" w:eastAsia="Times New Roman" w:hAnsi="Times New Roman" w:cs="Times New Roman"/>
          <w:kern w:val="0"/>
          <w:sz w:val="24"/>
          <w:szCs w:val="24"/>
          <w:lang w:val="en-US" w:eastAsia="en-US"/>
        </w:rPr>
        <w:t>shoot</w:t>
      </w:r>
      <w:proofErr w:type="gramEnd"/>
      <w:r w:rsidRPr="00BA3F41">
        <w:rPr>
          <w:rFonts w:ascii="Times New Roman" w:eastAsia="Times New Roman" w:hAnsi="Times New Roman" w:cs="Times New Roman"/>
          <w:kern w:val="0"/>
          <w:sz w:val="24"/>
          <w:szCs w:val="24"/>
          <w:lang w:val="en-US" w:eastAsia="en-US"/>
        </w:rPr>
        <w:t xml:space="preserve"> and fruit borer (</w:t>
      </w:r>
      <w:proofErr w:type="spellStart"/>
      <w:r w:rsidRPr="00BA3F41">
        <w:rPr>
          <w:rFonts w:ascii="Times New Roman" w:eastAsia="Times New Roman" w:hAnsi="Times New Roman" w:cs="Times New Roman"/>
          <w:kern w:val="0"/>
          <w:sz w:val="24"/>
          <w:szCs w:val="24"/>
          <w:lang w:val="en-US" w:eastAsia="en-US"/>
        </w:rPr>
        <w:t>Leucinodes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orbonalis</w:t>
      </w:r>
      <w:proofErr w:type="spellEnd"/>
      <w:r w:rsidRPr="00BA3F41">
        <w:rPr>
          <w:rFonts w:ascii="Times New Roman" w:eastAsia="Times New Roman" w:hAnsi="Times New Roman" w:cs="Times New Roman"/>
          <w:kern w:val="0"/>
          <w:sz w:val="24"/>
          <w:szCs w:val="24"/>
          <w:lang w:val="en-US" w:eastAsia="en-US"/>
        </w:rPr>
        <w:t xml:space="preserve"> </w:t>
      </w:r>
      <w:proofErr w:type="spellStart"/>
      <w:r w:rsidRPr="00BA3F41">
        <w:rPr>
          <w:rFonts w:ascii="Times New Roman" w:eastAsia="Times New Roman" w:hAnsi="Times New Roman" w:cs="Times New Roman"/>
          <w:kern w:val="0"/>
          <w:sz w:val="24"/>
          <w:szCs w:val="24"/>
          <w:lang w:val="en-US" w:eastAsia="en-US"/>
        </w:rPr>
        <w:t>Guenée</w:t>
      </w:r>
      <w:proofErr w:type="spellEnd"/>
      <w:r w:rsidRPr="00BA3F41">
        <w:rPr>
          <w:rFonts w:ascii="Times New Roman" w:eastAsia="Times New Roman" w:hAnsi="Times New Roman" w:cs="Times New Roman"/>
          <w:kern w:val="0"/>
          <w:sz w:val="24"/>
          <w:szCs w:val="24"/>
          <w:lang w:val="en-US" w:eastAsia="en-US"/>
        </w:rPr>
        <w:t xml:space="preserve">) on eggplant under laboratory conditions. International Journal of Advanced Biochemistry Research, 9(1S), 585–588. </w:t>
      </w:r>
      <w:hyperlink r:id="rId35" w:history="1">
        <w:r w:rsidRPr="00BA3F41">
          <w:rPr>
            <w:rFonts w:ascii="Times New Roman" w:eastAsia="Times New Roman" w:hAnsi="Times New Roman" w:cs="Times New Roman"/>
            <w:color w:val="0000FF"/>
            <w:kern w:val="0"/>
            <w:sz w:val="24"/>
            <w:szCs w:val="24"/>
            <w:u w:val="single"/>
            <w:lang w:val="en-US" w:eastAsia="en-US"/>
          </w:rPr>
          <w:t>https://doi.org/10.33545/26174693.2025.v9.i1Sh.3570</w:t>
        </w:r>
      </w:hyperlink>
    </w:p>
    <w:p w14:paraId="59D789E5" w14:textId="77777777" w:rsidR="00BA3F41" w:rsidRDefault="00BA3F41">
      <w:pPr>
        <w:jc w:val="both"/>
        <w:rPr>
          <w:rFonts w:ascii="Times New Roman" w:hAnsi="Times New Roman" w:cs="Times New Roman"/>
          <w:b/>
          <w:bCs/>
          <w:sz w:val="24"/>
          <w:szCs w:val="24"/>
        </w:rPr>
      </w:pPr>
    </w:p>
    <w:sectPr w:rsidR="00BA3F41">
      <w:headerReference w:type="default" r:id="rId36"/>
      <w:footerReference w:type="default" r:id="rId37"/>
      <w:type w:val="continuous"/>
      <w:pgSz w:w="11906" w:h="16838"/>
      <w:pgMar w:top="1440" w:right="1440" w:bottom="1350" w:left="1440"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ADFD3" w14:textId="77777777" w:rsidR="00C76040" w:rsidRDefault="00C76040">
      <w:pPr>
        <w:spacing w:after="0" w:line="240" w:lineRule="auto"/>
      </w:pPr>
      <w:r>
        <w:separator/>
      </w:r>
    </w:p>
  </w:endnote>
  <w:endnote w:type="continuationSeparator" w:id="0">
    <w:p w14:paraId="133AE21E" w14:textId="77777777" w:rsidR="00C76040" w:rsidRDefault="00C76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FA073" w14:textId="77777777" w:rsidR="003555B9" w:rsidRDefault="00355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FB902" w14:textId="77777777" w:rsidR="00C76040" w:rsidRDefault="00C76040">
      <w:pPr>
        <w:spacing w:after="0" w:line="240" w:lineRule="auto"/>
      </w:pPr>
      <w:r>
        <w:separator/>
      </w:r>
    </w:p>
  </w:footnote>
  <w:footnote w:type="continuationSeparator" w:id="0">
    <w:p w14:paraId="3B230F73" w14:textId="77777777" w:rsidR="00C76040" w:rsidRDefault="00C76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E14F" w14:textId="77777777" w:rsidR="003555B9" w:rsidRDefault="00000000">
    <w:pPr>
      <w:pStyle w:val="Header"/>
      <w:rPr>
        <w:lang w:val="en-US" w:eastAsia="en-US"/>
      </w:rPr>
    </w:pPr>
    <w:r>
      <w:rPr>
        <w:lang w:val="en-US" w:eastAsia="en-US"/>
      </w:rPr>
      <w:pict w14:anchorId="04B60F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50002" o:spid="_x0000_s1025" type="#_x0000_t136" style="position:absolute;margin-left:0;margin-top:0;width:535.75pt;height:81.85pt;rotation:315;z-index:1;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B3EBA"/>
    <w:multiLevelType w:val="multilevel"/>
    <w:tmpl w:val="4108653C"/>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BFC78E0"/>
    <w:multiLevelType w:val="multilevel"/>
    <w:tmpl w:val="E19A5E52"/>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num w:numId="1" w16cid:durableId="1891065165">
    <w:abstractNumId w:val="1"/>
  </w:num>
  <w:num w:numId="2" w16cid:durableId="1828474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autoHyphenation/>
  <w:hyphenationZone w:val="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yNLM0sjC0MDO1MDdX0lEKTi0uzszPAykwrAUAH6ePlSwAAAA="/>
  </w:docVars>
  <w:rsids>
    <w:rsidRoot w:val="003555B9"/>
    <w:rsid w:val="001E6019"/>
    <w:rsid w:val="002176B3"/>
    <w:rsid w:val="003555B9"/>
    <w:rsid w:val="004A3ECD"/>
    <w:rsid w:val="005929D0"/>
    <w:rsid w:val="006A0553"/>
    <w:rsid w:val="006B7E78"/>
    <w:rsid w:val="00765C6C"/>
    <w:rsid w:val="008014C5"/>
    <w:rsid w:val="00892391"/>
    <w:rsid w:val="0091449C"/>
    <w:rsid w:val="009B4E77"/>
    <w:rsid w:val="00B41D97"/>
    <w:rsid w:val="00BA3F41"/>
    <w:rsid w:val="00C07FAE"/>
    <w:rsid w:val="00C76040"/>
    <w:rsid w:val="00D65115"/>
    <w:rsid w:val="00D8658E"/>
    <w:rsid w:val="00D87367"/>
    <w:rsid w:val="00EC746B"/>
    <w:rsid w:val="00F333C5"/>
    <w:rsid w:val="00F432CD"/>
    <w:rsid w:val="00F461D9"/>
    <w:rsid w:val="00FE3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26D478"/>
  <w15:docId w15:val="{6582A0D6-883C-4EE7-B427-358B5416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Mangal"/>
      <w:kern w:val="2"/>
      <w:sz w:val="22"/>
      <w:szCs w:val="22"/>
      <w:lang w:val="en-IN" w:eastAsia="zh-CN"/>
    </w:rPr>
  </w:style>
  <w:style w:type="paragraph" w:styleId="Heading1">
    <w:name w:val="heading 1"/>
    <w:basedOn w:val="Normal"/>
    <w:next w:val="Normal"/>
    <w:uiPriority w:val="9"/>
    <w:qFormat/>
    <w:pPr>
      <w:keepNext/>
      <w:keepLines/>
      <w:numPr>
        <w:numId w:val="1"/>
      </w:numPr>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uiPriority w:val="9"/>
    <w:semiHidden/>
    <w:unhideWhenUsed/>
    <w:qFormat/>
    <w:pPr>
      <w:keepNext/>
      <w:keepLines/>
      <w:numPr>
        <w:ilvl w:val="1"/>
        <w:numId w:val="1"/>
      </w:numPr>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uiPriority w:val="9"/>
    <w:semiHidden/>
    <w:unhideWhenUsed/>
    <w:qFormat/>
    <w:pPr>
      <w:keepNext/>
      <w:keepLines/>
      <w:numPr>
        <w:ilvl w:val="2"/>
        <w:numId w:val="1"/>
      </w:numPr>
      <w:spacing w:before="160" w:after="80"/>
      <w:outlineLvl w:val="2"/>
    </w:pPr>
    <w:rPr>
      <w:rFonts w:eastAsia="Times New Roman"/>
      <w:color w:val="2F5496"/>
      <w:sz w:val="28"/>
      <w:szCs w:val="28"/>
    </w:rPr>
  </w:style>
  <w:style w:type="paragraph" w:styleId="Heading4">
    <w:name w:val="heading 4"/>
    <w:basedOn w:val="Normal"/>
    <w:next w:val="Normal"/>
    <w:uiPriority w:val="9"/>
    <w:semiHidden/>
    <w:unhideWhenUsed/>
    <w:qFormat/>
    <w:pPr>
      <w:keepNext/>
      <w:keepLines/>
      <w:numPr>
        <w:ilvl w:val="3"/>
        <w:numId w:val="1"/>
      </w:numPr>
      <w:spacing w:before="80" w:after="40"/>
      <w:outlineLvl w:val="3"/>
    </w:pPr>
    <w:rPr>
      <w:rFonts w:eastAsia="Times New Roman"/>
      <w:i/>
      <w:iCs/>
      <w:color w:val="2F5496"/>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eastAsia="Times New Roman"/>
      <w:color w:val="2F5496"/>
    </w:rPr>
  </w:style>
  <w:style w:type="paragraph" w:styleId="Heading6">
    <w:name w:val="heading 6"/>
    <w:basedOn w:val="Normal"/>
    <w:next w:val="Normal"/>
    <w:uiPriority w:val="9"/>
    <w:semiHidden/>
    <w:unhideWhenUsed/>
    <w:qFormat/>
    <w:pPr>
      <w:keepNext/>
      <w:keepLines/>
      <w:numPr>
        <w:ilvl w:val="5"/>
        <w:numId w:val="1"/>
      </w:numPr>
      <w:spacing w:before="40" w:after="0"/>
      <w:outlineLvl w:val="5"/>
    </w:pPr>
    <w:rPr>
      <w:rFonts w:eastAsia="Times New Roman"/>
      <w:i/>
      <w:iCs/>
      <w:color w:val="595959"/>
    </w:rPr>
  </w:style>
  <w:style w:type="paragraph" w:styleId="Heading7">
    <w:name w:val="heading 7"/>
    <w:basedOn w:val="Normal"/>
    <w:next w:val="Normal"/>
    <w:qFormat/>
    <w:pPr>
      <w:keepNext/>
      <w:keepLines/>
      <w:numPr>
        <w:ilvl w:val="6"/>
        <w:numId w:val="1"/>
      </w:numPr>
      <w:spacing w:before="40" w:after="0"/>
      <w:outlineLvl w:val="6"/>
    </w:pPr>
    <w:rPr>
      <w:rFonts w:eastAsia="Times New Roman"/>
      <w:color w:val="595959"/>
    </w:rPr>
  </w:style>
  <w:style w:type="paragraph" w:styleId="Heading8">
    <w:name w:val="heading 8"/>
    <w:basedOn w:val="Normal"/>
    <w:next w:val="Normal"/>
    <w:qFormat/>
    <w:pPr>
      <w:keepNext/>
      <w:keepLines/>
      <w:numPr>
        <w:ilvl w:val="7"/>
        <w:numId w:val="1"/>
      </w:numPr>
      <w:spacing w:after="0"/>
      <w:outlineLvl w:val="7"/>
    </w:pPr>
    <w:rPr>
      <w:rFonts w:eastAsia="Times New Roman"/>
      <w:i/>
      <w:iCs/>
      <w:color w:val="272727"/>
    </w:rPr>
  </w:style>
  <w:style w:type="paragraph" w:styleId="Heading9">
    <w:name w:val="heading 9"/>
    <w:basedOn w:val="Normal"/>
    <w:next w:val="Normal"/>
    <w:qFormat/>
    <w:pPr>
      <w:keepNext/>
      <w:keepLines/>
      <w:numPr>
        <w:ilvl w:val="8"/>
        <w:numId w:val="1"/>
      </w:numPr>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style>
  <w:style w:type="character" w:customStyle="1" w:styleId="WW8Num5z0">
    <w:name w:val="WW8Num5z0"/>
    <w:qFormat/>
  </w:style>
  <w:style w:type="character" w:customStyle="1" w:styleId="Heading1Char">
    <w:name w:val="Heading 1 Char"/>
    <w:qFormat/>
    <w:rPr>
      <w:rFonts w:ascii="Calibri Light" w:eastAsia="Times New Roman" w:hAnsi="Calibri Light" w:cs="Mangal"/>
      <w:color w:val="2F5496"/>
      <w:sz w:val="40"/>
      <w:szCs w:val="40"/>
    </w:rPr>
  </w:style>
  <w:style w:type="character" w:customStyle="1" w:styleId="Heading2Char">
    <w:name w:val="Heading 2 Char"/>
    <w:qFormat/>
    <w:rPr>
      <w:rFonts w:ascii="Calibri Light" w:eastAsia="Times New Roman" w:hAnsi="Calibri Light" w:cs="Mangal"/>
      <w:color w:val="2F5496"/>
      <w:sz w:val="32"/>
      <w:szCs w:val="32"/>
    </w:rPr>
  </w:style>
  <w:style w:type="character" w:customStyle="1" w:styleId="Heading3Char">
    <w:name w:val="Heading 3 Char"/>
    <w:qFormat/>
    <w:rPr>
      <w:rFonts w:eastAsia="Times New Roman" w:cs="Mangal"/>
      <w:color w:val="2F5496"/>
      <w:sz w:val="28"/>
      <w:szCs w:val="28"/>
    </w:rPr>
  </w:style>
  <w:style w:type="character" w:customStyle="1" w:styleId="Heading4Char">
    <w:name w:val="Heading 4 Char"/>
    <w:qFormat/>
    <w:rPr>
      <w:rFonts w:eastAsia="Times New Roman" w:cs="Mangal"/>
      <w:i/>
      <w:iCs/>
      <w:color w:val="2F5496"/>
    </w:rPr>
  </w:style>
  <w:style w:type="character" w:customStyle="1" w:styleId="Heading5Char">
    <w:name w:val="Heading 5 Char"/>
    <w:qFormat/>
    <w:rPr>
      <w:rFonts w:eastAsia="Times New Roman" w:cs="Mangal"/>
      <w:color w:val="2F5496"/>
    </w:rPr>
  </w:style>
  <w:style w:type="character" w:customStyle="1" w:styleId="Heading6Char">
    <w:name w:val="Heading 6 Char"/>
    <w:qFormat/>
    <w:rPr>
      <w:rFonts w:eastAsia="Times New Roman" w:cs="Mangal"/>
      <w:i/>
      <w:iCs/>
      <w:color w:val="595959"/>
    </w:rPr>
  </w:style>
  <w:style w:type="character" w:customStyle="1" w:styleId="Heading7Char">
    <w:name w:val="Heading 7 Char"/>
    <w:qFormat/>
    <w:rPr>
      <w:rFonts w:eastAsia="Times New Roman" w:cs="Mangal"/>
      <w:color w:val="595959"/>
    </w:rPr>
  </w:style>
  <w:style w:type="character" w:customStyle="1" w:styleId="Heading8Char">
    <w:name w:val="Heading 8 Char"/>
    <w:qFormat/>
    <w:rPr>
      <w:rFonts w:eastAsia="Times New Roman" w:cs="Mangal"/>
      <w:i/>
      <w:iCs/>
      <w:color w:val="272727"/>
    </w:rPr>
  </w:style>
  <w:style w:type="character" w:customStyle="1" w:styleId="Heading9Char">
    <w:name w:val="Heading 9 Char"/>
    <w:qFormat/>
    <w:rPr>
      <w:rFonts w:eastAsia="Times New Roman" w:cs="Mangal"/>
      <w:color w:val="272727"/>
    </w:rPr>
  </w:style>
  <w:style w:type="character" w:customStyle="1" w:styleId="TitleChar">
    <w:name w:val="Title Char"/>
    <w:qFormat/>
    <w:rPr>
      <w:rFonts w:ascii="Calibri Light" w:eastAsia="Times New Roman" w:hAnsi="Calibri Light" w:cs="Mangal"/>
      <w:spacing w:val="-10"/>
      <w:kern w:val="2"/>
      <w:sz w:val="56"/>
      <w:szCs w:val="56"/>
    </w:rPr>
  </w:style>
  <w:style w:type="character" w:customStyle="1" w:styleId="SubtitleChar">
    <w:name w:val="Subtitle Char"/>
    <w:qFormat/>
    <w:rPr>
      <w:rFonts w:eastAsia="Times New Roman" w:cs="Mangal"/>
      <w:color w:val="595959"/>
      <w:spacing w:val="15"/>
      <w:sz w:val="28"/>
      <w:szCs w:val="28"/>
    </w:rPr>
  </w:style>
  <w:style w:type="character" w:customStyle="1" w:styleId="QuoteChar">
    <w:name w:val="Quote Char"/>
    <w:qFormat/>
    <w:rPr>
      <w:i/>
      <w:iCs/>
      <w:color w:val="404040"/>
    </w:rPr>
  </w:style>
  <w:style w:type="character" w:styleId="IntenseEmphasis">
    <w:name w:val="Intense Emphasis"/>
    <w:qFormat/>
    <w:rPr>
      <w:i/>
      <w:iCs/>
      <w:color w:val="2F5496"/>
    </w:rPr>
  </w:style>
  <w:style w:type="character" w:customStyle="1" w:styleId="IntenseQuoteChar">
    <w:name w:val="Intense Quote Char"/>
    <w:qFormat/>
    <w:rPr>
      <w:i/>
      <w:iCs/>
      <w:color w:val="2F5496"/>
    </w:rPr>
  </w:style>
  <w:style w:type="character" w:styleId="IntenseReference">
    <w:name w:val="Intense Reference"/>
    <w:qFormat/>
    <w:rPr>
      <w:b/>
      <w:bCs/>
      <w:smallCaps/>
      <w:color w:val="2F5496"/>
      <w:spacing w:val="5"/>
    </w:rPr>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styleId="Emphasis">
    <w:name w:val="Emphasis"/>
    <w:uiPriority w:val="20"/>
    <w:qFormat/>
    <w:rPr>
      <w:i/>
      <w:iCs/>
    </w:rPr>
  </w:style>
  <w:style w:type="character" w:styleId="CommentReference">
    <w:name w:val="annotation reference"/>
    <w:qFormat/>
    <w:rPr>
      <w:sz w:val="16"/>
      <w:szCs w:val="16"/>
    </w:rPr>
  </w:style>
  <w:style w:type="character" w:customStyle="1" w:styleId="CommentTextChar">
    <w:name w:val="Comment Text Char"/>
    <w:qFormat/>
    <w:rPr>
      <w:kern w:val="2"/>
      <w:lang w:val="en-IN"/>
    </w:rPr>
  </w:style>
  <w:style w:type="character" w:customStyle="1" w:styleId="CommentSubjectChar">
    <w:name w:val="Comment Subject Char"/>
    <w:qFormat/>
    <w:rPr>
      <w:b/>
      <w:bCs/>
      <w:kern w:val="2"/>
      <w:lang w:val="en-IN"/>
    </w:rPr>
  </w:style>
  <w:style w:type="character" w:customStyle="1" w:styleId="BalloonTextChar">
    <w:name w:val="Balloon Text Char"/>
    <w:qFormat/>
    <w:rPr>
      <w:rFonts w:ascii="Tahoma" w:hAnsi="Tahoma" w:cs="Tahoma"/>
      <w:kern w:val="2"/>
      <w:sz w:val="18"/>
      <w:szCs w:val="18"/>
      <w:lang w:val="en-IN"/>
    </w:rPr>
  </w:style>
  <w:style w:type="paragraph" w:customStyle="1" w:styleId="Heading">
    <w:name w:val="Heading"/>
    <w:basedOn w:val="Normal"/>
    <w:next w:val="Normal"/>
    <w:qFormat/>
    <w:pPr>
      <w:spacing w:after="80" w:line="240" w:lineRule="auto"/>
      <w:contextualSpacing/>
    </w:pPr>
    <w:rPr>
      <w:rFonts w:ascii="Calibri Light" w:eastAsia="Times New Roman" w:hAnsi="Calibri Light"/>
      <w:spacing w:val="-10"/>
      <w:sz w:val="56"/>
      <w:szCs w:val="56"/>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Subtitle">
    <w:name w:val="Subtitle"/>
    <w:basedOn w:val="Normal"/>
    <w:next w:val="Normal"/>
    <w:uiPriority w:val="11"/>
    <w:qFormat/>
    <w:rPr>
      <w:rFonts w:eastAsia="Times New Roman"/>
      <w:color w:val="595959"/>
      <w:spacing w:val="15"/>
      <w:sz w:val="28"/>
      <w:szCs w:val="28"/>
    </w:rPr>
  </w:style>
  <w:style w:type="paragraph" w:styleId="Quote">
    <w:name w:val="Quote"/>
    <w:basedOn w:val="Normal"/>
    <w:next w:val="Normal"/>
    <w:qFormat/>
    <w:pPr>
      <w:spacing w:before="160"/>
      <w:jc w:val="center"/>
    </w:pPr>
    <w:rPr>
      <w:i/>
      <w:iCs/>
      <w:color w:val="404040"/>
    </w:rPr>
  </w:style>
  <w:style w:type="paragraph" w:styleId="ListParagraph">
    <w:name w:val="List Paragraph"/>
    <w:basedOn w:val="Normal"/>
    <w:qFormat/>
    <w:pPr>
      <w:ind w:left="720"/>
      <w:contextualSpacing/>
    </w:pPr>
  </w:style>
  <w:style w:type="paragraph" w:styleId="IntenseQuote">
    <w:name w:val="Intense Quote"/>
    <w:basedOn w:val="Normal"/>
    <w:next w:val="Normal"/>
    <w:qFormat/>
    <w:pPr>
      <w:pBdr>
        <w:top w:val="single" w:sz="4" w:space="10" w:color="2F5496"/>
        <w:bottom w:val="single" w:sz="4" w:space="10" w:color="2F5496"/>
      </w:pBdr>
      <w:spacing w:before="360" w:after="360"/>
      <w:ind w:left="864" w:right="864"/>
      <w:jc w:val="center"/>
    </w:pPr>
    <w:rPr>
      <w:i/>
      <w:iCs/>
      <w:color w:val="2F5496"/>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NoSpacing">
    <w:name w:val="No Spacing"/>
    <w:qFormat/>
    <w:pPr>
      <w:suppressAutoHyphens/>
    </w:pPr>
    <w:rPr>
      <w:rFonts w:ascii="Calibri" w:eastAsia="Calibri" w:hAnsi="Calibri" w:cs="Mangal"/>
      <w:kern w:val="2"/>
      <w:sz w:val="22"/>
      <w:szCs w:val="22"/>
      <w:lang w:val="en-IN" w:eastAsia="zh-CN"/>
    </w:rPr>
  </w:style>
  <w:style w:type="paragraph" w:styleId="NormalWeb">
    <w:name w:val="Normal (Web)"/>
    <w:basedOn w:val="Normal"/>
    <w:uiPriority w:val="99"/>
    <w:qFormat/>
    <w:rPr>
      <w:rFonts w:ascii="Times New Roman" w:hAnsi="Times New Roman" w:cs="Times New Roman"/>
      <w:sz w:val="24"/>
      <w:szCs w:val="24"/>
    </w:rPr>
  </w:style>
  <w:style w:type="paragraph" w:customStyle="1" w:styleId="isselectedend">
    <w:name w:val="isselectedend"/>
    <w:basedOn w:val="Normal"/>
    <w:qFormat/>
    <w:pPr>
      <w:spacing w:before="280" w:after="280" w:line="240" w:lineRule="auto"/>
    </w:pPr>
    <w:rPr>
      <w:rFonts w:ascii="Times New Roman" w:eastAsia="Times New Roman" w:hAnsi="Times New Roman" w:cs="Times New Roman"/>
      <w:kern w:val="0"/>
      <w:sz w:val="24"/>
      <w:szCs w:val="24"/>
      <w:lang w:val="en-US"/>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BalloonText">
    <w:name w:val="Balloon Text"/>
    <w:basedOn w:val="Normal"/>
    <w:qFormat/>
    <w:pPr>
      <w:spacing w:after="0" w:line="240" w:lineRule="auto"/>
    </w:pPr>
    <w:rPr>
      <w:rFonts w:ascii="Tahoma" w:hAnsi="Tahoma" w:cs="Tahoma"/>
      <w:sz w:val="18"/>
      <w:szCs w:val="18"/>
    </w:rPr>
  </w:style>
  <w:style w:type="paragraph" w:styleId="Revision">
    <w:name w:val="Revision"/>
    <w:qFormat/>
    <w:pPr>
      <w:suppressAutoHyphens/>
    </w:pPr>
    <w:rPr>
      <w:rFonts w:ascii="Calibri" w:eastAsia="Calibri" w:hAnsi="Calibri" w:cs="Mangal"/>
      <w:kern w:val="2"/>
      <w:sz w:val="22"/>
      <w:szCs w:val="22"/>
      <w:lang w:val="en-IN" w:eastAsia="zh-CN"/>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upag.gov.in/area-productivity?utm_source=chatgpt.com" TargetMode="External"/><Relationship Id="rId18" Type="http://schemas.openxmlformats.org/officeDocument/2006/relationships/hyperlink" Target="https://doi.org/10.56557/upjoz/2026/v47i125716?utm_source=chatgpt.com" TargetMode="External"/><Relationship Id="rId26" Type="http://schemas.openxmlformats.org/officeDocument/2006/relationships/hyperlink" Target="https://doi.org/10.9734/jsrr/2026/v32i84411?utm_source=chatgpt.com" TargetMode="External"/><Relationship Id="rId39" Type="http://schemas.openxmlformats.org/officeDocument/2006/relationships/theme" Target="theme/theme1.xml"/><Relationship Id="rId21" Type="http://schemas.openxmlformats.org/officeDocument/2006/relationships/hyperlink" Target="https://www.entomoljournal.com/archives/2017/vol5issue4/PartL/5-4-146-456.pdf?utm_source=chatgpt.com" TargetMode="External"/><Relationship Id="rId34" Type="http://schemas.openxmlformats.org/officeDocument/2006/relationships/hyperlink" Target="https://www.plantarchives.org/pdf%2015-2/889-893%20%283040%29.pdf?utm_source=chatgpt.com" TargetMode="External"/><Relationship Id="rId7" Type="http://schemas.openxmlformats.org/officeDocument/2006/relationships/image" Target="media/image1.png"/><Relationship Id="rId12" Type="http://schemas.openxmlformats.org/officeDocument/2006/relationships/hyperlink" Target="https://doi.org/10.58628/JAE-2316-214?utm_source=chatgpt.com" TargetMode="External"/><Relationship Id="rId17" Type="http://schemas.openxmlformats.org/officeDocument/2006/relationships/hyperlink" Target="https://tojqi.net/index.php/journal/article/view/2644?utm_source=chatgpt.com" TargetMode="External"/><Relationship Id="rId25" Type="http://schemas.openxmlformats.org/officeDocument/2006/relationships/hyperlink" Target="https://doi.org/10.9734/jabb/2025/v28i103163?utm_source=chatgpt.com" TargetMode="External"/><Relationship Id="rId33" Type="http://schemas.openxmlformats.org/officeDocument/2006/relationships/hyperlink" Target="https://www.iaras.org/home/caijvm/biology-of-shoot-and-fruit-borer-leucinodes-orbonalis-guenee-in-brinjal?utm_source=chatgpt.com"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flpublisher.com/Abstract/389?utm_source=chatgpt.com" TargetMode="External"/><Relationship Id="rId20" Type="http://schemas.openxmlformats.org/officeDocument/2006/relationships/hyperlink" Target="https://doi.org/10.1007/978-981-10-8687-8_7?utm_source=chatgpt.com" TargetMode="External"/><Relationship Id="rId29" Type="http://schemas.openxmlformats.org/officeDocument/2006/relationships/hyperlink" Target="https://www.entomologyjournals.com/assets/archives/2017/vol2issue5/2-5-20-922.pdf?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tomoljournal.com/archives/2019/vol7issue1/PartO/7-1-158-892.pdf?utm_source=chatgpt.com" TargetMode="External"/><Relationship Id="rId24" Type="http://schemas.openxmlformats.org/officeDocument/2006/relationships/hyperlink" Target="https://www.entomoljournal.com/archives/2018/vol6issue4/PartAE/6-4-300-342.pdf?utm_source=chatgpt.com" TargetMode="External"/><Relationship Id="rId32" Type="http://schemas.openxmlformats.org/officeDocument/2006/relationships/hyperlink" Target="https://www.entomoljournal.com/archives/2017/vol5issue4/PartA/5-3-144-414.pdf?utm_source=chatgpt.com"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krishikosh.egranth.ac.in/server/api/core/bitstreams/f85dc0ed-e4b8-4a8c-bba6-47f9d62e3eda/content?utm_source=chatgpt.com" TargetMode="External"/><Relationship Id="rId23" Type="http://schemas.openxmlformats.org/officeDocument/2006/relationships/hyperlink" Target="https://www.researchtrend.net/bfij/the-life-cycle-of-shoot-and-fruit-borer-leucinodes-orbonalis-guen-on-eggplant-in-different-seasons-under-samastipur-conditions-of-bihar-india-3319?utm_source=chatgpt.com" TargetMode="External"/><Relationship Id="rId28" Type="http://schemas.openxmlformats.org/officeDocument/2006/relationships/hyperlink" Target="https://doi.org/10.1111/eea.70084?utm_source=chatgpt.com" TargetMode="External"/><Relationship Id="rId36" Type="http://schemas.openxmlformats.org/officeDocument/2006/relationships/header" Target="header1.xml"/><Relationship Id="rId10" Type="http://schemas.openxmlformats.org/officeDocument/2006/relationships/hyperlink" Target="https://www.walshmedicalmedia.com/abstract/studies-on-biology-and-physical-measurements-of-shoot-and-fruit-borer-leucinodes-orbonalis-guenee-of-brinjal-in-west-ben-2210.html?utm_source=chatgpt.com" TargetMode="External"/><Relationship Id="rId19" Type="http://schemas.openxmlformats.org/officeDocument/2006/relationships/hyperlink" Target="https://doi.org/10.9734/jabb/2025/v28i32146?utm_source=chatgpt.com" TargetMode="External"/><Relationship Id="rId31" Type="http://schemas.openxmlformats.org/officeDocument/2006/relationships/hyperlink" Target="https://indianjournals.com/article/ijpp1-29-1and2-006?utm_source=chatgpt.com" TargetMode="External"/><Relationship Id="rId4" Type="http://schemas.openxmlformats.org/officeDocument/2006/relationships/webSettings" Target="webSettings.xml"/><Relationship Id="rId9" Type="http://schemas.openxmlformats.org/officeDocument/2006/relationships/hyperlink" Target="https://doi.org/10.20546/ijcmas.2018.711.297?utm_source=chatgpt.com" TargetMode="External"/><Relationship Id="rId14" Type="http://schemas.openxmlformats.org/officeDocument/2006/relationships/hyperlink" Target="https://doi.org/10.1093/jisesa/ieaf066?utm_source=chatgpt.com" TargetMode="External"/><Relationship Id="rId22" Type="http://schemas.openxmlformats.org/officeDocument/2006/relationships/hyperlink" Target="https://doi.org/10.33545/26174693.2024.v8.i12Sn.3320?utm_source=chatgpt.com" TargetMode="External"/><Relationship Id="rId27" Type="http://schemas.openxmlformats.org/officeDocument/2006/relationships/hyperlink" Target="https://doi.org/10.1080/09670874.2022.2064558?utm_source=chatgpt.com" TargetMode="External"/><Relationship Id="rId30" Type="http://schemas.openxmlformats.org/officeDocument/2006/relationships/hyperlink" Target="https://doi.org/10.5958/0974-4576.2022.00120.7?utm_source=chatgpt.com" TargetMode="External"/><Relationship Id="rId35" Type="http://schemas.openxmlformats.org/officeDocument/2006/relationships/hyperlink" Target="https://doi.org/10.33545/26174693.2025.v9.i1Sh.3570?utm_source=chatgpt.com" TargetMode="External"/><Relationship Id="rId8" Type="http://schemas.openxmlformats.org/officeDocument/2006/relationships/hyperlink" Target="https://doi.org/10.1016/j.gene.2024.148925?utm_source=chatgpt.com" TargetMode="External"/><Relationship Id="rId3" Type="http://schemas.openxmlformats.org/officeDocument/2006/relationships/settings" Target="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10</Pages>
  <Words>4059</Words>
  <Characters>23141</Characters>
  <Application>Microsoft Office Word</Application>
  <DocSecurity>0</DocSecurity>
  <Lines>192</Lines>
  <Paragraphs>54</Paragraphs>
  <ScaleCrop>false</ScaleCrop>
  <Company/>
  <LinksUpToDate>false</LinksUpToDate>
  <CharactersWithSpaces>27146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mohit tiwari</dc:creator>
  <cp:keywords/>
  <dc:description/>
  <cp:lastModifiedBy>SDI CPU 1117</cp:lastModifiedBy>
  <cp:revision>24</cp:revision>
  <dcterms:created xsi:type="dcterms:W3CDTF">2026-10-11T16:34:00Z</dcterms:created>
  <dcterms:modified xsi:type="dcterms:W3CDTF">2026-10-24T07:56:00Z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9f5bb5d8-6bca-47e9-a838-23e71b978274</vt:lpwstr>
  </property>
</Properties>
</file>