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024C5" w14:textId="77777777" w:rsidR="008C6784" w:rsidRPr="004932C4" w:rsidRDefault="00000000">
      <w:pPr>
        <w:jc w:val="left"/>
        <w:rPr>
          <w:rFonts w:ascii="Times New Roman" w:eastAsia="Times New Roman" w:hAnsi="Times New Roman"/>
          <w:b/>
          <w:sz w:val="24"/>
          <w:szCs w:val="24"/>
        </w:rPr>
      </w:pPr>
      <w:r w:rsidRPr="004932C4">
        <w:rPr>
          <w:rFonts w:ascii="Times New Roman" w:eastAsia="Times New Roman" w:hAnsi="Times New Roman"/>
          <w:b/>
          <w:sz w:val="24"/>
          <w:szCs w:val="24"/>
        </w:rPr>
        <w:t>Impact of oil refinery spillage on heavy metal contamination and pollution indices in biotic and abiotic components in Ennore Creek, India</w:t>
      </w:r>
    </w:p>
    <w:p w14:paraId="637F75CD" w14:textId="77777777" w:rsidR="008C6784" w:rsidRPr="004932C4" w:rsidRDefault="008C6784">
      <w:pPr>
        <w:jc w:val="left"/>
        <w:rPr>
          <w:rFonts w:ascii="Times New Roman" w:eastAsia="Times New Roman" w:hAnsi="Times New Roman"/>
          <w:b/>
          <w:sz w:val="24"/>
          <w:szCs w:val="24"/>
        </w:rPr>
      </w:pPr>
    </w:p>
    <w:p w14:paraId="2BD72A51" w14:textId="77777777" w:rsidR="008C6784" w:rsidRPr="004932C4" w:rsidRDefault="008C6784">
      <w:pPr>
        <w:rPr>
          <w:rFonts w:ascii="Times New Roman" w:eastAsia="Times New Roman" w:hAnsi="Times New Roman"/>
          <w:b/>
          <w:sz w:val="24"/>
          <w:szCs w:val="24"/>
        </w:rPr>
      </w:pPr>
    </w:p>
    <w:p w14:paraId="787F2E07" w14:textId="77777777" w:rsidR="008C6784" w:rsidRPr="004932C4" w:rsidRDefault="00000000">
      <w:pPr>
        <w:rPr>
          <w:rFonts w:ascii="Times New Roman" w:eastAsia="Times New Roman" w:hAnsi="Times New Roman"/>
          <w:b/>
          <w:sz w:val="24"/>
          <w:szCs w:val="24"/>
        </w:rPr>
      </w:pPr>
      <w:r w:rsidRPr="004932C4">
        <w:rPr>
          <w:rFonts w:ascii="Times New Roman" w:eastAsia="Times New Roman" w:hAnsi="Times New Roman"/>
          <w:b/>
          <w:sz w:val="24"/>
          <w:szCs w:val="24"/>
        </w:rPr>
        <w:t xml:space="preserve">Abstract </w:t>
      </w:r>
    </w:p>
    <w:p w14:paraId="4215C31F" w14:textId="77777777" w:rsidR="008C6784" w:rsidRPr="004932C4" w:rsidRDefault="00000000">
      <w:pPr>
        <w:rPr>
          <w:rFonts w:ascii="Times New Roman" w:eastAsia="Times New Roman" w:hAnsi="Times New Roman"/>
          <w:sz w:val="24"/>
          <w:szCs w:val="24"/>
        </w:rPr>
      </w:pPr>
      <w:r w:rsidRPr="004932C4">
        <w:rPr>
          <w:rFonts w:ascii="Times New Roman" w:eastAsia="Times New Roman" w:hAnsi="Times New Roman"/>
          <w:sz w:val="24"/>
          <w:szCs w:val="24"/>
        </w:rPr>
        <w:t xml:space="preserve">Heavy metal contamination has rapidly increased in recent decades, having a significant effect on the aquatic environment and the organisms inhabiting it. The principal objective of this study was to determine the concentrations of cadmium (Cd), chromium (Cr), lead (Pb) and mercury (Hg) in water, sediment and biological samples collected before and after the oil spill in Ennore Creek. The commercially consumed fish species </w:t>
      </w:r>
      <w:proofErr w:type="spellStart"/>
      <w:r w:rsidRPr="004932C4">
        <w:rPr>
          <w:rFonts w:ascii="Times New Roman" w:eastAsia="Times New Roman" w:hAnsi="Times New Roman"/>
          <w:i/>
          <w:iCs/>
          <w:sz w:val="24"/>
          <w:szCs w:val="24"/>
        </w:rPr>
        <w:t>Elops</w:t>
      </w:r>
      <w:proofErr w:type="spellEnd"/>
      <w:r w:rsidRPr="004932C4">
        <w:rPr>
          <w:rFonts w:ascii="Times New Roman" w:eastAsia="Times New Roman" w:hAnsi="Times New Roman"/>
          <w:i/>
          <w:iCs/>
          <w:sz w:val="24"/>
          <w:szCs w:val="24"/>
        </w:rPr>
        <w:t xml:space="preserve"> saurus</w:t>
      </w:r>
      <w:r w:rsidRPr="004932C4">
        <w:rPr>
          <w:rFonts w:ascii="Times New Roman" w:eastAsia="Times New Roman" w:hAnsi="Times New Roman"/>
          <w:sz w:val="24"/>
          <w:szCs w:val="24"/>
        </w:rPr>
        <w:t xml:space="preserve"> and </w:t>
      </w:r>
      <w:r w:rsidRPr="004932C4">
        <w:rPr>
          <w:rFonts w:ascii="Times New Roman" w:eastAsia="Times New Roman" w:hAnsi="Times New Roman"/>
          <w:i/>
          <w:iCs/>
          <w:sz w:val="24"/>
          <w:szCs w:val="24"/>
          <w:lang w:eastAsia="en-GB"/>
        </w:rPr>
        <w:t xml:space="preserve">Gerres </w:t>
      </w:r>
      <w:proofErr w:type="spellStart"/>
      <w:r w:rsidRPr="004932C4">
        <w:rPr>
          <w:rFonts w:ascii="Times New Roman" w:eastAsia="Times New Roman" w:hAnsi="Times New Roman"/>
          <w:i/>
          <w:iCs/>
          <w:sz w:val="24"/>
          <w:szCs w:val="24"/>
          <w:lang w:eastAsia="en-GB"/>
        </w:rPr>
        <w:t>filamentosus</w:t>
      </w:r>
      <w:proofErr w:type="spellEnd"/>
      <w:r w:rsidRPr="004932C4">
        <w:rPr>
          <w:rFonts w:ascii="Times New Roman" w:eastAsia="Times New Roman" w:hAnsi="Times New Roman"/>
          <w:b/>
          <w:bCs/>
          <w:sz w:val="27"/>
          <w:szCs w:val="27"/>
          <w:lang w:eastAsia="en-GB"/>
        </w:rPr>
        <w:t xml:space="preserve"> </w:t>
      </w:r>
      <w:r w:rsidRPr="004932C4">
        <w:rPr>
          <w:rFonts w:ascii="Times New Roman" w:eastAsia="Times New Roman" w:hAnsi="Times New Roman"/>
          <w:sz w:val="24"/>
          <w:szCs w:val="24"/>
        </w:rPr>
        <w:t xml:space="preserve">were identified using morphometric characteristics according to an established protocol. Heavy metal concentrations showed marked variation among stations, with Pb exhibiting the highest levels in water and sediment </w:t>
      </w:r>
    </w:p>
    <w:p w14:paraId="57EB4A69" w14:textId="77777777" w:rsidR="008C6784" w:rsidRPr="004932C4" w:rsidRDefault="00000000">
      <w:pPr>
        <w:rPr>
          <w:rFonts w:ascii="Times New Roman" w:eastAsia="Times New Roman" w:hAnsi="Times New Roman"/>
          <w:sz w:val="24"/>
          <w:szCs w:val="24"/>
        </w:rPr>
      </w:pPr>
      <w:r w:rsidRPr="004932C4">
        <w:rPr>
          <w:rFonts w:ascii="Times New Roman" w:eastAsia="Times New Roman" w:hAnsi="Times New Roman"/>
          <w:sz w:val="24"/>
          <w:szCs w:val="24"/>
        </w:rPr>
        <w:t xml:space="preserve">(320.31 </w:t>
      </w:r>
      <w:proofErr w:type="spellStart"/>
      <w:r w:rsidRPr="004932C4">
        <w:rPr>
          <w:rFonts w:ascii="Times New Roman" w:eastAsia="Times New Roman" w:hAnsi="Times New Roman"/>
          <w:sz w:val="24"/>
          <w:szCs w:val="24"/>
        </w:rPr>
        <w:t>μg</w:t>
      </w:r>
      <w:proofErr w:type="spellEnd"/>
      <w:r w:rsidRPr="004932C4">
        <w:rPr>
          <w:rFonts w:ascii="Times New Roman" w:eastAsia="Times New Roman" w:hAnsi="Times New Roman"/>
          <w:sz w:val="24"/>
          <w:szCs w:val="24"/>
        </w:rPr>
        <w:t xml:space="preserve">/L and 856 mg/kg, respectively), followed by Cr (100 μg/L and 164.2 mg/kg). Among the biological matrices analysed after the oil spill, </w:t>
      </w:r>
      <w:proofErr w:type="spellStart"/>
      <w:r w:rsidRPr="004932C4">
        <w:rPr>
          <w:rFonts w:ascii="Times New Roman" w:eastAsia="Times New Roman" w:hAnsi="Times New Roman"/>
          <w:i/>
          <w:iCs/>
          <w:sz w:val="24"/>
          <w:szCs w:val="24"/>
        </w:rPr>
        <w:t>Elops</w:t>
      </w:r>
      <w:proofErr w:type="spellEnd"/>
      <w:r w:rsidRPr="004932C4">
        <w:rPr>
          <w:rFonts w:ascii="Times New Roman" w:eastAsia="Times New Roman" w:hAnsi="Times New Roman"/>
          <w:i/>
          <w:iCs/>
          <w:sz w:val="24"/>
          <w:szCs w:val="24"/>
        </w:rPr>
        <w:t xml:space="preserve"> saurus</w:t>
      </w:r>
      <w:r w:rsidRPr="004932C4">
        <w:rPr>
          <w:rFonts w:ascii="Times New Roman" w:eastAsia="Times New Roman" w:hAnsi="Times New Roman"/>
          <w:sz w:val="24"/>
          <w:szCs w:val="24"/>
        </w:rPr>
        <w:t xml:space="preserve"> exhibited greater Cr accumulation (2.09 mg/kg), while polychaetes exhibited comparatively elevated Pb levels (1.60 mg/kg). Overall, the elevated metal concentrations, particularly in sediment and biota, indicate potential bioaccumulation and ecological concern in the study area. Pollution indices, including the </w:t>
      </w:r>
      <w:proofErr w:type="spellStart"/>
      <w:r w:rsidRPr="004932C4">
        <w:rPr>
          <w:rFonts w:ascii="Times New Roman" w:eastAsia="Times New Roman" w:hAnsi="Times New Roman"/>
          <w:sz w:val="24"/>
          <w:szCs w:val="24"/>
        </w:rPr>
        <w:t>geoaccumulation</w:t>
      </w:r>
      <w:proofErr w:type="spellEnd"/>
      <w:r w:rsidRPr="004932C4">
        <w:rPr>
          <w:rFonts w:ascii="Times New Roman" w:eastAsia="Times New Roman" w:hAnsi="Times New Roman"/>
          <w:sz w:val="24"/>
          <w:szCs w:val="24"/>
        </w:rPr>
        <w:t xml:space="preserve"> index, pollution load index and bioaccumulation factor, indicated increased pollution following the oil spill. These findings highlight the need to protect and improve aquatic ecosystem health for future generations.</w:t>
      </w:r>
    </w:p>
    <w:p w14:paraId="7892894A" w14:textId="77777777" w:rsidR="008C6784" w:rsidRPr="004932C4" w:rsidRDefault="00000000">
      <w:pPr>
        <w:rPr>
          <w:rFonts w:ascii="Times New Roman" w:eastAsia="Times New Roman" w:hAnsi="Times New Roman"/>
          <w:sz w:val="24"/>
          <w:szCs w:val="24"/>
        </w:rPr>
      </w:pPr>
      <w:r w:rsidRPr="004932C4">
        <w:rPr>
          <w:rFonts w:ascii="Times New Roman" w:eastAsia="Times New Roman" w:hAnsi="Times New Roman"/>
          <w:sz w:val="24"/>
          <w:szCs w:val="24"/>
        </w:rPr>
        <w:t>Keywords: Aquatic environment</w:t>
      </w:r>
      <w:r w:rsidRPr="004932C4">
        <w:rPr>
          <w:rFonts w:ascii="Times New Roman" w:eastAsia="Times New Roman" w:hAnsi="Times New Roman"/>
          <w:i/>
          <w:iCs/>
          <w:sz w:val="24"/>
          <w:szCs w:val="24"/>
        </w:rPr>
        <w:t xml:space="preserve">, </w:t>
      </w:r>
      <w:proofErr w:type="spellStart"/>
      <w:r w:rsidRPr="004932C4">
        <w:rPr>
          <w:rFonts w:ascii="Times New Roman" w:eastAsia="Times New Roman" w:hAnsi="Times New Roman"/>
          <w:i/>
          <w:iCs/>
          <w:sz w:val="24"/>
          <w:szCs w:val="24"/>
        </w:rPr>
        <w:t>Elops</w:t>
      </w:r>
      <w:proofErr w:type="spellEnd"/>
      <w:r w:rsidRPr="004932C4">
        <w:rPr>
          <w:rFonts w:ascii="Times New Roman" w:eastAsia="Times New Roman" w:hAnsi="Times New Roman"/>
          <w:i/>
          <w:iCs/>
          <w:sz w:val="24"/>
          <w:szCs w:val="24"/>
        </w:rPr>
        <w:t xml:space="preserve"> saurus, </w:t>
      </w:r>
      <w:r w:rsidRPr="004932C4">
        <w:rPr>
          <w:rFonts w:ascii="Times New Roman" w:eastAsia="Times New Roman" w:hAnsi="Times New Roman"/>
          <w:sz w:val="24"/>
          <w:szCs w:val="24"/>
        </w:rPr>
        <w:t>accumulation,</w:t>
      </w:r>
      <w:r w:rsidRPr="004932C4">
        <w:rPr>
          <w:rFonts w:ascii="Times New Roman" w:eastAsia="Times New Roman" w:hAnsi="Times New Roman"/>
          <w:i/>
          <w:iCs/>
          <w:sz w:val="24"/>
          <w:szCs w:val="24"/>
        </w:rPr>
        <w:t xml:space="preserve"> </w:t>
      </w:r>
      <w:r w:rsidRPr="004932C4">
        <w:rPr>
          <w:rFonts w:ascii="Times New Roman" w:eastAsia="Times New Roman" w:hAnsi="Times New Roman"/>
          <w:i/>
          <w:iCs/>
          <w:sz w:val="24"/>
          <w:szCs w:val="24"/>
          <w:lang w:eastAsia="en-GB"/>
        </w:rPr>
        <w:t xml:space="preserve">Gerres </w:t>
      </w:r>
      <w:proofErr w:type="spellStart"/>
      <w:r w:rsidRPr="004932C4">
        <w:rPr>
          <w:rFonts w:ascii="Times New Roman" w:eastAsia="Times New Roman" w:hAnsi="Times New Roman"/>
          <w:i/>
          <w:iCs/>
          <w:sz w:val="24"/>
          <w:szCs w:val="24"/>
          <w:lang w:eastAsia="en-GB"/>
        </w:rPr>
        <w:t>filamentosus</w:t>
      </w:r>
      <w:proofErr w:type="spellEnd"/>
      <w:r w:rsidRPr="004932C4">
        <w:rPr>
          <w:rFonts w:ascii="Times New Roman" w:eastAsia="Times New Roman" w:hAnsi="Times New Roman"/>
          <w:i/>
          <w:iCs/>
          <w:sz w:val="24"/>
          <w:szCs w:val="24"/>
        </w:rPr>
        <w:t xml:space="preserve">, </w:t>
      </w:r>
      <w:r w:rsidRPr="004932C4">
        <w:rPr>
          <w:rFonts w:ascii="Times New Roman" w:eastAsia="Times New Roman" w:hAnsi="Times New Roman"/>
          <w:sz w:val="24"/>
          <w:szCs w:val="24"/>
        </w:rPr>
        <w:t xml:space="preserve">Pollution indices, Ecological concern. </w:t>
      </w:r>
    </w:p>
    <w:p w14:paraId="28A9D259" w14:textId="77777777" w:rsidR="008C6784" w:rsidRPr="004932C4" w:rsidRDefault="008C6784">
      <w:pPr>
        <w:rPr>
          <w:rFonts w:ascii="Times New Roman" w:eastAsia="Times New Roman" w:hAnsi="Times New Roman"/>
          <w:sz w:val="24"/>
          <w:szCs w:val="24"/>
        </w:rPr>
      </w:pPr>
    </w:p>
    <w:p w14:paraId="15F75A8E" w14:textId="77777777" w:rsidR="008C6784" w:rsidRPr="004932C4" w:rsidRDefault="008C6784"/>
    <w:p w14:paraId="4D59B23B" w14:textId="77777777" w:rsidR="008C6784" w:rsidRPr="004932C4" w:rsidRDefault="008C6784"/>
    <w:p w14:paraId="05176791" w14:textId="77777777" w:rsidR="008C6784" w:rsidRPr="004932C4" w:rsidRDefault="00000000">
      <w:pPr>
        <w:numPr>
          <w:ilvl w:val="0"/>
          <w:numId w:val="1"/>
        </w:numPr>
        <w:rPr>
          <w:rFonts w:ascii="Times New Roman" w:eastAsia="Times New Roman" w:hAnsi="Times New Roman"/>
          <w:color w:val="000000"/>
          <w:sz w:val="24"/>
          <w:szCs w:val="24"/>
        </w:rPr>
      </w:pPr>
      <w:r w:rsidRPr="004932C4">
        <w:rPr>
          <w:rFonts w:ascii="Times New Roman" w:eastAsia="Times New Roman" w:hAnsi="Times New Roman"/>
          <w:b/>
          <w:color w:val="000000"/>
          <w:sz w:val="24"/>
          <w:szCs w:val="24"/>
        </w:rPr>
        <w:t>Introduction</w:t>
      </w:r>
    </w:p>
    <w:p w14:paraId="6DECC8E4" w14:textId="77777777" w:rsidR="00986B54" w:rsidRPr="004932C4" w:rsidRDefault="00000000">
      <w:pPr>
        <w:rPr>
          <w:rFonts w:ascii="Times New Roman" w:eastAsia="Times New Roman" w:hAnsi="Times New Roman"/>
          <w:bCs/>
          <w:sz w:val="24"/>
          <w:szCs w:val="24"/>
        </w:rPr>
      </w:pPr>
      <w:bookmarkStart w:id="0" w:name="_heading=h.gasjo1c5gfh5" w:colFirst="0" w:colLast="0"/>
      <w:bookmarkEnd w:id="0"/>
      <w:r w:rsidRPr="004932C4">
        <w:rPr>
          <w:rFonts w:ascii="Times New Roman" w:eastAsia="Times New Roman" w:hAnsi="Times New Roman"/>
          <w:sz w:val="24"/>
          <w:szCs w:val="24"/>
        </w:rPr>
        <w:t xml:space="preserve">Heavy metals (HMs) are elements with dense metallic properties and are toxic even at very low levels. Metal elements are widely found in waste associated with industrial sludge, fertiliser, paints, ash and oil refineries (Wang &amp; Yang, 2016; </w:t>
      </w:r>
      <w:proofErr w:type="spellStart"/>
      <w:r w:rsidRPr="004932C4">
        <w:rPr>
          <w:rFonts w:ascii="Times New Roman" w:eastAsia="Times New Roman" w:hAnsi="Times New Roman"/>
          <w:sz w:val="24"/>
          <w:szCs w:val="24"/>
        </w:rPr>
        <w:t>Panseriya</w:t>
      </w:r>
      <w:proofErr w:type="spellEnd"/>
      <w:r w:rsidRPr="004932C4">
        <w:rPr>
          <w:rFonts w:ascii="Times New Roman" w:eastAsia="Times New Roman" w:hAnsi="Times New Roman"/>
          <w:sz w:val="24"/>
          <w:szCs w:val="24"/>
        </w:rPr>
        <w:t xml:space="preserve"> </w:t>
      </w:r>
      <w:r w:rsidRPr="004932C4">
        <w:rPr>
          <w:rFonts w:ascii="Times New Roman" w:eastAsia="Times New Roman" w:hAnsi="Times New Roman"/>
          <w:i/>
          <w:iCs/>
          <w:sz w:val="24"/>
          <w:szCs w:val="24"/>
        </w:rPr>
        <w:t>et al</w:t>
      </w:r>
      <w:r w:rsidRPr="004932C4">
        <w:rPr>
          <w:rFonts w:ascii="Times New Roman" w:eastAsia="Times New Roman" w:hAnsi="Times New Roman"/>
          <w:sz w:val="24"/>
          <w:szCs w:val="24"/>
        </w:rPr>
        <w:t xml:space="preserve">., 2020). HMs may be present in small quantities as trace elements.  Chromium (Cr), cobalt (Co), copper (Cu), nickel (Ni), selenium (Se), zinc (Zn), molybdenum (Mo) and iron (Fe) have a vital role in the maintenance of biochemical and physiological functions (Prashanth </w:t>
      </w:r>
      <w:r w:rsidRPr="004932C4">
        <w:rPr>
          <w:rFonts w:ascii="Times New Roman" w:eastAsia="Times New Roman" w:hAnsi="Times New Roman"/>
          <w:i/>
          <w:iCs/>
          <w:sz w:val="24"/>
          <w:szCs w:val="24"/>
        </w:rPr>
        <w:t>et al</w:t>
      </w:r>
      <w:r w:rsidRPr="004932C4">
        <w:rPr>
          <w:rFonts w:ascii="Times New Roman" w:eastAsia="Times New Roman" w:hAnsi="Times New Roman"/>
          <w:sz w:val="24"/>
          <w:szCs w:val="24"/>
        </w:rPr>
        <w:t xml:space="preserve">., 2015). </w:t>
      </w:r>
      <w:r w:rsidRPr="004932C4">
        <w:rPr>
          <w:rFonts w:ascii="Times New Roman" w:eastAsia="Times New Roman" w:hAnsi="Times New Roman"/>
          <w:bCs/>
          <w:sz w:val="24"/>
          <w:szCs w:val="24"/>
        </w:rPr>
        <w:t xml:space="preserve">Essential elements have deleterious effects when taken excessively, as they disturb the absorption of other nutrients and damage organs (Canli &amp; Atli, 2003). </w:t>
      </w:r>
      <w:r w:rsidRPr="004932C4">
        <w:rPr>
          <w:rFonts w:ascii="Times New Roman" w:eastAsia="Times New Roman" w:hAnsi="Times New Roman"/>
          <w:sz w:val="24"/>
          <w:szCs w:val="24"/>
        </w:rPr>
        <w:t xml:space="preserve">Non-essential elements, such as cadmium (Cd), mercury (Hg) and lead (Pb), are not required for biological activities and may be hazardous to humans and aquatic environments, as they can impair reproduction and growth and cause tissue damage (Otchere, 2019; Liang </w:t>
      </w:r>
      <w:r w:rsidRPr="004932C4">
        <w:rPr>
          <w:rFonts w:ascii="Times New Roman" w:eastAsia="Times New Roman" w:hAnsi="Times New Roman"/>
          <w:i/>
          <w:iCs/>
          <w:sz w:val="24"/>
          <w:szCs w:val="24"/>
        </w:rPr>
        <w:t>et al</w:t>
      </w:r>
      <w:r w:rsidRPr="004932C4">
        <w:rPr>
          <w:rFonts w:ascii="Times New Roman" w:eastAsia="Times New Roman" w:hAnsi="Times New Roman"/>
          <w:sz w:val="24"/>
          <w:szCs w:val="24"/>
        </w:rPr>
        <w:t xml:space="preserve">., 2023). </w:t>
      </w:r>
      <w:r w:rsidR="00600085" w:rsidRPr="004932C4">
        <w:rPr>
          <w:rFonts w:ascii="Times New Roman" w:eastAsia="Times New Roman" w:hAnsi="Times New Roman"/>
          <w:sz w:val="24"/>
          <w:szCs w:val="24"/>
        </w:rPr>
        <w:t xml:space="preserve"> </w:t>
      </w:r>
      <w:r w:rsidRPr="004932C4">
        <w:rPr>
          <w:rFonts w:ascii="Times New Roman" w:hAnsi="Times New Roman"/>
          <w:bCs/>
          <w:sz w:val="24"/>
        </w:rPr>
        <w:t>Water and sediment assessments conducted after an oil-spill event in the Bonny River have likewise documented heavy metal contamination (Onuigbo et al., 2025).</w:t>
      </w:r>
    </w:p>
    <w:p w14:paraId="2FE3BAE8" w14:textId="77777777" w:rsidR="00986B54" w:rsidRPr="004932C4" w:rsidRDefault="00000000">
      <w:pPr>
        <w:rPr>
          <w:rFonts w:ascii="Times New Roman" w:eastAsia="Times New Roman" w:hAnsi="Times New Roman"/>
          <w:bCs/>
          <w:sz w:val="24"/>
          <w:szCs w:val="24"/>
        </w:rPr>
      </w:pPr>
      <w:r w:rsidRPr="004932C4">
        <w:rPr>
          <w:rFonts w:ascii="Times New Roman" w:eastAsia="Times New Roman" w:hAnsi="Times New Roman"/>
          <w:sz w:val="24"/>
          <w:szCs w:val="24"/>
        </w:rPr>
        <w:t xml:space="preserve">Over the past decade, coastal ecosystems have been contaminated by pollutants associated with anthropogenic activities, particularly agricultural leachate, industrial expansion, urbanisation and economic activities. Toxic trace elements are prominent pollutants discharged into the ocean and can accumulate in sediments and marine ecosystems (Liu </w:t>
      </w:r>
      <w:r w:rsidRPr="004932C4">
        <w:rPr>
          <w:rFonts w:ascii="Times New Roman" w:eastAsia="Times New Roman" w:hAnsi="Times New Roman"/>
          <w:i/>
          <w:iCs/>
          <w:sz w:val="24"/>
          <w:szCs w:val="24"/>
        </w:rPr>
        <w:t>et al</w:t>
      </w:r>
      <w:r w:rsidRPr="004932C4">
        <w:rPr>
          <w:rFonts w:ascii="Times New Roman" w:eastAsia="Times New Roman" w:hAnsi="Times New Roman"/>
          <w:sz w:val="24"/>
          <w:szCs w:val="24"/>
        </w:rPr>
        <w:t xml:space="preserve">., 2007; Velusamy </w:t>
      </w:r>
      <w:r w:rsidRPr="004932C4">
        <w:rPr>
          <w:rFonts w:ascii="Times New Roman" w:eastAsia="Times New Roman" w:hAnsi="Times New Roman"/>
          <w:i/>
          <w:iCs/>
          <w:sz w:val="24"/>
          <w:szCs w:val="24"/>
        </w:rPr>
        <w:t>et al</w:t>
      </w:r>
      <w:r w:rsidRPr="004932C4">
        <w:rPr>
          <w:rFonts w:ascii="Times New Roman" w:eastAsia="Times New Roman" w:hAnsi="Times New Roman"/>
          <w:sz w:val="24"/>
          <w:szCs w:val="24"/>
        </w:rPr>
        <w:t>., 2014</w:t>
      </w:r>
      <w:r w:rsidRPr="004932C4">
        <w:rPr>
          <w:rFonts w:ascii="Times New Roman" w:eastAsia="Times New Roman" w:hAnsi="Times New Roman"/>
        </w:rPr>
        <w:t xml:space="preserve">; </w:t>
      </w:r>
      <w:r w:rsidRPr="004932C4">
        <w:rPr>
          <w:rFonts w:ascii="Times New Roman" w:eastAsia="Times New Roman" w:hAnsi="Times New Roman"/>
          <w:sz w:val="24"/>
          <w:szCs w:val="24"/>
        </w:rPr>
        <w:t xml:space="preserve">Stark </w:t>
      </w:r>
      <w:r w:rsidRPr="004932C4">
        <w:rPr>
          <w:rFonts w:ascii="Times New Roman" w:eastAsia="Times New Roman" w:hAnsi="Times New Roman"/>
          <w:i/>
          <w:iCs/>
          <w:sz w:val="24"/>
          <w:szCs w:val="24"/>
        </w:rPr>
        <w:t>et al</w:t>
      </w:r>
      <w:r w:rsidRPr="004932C4">
        <w:rPr>
          <w:rFonts w:ascii="Times New Roman" w:eastAsia="Times New Roman" w:hAnsi="Times New Roman"/>
          <w:sz w:val="24"/>
          <w:szCs w:val="24"/>
        </w:rPr>
        <w:t xml:space="preserve">., 2014; </w:t>
      </w:r>
      <w:proofErr w:type="spellStart"/>
      <w:r w:rsidRPr="004932C4">
        <w:rPr>
          <w:rFonts w:ascii="Times New Roman" w:hAnsi="Times New Roman"/>
          <w:color w:val="222222"/>
          <w:sz w:val="24"/>
          <w:szCs w:val="24"/>
          <w:shd w:val="clear" w:color="auto" w:fill="FFFFFF"/>
        </w:rPr>
        <w:t>Vetrimurugan</w:t>
      </w:r>
      <w:proofErr w:type="spellEnd"/>
      <w:r w:rsidRPr="004932C4">
        <w:rPr>
          <w:rFonts w:ascii="Times New Roman" w:eastAsia="Times New Roman" w:hAnsi="Times New Roman"/>
          <w:sz w:val="24"/>
          <w:szCs w:val="24"/>
        </w:rPr>
        <w:t xml:space="preserve"> </w:t>
      </w:r>
      <w:r w:rsidRPr="004932C4">
        <w:rPr>
          <w:rFonts w:ascii="Times New Roman" w:eastAsia="Times New Roman" w:hAnsi="Times New Roman"/>
          <w:i/>
          <w:iCs/>
          <w:sz w:val="24"/>
          <w:szCs w:val="24"/>
        </w:rPr>
        <w:t>et al</w:t>
      </w:r>
      <w:r w:rsidRPr="004932C4">
        <w:rPr>
          <w:rFonts w:ascii="Times New Roman" w:eastAsia="Times New Roman" w:hAnsi="Times New Roman"/>
          <w:sz w:val="24"/>
          <w:szCs w:val="24"/>
        </w:rPr>
        <w:t xml:space="preserve">., 2019). </w:t>
      </w:r>
      <w:r w:rsidRPr="004932C4">
        <w:rPr>
          <w:rFonts w:ascii="Times New Roman" w:eastAsia="Times New Roman" w:hAnsi="Times New Roman"/>
          <w:bCs/>
          <w:sz w:val="24"/>
          <w:szCs w:val="24"/>
        </w:rPr>
        <w:t xml:space="preserve">Sediment contamination by heavy metals may influence aquatic ecosystem quality, biosorption and bioaccumulation. </w:t>
      </w:r>
      <w:r w:rsidRPr="004932C4">
        <w:rPr>
          <w:rFonts w:ascii="Times New Roman" w:eastAsia="Times New Roman" w:hAnsi="Times New Roman"/>
          <w:sz w:val="24"/>
          <w:szCs w:val="24"/>
        </w:rPr>
        <w:t>Moreover, these metals become immobilised in sediments and may therefore be involved in co-precipitation, absorption and the formation of complexes (</w:t>
      </w:r>
      <w:r w:rsidRPr="004932C4">
        <w:rPr>
          <w:rFonts w:ascii="Times New Roman" w:hAnsi="Times New Roman"/>
          <w:sz w:val="24"/>
          <w:szCs w:val="24"/>
        </w:rPr>
        <w:t>Chandrasekaran</w:t>
      </w:r>
      <w:r w:rsidRPr="004932C4">
        <w:rPr>
          <w:rFonts w:ascii="Times New Roman" w:eastAsia="Times New Roman" w:hAnsi="Times New Roman"/>
          <w:sz w:val="24"/>
          <w:szCs w:val="24"/>
        </w:rPr>
        <w:t xml:space="preserve"> </w:t>
      </w:r>
      <w:r w:rsidRPr="004932C4">
        <w:rPr>
          <w:rFonts w:ascii="Times New Roman" w:eastAsia="Times New Roman" w:hAnsi="Times New Roman"/>
          <w:i/>
          <w:iCs/>
          <w:sz w:val="24"/>
          <w:szCs w:val="24"/>
        </w:rPr>
        <w:t>et al</w:t>
      </w:r>
      <w:r w:rsidRPr="004932C4">
        <w:rPr>
          <w:rFonts w:ascii="Times New Roman" w:eastAsia="Times New Roman" w:hAnsi="Times New Roman"/>
          <w:sz w:val="24"/>
          <w:szCs w:val="24"/>
        </w:rPr>
        <w:t xml:space="preserve">., 2015). </w:t>
      </w:r>
      <w:r w:rsidRPr="004932C4">
        <w:rPr>
          <w:rFonts w:ascii="Times New Roman" w:eastAsia="Times New Roman" w:hAnsi="Times New Roman"/>
          <w:bCs/>
          <w:sz w:val="24"/>
          <w:szCs w:val="24"/>
        </w:rPr>
        <w:t xml:space="preserve">Sediments can accumulate contaminants from various sources, such as mines, agricultural fields and industries, as a result of human activities. (da Silva </w:t>
      </w:r>
      <w:r w:rsidRPr="004932C4">
        <w:rPr>
          <w:rFonts w:ascii="Times New Roman" w:eastAsia="Times New Roman" w:hAnsi="Times New Roman"/>
          <w:bCs/>
          <w:i/>
          <w:iCs/>
          <w:sz w:val="24"/>
          <w:szCs w:val="24"/>
        </w:rPr>
        <w:t xml:space="preserve">et </w:t>
      </w:r>
      <w:r w:rsidRPr="004932C4">
        <w:rPr>
          <w:rFonts w:ascii="Times New Roman" w:eastAsia="Times New Roman" w:hAnsi="Times New Roman"/>
          <w:bCs/>
          <w:i/>
          <w:iCs/>
          <w:sz w:val="24"/>
          <w:szCs w:val="24"/>
        </w:rPr>
        <w:lastRenderedPageBreak/>
        <w:t>al</w:t>
      </w:r>
      <w:r w:rsidRPr="004932C4">
        <w:rPr>
          <w:rFonts w:ascii="Times New Roman" w:eastAsia="Times New Roman" w:hAnsi="Times New Roman"/>
          <w:bCs/>
          <w:sz w:val="24"/>
          <w:szCs w:val="24"/>
        </w:rPr>
        <w:t>., 2025).</w:t>
      </w:r>
      <w:r w:rsidR="00600085" w:rsidRPr="004932C4">
        <w:rPr>
          <w:rFonts w:ascii="Times New Roman" w:eastAsia="Times New Roman" w:hAnsi="Times New Roman"/>
          <w:bCs/>
          <w:sz w:val="24"/>
          <w:szCs w:val="24"/>
        </w:rPr>
        <w:t xml:space="preserve"> </w:t>
      </w:r>
      <w:r w:rsidRPr="004932C4">
        <w:rPr>
          <w:rFonts w:ascii="Times New Roman" w:hAnsi="Times New Roman"/>
          <w:bCs/>
          <w:sz w:val="24"/>
        </w:rPr>
        <w:t>Earlier analyses of Ennore Creek examined heavy metals in water, sediment and fish (Beaven et al., 2023).</w:t>
      </w:r>
      <w:r w:rsidR="00600085" w:rsidRPr="004932C4">
        <w:rPr>
          <w:rFonts w:ascii="Times New Roman" w:hAnsi="Times New Roman"/>
          <w:bCs/>
          <w:sz w:val="24"/>
        </w:rPr>
        <w:t xml:space="preserve"> </w:t>
      </w:r>
      <w:r w:rsidRPr="004932C4">
        <w:rPr>
          <w:rFonts w:ascii="Times New Roman" w:hAnsi="Times New Roman"/>
          <w:bCs/>
          <w:sz w:val="24"/>
        </w:rPr>
        <w:t>Metal concentrations have also been assessed across water, sediment, benthic organisms and fish in the Ennore estuary (Sigamani et al., 2024).</w:t>
      </w:r>
    </w:p>
    <w:p w14:paraId="4E86154C" w14:textId="77777777" w:rsidR="00986B54" w:rsidRPr="004932C4" w:rsidRDefault="00000000">
      <w:pPr>
        <w:rPr>
          <w:rFonts w:ascii="Times New Roman" w:eastAsia="Times New Roman" w:hAnsi="Times New Roman"/>
          <w:bCs/>
          <w:sz w:val="24"/>
          <w:szCs w:val="24"/>
        </w:rPr>
      </w:pPr>
      <w:r w:rsidRPr="004932C4">
        <w:rPr>
          <w:rFonts w:ascii="Times New Roman" w:eastAsia="Times New Roman" w:hAnsi="Times New Roman"/>
          <w:sz w:val="24"/>
          <w:szCs w:val="24"/>
        </w:rPr>
        <w:t xml:space="preserve">Bioaccumulation indicates the accumulation of metal pollutants within the environment. Elevated quantities of non-essential elements have been detected in marine animals, including polychaetes, edible mussels, sea stars, clams and fish. This bioaccumulation may cause cellular harm (Singh </w:t>
      </w:r>
      <w:r w:rsidRPr="004932C4">
        <w:rPr>
          <w:rFonts w:ascii="Times New Roman" w:eastAsia="Times New Roman" w:hAnsi="Times New Roman"/>
          <w:i/>
          <w:iCs/>
          <w:sz w:val="24"/>
          <w:szCs w:val="24"/>
        </w:rPr>
        <w:t>et al</w:t>
      </w:r>
      <w:r w:rsidRPr="004932C4">
        <w:rPr>
          <w:rFonts w:ascii="Times New Roman" w:eastAsia="Times New Roman" w:hAnsi="Times New Roman"/>
          <w:sz w:val="24"/>
          <w:szCs w:val="24"/>
        </w:rPr>
        <w:t xml:space="preserve">., 2017). </w:t>
      </w:r>
      <w:bookmarkStart w:id="1" w:name="_heading=h.prtysit1nujz" w:colFirst="0" w:colLast="0"/>
      <w:bookmarkEnd w:id="1"/>
      <w:r w:rsidRPr="004932C4">
        <w:rPr>
          <w:rFonts w:ascii="Times New Roman" w:eastAsia="Times New Roman" w:hAnsi="Times New Roman"/>
          <w:bCs/>
          <w:sz w:val="24"/>
          <w:szCs w:val="24"/>
        </w:rPr>
        <w:t xml:space="preserve">Fish are frequently used in metal accumulation studies because they are important aquatic organisms and are regularly consumed by humans </w:t>
      </w:r>
      <w:r w:rsidRPr="004932C4">
        <w:rPr>
          <w:rFonts w:ascii="Times New Roman" w:eastAsia="Times New Roman" w:hAnsi="Times New Roman"/>
          <w:sz w:val="24"/>
          <w:szCs w:val="24"/>
        </w:rPr>
        <w:t xml:space="preserve">(Krishnamurti &amp; Nair, 1999; Rashed, 2001) </w:t>
      </w:r>
      <w:r w:rsidR="00600085" w:rsidRPr="004932C4">
        <w:rPr>
          <w:rFonts w:ascii="Times New Roman" w:eastAsia="Times New Roman" w:hAnsi="Times New Roman"/>
          <w:sz w:val="24"/>
          <w:szCs w:val="24"/>
        </w:rPr>
        <w:t xml:space="preserve"> </w:t>
      </w:r>
      <w:r w:rsidRPr="004932C4">
        <w:rPr>
          <w:rFonts w:ascii="Times New Roman" w:hAnsi="Times New Roman"/>
          <w:bCs/>
          <w:sz w:val="24"/>
        </w:rPr>
        <w:t>Research on coastal benthic ecosystems has indicated that sediment metal fractions and their bioavailability can influence accumulation in benthic organisms (Cayabo et al., 2025).</w:t>
      </w:r>
    </w:p>
    <w:p w14:paraId="08EBD53C" w14:textId="77777777" w:rsidR="00986B54" w:rsidRPr="004932C4" w:rsidRDefault="00000000">
      <w:pPr>
        <w:rPr>
          <w:rFonts w:ascii="Times New Roman" w:eastAsia="Times New Roman" w:hAnsi="Times New Roman"/>
          <w:bCs/>
          <w:sz w:val="24"/>
          <w:szCs w:val="24"/>
        </w:rPr>
      </w:pPr>
      <w:r w:rsidRPr="004932C4">
        <w:rPr>
          <w:rFonts w:ascii="Times New Roman" w:eastAsia="Times New Roman" w:hAnsi="Times New Roman"/>
          <w:sz w:val="24"/>
          <w:szCs w:val="24"/>
        </w:rPr>
        <w:t xml:space="preserve">Fish are known as bioindicators of metal accumulation (de Carvalho </w:t>
      </w:r>
      <w:r w:rsidRPr="004932C4">
        <w:rPr>
          <w:rFonts w:ascii="Times New Roman" w:eastAsia="Times New Roman" w:hAnsi="Times New Roman"/>
          <w:i/>
          <w:iCs/>
          <w:sz w:val="24"/>
          <w:szCs w:val="24"/>
        </w:rPr>
        <w:t>et al</w:t>
      </w:r>
      <w:r w:rsidRPr="004932C4">
        <w:rPr>
          <w:rFonts w:ascii="Times New Roman" w:eastAsia="Times New Roman" w:hAnsi="Times New Roman"/>
          <w:sz w:val="24"/>
          <w:szCs w:val="24"/>
        </w:rPr>
        <w:t xml:space="preserve">., 2025). The accumulation of large quantities of metals in fish poses a potential risk of metal transfer to humans (Gu </w:t>
      </w:r>
      <w:r w:rsidRPr="004932C4">
        <w:rPr>
          <w:rFonts w:ascii="Times New Roman" w:eastAsia="Times New Roman" w:hAnsi="Times New Roman"/>
          <w:i/>
          <w:iCs/>
          <w:sz w:val="24"/>
          <w:szCs w:val="24"/>
        </w:rPr>
        <w:t>et al</w:t>
      </w:r>
      <w:r w:rsidRPr="004932C4">
        <w:rPr>
          <w:rFonts w:ascii="Times New Roman" w:eastAsia="Times New Roman" w:hAnsi="Times New Roman"/>
          <w:sz w:val="24"/>
          <w:szCs w:val="24"/>
        </w:rPr>
        <w:t xml:space="preserve">., 2015).  Therefore, it is crucial to determine heavy metal levels in organisms and assess whether these concentrations fall within acceptable limits or pose health risks to consumers (Krishnamurti &amp; Nair, 1999).  </w:t>
      </w:r>
      <w:r w:rsidRPr="004932C4">
        <w:rPr>
          <w:rFonts w:ascii="Times New Roman" w:hAnsi="Times New Roman"/>
          <w:bCs/>
          <w:sz w:val="24"/>
        </w:rPr>
        <w:t xml:space="preserve">An investigation in the Kadinamkulam estuary, South India, measured metals in water, sediment and tissues of the edible fish </w:t>
      </w:r>
      <w:r w:rsidRPr="004932C4">
        <w:rPr>
          <w:rFonts w:ascii="Times New Roman" w:hAnsi="Times New Roman"/>
          <w:bCs/>
          <w:i/>
          <w:sz w:val="24"/>
        </w:rPr>
        <w:t>Mugil cephalus</w:t>
      </w:r>
      <w:r w:rsidRPr="004932C4">
        <w:rPr>
          <w:rFonts w:ascii="Times New Roman" w:hAnsi="Times New Roman"/>
          <w:bCs/>
          <w:sz w:val="24"/>
        </w:rPr>
        <w:t xml:space="preserve"> (Sasidharan et al., 2025).</w:t>
      </w:r>
    </w:p>
    <w:p w14:paraId="5A60235B" w14:textId="77777777" w:rsidR="008C6784" w:rsidRPr="004932C4" w:rsidRDefault="00000000">
      <w:pPr>
        <w:rPr>
          <w:rFonts w:ascii="Times New Roman" w:hAnsi="Times New Roman"/>
          <w:sz w:val="24"/>
          <w:szCs w:val="24"/>
        </w:rPr>
      </w:pPr>
      <w:r w:rsidRPr="004932C4">
        <w:rPr>
          <w:rFonts w:ascii="Times New Roman" w:hAnsi="Times New Roman"/>
          <w:b/>
          <w:bCs/>
          <w:sz w:val="24"/>
          <w:szCs w:val="24"/>
        </w:rPr>
        <w:t>Research gap:</w:t>
      </w:r>
      <w:r w:rsidRPr="004932C4">
        <w:rPr>
          <w:rFonts w:ascii="Times New Roman" w:hAnsi="Times New Roman"/>
          <w:sz w:val="24"/>
          <w:szCs w:val="24"/>
        </w:rPr>
        <w:t xml:space="preserve"> Although previous studies have reported heavy metal contamination at Ennore, comparisons of metal accumulation in aquatic biota, including edible fish, and the associated ecological risks before and after the oil spill remain limited. </w:t>
      </w:r>
    </w:p>
    <w:p w14:paraId="35393B9E" w14:textId="77777777" w:rsidR="008C6784" w:rsidRPr="004932C4" w:rsidRDefault="00000000">
      <w:pPr>
        <w:keepNext/>
        <w:rPr>
          <w:rFonts w:ascii="Times New Roman" w:eastAsia="Times New Roman" w:hAnsi="Times New Roman"/>
          <w:b/>
          <w:bCs/>
          <w:sz w:val="24"/>
          <w:szCs w:val="24"/>
        </w:rPr>
      </w:pPr>
      <w:r w:rsidRPr="004932C4">
        <w:t xml:space="preserve"> </w:t>
      </w:r>
      <w:r w:rsidRPr="004932C4">
        <w:rPr>
          <w:rFonts w:ascii="Times New Roman" w:eastAsia="Times New Roman" w:hAnsi="Times New Roman"/>
          <w:b/>
          <w:bCs/>
          <w:sz w:val="24"/>
          <w:szCs w:val="24"/>
        </w:rPr>
        <w:t>1.1 Objective</w:t>
      </w:r>
    </w:p>
    <w:p w14:paraId="6FB0E2E7" w14:textId="77777777" w:rsidR="008C6784" w:rsidRPr="004932C4" w:rsidRDefault="00000000">
      <w:pPr>
        <w:rPr>
          <w:rFonts w:ascii="Times New Roman" w:eastAsia="Times New Roman" w:hAnsi="Times New Roman"/>
          <w:sz w:val="24"/>
          <w:szCs w:val="24"/>
        </w:rPr>
      </w:pPr>
      <w:r w:rsidRPr="004932C4">
        <w:rPr>
          <w:rFonts w:ascii="Times New Roman" w:eastAsia="Times New Roman" w:hAnsi="Times New Roman"/>
          <w:sz w:val="24"/>
          <w:szCs w:val="24"/>
        </w:rPr>
        <w:t xml:space="preserve">The objective of the present study was to assess the potential risks of heavy metal contamination in water, sediment, polychaetes and the muscles of </w:t>
      </w:r>
      <w:proofErr w:type="spellStart"/>
      <w:r w:rsidRPr="004932C4">
        <w:rPr>
          <w:rFonts w:ascii="Times New Roman" w:eastAsia="Times New Roman" w:hAnsi="Times New Roman"/>
          <w:i/>
          <w:sz w:val="24"/>
          <w:szCs w:val="24"/>
        </w:rPr>
        <w:t>Elops</w:t>
      </w:r>
      <w:proofErr w:type="spellEnd"/>
      <w:r w:rsidRPr="004932C4">
        <w:rPr>
          <w:rFonts w:ascii="Times New Roman" w:eastAsia="Times New Roman" w:hAnsi="Times New Roman"/>
          <w:i/>
          <w:sz w:val="24"/>
          <w:szCs w:val="24"/>
        </w:rPr>
        <w:t xml:space="preserve"> saurus </w:t>
      </w:r>
      <w:r w:rsidRPr="004932C4">
        <w:rPr>
          <w:rFonts w:ascii="Times New Roman" w:eastAsia="Times New Roman" w:hAnsi="Times New Roman"/>
          <w:sz w:val="24"/>
          <w:szCs w:val="24"/>
        </w:rPr>
        <w:t xml:space="preserve">and </w:t>
      </w:r>
      <w:r w:rsidRPr="004932C4">
        <w:rPr>
          <w:rFonts w:ascii="Times New Roman" w:eastAsia="Times New Roman" w:hAnsi="Times New Roman"/>
          <w:i/>
          <w:iCs/>
          <w:sz w:val="24"/>
          <w:szCs w:val="24"/>
          <w:lang w:eastAsia="en-GB"/>
        </w:rPr>
        <w:t xml:space="preserve">Gerres </w:t>
      </w:r>
      <w:proofErr w:type="spellStart"/>
      <w:r w:rsidRPr="004932C4">
        <w:rPr>
          <w:rFonts w:ascii="Times New Roman" w:eastAsia="Times New Roman" w:hAnsi="Times New Roman"/>
          <w:i/>
          <w:iCs/>
          <w:sz w:val="24"/>
          <w:szCs w:val="24"/>
          <w:lang w:eastAsia="en-GB"/>
        </w:rPr>
        <w:t>filamentosus</w:t>
      </w:r>
      <w:proofErr w:type="spellEnd"/>
      <w:r w:rsidRPr="004932C4">
        <w:rPr>
          <w:rFonts w:ascii="Times New Roman" w:eastAsia="Times New Roman" w:hAnsi="Times New Roman"/>
          <w:b/>
          <w:bCs/>
          <w:sz w:val="27"/>
          <w:szCs w:val="27"/>
          <w:lang w:eastAsia="en-GB"/>
        </w:rPr>
        <w:t xml:space="preserve"> </w:t>
      </w:r>
      <w:r w:rsidRPr="004932C4">
        <w:rPr>
          <w:rFonts w:ascii="Times New Roman" w:eastAsia="Times New Roman" w:hAnsi="Times New Roman"/>
          <w:sz w:val="27"/>
          <w:szCs w:val="27"/>
          <w:lang w:eastAsia="en-GB"/>
        </w:rPr>
        <w:t>before and after the oil spill in Ennore Creek.</w:t>
      </w:r>
    </w:p>
    <w:p w14:paraId="6FFDB532" w14:textId="77777777" w:rsidR="008C6784" w:rsidRPr="004932C4" w:rsidRDefault="00000000">
      <w:pPr>
        <w:numPr>
          <w:ilvl w:val="0"/>
          <w:numId w:val="1"/>
        </w:numPr>
        <w:ind w:left="284"/>
        <w:rPr>
          <w:rFonts w:ascii="Times New Roman" w:eastAsia="Times New Roman" w:hAnsi="Times New Roman"/>
          <w:b/>
          <w:color w:val="000000"/>
          <w:sz w:val="24"/>
          <w:szCs w:val="24"/>
        </w:rPr>
      </w:pPr>
      <w:bookmarkStart w:id="2" w:name="_heading=h.b084c33honfs" w:colFirst="0" w:colLast="0"/>
      <w:bookmarkEnd w:id="2"/>
      <w:r w:rsidRPr="004932C4">
        <w:rPr>
          <w:rFonts w:ascii="Times New Roman" w:eastAsia="Times New Roman" w:hAnsi="Times New Roman"/>
          <w:b/>
          <w:color w:val="000000"/>
          <w:sz w:val="24"/>
          <w:szCs w:val="24"/>
        </w:rPr>
        <w:lastRenderedPageBreak/>
        <w:t>Materials and methods</w:t>
      </w:r>
    </w:p>
    <w:p w14:paraId="731D33F9" w14:textId="77777777" w:rsidR="008C6784" w:rsidRPr="004932C4" w:rsidRDefault="00000000">
      <w:pPr>
        <w:ind w:left="0"/>
        <w:rPr>
          <w:rFonts w:ascii="Times New Roman" w:eastAsia="Times New Roman" w:hAnsi="Times New Roman"/>
          <w:b/>
          <w:iCs/>
          <w:sz w:val="24"/>
          <w:szCs w:val="24"/>
        </w:rPr>
      </w:pPr>
      <w:r w:rsidRPr="004932C4">
        <w:rPr>
          <w:rFonts w:ascii="Times New Roman" w:eastAsia="Times New Roman" w:hAnsi="Times New Roman"/>
          <w:b/>
          <w:iCs/>
          <w:sz w:val="24"/>
          <w:szCs w:val="24"/>
        </w:rPr>
        <w:t>2.1 Study area location description</w:t>
      </w:r>
    </w:p>
    <w:p w14:paraId="425FDE8E" w14:textId="77777777" w:rsidR="008C6784" w:rsidRPr="004932C4" w:rsidRDefault="00000000">
      <w:pPr>
        <w:rPr>
          <w:rFonts w:ascii="Times New Roman" w:eastAsia="Times New Roman" w:hAnsi="Times New Roman"/>
          <w:color w:val="000000"/>
          <w:sz w:val="24"/>
          <w:szCs w:val="24"/>
        </w:rPr>
      </w:pPr>
      <w:r w:rsidRPr="004932C4">
        <w:rPr>
          <w:rFonts w:ascii="Times New Roman" w:eastAsia="Times New Roman" w:hAnsi="Times New Roman"/>
          <w:bCs/>
          <w:sz w:val="24"/>
          <w:szCs w:val="24"/>
        </w:rPr>
        <w:t>The geographical location of the study area was mapped using QGIS 3.44.</w:t>
      </w:r>
      <w:r w:rsidRPr="004932C4">
        <w:rPr>
          <w:rFonts w:ascii="Times New Roman" w:eastAsia="Times New Roman" w:hAnsi="Times New Roman"/>
          <w:b/>
          <w:i/>
          <w:sz w:val="24"/>
          <w:szCs w:val="24"/>
        </w:rPr>
        <w:t xml:space="preserve"> </w:t>
      </w:r>
      <w:r w:rsidRPr="004932C4">
        <w:rPr>
          <w:rFonts w:ascii="Times New Roman" w:eastAsia="Times New Roman" w:hAnsi="Times New Roman"/>
          <w:bCs/>
          <w:color w:val="000000"/>
          <w:sz w:val="24"/>
          <w:szCs w:val="24"/>
        </w:rPr>
        <w:t>Five sampling sites were selected to analyse heavy metal contamination in the Ennore region, as shown in Fig. 1.</w:t>
      </w:r>
      <w:r w:rsidRPr="004932C4">
        <w:rPr>
          <w:rFonts w:ascii="Times New Roman" w:eastAsia="Times New Roman" w:hAnsi="Times New Roman"/>
          <w:color w:val="000000"/>
          <w:sz w:val="24"/>
          <w:szCs w:val="24"/>
        </w:rPr>
        <w:t xml:space="preserve"> These sites were Ennore Creek at 13˚13’52.85’’N, 80˚19’40.51’’E, </w:t>
      </w:r>
      <w:proofErr w:type="spellStart"/>
      <w:r w:rsidRPr="004932C4">
        <w:rPr>
          <w:rFonts w:ascii="Times New Roman" w:eastAsia="Times New Roman" w:hAnsi="Times New Roman"/>
          <w:color w:val="000000"/>
          <w:sz w:val="24"/>
          <w:szCs w:val="24"/>
        </w:rPr>
        <w:t>Nettukuppam</w:t>
      </w:r>
      <w:proofErr w:type="spellEnd"/>
      <w:r w:rsidRPr="004932C4">
        <w:rPr>
          <w:rFonts w:ascii="Times New Roman" w:eastAsia="Times New Roman" w:hAnsi="Times New Roman"/>
          <w:color w:val="000000"/>
          <w:sz w:val="24"/>
          <w:szCs w:val="24"/>
        </w:rPr>
        <w:t xml:space="preserve"> at 13˚13’56.79’’N, 80˚19’52.44’’E, </w:t>
      </w:r>
      <w:proofErr w:type="spellStart"/>
      <w:r w:rsidRPr="004932C4">
        <w:rPr>
          <w:rFonts w:ascii="Times New Roman" w:eastAsia="Times New Roman" w:hAnsi="Times New Roman"/>
          <w:color w:val="000000"/>
          <w:sz w:val="24"/>
          <w:szCs w:val="24"/>
        </w:rPr>
        <w:t>Thazhankuppam</w:t>
      </w:r>
      <w:proofErr w:type="spellEnd"/>
      <w:r w:rsidRPr="004932C4">
        <w:rPr>
          <w:rFonts w:ascii="Times New Roman" w:eastAsia="Times New Roman" w:hAnsi="Times New Roman"/>
          <w:color w:val="000000"/>
          <w:sz w:val="24"/>
          <w:szCs w:val="24"/>
        </w:rPr>
        <w:t xml:space="preserve"> at 13˚13’38.90’’N, 80˚19’48.92’’E, </w:t>
      </w:r>
      <w:proofErr w:type="spellStart"/>
      <w:r w:rsidRPr="004932C4">
        <w:rPr>
          <w:rFonts w:ascii="Times New Roman" w:eastAsia="Times New Roman" w:hAnsi="Times New Roman"/>
          <w:color w:val="000000"/>
          <w:sz w:val="24"/>
          <w:szCs w:val="24"/>
        </w:rPr>
        <w:t>Periyakuppam</w:t>
      </w:r>
      <w:proofErr w:type="spellEnd"/>
      <w:r w:rsidRPr="004932C4">
        <w:rPr>
          <w:rFonts w:ascii="Times New Roman" w:eastAsia="Times New Roman" w:hAnsi="Times New Roman"/>
          <w:color w:val="000000"/>
          <w:sz w:val="24"/>
          <w:szCs w:val="24"/>
        </w:rPr>
        <w:t xml:space="preserve"> at 13˚12’43.15’’N, 80˚19’29.14’’E and </w:t>
      </w:r>
      <w:proofErr w:type="spellStart"/>
      <w:r w:rsidRPr="004932C4">
        <w:rPr>
          <w:rFonts w:ascii="Times New Roman" w:eastAsia="Times New Roman" w:hAnsi="Times New Roman"/>
          <w:color w:val="000000"/>
          <w:sz w:val="24"/>
          <w:szCs w:val="24"/>
        </w:rPr>
        <w:t>Chinnakuppam</w:t>
      </w:r>
      <w:proofErr w:type="spellEnd"/>
      <w:r w:rsidRPr="004932C4">
        <w:rPr>
          <w:rFonts w:ascii="Times New Roman" w:eastAsia="Times New Roman" w:hAnsi="Times New Roman"/>
          <w:color w:val="000000"/>
          <w:sz w:val="24"/>
          <w:szCs w:val="24"/>
        </w:rPr>
        <w:t xml:space="preserve"> at 13˚12’26.71’’N, 80˚19’22.19’’E. </w:t>
      </w:r>
    </w:p>
    <w:p w14:paraId="72E9B43E" w14:textId="77777777" w:rsidR="008C6784" w:rsidRPr="004932C4" w:rsidRDefault="008C6784"/>
    <w:p w14:paraId="0AB49361" w14:textId="77777777" w:rsidR="008C6784" w:rsidRPr="004932C4" w:rsidRDefault="00000000">
      <w:r w:rsidRPr="004932C4">
        <w:rPr>
          <w:noProof/>
        </w:rPr>
        <w:lastRenderedPageBreak/>
        <w:drawing>
          <wp:inline distT="0" distB="0" distL="0" distR="0" wp14:anchorId="6A02812D" wp14:editId="7D2280DF">
            <wp:extent cx="5728970" cy="7412355"/>
            <wp:effectExtent l="0" t="0" r="11430" b="4445"/>
            <wp:docPr id="505555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555171"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728970" cy="7412355"/>
                    </a:xfrm>
                    <a:prstGeom prst="rect">
                      <a:avLst/>
                    </a:prstGeom>
                    <a:noFill/>
                    <a:ln>
                      <a:noFill/>
                    </a:ln>
                  </pic:spPr>
                </pic:pic>
              </a:graphicData>
            </a:graphic>
          </wp:inline>
        </w:drawing>
      </w:r>
    </w:p>
    <w:p w14:paraId="4C86B698" w14:textId="77777777" w:rsidR="008C6784" w:rsidRPr="004932C4" w:rsidRDefault="00000000">
      <w:pPr>
        <w:ind w:firstLine="720"/>
        <w:rPr>
          <w:rFonts w:ascii="Times New Roman" w:eastAsia="Times New Roman" w:hAnsi="Times New Roman"/>
          <w:sz w:val="24"/>
          <w:szCs w:val="24"/>
        </w:rPr>
      </w:pPr>
      <w:r w:rsidRPr="004932C4">
        <w:rPr>
          <w:rFonts w:ascii="Times New Roman" w:eastAsia="Times New Roman" w:hAnsi="Times New Roman"/>
          <w:b/>
          <w:bCs/>
          <w:sz w:val="24"/>
          <w:szCs w:val="24"/>
        </w:rPr>
        <w:t>Fig. 1.</w:t>
      </w:r>
      <w:r w:rsidRPr="004932C4">
        <w:rPr>
          <w:rFonts w:ascii="Times New Roman" w:eastAsia="Times New Roman" w:hAnsi="Times New Roman"/>
          <w:sz w:val="24"/>
          <w:szCs w:val="24"/>
        </w:rPr>
        <w:t xml:space="preserve"> Representation of the geographical location of the five sampling sites </w:t>
      </w:r>
    </w:p>
    <w:p w14:paraId="6717D48F" w14:textId="77777777" w:rsidR="008C6784" w:rsidRPr="004932C4" w:rsidRDefault="008C6784">
      <w:pPr>
        <w:rPr>
          <w:rFonts w:ascii="Times New Roman" w:eastAsia="Times New Roman" w:hAnsi="Times New Roman"/>
          <w:color w:val="000000"/>
          <w:sz w:val="24"/>
          <w:szCs w:val="24"/>
        </w:rPr>
      </w:pPr>
    </w:p>
    <w:p w14:paraId="18426F02" w14:textId="77777777" w:rsidR="008C6784" w:rsidRPr="004932C4" w:rsidRDefault="008C6784">
      <w:pPr>
        <w:rPr>
          <w:rFonts w:ascii="Times New Roman" w:eastAsia="Times New Roman" w:hAnsi="Times New Roman"/>
          <w:color w:val="000000"/>
          <w:sz w:val="24"/>
          <w:szCs w:val="24"/>
        </w:rPr>
      </w:pPr>
    </w:p>
    <w:p w14:paraId="47A95945" w14:textId="77777777" w:rsidR="008C6784" w:rsidRPr="004932C4" w:rsidRDefault="00000000">
      <w:pPr>
        <w:rPr>
          <w:rFonts w:ascii="Times New Roman" w:hAnsi="Times New Roman"/>
          <w:sz w:val="24"/>
          <w:szCs w:val="24"/>
        </w:rPr>
      </w:pPr>
      <w:r w:rsidRPr="004932C4">
        <w:rPr>
          <w:rFonts w:ascii="Times New Roman" w:eastAsia="Times New Roman" w:hAnsi="Times New Roman"/>
          <w:color w:val="000000"/>
          <w:sz w:val="24"/>
          <w:szCs w:val="24"/>
        </w:rPr>
        <w:lastRenderedPageBreak/>
        <w:t xml:space="preserve">The Ennore region is an industrial hub that also provides habitat for aquatic organisms and supports fishers and local communities. </w:t>
      </w:r>
      <w:r w:rsidRPr="004932C4">
        <w:rPr>
          <w:rFonts w:ascii="Times New Roman" w:hAnsi="Times New Roman"/>
          <w:sz w:val="24"/>
          <w:szCs w:val="24"/>
        </w:rPr>
        <w:t xml:space="preserve">An oil leak occurred at the Chennai Petroleum Corporation Limited (CPCL) on 3 December 2023.  Heavy rainfall associated with Cyclone Michaung flooded the refinery, causing oil to mix with water.  </w:t>
      </w:r>
    </w:p>
    <w:p w14:paraId="46D29916" w14:textId="77777777" w:rsidR="008C6784" w:rsidRPr="004932C4" w:rsidRDefault="00000000">
      <w:pPr>
        <w:rPr>
          <w:rFonts w:ascii="Times New Roman" w:eastAsia="Times New Roman" w:hAnsi="Times New Roman"/>
          <w:b/>
          <w:iCs/>
          <w:sz w:val="24"/>
          <w:szCs w:val="24"/>
        </w:rPr>
      </w:pPr>
      <w:r w:rsidRPr="004932C4">
        <w:rPr>
          <w:rFonts w:ascii="Times New Roman" w:eastAsia="Times New Roman" w:hAnsi="Times New Roman"/>
          <w:b/>
          <w:iCs/>
          <w:sz w:val="24"/>
          <w:szCs w:val="24"/>
        </w:rPr>
        <w:t>2.2 Sample collection and analysis</w:t>
      </w:r>
    </w:p>
    <w:p w14:paraId="1847C5D9" w14:textId="77777777" w:rsidR="008C6784" w:rsidRPr="004932C4" w:rsidRDefault="00000000">
      <w:pPr>
        <w:rPr>
          <w:rFonts w:ascii="Times New Roman" w:eastAsia="Times New Roman" w:hAnsi="Times New Roman"/>
          <w:bCs/>
          <w:color w:val="000000"/>
          <w:sz w:val="24"/>
          <w:szCs w:val="24"/>
        </w:rPr>
      </w:pPr>
      <w:r w:rsidRPr="004932C4">
        <w:rPr>
          <w:rFonts w:ascii="Times New Roman" w:eastAsia="Times New Roman" w:hAnsi="Times New Roman"/>
          <w:bCs/>
          <w:color w:val="000000"/>
          <w:sz w:val="24"/>
          <w:szCs w:val="24"/>
        </w:rPr>
        <w:t xml:space="preserve">Water, sediment, polychaetes, and two edible fish species were collected on the 10th day of each month from five preselected sampling stations between October 2023 and February 2024 to examine spatial and temporal variations in heavy metal concentrations before and after the oil spill. The oil leakage occurred on 3 December 2023; three sampling events took place before the spill  (8 October 2023; 2 November 2023 and 27 November 2023) and three sampling events took place after the spill (22 December 2023; 16 January 2024 and 10 February 2024). One sample was collected at each station during each sampling event, and three independent replicates were analysed for each environmental matrix, as applicable. </w:t>
      </w:r>
    </w:p>
    <w:p w14:paraId="147DDC0B" w14:textId="77777777" w:rsidR="008C6784" w:rsidRPr="004932C4" w:rsidRDefault="00000000">
      <w:pPr>
        <w:rPr>
          <w:rFonts w:ascii="Times New Roman" w:eastAsia="Times New Roman" w:hAnsi="Times New Roman"/>
          <w:sz w:val="24"/>
          <w:szCs w:val="24"/>
        </w:rPr>
      </w:pPr>
      <w:r w:rsidRPr="004932C4">
        <w:rPr>
          <w:rFonts w:ascii="Times New Roman" w:eastAsia="Times New Roman" w:hAnsi="Times New Roman"/>
          <w:bCs/>
          <w:color w:val="000000"/>
          <w:sz w:val="24"/>
          <w:szCs w:val="24"/>
        </w:rPr>
        <w:t>Approximately 1 litre of water (from the water column and interstitial water) was collected</w:t>
      </w:r>
      <w:r w:rsidRPr="004932C4">
        <w:rPr>
          <w:rFonts w:ascii="Times New Roman" w:eastAsia="Times New Roman" w:hAnsi="Times New Roman"/>
          <w:bCs/>
          <w:sz w:val="24"/>
          <w:szCs w:val="24"/>
        </w:rPr>
        <w:t xml:space="preserve"> and stored in a sterilised container.  Sediment samples were collected randomly along 500 m of the coastal region at a depth of 15 cm and placed in an aluminium box. Approximately 50 polychaetes were collected by hand, and 10 specimens of two edible fish species were collected from stations 1 to 5. The samples were stored separately on dry ice and transported to the Aquatic Sciences and Biotechnology Laboratory (ASBL), Ethiraj College for Women, Chennai, for subsequent analysis. The polychaete and fish samples were rinsed with distilled water to remove dust and debris. Using Day (1878), </w:t>
      </w:r>
      <w:r w:rsidRPr="004932C4">
        <w:rPr>
          <w:rFonts w:ascii="Times New Roman" w:eastAsia="Times New Roman" w:hAnsi="Times New Roman"/>
          <w:sz w:val="24"/>
          <w:szCs w:val="24"/>
        </w:rPr>
        <w:t xml:space="preserve">the collected edible fish species were identified morphometrically as </w:t>
      </w:r>
      <w:proofErr w:type="spellStart"/>
      <w:r w:rsidRPr="004932C4">
        <w:rPr>
          <w:rFonts w:ascii="Times New Roman" w:eastAsia="Times New Roman" w:hAnsi="Times New Roman"/>
          <w:i/>
          <w:sz w:val="24"/>
          <w:szCs w:val="24"/>
        </w:rPr>
        <w:t>Elops</w:t>
      </w:r>
      <w:proofErr w:type="spellEnd"/>
      <w:r w:rsidRPr="004932C4">
        <w:rPr>
          <w:rFonts w:ascii="Times New Roman" w:eastAsia="Times New Roman" w:hAnsi="Times New Roman"/>
          <w:i/>
          <w:sz w:val="24"/>
          <w:szCs w:val="24"/>
        </w:rPr>
        <w:t xml:space="preserve"> saurus </w:t>
      </w:r>
      <w:r w:rsidRPr="004932C4">
        <w:rPr>
          <w:rFonts w:ascii="Times New Roman" w:eastAsia="Times New Roman" w:hAnsi="Times New Roman"/>
          <w:sz w:val="24"/>
          <w:szCs w:val="24"/>
        </w:rPr>
        <w:t xml:space="preserve">and </w:t>
      </w:r>
      <w:r w:rsidRPr="004932C4">
        <w:rPr>
          <w:rFonts w:ascii="Times New Roman" w:eastAsia="Times New Roman" w:hAnsi="Times New Roman"/>
          <w:i/>
          <w:iCs/>
          <w:sz w:val="24"/>
          <w:szCs w:val="24"/>
          <w:lang w:eastAsia="en-GB"/>
        </w:rPr>
        <w:t xml:space="preserve">Gerres </w:t>
      </w:r>
      <w:proofErr w:type="spellStart"/>
      <w:r w:rsidRPr="004932C4">
        <w:rPr>
          <w:rFonts w:ascii="Times New Roman" w:eastAsia="Times New Roman" w:hAnsi="Times New Roman"/>
          <w:i/>
          <w:iCs/>
          <w:sz w:val="24"/>
          <w:szCs w:val="24"/>
          <w:lang w:eastAsia="en-GB"/>
        </w:rPr>
        <w:t>filamentosus</w:t>
      </w:r>
      <w:proofErr w:type="spellEnd"/>
      <w:r w:rsidRPr="004932C4">
        <w:rPr>
          <w:rFonts w:ascii="Times New Roman" w:eastAsia="Times New Roman" w:hAnsi="Times New Roman"/>
          <w:i/>
          <w:sz w:val="24"/>
          <w:szCs w:val="24"/>
        </w:rPr>
        <w:t>, and their identification was subsequently confirmed</w:t>
      </w:r>
      <w:r w:rsidRPr="004932C4">
        <w:rPr>
          <w:rFonts w:ascii="Times New Roman" w:eastAsia="Times New Roman" w:hAnsi="Times New Roman"/>
          <w:sz w:val="24"/>
          <w:szCs w:val="24"/>
        </w:rPr>
        <w:t xml:space="preserve"> by an expert from the Central Institute of Brackish water Aquaculture, ICAR-CIBA.</w:t>
      </w:r>
    </w:p>
    <w:p w14:paraId="3B6F4D0A" w14:textId="77777777" w:rsidR="008C6784" w:rsidRPr="004932C4" w:rsidRDefault="008C6784">
      <w:pPr>
        <w:rPr>
          <w:rFonts w:ascii="Times New Roman" w:eastAsia="Times New Roman" w:hAnsi="Times New Roman"/>
          <w:b/>
          <w:iCs/>
          <w:sz w:val="24"/>
          <w:szCs w:val="24"/>
        </w:rPr>
      </w:pPr>
    </w:p>
    <w:p w14:paraId="37EB5791" w14:textId="77777777" w:rsidR="008C6784" w:rsidRPr="004932C4" w:rsidRDefault="00000000">
      <w:pPr>
        <w:rPr>
          <w:rFonts w:ascii="Times New Roman" w:eastAsia="Times New Roman" w:hAnsi="Times New Roman"/>
          <w:b/>
          <w:iCs/>
          <w:sz w:val="24"/>
          <w:szCs w:val="24"/>
        </w:rPr>
      </w:pPr>
      <w:r w:rsidRPr="004932C4">
        <w:rPr>
          <w:rFonts w:ascii="Times New Roman" w:eastAsia="Times New Roman" w:hAnsi="Times New Roman"/>
          <w:b/>
          <w:iCs/>
          <w:sz w:val="24"/>
          <w:szCs w:val="24"/>
        </w:rPr>
        <w:lastRenderedPageBreak/>
        <w:t>2.3 Acid digestion method</w:t>
      </w:r>
    </w:p>
    <w:p w14:paraId="5A8B34D5" w14:textId="77777777" w:rsidR="008C6784" w:rsidRPr="004932C4" w:rsidRDefault="00000000">
      <w:pPr>
        <w:rPr>
          <w:rFonts w:ascii="Times New Roman" w:eastAsia="Times New Roman" w:hAnsi="Times New Roman"/>
          <w:sz w:val="24"/>
          <w:szCs w:val="24"/>
        </w:rPr>
      </w:pPr>
      <w:r w:rsidRPr="004932C4">
        <w:rPr>
          <w:rFonts w:ascii="Times New Roman" w:eastAsia="Times New Roman" w:hAnsi="Times New Roman"/>
          <w:sz w:val="24"/>
          <w:szCs w:val="24"/>
        </w:rPr>
        <w:t>Water samples (100 ml) were supplemented with 5 ml of concentrated nitric acid (HNO</w:t>
      </w:r>
      <w:r w:rsidRPr="004932C4">
        <w:rPr>
          <w:rFonts w:ascii="Times New Roman" w:eastAsia="Times New Roman" w:hAnsi="Times New Roman"/>
          <w:sz w:val="24"/>
          <w:szCs w:val="24"/>
          <w:vertAlign w:val="subscript"/>
        </w:rPr>
        <w:t>3</w:t>
      </w:r>
      <w:r w:rsidRPr="004932C4">
        <w:rPr>
          <w:rFonts w:ascii="Times New Roman" w:eastAsia="Times New Roman" w:hAnsi="Times New Roman"/>
          <w:sz w:val="24"/>
          <w:szCs w:val="24"/>
        </w:rPr>
        <w:t xml:space="preserve">), </w:t>
      </w:r>
      <w:r w:rsidRPr="004932C4">
        <w:rPr>
          <w:rFonts w:ascii="Times New Roman" w:eastAsia="Times New Roman" w:hAnsi="Times New Roman"/>
          <w:bCs/>
          <w:sz w:val="24"/>
          <w:szCs w:val="24"/>
        </w:rPr>
        <w:t xml:space="preserve">to which 100 ml of ultrapure water was added to the filtered sample to estimate the concentration </w:t>
      </w:r>
      <w:r w:rsidRPr="004932C4">
        <w:rPr>
          <w:rFonts w:ascii="Times New Roman" w:eastAsia="Times New Roman" w:hAnsi="Times New Roman"/>
          <w:sz w:val="24"/>
          <w:szCs w:val="24"/>
        </w:rPr>
        <w:t xml:space="preserve">of heavy metals (Pandiyan </w:t>
      </w:r>
      <w:r w:rsidRPr="004932C4">
        <w:rPr>
          <w:rFonts w:ascii="Times New Roman" w:eastAsia="Times New Roman" w:hAnsi="Times New Roman"/>
          <w:i/>
          <w:iCs/>
          <w:sz w:val="24"/>
          <w:szCs w:val="24"/>
        </w:rPr>
        <w:t>et al</w:t>
      </w:r>
      <w:r w:rsidRPr="004932C4">
        <w:rPr>
          <w:rFonts w:ascii="Times New Roman" w:eastAsia="Times New Roman" w:hAnsi="Times New Roman"/>
          <w:sz w:val="24"/>
          <w:szCs w:val="24"/>
        </w:rPr>
        <w:t>., 2020). The soil samples were rinsed with HNO</w:t>
      </w:r>
      <w:r w:rsidRPr="004932C4">
        <w:rPr>
          <w:rFonts w:ascii="Times New Roman" w:eastAsia="Times New Roman" w:hAnsi="Times New Roman"/>
          <w:sz w:val="24"/>
          <w:szCs w:val="24"/>
          <w:vertAlign w:val="subscript"/>
        </w:rPr>
        <w:t>3</w:t>
      </w:r>
      <w:r w:rsidRPr="004932C4">
        <w:rPr>
          <w:rFonts w:ascii="Times New Roman" w:eastAsia="Times New Roman" w:hAnsi="Times New Roman"/>
          <w:sz w:val="24"/>
          <w:szCs w:val="24"/>
        </w:rPr>
        <w:t xml:space="preserve"> (10%), air-dried for 3 days and crushed to a fine powder. Approximately 9 ml of HNO3 and 3 ml of HCl were added to 0.500 g of the powdered samples.  Tissue samples collected from polychaetes and fish were analysed using the AOAC International (2016) method. Following digestion, the samples were analysed using inductively coupled plasma optical emission spectroscopy (ICP-OES </w:t>
      </w:r>
      <w:proofErr w:type="spellStart"/>
      <w:r w:rsidRPr="004932C4">
        <w:rPr>
          <w:rFonts w:ascii="Times New Roman" w:eastAsia="Times New Roman" w:hAnsi="Times New Roman"/>
          <w:sz w:val="24"/>
          <w:szCs w:val="24"/>
        </w:rPr>
        <w:t>AvioTM</w:t>
      </w:r>
      <w:proofErr w:type="spellEnd"/>
      <w:r w:rsidRPr="004932C4">
        <w:rPr>
          <w:rFonts w:ascii="Times New Roman" w:eastAsia="Times New Roman" w:hAnsi="Times New Roman"/>
          <w:sz w:val="24"/>
          <w:szCs w:val="24"/>
        </w:rPr>
        <w:t xml:space="preserve"> 220 Max). Calibration was based on standard solutions of known concentrations of the target metals, and sample concentrations were determined from the resulting calibration curves. Appropriate calibration standards, reagent blanks, and quality-control checks should be documented according to the analytical procedures employed. The concentrations of Cd, Cr, Pb and Hg were determined from the instrument measurements, with appropriate corrections for dilution and blank contributions where applicable. Results reported as below detection limit (BDL) indicate concentrations below the analytical detection threshold rather than the complete absence of the respective metal. These results should be interpreted in light of the method-specific detection limits and available analytical quality-control information.</w:t>
      </w:r>
    </w:p>
    <w:p w14:paraId="2976C372" w14:textId="77777777" w:rsidR="008C6784" w:rsidRPr="004932C4" w:rsidRDefault="008C6784">
      <w:pPr>
        <w:rPr>
          <w:rFonts w:ascii="Times New Roman" w:eastAsia="Times New Roman" w:hAnsi="Times New Roman"/>
          <w:sz w:val="24"/>
          <w:szCs w:val="24"/>
        </w:rPr>
      </w:pPr>
    </w:p>
    <w:p w14:paraId="4C34ADC0" w14:textId="77777777" w:rsidR="008C6784" w:rsidRPr="004932C4" w:rsidRDefault="00000000">
      <w:pPr>
        <w:tabs>
          <w:tab w:val="left" w:pos="6117"/>
        </w:tabs>
        <w:rPr>
          <w:rFonts w:ascii="Times New Roman" w:eastAsia="Times New Roman" w:hAnsi="Times New Roman"/>
          <w:b/>
          <w:iCs/>
          <w:sz w:val="24"/>
          <w:szCs w:val="24"/>
        </w:rPr>
      </w:pPr>
      <w:r w:rsidRPr="004932C4">
        <w:rPr>
          <w:rFonts w:ascii="Times New Roman" w:eastAsia="Times New Roman" w:hAnsi="Times New Roman"/>
          <w:b/>
          <w:iCs/>
          <w:sz w:val="24"/>
          <w:szCs w:val="24"/>
        </w:rPr>
        <w:t>2.4 Heavy metal pollution index (HPI)</w:t>
      </w:r>
      <w:r w:rsidRPr="004932C4">
        <w:rPr>
          <w:rFonts w:ascii="Times New Roman" w:eastAsia="Times New Roman" w:hAnsi="Times New Roman"/>
          <w:b/>
          <w:iCs/>
          <w:sz w:val="24"/>
          <w:szCs w:val="24"/>
        </w:rPr>
        <w:tab/>
      </w:r>
    </w:p>
    <w:p w14:paraId="1BFA8794" w14:textId="77777777" w:rsidR="008C6784" w:rsidRPr="004932C4" w:rsidRDefault="00000000">
      <w:pPr>
        <w:rPr>
          <w:rFonts w:ascii="Times New Roman" w:eastAsia="Times New Roman" w:hAnsi="Times New Roman"/>
          <w:sz w:val="24"/>
          <w:szCs w:val="24"/>
        </w:rPr>
      </w:pPr>
      <w:r w:rsidRPr="004932C4">
        <w:rPr>
          <w:rFonts w:ascii="Times New Roman" w:eastAsia="Times New Roman" w:hAnsi="Times New Roman"/>
          <w:sz w:val="24"/>
          <w:szCs w:val="24"/>
        </w:rPr>
        <w:t>HPI was calculated using the following formula (Mohan et al., 1996):</w:t>
      </w:r>
    </w:p>
    <w:p w14:paraId="752FF0A9" w14:textId="77777777" w:rsidR="008C6784" w:rsidRPr="004932C4" w:rsidRDefault="00000000">
      <w:pPr>
        <w:rPr>
          <w:rFonts w:ascii="Times New Roman" w:eastAsia="Times New Roman" w:hAnsi="Times New Roman"/>
          <w:sz w:val="24"/>
          <w:szCs w:val="24"/>
        </w:rPr>
      </w:pPr>
      <m:oMathPara>
        <m:oMath>
          <m:r>
            <w:rPr>
              <w:rFonts w:ascii="Cambria Math" w:hAnsi="Cambria Math"/>
              <w:sz w:val="24"/>
              <w:szCs w:val="24"/>
            </w:rPr>
            <m:t xml:space="preserve">HPI= </m:t>
          </m:r>
          <m:f>
            <m:fPr>
              <m:ctrlPr>
                <w:rPr>
                  <w:rFonts w:ascii="Cambria Math" w:eastAsiaTheme="minorHAnsi" w:hAnsi="Cambria Math"/>
                  <w:i/>
                  <w:kern w:val="0"/>
                  <w:sz w:val="24"/>
                  <w:szCs w:val="24"/>
                  <w:lang w:val="en-US"/>
                </w:rPr>
              </m:ctrlPr>
            </m:fPr>
            <m:num>
              <m:nary>
                <m:naryPr>
                  <m:chr m:val="∑"/>
                  <m:limLoc m:val="subSup"/>
                  <m:ctrlPr>
                    <w:rPr>
                      <w:rFonts w:ascii="Cambria Math" w:eastAsiaTheme="minorHAnsi" w:hAnsi="Cambria Math"/>
                      <w:i/>
                      <w:kern w:val="0"/>
                      <w:sz w:val="24"/>
                      <w:szCs w:val="24"/>
                      <w:lang w:val="en-US"/>
                    </w:rPr>
                  </m:ctrlPr>
                </m:naryPr>
                <m:sub>
                  <m:r>
                    <w:rPr>
                      <w:rFonts w:ascii="Cambria Math" w:hAnsi="Cambria Math"/>
                      <w:sz w:val="24"/>
                      <w:szCs w:val="24"/>
                    </w:rPr>
                    <m:t>i=1</m:t>
                  </m:r>
                </m:sub>
                <m:sup>
                  <m:r>
                    <w:rPr>
                      <w:rFonts w:ascii="Cambria Math" w:hAnsi="Cambria Math"/>
                      <w:sz w:val="24"/>
                      <w:szCs w:val="24"/>
                    </w:rPr>
                    <m:t>n</m:t>
                  </m:r>
                </m:sup>
                <m:e>
                  <m:r>
                    <w:rPr>
                      <w:rFonts w:ascii="Cambria Math" w:hAnsi="Cambria Math"/>
                      <w:sz w:val="24"/>
                      <w:szCs w:val="24"/>
                    </w:rPr>
                    <m:t>QiWi</m:t>
                  </m:r>
                </m:e>
              </m:nary>
            </m:num>
            <m:den>
              <m:nary>
                <m:naryPr>
                  <m:chr m:val="∑"/>
                  <m:limLoc m:val="subSup"/>
                  <m:ctrlPr>
                    <w:rPr>
                      <w:rFonts w:ascii="Cambria Math" w:eastAsiaTheme="minorHAnsi" w:hAnsi="Cambria Math"/>
                      <w:i/>
                      <w:kern w:val="0"/>
                      <w:sz w:val="24"/>
                      <w:szCs w:val="24"/>
                      <w:lang w:val="en-US"/>
                    </w:rPr>
                  </m:ctrlPr>
                </m:naryPr>
                <m:sub>
                  <m:r>
                    <w:rPr>
                      <w:rFonts w:ascii="Cambria Math" w:hAnsi="Cambria Math"/>
                      <w:sz w:val="24"/>
                      <w:szCs w:val="24"/>
                    </w:rPr>
                    <m:t>i=1</m:t>
                  </m:r>
                </m:sub>
                <m:sup>
                  <m:r>
                    <w:rPr>
                      <w:rFonts w:ascii="Cambria Math" w:hAnsi="Cambria Math"/>
                      <w:sz w:val="24"/>
                      <w:szCs w:val="24"/>
                    </w:rPr>
                    <m:t>n</m:t>
                  </m:r>
                </m:sup>
                <m:e>
                  <m:r>
                    <w:rPr>
                      <w:rFonts w:ascii="Cambria Math" w:hAnsi="Cambria Math"/>
                      <w:sz w:val="24"/>
                      <w:szCs w:val="24"/>
                    </w:rPr>
                    <m:t>Wi</m:t>
                  </m:r>
                </m:e>
              </m:nary>
            </m:den>
          </m:f>
        </m:oMath>
      </m:oMathPara>
    </w:p>
    <w:p w14:paraId="4B307091" w14:textId="77777777" w:rsidR="008C6784" w:rsidRPr="004932C4" w:rsidRDefault="00000000">
      <w:pPr>
        <w:rPr>
          <w:rFonts w:ascii="Times New Roman" w:eastAsia="Times New Roman" w:hAnsi="Times New Roman"/>
          <w:sz w:val="24"/>
          <w:szCs w:val="24"/>
        </w:rPr>
      </w:pPr>
      <w:r w:rsidRPr="004932C4">
        <w:rPr>
          <w:rFonts w:ascii="Times New Roman" w:eastAsia="Times New Roman" w:hAnsi="Times New Roman"/>
          <w:sz w:val="24"/>
          <w:szCs w:val="24"/>
        </w:rPr>
        <w:t xml:space="preserve">Where, </w:t>
      </w:r>
    </w:p>
    <w:p w14:paraId="1C5B372E" w14:textId="77777777" w:rsidR="008C6784" w:rsidRPr="004932C4" w:rsidRDefault="00000000">
      <w:pPr>
        <w:rPr>
          <w:rFonts w:ascii="Times New Roman" w:eastAsia="Times New Roman" w:hAnsi="Times New Roman"/>
          <w:sz w:val="24"/>
          <w:szCs w:val="24"/>
        </w:rPr>
      </w:pPr>
      <w:r w:rsidRPr="004932C4">
        <w:rPr>
          <w:rFonts w:ascii="Times New Roman" w:eastAsia="Times New Roman" w:hAnsi="Times New Roman"/>
          <w:sz w:val="24"/>
          <w:szCs w:val="24"/>
        </w:rPr>
        <w:t>W</w:t>
      </w:r>
      <w:r w:rsidRPr="004932C4">
        <w:rPr>
          <w:rFonts w:ascii="Times New Roman" w:eastAsia="Times New Roman" w:hAnsi="Times New Roman"/>
          <w:sz w:val="24"/>
          <w:szCs w:val="24"/>
          <w:vertAlign w:val="subscript"/>
        </w:rPr>
        <w:t>i</w:t>
      </w:r>
      <w:r w:rsidRPr="004932C4">
        <w:rPr>
          <w:rFonts w:ascii="Times New Roman" w:eastAsia="Times New Roman" w:hAnsi="Times New Roman"/>
          <w:sz w:val="24"/>
          <w:szCs w:val="24"/>
        </w:rPr>
        <w:t xml:space="preserve"> = unit weight of the </w:t>
      </w:r>
      <w:proofErr w:type="spellStart"/>
      <w:r w:rsidRPr="004932C4">
        <w:rPr>
          <w:rFonts w:ascii="Times New Roman" w:eastAsia="Times New Roman" w:hAnsi="Times New Roman"/>
          <w:sz w:val="24"/>
          <w:szCs w:val="24"/>
        </w:rPr>
        <w:t>i</w:t>
      </w:r>
      <w:r w:rsidRPr="004932C4">
        <w:rPr>
          <w:rFonts w:ascii="Times New Roman" w:eastAsia="Times New Roman" w:hAnsi="Times New Roman"/>
          <w:sz w:val="24"/>
          <w:szCs w:val="24"/>
          <w:vertAlign w:val="superscript"/>
        </w:rPr>
        <w:t>th</w:t>
      </w:r>
      <w:proofErr w:type="spellEnd"/>
      <w:r w:rsidRPr="004932C4">
        <w:rPr>
          <w:rFonts w:ascii="Times New Roman" w:eastAsia="Times New Roman" w:hAnsi="Times New Roman"/>
          <w:sz w:val="24"/>
          <w:szCs w:val="24"/>
          <w:vertAlign w:val="superscript"/>
        </w:rPr>
        <w:t xml:space="preserve"> </w:t>
      </w:r>
      <w:r w:rsidRPr="004932C4">
        <w:rPr>
          <w:rFonts w:ascii="Times New Roman" w:eastAsia="Times New Roman" w:hAnsi="Times New Roman"/>
          <w:sz w:val="24"/>
          <w:szCs w:val="24"/>
        </w:rPr>
        <w:t>parameter</w:t>
      </w:r>
    </w:p>
    <w:p w14:paraId="7260A4A4" w14:textId="77777777" w:rsidR="008C6784" w:rsidRPr="004932C4" w:rsidRDefault="00000000">
      <w:pPr>
        <w:rPr>
          <w:rFonts w:ascii="Times New Roman" w:eastAsia="Times New Roman" w:hAnsi="Times New Roman"/>
          <w:sz w:val="24"/>
          <w:szCs w:val="24"/>
        </w:rPr>
      </w:pPr>
      <w:r w:rsidRPr="004932C4">
        <w:rPr>
          <w:rFonts w:ascii="Times New Roman" w:eastAsia="Times New Roman" w:hAnsi="Times New Roman"/>
          <w:sz w:val="24"/>
          <w:szCs w:val="24"/>
        </w:rPr>
        <w:t>Q</w:t>
      </w:r>
      <w:r w:rsidRPr="004932C4">
        <w:rPr>
          <w:rFonts w:ascii="Times New Roman" w:eastAsia="Times New Roman" w:hAnsi="Times New Roman"/>
          <w:sz w:val="24"/>
          <w:szCs w:val="24"/>
          <w:vertAlign w:val="subscript"/>
        </w:rPr>
        <w:t>i</w:t>
      </w:r>
      <w:r w:rsidRPr="004932C4">
        <w:rPr>
          <w:rFonts w:ascii="Times New Roman" w:eastAsia="Times New Roman" w:hAnsi="Times New Roman"/>
          <w:sz w:val="24"/>
          <w:szCs w:val="24"/>
        </w:rPr>
        <w:t xml:space="preserve"> = sub-index value of the </w:t>
      </w:r>
      <w:proofErr w:type="spellStart"/>
      <w:r w:rsidRPr="004932C4">
        <w:rPr>
          <w:rFonts w:ascii="Times New Roman" w:eastAsia="Times New Roman" w:hAnsi="Times New Roman"/>
          <w:sz w:val="24"/>
          <w:szCs w:val="24"/>
        </w:rPr>
        <w:t>i</w:t>
      </w:r>
      <w:r w:rsidRPr="004932C4">
        <w:rPr>
          <w:rFonts w:ascii="Times New Roman" w:eastAsia="Times New Roman" w:hAnsi="Times New Roman"/>
          <w:sz w:val="24"/>
          <w:szCs w:val="24"/>
          <w:vertAlign w:val="superscript"/>
        </w:rPr>
        <w:t>th</w:t>
      </w:r>
      <w:proofErr w:type="spellEnd"/>
      <w:r w:rsidRPr="004932C4">
        <w:rPr>
          <w:rFonts w:ascii="Times New Roman" w:eastAsia="Times New Roman" w:hAnsi="Times New Roman"/>
          <w:sz w:val="24"/>
          <w:szCs w:val="24"/>
          <w:vertAlign w:val="superscript"/>
        </w:rPr>
        <w:t xml:space="preserve"> </w:t>
      </w:r>
      <w:r w:rsidRPr="004932C4">
        <w:rPr>
          <w:rFonts w:ascii="Times New Roman" w:eastAsia="Times New Roman" w:hAnsi="Times New Roman"/>
          <w:sz w:val="24"/>
          <w:szCs w:val="24"/>
        </w:rPr>
        <w:t xml:space="preserve">parameter. </w:t>
      </w:r>
    </w:p>
    <w:p w14:paraId="00992BFB" w14:textId="77777777" w:rsidR="008C6784" w:rsidRPr="004932C4" w:rsidRDefault="00000000">
      <w:pPr>
        <w:rPr>
          <w:rFonts w:ascii="Times New Roman" w:eastAsia="Times New Roman" w:hAnsi="Times New Roman"/>
          <w:b/>
          <w:iCs/>
          <w:sz w:val="24"/>
          <w:szCs w:val="24"/>
        </w:rPr>
      </w:pPr>
      <w:r w:rsidRPr="004932C4">
        <w:rPr>
          <w:rFonts w:ascii="Times New Roman" w:eastAsia="Times New Roman" w:hAnsi="Times New Roman"/>
          <w:b/>
          <w:iCs/>
          <w:sz w:val="24"/>
          <w:szCs w:val="24"/>
        </w:rPr>
        <w:lastRenderedPageBreak/>
        <w:t xml:space="preserve">2.5 </w:t>
      </w:r>
      <w:proofErr w:type="spellStart"/>
      <w:r w:rsidRPr="004932C4">
        <w:rPr>
          <w:rFonts w:ascii="Times New Roman" w:eastAsia="Times New Roman" w:hAnsi="Times New Roman"/>
          <w:b/>
          <w:iCs/>
          <w:sz w:val="24"/>
          <w:szCs w:val="24"/>
        </w:rPr>
        <w:t>Geoaccumulation</w:t>
      </w:r>
      <w:proofErr w:type="spellEnd"/>
      <w:r w:rsidRPr="004932C4">
        <w:rPr>
          <w:rFonts w:ascii="Times New Roman" w:eastAsia="Times New Roman" w:hAnsi="Times New Roman"/>
          <w:b/>
          <w:iCs/>
          <w:sz w:val="24"/>
          <w:szCs w:val="24"/>
        </w:rPr>
        <w:t xml:space="preserve"> index</w:t>
      </w:r>
    </w:p>
    <w:p w14:paraId="0F38EE2A" w14:textId="77777777" w:rsidR="008C6784" w:rsidRPr="004932C4" w:rsidRDefault="00000000">
      <w:pPr>
        <w:rPr>
          <w:rFonts w:ascii="Times New Roman" w:eastAsia="Times New Roman" w:hAnsi="Times New Roman"/>
          <w:sz w:val="24"/>
          <w:szCs w:val="24"/>
        </w:rPr>
      </w:pPr>
      <w:r w:rsidRPr="004932C4">
        <w:rPr>
          <w:rFonts w:ascii="Times New Roman" w:eastAsia="Times New Roman" w:hAnsi="Times New Roman"/>
          <w:sz w:val="24"/>
          <w:szCs w:val="24"/>
        </w:rPr>
        <w:t xml:space="preserve">The </w:t>
      </w:r>
      <w:proofErr w:type="spellStart"/>
      <w:r w:rsidRPr="004932C4">
        <w:rPr>
          <w:rFonts w:ascii="Times New Roman" w:eastAsia="Times New Roman" w:hAnsi="Times New Roman"/>
          <w:sz w:val="24"/>
          <w:szCs w:val="24"/>
        </w:rPr>
        <w:t>geoaccumulation</w:t>
      </w:r>
      <w:proofErr w:type="spellEnd"/>
      <w:r w:rsidRPr="004932C4">
        <w:rPr>
          <w:rFonts w:ascii="Times New Roman" w:eastAsia="Times New Roman" w:hAnsi="Times New Roman"/>
          <w:sz w:val="24"/>
          <w:szCs w:val="24"/>
        </w:rPr>
        <w:t xml:space="preserve"> index (</w:t>
      </w:r>
      <w:proofErr w:type="spellStart"/>
      <w:r w:rsidRPr="004932C4">
        <w:rPr>
          <w:rFonts w:ascii="Times New Roman" w:eastAsia="Times New Roman" w:hAnsi="Times New Roman"/>
          <w:sz w:val="24"/>
          <w:szCs w:val="24"/>
        </w:rPr>
        <w:t>Igeo</w:t>
      </w:r>
      <w:proofErr w:type="spellEnd"/>
      <w:r w:rsidRPr="004932C4">
        <w:rPr>
          <w:rFonts w:ascii="Times New Roman" w:eastAsia="Times New Roman" w:hAnsi="Times New Roman"/>
          <w:sz w:val="24"/>
          <w:szCs w:val="24"/>
        </w:rPr>
        <w:t xml:space="preserve">) is a comprehensive method for assessing heavy metal pollution within the environment. </w:t>
      </w:r>
      <w:proofErr w:type="spellStart"/>
      <w:r w:rsidRPr="004932C4">
        <w:rPr>
          <w:rFonts w:ascii="Times New Roman" w:eastAsia="Times New Roman" w:hAnsi="Times New Roman"/>
          <w:sz w:val="24"/>
          <w:szCs w:val="24"/>
        </w:rPr>
        <w:t>Igeo</w:t>
      </w:r>
      <w:proofErr w:type="spellEnd"/>
      <w:r w:rsidRPr="004932C4">
        <w:rPr>
          <w:rFonts w:ascii="Times New Roman" w:eastAsia="Times New Roman" w:hAnsi="Times New Roman"/>
          <w:sz w:val="24"/>
          <w:szCs w:val="24"/>
        </w:rPr>
        <w:t xml:space="preserve"> can be calculated using a formula to assess the degree of contamination.</w:t>
      </w:r>
    </w:p>
    <w:p w14:paraId="16157AA8" w14:textId="77777777" w:rsidR="008C6784" w:rsidRPr="004932C4" w:rsidRDefault="00000000">
      <w:pPr>
        <w:rPr>
          <w:rFonts w:ascii="Times New Roman" w:eastAsia="Times New Roman" w:hAnsi="Times New Roman"/>
          <w:sz w:val="24"/>
          <w:szCs w:val="24"/>
        </w:rPr>
      </w:pPr>
      <w:r w:rsidRPr="004932C4">
        <w:rPr>
          <w:rFonts w:ascii="Times New Roman" w:eastAsia="Times New Roman" w:hAnsi="Times New Roman"/>
          <w:sz w:val="24"/>
          <w:szCs w:val="24"/>
        </w:rPr>
        <w:t xml:space="preserve">   </w:t>
      </w:r>
      <w:r w:rsidRPr="004932C4">
        <w:rPr>
          <w:rFonts w:ascii="Times New Roman" w:eastAsia="Times New Roman" w:hAnsi="Times New Roman"/>
          <w:sz w:val="24"/>
          <w:szCs w:val="24"/>
        </w:rPr>
        <w:tab/>
      </w:r>
      <w:r w:rsidRPr="004932C4">
        <w:rPr>
          <w:rFonts w:ascii="Times New Roman" w:eastAsia="Times New Roman" w:hAnsi="Times New Roman"/>
          <w:sz w:val="24"/>
          <w:szCs w:val="24"/>
        </w:rPr>
        <w:tab/>
      </w:r>
      <w:r w:rsidRPr="004932C4">
        <w:rPr>
          <w:rFonts w:ascii="Times New Roman" w:eastAsia="Times New Roman" w:hAnsi="Times New Roman"/>
          <w:sz w:val="24"/>
          <w:szCs w:val="24"/>
        </w:rPr>
        <w:tab/>
      </w:r>
      <w:r w:rsidRPr="004932C4">
        <w:rPr>
          <w:rFonts w:ascii="Times New Roman" w:eastAsia="Times New Roman" w:hAnsi="Times New Roman"/>
          <w:sz w:val="24"/>
          <w:szCs w:val="24"/>
        </w:rPr>
        <w:tab/>
      </w:r>
      <w:r w:rsidRPr="004932C4">
        <w:rPr>
          <w:rFonts w:ascii="Times New Roman" w:eastAsia="Times New Roman" w:hAnsi="Times New Roman"/>
          <w:sz w:val="24"/>
          <w:szCs w:val="24"/>
        </w:rPr>
        <w:tab/>
      </w:r>
      <w:proofErr w:type="spellStart"/>
      <w:r w:rsidRPr="004932C4">
        <w:rPr>
          <w:rFonts w:ascii="Times New Roman" w:eastAsia="Times New Roman" w:hAnsi="Times New Roman"/>
          <w:sz w:val="24"/>
          <w:szCs w:val="24"/>
        </w:rPr>
        <w:t>I</w:t>
      </w:r>
      <w:r w:rsidRPr="004932C4">
        <w:rPr>
          <w:rFonts w:ascii="Times New Roman" w:eastAsia="Times New Roman" w:hAnsi="Times New Roman"/>
          <w:sz w:val="24"/>
          <w:szCs w:val="24"/>
          <w:vertAlign w:val="subscript"/>
        </w:rPr>
        <w:t>geo</w:t>
      </w:r>
      <w:proofErr w:type="spellEnd"/>
      <w:r w:rsidRPr="004932C4">
        <w:rPr>
          <w:rFonts w:ascii="Times New Roman" w:eastAsia="Times New Roman" w:hAnsi="Times New Roman"/>
          <w:sz w:val="24"/>
          <w:szCs w:val="24"/>
        </w:rPr>
        <w:t xml:space="preserve"> = log</w:t>
      </w:r>
      <w:r w:rsidRPr="004932C4">
        <w:rPr>
          <w:rFonts w:ascii="Times New Roman" w:eastAsia="Times New Roman" w:hAnsi="Times New Roman"/>
          <w:sz w:val="24"/>
          <w:szCs w:val="24"/>
          <w:vertAlign w:val="subscript"/>
        </w:rPr>
        <w:t>2</w:t>
      </w:r>
      <w:r w:rsidRPr="004932C4">
        <w:rPr>
          <w:rFonts w:ascii="Times New Roman" w:eastAsia="Times New Roman" w:hAnsi="Times New Roman"/>
          <w:sz w:val="24"/>
          <w:szCs w:val="24"/>
        </w:rPr>
        <w:t>[C</w:t>
      </w:r>
      <w:r w:rsidRPr="004932C4">
        <w:rPr>
          <w:rFonts w:ascii="Times New Roman" w:eastAsia="Times New Roman" w:hAnsi="Times New Roman"/>
          <w:sz w:val="24"/>
          <w:szCs w:val="24"/>
          <w:vertAlign w:val="subscript"/>
        </w:rPr>
        <w:t>n</w:t>
      </w:r>
      <w:r w:rsidRPr="004932C4">
        <w:rPr>
          <w:rFonts w:ascii="Times New Roman" w:eastAsia="Times New Roman" w:hAnsi="Times New Roman"/>
          <w:sz w:val="24"/>
          <w:szCs w:val="24"/>
        </w:rPr>
        <w:t>/1.5 x B</w:t>
      </w:r>
      <w:r w:rsidRPr="004932C4">
        <w:rPr>
          <w:rFonts w:ascii="Times New Roman" w:eastAsia="Times New Roman" w:hAnsi="Times New Roman"/>
          <w:sz w:val="24"/>
          <w:szCs w:val="24"/>
          <w:vertAlign w:val="subscript"/>
        </w:rPr>
        <w:t>n</w:t>
      </w:r>
      <w:r w:rsidRPr="004932C4">
        <w:rPr>
          <w:rFonts w:ascii="Times New Roman" w:eastAsia="Times New Roman" w:hAnsi="Times New Roman"/>
          <w:sz w:val="24"/>
          <w:szCs w:val="24"/>
        </w:rPr>
        <w:t>]</w:t>
      </w:r>
      <w:r w:rsidRPr="004932C4">
        <w:rPr>
          <w:rFonts w:ascii="Times New Roman" w:eastAsia="Times New Roman" w:hAnsi="Times New Roman"/>
          <w:sz w:val="24"/>
          <w:szCs w:val="24"/>
        </w:rPr>
        <w:tab/>
      </w:r>
    </w:p>
    <w:p w14:paraId="510F4341" w14:textId="77777777" w:rsidR="008C6784" w:rsidRPr="004932C4" w:rsidRDefault="00000000">
      <w:pPr>
        <w:rPr>
          <w:rFonts w:ascii="Times New Roman" w:eastAsia="Times New Roman" w:hAnsi="Times New Roman"/>
          <w:sz w:val="24"/>
          <w:szCs w:val="24"/>
        </w:rPr>
      </w:pPr>
      <w:r w:rsidRPr="004932C4">
        <w:rPr>
          <w:rFonts w:ascii="Times New Roman" w:eastAsia="Times New Roman" w:hAnsi="Times New Roman"/>
          <w:sz w:val="24"/>
          <w:szCs w:val="24"/>
        </w:rPr>
        <w:t>Where C</w:t>
      </w:r>
      <w:r w:rsidRPr="004932C4">
        <w:rPr>
          <w:rFonts w:ascii="Times New Roman" w:eastAsia="Times New Roman" w:hAnsi="Times New Roman"/>
          <w:sz w:val="24"/>
          <w:szCs w:val="24"/>
          <w:vertAlign w:val="subscript"/>
        </w:rPr>
        <w:t xml:space="preserve">n </w:t>
      </w:r>
      <w:r w:rsidRPr="004932C4">
        <w:rPr>
          <w:rFonts w:ascii="Times New Roman" w:eastAsia="Times New Roman" w:hAnsi="Times New Roman"/>
          <w:sz w:val="24"/>
          <w:szCs w:val="24"/>
        </w:rPr>
        <w:t>denotes metal content, B</w:t>
      </w:r>
      <w:r w:rsidRPr="004932C4">
        <w:rPr>
          <w:rFonts w:ascii="Times New Roman" w:eastAsia="Times New Roman" w:hAnsi="Times New Roman"/>
          <w:sz w:val="24"/>
          <w:szCs w:val="24"/>
          <w:vertAlign w:val="subscript"/>
        </w:rPr>
        <w:t xml:space="preserve">n </w:t>
      </w:r>
      <w:r w:rsidRPr="004932C4">
        <w:rPr>
          <w:rFonts w:ascii="Times New Roman" w:eastAsia="Times New Roman" w:hAnsi="Times New Roman"/>
          <w:sz w:val="24"/>
          <w:szCs w:val="24"/>
        </w:rPr>
        <w:t xml:space="preserve">is the shale background content of the metal as stated by </w:t>
      </w:r>
      <w:proofErr w:type="spellStart"/>
      <w:r w:rsidRPr="004932C4">
        <w:rPr>
          <w:rFonts w:ascii="Times New Roman" w:eastAsia="Times New Roman" w:hAnsi="Times New Roman"/>
          <w:sz w:val="24"/>
          <w:szCs w:val="24"/>
        </w:rPr>
        <w:t>Turekian</w:t>
      </w:r>
      <w:proofErr w:type="spellEnd"/>
      <w:r w:rsidRPr="004932C4">
        <w:rPr>
          <w:rFonts w:ascii="Times New Roman" w:eastAsia="Times New Roman" w:hAnsi="Times New Roman"/>
          <w:sz w:val="24"/>
          <w:szCs w:val="24"/>
        </w:rPr>
        <w:t xml:space="preserve"> and </w:t>
      </w:r>
      <w:proofErr w:type="spellStart"/>
      <w:r w:rsidRPr="004932C4">
        <w:rPr>
          <w:rFonts w:ascii="Times New Roman" w:eastAsia="Times New Roman" w:hAnsi="Times New Roman"/>
          <w:sz w:val="24"/>
          <w:szCs w:val="24"/>
        </w:rPr>
        <w:t>Wedepohl</w:t>
      </w:r>
      <w:proofErr w:type="spellEnd"/>
      <w:r w:rsidRPr="004932C4">
        <w:rPr>
          <w:rFonts w:ascii="Times New Roman" w:eastAsia="Times New Roman" w:hAnsi="Times New Roman"/>
          <w:sz w:val="24"/>
          <w:szCs w:val="24"/>
        </w:rPr>
        <w:t xml:space="preserve"> (1961), and 1.5 is a constant used to minimise variation in background values caused by lithogenic origins. Furthermore, the Igeo value is classified into seven levels according to Vineethkumar et al. (2020).  </w:t>
      </w:r>
    </w:p>
    <w:p w14:paraId="5193E9FE" w14:textId="77777777" w:rsidR="008C6784" w:rsidRPr="004932C4" w:rsidRDefault="00000000">
      <w:pPr>
        <w:rPr>
          <w:rFonts w:ascii="Times New Roman" w:eastAsia="Times New Roman" w:hAnsi="Times New Roman"/>
          <w:b/>
          <w:iCs/>
          <w:sz w:val="24"/>
          <w:szCs w:val="24"/>
        </w:rPr>
      </w:pPr>
      <w:r w:rsidRPr="004932C4">
        <w:rPr>
          <w:rFonts w:ascii="Times New Roman" w:eastAsia="Times New Roman" w:hAnsi="Times New Roman"/>
          <w:b/>
          <w:iCs/>
          <w:color w:val="000000"/>
          <w:sz w:val="24"/>
          <w:szCs w:val="24"/>
        </w:rPr>
        <w:t xml:space="preserve">2.6 </w:t>
      </w:r>
      <w:r w:rsidRPr="004932C4">
        <w:rPr>
          <w:rFonts w:ascii="Times New Roman" w:eastAsia="Times New Roman" w:hAnsi="Times New Roman"/>
          <w:b/>
          <w:iCs/>
          <w:sz w:val="24"/>
          <w:szCs w:val="24"/>
        </w:rPr>
        <w:t>Pollution Load Index (PLI)</w:t>
      </w:r>
    </w:p>
    <w:p w14:paraId="3284A179" w14:textId="77777777" w:rsidR="008C6784" w:rsidRPr="004932C4" w:rsidRDefault="00000000">
      <w:pPr>
        <w:rPr>
          <w:rFonts w:ascii="Times New Roman" w:eastAsia="Times New Roman" w:hAnsi="Times New Roman"/>
          <w:b/>
          <w:iCs/>
          <w:sz w:val="24"/>
          <w:szCs w:val="24"/>
        </w:rPr>
      </w:pPr>
      <w:r w:rsidRPr="004932C4">
        <w:rPr>
          <w:rFonts w:ascii="Times New Roman" w:eastAsia="Times New Roman" w:hAnsi="Times New Roman"/>
          <w:sz w:val="24"/>
          <w:szCs w:val="24"/>
        </w:rPr>
        <w:t>The pollution load index (PLI) was evaluated using the following formula (Tomlinson et al., 1980):</w:t>
      </w:r>
    </w:p>
    <w:p w14:paraId="25335D86" w14:textId="77777777" w:rsidR="008C6784" w:rsidRPr="004932C4" w:rsidRDefault="00000000">
      <w:pPr>
        <w:jc w:val="center"/>
        <w:rPr>
          <w:rFonts w:ascii="Times New Roman" w:eastAsia="Times New Roman" w:hAnsi="Times New Roman"/>
          <w:sz w:val="24"/>
          <w:szCs w:val="24"/>
        </w:rPr>
      </w:pPr>
      <w:r w:rsidRPr="004932C4">
        <w:rPr>
          <w:rFonts w:ascii="Times New Roman" w:eastAsia="Times New Roman" w:hAnsi="Times New Roman"/>
          <w:sz w:val="24"/>
          <w:szCs w:val="24"/>
        </w:rPr>
        <w:t xml:space="preserve">CF = </w:t>
      </w:r>
      <w:proofErr w:type="spellStart"/>
      <w:r w:rsidRPr="004932C4">
        <w:rPr>
          <w:rFonts w:ascii="Times New Roman" w:eastAsia="Times New Roman" w:hAnsi="Times New Roman"/>
          <w:sz w:val="24"/>
          <w:szCs w:val="24"/>
        </w:rPr>
        <w:t>C</w:t>
      </w:r>
      <w:r w:rsidRPr="004932C4">
        <w:rPr>
          <w:rFonts w:ascii="Times New Roman" w:eastAsia="Times New Roman" w:hAnsi="Times New Roman"/>
          <w:sz w:val="24"/>
          <w:szCs w:val="24"/>
          <w:vertAlign w:val="subscript"/>
        </w:rPr>
        <w:t>metal</w:t>
      </w:r>
      <w:proofErr w:type="spellEnd"/>
      <w:r w:rsidRPr="004932C4">
        <w:rPr>
          <w:rFonts w:ascii="Times New Roman" w:eastAsia="Times New Roman" w:hAnsi="Times New Roman"/>
          <w:sz w:val="24"/>
          <w:szCs w:val="24"/>
        </w:rPr>
        <w:t>/</w:t>
      </w:r>
      <w:proofErr w:type="spellStart"/>
      <w:r w:rsidRPr="004932C4">
        <w:rPr>
          <w:rFonts w:ascii="Times New Roman" w:eastAsia="Times New Roman" w:hAnsi="Times New Roman"/>
          <w:sz w:val="24"/>
          <w:szCs w:val="24"/>
        </w:rPr>
        <w:t>C</w:t>
      </w:r>
      <w:r w:rsidRPr="004932C4">
        <w:rPr>
          <w:rFonts w:ascii="Times New Roman" w:eastAsia="Times New Roman" w:hAnsi="Times New Roman"/>
          <w:sz w:val="24"/>
          <w:szCs w:val="24"/>
          <w:vertAlign w:val="subscript"/>
        </w:rPr>
        <w:t>background</w:t>
      </w:r>
      <w:proofErr w:type="spellEnd"/>
    </w:p>
    <w:p w14:paraId="3E97AADB" w14:textId="77777777" w:rsidR="008C6784" w:rsidRPr="004932C4" w:rsidRDefault="00000000">
      <w:pPr>
        <w:jc w:val="center"/>
        <w:rPr>
          <w:rFonts w:ascii="Times New Roman" w:eastAsia="Times New Roman" w:hAnsi="Times New Roman"/>
          <w:sz w:val="24"/>
          <w:szCs w:val="24"/>
          <w:vertAlign w:val="superscript"/>
        </w:rPr>
      </w:pPr>
      <w:r w:rsidRPr="004932C4">
        <w:rPr>
          <w:rFonts w:ascii="Times New Roman" w:eastAsia="Times New Roman" w:hAnsi="Times New Roman"/>
          <w:sz w:val="24"/>
          <w:szCs w:val="24"/>
        </w:rPr>
        <w:t>PLI= (CF</w:t>
      </w:r>
      <w:r w:rsidRPr="004932C4">
        <w:rPr>
          <w:rFonts w:ascii="Times New Roman" w:eastAsia="Times New Roman" w:hAnsi="Times New Roman"/>
          <w:sz w:val="24"/>
          <w:szCs w:val="24"/>
          <w:vertAlign w:val="subscript"/>
        </w:rPr>
        <w:t>1</w:t>
      </w:r>
      <w:r w:rsidRPr="004932C4">
        <w:rPr>
          <w:rFonts w:ascii="Times New Roman" w:eastAsia="Times New Roman" w:hAnsi="Times New Roman"/>
          <w:sz w:val="24"/>
          <w:szCs w:val="24"/>
        </w:rPr>
        <w:t xml:space="preserve"> x CF</w:t>
      </w:r>
      <w:r w:rsidRPr="004932C4">
        <w:rPr>
          <w:rFonts w:ascii="Times New Roman" w:eastAsia="Times New Roman" w:hAnsi="Times New Roman"/>
          <w:sz w:val="24"/>
          <w:szCs w:val="24"/>
          <w:vertAlign w:val="subscript"/>
        </w:rPr>
        <w:t>2</w:t>
      </w:r>
      <w:r w:rsidRPr="004932C4">
        <w:rPr>
          <w:rFonts w:ascii="Times New Roman" w:eastAsia="Times New Roman" w:hAnsi="Times New Roman"/>
          <w:sz w:val="24"/>
          <w:szCs w:val="24"/>
        </w:rPr>
        <w:t xml:space="preserve"> x ….  x </w:t>
      </w:r>
      <w:proofErr w:type="spellStart"/>
      <w:r w:rsidRPr="004932C4">
        <w:rPr>
          <w:rFonts w:ascii="Times New Roman" w:eastAsia="Times New Roman" w:hAnsi="Times New Roman"/>
          <w:sz w:val="24"/>
          <w:szCs w:val="24"/>
        </w:rPr>
        <w:t>CF</w:t>
      </w:r>
      <w:r w:rsidRPr="004932C4">
        <w:rPr>
          <w:rFonts w:ascii="Times New Roman" w:eastAsia="Times New Roman" w:hAnsi="Times New Roman"/>
          <w:sz w:val="24"/>
          <w:szCs w:val="24"/>
          <w:vertAlign w:val="subscript"/>
        </w:rPr>
        <w:t>n</w:t>
      </w:r>
      <w:proofErr w:type="spellEnd"/>
      <w:r w:rsidRPr="004932C4">
        <w:rPr>
          <w:rFonts w:ascii="Times New Roman" w:eastAsia="Times New Roman" w:hAnsi="Times New Roman"/>
          <w:sz w:val="24"/>
          <w:szCs w:val="24"/>
        </w:rPr>
        <w:t>)</w:t>
      </w:r>
      <w:r w:rsidRPr="004932C4">
        <w:rPr>
          <w:rFonts w:ascii="Times New Roman" w:eastAsia="Times New Roman" w:hAnsi="Times New Roman"/>
          <w:sz w:val="24"/>
          <w:szCs w:val="24"/>
          <w:vertAlign w:val="superscript"/>
        </w:rPr>
        <w:t>1/n</w:t>
      </w:r>
    </w:p>
    <w:p w14:paraId="5B8270D8" w14:textId="77777777" w:rsidR="008C6784" w:rsidRPr="004932C4" w:rsidRDefault="00000000">
      <w:pPr>
        <w:rPr>
          <w:rFonts w:ascii="Times New Roman" w:eastAsia="Times New Roman" w:hAnsi="Times New Roman"/>
          <w:sz w:val="24"/>
          <w:szCs w:val="24"/>
        </w:rPr>
      </w:pPr>
      <w:r w:rsidRPr="004932C4">
        <w:rPr>
          <w:rFonts w:ascii="Times New Roman" w:eastAsia="Times New Roman" w:hAnsi="Times New Roman"/>
          <w:sz w:val="24"/>
          <w:szCs w:val="24"/>
        </w:rPr>
        <w:t xml:space="preserve">where ‘n’ represents the number of metals present, CF denotes the contamination factor, </w:t>
      </w:r>
      <w:proofErr w:type="spellStart"/>
      <w:r w:rsidRPr="004932C4">
        <w:rPr>
          <w:rFonts w:ascii="Times New Roman" w:eastAsia="Times New Roman" w:hAnsi="Times New Roman"/>
          <w:sz w:val="24"/>
          <w:szCs w:val="24"/>
        </w:rPr>
        <w:t>C</w:t>
      </w:r>
      <w:r w:rsidRPr="004932C4">
        <w:rPr>
          <w:rFonts w:ascii="Times New Roman" w:eastAsia="Times New Roman" w:hAnsi="Times New Roman"/>
          <w:sz w:val="24"/>
          <w:szCs w:val="24"/>
          <w:vertAlign w:val="subscript"/>
        </w:rPr>
        <w:t>metal</w:t>
      </w:r>
      <w:proofErr w:type="spellEnd"/>
      <w:r w:rsidRPr="004932C4">
        <w:rPr>
          <w:rFonts w:ascii="Times New Roman" w:eastAsia="Times New Roman" w:hAnsi="Times New Roman"/>
          <w:sz w:val="24"/>
          <w:szCs w:val="24"/>
        </w:rPr>
        <w:t xml:space="preserve"> represents the sample metal concentration, and </w:t>
      </w:r>
      <w:proofErr w:type="spellStart"/>
      <w:r w:rsidRPr="004932C4">
        <w:rPr>
          <w:rFonts w:ascii="Times New Roman" w:eastAsia="Times New Roman" w:hAnsi="Times New Roman"/>
          <w:sz w:val="24"/>
          <w:szCs w:val="24"/>
        </w:rPr>
        <w:t>C</w:t>
      </w:r>
      <w:r w:rsidRPr="004932C4">
        <w:rPr>
          <w:rFonts w:ascii="Times New Roman" w:eastAsia="Times New Roman" w:hAnsi="Times New Roman"/>
          <w:sz w:val="24"/>
          <w:szCs w:val="24"/>
          <w:vertAlign w:val="subscript"/>
        </w:rPr>
        <w:t>background</w:t>
      </w:r>
      <w:proofErr w:type="spellEnd"/>
      <w:r w:rsidRPr="004932C4">
        <w:rPr>
          <w:rFonts w:ascii="Times New Roman" w:eastAsia="Times New Roman" w:hAnsi="Times New Roman"/>
          <w:sz w:val="24"/>
          <w:szCs w:val="24"/>
        </w:rPr>
        <w:t xml:space="preserve"> indicates the metal concentration of the background. PLI &gt;1 recommends sediment pollution, and PLI &lt; 1 absolutely no pollution.</w:t>
      </w:r>
    </w:p>
    <w:p w14:paraId="362FEDC7" w14:textId="77777777" w:rsidR="008C6784" w:rsidRPr="004932C4" w:rsidRDefault="00000000">
      <w:pPr>
        <w:rPr>
          <w:rFonts w:ascii="Times New Roman" w:eastAsia="Times New Roman" w:hAnsi="Times New Roman"/>
          <w:iCs/>
          <w:sz w:val="24"/>
          <w:szCs w:val="24"/>
        </w:rPr>
      </w:pPr>
      <w:r w:rsidRPr="004932C4">
        <w:rPr>
          <w:rFonts w:ascii="Times New Roman" w:eastAsia="Times New Roman" w:hAnsi="Times New Roman"/>
          <w:b/>
          <w:iCs/>
          <w:sz w:val="24"/>
          <w:szCs w:val="24"/>
        </w:rPr>
        <w:t>2.7 Bioaccumulation factor (BAF)</w:t>
      </w:r>
    </w:p>
    <w:p w14:paraId="67C1C6EE" w14:textId="77777777" w:rsidR="008C6784" w:rsidRPr="004932C4" w:rsidRDefault="00000000">
      <w:pPr>
        <w:rPr>
          <w:rFonts w:ascii="Times New Roman" w:eastAsia="Times New Roman" w:hAnsi="Times New Roman"/>
          <w:sz w:val="24"/>
          <w:szCs w:val="24"/>
        </w:rPr>
      </w:pPr>
      <w:r w:rsidRPr="004932C4">
        <w:rPr>
          <w:rFonts w:ascii="Times New Roman" w:eastAsia="Times New Roman" w:hAnsi="Times New Roman"/>
          <w:sz w:val="24"/>
          <w:szCs w:val="24"/>
        </w:rPr>
        <w:t xml:space="preserve">The BAF was calculated following Wang et al. (2017) to determine the heavy metal concentration in fish relative to that in water.  </w:t>
      </w:r>
    </w:p>
    <w:p w14:paraId="0FF977EC" w14:textId="77777777" w:rsidR="008C6784" w:rsidRPr="004932C4" w:rsidRDefault="00000000">
      <w:pPr>
        <w:ind w:left="3600" w:firstLine="720"/>
        <w:rPr>
          <w:rFonts w:ascii="Times New Roman" w:eastAsia="Times New Roman" w:hAnsi="Times New Roman"/>
          <w:sz w:val="24"/>
          <w:szCs w:val="24"/>
        </w:rPr>
      </w:pPr>
      <w:r w:rsidRPr="004932C4">
        <w:rPr>
          <w:rFonts w:ascii="Times New Roman" w:eastAsia="Times New Roman" w:hAnsi="Times New Roman"/>
          <w:sz w:val="24"/>
          <w:szCs w:val="24"/>
        </w:rPr>
        <w:t>BAF = C</w:t>
      </w:r>
      <w:r w:rsidRPr="004932C4">
        <w:rPr>
          <w:rFonts w:ascii="Times New Roman" w:eastAsia="Times New Roman" w:hAnsi="Times New Roman"/>
          <w:sz w:val="24"/>
          <w:szCs w:val="24"/>
          <w:vertAlign w:val="subscript"/>
        </w:rPr>
        <w:t>i</w:t>
      </w:r>
      <w:r w:rsidRPr="004932C4">
        <w:rPr>
          <w:rFonts w:ascii="Times New Roman" w:eastAsia="Times New Roman" w:hAnsi="Times New Roman"/>
          <w:sz w:val="24"/>
          <w:szCs w:val="24"/>
        </w:rPr>
        <w:t>/</w:t>
      </w:r>
      <w:proofErr w:type="spellStart"/>
      <w:r w:rsidRPr="004932C4">
        <w:rPr>
          <w:rFonts w:ascii="Times New Roman" w:eastAsia="Times New Roman" w:hAnsi="Times New Roman"/>
          <w:sz w:val="24"/>
          <w:szCs w:val="24"/>
        </w:rPr>
        <w:t>C</w:t>
      </w:r>
      <w:r w:rsidRPr="004932C4">
        <w:rPr>
          <w:rFonts w:ascii="Times New Roman" w:eastAsia="Times New Roman" w:hAnsi="Times New Roman"/>
          <w:sz w:val="24"/>
          <w:szCs w:val="24"/>
          <w:vertAlign w:val="subscript"/>
        </w:rPr>
        <w:t>w</w:t>
      </w:r>
      <w:proofErr w:type="spellEnd"/>
    </w:p>
    <w:p w14:paraId="707A5BF1" w14:textId="77777777" w:rsidR="008C6784" w:rsidRPr="004932C4" w:rsidRDefault="00000000">
      <w:pPr>
        <w:rPr>
          <w:rFonts w:ascii="Times New Roman" w:eastAsia="Times New Roman" w:hAnsi="Times New Roman"/>
          <w:sz w:val="24"/>
          <w:szCs w:val="24"/>
        </w:rPr>
      </w:pPr>
      <w:r w:rsidRPr="004932C4">
        <w:rPr>
          <w:rFonts w:ascii="Times New Roman" w:eastAsia="Times New Roman" w:hAnsi="Times New Roman"/>
          <w:sz w:val="24"/>
          <w:szCs w:val="24"/>
        </w:rPr>
        <w:t xml:space="preserve">Here, Ci signifies the mean concentration of pelagic organisms, whereas </w:t>
      </w:r>
      <w:proofErr w:type="spellStart"/>
      <w:r w:rsidRPr="004932C4">
        <w:rPr>
          <w:rFonts w:ascii="Times New Roman" w:eastAsia="Times New Roman" w:hAnsi="Times New Roman"/>
          <w:sz w:val="24"/>
          <w:szCs w:val="24"/>
        </w:rPr>
        <w:t>C</w:t>
      </w:r>
      <w:r w:rsidRPr="004932C4">
        <w:rPr>
          <w:rFonts w:ascii="Times New Roman" w:eastAsia="Times New Roman" w:hAnsi="Times New Roman"/>
          <w:sz w:val="24"/>
          <w:szCs w:val="24"/>
          <w:vertAlign w:val="subscript"/>
        </w:rPr>
        <w:t>w</w:t>
      </w:r>
      <w:proofErr w:type="spellEnd"/>
      <w:r w:rsidRPr="004932C4">
        <w:rPr>
          <w:rFonts w:ascii="Times New Roman" w:eastAsia="Times New Roman" w:hAnsi="Times New Roman"/>
          <w:sz w:val="24"/>
          <w:szCs w:val="24"/>
        </w:rPr>
        <w:t xml:space="preserve"> signifies the mean water concentration.</w:t>
      </w:r>
    </w:p>
    <w:p w14:paraId="21262A22" w14:textId="77777777" w:rsidR="008C6784" w:rsidRPr="004932C4" w:rsidRDefault="008C6784">
      <w:pPr>
        <w:rPr>
          <w:rFonts w:ascii="Times New Roman" w:eastAsia="Times New Roman" w:hAnsi="Times New Roman"/>
          <w:sz w:val="24"/>
          <w:szCs w:val="24"/>
        </w:rPr>
      </w:pPr>
    </w:p>
    <w:p w14:paraId="502B1E50" w14:textId="77777777" w:rsidR="008C6784" w:rsidRPr="004932C4" w:rsidRDefault="008C6784">
      <w:pPr>
        <w:rPr>
          <w:rFonts w:ascii="Times New Roman" w:eastAsia="Times New Roman" w:hAnsi="Times New Roman"/>
          <w:sz w:val="24"/>
          <w:szCs w:val="24"/>
        </w:rPr>
      </w:pPr>
    </w:p>
    <w:p w14:paraId="2136B33D" w14:textId="77777777" w:rsidR="008C6784" w:rsidRPr="004932C4" w:rsidRDefault="00000000">
      <w:pPr>
        <w:rPr>
          <w:rFonts w:ascii="Times New Roman" w:eastAsia="Times New Roman" w:hAnsi="Times New Roman"/>
          <w:b/>
          <w:bCs/>
          <w:iCs/>
          <w:sz w:val="24"/>
          <w:szCs w:val="24"/>
        </w:rPr>
      </w:pPr>
      <w:r w:rsidRPr="004932C4">
        <w:rPr>
          <w:rFonts w:ascii="Times New Roman" w:eastAsia="Times New Roman" w:hAnsi="Times New Roman"/>
          <w:b/>
          <w:iCs/>
          <w:sz w:val="24"/>
          <w:szCs w:val="24"/>
        </w:rPr>
        <w:lastRenderedPageBreak/>
        <w:t xml:space="preserve">2.8 </w:t>
      </w:r>
      <w:r w:rsidRPr="004932C4">
        <w:rPr>
          <w:rFonts w:ascii="Times New Roman" w:eastAsia="Times New Roman" w:hAnsi="Times New Roman"/>
          <w:b/>
          <w:bCs/>
          <w:iCs/>
          <w:sz w:val="24"/>
          <w:szCs w:val="24"/>
        </w:rPr>
        <w:t>Statistical analysis</w:t>
      </w:r>
    </w:p>
    <w:p w14:paraId="4A86EC46" w14:textId="77777777" w:rsidR="008C6784" w:rsidRPr="004932C4" w:rsidRDefault="00000000">
      <w:pPr>
        <w:rPr>
          <w:rFonts w:ascii="Times New Roman" w:eastAsia="Times New Roman" w:hAnsi="Times New Roman"/>
          <w:bCs/>
          <w:sz w:val="24"/>
          <w:szCs w:val="24"/>
        </w:rPr>
      </w:pPr>
      <w:r w:rsidRPr="004932C4">
        <w:rPr>
          <w:rFonts w:ascii="Times New Roman" w:eastAsia="Times New Roman" w:hAnsi="Times New Roman"/>
          <w:bCs/>
          <w:sz w:val="24"/>
          <w:szCs w:val="24"/>
        </w:rPr>
        <w:t>To determine relationships among heavy metal concentrations in water, sediment, polychaetes and fish species, Pearson correlation coefficients were calculated using SPSS version 20.0.  The analysis of variance (ANOVA) was conducted using JAMOVI version 2.6.44.</w:t>
      </w:r>
    </w:p>
    <w:p w14:paraId="35230D5A" w14:textId="77777777" w:rsidR="008C6784" w:rsidRPr="004932C4" w:rsidRDefault="00000000">
      <w:pPr>
        <w:pStyle w:val="ListParagraph"/>
        <w:numPr>
          <w:ilvl w:val="0"/>
          <w:numId w:val="1"/>
        </w:numPr>
        <w:rPr>
          <w:rFonts w:ascii="Times New Roman" w:eastAsia="Times New Roman" w:hAnsi="Times New Roman"/>
          <w:b/>
          <w:sz w:val="24"/>
          <w:szCs w:val="24"/>
        </w:rPr>
      </w:pPr>
      <w:r w:rsidRPr="004932C4">
        <w:rPr>
          <w:rFonts w:ascii="Times New Roman" w:eastAsia="Times New Roman" w:hAnsi="Times New Roman"/>
          <w:b/>
          <w:sz w:val="24"/>
          <w:szCs w:val="24"/>
        </w:rPr>
        <w:t>Results and Discussion</w:t>
      </w:r>
    </w:p>
    <w:p w14:paraId="1CC3F9F5" w14:textId="77777777" w:rsidR="008C6784" w:rsidRPr="004932C4" w:rsidRDefault="00000000">
      <w:pPr>
        <w:ind w:left="360"/>
        <w:rPr>
          <w:rFonts w:ascii="Times New Roman" w:eastAsia="Times New Roman" w:hAnsi="Times New Roman"/>
          <w:b/>
          <w:iCs/>
          <w:sz w:val="24"/>
          <w:szCs w:val="24"/>
        </w:rPr>
      </w:pPr>
      <w:r w:rsidRPr="004932C4">
        <w:rPr>
          <w:rFonts w:ascii="Times New Roman" w:eastAsia="Times New Roman" w:hAnsi="Times New Roman"/>
          <w:b/>
          <w:iCs/>
          <w:sz w:val="24"/>
          <w:szCs w:val="24"/>
        </w:rPr>
        <w:t>3.1 Physicochemical parameter</w:t>
      </w:r>
    </w:p>
    <w:p w14:paraId="2558F1B0" w14:textId="77777777" w:rsidR="008C6784" w:rsidRPr="004932C4" w:rsidRDefault="00000000">
      <w:pPr>
        <w:rPr>
          <w:rFonts w:ascii="Times New Roman" w:hAnsi="Times New Roman"/>
          <w:sz w:val="24"/>
          <w:szCs w:val="24"/>
        </w:rPr>
      </w:pPr>
      <w:r w:rsidRPr="004932C4">
        <w:rPr>
          <w:rFonts w:ascii="Times New Roman" w:hAnsi="Times New Roman"/>
          <w:sz w:val="24"/>
          <w:szCs w:val="24"/>
          <w:lang w:val="en-US"/>
        </w:rPr>
        <w:t>Water is essential for aquatic organisms but can become contaminated through anthropogenic activities (</w:t>
      </w:r>
      <w:r w:rsidRPr="004932C4">
        <w:rPr>
          <w:rFonts w:ascii="Times New Roman" w:hAnsi="Times New Roman"/>
          <w:sz w:val="24"/>
          <w:szCs w:val="24"/>
        </w:rPr>
        <w:t xml:space="preserve">Sharma </w:t>
      </w:r>
      <w:r w:rsidRPr="004932C4">
        <w:rPr>
          <w:rFonts w:ascii="Times New Roman" w:hAnsi="Times New Roman"/>
          <w:i/>
          <w:iCs/>
          <w:sz w:val="24"/>
          <w:szCs w:val="24"/>
        </w:rPr>
        <w:t>et al</w:t>
      </w:r>
      <w:r w:rsidRPr="004932C4">
        <w:rPr>
          <w:rFonts w:ascii="Times New Roman" w:hAnsi="Times New Roman"/>
          <w:sz w:val="24"/>
          <w:szCs w:val="24"/>
        </w:rPr>
        <w:t>., 2025)</w:t>
      </w:r>
      <w:r w:rsidRPr="004932C4">
        <w:rPr>
          <w:rFonts w:ascii="Times New Roman" w:hAnsi="Times New Roman"/>
          <w:sz w:val="24"/>
          <w:szCs w:val="24"/>
          <w:lang w:val="en-US"/>
        </w:rPr>
        <w:t xml:space="preserve">. </w:t>
      </w:r>
      <w:bookmarkStart w:id="3" w:name="_heading=h.y4zif8h4hagw" w:colFirst="0" w:colLast="0"/>
      <w:bookmarkEnd w:id="3"/>
      <w:r w:rsidRPr="004932C4">
        <w:rPr>
          <w:rFonts w:ascii="Times New Roman" w:eastAsia="Times New Roman" w:hAnsi="Times New Roman"/>
          <w:sz w:val="24"/>
          <w:szCs w:val="24"/>
        </w:rPr>
        <w:t xml:space="preserve">Industrialisation is expanding, contributing to pollution and the release of toxic elements into the environment. </w:t>
      </w:r>
      <w:r w:rsidRPr="004932C4">
        <w:rPr>
          <w:rFonts w:ascii="Times New Roman" w:hAnsi="Times New Roman"/>
          <w:sz w:val="24"/>
          <w:szCs w:val="24"/>
        </w:rPr>
        <w:t xml:space="preserve">The temperature ranges before and after the oil spill were 27.7 ± 0.52 ºC to 33.4 ± 0.55 ºC and 25.08 ± 0.65 to 32.8 ± 0.70ºC, respectively. </w:t>
      </w:r>
      <w:r w:rsidRPr="004932C4">
        <w:rPr>
          <w:rFonts w:ascii="Times New Roman" w:eastAsia="Times New Roman" w:hAnsi="Times New Roman"/>
          <w:sz w:val="24"/>
          <w:szCs w:val="24"/>
        </w:rPr>
        <w:t xml:space="preserve">Water quality at five locations before and after the oil spill is presented in Table 1. </w:t>
      </w:r>
      <w:r w:rsidRPr="004932C4">
        <w:rPr>
          <w:rFonts w:ascii="Times New Roman" w:hAnsi="Times New Roman"/>
          <w:sz w:val="24"/>
          <w:szCs w:val="24"/>
        </w:rPr>
        <w:t xml:space="preserve"> Water temperature varies with time, season and salinity</w:t>
      </w:r>
      <w:r w:rsidRPr="004932C4">
        <w:rPr>
          <w:rFonts w:ascii="Times New Roman" w:eastAsia="Times New Roman" w:hAnsi="Times New Roman"/>
          <w:sz w:val="24"/>
          <w:szCs w:val="24"/>
        </w:rPr>
        <w:t xml:space="preserve"> (Vincy </w:t>
      </w:r>
      <w:r w:rsidRPr="004932C4">
        <w:rPr>
          <w:rFonts w:ascii="Times New Roman" w:eastAsia="Times New Roman" w:hAnsi="Times New Roman"/>
          <w:i/>
          <w:iCs/>
          <w:sz w:val="24"/>
          <w:szCs w:val="24"/>
        </w:rPr>
        <w:t>et al</w:t>
      </w:r>
      <w:r w:rsidRPr="004932C4">
        <w:rPr>
          <w:rFonts w:ascii="Times New Roman" w:eastAsia="Times New Roman" w:hAnsi="Times New Roman"/>
          <w:sz w:val="24"/>
          <w:szCs w:val="24"/>
        </w:rPr>
        <w:t xml:space="preserve">., 2012). Water temperature varied by approximately 2 °C between the periods before and after the oil spill in the present study. Oil on the water surface can inhibit sunlight penetration, causing temperatures to decrease in affected areas (Xing </w:t>
      </w:r>
      <w:r w:rsidRPr="004932C4">
        <w:rPr>
          <w:rFonts w:ascii="Times New Roman" w:eastAsia="Times New Roman" w:hAnsi="Times New Roman"/>
          <w:i/>
          <w:iCs/>
          <w:sz w:val="24"/>
          <w:szCs w:val="24"/>
        </w:rPr>
        <w:t>et al</w:t>
      </w:r>
      <w:r w:rsidRPr="004932C4">
        <w:rPr>
          <w:rFonts w:ascii="Times New Roman" w:eastAsia="Times New Roman" w:hAnsi="Times New Roman"/>
          <w:sz w:val="24"/>
          <w:szCs w:val="24"/>
        </w:rPr>
        <w:t xml:space="preserve">., 2015). Before the oil leak, pH ranged from </w:t>
      </w:r>
      <w:r w:rsidRPr="004932C4">
        <w:rPr>
          <w:rFonts w:ascii="Times New Roman" w:hAnsi="Times New Roman"/>
          <w:sz w:val="24"/>
          <w:szCs w:val="24"/>
        </w:rPr>
        <w:t xml:space="preserve">8.2 ± 0.26 to 7.3 ± 0.50, and after the spill, from 8 ± 0.52 to 7.1 ± 0.60. </w:t>
      </w:r>
      <w:r w:rsidRPr="004932C4">
        <w:rPr>
          <w:rFonts w:ascii="Times New Roman" w:eastAsia="Times New Roman" w:hAnsi="Times New Roman"/>
          <w:sz w:val="24"/>
          <w:szCs w:val="24"/>
        </w:rPr>
        <w:t>The pH values exhibited slight fluctuations following the spill but remained marginally alkaline. A similar change in pH following an oil spill was reported by Chen et al. (2017) in Taiwan, within the range of 7.95 to 8.07. Before the spill, salinity ranged from 22.12</w:t>
      </w:r>
      <w:r w:rsidRPr="004932C4">
        <w:rPr>
          <w:rFonts w:ascii="Times New Roman" w:hAnsi="Times New Roman"/>
          <w:sz w:val="24"/>
          <w:szCs w:val="24"/>
        </w:rPr>
        <w:t xml:space="preserve"> ± 0.63 </w:t>
      </w:r>
      <w:r w:rsidRPr="004932C4">
        <w:rPr>
          <w:rFonts w:ascii="Times New Roman" w:eastAsia="Times New Roman" w:hAnsi="Times New Roman"/>
          <w:sz w:val="24"/>
          <w:szCs w:val="24"/>
        </w:rPr>
        <w:t>to 31.6</w:t>
      </w:r>
      <w:r w:rsidRPr="004932C4">
        <w:rPr>
          <w:rFonts w:ascii="Times New Roman" w:hAnsi="Times New Roman"/>
          <w:sz w:val="24"/>
          <w:szCs w:val="24"/>
        </w:rPr>
        <w:t xml:space="preserve"> ± 0.85</w:t>
      </w:r>
      <w:r w:rsidRPr="004932C4">
        <w:rPr>
          <w:rFonts w:ascii="Times New Roman" w:eastAsia="Times New Roman" w:hAnsi="Times New Roman"/>
          <w:sz w:val="24"/>
          <w:szCs w:val="24"/>
        </w:rPr>
        <w:t xml:space="preserve"> ppt, whereas after the spill, it ranged from 18.1</w:t>
      </w:r>
      <w:r w:rsidRPr="004932C4">
        <w:rPr>
          <w:rFonts w:ascii="Times New Roman" w:hAnsi="Times New Roman"/>
          <w:sz w:val="24"/>
          <w:szCs w:val="24"/>
        </w:rPr>
        <w:t xml:space="preserve"> ± 0.91</w:t>
      </w:r>
      <w:r w:rsidRPr="004932C4">
        <w:rPr>
          <w:rFonts w:ascii="Times New Roman" w:eastAsia="Times New Roman" w:hAnsi="Times New Roman"/>
          <w:sz w:val="24"/>
          <w:szCs w:val="24"/>
        </w:rPr>
        <w:t xml:space="preserve"> to 25.9</w:t>
      </w:r>
      <w:r w:rsidRPr="004932C4">
        <w:rPr>
          <w:rFonts w:ascii="Times New Roman" w:hAnsi="Times New Roman"/>
          <w:sz w:val="24"/>
          <w:szCs w:val="24"/>
        </w:rPr>
        <w:t xml:space="preserve"> ± 0.77</w:t>
      </w:r>
      <w:r w:rsidRPr="004932C4">
        <w:rPr>
          <w:rFonts w:ascii="Times New Roman" w:eastAsia="Times New Roman" w:hAnsi="Times New Roman"/>
          <w:sz w:val="24"/>
          <w:szCs w:val="24"/>
        </w:rPr>
        <w:t xml:space="preserve"> ppt. Thus, salinity decreased by approximately 4–6 ppt after the spill. Water salinity depends on tidal variation and the relative contributions of marine and river water (Cheng </w:t>
      </w:r>
      <w:r w:rsidRPr="004932C4">
        <w:rPr>
          <w:rFonts w:ascii="Times New Roman" w:eastAsia="Times New Roman" w:hAnsi="Times New Roman"/>
          <w:i/>
          <w:iCs/>
          <w:sz w:val="24"/>
          <w:szCs w:val="24"/>
        </w:rPr>
        <w:t>et al</w:t>
      </w:r>
      <w:r w:rsidRPr="004932C4">
        <w:rPr>
          <w:rFonts w:ascii="Times New Roman" w:eastAsia="Times New Roman" w:hAnsi="Times New Roman"/>
          <w:sz w:val="24"/>
          <w:szCs w:val="24"/>
        </w:rPr>
        <w:t>.,</w:t>
      </w:r>
      <w:r w:rsidRPr="004932C4">
        <w:rPr>
          <w:rFonts w:ascii="Times New Roman" w:eastAsia="Times New Roman" w:hAnsi="Times New Roman"/>
          <w:i/>
          <w:sz w:val="24"/>
          <w:szCs w:val="24"/>
        </w:rPr>
        <w:t xml:space="preserve"> </w:t>
      </w:r>
      <w:r w:rsidRPr="004932C4">
        <w:rPr>
          <w:rFonts w:ascii="Times New Roman" w:eastAsia="Times New Roman" w:hAnsi="Times New Roman"/>
          <w:sz w:val="24"/>
          <w:szCs w:val="24"/>
        </w:rPr>
        <w:t xml:space="preserve">2005). The dissolved oxygen (DO) in the present study was &lt;5 mg/l; i.e., the range was from 0.8 </w:t>
      </w:r>
      <w:r w:rsidRPr="004932C4">
        <w:rPr>
          <w:rFonts w:ascii="Times New Roman" w:hAnsi="Times New Roman"/>
          <w:sz w:val="24"/>
          <w:szCs w:val="24"/>
        </w:rPr>
        <w:t xml:space="preserve">± 0.26 </w:t>
      </w:r>
      <w:r w:rsidRPr="004932C4">
        <w:rPr>
          <w:rFonts w:ascii="Times New Roman" w:eastAsia="Times New Roman" w:hAnsi="Times New Roman"/>
          <w:sz w:val="24"/>
          <w:szCs w:val="24"/>
        </w:rPr>
        <w:t>mg/l</w:t>
      </w:r>
      <w:r w:rsidRPr="004932C4">
        <w:rPr>
          <w:rFonts w:ascii="Times New Roman" w:hAnsi="Times New Roman"/>
          <w:sz w:val="24"/>
          <w:szCs w:val="24"/>
        </w:rPr>
        <w:t xml:space="preserve"> to 4.7 ± 0.81</w:t>
      </w:r>
      <w:r w:rsidRPr="004932C4">
        <w:rPr>
          <w:rFonts w:ascii="Times New Roman" w:eastAsia="Times New Roman" w:hAnsi="Times New Roman"/>
          <w:sz w:val="24"/>
          <w:szCs w:val="24"/>
        </w:rPr>
        <w:t xml:space="preserve">mg/l whereas after the oil spill it was 0.71 </w:t>
      </w:r>
      <w:r w:rsidRPr="004932C4">
        <w:rPr>
          <w:rFonts w:ascii="Times New Roman" w:hAnsi="Times New Roman"/>
          <w:sz w:val="24"/>
          <w:szCs w:val="24"/>
        </w:rPr>
        <w:t xml:space="preserve">± 0.12 mg/l to 3.97 ± 0.56 mg/l. DO levels were slightly lower after the spill than before it. The slight decrease in DO may be associated </w:t>
      </w:r>
      <w:r w:rsidRPr="004932C4">
        <w:rPr>
          <w:rFonts w:ascii="Times New Roman" w:hAnsi="Times New Roman"/>
          <w:sz w:val="24"/>
          <w:szCs w:val="24"/>
        </w:rPr>
        <w:lastRenderedPageBreak/>
        <w:t xml:space="preserve">with the presence of oil, which can disrupt oxygen exchange in water and reduce the oxygen available to fish (Ali et al., 2022). </w:t>
      </w:r>
    </w:p>
    <w:p w14:paraId="603CC3ED" w14:textId="77777777" w:rsidR="008C6784" w:rsidRPr="004932C4" w:rsidRDefault="00000000">
      <w:pPr>
        <w:rPr>
          <w:rFonts w:ascii="Times New Roman" w:eastAsia="Times New Roman" w:hAnsi="Times New Roman"/>
          <w:b/>
          <w:sz w:val="24"/>
          <w:szCs w:val="24"/>
        </w:rPr>
      </w:pPr>
      <w:r w:rsidRPr="004932C4">
        <w:rPr>
          <w:rFonts w:ascii="Times New Roman" w:hAnsi="Times New Roman"/>
          <w:b/>
          <w:bCs/>
          <w:sz w:val="24"/>
          <w:szCs w:val="24"/>
          <w:lang w:val="en-US"/>
        </w:rPr>
        <w:t xml:space="preserve">Table 1. </w:t>
      </w:r>
      <w:r w:rsidRPr="004932C4">
        <w:rPr>
          <w:rFonts w:ascii="Times New Roman" w:eastAsia="Times New Roman" w:hAnsi="Times New Roman"/>
          <w:b/>
          <w:sz w:val="24"/>
          <w:szCs w:val="24"/>
        </w:rPr>
        <w:t xml:space="preserve">The average, mean and standard deviation of physicochemical parameters of water before and after the oil slick. </w:t>
      </w:r>
    </w:p>
    <w:tbl>
      <w:tblPr>
        <w:tblW w:w="8921" w:type="dxa"/>
        <w:tblLook w:val="04A0" w:firstRow="1" w:lastRow="0" w:firstColumn="1" w:lastColumn="0" w:noHBand="0" w:noVBand="1"/>
      </w:tblPr>
      <w:tblGrid>
        <w:gridCol w:w="1631"/>
        <w:gridCol w:w="1352"/>
        <w:gridCol w:w="1484"/>
        <w:gridCol w:w="1484"/>
        <w:gridCol w:w="1484"/>
        <w:gridCol w:w="1486"/>
      </w:tblGrid>
      <w:tr w:rsidR="008C6784" w:rsidRPr="004932C4" w14:paraId="1E7039BB" w14:textId="77777777">
        <w:trPr>
          <w:trHeight w:val="298"/>
        </w:trPr>
        <w:tc>
          <w:tcPr>
            <w:tcW w:w="1631" w:type="dxa"/>
            <w:tcBorders>
              <w:top w:val="single" w:sz="4" w:space="0" w:color="auto"/>
              <w:left w:val="nil"/>
              <w:bottom w:val="single" w:sz="4" w:space="0" w:color="auto"/>
              <w:right w:val="nil"/>
            </w:tcBorders>
            <w:vAlign w:val="center"/>
          </w:tcPr>
          <w:p w14:paraId="163556E2" w14:textId="77777777" w:rsidR="008C6784" w:rsidRPr="004932C4" w:rsidRDefault="00000000">
            <w:pPr>
              <w:spacing w:line="240" w:lineRule="auto"/>
              <w:ind w:left="0"/>
              <w:jc w:val="center"/>
              <w:rPr>
                <w:rFonts w:ascii="Times New Roman" w:eastAsia="Times New Roman" w:hAnsi="Times New Roman"/>
                <w:b/>
                <w:bCs/>
                <w:color w:val="000000"/>
                <w:kern w:val="0"/>
                <w:sz w:val="20"/>
                <w:szCs w:val="20"/>
                <w:lang w:eastAsia="en-IN"/>
              </w:rPr>
            </w:pPr>
            <w:r w:rsidRPr="004932C4">
              <w:rPr>
                <w:rFonts w:ascii="Times New Roman" w:eastAsia="Times New Roman" w:hAnsi="Times New Roman"/>
                <w:b/>
                <w:bCs/>
                <w:color w:val="000000"/>
                <w:kern w:val="0"/>
                <w:sz w:val="20"/>
                <w:szCs w:val="20"/>
                <w:lang w:val="en-US" w:eastAsia="en-IN"/>
              </w:rPr>
              <w:t>Parameters</w:t>
            </w:r>
          </w:p>
        </w:tc>
        <w:tc>
          <w:tcPr>
            <w:tcW w:w="1352" w:type="dxa"/>
            <w:tcBorders>
              <w:top w:val="single" w:sz="4" w:space="0" w:color="auto"/>
              <w:left w:val="nil"/>
              <w:bottom w:val="single" w:sz="4" w:space="0" w:color="auto"/>
              <w:right w:val="nil"/>
            </w:tcBorders>
            <w:vAlign w:val="center"/>
          </w:tcPr>
          <w:p w14:paraId="1752D247" w14:textId="77777777" w:rsidR="008C6784" w:rsidRPr="004932C4" w:rsidRDefault="00000000">
            <w:pPr>
              <w:spacing w:line="240" w:lineRule="auto"/>
              <w:ind w:left="0"/>
              <w:jc w:val="center"/>
              <w:rPr>
                <w:rFonts w:ascii="Times New Roman" w:eastAsia="Times New Roman" w:hAnsi="Times New Roman"/>
                <w:b/>
                <w:bCs/>
                <w:color w:val="000000"/>
                <w:kern w:val="0"/>
                <w:sz w:val="20"/>
                <w:szCs w:val="20"/>
                <w:lang w:eastAsia="en-IN"/>
              </w:rPr>
            </w:pPr>
            <w:r w:rsidRPr="004932C4">
              <w:rPr>
                <w:rFonts w:ascii="Times New Roman" w:eastAsia="Times New Roman" w:hAnsi="Times New Roman"/>
                <w:b/>
                <w:bCs/>
                <w:color w:val="000000"/>
                <w:kern w:val="0"/>
                <w:sz w:val="20"/>
                <w:szCs w:val="20"/>
                <w:lang w:val="en-US" w:eastAsia="en-IN"/>
              </w:rPr>
              <w:t>ST-1</w:t>
            </w:r>
          </w:p>
        </w:tc>
        <w:tc>
          <w:tcPr>
            <w:tcW w:w="1484" w:type="dxa"/>
            <w:tcBorders>
              <w:top w:val="single" w:sz="4" w:space="0" w:color="auto"/>
              <w:left w:val="nil"/>
              <w:bottom w:val="single" w:sz="4" w:space="0" w:color="auto"/>
              <w:right w:val="nil"/>
            </w:tcBorders>
            <w:vAlign w:val="center"/>
          </w:tcPr>
          <w:p w14:paraId="5F59ADC8" w14:textId="77777777" w:rsidR="008C6784" w:rsidRPr="004932C4" w:rsidRDefault="00000000">
            <w:pPr>
              <w:spacing w:line="240" w:lineRule="auto"/>
              <w:ind w:left="0"/>
              <w:jc w:val="center"/>
              <w:rPr>
                <w:rFonts w:ascii="Times New Roman" w:eastAsia="Times New Roman" w:hAnsi="Times New Roman"/>
                <w:b/>
                <w:bCs/>
                <w:color w:val="000000"/>
                <w:kern w:val="0"/>
                <w:sz w:val="20"/>
                <w:szCs w:val="20"/>
                <w:lang w:eastAsia="en-IN"/>
              </w:rPr>
            </w:pPr>
            <w:r w:rsidRPr="004932C4">
              <w:rPr>
                <w:rFonts w:ascii="Times New Roman" w:eastAsia="Times New Roman" w:hAnsi="Times New Roman"/>
                <w:b/>
                <w:bCs/>
                <w:color w:val="000000"/>
                <w:kern w:val="0"/>
                <w:sz w:val="20"/>
                <w:szCs w:val="20"/>
                <w:lang w:val="en-US" w:eastAsia="en-IN"/>
              </w:rPr>
              <w:t>ST-2</w:t>
            </w:r>
          </w:p>
        </w:tc>
        <w:tc>
          <w:tcPr>
            <w:tcW w:w="1484" w:type="dxa"/>
            <w:tcBorders>
              <w:top w:val="single" w:sz="4" w:space="0" w:color="auto"/>
              <w:left w:val="nil"/>
              <w:bottom w:val="single" w:sz="4" w:space="0" w:color="auto"/>
              <w:right w:val="nil"/>
            </w:tcBorders>
            <w:vAlign w:val="center"/>
          </w:tcPr>
          <w:p w14:paraId="0E6CB025" w14:textId="77777777" w:rsidR="008C6784" w:rsidRPr="004932C4" w:rsidRDefault="00000000">
            <w:pPr>
              <w:spacing w:line="240" w:lineRule="auto"/>
              <w:ind w:left="0"/>
              <w:jc w:val="center"/>
              <w:rPr>
                <w:rFonts w:ascii="Times New Roman" w:eastAsia="Times New Roman" w:hAnsi="Times New Roman"/>
                <w:b/>
                <w:bCs/>
                <w:color w:val="000000"/>
                <w:kern w:val="0"/>
                <w:sz w:val="20"/>
                <w:szCs w:val="20"/>
                <w:lang w:eastAsia="en-IN"/>
              </w:rPr>
            </w:pPr>
            <w:r w:rsidRPr="004932C4">
              <w:rPr>
                <w:rFonts w:ascii="Times New Roman" w:eastAsia="Times New Roman" w:hAnsi="Times New Roman"/>
                <w:b/>
                <w:bCs/>
                <w:color w:val="000000"/>
                <w:kern w:val="0"/>
                <w:sz w:val="20"/>
                <w:szCs w:val="20"/>
                <w:lang w:val="en-US" w:eastAsia="en-IN"/>
              </w:rPr>
              <w:t>ST-3</w:t>
            </w:r>
          </w:p>
        </w:tc>
        <w:tc>
          <w:tcPr>
            <w:tcW w:w="1484" w:type="dxa"/>
            <w:tcBorders>
              <w:top w:val="single" w:sz="4" w:space="0" w:color="auto"/>
              <w:left w:val="nil"/>
              <w:bottom w:val="single" w:sz="4" w:space="0" w:color="auto"/>
              <w:right w:val="nil"/>
            </w:tcBorders>
            <w:vAlign w:val="center"/>
          </w:tcPr>
          <w:p w14:paraId="7AAE30C9" w14:textId="77777777" w:rsidR="008C6784" w:rsidRPr="004932C4" w:rsidRDefault="00000000">
            <w:pPr>
              <w:spacing w:line="240" w:lineRule="auto"/>
              <w:ind w:left="0"/>
              <w:jc w:val="center"/>
              <w:rPr>
                <w:rFonts w:ascii="Times New Roman" w:eastAsia="Times New Roman" w:hAnsi="Times New Roman"/>
                <w:b/>
                <w:bCs/>
                <w:color w:val="000000"/>
                <w:kern w:val="0"/>
                <w:sz w:val="20"/>
                <w:szCs w:val="20"/>
                <w:lang w:eastAsia="en-IN"/>
              </w:rPr>
            </w:pPr>
            <w:r w:rsidRPr="004932C4">
              <w:rPr>
                <w:rFonts w:ascii="Times New Roman" w:eastAsia="Times New Roman" w:hAnsi="Times New Roman"/>
                <w:b/>
                <w:bCs/>
                <w:color w:val="000000"/>
                <w:kern w:val="0"/>
                <w:sz w:val="20"/>
                <w:szCs w:val="20"/>
                <w:lang w:val="en-US" w:eastAsia="en-IN"/>
              </w:rPr>
              <w:t>ST-4</w:t>
            </w:r>
          </w:p>
        </w:tc>
        <w:tc>
          <w:tcPr>
            <w:tcW w:w="1484" w:type="dxa"/>
            <w:tcBorders>
              <w:top w:val="single" w:sz="4" w:space="0" w:color="auto"/>
              <w:left w:val="nil"/>
              <w:bottom w:val="single" w:sz="4" w:space="0" w:color="auto"/>
              <w:right w:val="nil"/>
            </w:tcBorders>
            <w:vAlign w:val="center"/>
          </w:tcPr>
          <w:p w14:paraId="07929BD0" w14:textId="77777777" w:rsidR="008C6784" w:rsidRPr="004932C4" w:rsidRDefault="00000000">
            <w:pPr>
              <w:spacing w:line="240" w:lineRule="auto"/>
              <w:ind w:left="0"/>
              <w:jc w:val="center"/>
              <w:rPr>
                <w:rFonts w:ascii="Times New Roman" w:eastAsia="Times New Roman" w:hAnsi="Times New Roman"/>
                <w:b/>
                <w:bCs/>
                <w:color w:val="000000"/>
                <w:kern w:val="0"/>
                <w:sz w:val="20"/>
                <w:szCs w:val="20"/>
                <w:lang w:eastAsia="en-IN"/>
              </w:rPr>
            </w:pPr>
            <w:r w:rsidRPr="004932C4">
              <w:rPr>
                <w:rFonts w:ascii="Times New Roman" w:eastAsia="Times New Roman" w:hAnsi="Times New Roman"/>
                <w:b/>
                <w:bCs/>
                <w:color w:val="000000"/>
                <w:kern w:val="0"/>
                <w:sz w:val="20"/>
                <w:szCs w:val="20"/>
                <w:lang w:val="en-US" w:eastAsia="en-IN"/>
              </w:rPr>
              <w:t>ST-5</w:t>
            </w:r>
          </w:p>
        </w:tc>
      </w:tr>
      <w:tr w:rsidR="008C6784" w:rsidRPr="004932C4" w14:paraId="4C449BAB" w14:textId="77777777">
        <w:trPr>
          <w:trHeight w:val="547"/>
        </w:trPr>
        <w:tc>
          <w:tcPr>
            <w:tcW w:w="8921" w:type="dxa"/>
            <w:gridSpan w:val="6"/>
            <w:tcBorders>
              <w:top w:val="single" w:sz="4" w:space="0" w:color="auto"/>
              <w:left w:val="nil"/>
              <w:bottom w:val="single" w:sz="4" w:space="0" w:color="auto"/>
              <w:right w:val="nil"/>
            </w:tcBorders>
            <w:vAlign w:val="center"/>
          </w:tcPr>
          <w:p w14:paraId="52637321" w14:textId="77777777" w:rsidR="008C6784" w:rsidRPr="004932C4" w:rsidRDefault="00000000">
            <w:pPr>
              <w:spacing w:line="240" w:lineRule="auto"/>
              <w:ind w:left="0"/>
              <w:jc w:val="center"/>
              <w:rPr>
                <w:rFonts w:ascii="Times New Roman" w:eastAsia="Times New Roman" w:hAnsi="Times New Roman"/>
                <w:color w:val="000000"/>
                <w:kern w:val="0"/>
                <w:sz w:val="20"/>
                <w:szCs w:val="20"/>
                <w:lang w:eastAsia="en-IN"/>
              </w:rPr>
            </w:pPr>
            <w:r w:rsidRPr="004932C4">
              <w:rPr>
                <w:rFonts w:ascii="Times New Roman" w:eastAsia="Times New Roman" w:hAnsi="Times New Roman"/>
                <w:b/>
                <w:bCs/>
                <w:color w:val="000000"/>
                <w:kern w:val="0"/>
                <w:sz w:val="20"/>
                <w:szCs w:val="20"/>
                <w:lang w:val="en-US" w:eastAsia="en-IN"/>
              </w:rPr>
              <w:t>Before oil slick</w:t>
            </w:r>
          </w:p>
        </w:tc>
      </w:tr>
      <w:tr w:rsidR="008C6784" w:rsidRPr="004932C4" w14:paraId="42BA3118" w14:textId="77777777">
        <w:trPr>
          <w:trHeight w:val="547"/>
        </w:trPr>
        <w:tc>
          <w:tcPr>
            <w:tcW w:w="1631" w:type="dxa"/>
            <w:tcBorders>
              <w:top w:val="nil"/>
              <w:left w:val="nil"/>
              <w:bottom w:val="nil"/>
              <w:right w:val="nil"/>
            </w:tcBorders>
            <w:vAlign w:val="center"/>
          </w:tcPr>
          <w:p w14:paraId="7F14D16C"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Temperature (˚C)</w:t>
            </w:r>
          </w:p>
        </w:tc>
        <w:tc>
          <w:tcPr>
            <w:tcW w:w="1352" w:type="dxa"/>
            <w:tcBorders>
              <w:top w:val="nil"/>
              <w:left w:val="nil"/>
              <w:bottom w:val="nil"/>
              <w:right w:val="nil"/>
            </w:tcBorders>
            <w:vAlign w:val="center"/>
          </w:tcPr>
          <w:p w14:paraId="5CB3286C"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33.4±0.55</w:t>
            </w:r>
          </w:p>
        </w:tc>
        <w:tc>
          <w:tcPr>
            <w:tcW w:w="1484" w:type="dxa"/>
            <w:tcBorders>
              <w:top w:val="nil"/>
              <w:left w:val="nil"/>
              <w:bottom w:val="nil"/>
              <w:right w:val="nil"/>
            </w:tcBorders>
            <w:vAlign w:val="center"/>
          </w:tcPr>
          <w:p w14:paraId="6022B1BE"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31.08±0.45</w:t>
            </w:r>
          </w:p>
        </w:tc>
        <w:tc>
          <w:tcPr>
            <w:tcW w:w="1484" w:type="dxa"/>
            <w:tcBorders>
              <w:top w:val="nil"/>
              <w:left w:val="nil"/>
              <w:bottom w:val="nil"/>
              <w:right w:val="nil"/>
            </w:tcBorders>
            <w:vAlign w:val="center"/>
          </w:tcPr>
          <w:p w14:paraId="2E099F31"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29.7±0.80</w:t>
            </w:r>
          </w:p>
        </w:tc>
        <w:tc>
          <w:tcPr>
            <w:tcW w:w="1484" w:type="dxa"/>
            <w:tcBorders>
              <w:top w:val="nil"/>
              <w:left w:val="nil"/>
              <w:bottom w:val="nil"/>
              <w:right w:val="nil"/>
            </w:tcBorders>
            <w:vAlign w:val="center"/>
          </w:tcPr>
          <w:p w14:paraId="422CD41F"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 xml:space="preserve">28.5±0.88 </w:t>
            </w:r>
          </w:p>
        </w:tc>
        <w:tc>
          <w:tcPr>
            <w:tcW w:w="1484" w:type="dxa"/>
            <w:tcBorders>
              <w:top w:val="nil"/>
              <w:left w:val="nil"/>
              <w:bottom w:val="nil"/>
              <w:right w:val="nil"/>
            </w:tcBorders>
            <w:vAlign w:val="center"/>
          </w:tcPr>
          <w:p w14:paraId="4CD28160"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27.7±0.52</w:t>
            </w:r>
          </w:p>
        </w:tc>
      </w:tr>
      <w:tr w:rsidR="008C6784" w:rsidRPr="004932C4" w14:paraId="6D5F59F1" w14:textId="77777777">
        <w:trPr>
          <w:trHeight w:val="547"/>
        </w:trPr>
        <w:tc>
          <w:tcPr>
            <w:tcW w:w="1631" w:type="dxa"/>
            <w:tcBorders>
              <w:top w:val="nil"/>
              <w:left w:val="nil"/>
              <w:bottom w:val="nil"/>
              <w:right w:val="nil"/>
            </w:tcBorders>
            <w:vAlign w:val="center"/>
          </w:tcPr>
          <w:p w14:paraId="7BFA2ACD"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pH</w:t>
            </w:r>
          </w:p>
        </w:tc>
        <w:tc>
          <w:tcPr>
            <w:tcW w:w="1352" w:type="dxa"/>
            <w:tcBorders>
              <w:top w:val="nil"/>
              <w:left w:val="nil"/>
              <w:bottom w:val="nil"/>
              <w:right w:val="nil"/>
            </w:tcBorders>
            <w:vAlign w:val="center"/>
          </w:tcPr>
          <w:p w14:paraId="4748E672"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8.2±0.26</w:t>
            </w:r>
          </w:p>
        </w:tc>
        <w:tc>
          <w:tcPr>
            <w:tcW w:w="1484" w:type="dxa"/>
            <w:tcBorders>
              <w:top w:val="nil"/>
              <w:left w:val="nil"/>
              <w:bottom w:val="nil"/>
              <w:right w:val="nil"/>
            </w:tcBorders>
            <w:vAlign w:val="center"/>
          </w:tcPr>
          <w:p w14:paraId="52BD7383"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8±0.26</w:t>
            </w:r>
          </w:p>
        </w:tc>
        <w:tc>
          <w:tcPr>
            <w:tcW w:w="1484" w:type="dxa"/>
            <w:tcBorders>
              <w:top w:val="nil"/>
              <w:left w:val="nil"/>
              <w:bottom w:val="nil"/>
              <w:right w:val="nil"/>
            </w:tcBorders>
            <w:vAlign w:val="center"/>
          </w:tcPr>
          <w:p w14:paraId="49054919"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7.8±0.36</w:t>
            </w:r>
          </w:p>
        </w:tc>
        <w:tc>
          <w:tcPr>
            <w:tcW w:w="1484" w:type="dxa"/>
            <w:tcBorders>
              <w:top w:val="nil"/>
              <w:left w:val="nil"/>
              <w:bottom w:val="nil"/>
              <w:right w:val="nil"/>
            </w:tcBorders>
            <w:vAlign w:val="center"/>
          </w:tcPr>
          <w:p w14:paraId="6AD21C1F"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7.5±0.43</w:t>
            </w:r>
          </w:p>
        </w:tc>
        <w:tc>
          <w:tcPr>
            <w:tcW w:w="1484" w:type="dxa"/>
            <w:tcBorders>
              <w:top w:val="nil"/>
              <w:left w:val="nil"/>
              <w:bottom w:val="nil"/>
              <w:right w:val="nil"/>
            </w:tcBorders>
            <w:vAlign w:val="center"/>
          </w:tcPr>
          <w:p w14:paraId="198DBB83"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7.3±0.50</w:t>
            </w:r>
          </w:p>
        </w:tc>
      </w:tr>
      <w:tr w:rsidR="008C6784" w:rsidRPr="004932C4" w14:paraId="32DCECBB" w14:textId="77777777">
        <w:trPr>
          <w:trHeight w:val="560"/>
        </w:trPr>
        <w:tc>
          <w:tcPr>
            <w:tcW w:w="1631" w:type="dxa"/>
            <w:tcBorders>
              <w:top w:val="nil"/>
              <w:left w:val="nil"/>
              <w:bottom w:val="nil"/>
              <w:right w:val="nil"/>
            </w:tcBorders>
            <w:vAlign w:val="center"/>
          </w:tcPr>
          <w:p w14:paraId="7E0A6C15"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Salinity (ppt)</w:t>
            </w:r>
          </w:p>
        </w:tc>
        <w:tc>
          <w:tcPr>
            <w:tcW w:w="1352" w:type="dxa"/>
            <w:tcBorders>
              <w:top w:val="nil"/>
              <w:left w:val="nil"/>
              <w:bottom w:val="nil"/>
              <w:right w:val="nil"/>
            </w:tcBorders>
            <w:vAlign w:val="center"/>
          </w:tcPr>
          <w:p w14:paraId="70E15371"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31.6±0.85</w:t>
            </w:r>
          </w:p>
        </w:tc>
        <w:tc>
          <w:tcPr>
            <w:tcW w:w="1484" w:type="dxa"/>
            <w:tcBorders>
              <w:top w:val="nil"/>
              <w:left w:val="nil"/>
              <w:bottom w:val="nil"/>
              <w:right w:val="nil"/>
            </w:tcBorders>
            <w:vAlign w:val="center"/>
          </w:tcPr>
          <w:p w14:paraId="0F4B12F6"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29.1±0.72</w:t>
            </w:r>
          </w:p>
        </w:tc>
        <w:tc>
          <w:tcPr>
            <w:tcW w:w="1484" w:type="dxa"/>
            <w:tcBorders>
              <w:top w:val="nil"/>
              <w:left w:val="nil"/>
              <w:bottom w:val="nil"/>
              <w:right w:val="nil"/>
            </w:tcBorders>
            <w:vAlign w:val="center"/>
          </w:tcPr>
          <w:p w14:paraId="4E23130D"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27.01±0.70</w:t>
            </w:r>
          </w:p>
        </w:tc>
        <w:tc>
          <w:tcPr>
            <w:tcW w:w="1484" w:type="dxa"/>
            <w:tcBorders>
              <w:top w:val="nil"/>
              <w:left w:val="nil"/>
              <w:bottom w:val="nil"/>
              <w:right w:val="nil"/>
            </w:tcBorders>
            <w:vAlign w:val="center"/>
          </w:tcPr>
          <w:p w14:paraId="329EAF97"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24.04±0.21</w:t>
            </w:r>
          </w:p>
        </w:tc>
        <w:tc>
          <w:tcPr>
            <w:tcW w:w="1484" w:type="dxa"/>
            <w:tcBorders>
              <w:top w:val="nil"/>
              <w:left w:val="nil"/>
              <w:bottom w:val="nil"/>
              <w:right w:val="nil"/>
            </w:tcBorders>
            <w:vAlign w:val="center"/>
          </w:tcPr>
          <w:p w14:paraId="0CC313D8"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22.12±0.63</w:t>
            </w:r>
          </w:p>
        </w:tc>
      </w:tr>
      <w:tr w:rsidR="008C6784" w:rsidRPr="004932C4" w14:paraId="26E82CCB" w14:textId="77777777">
        <w:trPr>
          <w:trHeight w:val="311"/>
        </w:trPr>
        <w:tc>
          <w:tcPr>
            <w:tcW w:w="1631" w:type="dxa"/>
            <w:tcBorders>
              <w:top w:val="nil"/>
              <w:left w:val="nil"/>
              <w:bottom w:val="single" w:sz="8" w:space="0" w:color="auto"/>
              <w:right w:val="nil"/>
            </w:tcBorders>
            <w:vAlign w:val="center"/>
          </w:tcPr>
          <w:p w14:paraId="6072A2AA"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DO (mg/l)</w:t>
            </w:r>
          </w:p>
        </w:tc>
        <w:tc>
          <w:tcPr>
            <w:tcW w:w="1352" w:type="dxa"/>
            <w:tcBorders>
              <w:top w:val="nil"/>
              <w:left w:val="nil"/>
              <w:bottom w:val="single" w:sz="8" w:space="0" w:color="auto"/>
              <w:right w:val="nil"/>
            </w:tcBorders>
            <w:vAlign w:val="center"/>
          </w:tcPr>
          <w:p w14:paraId="28D740B5"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4.7±0.81</w:t>
            </w:r>
          </w:p>
        </w:tc>
        <w:tc>
          <w:tcPr>
            <w:tcW w:w="1484" w:type="dxa"/>
            <w:tcBorders>
              <w:top w:val="nil"/>
              <w:left w:val="nil"/>
              <w:bottom w:val="single" w:sz="8" w:space="0" w:color="auto"/>
              <w:right w:val="nil"/>
            </w:tcBorders>
            <w:vAlign w:val="center"/>
          </w:tcPr>
          <w:p w14:paraId="64DA1746"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3.89±0.08</w:t>
            </w:r>
          </w:p>
        </w:tc>
        <w:tc>
          <w:tcPr>
            <w:tcW w:w="1484" w:type="dxa"/>
            <w:tcBorders>
              <w:top w:val="nil"/>
              <w:left w:val="nil"/>
              <w:bottom w:val="single" w:sz="8" w:space="0" w:color="auto"/>
              <w:right w:val="nil"/>
            </w:tcBorders>
            <w:vAlign w:val="center"/>
          </w:tcPr>
          <w:p w14:paraId="1DBBC920"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3.24±0.13</w:t>
            </w:r>
          </w:p>
        </w:tc>
        <w:tc>
          <w:tcPr>
            <w:tcW w:w="1484" w:type="dxa"/>
            <w:tcBorders>
              <w:top w:val="nil"/>
              <w:left w:val="nil"/>
              <w:bottom w:val="single" w:sz="8" w:space="0" w:color="auto"/>
              <w:right w:val="nil"/>
            </w:tcBorders>
            <w:vAlign w:val="center"/>
          </w:tcPr>
          <w:p w14:paraId="481F8B4B"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2.41±0.31</w:t>
            </w:r>
          </w:p>
        </w:tc>
        <w:tc>
          <w:tcPr>
            <w:tcW w:w="1484" w:type="dxa"/>
            <w:tcBorders>
              <w:top w:val="nil"/>
              <w:left w:val="nil"/>
              <w:bottom w:val="single" w:sz="8" w:space="0" w:color="auto"/>
              <w:right w:val="nil"/>
            </w:tcBorders>
            <w:vAlign w:val="center"/>
          </w:tcPr>
          <w:p w14:paraId="7D2F9EB3"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0.8±0.26</w:t>
            </w:r>
          </w:p>
        </w:tc>
      </w:tr>
      <w:tr w:rsidR="008C6784" w:rsidRPr="004932C4" w14:paraId="2CC94138" w14:textId="77777777">
        <w:trPr>
          <w:trHeight w:val="560"/>
        </w:trPr>
        <w:tc>
          <w:tcPr>
            <w:tcW w:w="8921" w:type="dxa"/>
            <w:gridSpan w:val="6"/>
            <w:tcBorders>
              <w:top w:val="single" w:sz="8" w:space="0" w:color="auto"/>
              <w:left w:val="nil"/>
              <w:bottom w:val="single" w:sz="8" w:space="0" w:color="auto"/>
              <w:right w:val="nil"/>
            </w:tcBorders>
            <w:vAlign w:val="center"/>
          </w:tcPr>
          <w:p w14:paraId="340B33A6" w14:textId="77777777" w:rsidR="008C6784" w:rsidRPr="004932C4" w:rsidRDefault="00000000">
            <w:pPr>
              <w:spacing w:line="240" w:lineRule="auto"/>
              <w:ind w:left="0"/>
              <w:jc w:val="center"/>
              <w:rPr>
                <w:rFonts w:ascii="Times New Roman" w:eastAsia="Times New Roman" w:hAnsi="Times New Roman"/>
                <w:color w:val="000000"/>
                <w:kern w:val="0"/>
                <w:sz w:val="20"/>
                <w:szCs w:val="20"/>
                <w:lang w:eastAsia="en-IN"/>
              </w:rPr>
            </w:pPr>
            <w:r w:rsidRPr="004932C4">
              <w:rPr>
                <w:rFonts w:ascii="Times New Roman" w:eastAsia="Times New Roman" w:hAnsi="Times New Roman"/>
                <w:b/>
                <w:bCs/>
                <w:color w:val="000000"/>
                <w:kern w:val="0"/>
                <w:sz w:val="20"/>
                <w:szCs w:val="20"/>
                <w:lang w:val="en-US" w:eastAsia="en-IN"/>
              </w:rPr>
              <w:t>After oil slick</w:t>
            </w:r>
          </w:p>
        </w:tc>
      </w:tr>
      <w:tr w:rsidR="008C6784" w:rsidRPr="004932C4" w14:paraId="6C1C9D5D" w14:textId="77777777">
        <w:trPr>
          <w:trHeight w:val="547"/>
        </w:trPr>
        <w:tc>
          <w:tcPr>
            <w:tcW w:w="1631" w:type="dxa"/>
            <w:tcBorders>
              <w:top w:val="nil"/>
              <w:left w:val="nil"/>
              <w:bottom w:val="nil"/>
              <w:right w:val="nil"/>
            </w:tcBorders>
            <w:vAlign w:val="center"/>
          </w:tcPr>
          <w:p w14:paraId="3FD7D9FC"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Temperature (˚C)</w:t>
            </w:r>
          </w:p>
        </w:tc>
        <w:tc>
          <w:tcPr>
            <w:tcW w:w="1352" w:type="dxa"/>
            <w:tcBorders>
              <w:top w:val="nil"/>
              <w:left w:val="nil"/>
              <w:bottom w:val="nil"/>
              <w:right w:val="nil"/>
            </w:tcBorders>
            <w:vAlign w:val="center"/>
          </w:tcPr>
          <w:p w14:paraId="56D26DD0"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32.8±0.70</w:t>
            </w:r>
          </w:p>
        </w:tc>
        <w:tc>
          <w:tcPr>
            <w:tcW w:w="1484" w:type="dxa"/>
            <w:tcBorders>
              <w:top w:val="nil"/>
              <w:left w:val="nil"/>
              <w:bottom w:val="nil"/>
              <w:right w:val="nil"/>
            </w:tcBorders>
            <w:vAlign w:val="center"/>
          </w:tcPr>
          <w:p w14:paraId="61CBB986"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29.6±0.10</w:t>
            </w:r>
          </w:p>
        </w:tc>
        <w:tc>
          <w:tcPr>
            <w:tcW w:w="1484" w:type="dxa"/>
            <w:tcBorders>
              <w:top w:val="nil"/>
              <w:left w:val="nil"/>
              <w:bottom w:val="nil"/>
              <w:right w:val="nil"/>
            </w:tcBorders>
            <w:vAlign w:val="center"/>
          </w:tcPr>
          <w:p w14:paraId="5F993846"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27.9±0.70</w:t>
            </w:r>
          </w:p>
        </w:tc>
        <w:tc>
          <w:tcPr>
            <w:tcW w:w="1484" w:type="dxa"/>
            <w:tcBorders>
              <w:top w:val="nil"/>
              <w:left w:val="nil"/>
              <w:bottom w:val="nil"/>
              <w:right w:val="nil"/>
            </w:tcBorders>
            <w:vAlign w:val="center"/>
          </w:tcPr>
          <w:p w14:paraId="1410B32B"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26.4±0.70</w:t>
            </w:r>
          </w:p>
        </w:tc>
        <w:tc>
          <w:tcPr>
            <w:tcW w:w="1484" w:type="dxa"/>
            <w:tcBorders>
              <w:top w:val="nil"/>
              <w:left w:val="nil"/>
              <w:bottom w:val="nil"/>
              <w:right w:val="nil"/>
            </w:tcBorders>
            <w:vAlign w:val="center"/>
          </w:tcPr>
          <w:p w14:paraId="5FB63503"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25.08±0.65</w:t>
            </w:r>
          </w:p>
        </w:tc>
      </w:tr>
      <w:tr w:rsidR="008C6784" w:rsidRPr="004932C4" w14:paraId="03B16A18" w14:textId="77777777">
        <w:trPr>
          <w:trHeight w:val="547"/>
        </w:trPr>
        <w:tc>
          <w:tcPr>
            <w:tcW w:w="1631" w:type="dxa"/>
            <w:tcBorders>
              <w:top w:val="nil"/>
              <w:left w:val="nil"/>
              <w:bottom w:val="nil"/>
              <w:right w:val="nil"/>
            </w:tcBorders>
            <w:vAlign w:val="center"/>
          </w:tcPr>
          <w:p w14:paraId="20CDDA7E"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pH</w:t>
            </w:r>
          </w:p>
        </w:tc>
        <w:tc>
          <w:tcPr>
            <w:tcW w:w="1352" w:type="dxa"/>
            <w:tcBorders>
              <w:top w:val="nil"/>
              <w:left w:val="nil"/>
              <w:bottom w:val="nil"/>
              <w:right w:val="nil"/>
            </w:tcBorders>
            <w:vAlign w:val="center"/>
          </w:tcPr>
          <w:p w14:paraId="1443E838"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8±0.52</w:t>
            </w:r>
          </w:p>
        </w:tc>
        <w:tc>
          <w:tcPr>
            <w:tcW w:w="1484" w:type="dxa"/>
            <w:tcBorders>
              <w:top w:val="nil"/>
              <w:left w:val="nil"/>
              <w:bottom w:val="nil"/>
              <w:right w:val="nil"/>
            </w:tcBorders>
            <w:vAlign w:val="center"/>
          </w:tcPr>
          <w:p w14:paraId="0C307B06"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7.7±0.36</w:t>
            </w:r>
          </w:p>
        </w:tc>
        <w:tc>
          <w:tcPr>
            <w:tcW w:w="1484" w:type="dxa"/>
            <w:tcBorders>
              <w:top w:val="nil"/>
              <w:left w:val="nil"/>
              <w:bottom w:val="nil"/>
              <w:right w:val="nil"/>
            </w:tcBorders>
            <w:vAlign w:val="center"/>
          </w:tcPr>
          <w:p w14:paraId="3AEC3E04"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7.5±0.52</w:t>
            </w:r>
          </w:p>
        </w:tc>
        <w:tc>
          <w:tcPr>
            <w:tcW w:w="1484" w:type="dxa"/>
            <w:tcBorders>
              <w:top w:val="nil"/>
              <w:left w:val="nil"/>
              <w:bottom w:val="nil"/>
              <w:right w:val="nil"/>
            </w:tcBorders>
            <w:vAlign w:val="center"/>
          </w:tcPr>
          <w:p w14:paraId="1413F912"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7.2±0.43</w:t>
            </w:r>
          </w:p>
        </w:tc>
        <w:tc>
          <w:tcPr>
            <w:tcW w:w="1484" w:type="dxa"/>
            <w:tcBorders>
              <w:top w:val="nil"/>
              <w:left w:val="nil"/>
              <w:bottom w:val="nil"/>
              <w:right w:val="nil"/>
            </w:tcBorders>
            <w:vAlign w:val="center"/>
          </w:tcPr>
          <w:p w14:paraId="5D46E44E"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7.1±0.60</w:t>
            </w:r>
          </w:p>
        </w:tc>
      </w:tr>
      <w:tr w:rsidR="008C6784" w:rsidRPr="004932C4" w14:paraId="4DC930DF" w14:textId="77777777">
        <w:trPr>
          <w:trHeight w:val="560"/>
        </w:trPr>
        <w:tc>
          <w:tcPr>
            <w:tcW w:w="1631" w:type="dxa"/>
            <w:tcBorders>
              <w:top w:val="nil"/>
              <w:left w:val="nil"/>
              <w:bottom w:val="nil"/>
              <w:right w:val="nil"/>
            </w:tcBorders>
            <w:vAlign w:val="center"/>
          </w:tcPr>
          <w:p w14:paraId="483FC175"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Salinity (ppt)</w:t>
            </w:r>
          </w:p>
        </w:tc>
        <w:tc>
          <w:tcPr>
            <w:tcW w:w="1352" w:type="dxa"/>
            <w:tcBorders>
              <w:top w:val="nil"/>
              <w:left w:val="nil"/>
              <w:bottom w:val="nil"/>
              <w:right w:val="nil"/>
            </w:tcBorders>
            <w:vAlign w:val="center"/>
          </w:tcPr>
          <w:p w14:paraId="50ED7BD2"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25.9±0.77</w:t>
            </w:r>
          </w:p>
        </w:tc>
        <w:tc>
          <w:tcPr>
            <w:tcW w:w="1484" w:type="dxa"/>
            <w:tcBorders>
              <w:top w:val="nil"/>
              <w:left w:val="nil"/>
              <w:bottom w:val="nil"/>
              <w:right w:val="nil"/>
            </w:tcBorders>
            <w:vAlign w:val="center"/>
          </w:tcPr>
          <w:p w14:paraId="41B40AB8"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25.7±1.02</w:t>
            </w:r>
          </w:p>
        </w:tc>
        <w:tc>
          <w:tcPr>
            <w:tcW w:w="1484" w:type="dxa"/>
            <w:tcBorders>
              <w:top w:val="nil"/>
              <w:left w:val="nil"/>
              <w:bottom w:val="nil"/>
              <w:right w:val="nil"/>
            </w:tcBorders>
            <w:vAlign w:val="center"/>
          </w:tcPr>
          <w:p w14:paraId="330C101C"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22.4±1.21</w:t>
            </w:r>
          </w:p>
        </w:tc>
        <w:tc>
          <w:tcPr>
            <w:tcW w:w="1484" w:type="dxa"/>
            <w:tcBorders>
              <w:top w:val="nil"/>
              <w:left w:val="nil"/>
              <w:bottom w:val="nil"/>
              <w:right w:val="nil"/>
            </w:tcBorders>
            <w:vAlign w:val="center"/>
          </w:tcPr>
          <w:p w14:paraId="70D2BEC9"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20.6±0.45</w:t>
            </w:r>
          </w:p>
        </w:tc>
        <w:tc>
          <w:tcPr>
            <w:tcW w:w="1484" w:type="dxa"/>
            <w:tcBorders>
              <w:top w:val="nil"/>
              <w:left w:val="nil"/>
              <w:bottom w:val="nil"/>
              <w:right w:val="nil"/>
            </w:tcBorders>
            <w:vAlign w:val="center"/>
          </w:tcPr>
          <w:p w14:paraId="5FEE2332"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18.1±0.91</w:t>
            </w:r>
          </w:p>
        </w:tc>
      </w:tr>
      <w:tr w:rsidR="008C6784" w:rsidRPr="004932C4" w14:paraId="783D08BA" w14:textId="77777777">
        <w:trPr>
          <w:trHeight w:val="311"/>
        </w:trPr>
        <w:tc>
          <w:tcPr>
            <w:tcW w:w="1631" w:type="dxa"/>
            <w:tcBorders>
              <w:top w:val="nil"/>
              <w:left w:val="nil"/>
              <w:bottom w:val="single" w:sz="8" w:space="0" w:color="auto"/>
              <w:right w:val="nil"/>
            </w:tcBorders>
            <w:vAlign w:val="center"/>
          </w:tcPr>
          <w:p w14:paraId="3A64B095"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DO (mg/l)</w:t>
            </w:r>
          </w:p>
        </w:tc>
        <w:tc>
          <w:tcPr>
            <w:tcW w:w="1352" w:type="dxa"/>
            <w:tcBorders>
              <w:top w:val="nil"/>
              <w:left w:val="nil"/>
              <w:bottom w:val="single" w:sz="8" w:space="0" w:color="auto"/>
              <w:right w:val="nil"/>
            </w:tcBorders>
            <w:vAlign w:val="center"/>
          </w:tcPr>
          <w:p w14:paraId="43D7083D"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3.97±0.56</w:t>
            </w:r>
          </w:p>
        </w:tc>
        <w:tc>
          <w:tcPr>
            <w:tcW w:w="1484" w:type="dxa"/>
            <w:tcBorders>
              <w:top w:val="nil"/>
              <w:left w:val="nil"/>
              <w:bottom w:val="single" w:sz="8" w:space="0" w:color="auto"/>
              <w:right w:val="nil"/>
            </w:tcBorders>
            <w:vAlign w:val="center"/>
          </w:tcPr>
          <w:p w14:paraId="2B63EA46"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3.42±0.56</w:t>
            </w:r>
          </w:p>
        </w:tc>
        <w:tc>
          <w:tcPr>
            <w:tcW w:w="1484" w:type="dxa"/>
            <w:tcBorders>
              <w:top w:val="nil"/>
              <w:left w:val="nil"/>
              <w:bottom w:val="single" w:sz="8" w:space="0" w:color="auto"/>
              <w:right w:val="nil"/>
            </w:tcBorders>
            <w:vAlign w:val="center"/>
          </w:tcPr>
          <w:p w14:paraId="331F384D"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3.1±0.55</w:t>
            </w:r>
          </w:p>
        </w:tc>
        <w:tc>
          <w:tcPr>
            <w:tcW w:w="1484" w:type="dxa"/>
            <w:tcBorders>
              <w:top w:val="nil"/>
              <w:left w:val="nil"/>
              <w:bottom w:val="single" w:sz="8" w:space="0" w:color="auto"/>
              <w:right w:val="nil"/>
            </w:tcBorders>
            <w:vAlign w:val="center"/>
          </w:tcPr>
          <w:p w14:paraId="4FBFB6A4"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2.49±0.36</w:t>
            </w:r>
          </w:p>
        </w:tc>
        <w:tc>
          <w:tcPr>
            <w:tcW w:w="1484" w:type="dxa"/>
            <w:tcBorders>
              <w:top w:val="nil"/>
              <w:left w:val="nil"/>
              <w:bottom w:val="single" w:sz="8" w:space="0" w:color="auto"/>
              <w:right w:val="nil"/>
            </w:tcBorders>
            <w:vAlign w:val="center"/>
          </w:tcPr>
          <w:p w14:paraId="08CE9529" w14:textId="77777777" w:rsidR="008C6784" w:rsidRPr="004932C4" w:rsidRDefault="00000000">
            <w:pPr>
              <w:spacing w:line="240" w:lineRule="auto"/>
              <w:ind w:left="0"/>
              <w:jc w:val="left"/>
              <w:rPr>
                <w:rFonts w:ascii="Times New Roman" w:eastAsia="Times New Roman" w:hAnsi="Times New Roman"/>
                <w:color w:val="000000"/>
                <w:kern w:val="0"/>
                <w:sz w:val="20"/>
                <w:szCs w:val="20"/>
                <w:lang w:eastAsia="en-IN"/>
              </w:rPr>
            </w:pPr>
            <w:r w:rsidRPr="004932C4">
              <w:rPr>
                <w:rFonts w:ascii="Times New Roman" w:eastAsia="Times New Roman" w:hAnsi="Times New Roman"/>
                <w:color w:val="000000"/>
                <w:kern w:val="0"/>
                <w:sz w:val="20"/>
                <w:szCs w:val="20"/>
                <w:lang w:val="en-US" w:eastAsia="en-IN"/>
              </w:rPr>
              <w:t>0.71±0.12</w:t>
            </w:r>
          </w:p>
        </w:tc>
      </w:tr>
    </w:tbl>
    <w:p w14:paraId="5884C8AC" w14:textId="77777777" w:rsidR="008C6784" w:rsidRPr="004932C4" w:rsidRDefault="008C6784"/>
    <w:p w14:paraId="7913471F" w14:textId="77777777" w:rsidR="008C6784" w:rsidRPr="004932C4" w:rsidRDefault="00000000">
      <w:pPr>
        <w:rPr>
          <w:rFonts w:ascii="Times New Roman" w:hAnsi="Times New Roman"/>
          <w:b/>
          <w:bCs/>
          <w:sz w:val="24"/>
          <w:szCs w:val="24"/>
        </w:rPr>
      </w:pPr>
      <w:r w:rsidRPr="004932C4">
        <w:rPr>
          <w:rFonts w:ascii="Times New Roman" w:hAnsi="Times New Roman"/>
          <w:b/>
          <w:bCs/>
          <w:sz w:val="24"/>
          <w:szCs w:val="24"/>
        </w:rPr>
        <w:t>3.2 Multi-matrix metal assessment</w:t>
      </w:r>
    </w:p>
    <w:p w14:paraId="739C6BE4" w14:textId="77777777" w:rsidR="008C6784" w:rsidRPr="004932C4" w:rsidRDefault="00000000">
      <w:pPr>
        <w:rPr>
          <w:rFonts w:ascii="Times New Roman" w:hAnsi="Times New Roman"/>
          <w:sz w:val="24"/>
          <w:szCs w:val="24"/>
        </w:rPr>
      </w:pPr>
      <w:r w:rsidRPr="004932C4">
        <w:rPr>
          <w:rFonts w:ascii="Times New Roman" w:hAnsi="Times New Roman"/>
          <w:sz w:val="24"/>
          <w:szCs w:val="24"/>
          <w:lang w:val="en-US"/>
        </w:rPr>
        <w:t xml:space="preserve">Heavy metals in aquatic environments have been investigated extensively worldwide. </w:t>
      </w:r>
      <w:r w:rsidRPr="004932C4">
        <w:rPr>
          <w:rFonts w:ascii="Times New Roman" w:eastAsia="Times New Roman" w:hAnsi="Times New Roman"/>
          <w:sz w:val="24"/>
          <w:szCs w:val="24"/>
        </w:rPr>
        <w:t>Trace metals such as Cd, Cr, Pb and Hg may enter aquatic organisms from water and subsequently bioaccumulate in the food chain (</w:t>
      </w:r>
      <w:proofErr w:type="spellStart"/>
      <w:r w:rsidRPr="004932C4">
        <w:rPr>
          <w:rFonts w:ascii="Times New Roman" w:eastAsia="Times New Roman" w:hAnsi="Times New Roman"/>
          <w:sz w:val="24"/>
          <w:szCs w:val="24"/>
        </w:rPr>
        <w:t>Loska</w:t>
      </w:r>
      <w:proofErr w:type="spellEnd"/>
      <w:r w:rsidRPr="004932C4">
        <w:rPr>
          <w:rFonts w:ascii="Times New Roman" w:eastAsia="Times New Roman" w:hAnsi="Times New Roman"/>
          <w:sz w:val="24"/>
          <w:szCs w:val="24"/>
        </w:rPr>
        <w:t xml:space="preserve"> &amp; </w:t>
      </w:r>
      <w:proofErr w:type="spellStart"/>
      <w:r w:rsidRPr="004932C4">
        <w:rPr>
          <w:rFonts w:ascii="Times New Roman" w:eastAsia="Times New Roman" w:hAnsi="Times New Roman"/>
          <w:sz w:val="24"/>
          <w:szCs w:val="24"/>
        </w:rPr>
        <w:t>Wiechuła</w:t>
      </w:r>
      <w:proofErr w:type="spellEnd"/>
      <w:r w:rsidRPr="004932C4">
        <w:rPr>
          <w:rFonts w:ascii="Times New Roman" w:eastAsia="Times New Roman" w:hAnsi="Times New Roman"/>
          <w:sz w:val="24"/>
          <w:szCs w:val="24"/>
        </w:rPr>
        <w:t>, 2003;</w:t>
      </w:r>
      <w:r w:rsidRPr="004932C4">
        <w:rPr>
          <w:rFonts w:ascii="Times New Roman" w:eastAsia="Times New Roman" w:hAnsi="Times New Roman"/>
        </w:rPr>
        <w:t xml:space="preserve"> </w:t>
      </w:r>
      <w:proofErr w:type="spellStart"/>
      <w:r w:rsidRPr="004932C4">
        <w:rPr>
          <w:rFonts w:ascii="Times New Roman" w:eastAsia="Times New Roman" w:hAnsi="Times New Roman"/>
          <w:sz w:val="24"/>
          <w:szCs w:val="24"/>
        </w:rPr>
        <w:t>Ekperusi</w:t>
      </w:r>
      <w:proofErr w:type="spellEnd"/>
      <w:r w:rsidRPr="004932C4">
        <w:rPr>
          <w:rFonts w:ascii="Times New Roman" w:eastAsia="Times New Roman" w:hAnsi="Times New Roman"/>
          <w:sz w:val="24"/>
          <w:szCs w:val="24"/>
        </w:rPr>
        <w:t xml:space="preserve"> </w:t>
      </w:r>
      <w:r w:rsidRPr="004932C4">
        <w:rPr>
          <w:rFonts w:ascii="Times New Roman" w:eastAsia="Times New Roman" w:hAnsi="Times New Roman"/>
          <w:i/>
          <w:iCs/>
          <w:sz w:val="24"/>
          <w:szCs w:val="24"/>
        </w:rPr>
        <w:t>et al</w:t>
      </w:r>
      <w:r w:rsidRPr="004932C4">
        <w:rPr>
          <w:rFonts w:ascii="Times New Roman" w:eastAsia="Times New Roman" w:hAnsi="Times New Roman"/>
          <w:sz w:val="24"/>
          <w:szCs w:val="24"/>
        </w:rPr>
        <w:t>., 2024</w:t>
      </w:r>
      <w:r w:rsidRPr="004932C4">
        <w:rPr>
          <w:rFonts w:ascii="Times New Roman" w:eastAsia="Times New Roman" w:hAnsi="Times New Roman"/>
        </w:rPr>
        <w:t xml:space="preserve">). </w:t>
      </w:r>
      <w:r w:rsidRPr="004932C4">
        <w:rPr>
          <w:rFonts w:ascii="Times New Roman" w:hAnsi="Times New Roman"/>
          <w:sz w:val="24"/>
          <w:szCs w:val="24"/>
        </w:rPr>
        <w:t>Mean heavy metal concentrations in water from the five sampling stations were evaluated. The Cd (0.02±0.01</w:t>
      </w:r>
      <w:r w:rsidRPr="004932C4">
        <w:rPr>
          <w:rFonts w:ascii="Times New Roman" w:eastAsia="Times New Roman" w:hAnsi="Times New Roman"/>
          <w:color w:val="000000"/>
          <w:sz w:val="24"/>
          <w:szCs w:val="24"/>
        </w:rPr>
        <w:t xml:space="preserve"> </w:t>
      </w:r>
      <w:r w:rsidRPr="004932C4">
        <w:rPr>
          <w:rFonts w:ascii="Times New Roman" w:hAnsi="Times New Roman"/>
          <w:sz w:val="24"/>
          <w:szCs w:val="24"/>
        </w:rPr>
        <w:t xml:space="preserve">to 0.21±0.02 </w:t>
      </w:r>
      <w:proofErr w:type="spellStart"/>
      <w:r w:rsidRPr="004932C4">
        <w:rPr>
          <w:rFonts w:ascii="Times New Roman" w:eastAsia="Times New Roman" w:hAnsi="Times New Roman"/>
          <w:color w:val="000000"/>
          <w:sz w:val="24"/>
          <w:szCs w:val="24"/>
        </w:rPr>
        <w:t>μg</w:t>
      </w:r>
      <w:proofErr w:type="spellEnd"/>
      <w:r w:rsidRPr="004932C4">
        <w:rPr>
          <w:rFonts w:ascii="Times New Roman" w:eastAsia="Times New Roman" w:hAnsi="Times New Roman"/>
          <w:color w:val="000000"/>
          <w:sz w:val="24"/>
          <w:szCs w:val="24"/>
        </w:rPr>
        <w:t>/L)</w:t>
      </w:r>
      <w:r w:rsidRPr="004932C4">
        <w:rPr>
          <w:rFonts w:ascii="Times New Roman" w:hAnsi="Times New Roman"/>
          <w:sz w:val="24"/>
          <w:szCs w:val="24"/>
        </w:rPr>
        <w:t xml:space="preserve">, Cr (0.15±0.02 to 2.30±0.26 </w:t>
      </w:r>
      <w:proofErr w:type="spellStart"/>
      <w:r w:rsidRPr="004932C4">
        <w:rPr>
          <w:rFonts w:ascii="Times New Roman" w:hAnsi="Times New Roman"/>
          <w:sz w:val="24"/>
          <w:szCs w:val="24"/>
        </w:rPr>
        <w:t>μg</w:t>
      </w:r>
      <w:proofErr w:type="spellEnd"/>
      <w:r w:rsidRPr="004932C4">
        <w:rPr>
          <w:rFonts w:ascii="Times New Roman" w:hAnsi="Times New Roman"/>
          <w:sz w:val="24"/>
          <w:szCs w:val="24"/>
        </w:rPr>
        <w:t xml:space="preserve">/L) and Hg (0.01±0 to 0.12±0.04 </w:t>
      </w:r>
      <w:proofErr w:type="spellStart"/>
      <w:r w:rsidRPr="004932C4">
        <w:rPr>
          <w:rFonts w:ascii="Times New Roman" w:eastAsia="Times New Roman" w:hAnsi="Times New Roman"/>
          <w:color w:val="000000"/>
          <w:sz w:val="24"/>
          <w:szCs w:val="24"/>
        </w:rPr>
        <w:t>μg</w:t>
      </w:r>
      <w:proofErr w:type="spellEnd"/>
      <w:r w:rsidRPr="004932C4">
        <w:rPr>
          <w:rFonts w:ascii="Times New Roman" w:eastAsia="Times New Roman" w:hAnsi="Times New Roman"/>
          <w:color w:val="000000"/>
          <w:sz w:val="24"/>
          <w:szCs w:val="24"/>
        </w:rPr>
        <w:t>/L</w:t>
      </w:r>
      <w:r w:rsidRPr="004932C4">
        <w:rPr>
          <w:rFonts w:ascii="Times New Roman" w:hAnsi="Times New Roman"/>
          <w:sz w:val="24"/>
          <w:szCs w:val="24"/>
        </w:rPr>
        <w:t xml:space="preserve">) in the water samples from all the stations were below the permissible limit. After the spill, concentrations increased and exceeded the reported permissible levels; among the stations, the highest Cd concentration, 2.89±0.31 </w:t>
      </w:r>
      <w:proofErr w:type="spellStart"/>
      <w:r w:rsidRPr="004932C4">
        <w:rPr>
          <w:rFonts w:ascii="Times New Roman" w:eastAsia="Times New Roman" w:hAnsi="Times New Roman"/>
          <w:color w:val="000000"/>
          <w:sz w:val="24"/>
          <w:szCs w:val="24"/>
        </w:rPr>
        <w:t>μg</w:t>
      </w:r>
      <w:proofErr w:type="spellEnd"/>
      <w:r w:rsidRPr="004932C4">
        <w:rPr>
          <w:rFonts w:ascii="Times New Roman" w:eastAsia="Times New Roman" w:hAnsi="Times New Roman"/>
          <w:color w:val="000000"/>
          <w:sz w:val="24"/>
          <w:szCs w:val="24"/>
        </w:rPr>
        <w:t xml:space="preserve">/L, </w:t>
      </w:r>
      <w:r w:rsidRPr="004932C4">
        <w:rPr>
          <w:rFonts w:ascii="Times New Roman" w:hAnsi="Times New Roman"/>
          <w:sz w:val="24"/>
          <w:szCs w:val="24"/>
        </w:rPr>
        <w:t>was recorded at station 4. The highest Cr concentration was recorded at station 1, at 100±4 μg/L, whereas</w:t>
      </w:r>
      <w:r w:rsidRPr="004932C4">
        <w:rPr>
          <w:rFonts w:ascii="Times New Roman" w:eastAsia="Times New Roman" w:hAnsi="Times New Roman"/>
          <w:color w:val="000000"/>
          <w:sz w:val="24"/>
          <w:szCs w:val="24"/>
        </w:rPr>
        <w:t xml:space="preserve"> the highest Hg </w:t>
      </w:r>
      <w:r w:rsidRPr="004932C4">
        <w:rPr>
          <w:rFonts w:ascii="Times New Roman" w:eastAsia="Times New Roman" w:hAnsi="Times New Roman"/>
          <w:color w:val="000000"/>
          <w:sz w:val="24"/>
          <w:szCs w:val="24"/>
        </w:rPr>
        <w:lastRenderedPageBreak/>
        <w:t xml:space="preserve">concentration occurred at station 3, at 1.13±0.11 </w:t>
      </w:r>
      <w:proofErr w:type="spellStart"/>
      <w:r w:rsidRPr="004932C4">
        <w:rPr>
          <w:rFonts w:ascii="Times New Roman" w:eastAsia="Times New Roman" w:hAnsi="Times New Roman"/>
          <w:color w:val="000000"/>
          <w:sz w:val="24"/>
          <w:szCs w:val="24"/>
        </w:rPr>
        <w:t>μg</w:t>
      </w:r>
      <w:proofErr w:type="spellEnd"/>
      <w:r w:rsidRPr="004932C4">
        <w:rPr>
          <w:rFonts w:ascii="Times New Roman" w:eastAsia="Times New Roman" w:hAnsi="Times New Roman"/>
          <w:color w:val="000000"/>
          <w:sz w:val="24"/>
          <w:szCs w:val="24"/>
        </w:rPr>
        <w:t xml:space="preserve">/L, as represented in Table 2.  </w:t>
      </w:r>
      <w:r w:rsidRPr="004932C4">
        <w:rPr>
          <w:rFonts w:ascii="Times New Roman" w:hAnsi="Times New Roman"/>
          <w:sz w:val="24"/>
          <w:szCs w:val="24"/>
        </w:rPr>
        <w:t xml:space="preserve">Crude oil released into water bodies contains heavy metals that may disperse and increase metal concentrations (Sharma </w:t>
      </w:r>
      <w:r w:rsidRPr="004932C4">
        <w:rPr>
          <w:rFonts w:ascii="Times New Roman" w:hAnsi="Times New Roman"/>
          <w:i/>
          <w:iCs/>
          <w:sz w:val="24"/>
          <w:szCs w:val="24"/>
        </w:rPr>
        <w:t>et al</w:t>
      </w:r>
      <w:r w:rsidRPr="004932C4">
        <w:rPr>
          <w:rFonts w:ascii="Times New Roman" w:hAnsi="Times New Roman"/>
          <w:sz w:val="24"/>
          <w:szCs w:val="24"/>
        </w:rPr>
        <w:t>., 2024).</w:t>
      </w:r>
      <w:r w:rsidRPr="004932C4">
        <w:rPr>
          <w:rFonts w:ascii="Times New Roman" w:eastAsia="Times New Roman" w:hAnsi="Times New Roman"/>
          <w:color w:val="000000"/>
          <w:sz w:val="24"/>
          <w:szCs w:val="24"/>
        </w:rPr>
        <w:t xml:space="preserve"> In contrast, Pb concentrations before (51.49±2.03 </w:t>
      </w:r>
      <w:proofErr w:type="spellStart"/>
      <w:r w:rsidRPr="004932C4">
        <w:rPr>
          <w:rFonts w:ascii="Times New Roman" w:eastAsia="Times New Roman" w:hAnsi="Times New Roman"/>
          <w:color w:val="000000"/>
          <w:sz w:val="24"/>
          <w:szCs w:val="24"/>
        </w:rPr>
        <w:t>μg</w:t>
      </w:r>
      <w:proofErr w:type="spellEnd"/>
      <w:r w:rsidRPr="004932C4">
        <w:rPr>
          <w:rFonts w:ascii="Times New Roman" w:eastAsia="Times New Roman" w:hAnsi="Times New Roman"/>
          <w:color w:val="000000"/>
          <w:sz w:val="24"/>
          <w:szCs w:val="24"/>
        </w:rPr>
        <w:t>/L</w:t>
      </w:r>
      <w:r w:rsidRPr="004932C4">
        <w:rPr>
          <w:rFonts w:ascii="Times New Roman" w:hAnsi="Times New Roman"/>
          <w:sz w:val="24"/>
          <w:szCs w:val="24"/>
        </w:rPr>
        <w:t xml:space="preserve">) </w:t>
      </w:r>
      <w:r w:rsidRPr="004932C4">
        <w:rPr>
          <w:rFonts w:ascii="Times New Roman" w:eastAsia="Times New Roman" w:hAnsi="Times New Roman"/>
          <w:color w:val="000000"/>
          <w:sz w:val="24"/>
          <w:szCs w:val="24"/>
        </w:rPr>
        <w:t xml:space="preserve">and after (320.31±10.49 </w:t>
      </w:r>
      <w:proofErr w:type="spellStart"/>
      <w:r w:rsidRPr="004932C4">
        <w:rPr>
          <w:rFonts w:ascii="Times New Roman" w:eastAsia="Times New Roman" w:hAnsi="Times New Roman"/>
          <w:color w:val="000000"/>
          <w:sz w:val="24"/>
          <w:szCs w:val="24"/>
        </w:rPr>
        <w:t>μg</w:t>
      </w:r>
      <w:proofErr w:type="spellEnd"/>
      <w:r w:rsidRPr="004932C4">
        <w:rPr>
          <w:rFonts w:ascii="Times New Roman" w:eastAsia="Times New Roman" w:hAnsi="Times New Roman"/>
          <w:color w:val="000000"/>
          <w:sz w:val="24"/>
          <w:szCs w:val="24"/>
        </w:rPr>
        <w:t>/L</w:t>
      </w:r>
      <w:r w:rsidRPr="004932C4">
        <w:rPr>
          <w:rFonts w:ascii="Times New Roman" w:hAnsi="Times New Roman"/>
          <w:sz w:val="24"/>
          <w:szCs w:val="24"/>
        </w:rPr>
        <w:t xml:space="preserve">) </w:t>
      </w:r>
      <w:r w:rsidRPr="004932C4">
        <w:rPr>
          <w:rFonts w:ascii="Times New Roman" w:eastAsia="Times New Roman" w:hAnsi="Times New Roman"/>
          <w:color w:val="000000"/>
          <w:sz w:val="24"/>
          <w:szCs w:val="24"/>
        </w:rPr>
        <w:t xml:space="preserve">the spill exceeded the permissible range. Chen </w:t>
      </w:r>
      <w:r w:rsidRPr="004932C4">
        <w:rPr>
          <w:rFonts w:ascii="Times New Roman" w:eastAsia="Times New Roman" w:hAnsi="Times New Roman"/>
          <w:i/>
          <w:iCs/>
          <w:color w:val="000000"/>
          <w:sz w:val="24"/>
          <w:szCs w:val="24"/>
        </w:rPr>
        <w:t>et al</w:t>
      </w:r>
      <w:r w:rsidRPr="004932C4">
        <w:rPr>
          <w:rFonts w:ascii="Times New Roman" w:eastAsia="Times New Roman" w:hAnsi="Times New Roman"/>
          <w:color w:val="000000"/>
          <w:sz w:val="24"/>
          <w:szCs w:val="24"/>
        </w:rPr>
        <w:t>. (2022)</w:t>
      </w:r>
      <w:r w:rsidRPr="004932C4">
        <w:rPr>
          <w:rFonts w:ascii="Times New Roman" w:eastAsia="Times New Roman" w:hAnsi="Times New Roman"/>
          <w:i/>
          <w:iCs/>
          <w:color w:val="000000"/>
          <w:sz w:val="24"/>
          <w:szCs w:val="24"/>
        </w:rPr>
        <w:t xml:space="preserve"> </w:t>
      </w:r>
      <w:r w:rsidRPr="004932C4">
        <w:rPr>
          <w:rFonts w:ascii="Times New Roman" w:eastAsia="Times New Roman" w:hAnsi="Times New Roman"/>
          <w:color w:val="000000"/>
          <w:sz w:val="24"/>
          <w:szCs w:val="24"/>
        </w:rPr>
        <w:t xml:space="preserve">reported that lead concentration in the global ocean was high mainly because of anthropogenic activity, which includes industrial emissions. </w:t>
      </w:r>
      <w:r w:rsidRPr="004932C4">
        <w:rPr>
          <w:rFonts w:ascii="Times New Roman" w:hAnsi="Times New Roman"/>
          <w:sz w:val="24"/>
          <w:szCs w:val="24"/>
          <w:lang w:val="en-US"/>
        </w:rPr>
        <w:t xml:space="preserve">Kibria </w:t>
      </w:r>
      <w:r w:rsidRPr="004932C4">
        <w:rPr>
          <w:rFonts w:ascii="Times New Roman" w:hAnsi="Times New Roman"/>
          <w:i/>
          <w:iCs/>
          <w:sz w:val="24"/>
          <w:szCs w:val="24"/>
          <w:lang w:val="en-US"/>
        </w:rPr>
        <w:t>et al</w:t>
      </w:r>
      <w:r w:rsidRPr="004932C4">
        <w:rPr>
          <w:rFonts w:ascii="Times New Roman" w:hAnsi="Times New Roman"/>
          <w:sz w:val="24"/>
          <w:szCs w:val="24"/>
          <w:lang w:val="en-US"/>
        </w:rPr>
        <w:t xml:space="preserve">. (2016) investigated 11 heavy metals in the Bangladesh Coastal and </w:t>
      </w:r>
      <w:proofErr w:type="spellStart"/>
      <w:r w:rsidRPr="004932C4">
        <w:rPr>
          <w:rFonts w:ascii="Times New Roman" w:hAnsi="Times New Roman"/>
          <w:sz w:val="24"/>
          <w:szCs w:val="24"/>
        </w:rPr>
        <w:t>Karnafuli</w:t>
      </w:r>
      <w:proofErr w:type="spellEnd"/>
      <w:r w:rsidRPr="004932C4">
        <w:rPr>
          <w:rFonts w:ascii="Times New Roman" w:hAnsi="Times New Roman"/>
          <w:sz w:val="24"/>
          <w:szCs w:val="24"/>
        </w:rPr>
        <w:t xml:space="preserve"> River estuary</w:t>
      </w:r>
      <w:r w:rsidRPr="004932C4">
        <w:t xml:space="preserve">. </w:t>
      </w:r>
      <w:r w:rsidRPr="004932C4">
        <w:rPr>
          <w:rFonts w:ascii="Times New Roman" w:hAnsi="Times New Roman"/>
          <w:sz w:val="24"/>
          <w:szCs w:val="24"/>
        </w:rPr>
        <w:t xml:space="preserve">The observed changes in metal concentrations and pollution indices indicate increased heavy metal contamination in Ennore Creek following the spill. Oil–sediment interactions may influence the fate, transport, and distribution of contaminants in aquatic environments (Gong </w:t>
      </w:r>
      <w:r w:rsidRPr="004932C4">
        <w:rPr>
          <w:rFonts w:ascii="Times New Roman" w:hAnsi="Times New Roman"/>
          <w:i/>
          <w:iCs/>
          <w:sz w:val="24"/>
          <w:szCs w:val="24"/>
        </w:rPr>
        <w:t>et al</w:t>
      </w:r>
      <w:r w:rsidRPr="004932C4">
        <w:rPr>
          <w:rFonts w:ascii="Times New Roman" w:hAnsi="Times New Roman"/>
          <w:sz w:val="24"/>
          <w:szCs w:val="24"/>
        </w:rPr>
        <w:t>., 2014). In addition, sediment resuspension can contribute to the remobilisation of particulate-associated trace metals into the aquatic environment (</w:t>
      </w:r>
      <w:proofErr w:type="spellStart"/>
      <w:r w:rsidRPr="004932C4">
        <w:rPr>
          <w:rFonts w:ascii="Times New Roman" w:hAnsi="Times New Roman"/>
          <w:sz w:val="24"/>
          <w:szCs w:val="24"/>
        </w:rPr>
        <w:t>Kalnejais</w:t>
      </w:r>
      <w:proofErr w:type="spellEnd"/>
      <w:r w:rsidRPr="004932C4">
        <w:rPr>
          <w:rFonts w:ascii="Times New Roman" w:hAnsi="Times New Roman"/>
          <w:sz w:val="24"/>
          <w:szCs w:val="24"/>
        </w:rPr>
        <w:t xml:space="preserve"> </w:t>
      </w:r>
      <w:r w:rsidRPr="004932C4">
        <w:rPr>
          <w:rFonts w:ascii="Times New Roman" w:hAnsi="Times New Roman"/>
          <w:i/>
          <w:iCs/>
          <w:sz w:val="24"/>
          <w:szCs w:val="24"/>
        </w:rPr>
        <w:t>et al</w:t>
      </w:r>
      <w:r w:rsidRPr="004932C4">
        <w:rPr>
          <w:rFonts w:ascii="Times New Roman" w:hAnsi="Times New Roman"/>
          <w:sz w:val="24"/>
          <w:szCs w:val="24"/>
        </w:rPr>
        <w:t xml:space="preserve">., 2007). </w:t>
      </w:r>
    </w:p>
    <w:p w14:paraId="52E3FEF1" w14:textId="77777777" w:rsidR="008C6784" w:rsidRPr="004932C4" w:rsidRDefault="00000000">
      <w:pPr>
        <w:rPr>
          <w:rFonts w:ascii="Times New Roman" w:hAnsi="Times New Roman"/>
          <w:sz w:val="24"/>
          <w:szCs w:val="24"/>
        </w:rPr>
      </w:pPr>
      <w:r w:rsidRPr="004932C4">
        <w:t xml:space="preserve"> </w:t>
      </w:r>
      <w:r w:rsidRPr="004932C4">
        <w:rPr>
          <w:rFonts w:ascii="Times New Roman" w:hAnsi="Times New Roman"/>
          <w:sz w:val="24"/>
          <w:szCs w:val="24"/>
        </w:rPr>
        <w:t xml:space="preserve">The study results indicated high levels of Hg, Cr, Cd, Ni and Cu, with potential implications for water quality and aquatic ecology.  </w:t>
      </w:r>
    </w:p>
    <w:p w14:paraId="0FB839CC" w14:textId="77777777" w:rsidR="008C6784" w:rsidRPr="004932C4" w:rsidRDefault="008C6784"/>
    <w:p w14:paraId="298DFD36" w14:textId="77777777" w:rsidR="008C6784" w:rsidRPr="004932C4" w:rsidRDefault="00000000">
      <w:pPr>
        <w:rPr>
          <w:rFonts w:ascii="Times New Roman" w:hAnsi="Times New Roman"/>
          <w:b/>
          <w:bCs/>
          <w:sz w:val="24"/>
          <w:szCs w:val="24"/>
        </w:rPr>
      </w:pPr>
      <w:r w:rsidRPr="004932C4">
        <w:rPr>
          <w:rFonts w:ascii="Times New Roman" w:hAnsi="Times New Roman"/>
          <w:b/>
          <w:bCs/>
          <w:sz w:val="24"/>
          <w:szCs w:val="24"/>
        </w:rPr>
        <w:t xml:space="preserve">Table 2. </w:t>
      </w:r>
      <w:r w:rsidRPr="004932C4">
        <w:rPr>
          <w:rFonts w:ascii="Times New Roman" w:eastAsia="Times New Roman" w:hAnsi="Times New Roman"/>
          <w:b/>
          <w:bCs/>
          <w:sz w:val="24"/>
          <w:szCs w:val="24"/>
        </w:rPr>
        <w:t>Mean and standard deviation of heavy metals before and after the oil slick from the five different stations</w:t>
      </w:r>
    </w:p>
    <w:tbl>
      <w:tblPr>
        <w:tblStyle w:val="TableGrid"/>
        <w:tblW w:w="0" w:type="auto"/>
        <w:tblInd w:w="-6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3"/>
        <w:gridCol w:w="860"/>
        <w:gridCol w:w="836"/>
        <w:gridCol w:w="974"/>
        <w:gridCol w:w="767"/>
        <w:gridCol w:w="974"/>
        <w:gridCol w:w="767"/>
        <w:gridCol w:w="767"/>
        <w:gridCol w:w="767"/>
        <w:gridCol w:w="767"/>
        <w:gridCol w:w="767"/>
        <w:gridCol w:w="767"/>
      </w:tblGrid>
      <w:tr w:rsidR="008C6784" w:rsidRPr="004932C4" w14:paraId="789D57AE" w14:textId="77777777">
        <w:trPr>
          <w:trHeight w:val="324"/>
        </w:trPr>
        <w:tc>
          <w:tcPr>
            <w:tcW w:w="796" w:type="dxa"/>
            <w:vMerge w:val="restart"/>
            <w:tcBorders>
              <w:top w:val="single" w:sz="4" w:space="0" w:color="auto"/>
              <w:bottom w:val="nil"/>
            </w:tcBorders>
          </w:tcPr>
          <w:p w14:paraId="4737B9A3" w14:textId="77777777" w:rsidR="008C6784" w:rsidRPr="004932C4" w:rsidRDefault="00000000">
            <w:pPr>
              <w:spacing w:line="240" w:lineRule="auto"/>
              <w:ind w:left="0"/>
              <w:jc w:val="left"/>
              <w:rPr>
                <w:rFonts w:asciiTheme="minorHAnsi" w:eastAsiaTheme="minorHAnsi" w:hAnsiTheme="minorHAnsi" w:cstheme="minorBidi"/>
                <w:b/>
                <w:bCs/>
                <w14:ligatures w14:val="standardContextual"/>
              </w:rPr>
            </w:pPr>
            <w:r w:rsidRPr="004932C4">
              <w:rPr>
                <w:rFonts w:asciiTheme="minorHAnsi" w:eastAsiaTheme="minorHAnsi" w:hAnsiTheme="minorHAnsi" w:cstheme="minorBidi"/>
                <w:b/>
                <w:bCs/>
                <w14:ligatures w14:val="standardContextual"/>
              </w:rPr>
              <w:t>Stations</w:t>
            </w:r>
          </w:p>
        </w:tc>
        <w:tc>
          <w:tcPr>
            <w:tcW w:w="783" w:type="dxa"/>
            <w:vMerge w:val="restart"/>
            <w:tcBorders>
              <w:top w:val="single" w:sz="4" w:space="0" w:color="auto"/>
              <w:bottom w:val="nil"/>
            </w:tcBorders>
          </w:tcPr>
          <w:p w14:paraId="3FD984D2" w14:textId="77777777" w:rsidR="008C6784" w:rsidRPr="004932C4" w:rsidRDefault="00000000">
            <w:pPr>
              <w:spacing w:line="240" w:lineRule="auto"/>
              <w:ind w:left="0"/>
              <w:jc w:val="left"/>
              <w:rPr>
                <w:rFonts w:asciiTheme="minorHAnsi" w:eastAsiaTheme="minorHAnsi" w:hAnsiTheme="minorHAnsi" w:cstheme="minorBidi"/>
                <w:b/>
                <w:bCs/>
                <w14:ligatures w14:val="standardContextual"/>
              </w:rPr>
            </w:pPr>
            <w:r w:rsidRPr="004932C4">
              <w:rPr>
                <w:rFonts w:asciiTheme="minorHAnsi" w:eastAsiaTheme="minorHAnsi" w:hAnsiTheme="minorHAnsi" w:cstheme="minorBidi"/>
                <w:b/>
                <w:bCs/>
                <w14:ligatures w14:val="standardContextual"/>
              </w:rPr>
              <w:t>Parameters</w:t>
            </w:r>
          </w:p>
        </w:tc>
        <w:tc>
          <w:tcPr>
            <w:tcW w:w="1646" w:type="dxa"/>
            <w:gridSpan w:val="2"/>
            <w:tcBorders>
              <w:top w:val="single" w:sz="4" w:space="0" w:color="auto"/>
              <w:bottom w:val="single" w:sz="4" w:space="0" w:color="auto"/>
            </w:tcBorders>
          </w:tcPr>
          <w:p w14:paraId="16C947A1" w14:textId="77777777" w:rsidR="008C6784" w:rsidRPr="004932C4" w:rsidRDefault="00000000">
            <w:pPr>
              <w:spacing w:line="240" w:lineRule="auto"/>
              <w:ind w:left="0"/>
              <w:jc w:val="left"/>
              <w:rPr>
                <w:rFonts w:asciiTheme="minorHAnsi" w:eastAsiaTheme="minorHAnsi" w:hAnsiTheme="minorHAnsi" w:cstheme="minorBidi"/>
                <w:b/>
                <w:bCs/>
                <w14:ligatures w14:val="standardContextual"/>
              </w:rPr>
            </w:pPr>
            <w:r w:rsidRPr="004932C4">
              <w:rPr>
                <w:rFonts w:asciiTheme="minorHAnsi" w:eastAsiaTheme="minorHAnsi" w:hAnsiTheme="minorHAnsi" w:cstheme="minorBidi"/>
                <w:b/>
                <w:bCs/>
                <w14:ligatures w14:val="standardContextual"/>
              </w:rPr>
              <w:t>Water (</w:t>
            </w:r>
            <w:proofErr w:type="spellStart"/>
            <w:r w:rsidRPr="004932C4">
              <w:rPr>
                <w:rFonts w:asciiTheme="minorHAnsi" w:eastAsiaTheme="minorHAnsi" w:hAnsiTheme="minorHAnsi" w:cstheme="minorBidi"/>
                <w:b/>
                <w:bCs/>
                <w14:ligatures w14:val="standardContextual"/>
              </w:rPr>
              <w:t>μg</w:t>
            </w:r>
            <w:proofErr w:type="spellEnd"/>
            <w:r w:rsidRPr="004932C4">
              <w:rPr>
                <w:rFonts w:asciiTheme="minorHAnsi" w:eastAsiaTheme="minorHAnsi" w:hAnsiTheme="minorHAnsi" w:cstheme="minorBidi"/>
                <w:b/>
                <w:bCs/>
                <w14:ligatures w14:val="standardContextual"/>
              </w:rPr>
              <w:t>/L)</w:t>
            </w:r>
          </w:p>
        </w:tc>
        <w:tc>
          <w:tcPr>
            <w:tcW w:w="1585" w:type="dxa"/>
            <w:gridSpan w:val="2"/>
            <w:tcBorders>
              <w:top w:val="single" w:sz="4" w:space="0" w:color="auto"/>
              <w:bottom w:val="single" w:sz="4" w:space="0" w:color="auto"/>
            </w:tcBorders>
          </w:tcPr>
          <w:p w14:paraId="42CDAF13" w14:textId="77777777" w:rsidR="008C6784" w:rsidRPr="004932C4" w:rsidRDefault="00000000">
            <w:pPr>
              <w:spacing w:line="240" w:lineRule="auto"/>
              <w:ind w:left="0"/>
              <w:jc w:val="left"/>
              <w:rPr>
                <w:rFonts w:asciiTheme="minorHAnsi" w:eastAsiaTheme="minorHAnsi" w:hAnsiTheme="minorHAnsi" w:cstheme="minorBidi"/>
                <w:b/>
                <w:bCs/>
                <w14:ligatures w14:val="standardContextual"/>
              </w:rPr>
            </w:pPr>
            <w:r w:rsidRPr="004932C4">
              <w:rPr>
                <w:rFonts w:asciiTheme="minorHAnsi" w:eastAsiaTheme="minorHAnsi" w:hAnsiTheme="minorHAnsi" w:cstheme="minorBidi"/>
                <w:b/>
                <w:bCs/>
                <w14:ligatures w14:val="standardContextual"/>
              </w:rPr>
              <w:t>Sediment (mg/kg)</w:t>
            </w:r>
          </w:p>
        </w:tc>
        <w:tc>
          <w:tcPr>
            <w:tcW w:w="1402" w:type="dxa"/>
            <w:gridSpan w:val="2"/>
            <w:tcBorders>
              <w:top w:val="single" w:sz="4" w:space="0" w:color="auto"/>
              <w:bottom w:val="single" w:sz="4" w:space="0" w:color="auto"/>
            </w:tcBorders>
          </w:tcPr>
          <w:p w14:paraId="67C23F98" w14:textId="77777777" w:rsidR="008C6784" w:rsidRPr="004932C4" w:rsidRDefault="00000000">
            <w:pPr>
              <w:spacing w:line="240" w:lineRule="auto"/>
              <w:ind w:left="0"/>
              <w:jc w:val="left"/>
              <w:rPr>
                <w:rFonts w:asciiTheme="minorHAnsi" w:eastAsiaTheme="minorHAnsi" w:hAnsiTheme="minorHAnsi" w:cstheme="minorBidi"/>
                <w:b/>
                <w:bCs/>
                <w14:ligatures w14:val="standardContextual"/>
              </w:rPr>
            </w:pPr>
            <w:r w:rsidRPr="004932C4">
              <w:rPr>
                <w:rFonts w:asciiTheme="minorHAnsi" w:eastAsiaTheme="minorHAnsi" w:hAnsiTheme="minorHAnsi" w:cstheme="minorBidi"/>
                <w:b/>
                <w:bCs/>
                <w14:ligatures w14:val="standardContextual"/>
              </w:rPr>
              <w:t>Polychaete (mg/kg)</w:t>
            </w:r>
          </w:p>
        </w:tc>
        <w:tc>
          <w:tcPr>
            <w:tcW w:w="1402" w:type="dxa"/>
            <w:gridSpan w:val="2"/>
            <w:tcBorders>
              <w:top w:val="single" w:sz="4" w:space="0" w:color="auto"/>
              <w:bottom w:val="single" w:sz="4" w:space="0" w:color="auto"/>
            </w:tcBorders>
          </w:tcPr>
          <w:p w14:paraId="220EA64D" w14:textId="77777777" w:rsidR="008C6784" w:rsidRPr="004932C4" w:rsidRDefault="00000000">
            <w:pPr>
              <w:spacing w:line="240" w:lineRule="auto"/>
              <w:ind w:left="0"/>
              <w:jc w:val="left"/>
              <w:rPr>
                <w:rFonts w:asciiTheme="minorHAnsi" w:eastAsiaTheme="minorHAnsi" w:hAnsiTheme="minorHAnsi" w:cstheme="minorBidi"/>
                <w:b/>
                <w:bCs/>
                <w:i/>
                <w:iCs/>
                <w14:ligatures w14:val="standardContextual"/>
              </w:rPr>
            </w:pPr>
            <w:proofErr w:type="spellStart"/>
            <w:r w:rsidRPr="004932C4">
              <w:rPr>
                <w:rFonts w:asciiTheme="minorHAnsi" w:eastAsiaTheme="minorHAnsi" w:hAnsiTheme="minorHAnsi" w:cstheme="minorBidi"/>
                <w:b/>
                <w:bCs/>
                <w:i/>
                <w:iCs/>
                <w14:ligatures w14:val="standardContextual"/>
              </w:rPr>
              <w:t>Elops</w:t>
            </w:r>
            <w:proofErr w:type="spellEnd"/>
            <w:r w:rsidRPr="004932C4">
              <w:rPr>
                <w:rFonts w:asciiTheme="minorHAnsi" w:eastAsiaTheme="minorHAnsi" w:hAnsiTheme="minorHAnsi" w:cstheme="minorBidi"/>
                <w:b/>
                <w:bCs/>
                <w:i/>
                <w:iCs/>
                <w14:ligatures w14:val="standardContextual"/>
              </w:rPr>
              <w:t xml:space="preserve"> saurus </w:t>
            </w:r>
            <w:r w:rsidRPr="004932C4">
              <w:rPr>
                <w:rFonts w:asciiTheme="minorHAnsi" w:eastAsiaTheme="minorHAnsi" w:hAnsiTheme="minorHAnsi" w:cstheme="minorBidi"/>
                <w:b/>
                <w:bCs/>
                <w14:ligatures w14:val="standardContextual"/>
              </w:rPr>
              <w:t>(mg/kg)</w:t>
            </w:r>
          </w:p>
        </w:tc>
        <w:tc>
          <w:tcPr>
            <w:tcW w:w="1402" w:type="dxa"/>
            <w:gridSpan w:val="2"/>
            <w:tcBorders>
              <w:top w:val="single" w:sz="4" w:space="0" w:color="auto"/>
              <w:bottom w:val="single" w:sz="4" w:space="0" w:color="auto"/>
            </w:tcBorders>
          </w:tcPr>
          <w:p w14:paraId="270EAA05" w14:textId="77777777" w:rsidR="008C6784" w:rsidRPr="004932C4" w:rsidRDefault="00000000">
            <w:pPr>
              <w:spacing w:line="240" w:lineRule="auto"/>
              <w:ind w:left="0"/>
              <w:jc w:val="left"/>
              <w:rPr>
                <w:rFonts w:asciiTheme="minorHAnsi" w:eastAsiaTheme="minorHAnsi" w:hAnsiTheme="minorHAnsi" w:cstheme="minorBidi"/>
                <w:b/>
                <w:bCs/>
                <w:i/>
                <w:iCs/>
                <w14:ligatures w14:val="standardContextual"/>
              </w:rPr>
            </w:pPr>
            <w:r w:rsidRPr="004932C4">
              <w:rPr>
                <w:rFonts w:ascii="Times New Roman" w:eastAsia="Times New Roman" w:hAnsi="Times New Roman"/>
                <w:b/>
                <w:bCs/>
                <w:i/>
                <w:iCs/>
                <w:sz w:val="24"/>
                <w:szCs w:val="24"/>
                <w:lang w:eastAsia="en-GB"/>
              </w:rPr>
              <w:t xml:space="preserve">Gerres </w:t>
            </w:r>
            <w:proofErr w:type="spellStart"/>
            <w:r w:rsidRPr="004932C4">
              <w:rPr>
                <w:rFonts w:ascii="Times New Roman" w:eastAsia="Times New Roman" w:hAnsi="Times New Roman"/>
                <w:b/>
                <w:bCs/>
                <w:i/>
                <w:iCs/>
                <w:sz w:val="24"/>
                <w:szCs w:val="24"/>
                <w:lang w:eastAsia="en-GB"/>
              </w:rPr>
              <w:t>filamentosus</w:t>
            </w:r>
            <w:proofErr w:type="spellEnd"/>
            <w:r w:rsidRPr="004932C4">
              <w:rPr>
                <w:rFonts w:ascii="Times New Roman" w:eastAsia="Times New Roman" w:hAnsi="Times New Roman"/>
                <w:b/>
                <w:bCs/>
                <w:sz w:val="27"/>
                <w:szCs w:val="27"/>
                <w:lang w:eastAsia="en-GB"/>
              </w:rPr>
              <w:t xml:space="preserve"> </w:t>
            </w:r>
            <w:r w:rsidRPr="004932C4">
              <w:rPr>
                <w:rFonts w:asciiTheme="minorHAnsi" w:eastAsiaTheme="minorHAnsi" w:hAnsiTheme="minorHAnsi" w:cstheme="minorBidi"/>
                <w:b/>
                <w:bCs/>
                <w14:ligatures w14:val="standardContextual"/>
              </w:rPr>
              <w:t>(mg/kg)</w:t>
            </w:r>
          </w:p>
        </w:tc>
      </w:tr>
      <w:tr w:rsidR="008C6784" w:rsidRPr="004932C4" w14:paraId="79A32667" w14:textId="77777777">
        <w:trPr>
          <w:trHeight w:val="312"/>
        </w:trPr>
        <w:tc>
          <w:tcPr>
            <w:tcW w:w="796" w:type="dxa"/>
            <w:vMerge/>
            <w:tcBorders>
              <w:top w:val="nil"/>
              <w:bottom w:val="single" w:sz="4" w:space="0" w:color="auto"/>
            </w:tcBorders>
          </w:tcPr>
          <w:p w14:paraId="4739B48F" w14:textId="77777777" w:rsidR="008C6784" w:rsidRPr="004932C4" w:rsidRDefault="008C6784">
            <w:pPr>
              <w:spacing w:line="240" w:lineRule="auto"/>
              <w:ind w:left="0"/>
              <w:jc w:val="left"/>
              <w:rPr>
                <w:rFonts w:asciiTheme="minorHAnsi" w:eastAsiaTheme="minorHAnsi" w:hAnsiTheme="minorHAnsi" w:cstheme="minorBidi"/>
                <w:b/>
                <w:bCs/>
                <w14:ligatures w14:val="standardContextual"/>
              </w:rPr>
            </w:pPr>
          </w:p>
        </w:tc>
        <w:tc>
          <w:tcPr>
            <w:tcW w:w="783" w:type="dxa"/>
            <w:vMerge/>
            <w:tcBorders>
              <w:top w:val="nil"/>
              <w:bottom w:val="single" w:sz="4" w:space="0" w:color="auto"/>
            </w:tcBorders>
          </w:tcPr>
          <w:p w14:paraId="0BD09FA7" w14:textId="77777777" w:rsidR="008C6784" w:rsidRPr="004932C4" w:rsidRDefault="008C6784">
            <w:pPr>
              <w:spacing w:line="240" w:lineRule="auto"/>
              <w:ind w:left="0"/>
              <w:jc w:val="left"/>
              <w:rPr>
                <w:rFonts w:asciiTheme="minorHAnsi" w:eastAsiaTheme="minorHAnsi" w:hAnsiTheme="minorHAnsi" w:cstheme="minorBidi"/>
                <w:b/>
                <w:bCs/>
                <w14:ligatures w14:val="standardContextual"/>
              </w:rPr>
            </w:pPr>
          </w:p>
        </w:tc>
        <w:tc>
          <w:tcPr>
            <w:tcW w:w="762" w:type="dxa"/>
            <w:tcBorders>
              <w:top w:val="single" w:sz="4" w:space="0" w:color="auto"/>
              <w:bottom w:val="single" w:sz="4" w:space="0" w:color="auto"/>
            </w:tcBorders>
          </w:tcPr>
          <w:p w14:paraId="5D898B01" w14:textId="77777777" w:rsidR="008C6784" w:rsidRPr="004932C4" w:rsidRDefault="00000000">
            <w:pPr>
              <w:spacing w:line="240" w:lineRule="auto"/>
              <w:ind w:left="0"/>
              <w:jc w:val="left"/>
              <w:rPr>
                <w:rFonts w:asciiTheme="minorHAnsi" w:eastAsiaTheme="minorHAnsi" w:hAnsiTheme="minorHAnsi" w:cstheme="minorBidi"/>
                <w:b/>
                <w:bCs/>
                <w14:ligatures w14:val="standardContextual"/>
              </w:rPr>
            </w:pPr>
            <w:r w:rsidRPr="004932C4">
              <w:rPr>
                <w:rFonts w:asciiTheme="minorHAnsi" w:eastAsiaTheme="minorHAnsi" w:hAnsiTheme="minorHAnsi" w:cstheme="minorBidi"/>
                <w:b/>
                <w:bCs/>
                <w14:ligatures w14:val="standardContextual"/>
              </w:rPr>
              <w:t>BOS</w:t>
            </w:r>
          </w:p>
        </w:tc>
        <w:tc>
          <w:tcPr>
            <w:tcW w:w="884" w:type="dxa"/>
            <w:tcBorders>
              <w:top w:val="single" w:sz="4" w:space="0" w:color="auto"/>
              <w:bottom w:val="single" w:sz="4" w:space="0" w:color="auto"/>
            </w:tcBorders>
          </w:tcPr>
          <w:p w14:paraId="00A68E31" w14:textId="77777777" w:rsidR="008C6784" w:rsidRPr="004932C4" w:rsidRDefault="00000000">
            <w:pPr>
              <w:spacing w:line="240" w:lineRule="auto"/>
              <w:ind w:left="0"/>
              <w:jc w:val="left"/>
              <w:rPr>
                <w:rFonts w:asciiTheme="minorHAnsi" w:eastAsiaTheme="minorHAnsi" w:hAnsiTheme="minorHAnsi" w:cstheme="minorBidi"/>
                <w:b/>
                <w:bCs/>
                <w14:ligatures w14:val="standardContextual"/>
              </w:rPr>
            </w:pPr>
            <w:r w:rsidRPr="004932C4">
              <w:rPr>
                <w:rFonts w:asciiTheme="minorHAnsi" w:eastAsiaTheme="minorHAnsi" w:hAnsiTheme="minorHAnsi" w:cstheme="minorBidi"/>
                <w:b/>
                <w:bCs/>
                <w14:ligatures w14:val="standardContextual"/>
              </w:rPr>
              <w:t>AOS</w:t>
            </w:r>
          </w:p>
        </w:tc>
        <w:tc>
          <w:tcPr>
            <w:tcW w:w="701" w:type="dxa"/>
            <w:tcBorders>
              <w:top w:val="single" w:sz="4" w:space="0" w:color="auto"/>
              <w:bottom w:val="single" w:sz="4" w:space="0" w:color="auto"/>
            </w:tcBorders>
          </w:tcPr>
          <w:p w14:paraId="10A9A5B3" w14:textId="77777777" w:rsidR="008C6784" w:rsidRPr="004932C4" w:rsidRDefault="00000000">
            <w:pPr>
              <w:spacing w:line="240" w:lineRule="auto"/>
              <w:ind w:left="0"/>
              <w:jc w:val="left"/>
              <w:rPr>
                <w:rFonts w:asciiTheme="minorHAnsi" w:eastAsiaTheme="minorHAnsi" w:hAnsiTheme="minorHAnsi" w:cstheme="minorBidi"/>
                <w:b/>
                <w:bCs/>
                <w14:ligatures w14:val="standardContextual"/>
              </w:rPr>
            </w:pPr>
            <w:r w:rsidRPr="004932C4">
              <w:rPr>
                <w:rFonts w:asciiTheme="minorHAnsi" w:eastAsiaTheme="minorHAnsi" w:hAnsiTheme="minorHAnsi" w:cstheme="minorBidi"/>
                <w:b/>
                <w:bCs/>
                <w14:ligatures w14:val="standardContextual"/>
              </w:rPr>
              <w:t>BOS</w:t>
            </w:r>
          </w:p>
        </w:tc>
        <w:tc>
          <w:tcPr>
            <w:tcW w:w="884" w:type="dxa"/>
            <w:tcBorders>
              <w:top w:val="single" w:sz="4" w:space="0" w:color="auto"/>
              <w:bottom w:val="single" w:sz="4" w:space="0" w:color="auto"/>
            </w:tcBorders>
          </w:tcPr>
          <w:p w14:paraId="57468AD6" w14:textId="77777777" w:rsidR="008C6784" w:rsidRPr="004932C4" w:rsidRDefault="00000000">
            <w:pPr>
              <w:spacing w:line="240" w:lineRule="auto"/>
              <w:ind w:left="0"/>
              <w:jc w:val="left"/>
              <w:rPr>
                <w:rFonts w:asciiTheme="minorHAnsi" w:eastAsiaTheme="minorHAnsi" w:hAnsiTheme="minorHAnsi" w:cstheme="minorBidi"/>
                <w:b/>
                <w:bCs/>
                <w14:ligatures w14:val="standardContextual"/>
              </w:rPr>
            </w:pPr>
            <w:r w:rsidRPr="004932C4">
              <w:rPr>
                <w:rFonts w:asciiTheme="minorHAnsi" w:eastAsiaTheme="minorHAnsi" w:hAnsiTheme="minorHAnsi" w:cstheme="minorBidi"/>
                <w:b/>
                <w:bCs/>
                <w14:ligatures w14:val="standardContextual"/>
              </w:rPr>
              <w:t>AOS</w:t>
            </w:r>
          </w:p>
        </w:tc>
        <w:tc>
          <w:tcPr>
            <w:tcW w:w="701" w:type="dxa"/>
            <w:tcBorders>
              <w:top w:val="single" w:sz="4" w:space="0" w:color="auto"/>
              <w:bottom w:val="single" w:sz="4" w:space="0" w:color="auto"/>
            </w:tcBorders>
          </w:tcPr>
          <w:p w14:paraId="48490BAC" w14:textId="77777777" w:rsidR="008C6784" w:rsidRPr="004932C4" w:rsidRDefault="00000000">
            <w:pPr>
              <w:spacing w:line="240" w:lineRule="auto"/>
              <w:ind w:left="0"/>
              <w:jc w:val="left"/>
              <w:rPr>
                <w:rFonts w:asciiTheme="minorHAnsi" w:eastAsiaTheme="minorHAnsi" w:hAnsiTheme="minorHAnsi" w:cstheme="minorBidi"/>
                <w:b/>
                <w:bCs/>
                <w14:ligatures w14:val="standardContextual"/>
              </w:rPr>
            </w:pPr>
            <w:r w:rsidRPr="004932C4">
              <w:rPr>
                <w:rFonts w:asciiTheme="minorHAnsi" w:eastAsiaTheme="minorHAnsi" w:hAnsiTheme="minorHAnsi" w:cstheme="minorBidi"/>
                <w:b/>
                <w:bCs/>
                <w14:ligatures w14:val="standardContextual"/>
              </w:rPr>
              <w:t>BOS</w:t>
            </w:r>
          </w:p>
        </w:tc>
        <w:tc>
          <w:tcPr>
            <w:tcW w:w="701" w:type="dxa"/>
            <w:tcBorders>
              <w:top w:val="single" w:sz="4" w:space="0" w:color="auto"/>
              <w:bottom w:val="single" w:sz="4" w:space="0" w:color="auto"/>
            </w:tcBorders>
          </w:tcPr>
          <w:p w14:paraId="35519210" w14:textId="77777777" w:rsidR="008C6784" w:rsidRPr="004932C4" w:rsidRDefault="00000000">
            <w:pPr>
              <w:spacing w:line="240" w:lineRule="auto"/>
              <w:ind w:left="0"/>
              <w:jc w:val="left"/>
              <w:rPr>
                <w:rFonts w:asciiTheme="minorHAnsi" w:eastAsiaTheme="minorHAnsi" w:hAnsiTheme="minorHAnsi" w:cstheme="minorBidi"/>
                <w:b/>
                <w:bCs/>
                <w14:ligatures w14:val="standardContextual"/>
              </w:rPr>
            </w:pPr>
            <w:r w:rsidRPr="004932C4">
              <w:rPr>
                <w:rFonts w:asciiTheme="minorHAnsi" w:eastAsiaTheme="minorHAnsi" w:hAnsiTheme="minorHAnsi" w:cstheme="minorBidi"/>
                <w:b/>
                <w:bCs/>
                <w14:ligatures w14:val="standardContextual"/>
              </w:rPr>
              <w:t>AOS</w:t>
            </w:r>
          </w:p>
        </w:tc>
        <w:tc>
          <w:tcPr>
            <w:tcW w:w="701" w:type="dxa"/>
            <w:tcBorders>
              <w:top w:val="single" w:sz="4" w:space="0" w:color="auto"/>
              <w:bottom w:val="single" w:sz="4" w:space="0" w:color="auto"/>
            </w:tcBorders>
          </w:tcPr>
          <w:p w14:paraId="155D3BB8" w14:textId="77777777" w:rsidR="008C6784" w:rsidRPr="004932C4" w:rsidRDefault="00000000">
            <w:pPr>
              <w:spacing w:line="240" w:lineRule="auto"/>
              <w:ind w:left="0"/>
              <w:jc w:val="left"/>
              <w:rPr>
                <w:rFonts w:asciiTheme="minorHAnsi" w:eastAsiaTheme="minorHAnsi" w:hAnsiTheme="minorHAnsi" w:cstheme="minorBidi"/>
                <w:b/>
                <w:bCs/>
                <w14:ligatures w14:val="standardContextual"/>
              </w:rPr>
            </w:pPr>
            <w:r w:rsidRPr="004932C4">
              <w:rPr>
                <w:rFonts w:asciiTheme="minorHAnsi" w:eastAsiaTheme="minorHAnsi" w:hAnsiTheme="minorHAnsi" w:cstheme="minorBidi"/>
                <w:b/>
                <w:bCs/>
                <w14:ligatures w14:val="standardContextual"/>
              </w:rPr>
              <w:t>BOS</w:t>
            </w:r>
          </w:p>
        </w:tc>
        <w:tc>
          <w:tcPr>
            <w:tcW w:w="701" w:type="dxa"/>
            <w:tcBorders>
              <w:top w:val="single" w:sz="4" w:space="0" w:color="auto"/>
              <w:bottom w:val="single" w:sz="4" w:space="0" w:color="auto"/>
            </w:tcBorders>
          </w:tcPr>
          <w:p w14:paraId="34C8B565" w14:textId="77777777" w:rsidR="008C6784" w:rsidRPr="004932C4" w:rsidRDefault="00000000">
            <w:pPr>
              <w:spacing w:line="240" w:lineRule="auto"/>
              <w:ind w:left="0"/>
              <w:jc w:val="left"/>
              <w:rPr>
                <w:rFonts w:asciiTheme="minorHAnsi" w:eastAsiaTheme="minorHAnsi" w:hAnsiTheme="minorHAnsi" w:cstheme="minorBidi"/>
                <w:b/>
                <w:bCs/>
                <w14:ligatures w14:val="standardContextual"/>
              </w:rPr>
            </w:pPr>
            <w:r w:rsidRPr="004932C4">
              <w:rPr>
                <w:rFonts w:asciiTheme="minorHAnsi" w:eastAsiaTheme="minorHAnsi" w:hAnsiTheme="minorHAnsi" w:cstheme="minorBidi"/>
                <w:b/>
                <w:bCs/>
                <w14:ligatures w14:val="standardContextual"/>
              </w:rPr>
              <w:t>AOS</w:t>
            </w:r>
          </w:p>
        </w:tc>
        <w:tc>
          <w:tcPr>
            <w:tcW w:w="701" w:type="dxa"/>
            <w:tcBorders>
              <w:top w:val="single" w:sz="4" w:space="0" w:color="auto"/>
              <w:bottom w:val="single" w:sz="4" w:space="0" w:color="auto"/>
            </w:tcBorders>
          </w:tcPr>
          <w:p w14:paraId="12E3BC56" w14:textId="77777777" w:rsidR="008C6784" w:rsidRPr="004932C4" w:rsidRDefault="00000000">
            <w:pPr>
              <w:spacing w:line="240" w:lineRule="auto"/>
              <w:ind w:left="0"/>
              <w:jc w:val="left"/>
              <w:rPr>
                <w:rFonts w:asciiTheme="minorHAnsi" w:eastAsiaTheme="minorHAnsi" w:hAnsiTheme="minorHAnsi" w:cstheme="minorBidi"/>
                <w:b/>
                <w:bCs/>
                <w14:ligatures w14:val="standardContextual"/>
              </w:rPr>
            </w:pPr>
            <w:r w:rsidRPr="004932C4">
              <w:rPr>
                <w:rFonts w:asciiTheme="minorHAnsi" w:eastAsiaTheme="minorHAnsi" w:hAnsiTheme="minorHAnsi" w:cstheme="minorBidi"/>
                <w:b/>
                <w:bCs/>
                <w14:ligatures w14:val="standardContextual"/>
              </w:rPr>
              <w:t>BOS</w:t>
            </w:r>
          </w:p>
        </w:tc>
        <w:tc>
          <w:tcPr>
            <w:tcW w:w="701" w:type="dxa"/>
            <w:tcBorders>
              <w:top w:val="single" w:sz="4" w:space="0" w:color="auto"/>
              <w:bottom w:val="single" w:sz="4" w:space="0" w:color="auto"/>
            </w:tcBorders>
          </w:tcPr>
          <w:p w14:paraId="45BCDE26" w14:textId="77777777" w:rsidR="008C6784" w:rsidRPr="004932C4" w:rsidRDefault="00000000">
            <w:pPr>
              <w:spacing w:line="240" w:lineRule="auto"/>
              <w:ind w:left="0"/>
              <w:jc w:val="left"/>
              <w:rPr>
                <w:rFonts w:asciiTheme="minorHAnsi" w:eastAsiaTheme="minorHAnsi" w:hAnsiTheme="minorHAnsi" w:cstheme="minorBidi"/>
                <w:b/>
                <w:bCs/>
                <w14:ligatures w14:val="standardContextual"/>
              </w:rPr>
            </w:pPr>
            <w:r w:rsidRPr="004932C4">
              <w:rPr>
                <w:rFonts w:asciiTheme="minorHAnsi" w:eastAsiaTheme="minorHAnsi" w:hAnsiTheme="minorHAnsi" w:cstheme="minorBidi"/>
                <w:b/>
                <w:bCs/>
                <w14:ligatures w14:val="standardContextual"/>
              </w:rPr>
              <w:t>AOS</w:t>
            </w:r>
          </w:p>
        </w:tc>
      </w:tr>
      <w:tr w:rsidR="008C6784" w:rsidRPr="004932C4" w14:paraId="3720D761" w14:textId="77777777">
        <w:trPr>
          <w:trHeight w:val="312"/>
        </w:trPr>
        <w:tc>
          <w:tcPr>
            <w:tcW w:w="796" w:type="dxa"/>
            <w:vMerge w:val="restart"/>
            <w:tcBorders>
              <w:top w:val="single" w:sz="4" w:space="0" w:color="auto"/>
              <w:bottom w:val="nil"/>
            </w:tcBorders>
            <w:noWrap/>
          </w:tcPr>
          <w:p w14:paraId="03052C04"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 xml:space="preserve">ST 1 </w:t>
            </w:r>
          </w:p>
        </w:tc>
        <w:tc>
          <w:tcPr>
            <w:tcW w:w="783" w:type="dxa"/>
            <w:tcBorders>
              <w:top w:val="single" w:sz="4" w:space="0" w:color="auto"/>
              <w:bottom w:val="nil"/>
            </w:tcBorders>
          </w:tcPr>
          <w:p w14:paraId="78764CD2"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Cd</w:t>
            </w:r>
          </w:p>
        </w:tc>
        <w:tc>
          <w:tcPr>
            <w:tcW w:w="762" w:type="dxa"/>
            <w:tcBorders>
              <w:top w:val="single" w:sz="4" w:space="0" w:color="auto"/>
              <w:bottom w:val="nil"/>
            </w:tcBorders>
          </w:tcPr>
          <w:p w14:paraId="6D6E1D68"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0.13±0.02</w:t>
            </w:r>
          </w:p>
        </w:tc>
        <w:tc>
          <w:tcPr>
            <w:tcW w:w="884" w:type="dxa"/>
            <w:tcBorders>
              <w:top w:val="single" w:sz="4" w:space="0" w:color="auto"/>
              <w:bottom w:val="nil"/>
            </w:tcBorders>
          </w:tcPr>
          <w:p w14:paraId="346B1F22"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2.00±0.47</w:t>
            </w:r>
          </w:p>
        </w:tc>
        <w:tc>
          <w:tcPr>
            <w:tcW w:w="701" w:type="dxa"/>
            <w:tcBorders>
              <w:top w:val="single" w:sz="4" w:space="0" w:color="auto"/>
              <w:bottom w:val="nil"/>
            </w:tcBorders>
          </w:tcPr>
          <w:p w14:paraId="0C963B0A"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0.24±0.06</w:t>
            </w:r>
          </w:p>
        </w:tc>
        <w:tc>
          <w:tcPr>
            <w:tcW w:w="884" w:type="dxa"/>
            <w:tcBorders>
              <w:top w:val="single" w:sz="4" w:space="0" w:color="auto"/>
              <w:bottom w:val="nil"/>
            </w:tcBorders>
          </w:tcPr>
          <w:p w14:paraId="7A63A062"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6.20±0.22</w:t>
            </w:r>
          </w:p>
        </w:tc>
        <w:tc>
          <w:tcPr>
            <w:tcW w:w="701" w:type="dxa"/>
            <w:tcBorders>
              <w:top w:val="single" w:sz="4" w:space="0" w:color="auto"/>
              <w:bottom w:val="nil"/>
            </w:tcBorders>
          </w:tcPr>
          <w:p w14:paraId="5B0CC0D1"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0.01±0</w:t>
            </w:r>
          </w:p>
        </w:tc>
        <w:tc>
          <w:tcPr>
            <w:tcW w:w="701" w:type="dxa"/>
            <w:tcBorders>
              <w:top w:val="single" w:sz="4" w:space="0" w:color="auto"/>
              <w:bottom w:val="nil"/>
            </w:tcBorders>
          </w:tcPr>
          <w:p w14:paraId="134DFD73"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0.10±0.06</w:t>
            </w:r>
          </w:p>
        </w:tc>
        <w:tc>
          <w:tcPr>
            <w:tcW w:w="701" w:type="dxa"/>
            <w:tcBorders>
              <w:top w:val="single" w:sz="4" w:space="0" w:color="auto"/>
              <w:bottom w:val="nil"/>
            </w:tcBorders>
          </w:tcPr>
          <w:p w14:paraId="3200F15B"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BDL</w:t>
            </w:r>
          </w:p>
        </w:tc>
        <w:tc>
          <w:tcPr>
            <w:tcW w:w="701" w:type="dxa"/>
            <w:tcBorders>
              <w:top w:val="single" w:sz="4" w:space="0" w:color="auto"/>
              <w:bottom w:val="nil"/>
            </w:tcBorders>
          </w:tcPr>
          <w:p w14:paraId="6937FBF5"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0.11±0.01</w:t>
            </w:r>
          </w:p>
        </w:tc>
        <w:tc>
          <w:tcPr>
            <w:tcW w:w="701" w:type="dxa"/>
            <w:tcBorders>
              <w:top w:val="single" w:sz="4" w:space="0" w:color="auto"/>
              <w:bottom w:val="nil"/>
            </w:tcBorders>
          </w:tcPr>
          <w:p w14:paraId="23C9E648"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BDL</w:t>
            </w:r>
          </w:p>
        </w:tc>
        <w:tc>
          <w:tcPr>
            <w:tcW w:w="701" w:type="dxa"/>
            <w:tcBorders>
              <w:top w:val="single" w:sz="4" w:space="0" w:color="auto"/>
              <w:bottom w:val="nil"/>
            </w:tcBorders>
          </w:tcPr>
          <w:p w14:paraId="139430CD"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0.19±0.01</w:t>
            </w:r>
          </w:p>
        </w:tc>
      </w:tr>
      <w:tr w:rsidR="008C6784" w:rsidRPr="004932C4" w14:paraId="42A06099" w14:textId="77777777">
        <w:trPr>
          <w:trHeight w:val="312"/>
        </w:trPr>
        <w:tc>
          <w:tcPr>
            <w:tcW w:w="796" w:type="dxa"/>
            <w:vMerge/>
            <w:tcBorders>
              <w:top w:val="nil"/>
              <w:bottom w:val="nil"/>
            </w:tcBorders>
          </w:tcPr>
          <w:p w14:paraId="01F372D8" w14:textId="77777777" w:rsidR="008C6784" w:rsidRPr="004932C4" w:rsidRDefault="008C6784">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nil"/>
            </w:tcBorders>
          </w:tcPr>
          <w:p w14:paraId="73896A55"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Cr</w:t>
            </w:r>
          </w:p>
        </w:tc>
        <w:tc>
          <w:tcPr>
            <w:tcW w:w="762" w:type="dxa"/>
            <w:tcBorders>
              <w:top w:val="nil"/>
              <w:bottom w:val="nil"/>
            </w:tcBorders>
          </w:tcPr>
          <w:p w14:paraId="79C142FA"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2.30±0.26</w:t>
            </w:r>
          </w:p>
        </w:tc>
        <w:tc>
          <w:tcPr>
            <w:tcW w:w="884" w:type="dxa"/>
            <w:tcBorders>
              <w:top w:val="nil"/>
              <w:bottom w:val="nil"/>
            </w:tcBorders>
          </w:tcPr>
          <w:p w14:paraId="06336A95"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100±4</w:t>
            </w:r>
          </w:p>
        </w:tc>
        <w:tc>
          <w:tcPr>
            <w:tcW w:w="701" w:type="dxa"/>
            <w:tcBorders>
              <w:top w:val="nil"/>
              <w:bottom w:val="nil"/>
            </w:tcBorders>
          </w:tcPr>
          <w:p w14:paraId="7D8C900C"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1.13±0.83</w:t>
            </w:r>
          </w:p>
        </w:tc>
        <w:tc>
          <w:tcPr>
            <w:tcW w:w="884" w:type="dxa"/>
            <w:tcBorders>
              <w:top w:val="nil"/>
              <w:bottom w:val="nil"/>
            </w:tcBorders>
          </w:tcPr>
          <w:p w14:paraId="147F05DD"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164.20±6.01</w:t>
            </w:r>
          </w:p>
        </w:tc>
        <w:tc>
          <w:tcPr>
            <w:tcW w:w="701" w:type="dxa"/>
            <w:tcBorders>
              <w:top w:val="nil"/>
              <w:bottom w:val="nil"/>
            </w:tcBorders>
          </w:tcPr>
          <w:p w14:paraId="6810992B"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0.20±0.17</w:t>
            </w:r>
          </w:p>
        </w:tc>
        <w:tc>
          <w:tcPr>
            <w:tcW w:w="701" w:type="dxa"/>
            <w:tcBorders>
              <w:top w:val="nil"/>
              <w:bottom w:val="nil"/>
            </w:tcBorders>
          </w:tcPr>
          <w:p w14:paraId="5FD0F510"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5.50±0.06</w:t>
            </w:r>
          </w:p>
        </w:tc>
        <w:tc>
          <w:tcPr>
            <w:tcW w:w="701" w:type="dxa"/>
            <w:tcBorders>
              <w:top w:val="nil"/>
              <w:bottom w:val="nil"/>
            </w:tcBorders>
          </w:tcPr>
          <w:p w14:paraId="6E565CF9"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BDL</w:t>
            </w:r>
          </w:p>
        </w:tc>
        <w:tc>
          <w:tcPr>
            <w:tcW w:w="701" w:type="dxa"/>
            <w:tcBorders>
              <w:top w:val="nil"/>
              <w:bottom w:val="nil"/>
            </w:tcBorders>
          </w:tcPr>
          <w:p w14:paraId="0239A775"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0.41±0.02</w:t>
            </w:r>
          </w:p>
        </w:tc>
        <w:tc>
          <w:tcPr>
            <w:tcW w:w="701" w:type="dxa"/>
            <w:tcBorders>
              <w:top w:val="nil"/>
              <w:bottom w:val="nil"/>
            </w:tcBorders>
          </w:tcPr>
          <w:p w14:paraId="78D9F5AA"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BDL</w:t>
            </w:r>
          </w:p>
        </w:tc>
        <w:tc>
          <w:tcPr>
            <w:tcW w:w="701" w:type="dxa"/>
            <w:tcBorders>
              <w:top w:val="nil"/>
              <w:bottom w:val="nil"/>
            </w:tcBorders>
          </w:tcPr>
          <w:p w14:paraId="5CB26382"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1.20±0.27</w:t>
            </w:r>
          </w:p>
        </w:tc>
      </w:tr>
      <w:tr w:rsidR="008C6784" w:rsidRPr="004932C4" w14:paraId="64D7E0E0" w14:textId="77777777">
        <w:trPr>
          <w:trHeight w:val="312"/>
        </w:trPr>
        <w:tc>
          <w:tcPr>
            <w:tcW w:w="796" w:type="dxa"/>
            <w:vMerge/>
            <w:tcBorders>
              <w:top w:val="nil"/>
              <w:bottom w:val="nil"/>
            </w:tcBorders>
          </w:tcPr>
          <w:p w14:paraId="1DA6966A" w14:textId="77777777" w:rsidR="008C6784" w:rsidRPr="004932C4" w:rsidRDefault="008C6784">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nil"/>
            </w:tcBorders>
          </w:tcPr>
          <w:p w14:paraId="1AE52944"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Pb</w:t>
            </w:r>
          </w:p>
        </w:tc>
        <w:tc>
          <w:tcPr>
            <w:tcW w:w="762" w:type="dxa"/>
            <w:tcBorders>
              <w:top w:val="nil"/>
              <w:bottom w:val="nil"/>
            </w:tcBorders>
          </w:tcPr>
          <w:p w14:paraId="646CD77D"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75.80±2</w:t>
            </w:r>
          </w:p>
        </w:tc>
        <w:tc>
          <w:tcPr>
            <w:tcW w:w="884" w:type="dxa"/>
            <w:tcBorders>
              <w:top w:val="nil"/>
              <w:bottom w:val="nil"/>
            </w:tcBorders>
          </w:tcPr>
          <w:p w14:paraId="3E93C2AF"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320.31±10.49</w:t>
            </w:r>
          </w:p>
        </w:tc>
        <w:tc>
          <w:tcPr>
            <w:tcW w:w="701" w:type="dxa"/>
            <w:tcBorders>
              <w:top w:val="nil"/>
              <w:bottom w:val="nil"/>
            </w:tcBorders>
          </w:tcPr>
          <w:p w14:paraId="45A0791C"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3.56±0.59</w:t>
            </w:r>
          </w:p>
        </w:tc>
        <w:tc>
          <w:tcPr>
            <w:tcW w:w="884" w:type="dxa"/>
            <w:tcBorders>
              <w:top w:val="nil"/>
              <w:bottom w:val="nil"/>
            </w:tcBorders>
          </w:tcPr>
          <w:p w14:paraId="3852F03A"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856±17.74</w:t>
            </w:r>
          </w:p>
        </w:tc>
        <w:tc>
          <w:tcPr>
            <w:tcW w:w="701" w:type="dxa"/>
            <w:tcBorders>
              <w:top w:val="nil"/>
              <w:bottom w:val="nil"/>
            </w:tcBorders>
          </w:tcPr>
          <w:p w14:paraId="60D6BEBB"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BDL</w:t>
            </w:r>
          </w:p>
        </w:tc>
        <w:tc>
          <w:tcPr>
            <w:tcW w:w="701" w:type="dxa"/>
            <w:tcBorders>
              <w:top w:val="nil"/>
              <w:bottom w:val="nil"/>
            </w:tcBorders>
          </w:tcPr>
          <w:p w14:paraId="295FE7B9"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1.60±0.05</w:t>
            </w:r>
          </w:p>
        </w:tc>
        <w:tc>
          <w:tcPr>
            <w:tcW w:w="701" w:type="dxa"/>
            <w:tcBorders>
              <w:top w:val="nil"/>
              <w:bottom w:val="nil"/>
            </w:tcBorders>
          </w:tcPr>
          <w:p w14:paraId="5F496B3D"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BDL</w:t>
            </w:r>
          </w:p>
        </w:tc>
        <w:tc>
          <w:tcPr>
            <w:tcW w:w="701" w:type="dxa"/>
            <w:tcBorders>
              <w:top w:val="nil"/>
              <w:bottom w:val="nil"/>
            </w:tcBorders>
          </w:tcPr>
          <w:p w14:paraId="1EA3E47F"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0.21±0.02</w:t>
            </w:r>
          </w:p>
        </w:tc>
        <w:tc>
          <w:tcPr>
            <w:tcW w:w="701" w:type="dxa"/>
            <w:tcBorders>
              <w:top w:val="nil"/>
              <w:bottom w:val="nil"/>
            </w:tcBorders>
          </w:tcPr>
          <w:p w14:paraId="10818DBE"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BDL</w:t>
            </w:r>
          </w:p>
        </w:tc>
        <w:tc>
          <w:tcPr>
            <w:tcW w:w="701" w:type="dxa"/>
            <w:tcBorders>
              <w:top w:val="nil"/>
              <w:bottom w:val="nil"/>
            </w:tcBorders>
          </w:tcPr>
          <w:p w14:paraId="55276EF0"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0.23±0.01</w:t>
            </w:r>
          </w:p>
        </w:tc>
      </w:tr>
      <w:tr w:rsidR="008C6784" w:rsidRPr="004932C4" w14:paraId="747DF451" w14:textId="77777777">
        <w:trPr>
          <w:trHeight w:val="312"/>
        </w:trPr>
        <w:tc>
          <w:tcPr>
            <w:tcW w:w="796" w:type="dxa"/>
            <w:vMerge/>
            <w:tcBorders>
              <w:top w:val="nil"/>
              <w:bottom w:val="single" w:sz="4" w:space="0" w:color="auto"/>
            </w:tcBorders>
          </w:tcPr>
          <w:p w14:paraId="48DADC99" w14:textId="77777777" w:rsidR="008C6784" w:rsidRPr="004932C4" w:rsidRDefault="008C6784">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single" w:sz="4" w:space="0" w:color="auto"/>
            </w:tcBorders>
          </w:tcPr>
          <w:p w14:paraId="0F4DB0A7"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Hg</w:t>
            </w:r>
          </w:p>
        </w:tc>
        <w:tc>
          <w:tcPr>
            <w:tcW w:w="762" w:type="dxa"/>
            <w:tcBorders>
              <w:top w:val="nil"/>
              <w:bottom w:val="single" w:sz="4" w:space="0" w:color="auto"/>
            </w:tcBorders>
          </w:tcPr>
          <w:p w14:paraId="327EACB1"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0.12±0.04</w:t>
            </w:r>
          </w:p>
        </w:tc>
        <w:tc>
          <w:tcPr>
            <w:tcW w:w="884" w:type="dxa"/>
            <w:tcBorders>
              <w:top w:val="nil"/>
              <w:bottom w:val="single" w:sz="4" w:space="0" w:color="auto"/>
            </w:tcBorders>
          </w:tcPr>
          <w:p w14:paraId="40B3DAB7"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1±0.17</w:t>
            </w:r>
          </w:p>
        </w:tc>
        <w:tc>
          <w:tcPr>
            <w:tcW w:w="701" w:type="dxa"/>
            <w:tcBorders>
              <w:top w:val="nil"/>
              <w:bottom w:val="single" w:sz="4" w:space="0" w:color="auto"/>
            </w:tcBorders>
          </w:tcPr>
          <w:p w14:paraId="4EDA8535"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0.13±0.02</w:t>
            </w:r>
          </w:p>
        </w:tc>
        <w:tc>
          <w:tcPr>
            <w:tcW w:w="884" w:type="dxa"/>
            <w:tcBorders>
              <w:top w:val="nil"/>
              <w:bottom w:val="single" w:sz="4" w:space="0" w:color="auto"/>
            </w:tcBorders>
          </w:tcPr>
          <w:p w14:paraId="30351D38"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1.30±0.02</w:t>
            </w:r>
          </w:p>
        </w:tc>
        <w:tc>
          <w:tcPr>
            <w:tcW w:w="701" w:type="dxa"/>
            <w:tcBorders>
              <w:top w:val="nil"/>
              <w:bottom w:val="single" w:sz="4" w:space="0" w:color="auto"/>
            </w:tcBorders>
          </w:tcPr>
          <w:p w14:paraId="00AEB474"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BDL</w:t>
            </w:r>
          </w:p>
        </w:tc>
        <w:tc>
          <w:tcPr>
            <w:tcW w:w="701" w:type="dxa"/>
            <w:tcBorders>
              <w:top w:val="nil"/>
              <w:bottom w:val="single" w:sz="4" w:space="0" w:color="auto"/>
            </w:tcBorders>
          </w:tcPr>
          <w:p w14:paraId="494D8814"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0.10±0.09</w:t>
            </w:r>
          </w:p>
        </w:tc>
        <w:tc>
          <w:tcPr>
            <w:tcW w:w="701" w:type="dxa"/>
            <w:tcBorders>
              <w:top w:val="nil"/>
              <w:bottom w:val="single" w:sz="4" w:space="0" w:color="auto"/>
            </w:tcBorders>
          </w:tcPr>
          <w:p w14:paraId="3E6A3B1D"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BDL</w:t>
            </w:r>
          </w:p>
        </w:tc>
        <w:tc>
          <w:tcPr>
            <w:tcW w:w="701" w:type="dxa"/>
            <w:tcBorders>
              <w:top w:val="nil"/>
              <w:bottom w:val="single" w:sz="4" w:space="0" w:color="auto"/>
            </w:tcBorders>
          </w:tcPr>
          <w:p w14:paraId="0C6A904B"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0.06±0.06</w:t>
            </w:r>
          </w:p>
        </w:tc>
        <w:tc>
          <w:tcPr>
            <w:tcW w:w="701" w:type="dxa"/>
            <w:tcBorders>
              <w:top w:val="nil"/>
              <w:bottom w:val="single" w:sz="4" w:space="0" w:color="auto"/>
            </w:tcBorders>
          </w:tcPr>
          <w:p w14:paraId="6F2E4F08"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BDL</w:t>
            </w:r>
          </w:p>
        </w:tc>
        <w:tc>
          <w:tcPr>
            <w:tcW w:w="701" w:type="dxa"/>
            <w:tcBorders>
              <w:top w:val="nil"/>
              <w:bottom w:val="single" w:sz="4" w:space="0" w:color="auto"/>
            </w:tcBorders>
          </w:tcPr>
          <w:p w14:paraId="5E9AD22D"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0.10±0.01</w:t>
            </w:r>
          </w:p>
        </w:tc>
      </w:tr>
      <w:tr w:rsidR="008C6784" w:rsidRPr="004932C4" w14:paraId="144F908E" w14:textId="77777777">
        <w:trPr>
          <w:trHeight w:val="312"/>
        </w:trPr>
        <w:tc>
          <w:tcPr>
            <w:tcW w:w="796" w:type="dxa"/>
            <w:vMerge w:val="restart"/>
            <w:tcBorders>
              <w:top w:val="single" w:sz="4" w:space="0" w:color="auto"/>
              <w:bottom w:val="nil"/>
            </w:tcBorders>
            <w:noWrap/>
          </w:tcPr>
          <w:p w14:paraId="1F12BDD1"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 xml:space="preserve">ST 2 </w:t>
            </w:r>
          </w:p>
        </w:tc>
        <w:tc>
          <w:tcPr>
            <w:tcW w:w="783" w:type="dxa"/>
            <w:tcBorders>
              <w:top w:val="single" w:sz="4" w:space="0" w:color="auto"/>
              <w:bottom w:val="nil"/>
            </w:tcBorders>
          </w:tcPr>
          <w:p w14:paraId="2D08AE1A"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Cd</w:t>
            </w:r>
          </w:p>
        </w:tc>
        <w:tc>
          <w:tcPr>
            <w:tcW w:w="762" w:type="dxa"/>
            <w:tcBorders>
              <w:top w:val="single" w:sz="4" w:space="0" w:color="auto"/>
              <w:bottom w:val="nil"/>
            </w:tcBorders>
          </w:tcPr>
          <w:p w14:paraId="410BF79B"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0.06±0.03</w:t>
            </w:r>
          </w:p>
        </w:tc>
        <w:tc>
          <w:tcPr>
            <w:tcW w:w="884" w:type="dxa"/>
            <w:tcBorders>
              <w:top w:val="single" w:sz="4" w:space="0" w:color="auto"/>
              <w:bottom w:val="nil"/>
            </w:tcBorders>
          </w:tcPr>
          <w:p w14:paraId="0326DF30"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1.75±0.35</w:t>
            </w:r>
          </w:p>
        </w:tc>
        <w:tc>
          <w:tcPr>
            <w:tcW w:w="701" w:type="dxa"/>
            <w:tcBorders>
              <w:top w:val="single" w:sz="4" w:space="0" w:color="auto"/>
              <w:bottom w:val="nil"/>
            </w:tcBorders>
          </w:tcPr>
          <w:p w14:paraId="054CDACE"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0.60±0.06</w:t>
            </w:r>
          </w:p>
        </w:tc>
        <w:tc>
          <w:tcPr>
            <w:tcW w:w="884" w:type="dxa"/>
            <w:tcBorders>
              <w:top w:val="single" w:sz="4" w:space="0" w:color="auto"/>
              <w:bottom w:val="nil"/>
            </w:tcBorders>
          </w:tcPr>
          <w:p w14:paraId="7072C450"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4.35±0.19</w:t>
            </w:r>
          </w:p>
        </w:tc>
        <w:tc>
          <w:tcPr>
            <w:tcW w:w="701" w:type="dxa"/>
            <w:tcBorders>
              <w:top w:val="single" w:sz="4" w:space="0" w:color="auto"/>
              <w:bottom w:val="nil"/>
            </w:tcBorders>
          </w:tcPr>
          <w:p w14:paraId="7DE219B9"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0.03±0.02</w:t>
            </w:r>
          </w:p>
        </w:tc>
        <w:tc>
          <w:tcPr>
            <w:tcW w:w="701" w:type="dxa"/>
            <w:tcBorders>
              <w:top w:val="single" w:sz="4" w:space="0" w:color="auto"/>
              <w:bottom w:val="nil"/>
            </w:tcBorders>
          </w:tcPr>
          <w:p w14:paraId="6601DC0B"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0.13±0.07</w:t>
            </w:r>
          </w:p>
        </w:tc>
        <w:tc>
          <w:tcPr>
            <w:tcW w:w="701" w:type="dxa"/>
            <w:tcBorders>
              <w:top w:val="single" w:sz="4" w:space="0" w:color="auto"/>
              <w:bottom w:val="nil"/>
            </w:tcBorders>
          </w:tcPr>
          <w:p w14:paraId="70638C5A"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BDL</w:t>
            </w:r>
          </w:p>
        </w:tc>
        <w:tc>
          <w:tcPr>
            <w:tcW w:w="701" w:type="dxa"/>
            <w:tcBorders>
              <w:top w:val="single" w:sz="4" w:space="0" w:color="auto"/>
              <w:bottom w:val="nil"/>
            </w:tcBorders>
          </w:tcPr>
          <w:p w14:paraId="360C4A4A"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0.18±0.03</w:t>
            </w:r>
          </w:p>
        </w:tc>
        <w:tc>
          <w:tcPr>
            <w:tcW w:w="701" w:type="dxa"/>
            <w:tcBorders>
              <w:top w:val="single" w:sz="4" w:space="0" w:color="auto"/>
              <w:bottom w:val="nil"/>
            </w:tcBorders>
          </w:tcPr>
          <w:p w14:paraId="108ABA73"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BDL</w:t>
            </w:r>
          </w:p>
        </w:tc>
        <w:tc>
          <w:tcPr>
            <w:tcW w:w="701" w:type="dxa"/>
            <w:tcBorders>
              <w:top w:val="single" w:sz="4" w:space="0" w:color="auto"/>
              <w:bottom w:val="nil"/>
            </w:tcBorders>
          </w:tcPr>
          <w:p w14:paraId="351F7EC8"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0.24±0.06</w:t>
            </w:r>
          </w:p>
        </w:tc>
      </w:tr>
      <w:tr w:rsidR="008C6784" w:rsidRPr="004932C4" w14:paraId="6A0B829B" w14:textId="77777777">
        <w:trPr>
          <w:trHeight w:val="312"/>
        </w:trPr>
        <w:tc>
          <w:tcPr>
            <w:tcW w:w="796" w:type="dxa"/>
            <w:vMerge/>
            <w:tcBorders>
              <w:top w:val="nil"/>
              <w:bottom w:val="nil"/>
            </w:tcBorders>
          </w:tcPr>
          <w:p w14:paraId="4B695F84" w14:textId="77777777" w:rsidR="008C6784" w:rsidRPr="004932C4" w:rsidRDefault="008C6784">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nil"/>
            </w:tcBorders>
          </w:tcPr>
          <w:p w14:paraId="2482332E"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Cr</w:t>
            </w:r>
          </w:p>
        </w:tc>
        <w:tc>
          <w:tcPr>
            <w:tcW w:w="762" w:type="dxa"/>
            <w:tcBorders>
              <w:top w:val="nil"/>
              <w:bottom w:val="nil"/>
            </w:tcBorders>
          </w:tcPr>
          <w:p w14:paraId="31F23897"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1.13±0.10</w:t>
            </w:r>
          </w:p>
        </w:tc>
        <w:tc>
          <w:tcPr>
            <w:tcW w:w="884" w:type="dxa"/>
            <w:tcBorders>
              <w:top w:val="nil"/>
              <w:bottom w:val="nil"/>
            </w:tcBorders>
          </w:tcPr>
          <w:p w14:paraId="3471BA45"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64.62±3.71</w:t>
            </w:r>
          </w:p>
        </w:tc>
        <w:tc>
          <w:tcPr>
            <w:tcW w:w="701" w:type="dxa"/>
            <w:tcBorders>
              <w:top w:val="nil"/>
              <w:bottom w:val="nil"/>
            </w:tcBorders>
          </w:tcPr>
          <w:p w14:paraId="0A03B280"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4.06±1.00</w:t>
            </w:r>
          </w:p>
        </w:tc>
        <w:tc>
          <w:tcPr>
            <w:tcW w:w="884" w:type="dxa"/>
            <w:tcBorders>
              <w:top w:val="nil"/>
              <w:bottom w:val="nil"/>
            </w:tcBorders>
          </w:tcPr>
          <w:p w14:paraId="4AE38C46"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127.98±5.47</w:t>
            </w:r>
          </w:p>
        </w:tc>
        <w:tc>
          <w:tcPr>
            <w:tcW w:w="701" w:type="dxa"/>
            <w:tcBorders>
              <w:top w:val="nil"/>
              <w:bottom w:val="nil"/>
            </w:tcBorders>
          </w:tcPr>
          <w:p w14:paraId="168946FA"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0.49±0.13</w:t>
            </w:r>
          </w:p>
        </w:tc>
        <w:tc>
          <w:tcPr>
            <w:tcW w:w="701" w:type="dxa"/>
            <w:tcBorders>
              <w:top w:val="nil"/>
              <w:bottom w:val="nil"/>
            </w:tcBorders>
          </w:tcPr>
          <w:p w14:paraId="2B74ADBA"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3.57±0.49</w:t>
            </w:r>
          </w:p>
        </w:tc>
        <w:tc>
          <w:tcPr>
            <w:tcW w:w="701" w:type="dxa"/>
            <w:tcBorders>
              <w:top w:val="nil"/>
              <w:bottom w:val="nil"/>
            </w:tcBorders>
          </w:tcPr>
          <w:p w14:paraId="3639884C"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0.01±0</w:t>
            </w:r>
          </w:p>
        </w:tc>
        <w:tc>
          <w:tcPr>
            <w:tcW w:w="701" w:type="dxa"/>
            <w:tcBorders>
              <w:top w:val="nil"/>
              <w:bottom w:val="nil"/>
            </w:tcBorders>
          </w:tcPr>
          <w:p w14:paraId="582E8946"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0.61±0.07</w:t>
            </w:r>
          </w:p>
        </w:tc>
        <w:tc>
          <w:tcPr>
            <w:tcW w:w="701" w:type="dxa"/>
            <w:tcBorders>
              <w:top w:val="nil"/>
              <w:bottom w:val="nil"/>
            </w:tcBorders>
          </w:tcPr>
          <w:p w14:paraId="0C552F14"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BDL</w:t>
            </w:r>
          </w:p>
        </w:tc>
        <w:tc>
          <w:tcPr>
            <w:tcW w:w="701" w:type="dxa"/>
            <w:tcBorders>
              <w:top w:val="nil"/>
              <w:bottom w:val="nil"/>
            </w:tcBorders>
          </w:tcPr>
          <w:p w14:paraId="3AFBD447"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1.03±0.12</w:t>
            </w:r>
          </w:p>
        </w:tc>
      </w:tr>
      <w:tr w:rsidR="008C6784" w:rsidRPr="004932C4" w14:paraId="01C4B217" w14:textId="77777777">
        <w:trPr>
          <w:trHeight w:val="312"/>
        </w:trPr>
        <w:tc>
          <w:tcPr>
            <w:tcW w:w="796" w:type="dxa"/>
            <w:vMerge/>
            <w:tcBorders>
              <w:top w:val="nil"/>
              <w:bottom w:val="nil"/>
            </w:tcBorders>
          </w:tcPr>
          <w:p w14:paraId="569E53D7" w14:textId="77777777" w:rsidR="008C6784" w:rsidRPr="004932C4" w:rsidRDefault="008C6784">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nil"/>
            </w:tcBorders>
          </w:tcPr>
          <w:p w14:paraId="13034FA7"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Pb</w:t>
            </w:r>
          </w:p>
        </w:tc>
        <w:tc>
          <w:tcPr>
            <w:tcW w:w="762" w:type="dxa"/>
            <w:tcBorders>
              <w:top w:val="nil"/>
              <w:bottom w:val="nil"/>
            </w:tcBorders>
          </w:tcPr>
          <w:p w14:paraId="01136668"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47.01±2.53</w:t>
            </w:r>
          </w:p>
        </w:tc>
        <w:tc>
          <w:tcPr>
            <w:tcW w:w="884" w:type="dxa"/>
            <w:tcBorders>
              <w:top w:val="nil"/>
              <w:bottom w:val="nil"/>
            </w:tcBorders>
          </w:tcPr>
          <w:p w14:paraId="604C41C0"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157.64±6.26</w:t>
            </w:r>
          </w:p>
        </w:tc>
        <w:tc>
          <w:tcPr>
            <w:tcW w:w="701" w:type="dxa"/>
            <w:tcBorders>
              <w:top w:val="nil"/>
              <w:bottom w:val="nil"/>
            </w:tcBorders>
          </w:tcPr>
          <w:p w14:paraId="688355C4"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7.62±0.51</w:t>
            </w:r>
          </w:p>
        </w:tc>
        <w:tc>
          <w:tcPr>
            <w:tcW w:w="884" w:type="dxa"/>
            <w:tcBorders>
              <w:top w:val="nil"/>
              <w:bottom w:val="nil"/>
            </w:tcBorders>
          </w:tcPr>
          <w:p w14:paraId="117E1E8A"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657.81±15.11</w:t>
            </w:r>
          </w:p>
        </w:tc>
        <w:tc>
          <w:tcPr>
            <w:tcW w:w="701" w:type="dxa"/>
            <w:tcBorders>
              <w:top w:val="nil"/>
              <w:bottom w:val="nil"/>
            </w:tcBorders>
          </w:tcPr>
          <w:p w14:paraId="2E6661E9"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0.07±0.05</w:t>
            </w:r>
          </w:p>
        </w:tc>
        <w:tc>
          <w:tcPr>
            <w:tcW w:w="701" w:type="dxa"/>
            <w:tcBorders>
              <w:top w:val="nil"/>
              <w:bottom w:val="nil"/>
            </w:tcBorders>
          </w:tcPr>
          <w:p w14:paraId="28C6EFF4"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1.15±0.07</w:t>
            </w:r>
          </w:p>
        </w:tc>
        <w:tc>
          <w:tcPr>
            <w:tcW w:w="701" w:type="dxa"/>
            <w:tcBorders>
              <w:top w:val="nil"/>
              <w:bottom w:val="nil"/>
            </w:tcBorders>
          </w:tcPr>
          <w:p w14:paraId="72F021FA"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0.03±0.02</w:t>
            </w:r>
          </w:p>
        </w:tc>
        <w:tc>
          <w:tcPr>
            <w:tcW w:w="701" w:type="dxa"/>
            <w:tcBorders>
              <w:top w:val="nil"/>
              <w:bottom w:val="nil"/>
            </w:tcBorders>
          </w:tcPr>
          <w:p w14:paraId="015478D2"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0.62±0.15</w:t>
            </w:r>
          </w:p>
        </w:tc>
        <w:tc>
          <w:tcPr>
            <w:tcW w:w="701" w:type="dxa"/>
            <w:tcBorders>
              <w:top w:val="nil"/>
              <w:bottom w:val="nil"/>
            </w:tcBorders>
          </w:tcPr>
          <w:p w14:paraId="20ABD3A7"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0.01±0</w:t>
            </w:r>
          </w:p>
        </w:tc>
        <w:tc>
          <w:tcPr>
            <w:tcW w:w="701" w:type="dxa"/>
            <w:tcBorders>
              <w:top w:val="nil"/>
              <w:bottom w:val="nil"/>
            </w:tcBorders>
          </w:tcPr>
          <w:p w14:paraId="7AE36C75"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0.52±0.15</w:t>
            </w:r>
          </w:p>
        </w:tc>
      </w:tr>
      <w:tr w:rsidR="008C6784" w:rsidRPr="004932C4" w14:paraId="4668F4B6" w14:textId="77777777">
        <w:trPr>
          <w:trHeight w:val="312"/>
        </w:trPr>
        <w:tc>
          <w:tcPr>
            <w:tcW w:w="796" w:type="dxa"/>
            <w:vMerge/>
            <w:tcBorders>
              <w:top w:val="nil"/>
              <w:bottom w:val="single" w:sz="4" w:space="0" w:color="auto"/>
            </w:tcBorders>
          </w:tcPr>
          <w:p w14:paraId="71F0D5AC" w14:textId="77777777" w:rsidR="008C6784" w:rsidRPr="004932C4" w:rsidRDefault="008C6784">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single" w:sz="4" w:space="0" w:color="auto"/>
            </w:tcBorders>
          </w:tcPr>
          <w:p w14:paraId="3F4225F7"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Hg</w:t>
            </w:r>
          </w:p>
        </w:tc>
        <w:tc>
          <w:tcPr>
            <w:tcW w:w="762" w:type="dxa"/>
            <w:tcBorders>
              <w:top w:val="nil"/>
              <w:bottom w:val="single" w:sz="4" w:space="0" w:color="auto"/>
            </w:tcBorders>
          </w:tcPr>
          <w:p w14:paraId="67B756A9"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0.01±0</w:t>
            </w:r>
          </w:p>
        </w:tc>
        <w:tc>
          <w:tcPr>
            <w:tcW w:w="884" w:type="dxa"/>
            <w:tcBorders>
              <w:top w:val="nil"/>
              <w:bottom w:val="single" w:sz="4" w:space="0" w:color="auto"/>
            </w:tcBorders>
          </w:tcPr>
          <w:p w14:paraId="7F847ABD"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0.84±0.35</w:t>
            </w:r>
          </w:p>
        </w:tc>
        <w:tc>
          <w:tcPr>
            <w:tcW w:w="701" w:type="dxa"/>
            <w:tcBorders>
              <w:top w:val="nil"/>
              <w:bottom w:val="single" w:sz="4" w:space="0" w:color="auto"/>
            </w:tcBorders>
          </w:tcPr>
          <w:p w14:paraId="1865B3B3"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0.08±0.01</w:t>
            </w:r>
          </w:p>
        </w:tc>
        <w:tc>
          <w:tcPr>
            <w:tcW w:w="884" w:type="dxa"/>
            <w:tcBorders>
              <w:top w:val="nil"/>
              <w:bottom w:val="single" w:sz="4" w:space="0" w:color="auto"/>
            </w:tcBorders>
          </w:tcPr>
          <w:p w14:paraId="10ABAA6E"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1.49±0.08</w:t>
            </w:r>
          </w:p>
        </w:tc>
        <w:tc>
          <w:tcPr>
            <w:tcW w:w="701" w:type="dxa"/>
            <w:tcBorders>
              <w:top w:val="nil"/>
              <w:bottom w:val="single" w:sz="4" w:space="0" w:color="auto"/>
            </w:tcBorders>
          </w:tcPr>
          <w:p w14:paraId="24B5ED9E"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0.01±0</w:t>
            </w:r>
          </w:p>
        </w:tc>
        <w:tc>
          <w:tcPr>
            <w:tcW w:w="701" w:type="dxa"/>
            <w:tcBorders>
              <w:top w:val="nil"/>
              <w:bottom w:val="single" w:sz="4" w:space="0" w:color="auto"/>
            </w:tcBorders>
          </w:tcPr>
          <w:p w14:paraId="72698DF4"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1.13±0.10</w:t>
            </w:r>
          </w:p>
        </w:tc>
        <w:tc>
          <w:tcPr>
            <w:tcW w:w="701" w:type="dxa"/>
            <w:tcBorders>
              <w:top w:val="nil"/>
              <w:bottom w:val="single" w:sz="4" w:space="0" w:color="auto"/>
            </w:tcBorders>
          </w:tcPr>
          <w:p w14:paraId="5677B563"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0.01±0</w:t>
            </w:r>
          </w:p>
        </w:tc>
        <w:tc>
          <w:tcPr>
            <w:tcW w:w="701" w:type="dxa"/>
            <w:tcBorders>
              <w:top w:val="nil"/>
              <w:bottom w:val="single" w:sz="4" w:space="0" w:color="auto"/>
            </w:tcBorders>
          </w:tcPr>
          <w:p w14:paraId="49767899"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1.10±0.01</w:t>
            </w:r>
          </w:p>
        </w:tc>
        <w:tc>
          <w:tcPr>
            <w:tcW w:w="701" w:type="dxa"/>
            <w:tcBorders>
              <w:top w:val="nil"/>
              <w:bottom w:val="single" w:sz="4" w:space="0" w:color="auto"/>
            </w:tcBorders>
          </w:tcPr>
          <w:p w14:paraId="60FD530E"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BDL</w:t>
            </w:r>
          </w:p>
        </w:tc>
        <w:tc>
          <w:tcPr>
            <w:tcW w:w="701" w:type="dxa"/>
            <w:tcBorders>
              <w:top w:val="nil"/>
              <w:bottom w:val="single" w:sz="4" w:space="0" w:color="auto"/>
            </w:tcBorders>
          </w:tcPr>
          <w:p w14:paraId="7168393E"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1.05±0.03</w:t>
            </w:r>
          </w:p>
        </w:tc>
      </w:tr>
      <w:tr w:rsidR="008C6784" w:rsidRPr="004932C4" w14:paraId="71983DA2" w14:textId="77777777">
        <w:trPr>
          <w:trHeight w:val="312"/>
        </w:trPr>
        <w:tc>
          <w:tcPr>
            <w:tcW w:w="796" w:type="dxa"/>
            <w:vMerge w:val="restart"/>
            <w:tcBorders>
              <w:top w:val="single" w:sz="4" w:space="0" w:color="auto"/>
              <w:bottom w:val="nil"/>
            </w:tcBorders>
            <w:noWrap/>
          </w:tcPr>
          <w:p w14:paraId="4380C741"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 xml:space="preserve">ST 3 </w:t>
            </w:r>
          </w:p>
        </w:tc>
        <w:tc>
          <w:tcPr>
            <w:tcW w:w="783" w:type="dxa"/>
            <w:tcBorders>
              <w:top w:val="single" w:sz="4" w:space="0" w:color="auto"/>
              <w:bottom w:val="nil"/>
            </w:tcBorders>
          </w:tcPr>
          <w:p w14:paraId="3E68D9FC"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Cd</w:t>
            </w:r>
          </w:p>
        </w:tc>
        <w:tc>
          <w:tcPr>
            <w:tcW w:w="762" w:type="dxa"/>
            <w:tcBorders>
              <w:top w:val="single" w:sz="4" w:space="0" w:color="auto"/>
              <w:bottom w:val="nil"/>
            </w:tcBorders>
          </w:tcPr>
          <w:p w14:paraId="577F7C6D"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0.21±0.02</w:t>
            </w:r>
          </w:p>
        </w:tc>
        <w:tc>
          <w:tcPr>
            <w:tcW w:w="884" w:type="dxa"/>
            <w:tcBorders>
              <w:top w:val="single" w:sz="4" w:space="0" w:color="auto"/>
              <w:bottom w:val="nil"/>
            </w:tcBorders>
          </w:tcPr>
          <w:p w14:paraId="50D5404E"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2.41±0.14</w:t>
            </w:r>
          </w:p>
        </w:tc>
        <w:tc>
          <w:tcPr>
            <w:tcW w:w="701" w:type="dxa"/>
            <w:tcBorders>
              <w:top w:val="single" w:sz="4" w:space="0" w:color="auto"/>
              <w:bottom w:val="nil"/>
            </w:tcBorders>
          </w:tcPr>
          <w:p w14:paraId="2010E0F5"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0.82±0.03</w:t>
            </w:r>
          </w:p>
        </w:tc>
        <w:tc>
          <w:tcPr>
            <w:tcW w:w="884" w:type="dxa"/>
            <w:tcBorders>
              <w:top w:val="single" w:sz="4" w:space="0" w:color="auto"/>
              <w:bottom w:val="nil"/>
            </w:tcBorders>
          </w:tcPr>
          <w:p w14:paraId="4292CAB4"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5.11±0.18</w:t>
            </w:r>
          </w:p>
        </w:tc>
        <w:tc>
          <w:tcPr>
            <w:tcW w:w="701" w:type="dxa"/>
            <w:tcBorders>
              <w:top w:val="single" w:sz="4" w:space="0" w:color="auto"/>
              <w:bottom w:val="nil"/>
            </w:tcBorders>
          </w:tcPr>
          <w:p w14:paraId="147741F8"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0.07±0</w:t>
            </w:r>
          </w:p>
        </w:tc>
        <w:tc>
          <w:tcPr>
            <w:tcW w:w="701" w:type="dxa"/>
            <w:tcBorders>
              <w:top w:val="single" w:sz="4" w:space="0" w:color="auto"/>
              <w:bottom w:val="nil"/>
            </w:tcBorders>
          </w:tcPr>
          <w:p w14:paraId="3E2A941F"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0.11±0.02</w:t>
            </w:r>
          </w:p>
        </w:tc>
        <w:tc>
          <w:tcPr>
            <w:tcW w:w="701" w:type="dxa"/>
            <w:tcBorders>
              <w:top w:val="single" w:sz="4" w:space="0" w:color="auto"/>
              <w:bottom w:val="nil"/>
            </w:tcBorders>
          </w:tcPr>
          <w:p w14:paraId="0281389D"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0.01±0.01</w:t>
            </w:r>
          </w:p>
        </w:tc>
        <w:tc>
          <w:tcPr>
            <w:tcW w:w="701" w:type="dxa"/>
            <w:tcBorders>
              <w:top w:val="single" w:sz="4" w:space="0" w:color="auto"/>
              <w:bottom w:val="nil"/>
            </w:tcBorders>
          </w:tcPr>
          <w:p w14:paraId="3265A039"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0.11±0.01</w:t>
            </w:r>
          </w:p>
        </w:tc>
        <w:tc>
          <w:tcPr>
            <w:tcW w:w="701" w:type="dxa"/>
            <w:tcBorders>
              <w:top w:val="single" w:sz="4" w:space="0" w:color="auto"/>
              <w:bottom w:val="nil"/>
            </w:tcBorders>
          </w:tcPr>
          <w:p w14:paraId="7FC08598"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BDL</w:t>
            </w:r>
          </w:p>
        </w:tc>
        <w:tc>
          <w:tcPr>
            <w:tcW w:w="701" w:type="dxa"/>
            <w:tcBorders>
              <w:top w:val="single" w:sz="4" w:space="0" w:color="auto"/>
              <w:bottom w:val="nil"/>
            </w:tcBorders>
          </w:tcPr>
          <w:p w14:paraId="17D215BA"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0.10±0</w:t>
            </w:r>
          </w:p>
        </w:tc>
      </w:tr>
      <w:tr w:rsidR="008C6784" w:rsidRPr="004932C4" w14:paraId="5763F270" w14:textId="77777777">
        <w:trPr>
          <w:trHeight w:val="312"/>
        </w:trPr>
        <w:tc>
          <w:tcPr>
            <w:tcW w:w="796" w:type="dxa"/>
            <w:vMerge/>
            <w:tcBorders>
              <w:top w:val="nil"/>
              <w:bottom w:val="nil"/>
            </w:tcBorders>
          </w:tcPr>
          <w:p w14:paraId="78817179" w14:textId="77777777" w:rsidR="008C6784" w:rsidRPr="004932C4" w:rsidRDefault="008C6784">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nil"/>
            </w:tcBorders>
          </w:tcPr>
          <w:p w14:paraId="18EB3874"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Cr</w:t>
            </w:r>
          </w:p>
        </w:tc>
        <w:tc>
          <w:tcPr>
            <w:tcW w:w="762" w:type="dxa"/>
            <w:tcBorders>
              <w:top w:val="nil"/>
              <w:bottom w:val="nil"/>
            </w:tcBorders>
          </w:tcPr>
          <w:p w14:paraId="12E1799C"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1.35±0.02</w:t>
            </w:r>
          </w:p>
        </w:tc>
        <w:tc>
          <w:tcPr>
            <w:tcW w:w="884" w:type="dxa"/>
            <w:tcBorders>
              <w:top w:val="nil"/>
              <w:bottom w:val="nil"/>
            </w:tcBorders>
          </w:tcPr>
          <w:p w14:paraId="6F030360"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52.74±2.73</w:t>
            </w:r>
          </w:p>
        </w:tc>
        <w:tc>
          <w:tcPr>
            <w:tcW w:w="701" w:type="dxa"/>
            <w:tcBorders>
              <w:top w:val="nil"/>
              <w:bottom w:val="nil"/>
            </w:tcBorders>
          </w:tcPr>
          <w:p w14:paraId="61A5726F"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1.13±0.03</w:t>
            </w:r>
          </w:p>
        </w:tc>
        <w:tc>
          <w:tcPr>
            <w:tcW w:w="884" w:type="dxa"/>
            <w:tcBorders>
              <w:top w:val="nil"/>
              <w:bottom w:val="nil"/>
            </w:tcBorders>
          </w:tcPr>
          <w:p w14:paraId="2323F035"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120.67±5.21</w:t>
            </w:r>
          </w:p>
        </w:tc>
        <w:tc>
          <w:tcPr>
            <w:tcW w:w="701" w:type="dxa"/>
            <w:tcBorders>
              <w:top w:val="nil"/>
              <w:bottom w:val="nil"/>
            </w:tcBorders>
          </w:tcPr>
          <w:p w14:paraId="34C2D99A"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0.42±0.02</w:t>
            </w:r>
          </w:p>
        </w:tc>
        <w:tc>
          <w:tcPr>
            <w:tcW w:w="701" w:type="dxa"/>
            <w:tcBorders>
              <w:top w:val="nil"/>
              <w:bottom w:val="nil"/>
            </w:tcBorders>
          </w:tcPr>
          <w:p w14:paraId="3222B333"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5.25±0.13</w:t>
            </w:r>
          </w:p>
        </w:tc>
        <w:tc>
          <w:tcPr>
            <w:tcW w:w="701" w:type="dxa"/>
            <w:tcBorders>
              <w:top w:val="nil"/>
              <w:bottom w:val="nil"/>
            </w:tcBorders>
          </w:tcPr>
          <w:p w14:paraId="78418597"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0.18±0.02</w:t>
            </w:r>
          </w:p>
        </w:tc>
        <w:tc>
          <w:tcPr>
            <w:tcW w:w="701" w:type="dxa"/>
            <w:tcBorders>
              <w:top w:val="nil"/>
              <w:bottom w:val="nil"/>
            </w:tcBorders>
          </w:tcPr>
          <w:p w14:paraId="04AED870"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1.12±0.03</w:t>
            </w:r>
          </w:p>
        </w:tc>
        <w:tc>
          <w:tcPr>
            <w:tcW w:w="701" w:type="dxa"/>
            <w:tcBorders>
              <w:top w:val="nil"/>
              <w:bottom w:val="nil"/>
            </w:tcBorders>
          </w:tcPr>
          <w:p w14:paraId="42B1E76D"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0.13±0.02</w:t>
            </w:r>
          </w:p>
        </w:tc>
        <w:tc>
          <w:tcPr>
            <w:tcW w:w="701" w:type="dxa"/>
            <w:tcBorders>
              <w:top w:val="nil"/>
              <w:bottom w:val="nil"/>
            </w:tcBorders>
          </w:tcPr>
          <w:p w14:paraId="3E0816EA"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1.15±0.04</w:t>
            </w:r>
          </w:p>
        </w:tc>
      </w:tr>
      <w:tr w:rsidR="008C6784" w:rsidRPr="004932C4" w14:paraId="2E298365" w14:textId="77777777">
        <w:trPr>
          <w:trHeight w:val="312"/>
        </w:trPr>
        <w:tc>
          <w:tcPr>
            <w:tcW w:w="796" w:type="dxa"/>
            <w:vMerge/>
            <w:tcBorders>
              <w:top w:val="nil"/>
              <w:bottom w:val="nil"/>
            </w:tcBorders>
          </w:tcPr>
          <w:p w14:paraId="30588DF4" w14:textId="77777777" w:rsidR="008C6784" w:rsidRPr="004932C4" w:rsidRDefault="008C6784">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nil"/>
            </w:tcBorders>
          </w:tcPr>
          <w:p w14:paraId="504A8642"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Pb</w:t>
            </w:r>
          </w:p>
        </w:tc>
        <w:tc>
          <w:tcPr>
            <w:tcW w:w="762" w:type="dxa"/>
            <w:tcBorders>
              <w:top w:val="nil"/>
              <w:bottom w:val="nil"/>
            </w:tcBorders>
          </w:tcPr>
          <w:p w14:paraId="560D69CB"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51.49±2.03</w:t>
            </w:r>
          </w:p>
        </w:tc>
        <w:tc>
          <w:tcPr>
            <w:tcW w:w="884" w:type="dxa"/>
            <w:tcBorders>
              <w:top w:val="nil"/>
              <w:bottom w:val="nil"/>
            </w:tcBorders>
          </w:tcPr>
          <w:p w14:paraId="5BA06617"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262.66±7.09</w:t>
            </w:r>
          </w:p>
        </w:tc>
        <w:tc>
          <w:tcPr>
            <w:tcW w:w="701" w:type="dxa"/>
            <w:tcBorders>
              <w:top w:val="nil"/>
              <w:bottom w:val="nil"/>
            </w:tcBorders>
          </w:tcPr>
          <w:p w14:paraId="337955ED"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3.19±0.16</w:t>
            </w:r>
          </w:p>
        </w:tc>
        <w:tc>
          <w:tcPr>
            <w:tcW w:w="884" w:type="dxa"/>
            <w:tcBorders>
              <w:top w:val="nil"/>
              <w:bottom w:val="nil"/>
            </w:tcBorders>
          </w:tcPr>
          <w:p w14:paraId="50E22935"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600.57±14.63</w:t>
            </w:r>
          </w:p>
        </w:tc>
        <w:tc>
          <w:tcPr>
            <w:tcW w:w="701" w:type="dxa"/>
            <w:tcBorders>
              <w:top w:val="nil"/>
              <w:bottom w:val="nil"/>
            </w:tcBorders>
          </w:tcPr>
          <w:p w14:paraId="0F53B45E"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0.39±0.01</w:t>
            </w:r>
          </w:p>
        </w:tc>
        <w:tc>
          <w:tcPr>
            <w:tcW w:w="701" w:type="dxa"/>
            <w:tcBorders>
              <w:top w:val="nil"/>
              <w:bottom w:val="nil"/>
            </w:tcBorders>
          </w:tcPr>
          <w:p w14:paraId="193B3306"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1.60±0.05</w:t>
            </w:r>
          </w:p>
        </w:tc>
        <w:tc>
          <w:tcPr>
            <w:tcW w:w="701" w:type="dxa"/>
            <w:tcBorders>
              <w:top w:val="nil"/>
              <w:bottom w:val="nil"/>
            </w:tcBorders>
          </w:tcPr>
          <w:p w14:paraId="0F211B7D"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0.10±0</w:t>
            </w:r>
          </w:p>
        </w:tc>
        <w:tc>
          <w:tcPr>
            <w:tcW w:w="701" w:type="dxa"/>
            <w:tcBorders>
              <w:top w:val="nil"/>
              <w:bottom w:val="nil"/>
            </w:tcBorders>
          </w:tcPr>
          <w:p w14:paraId="042847A1"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0.21±0.02</w:t>
            </w:r>
          </w:p>
        </w:tc>
        <w:tc>
          <w:tcPr>
            <w:tcW w:w="701" w:type="dxa"/>
            <w:tcBorders>
              <w:top w:val="nil"/>
              <w:bottom w:val="nil"/>
            </w:tcBorders>
          </w:tcPr>
          <w:p w14:paraId="1850AE54"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0.08±0</w:t>
            </w:r>
          </w:p>
        </w:tc>
        <w:tc>
          <w:tcPr>
            <w:tcW w:w="701" w:type="dxa"/>
            <w:tcBorders>
              <w:top w:val="nil"/>
              <w:bottom w:val="nil"/>
            </w:tcBorders>
          </w:tcPr>
          <w:p w14:paraId="6A3C80E3"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0.22±0.03</w:t>
            </w:r>
          </w:p>
        </w:tc>
      </w:tr>
      <w:tr w:rsidR="008C6784" w:rsidRPr="004932C4" w14:paraId="3717ED4F" w14:textId="77777777">
        <w:trPr>
          <w:trHeight w:val="312"/>
        </w:trPr>
        <w:tc>
          <w:tcPr>
            <w:tcW w:w="796" w:type="dxa"/>
            <w:vMerge/>
            <w:tcBorders>
              <w:top w:val="nil"/>
              <w:bottom w:val="single" w:sz="4" w:space="0" w:color="auto"/>
            </w:tcBorders>
          </w:tcPr>
          <w:p w14:paraId="09A287FF" w14:textId="77777777" w:rsidR="008C6784" w:rsidRPr="004932C4" w:rsidRDefault="008C6784">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single" w:sz="4" w:space="0" w:color="auto"/>
            </w:tcBorders>
          </w:tcPr>
          <w:p w14:paraId="3B47EDFF"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Hg</w:t>
            </w:r>
          </w:p>
        </w:tc>
        <w:tc>
          <w:tcPr>
            <w:tcW w:w="762" w:type="dxa"/>
            <w:tcBorders>
              <w:top w:val="nil"/>
              <w:bottom w:val="single" w:sz="4" w:space="0" w:color="auto"/>
            </w:tcBorders>
          </w:tcPr>
          <w:p w14:paraId="5182177E"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0.06±0.01</w:t>
            </w:r>
          </w:p>
        </w:tc>
        <w:tc>
          <w:tcPr>
            <w:tcW w:w="884" w:type="dxa"/>
            <w:tcBorders>
              <w:top w:val="nil"/>
              <w:bottom w:val="single" w:sz="4" w:space="0" w:color="auto"/>
            </w:tcBorders>
          </w:tcPr>
          <w:p w14:paraId="06CC1E09"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1.13±0.11</w:t>
            </w:r>
          </w:p>
        </w:tc>
        <w:tc>
          <w:tcPr>
            <w:tcW w:w="701" w:type="dxa"/>
            <w:tcBorders>
              <w:top w:val="nil"/>
              <w:bottom w:val="single" w:sz="4" w:space="0" w:color="auto"/>
            </w:tcBorders>
          </w:tcPr>
          <w:p w14:paraId="5FA8E9E7"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0.17±0.02</w:t>
            </w:r>
          </w:p>
        </w:tc>
        <w:tc>
          <w:tcPr>
            <w:tcW w:w="884" w:type="dxa"/>
            <w:tcBorders>
              <w:top w:val="nil"/>
              <w:bottom w:val="single" w:sz="4" w:space="0" w:color="auto"/>
            </w:tcBorders>
          </w:tcPr>
          <w:p w14:paraId="6E222A51"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1.28±0.04</w:t>
            </w:r>
          </w:p>
        </w:tc>
        <w:tc>
          <w:tcPr>
            <w:tcW w:w="701" w:type="dxa"/>
            <w:tcBorders>
              <w:top w:val="nil"/>
              <w:bottom w:val="single" w:sz="4" w:space="0" w:color="auto"/>
            </w:tcBorders>
          </w:tcPr>
          <w:p w14:paraId="2FBE58BE"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0.40±0.02</w:t>
            </w:r>
          </w:p>
        </w:tc>
        <w:tc>
          <w:tcPr>
            <w:tcW w:w="701" w:type="dxa"/>
            <w:tcBorders>
              <w:top w:val="nil"/>
              <w:bottom w:val="single" w:sz="4" w:space="0" w:color="auto"/>
            </w:tcBorders>
          </w:tcPr>
          <w:p w14:paraId="345F397B"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1.11±0.01</w:t>
            </w:r>
          </w:p>
        </w:tc>
        <w:tc>
          <w:tcPr>
            <w:tcW w:w="701" w:type="dxa"/>
            <w:tcBorders>
              <w:top w:val="nil"/>
              <w:bottom w:val="single" w:sz="4" w:space="0" w:color="auto"/>
            </w:tcBorders>
          </w:tcPr>
          <w:p w14:paraId="442CEFF6"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BDL</w:t>
            </w:r>
          </w:p>
        </w:tc>
        <w:tc>
          <w:tcPr>
            <w:tcW w:w="701" w:type="dxa"/>
            <w:tcBorders>
              <w:top w:val="nil"/>
              <w:bottom w:val="single" w:sz="4" w:space="0" w:color="auto"/>
            </w:tcBorders>
          </w:tcPr>
          <w:p w14:paraId="0AFE86C3"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0.05±0</w:t>
            </w:r>
          </w:p>
        </w:tc>
        <w:tc>
          <w:tcPr>
            <w:tcW w:w="701" w:type="dxa"/>
            <w:tcBorders>
              <w:top w:val="nil"/>
              <w:bottom w:val="single" w:sz="4" w:space="0" w:color="auto"/>
            </w:tcBorders>
          </w:tcPr>
          <w:p w14:paraId="6184AADF"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BDL</w:t>
            </w:r>
          </w:p>
        </w:tc>
        <w:tc>
          <w:tcPr>
            <w:tcW w:w="701" w:type="dxa"/>
            <w:tcBorders>
              <w:top w:val="nil"/>
              <w:bottom w:val="single" w:sz="4" w:space="0" w:color="auto"/>
            </w:tcBorders>
          </w:tcPr>
          <w:p w14:paraId="399C2A84"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0.08±0.01</w:t>
            </w:r>
          </w:p>
        </w:tc>
      </w:tr>
      <w:tr w:rsidR="008C6784" w:rsidRPr="004932C4" w14:paraId="36FA2C14" w14:textId="77777777">
        <w:trPr>
          <w:trHeight w:val="312"/>
        </w:trPr>
        <w:tc>
          <w:tcPr>
            <w:tcW w:w="796" w:type="dxa"/>
            <w:vMerge w:val="restart"/>
            <w:tcBorders>
              <w:top w:val="single" w:sz="4" w:space="0" w:color="auto"/>
              <w:bottom w:val="nil"/>
            </w:tcBorders>
            <w:noWrap/>
          </w:tcPr>
          <w:p w14:paraId="2BF7C3FF"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 xml:space="preserve">ST 4 </w:t>
            </w:r>
          </w:p>
        </w:tc>
        <w:tc>
          <w:tcPr>
            <w:tcW w:w="783" w:type="dxa"/>
            <w:tcBorders>
              <w:top w:val="single" w:sz="4" w:space="0" w:color="auto"/>
              <w:bottom w:val="nil"/>
            </w:tcBorders>
          </w:tcPr>
          <w:p w14:paraId="5B26CE60"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Cd</w:t>
            </w:r>
          </w:p>
        </w:tc>
        <w:tc>
          <w:tcPr>
            <w:tcW w:w="762" w:type="dxa"/>
            <w:tcBorders>
              <w:top w:val="single" w:sz="4" w:space="0" w:color="auto"/>
              <w:bottom w:val="nil"/>
            </w:tcBorders>
          </w:tcPr>
          <w:p w14:paraId="7AC81050"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0.04±0.01</w:t>
            </w:r>
          </w:p>
        </w:tc>
        <w:tc>
          <w:tcPr>
            <w:tcW w:w="884" w:type="dxa"/>
            <w:tcBorders>
              <w:top w:val="single" w:sz="4" w:space="0" w:color="auto"/>
              <w:bottom w:val="nil"/>
            </w:tcBorders>
          </w:tcPr>
          <w:p w14:paraId="6826CC4A"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2.89±0.31</w:t>
            </w:r>
          </w:p>
        </w:tc>
        <w:tc>
          <w:tcPr>
            <w:tcW w:w="701" w:type="dxa"/>
            <w:tcBorders>
              <w:top w:val="single" w:sz="4" w:space="0" w:color="auto"/>
              <w:bottom w:val="nil"/>
            </w:tcBorders>
          </w:tcPr>
          <w:p w14:paraId="33781D35"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0.68±0.03</w:t>
            </w:r>
          </w:p>
        </w:tc>
        <w:tc>
          <w:tcPr>
            <w:tcW w:w="884" w:type="dxa"/>
            <w:tcBorders>
              <w:top w:val="single" w:sz="4" w:space="0" w:color="auto"/>
              <w:bottom w:val="nil"/>
            </w:tcBorders>
          </w:tcPr>
          <w:p w14:paraId="22054A6E"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2.69±0.83</w:t>
            </w:r>
          </w:p>
        </w:tc>
        <w:tc>
          <w:tcPr>
            <w:tcW w:w="701" w:type="dxa"/>
            <w:tcBorders>
              <w:top w:val="single" w:sz="4" w:space="0" w:color="auto"/>
              <w:bottom w:val="nil"/>
            </w:tcBorders>
          </w:tcPr>
          <w:p w14:paraId="40051F13"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0.04±0.01</w:t>
            </w:r>
          </w:p>
        </w:tc>
        <w:tc>
          <w:tcPr>
            <w:tcW w:w="701" w:type="dxa"/>
            <w:tcBorders>
              <w:top w:val="single" w:sz="4" w:space="0" w:color="auto"/>
              <w:bottom w:val="nil"/>
            </w:tcBorders>
          </w:tcPr>
          <w:p w14:paraId="1F85EFD3"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0.17±0.01</w:t>
            </w:r>
          </w:p>
        </w:tc>
        <w:tc>
          <w:tcPr>
            <w:tcW w:w="701" w:type="dxa"/>
            <w:tcBorders>
              <w:top w:val="single" w:sz="4" w:space="0" w:color="auto"/>
              <w:bottom w:val="nil"/>
            </w:tcBorders>
          </w:tcPr>
          <w:p w14:paraId="704E35E9"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BDL</w:t>
            </w:r>
          </w:p>
        </w:tc>
        <w:tc>
          <w:tcPr>
            <w:tcW w:w="701" w:type="dxa"/>
            <w:tcBorders>
              <w:top w:val="single" w:sz="4" w:space="0" w:color="auto"/>
              <w:bottom w:val="nil"/>
            </w:tcBorders>
          </w:tcPr>
          <w:p w14:paraId="037717B2"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0.10±0.01</w:t>
            </w:r>
          </w:p>
        </w:tc>
        <w:tc>
          <w:tcPr>
            <w:tcW w:w="701" w:type="dxa"/>
            <w:tcBorders>
              <w:top w:val="single" w:sz="4" w:space="0" w:color="auto"/>
              <w:bottom w:val="nil"/>
            </w:tcBorders>
          </w:tcPr>
          <w:p w14:paraId="0AD4B872"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BDL</w:t>
            </w:r>
          </w:p>
        </w:tc>
        <w:tc>
          <w:tcPr>
            <w:tcW w:w="701" w:type="dxa"/>
            <w:tcBorders>
              <w:top w:val="single" w:sz="4" w:space="0" w:color="auto"/>
              <w:bottom w:val="nil"/>
            </w:tcBorders>
          </w:tcPr>
          <w:p w14:paraId="1DB4AA68"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0.13±0.01</w:t>
            </w:r>
          </w:p>
        </w:tc>
      </w:tr>
      <w:tr w:rsidR="008C6784" w:rsidRPr="004932C4" w14:paraId="243DE1BE" w14:textId="77777777">
        <w:trPr>
          <w:trHeight w:val="312"/>
        </w:trPr>
        <w:tc>
          <w:tcPr>
            <w:tcW w:w="796" w:type="dxa"/>
            <w:vMerge/>
            <w:tcBorders>
              <w:top w:val="nil"/>
              <w:bottom w:val="nil"/>
            </w:tcBorders>
          </w:tcPr>
          <w:p w14:paraId="3679BC01" w14:textId="77777777" w:rsidR="008C6784" w:rsidRPr="004932C4" w:rsidRDefault="008C6784">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nil"/>
            </w:tcBorders>
          </w:tcPr>
          <w:p w14:paraId="772E49CD"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Cr</w:t>
            </w:r>
          </w:p>
        </w:tc>
        <w:tc>
          <w:tcPr>
            <w:tcW w:w="762" w:type="dxa"/>
            <w:tcBorders>
              <w:top w:val="nil"/>
              <w:bottom w:val="nil"/>
            </w:tcBorders>
          </w:tcPr>
          <w:p w14:paraId="45D23CB3"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2.24±0.12</w:t>
            </w:r>
          </w:p>
        </w:tc>
        <w:tc>
          <w:tcPr>
            <w:tcW w:w="884" w:type="dxa"/>
            <w:tcBorders>
              <w:top w:val="nil"/>
              <w:bottom w:val="nil"/>
            </w:tcBorders>
          </w:tcPr>
          <w:p w14:paraId="2D6F895A"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67.81±3.15</w:t>
            </w:r>
          </w:p>
        </w:tc>
        <w:tc>
          <w:tcPr>
            <w:tcW w:w="701" w:type="dxa"/>
            <w:tcBorders>
              <w:top w:val="nil"/>
              <w:bottom w:val="nil"/>
            </w:tcBorders>
          </w:tcPr>
          <w:p w14:paraId="2AF511DF"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3.06±0.20</w:t>
            </w:r>
          </w:p>
        </w:tc>
        <w:tc>
          <w:tcPr>
            <w:tcW w:w="884" w:type="dxa"/>
            <w:tcBorders>
              <w:top w:val="nil"/>
              <w:bottom w:val="nil"/>
            </w:tcBorders>
          </w:tcPr>
          <w:p w14:paraId="16BB5921"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136.09±6.01</w:t>
            </w:r>
          </w:p>
        </w:tc>
        <w:tc>
          <w:tcPr>
            <w:tcW w:w="701" w:type="dxa"/>
            <w:tcBorders>
              <w:top w:val="nil"/>
              <w:bottom w:val="nil"/>
            </w:tcBorders>
          </w:tcPr>
          <w:p w14:paraId="2C56F48C"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0.52±0.05</w:t>
            </w:r>
          </w:p>
        </w:tc>
        <w:tc>
          <w:tcPr>
            <w:tcW w:w="701" w:type="dxa"/>
            <w:tcBorders>
              <w:top w:val="nil"/>
              <w:bottom w:val="nil"/>
            </w:tcBorders>
          </w:tcPr>
          <w:p w14:paraId="1EF0631F"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1.69±0.15</w:t>
            </w:r>
          </w:p>
        </w:tc>
        <w:tc>
          <w:tcPr>
            <w:tcW w:w="701" w:type="dxa"/>
            <w:tcBorders>
              <w:top w:val="nil"/>
              <w:bottom w:val="nil"/>
            </w:tcBorders>
          </w:tcPr>
          <w:p w14:paraId="071761F3"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0.16±0.06</w:t>
            </w:r>
          </w:p>
        </w:tc>
        <w:tc>
          <w:tcPr>
            <w:tcW w:w="701" w:type="dxa"/>
            <w:tcBorders>
              <w:top w:val="nil"/>
              <w:bottom w:val="nil"/>
            </w:tcBorders>
          </w:tcPr>
          <w:p w14:paraId="271557E8"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1.16±0.05</w:t>
            </w:r>
          </w:p>
        </w:tc>
        <w:tc>
          <w:tcPr>
            <w:tcW w:w="701" w:type="dxa"/>
            <w:tcBorders>
              <w:top w:val="nil"/>
              <w:bottom w:val="nil"/>
            </w:tcBorders>
          </w:tcPr>
          <w:p w14:paraId="78DA34B2"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0.24±0.03</w:t>
            </w:r>
          </w:p>
        </w:tc>
        <w:tc>
          <w:tcPr>
            <w:tcW w:w="701" w:type="dxa"/>
            <w:tcBorders>
              <w:top w:val="nil"/>
              <w:bottom w:val="nil"/>
            </w:tcBorders>
          </w:tcPr>
          <w:p w14:paraId="66249390"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1.13±0.03</w:t>
            </w:r>
          </w:p>
        </w:tc>
      </w:tr>
      <w:tr w:rsidR="008C6784" w:rsidRPr="004932C4" w14:paraId="1D7DDFF7" w14:textId="77777777">
        <w:trPr>
          <w:trHeight w:val="312"/>
        </w:trPr>
        <w:tc>
          <w:tcPr>
            <w:tcW w:w="796" w:type="dxa"/>
            <w:vMerge/>
            <w:tcBorders>
              <w:top w:val="nil"/>
              <w:bottom w:val="nil"/>
            </w:tcBorders>
          </w:tcPr>
          <w:p w14:paraId="7509F51C" w14:textId="77777777" w:rsidR="008C6784" w:rsidRPr="004932C4" w:rsidRDefault="008C6784">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nil"/>
            </w:tcBorders>
          </w:tcPr>
          <w:p w14:paraId="1A0D3121"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Pb</w:t>
            </w:r>
          </w:p>
        </w:tc>
        <w:tc>
          <w:tcPr>
            <w:tcW w:w="762" w:type="dxa"/>
            <w:tcBorders>
              <w:top w:val="nil"/>
              <w:bottom w:val="nil"/>
            </w:tcBorders>
          </w:tcPr>
          <w:p w14:paraId="07227F81"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32.52±1.56</w:t>
            </w:r>
          </w:p>
        </w:tc>
        <w:tc>
          <w:tcPr>
            <w:tcW w:w="884" w:type="dxa"/>
            <w:tcBorders>
              <w:top w:val="nil"/>
              <w:bottom w:val="nil"/>
            </w:tcBorders>
          </w:tcPr>
          <w:p w14:paraId="51823A66"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124.05±5.66</w:t>
            </w:r>
          </w:p>
        </w:tc>
        <w:tc>
          <w:tcPr>
            <w:tcW w:w="701" w:type="dxa"/>
            <w:tcBorders>
              <w:top w:val="nil"/>
              <w:bottom w:val="nil"/>
            </w:tcBorders>
          </w:tcPr>
          <w:p w14:paraId="0C074049"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2.59±0.15</w:t>
            </w:r>
          </w:p>
        </w:tc>
        <w:tc>
          <w:tcPr>
            <w:tcW w:w="884" w:type="dxa"/>
            <w:tcBorders>
              <w:top w:val="nil"/>
              <w:bottom w:val="nil"/>
            </w:tcBorders>
          </w:tcPr>
          <w:p w14:paraId="0D39F336"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587.20±13.58</w:t>
            </w:r>
          </w:p>
        </w:tc>
        <w:tc>
          <w:tcPr>
            <w:tcW w:w="701" w:type="dxa"/>
            <w:tcBorders>
              <w:top w:val="nil"/>
              <w:bottom w:val="nil"/>
            </w:tcBorders>
          </w:tcPr>
          <w:p w14:paraId="0334050F"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0.25±0.02</w:t>
            </w:r>
          </w:p>
        </w:tc>
        <w:tc>
          <w:tcPr>
            <w:tcW w:w="701" w:type="dxa"/>
            <w:tcBorders>
              <w:top w:val="nil"/>
              <w:bottom w:val="nil"/>
            </w:tcBorders>
          </w:tcPr>
          <w:p w14:paraId="7DB2CAE4"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1.40±0.04</w:t>
            </w:r>
          </w:p>
        </w:tc>
        <w:tc>
          <w:tcPr>
            <w:tcW w:w="701" w:type="dxa"/>
            <w:tcBorders>
              <w:top w:val="nil"/>
              <w:bottom w:val="nil"/>
            </w:tcBorders>
          </w:tcPr>
          <w:p w14:paraId="4F1E80BE"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0.02±0.01</w:t>
            </w:r>
          </w:p>
        </w:tc>
        <w:tc>
          <w:tcPr>
            <w:tcW w:w="701" w:type="dxa"/>
            <w:tcBorders>
              <w:top w:val="nil"/>
              <w:bottom w:val="nil"/>
            </w:tcBorders>
          </w:tcPr>
          <w:p w14:paraId="603DE9CA"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0.46±0.11</w:t>
            </w:r>
          </w:p>
        </w:tc>
        <w:tc>
          <w:tcPr>
            <w:tcW w:w="701" w:type="dxa"/>
            <w:tcBorders>
              <w:top w:val="nil"/>
              <w:bottom w:val="nil"/>
            </w:tcBorders>
          </w:tcPr>
          <w:p w14:paraId="423ED262"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0.07±0.05</w:t>
            </w:r>
          </w:p>
        </w:tc>
        <w:tc>
          <w:tcPr>
            <w:tcW w:w="701" w:type="dxa"/>
            <w:tcBorders>
              <w:top w:val="nil"/>
              <w:bottom w:val="nil"/>
            </w:tcBorders>
          </w:tcPr>
          <w:p w14:paraId="7F19D7EF"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0.24±0.04</w:t>
            </w:r>
          </w:p>
        </w:tc>
      </w:tr>
      <w:tr w:rsidR="008C6784" w:rsidRPr="004932C4" w14:paraId="527BEF92" w14:textId="77777777">
        <w:trPr>
          <w:trHeight w:val="312"/>
        </w:trPr>
        <w:tc>
          <w:tcPr>
            <w:tcW w:w="796" w:type="dxa"/>
            <w:vMerge/>
            <w:tcBorders>
              <w:top w:val="nil"/>
              <w:bottom w:val="single" w:sz="4" w:space="0" w:color="auto"/>
            </w:tcBorders>
          </w:tcPr>
          <w:p w14:paraId="0105CF31" w14:textId="77777777" w:rsidR="008C6784" w:rsidRPr="004932C4" w:rsidRDefault="008C6784">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single" w:sz="4" w:space="0" w:color="auto"/>
            </w:tcBorders>
          </w:tcPr>
          <w:p w14:paraId="56EA30B7"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Hg</w:t>
            </w:r>
          </w:p>
        </w:tc>
        <w:tc>
          <w:tcPr>
            <w:tcW w:w="762" w:type="dxa"/>
            <w:tcBorders>
              <w:top w:val="nil"/>
              <w:bottom w:val="single" w:sz="4" w:space="0" w:color="auto"/>
            </w:tcBorders>
          </w:tcPr>
          <w:p w14:paraId="715BB2DF"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0.07±0.02</w:t>
            </w:r>
          </w:p>
        </w:tc>
        <w:tc>
          <w:tcPr>
            <w:tcW w:w="884" w:type="dxa"/>
            <w:tcBorders>
              <w:top w:val="nil"/>
              <w:bottom w:val="single" w:sz="4" w:space="0" w:color="auto"/>
            </w:tcBorders>
          </w:tcPr>
          <w:p w14:paraId="65EA0ADF"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1.07±0.02</w:t>
            </w:r>
          </w:p>
        </w:tc>
        <w:tc>
          <w:tcPr>
            <w:tcW w:w="701" w:type="dxa"/>
            <w:tcBorders>
              <w:top w:val="nil"/>
              <w:bottom w:val="single" w:sz="4" w:space="0" w:color="auto"/>
            </w:tcBorders>
          </w:tcPr>
          <w:p w14:paraId="5EB00293"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0.10±0.01</w:t>
            </w:r>
          </w:p>
        </w:tc>
        <w:tc>
          <w:tcPr>
            <w:tcW w:w="884" w:type="dxa"/>
            <w:tcBorders>
              <w:top w:val="nil"/>
              <w:bottom w:val="single" w:sz="4" w:space="0" w:color="auto"/>
            </w:tcBorders>
          </w:tcPr>
          <w:p w14:paraId="215F9B05"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1.38±0.10</w:t>
            </w:r>
          </w:p>
        </w:tc>
        <w:tc>
          <w:tcPr>
            <w:tcW w:w="701" w:type="dxa"/>
            <w:tcBorders>
              <w:top w:val="nil"/>
              <w:bottom w:val="single" w:sz="4" w:space="0" w:color="auto"/>
            </w:tcBorders>
          </w:tcPr>
          <w:p w14:paraId="6BCACB95"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0.06±0.01</w:t>
            </w:r>
          </w:p>
        </w:tc>
        <w:tc>
          <w:tcPr>
            <w:tcW w:w="701" w:type="dxa"/>
            <w:tcBorders>
              <w:top w:val="nil"/>
              <w:bottom w:val="single" w:sz="4" w:space="0" w:color="auto"/>
            </w:tcBorders>
          </w:tcPr>
          <w:p w14:paraId="5DF0F8E1"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0.20±0.02</w:t>
            </w:r>
          </w:p>
        </w:tc>
        <w:tc>
          <w:tcPr>
            <w:tcW w:w="701" w:type="dxa"/>
            <w:tcBorders>
              <w:top w:val="nil"/>
              <w:bottom w:val="single" w:sz="4" w:space="0" w:color="auto"/>
            </w:tcBorders>
          </w:tcPr>
          <w:p w14:paraId="0088C35B"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0.03±.01</w:t>
            </w:r>
          </w:p>
        </w:tc>
        <w:tc>
          <w:tcPr>
            <w:tcW w:w="701" w:type="dxa"/>
            <w:tcBorders>
              <w:top w:val="nil"/>
              <w:bottom w:val="single" w:sz="4" w:space="0" w:color="auto"/>
            </w:tcBorders>
          </w:tcPr>
          <w:p w14:paraId="19BB37F4"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1.13±0.11</w:t>
            </w:r>
          </w:p>
        </w:tc>
        <w:tc>
          <w:tcPr>
            <w:tcW w:w="701" w:type="dxa"/>
            <w:tcBorders>
              <w:top w:val="nil"/>
              <w:bottom w:val="single" w:sz="4" w:space="0" w:color="auto"/>
            </w:tcBorders>
          </w:tcPr>
          <w:p w14:paraId="3E5E4077"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0.02±.01</w:t>
            </w:r>
          </w:p>
        </w:tc>
        <w:tc>
          <w:tcPr>
            <w:tcW w:w="701" w:type="dxa"/>
            <w:tcBorders>
              <w:top w:val="nil"/>
              <w:bottom w:val="single" w:sz="4" w:space="0" w:color="auto"/>
            </w:tcBorders>
          </w:tcPr>
          <w:p w14:paraId="40DBFCBF"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1.09±.04</w:t>
            </w:r>
          </w:p>
        </w:tc>
      </w:tr>
      <w:tr w:rsidR="008C6784" w:rsidRPr="004932C4" w14:paraId="17254FF8" w14:textId="77777777">
        <w:trPr>
          <w:trHeight w:val="312"/>
        </w:trPr>
        <w:tc>
          <w:tcPr>
            <w:tcW w:w="796" w:type="dxa"/>
            <w:vMerge w:val="restart"/>
            <w:tcBorders>
              <w:top w:val="single" w:sz="4" w:space="0" w:color="auto"/>
            </w:tcBorders>
            <w:noWrap/>
          </w:tcPr>
          <w:p w14:paraId="77A2991D"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 xml:space="preserve">ST 5 </w:t>
            </w:r>
          </w:p>
        </w:tc>
        <w:tc>
          <w:tcPr>
            <w:tcW w:w="783" w:type="dxa"/>
            <w:tcBorders>
              <w:top w:val="single" w:sz="4" w:space="0" w:color="auto"/>
            </w:tcBorders>
          </w:tcPr>
          <w:p w14:paraId="33D8EF03"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Cd</w:t>
            </w:r>
          </w:p>
        </w:tc>
        <w:tc>
          <w:tcPr>
            <w:tcW w:w="762" w:type="dxa"/>
            <w:tcBorders>
              <w:top w:val="single" w:sz="4" w:space="0" w:color="auto"/>
            </w:tcBorders>
          </w:tcPr>
          <w:p w14:paraId="24561B23"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0.02±0.01</w:t>
            </w:r>
          </w:p>
        </w:tc>
        <w:tc>
          <w:tcPr>
            <w:tcW w:w="884" w:type="dxa"/>
            <w:tcBorders>
              <w:top w:val="single" w:sz="4" w:space="0" w:color="auto"/>
            </w:tcBorders>
          </w:tcPr>
          <w:p w14:paraId="165BC76A"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1.55±0.02</w:t>
            </w:r>
          </w:p>
        </w:tc>
        <w:tc>
          <w:tcPr>
            <w:tcW w:w="701" w:type="dxa"/>
            <w:tcBorders>
              <w:top w:val="single" w:sz="4" w:space="0" w:color="auto"/>
            </w:tcBorders>
          </w:tcPr>
          <w:p w14:paraId="59FDDBBD"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0.18±0.01</w:t>
            </w:r>
          </w:p>
        </w:tc>
        <w:tc>
          <w:tcPr>
            <w:tcW w:w="884" w:type="dxa"/>
            <w:tcBorders>
              <w:top w:val="single" w:sz="4" w:space="0" w:color="auto"/>
            </w:tcBorders>
          </w:tcPr>
          <w:p w14:paraId="7AE3BE45"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1.39±0.04</w:t>
            </w:r>
          </w:p>
        </w:tc>
        <w:tc>
          <w:tcPr>
            <w:tcW w:w="701" w:type="dxa"/>
            <w:tcBorders>
              <w:top w:val="single" w:sz="4" w:space="0" w:color="auto"/>
            </w:tcBorders>
          </w:tcPr>
          <w:p w14:paraId="0E074A64"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w:t>
            </w:r>
          </w:p>
        </w:tc>
        <w:tc>
          <w:tcPr>
            <w:tcW w:w="701" w:type="dxa"/>
            <w:tcBorders>
              <w:top w:val="single" w:sz="4" w:space="0" w:color="auto"/>
            </w:tcBorders>
          </w:tcPr>
          <w:p w14:paraId="48BD9267"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0.10±0.2</w:t>
            </w:r>
          </w:p>
        </w:tc>
        <w:tc>
          <w:tcPr>
            <w:tcW w:w="701" w:type="dxa"/>
            <w:tcBorders>
              <w:top w:val="single" w:sz="4" w:space="0" w:color="auto"/>
            </w:tcBorders>
          </w:tcPr>
          <w:p w14:paraId="2BA65C7A"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0.01±0</w:t>
            </w:r>
          </w:p>
        </w:tc>
        <w:tc>
          <w:tcPr>
            <w:tcW w:w="701" w:type="dxa"/>
            <w:tcBorders>
              <w:top w:val="single" w:sz="4" w:space="0" w:color="auto"/>
            </w:tcBorders>
          </w:tcPr>
          <w:p w14:paraId="28366CBE"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0.10±0.01</w:t>
            </w:r>
          </w:p>
        </w:tc>
        <w:tc>
          <w:tcPr>
            <w:tcW w:w="701" w:type="dxa"/>
            <w:tcBorders>
              <w:top w:val="single" w:sz="4" w:space="0" w:color="auto"/>
            </w:tcBorders>
          </w:tcPr>
          <w:p w14:paraId="4AF6863F"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BDL</w:t>
            </w:r>
          </w:p>
        </w:tc>
        <w:tc>
          <w:tcPr>
            <w:tcW w:w="701" w:type="dxa"/>
            <w:tcBorders>
              <w:top w:val="single" w:sz="4" w:space="0" w:color="auto"/>
            </w:tcBorders>
          </w:tcPr>
          <w:p w14:paraId="6E88F4D4"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0.09±0.01</w:t>
            </w:r>
          </w:p>
        </w:tc>
      </w:tr>
      <w:tr w:rsidR="008C6784" w:rsidRPr="004932C4" w14:paraId="753341B8" w14:textId="77777777">
        <w:trPr>
          <w:trHeight w:val="312"/>
        </w:trPr>
        <w:tc>
          <w:tcPr>
            <w:tcW w:w="796" w:type="dxa"/>
            <w:vMerge/>
          </w:tcPr>
          <w:p w14:paraId="0D79A6C0" w14:textId="77777777" w:rsidR="008C6784" w:rsidRPr="004932C4" w:rsidRDefault="008C6784">
            <w:pPr>
              <w:spacing w:line="240" w:lineRule="auto"/>
              <w:ind w:left="0"/>
              <w:jc w:val="left"/>
              <w:rPr>
                <w:rFonts w:asciiTheme="minorHAnsi" w:eastAsiaTheme="minorHAnsi" w:hAnsiTheme="minorHAnsi" w:cstheme="minorBidi"/>
                <w14:ligatures w14:val="standardContextual"/>
              </w:rPr>
            </w:pPr>
          </w:p>
        </w:tc>
        <w:tc>
          <w:tcPr>
            <w:tcW w:w="783" w:type="dxa"/>
          </w:tcPr>
          <w:p w14:paraId="0EFEDC6F"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Cr</w:t>
            </w:r>
          </w:p>
        </w:tc>
        <w:tc>
          <w:tcPr>
            <w:tcW w:w="762" w:type="dxa"/>
          </w:tcPr>
          <w:p w14:paraId="625B4924"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0.15±0.02</w:t>
            </w:r>
          </w:p>
        </w:tc>
        <w:tc>
          <w:tcPr>
            <w:tcW w:w="884" w:type="dxa"/>
          </w:tcPr>
          <w:p w14:paraId="6311DA78"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49.41±2.53</w:t>
            </w:r>
          </w:p>
        </w:tc>
        <w:tc>
          <w:tcPr>
            <w:tcW w:w="701" w:type="dxa"/>
          </w:tcPr>
          <w:p w14:paraId="3EF7191E"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1.08±0.02</w:t>
            </w:r>
          </w:p>
        </w:tc>
        <w:tc>
          <w:tcPr>
            <w:tcW w:w="884" w:type="dxa"/>
          </w:tcPr>
          <w:p w14:paraId="288B607A"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109.96±4.41</w:t>
            </w:r>
          </w:p>
        </w:tc>
        <w:tc>
          <w:tcPr>
            <w:tcW w:w="701" w:type="dxa"/>
          </w:tcPr>
          <w:p w14:paraId="0600F43A"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0.33±0.02</w:t>
            </w:r>
          </w:p>
        </w:tc>
        <w:tc>
          <w:tcPr>
            <w:tcW w:w="701" w:type="dxa"/>
          </w:tcPr>
          <w:p w14:paraId="6DA6089E"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2.17±0.04</w:t>
            </w:r>
          </w:p>
        </w:tc>
        <w:tc>
          <w:tcPr>
            <w:tcW w:w="701" w:type="dxa"/>
          </w:tcPr>
          <w:p w14:paraId="15A59468"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BDL</w:t>
            </w:r>
          </w:p>
        </w:tc>
        <w:tc>
          <w:tcPr>
            <w:tcW w:w="701" w:type="dxa"/>
          </w:tcPr>
          <w:p w14:paraId="0C3B08C4"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2.09±0.03</w:t>
            </w:r>
          </w:p>
        </w:tc>
        <w:tc>
          <w:tcPr>
            <w:tcW w:w="701" w:type="dxa"/>
          </w:tcPr>
          <w:p w14:paraId="4FCBF668"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0.08±0</w:t>
            </w:r>
          </w:p>
        </w:tc>
        <w:tc>
          <w:tcPr>
            <w:tcW w:w="701" w:type="dxa"/>
          </w:tcPr>
          <w:p w14:paraId="5EB8DE41"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1.83±0.07</w:t>
            </w:r>
          </w:p>
        </w:tc>
      </w:tr>
      <w:tr w:rsidR="008C6784" w:rsidRPr="004932C4" w14:paraId="2C7067C7" w14:textId="77777777">
        <w:trPr>
          <w:trHeight w:val="312"/>
        </w:trPr>
        <w:tc>
          <w:tcPr>
            <w:tcW w:w="796" w:type="dxa"/>
            <w:vMerge/>
          </w:tcPr>
          <w:p w14:paraId="4A6D3571" w14:textId="77777777" w:rsidR="008C6784" w:rsidRPr="004932C4" w:rsidRDefault="008C6784">
            <w:pPr>
              <w:spacing w:line="240" w:lineRule="auto"/>
              <w:ind w:left="0"/>
              <w:jc w:val="left"/>
              <w:rPr>
                <w:rFonts w:asciiTheme="minorHAnsi" w:eastAsiaTheme="minorHAnsi" w:hAnsiTheme="minorHAnsi" w:cstheme="minorBidi"/>
                <w14:ligatures w14:val="standardContextual"/>
              </w:rPr>
            </w:pPr>
          </w:p>
        </w:tc>
        <w:tc>
          <w:tcPr>
            <w:tcW w:w="783" w:type="dxa"/>
          </w:tcPr>
          <w:p w14:paraId="5AA804CB"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Pb</w:t>
            </w:r>
          </w:p>
        </w:tc>
        <w:tc>
          <w:tcPr>
            <w:tcW w:w="762" w:type="dxa"/>
          </w:tcPr>
          <w:p w14:paraId="7ACCCA4A"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22.99±1.53</w:t>
            </w:r>
          </w:p>
        </w:tc>
        <w:tc>
          <w:tcPr>
            <w:tcW w:w="884" w:type="dxa"/>
          </w:tcPr>
          <w:p w14:paraId="1D798454"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123.55±5.21</w:t>
            </w:r>
          </w:p>
        </w:tc>
        <w:tc>
          <w:tcPr>
            <w:tcW w:w="701" w:type="dxa"/>
          </w:tcPr>
          <w:p w14:paraId="59D63F57"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1.42±0.03</w:t>
            </w:r>
          </w:p>
        </w:tc>
        <w:tc>
          <w:tcPr>
            <w:tcW w:w="884" w:type="dxa"/>
          </w:tcPr>
          <w:p w14:paraId="0B48C89F"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540.00±12.46</w:t>
            </w:r>
          </w:p>
        </w:tc>
        <w:tc>
          <w:tcPr>
            <w:tcW w:w="701" w:type="dxa"/>
          </w:tcPr>
          <w:p w14:paraId="02453157"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0.23±0</w:t>
            </w:r>
          </w:p>
        </w:tc>
        <w:tc>
          <w:tcPr>
            <w:tcW w:w="701" w:type="dxa"/>
          </w:tcPr>
          <w:p w14:paraId="33828536"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0.42±0.01</w:t>
            </w:r>
          </w:p>
        </w:tc>
        <w:tc>
          <w:tcPr>
            <w:tcW w:w="701" w:type="dxa"/>
          </w:tcPr>
          <w:p w14:paraId="313D41B6"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0.09±0</w:t>
            </w:r>
          </w:p>
        </w:tc>
        <w:tc>
          <w:tcPr>
            <w:tcW w:w="701" w:type="dxa"/>
          </w:tcPr>
          <w:p w14:paraId="160EAC7A"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0.36±0.02</w:t>
            </w:r>
          </w:p>
        </w:tc>
        <w:tc>
          <w:tcPr>
            <w:tcW w:w="701" w:type="dxa"/>
          </w:tcPr>
          <w:p w14:paraId="4BFB7121"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0.07±0</w:t>
            </w:r>
          </w:p>
        </w:tc>
        <w:tc>
          <w:tcPr>
            <w:tcW w:w="701" w:type="dxa"/>
          </w:tcPr>
          <w:p w14:paraId="082FCA4C"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0.39±0.01</w:t>
            </w:r>
          </w:p>
        </w:tc>
      </w:tr>
      <w:tr w:rsidR="008C6784" w:rsidRPr="004932C4" w14:paraId="5C452232" w14:textId="77777777">
        <w:trPr>
          <w:trHeight w:val="312"/>
        </w:trPr>
        <w:tc>
          <w:tcPr>
            <w:tcW w:w="796" w:type="dxa"/>
            <w:vMerge/>
          </w:tcPr>
          <w:p w14:paraId="6F4A1089" w14:textId="77777777" w:rsidR="008C6784" w:rsidRPr="004932C4" w:rsidRDefault="008C6784">
            <w:pPr>
              <w:spacing w:line="240" w:lineRule="auto"/>
              <w:ind w:left="0"/>
              <w:jc w:val="left"/>
              <w:rPr>
                <w:rFonts w:asciiTheme="minorHAnsi" w:eastAsiaTheme="minorHAnsi" w:hAnsiTheme="minorHAnsi" w:cstheme="minorBidi"/>
                <w14:ligatures w14:val="standardContextual"/>
              </w:rPr>
            </w:pPr>
          </w:p>
        </w:tc>
        <w:tc>
          <w:tcPr>
            <w:tcW w:w="783" w:type="dxa"/>
          </w:tcPr>
          <w:p w14:paraId="07695068"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Hg</w:t>
            </w:r>
          </w:p>
        </w:tc>
        <w:tc>
          <w:tcPr>
            <w:tcW w:w="762" w:type="dxa"/>
          </w:tcPr>
          <w:p w14:paraId="6E3E6A57"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0.02±0</w:t>
            </w:r>
          </w:p>
        </w:tc>
        <w:tc>
          <w:tcPr>
            <w:tcW w:w="884" w:type="dxa"/>
          </w:tcPr>
          <w:p w14:paraId="6B826D29"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0.44±0.02</w:t>
            </w:r>
          </w:p>
        </w:tc>
        <w:tc>
          <w:tcPr>
            <w:tcW w:w="701" w:type="dxa"/>
          </w:tcPr>
          <w:p w14:paraId="05A2AAEB"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0.06±0.02</w:t>
            </w:r>
          </w:p>
        </w:tc>
        <w:tc>
          <w:tcPr>
            <w:tcW w:w="884" w:type="dxa"/>
          </w:tcPr>
          <w:p w14:paraId="4C83B7F0"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1.15±0.02</w:t>
            </w:r>
          </w:p>
        </w:tc>
        <w:tc>
          <w:tcPr>
            <w:tcW w:w="701" w:type="dxa"/>
          </w:tcPr>
          <w:p w14:paraId="74343F5C"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0.39±0.01</w:t>
            </w:r>
          </w:p>
        </w:tc>
        <w:tc>
          <w:tcPr>
            <w:tcW w:w="701" w:type="dxa"/>
          </w:tcPr>
          <w:p w14:paraId="136FB013"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1.14±0.02</w:t>
            </w:r>
          </w:p>
        </w:tc>
        <w:tc>
          <w:tcPr>
            <w:tcW w:w="701" w:type="dxa"/>
          </w:tcPr>
          <w:p w14:paraId="3EC281EC"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0.00±0</w:t>
            </w:r>
          </w:p>
        </w:tc>
        <w:tc>
          <w:tcPr>
            <w:tcW w:w="701" w:type="dxa"/>
          </w:tcPr>
          <w:p w14:paraId="46FF1D57"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1.10±0.02</w:t>
            </w:r>
          </w:p>
        </w:tc>
        <w:tc>
          <w:tcPr>
            <w:tcW w:w="701" w:type="dxa"/>
          </w:tcPr>
          <w:p w14:paraId="44156DF1"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0.05±0.01</w:t>
            </w:r>
          </w:p>
        </w:tc>
        <w:tc>
          <w:tcPr>
            <w:tcW w:w="701" w:type="dxa"/>
          </w:tcPr>
          <w:p w14:paraId="0527A081" w14:textId="77777777" w:rsidR="008C6784" w:rsidRPr="004932C4" w:rsidRDefault="00000000">
            <w:pPr>
              <w:spacing w:line="240" w:lineRule="auto"/>
              <w:ind w:left="0"/>
              <w:jc w:val="left"/>
              <w:rPr>
                <w:rFonts w:asciiTheme="minorHAnsi" w:eastAsiaTheme="minorHAnsi" w:hAnsiTheme="minorHAnsi" w:cstheme="minorBidi"/>
                <w14:ligatures w14:val="standardContextual"/>
              </w:rPr>
            </w:pPr>
            <w:r w:rsidRPr="004932C4">
              <w:rPr>
                <w:rFonts w:asciiTheme="minorHAnsi" w:eastAsiaTheme="minorHAnsi" w:hAnsiTheme="minorHAnsi" w:cstheme="minorBidi"/>
                <w14:ligatures w14:val="standardContextual"/>
              </w:rPr>
              <w:t>1.12±0.01</w:t>
            </w:r>
          </w:p>
        </w:tc>
      </w:tr>
    </w:tbl>
    <w:p w14:paraId="633DADE1" w14:textId="77777777" w:rsidR="008C6784" w:rsidRPr="004932C4" w:rsidRDefault="00000000">
      <w:pPr>
        <w:rPr>
          <w:rFonts w:ascii="Times New Roman" w:eastAsia="Times New Roman" w:hAnsi="Times New Roman"/>
          <w:sz w:val="24"/>
          <w:szCs w:val="24"/>
        </w:rPr>
      </w:pPr>
      <w:r w:rsidRPr="004932C4">
        <w:rPr>
          <w:rFonts w:ascii="Times New Roman" w:eastAsia="Times New Roman" w:hAnsi="Times New Roman"/>
          <w:sz w:val="24"/>
          <w:szCs w:val="24"/>
        </w:rPr>
        <w:t>Note: BOS- Before Oil Spill, AOS- After Oil Spill</w:t>
      </w:r>
    </w:p>
    <w:p w14:paraId="50448926" w14:textId="77777777" w:rsidR="008C6784" w:rsidRPr="004932C4" w:rsidRDefault="008C6784">
      <w:pPr>
        <w:rPr>
          <w:rFonts w:ascii="Times New Roman" w:hAnsi="Times New Roman"/>
          <w:sz w:val="24"/>
          <w:szCs w:val="24"/>
        </w:rPr>
      </w:pPr>
    </w:p>
    <w:p w14:paraId="704E4CAB" w14:textId="77777777" w:rsidR="008C6784" w:rsidRPr="004932C4" w:rsidRDefault="00000000">
      <w:pPr>
        <w:rPr>
          <w:rFonts w:ascii="Times New Roman" w:eastAsia="Times New Roman" w:hAnsi="Times New Roman"/>
          <w:color w:val="000000"/>
          <w:sz w:val="24"/>
          <w:szCs w:val="24"/>
        </w:rPr>
      </w:pPr>
      <w:r w:rsidRPr="004932C4">
        <w:rPr>
          <w:rFonts w:ascii="Times New Roman" w:eastAsia="Times New Roman" w:hAnsi="Times New Roman"/>
          <w:color w:val="000000"/>
          <w:sz w:val="24"/>
          <w:szCs w:val="24"/>
        </w:rPr>
        <w:t xml:space="preserve">The mean concentrations of Cd, Cr, Pb and Hg before the spill were below the reported limits, except for Cd (0.82±0.03 mg/kg) and Hg (0.17±0.02 mg/kg) at station 3. In the present study, sediment was reported to contain metal concentrations twice those in water.  After the oil spill, Cd, Cr, Pb and Hg concentrations exceeded the reported permissible levels, with the highest concentrations recorded for Pb. The detailed heavy metal concentrations are presented in Table 2. The highest values were recorded for Pb (540.00±12.46 mg/kg to a maximum of 856±17.74 mg/kg). Oil retained in sediments can cause ecological disturbance, potentially reducing organism density, biomass and diversity (Lee &amp; Lin, 2013). Heavy metals can persist in sediments because sediments act as sinks for many environmental pollutants (Xu </w:t>
      </w:r>
      <w:r w:rsidRPr="004932C4">
        <w:rPr>
          <w:rFonts w:ascii="Times New Roman" w:eastAsia="Times New Roman" w:hAnsi="Times New Roman"/>
          <w:i/>
          <w:iCs/>
          <w:color w:val="000000"/>
          <w:sz w:val="24"/>
          <w:szCs w:val="24"/>
        </w:rPr>
        <w:t>et al</w:t>
      </w:r>
      <w:r w:rsidRPr="004932C4">
        <w:rPr>
          <w:rFonts w:ascii="Times New Roman" w:eastAsia="Times New Roman" w:hAnsi="Times New Roman"/>
          <w:color w:val="000000"/>
          <w:sz w:val="24"/>
          <w:szCs w:val="24"/>
        </w:rPr>
        <w:t xml:space="preserve">., </w:t>
      </w:r>
      <w:r w:rsidRPr="004932C4">
        <w:rPr>
          <w:rFonts w:ascii="Times New Roman" w:eastAsia="Times New Roman" w:hAnsi="Times New Roman"/>
          <w:color w:val="000000"/>
          <w:sz w:val="24"/>
          <w:szCs w:val="24"/>
        </w:rPr>
        <w:lastRenderedPageBreak/>
        <w:t>2022). Steffy et al. (2013) reported that Cr and Pb increased in sediment after the Deepwater Horizon oil spill.</w:t>
      </w:r>
    </w:p>
    <w:p w14:paraId="06E04279" w14:textId="77777777" w:rsidR="008C6784" w:rsidRPr="004932C4" w:rsidRDefault="00000000">
      <w:pPr>
        <w:rPr>
          <w:rFonts w:ascii="Times New Roman" w:eastAsia="Times New Roman" w:hAnsi="Times New Roman"/>
          <w:color w:val="000000"/>
          <w:sz w:val="24"/>
          <w:szCs w:val="24"/>
        </w:rPr>
      </w:pPr>
      <w:r w:rsidRPr="004932C4">
        <w:rPr>
          <w:rFonts w:ascii="Times New Roman" w:hAnsi="Times New Roman"/>
          <w:sz w:val="24"/>
          <w:szCs w:val="24"/>
        </w:rPr>
        <w:t>The results for polychaetes suggest that concentrations of all four metals increased after the oil spill, with the minimum and maximum mean values being Cd (0.10±0.2 to 0.17±0.01 mg/kg), Cr (1.69±0.15 to 5.50±0.06 mg/kg), Pb (0.42±0.01 to 1.60±0.05 mg/kg) and Hg (0.10±0.09 to 1.14±0.02 mg/kg). Polychaetes generally exhibit higher metal concentrations than fish because of their close contact with sediments and feeding habits, which may increase their exposure to benthic contamination (</w:t>
      </w:r>
      <w:r w:rsidRPr="004932C4">
        <w:rPr>
          <w:rFonts w:ascii="Times New Roman" w:eastAsia="Times New Roman" w:hAnsi="Times New Roman"/>
          <w:color w:val="000000"/>
          <w:sz w:val="24"/>
          <w:szCs w:val="24"/>
        </w:rPr>
        <w:t xml:space="preserve">Karthikeyan </w:t>
      </w:r>
      <w:r w:rsidRPr="004932C4">
        <w:rPr>
          <w:rFonts w:ascii="Times New Roman" w:eastAsia="Times New Roman" w:hAnsi="Times New Roman"/>
          <w:i/>
          <w:iCs/>
          <w:color w:val="000000"/>
          <w:sz w:val="24"/>
          <w:szCs w:val="24"/>
        </w:rPr>
        <w:t>et al</w:t>
      </w:r>
      <w:r w:rsidRPr="004932C4">
        <w:rPr>
          <w:rFonts w:ascii="Times New Roman" w:eastAsia="Times New Roman" w:hAnsi="Times New Roman"/>
          <w:color w:val="000000"/>
          <w:sz w:val="24"/>
          <w:szCs w:val="24"/>
        </w:rPr>
        <w:t xml:space="preserve">., 2020). </w:t>
      </w:r>
    </w:p>
    <w:p w14:paraId="6462C34B" w14:textId="77777777" w:rsidR="008C6784" w:rsidRPr="004932C4" w:rsidRDefault="00000000">
      <w:pPr>
        <w:rPr>
          <w:rFonts w:ascii="Times New Roman" w:hAnsi="Times New Roman"/>
          <w:sz w:val="24"/>
          <w:szCs w:val="24"/>
        </w:rPr>
      </w:pPr>
      <w:r w:rsidRPr="004932C4">
        <w:rPr>
          <w:rFonts w:ascii="Times New Roman" w:hAnsi="Times New Roman"/>
          <w:sz w:val="24"/>
          <w:szCs w:val="24"/>
        </w:rPr>
        <w:t xml:space="preserve">The two fish species </w:t>
      </w:r>
      <w:proofErr w:type="spellStart"/>
      <w:r w:rsidRPr="004932C4">
        <w:rPr>
          <w:rFonts w:ascii="Times New Roman" w:hAnsi="Times New Roman"/>
          <w:i/>
          <w:iCs/>
          <w:sz w:val="24"/>
          <w:szCs w:val="24"/>
        </w:rPr>
        <w:t>Elops</w:t>
      </w:r>
      <w:proofErr w:type="spellEnd"/>
      <w:r w:rsidRPr="004932C4">
        <w:rPr>
          <w:rFonts w:ascii="Times New Roman" w:hAnsi="Times New Roman"/>
          <w:i/>
          <w:iCs/>
          <w:sz w:val="24"/>
          <w:szCs w:val="24"/>
        </w:rPr>
        <w:t xml:space="preserve"> saurus</w:t>
      </w:r>
      <w:r w:rsidRPr="004932C4">
        <w:rPr>
          <w:rFonts w:ascii="Times New Roman" w:hAnsi="Times New Roman"/>
          <w:sz w:val="24"/>
          <w:szCs w:val="24"/>
        </w:rPr>
        <w:t xml:space="preserve"> and </w:t>
      </w:r>
      <w:r w:rsidRPr="004932C4">
        <w:rPr>
          <w:rFonts w:ascii="Times New Roman" w:eastAsia="Times New Roman" w:hAnsi="Times New Roman"/>
          <w:i/>
          <w:iCs/>
          <w:sz w:val="24"/>
          <w:szCs w:val="24"/>
          <w:lang w:eastAsia="en-GB"/>
        </w:rPr>
        <w:t xml:space="preserve">Gerres </w:t>
      </w:r>
      <w:proofErr w:type="spellStart"/>
      <w:r w:rsidRPr="004932C4">
        <w:rPr>
          <w:rFonts w:ascii="Times New Roman" w:eastAsia="Times New Roman" w:hAnsi="Times New Roman"/>
          <w:i/>
          <w:iCs/>
          <w:sz w:val="24"/>
          <w:szCs w:val="24"/>
          <w:lang w:eastAsia="en-GB"/>
        </w:rPr>
        <w:t>filamentosus</w:t>
      </w:r>
      <w:proofErr w:type="spellEnd"/>
      <w:r w:rsidRPr="004932C4">
        <w:rPr>
          <w:rFonts w:ascii="Times New Roman" w:hAnsi="Times New Roman"/>
          <w:i/>
          <w:iCs/>
          <w:sz w:val="24"/>
          <w:szCs w:val="24"/>
        </w:rPr>
        <w:t xml:space="preserve"> were analysed for metal concentrations.</w:t>
      </w:r>
      <w:r w:rsidRPr="004932C4">
        <w:rPr>
          <w:rFonts w:ascii="Times New Roman" w:hAnsi="Times New Roman"/>
          <w:sz w:val="24"/>
          <w:szCs w:val="24"/>
        </w:rPr>
        <w:t xml:space="preserve"> Before the oil spill, concentrations were reported to be below the permissible levels cited from Food and Agriculture Organization of the United Nations (2022), whereas some concentrations exceeded the reported limits after the spill. </w:t>
      </w:r>
      <w:r w:rsidRPr="004932C4">
        <w:rPr>
          <w:rFonts w:ascii="Times New Roman" w:eastAsia="Times New Roman" w:hAnsi="Times New Roman"/>
          <w:sz w:val="24"/>
          <w:szCs w:val="24"/>
        </w:rPr>
        <w:t xml:space="preserve"> The mean concentrations in </w:t>
      </w:r>
      <w:r w:rsidRPr="004932C4">
        <w:rPr>
          <w:rFonts w:ascii="Times New Roman" w:hAnsi="Times New Roman"/>
          <w:i/>
          <w:iCs/>
          <w:sz w:val="24"/>
          <w:szCs w:val="24"/>
        </w:rPr>
        <w:t>E</w:t>
      </w:r>
      <w:r w:rsidRPr="004932C4">
        <w:rPr>
          <w:rFonts w:ascii="Times New Roman" w:hAnsi="Times New Roman"/>
          <w:sz w:val="24"/>
          <w:szCs w:val="24"/>
        </w:rPr>
        <w:t xml:space="preserve">. </w:t>
      </w:r>
      <w:r w:rsidRPr="004932C4">
        <w:rPr>
          <w:rFonts w:ascii="Times New Roman" w:hAnsi="Times New Roman"/>
          <w:i/>
          <w:iCs/>
          <w:sz w:val="24"/>
          <w:szCs w:val="24"/>
        </w:rPr>
        <w:t>saurus after the spill were Cd</w:t>
      </w:r>
      <w:r w:rsidRPr="004932C4">
        <w:rPr>
          <w:rFonts w:ascii="Times New Roman" w:hAnsi="Times New Roman"/>
          <w:sz w:val="24"/>
          <w:szCs w:val="24"/>
        </w:rPr>
        <w:t xml:space="preserve"> (0.10±0.01 to 0.18±0.03 mg/kg), Cr (0.41±0.02 to 2.09±0.03 mg/kg), Pb (0.21±0.02 to 0.62±0.15 mg/kg) and Hg (0.05±0 to 1.13±0.11 mg/kg). The mean concentrations were Cd (0.09±0.01 to 0.24±0.06 mg/kg), Cr (1.03±0.12 to 1.83±0.07 mg/kg), Pb (0.23±0.01 to 0.52±0.15 mg/kg) and Hg (0.08±0.01 to 1.12±0.01 mg/kg) in G. filamentosus.</w:t>
      </w:r>
      <w:r w:rsidRPr="004932C4">
        <w:rPr>
          <w:rFonts w:ascii="Times New Roman" w:hAnsi="Times New Roman"/>
          <w:i/>
          <w:iCs/>
          <w:sz w:val="24"/>
          <w:szCs w:val="24"/>
        </w:rPr>
        <w:t xml:space="preserve"> </w:t>
      </w:r>
    </w:p>
    <w:p w14:paraId="3BEAFBF3" w14:textId="77777777" w:rsidR="008C6784" w:rsidRPr="004932C4" w:rsidRDefault="00000000">
      <w:pPr>
        <w:rPr>
          <w:rFonts w:ascii="Times New Roman" w:hAnsi="Times New Roman"/>
          <w:sz w:val="24"/>
          <w:szCs w:val="24"/>
        </w:rPr>
      </w:pPr>
      <w:r w:rsidRPr="004932C4">
        <w:rPr>
          <w:rFonts w:ascii="Times New Roman" w:hAnsi="Times New Roman"/>
          <w:sz w:val="24"/>
          <w:szCs w:val="24"/>
        </w:rPr>
        <w:t xml:space="preserve">Fish exposed to oil contamination may experience adverse effects when metal concentrations increase. Cd can damage the hypothalamic–pituitary–gonadal axis and cause hormonal changes (Vinanthi Rajalakshmi </w:t>
      </w:r>
      <w:r w:rsidRPr="004932C4">
        <w:rPr>
          <w:rFonts w:ascii="Times New Roman" w:hAnsi="Times New Roman"/>
          <w:i/>
          <w:iCs/>
          <w:sz w:val="24"/>
          <w:szCs w:val="24"/>
        </w:rPr>
        <w:t>et al</w:t>
      </w:r>
      <w:r w:rsidRPr="004932C4">
        <w:rPr>
          <w:rFonts w:ascii="Times New Roman" w:hAnsi="Times New Roman"/>
          <w:sz w:val="24"/>
          <w:szCs w:val="24"/>
        </w:rPr>
        <w:t xml:space="preserve">., 2023). Malformed larvae were observed in experimental </w:t>
      </w:r>
      <w:r w:rsidRPr="004932C4">
        <w:rPr>
          <w:rFonts w:ascii="Times New Roman" w:hAnsi="Times New Roman"/>
          <w:i/>
          <w:iCs/>
          <w:sz w:val="24"/>
          <w:szCs w:val="24"/>
        </w:rPr>
        <w:t>Danio rerio</w:t>
      </w:r>
      <w:r w:rsidRPr="004932C4">
        <w:rPr>
          <w:rFonts w:ascii="Times New Roman" w:hAnsi="Times New Roman"/>
          <w:sz w:val="24"/>
          <w:szCs w:val="24"/>
        </w:rPr>
        <w:t xml:space="preserve"> fish (Tarasco </w:t>
      </w:r>
      <w:r w:rsidRPr="004932C4">
        <w:rPr>
          <w:rFonts w:ascii="Times New Roman" w:hAnsi="Times New Roman"/>
          <w:i/>
          <w:iCs/>
          <w:sz w:val="24"/>
          <w:szCs w:val="24"/>
        </w:rPr>
        <w:t>et al</w:t>
      </w:r>
      <w:r w:rsidRPr="004932C4">
        <w:rPr>
          <w:rFonts w:ascii="Times New Roman" w:hAnsi="Times New Roman"/>
          <w:sz w:val="24"/>
          <w:szCs w:val="24"/>
        </w:rPr>
        <w:t xml:space="preserve">., 2019).  Other studies on different fish species reported abnormal germ cells, low hatching rates and mortality in </w:t>
      </w:r>
      <w:proofErr w:type="spellStart"/>
      <w:r w:rsidRPr="004932C4">
        <w:rPr>
          <w:rFonts w:ascii="Times New Roman" w:hAnsi="Times New Roman"/>
          <w:i/>
          <w:iCs/>
          <w:sz w:val="24"/>
          <w:szCs w:val="24"/>
        </w:rPr>
        <w:t>Gymnotus</w:t>
      </w:r>
      <w:proofErr w:type="spellEnd"/>
      <w:r w:rsidRPr="004932C4">
        <w:rPr>
          <w:rFonts w:ascii="Times New Roman" w:hAnsi="Times New Roman"/>
          <w:i/>
          <w:iCs/>
          <w:sz w:val="24"/>
          <w:szCs w:val="24"/>
        </w:rPr>
        <w:t xml:space="preserve"> </w:t>
      </w:r>
      <w:proofErr w:type="spellStart"/>
      <w:r w:rsidRPr="004932C4">
        <w:rPr>
          <w:rFonts w:ascii="Times New Roman" w:hAnsi="Times New Roman"/>
          <w:i/>
          <w:iCs/>
          <w:sz w:val="24"/>
          <w:szCs w:val="24"/>
        </w:rPr>
        <w:t>carapo</w:t>
      </w:r>
      <w:proofErr w:type="spellEnd"/>
      <w:r w:rsidRPr="004932C4">
        <w:rPr>
          <w:rFonts w:ascii="Times New Roman" w:hAnsi="Times New Roman"/>
          <w:sz w:val="24"/>
          <w:szCs w:val="24"/>
        </w:rPr>
        <w:t xml:space="preserve"> and </w:t>
      </w:r>
      <w:proofErr w:type="spellStart"/>
      <w:r w:rsidRPr="004932C4">
        <w:rPr>
          <w:rFonts w:ascii="Times New Roman" w:hAnsi="Times New Roman"/>
          <w:i/>
          <w:iCs/>
          <w:sz w:val="24"/>
          <w:szCs w:val="24"/>
        </w:rPr>
        <w:t>Gasterosteus</w:t>
      </w:r>
      <w:proofErr w:type="spellEnd"/>
      <w:r w:rsidRPr="004932C4">
        <w:rPr>
          <w:rFonts w:ascii="Times New Roman" w:hAnsi="Times New Roman"/>
          <w:i/>
          <w:iCs/>
          <w:sz w:val="24"/>
          <w:szCs w:val="24"/>
        </w:rPr>
        <w:t xml:space="preserve"> aculeatus</w:t>
      </w:r>
      <w:r w:rsidRPr="004932C4">
        <w:rPr>
          <w:rFonts w:ascii="Times New Roman" w:hAnsi="Times New Roman"/>
          <w:sz w:val="24"/>
          <w:szCs w:val="24"/>
        </w:rPr>
        <w:t xml:space="preserve"> (Vergilio </w:t>
      </w:r>
      <w:r w:rsidRPr="004932C4">
        <w:rPr>
          <w:rFonts w:ascii="Times New Roman" w:hAnsi="Times New Roman"/>
          <w:i/>
          <w:iCs/>
          <w:sz w:val="24"/>
          <w:szCs w:val="24"/>
        </w:rPr>
        <w:t>et al</w:t>
      </w:r>
      <w:r w:rsidRPr="004932C4">
        <w:rPr>
          <w:rFonts w:ascii="Times New Roman" w:hAnsi="Times New Roman"/>
          <w:sz w:val="24"/>
          <w:szCs w:val="24"/>
        </w:rPr>
        <w:t xml:space="preserve">., 2015; Hani </w:t>
      </w:r>
      <w:r w:rsidRPr="004932C4">
        <w:rPr>
          <w:rFonts w:ascii="Times New Roman" w:hAnsi="Times New Roman"/>
          <w:i/>
          <w:iCs/>
          <w:sz w:val="24"/>
          <w:szCs w:val="24"/>
        </w:rPr>
        <w:t>et al</w:t>
      </w:r>
      <w:r w:rsidRPr="004932C4">
        <w:rPr>
          <w:rFonts w:ascii="Times New Roman" w:hAnsi="Times New Roman"/>
          <w:sz w:val="24"/>
          <w:szCs w:val="24"/>
        </w:rPr>
        <w:t xml:space="preserve">., 2019). The presence of Cr in fish muscles may cause allergic reactions and affect immunity (Bakshi &amp; Panigrahi, 2018). Chronic exposure in fish may also lead to anaemia (Ray </w:t>
      </w:r>
      <w:r w:rsidRPr="004932C4">
        <w:rPr>
          <w:rFonts w:ascii="Times New Roman" w:hAnsi="Times New Roman"/>
          <w:i/>
          <w:iCs/>
          <w:sz w:val="24"/>
          <w:szCs w:val="24"/>
        </w:rPr>
        <w:t>et al</w:t>
      </w:r>
      <w:r w:rsidRPr="004932C4">
        <w:rPr>
          <w:rFonts w:ascii="Times New Roman" w:hAnsi="Times New Roman"/>
          <w:sz w:val="24"/>
          <w:szCs w:val="24"/>
        </w:rPr>
        <w:t xml:space="preserve">., 2025). Chronic exposure to </w:t>
      </w:r>
      <w:r w:rsidRPr="004932C4">
        <w:rPr>
          <w:rFonts w:ascii="Times New Roman" w:hAnsi="Times New Roman"/>
          <w:sz w:val="24"/>
          <w:szCs w:val="24"/>
        </w:rPr>
        <w:lastRenderedPageBreak/>
        <w:t xml:space="preserve">lead can result in neurological dysfunction in fish (Zhu </w:t>
      </w:r>
      <w:r w:rsidRPr="004932C4">
        <w:rPr>
          <w:rFonts w:ascii="Times New Roman" w:hAnsi="Times New Roman"/>
          <w:i/>
          <w:iCs/>
          <w:sz w:val="24"/>
          <w:szCs w:val="24"/>
        </w:rPr>
        <w:t>et al</w:t>
      </w:r>
      <w:r w:rsidRPr="004932C4">
        <w:rPr>
          <w:rFonts w:ascii="Times New Roman" w:hAnsi="Times New Roman"/>
          <w:sz w:val="24"/>
          <w:szCs w:val="24"/>
        </w:rPr>
        <w:t xml:space="preserve">., 2016; Lee </w:t>
      </w:r>
      <w:r w:rsidRPr="004932C4">
        <w:rPr>
          <w:rFonts w:ascii="Times New Roman" w:hAnsi="Times New Roman"/>
          <w:i/>
          <w:iCs/>
          <w:sz w:val="24"/>
          <w:szCs w:val="24"/>
        </w:rPr>
        <w:t>et al</w:t>
      </w:r>
      <w:r w:rsidRPr="004932C4">
        <w:rPr>
          <w:rFonts w:ascii="Times New Roman" w:hAnsi="Times New Roman"/>
          <w:sz w:val="24"/>
          <w:szCs w:val="24"/>
        </w:rPr>
        <w:t xml:space="preserve">., 2019) and in humans who feed on fish. Moreover, mercury exposure in fish can be lethal and may induce apoptosis; oxygen depletion can disrupt electron transport (Carocci et al., 2014). </w:t>
      </w:r>
    </w:p>
    <w:p w14:paraId="40D05BBD" w14:textId="77777777" w:rsidR="008C6784" w:rsidRPr="004932C4" w:rsidRDefault="00000000">
      <w:pPr>
        <w:rPr>
          <w:rFonts w:ascii="Times New Roman" w:eastAsia="Times New Roman" w:hAnsi="Times New Roman"/>
          <w:b/>
          <w:iCs/>
          <w:sz w:val="24"/>
          <w:szCs w:val="24"/>
        </w:rPr>
      </w:pPr>
      <w:r w:rsidRPr="004932C4">
        <w:rPr>
          <w:rFonts w:ascii="Times New Roman" w:eastAsia="Times New Roman" w:hAnsi="Times New Roman"/>
          <w:b/>
          <w:iCs/>
          <w:sz w:val="24"/>
          <w:szCs w:val="24"/>
        </w:rPr>
        <w:t>3.3 Heavy Metal Pollution Index (HPI)</w:t>
      </w:r>
    </w:p>
    <w:p w14:paraId="145C3FEC" w14:textId="77777777" w:rsidR="008C6784" w:rsidRPr="004932C4" w:rsidRDefault="00000000">
      <w:pPr>
        <w:rPr>
          <w:rFonts w:ascii="Times New Roman" w:hAnsi="Times New Roman"/>
          <w:sz w:val="24"/>
          <w:szCs w:val="24"/>
          <w:lang w:eastAsia="en-IN"/>
        </w:rPr>
      </w:pPr>
      <w:r w:rsidRPr="004932C4">
        <w:rPr>
          <w:rFonts w:ascii="Times New Roman" w:eastAsia="Times New Roman" w:hAnsi="Times New Roman"/>
          <w:sz w:val="24"/>
          <w:szCs w:val="24"/>
        </w:rPr>
        <w:t xml:space="preserve"> The HPI was calculated for four metals Cd, Cr, Pb and Hg following the methodology of Mohan </w:t>
      </w:r>
      <w:r w:rsidRPr="004932C4">
        <w:rPr>
          <w:rFonts w:ascii="Times New Roman" w:eastAsia="Times New Roman" w:hAnsi="Times New Roman"/>
          <w:i/>
          <w:iCs/>
          <w:sz w:val="24"/>
          <w:szCs w:val="24"/>
        </w:rPr>
        <w:t>et al</w:t>
      </w:r>
      <w:r w:rsidRPr="004932C4">
        <w:rPr>
          <w:rFonts w:ascii="Times New Roman" w:eastAsia="Times New Roman" w:hAnsi="Times New Roman"/>
          <w:sz w:val="24"/>
          <w:szCs w:val="24"/>
        </w:rPr>
        <w:t>. (1996). Before the oil spill, HPI values were below 100, whereas after the spill, they exceeded 100, indicating increased water pollution. The HPI values for lead were approximately 220.4 at station 1, 108.47 at station 2 and 180.73 at station 5, which were higher than those for the other metals. Overall, the station-wise values indicate that station 1 had the highest contamination (307.25), followed by</w:t>
      </w:r>
      <w:r w:rsidRPr="004932C4">
        <w:rPr>
          <w:rFonts w:ascii="Times New Roman" w:eastAsia="Times New Roman" w:hAnsi="Times New Roman"/>
          <w:color w:val="000000"/>
          <w:kern w:val="0"/>
          <w:sz w:val="24"/>
          <w:szCs w:val="24"/>
          <w:lang w:eastAsia="en-IN"/>
        </w:rPr>
        <w:t xml:space="preserve"> station 3 (278.36), then station 4 (182.94), station 2 (181.42) and station 5 had the lowest value (128.5). </w:t>
      </w:r>
      <w:r w:rsidRPr="004932C4">
        <w:rPr>
          <w:rFonts w:ascii="Times New Roman" w:hAnsi="Times New Roman"/>
          <w:sz w:val="24"/>
          <w:szCs w:val="24"/>
          <w:lang w:eastAsia="en-IN"/>
        </w:rPr>
        <w:t>The increase in metal contamination may be associated with the crude oil spill because trace elements may be released during such events (</w:t>
      </w:r>
      <w:proofErr w:type="spellStart"/>
      <w:r w:rsidRPr="004932C4">
        <w:rPr>
          <w:rFonts w:ascii="Times New Roman" w:hAnsi="Times New Roman"/>
          <w:sz w:val="24"/>
          <w:szCs w:val="24"/>
          <w:lang w:eastAsia="en-IN"/>
        </w:rPr>
        <w:t>Chaharlang</w:t>
      </w:r>
      <w:proofErr w:type="spellEnd"/>
      <w:r w:rsidRPr="004932C4">
        <w:rPr>
          <w:rFonts w:ascii="Times New Roman" w:hAnsi="Times New Roman"/>
          <w:sz w:val="24"/>
          <w:szCs w:val="24"/>
          <w:lang w:eastAsia="en-IN"/>
        </w:rPr>
        <w:t xml:space="preserve"> </w:t>
      </w:r>
      <w:r w:rsidRPr="004932C4">
        <w:rPr>
          <w:rFonts w:ascii="Times New Roman" w:hAnsi="Times New Roman"/>
          <w:i/>
          <w:iCs/>
          <w:sz w:val="24"/>
          <w:szCs w:val="24"/>
          <w:lang w:eastAsia="en-IN"/>
        </w:rPr>
        <w:t>et al</w:t>
      </w:r>
      <w:r w:rsidRPr="004932C4">
        <w:rPr>
          <w:rFonts w:ascii="Times New Roman" w:hAnsi="Times New Roman"/>
          <w:sz w:val="24"/>
          <w:szCs w:val="24"/>
          <w:lang w:eastAsia="en-IN"/>
        </w:rPr>
        <w:t>., 2016); alternatively, metals may be mobilised with oil and subsequently accumulate in sediments, water and aquatic organisms, while other anthropogenic activities may also contribute to contamination (Santos-</w:t>
      </w:r>
      <w:proofErr w:type="spellStart"/>
      <w:r w:rsidRPr="004932C4">
        <w:rPr>
          <w:rFonts w:ascii="Times New Roman" w:hAnsi="Times New Roman"/>
          <w:sz w:val="24"/>
          <w:szCs w:val="24"/>
          <w:lang w:eastAsia="en-IN"/>
        </w:rPr>
        <w:t>Echeandía</w:t>
      </w:r>
      <w:proofErr w:type="spellEnd"/>
      <w:r w:rsidRPr="004932C4">
        <w:rPr>
          <w:rFonts w:ascii="Times New Roman" w:hAnsi="Times New Roman"/>
          <w:sz w:val="24"/>
          <w:szCs w:val="24"/>
          <w:lang w:eastAsia="en-IN"/>
        </w:rPr>
        <w:t xml:space="preserve"> </w:t>
      </w:r>
      <w:r w:rsidRPr="004932C4">
        <w:rPr>
          <w:rFonts w:ascii="Times New Roman" w:hAnsi="Times New Roman"/>
          <w:i/>
          <w:iCs/>
          <w:sz w:val="24"/>
          <w:szCs w:val="24"/>
          <w:lang w:eastAsia="en-IN"/>
        </w:rPr>
        <w:t>et al</w:t>
      </w:r>
      <w:r w:rsidRPr="004932C4">
        <w:rPr>
          <w:rFonts w:ascii="Times New Roman" w:hAnsi="Times New Roman"/>
          <w:sz w:val="24"/>
          <w:szCs w:val="24"/>
          <w:lang w:eastAsia="en-IN"/>
        </w:rPr>
        <w:t xml:space="preserve">., 2008). </w:t>
      </w:r>
    </w:p>
    <w:p w14:paraId="320D078B" w14:textId="77777777" w:rsidR="008C6784" w:rsidRPr="004932C4" w:rsidRDefault="00000000">
      <w:pPr>
        <w:rPr>
          <w:rFonts w:ascii="Times New Roman" w:hAnsi="Times New Roman"/>
          <w:sz w:val="24"/>
          <w:szCs w:val="24"/>
          <w:lang w:eastAsia="en-IN"/>
        </w:rPr>
      </w:pPr>
      <w:r w:rsidRPr="004932C4">
        <w:rPr>
          <w:rFonts w:ascii="Times New Roman" w:eastAsia="Times New Roman" w:hAnsi="Times New Roman"/>
          <w:b/>
          <w:bCs/>
          <w:sz w:val="24"/>
          <w:szCs w:val="24"/>
        </w:rPr>
        <w:t xml:space="preserve">3.4 </w:t>
      </w:r>
      <w:proofErr w:type="spellStart"/>
      <w:r w:rsidRPr="004932C4">
        <w:rPr>
          <w:rFonts w:ascii="Times New Roman" w:eastAsia="Times New Roman" w:hAnsi="Times New Roman"/>
          <w:b/>
          <w:iCs/>
          <w:sz w:val="24"/>
          <w:szCs w:val="24"/>
        </w:rPr>
        <w:t>Geoaccumulation</w:t>
      </w:r>
      <w:proofErr w:type="spellEnd"/>
      <w:r w:rsidRPr="004932C4">
        <w:rPr>
          <w:rFonts w:ascii="Times New Roman" w:eastAsia="Times New Roman" w:hAnsi="Times New Roman"/>
          <w:b/>
          <w:iCs/>
          <w:sz w:val="24"/>
          <w:szCs w:val="24"/>
        </w:rPr>
        <w:t xml:space="preserve"> index (</w:t>
      </w:r>
      <w:proofErr w:type="spellStart"/>
      <w:r w:rsidRPr="004932C4">
        <w:rPr>
          <w:rFonts w:ascii="Times New Roman" w:eastAsia="Times New Roman" w:hAnsi="Times New Roman"/>
          <w:b/>
          <w:iCs/>
          <w:sz w:val="24"/>
          <w:szCs w:val="24"/>
        </w:rPr>
        <w:t>I</w:t>
      </w:r>
      <w:r w:rsidRPr="004932C4">
        <w:rPr>
          <w:rFonts w:ascii="Times New Roman" w:eastAsia="Times New Roman" w:hAnsi="Times New Roman"/>
          <w:b/>
          <w:iCs/>
          <w:sz w:val="24"/>
          <w:szCs w:val="24"/>
          <w:vertAlign w:val="subscript"/>
        </w:rPr>
        <w:t>geo</w:t>
      </w:r>
      <w:proofErr w:type="spellEnd"/>
      <w:r w:rsidRPr="004932C4">
        <w:rPr>
          <w:rFonts w:ascii="Times New Roman" w:eastAsia="Times New Roman" w:hAnsi="Times New Roman"/>
          <w:b/>
          <w:iCs/>
          <w:sz w:val="24"/>
          <w:szCs w:val="24"/>
        </w:rPr>
        <w:t>)</w:t>
      </w:r>
    </w:p>
    <w:p w14:paraId="38E72BEC" w14:textId="77777777" w:rsidR="008C6784" w:rsidRPr="004932C4" w:rsidRDefault="00000000">
      <w:pPr>
        <w:rPr>
          <w:rFonts w:ascii="Times New Roman" w:eastAsia="Times New Roman" w:hAnsi="Times New Roman"/>
          <w:sz w:val="24"/>
          <w:szCs w:val="24"/>
        </w:rPr>
      </w:pPr>
      <w:r w:rsidRPr="004932C4">
        <w:rPr>
          <w:rFonts w:ascii="Times New Roman" w:eastAsia="Times New Roman" w:hAnsi="Times New Roman"/>
          <w:sz w:val="24"/>
          <w:szCs w:val="24"/>
        </w:rPr>
        <w:t xml:space="preserve">  The Igeo index was used to assess sediment metal contamination according to the classification of Vineethkumar et al. (2020); results ranged from uncontaminated to heavily or extremely contaminated. The Igeo values are presented in Fig. 2.</w:t>
      </w:r>
      <w:r w:rsidRPr="004932C4">
        <w:rPr>
          <w:rFonts w:ascii="Times New Roman" w:eastAsia="Times New Roman" w:hAnsi="Times New Roman"/>
          <w:color w:val="000000"/>
          <w:sz w:val="24"/>
          <w:szCs w:val="24"/>
        </w:rPr>
        <w:t xml:space="preserve"> </w:t>
      </w:r>
      <w:r w:rsidRPr="004932C4">
        <w:rPr>
          <w:rFonts w:ascii="Times New Roman" w:eastAsia="Times New Roman" w:hAnsi="Times New Roman"/>
          <w:sz w:val="24"/>
          <w:szCs w:val="24"/>
        </w:rPr>
        <w:t xml:space="preserve"> Before the oil spill, the Igeo class for Cd, Cr, Pb and Hg at stations 1 to 5 was recorded as class 0, indicating a pollution-free environment, except for Cd (0.42, 0.87, 0.60) at stations 2, 3, and 4, which corresponded to class 1, indicating sediment that was uncontaminated to moderately contaminated. Untreated waste from industries, including metal manufacturing, steel production, chromium plating and chemical fabrication, can act as a source of pollution </w:t>
      </w:r>
      <w:r w:rsidRPr="004932C4">
        <w:rPr>
          <w:rFonts w:ascii="Times New Roman" w:eastAsia="Times New Roman" w:hAnsi="Times New Roman"/>
          <w:sz w:val="24"/>
          <w:szCs w:val="24"/>
        </w:rPr>
        <w:lastRenderedPageBreak/>
        <w:t xml:space="preserve">(Keshav Krishna &amp; Rama Mohan, 2016). After the oil spill, Cr had the lowest Igeo values at stations 1 and 5 (-0.08 and -0.3), corresponding to class 0 (uncontaminated). </w:t>
      </w:r>
      <w:r w:rsidRPr="004932C4">
        <w:rPr>
          <w:rFonts w:ascii="Times New Roman" w:eastAsia="Times New Roman" w:hAnsi="Times New Roman"/>
          <w:color w:val="000000"/>
          <w:kern w:val="0"/>
          <w:sz w:val="24"/>
          <w:szCs w:val="24"/>
          <w:lang w:eastAsia="en-IN"/>
        </w:rPr>
        <w:t xml:space="preserve">Heavy to extremely polluted conditions were observed for Pb </w:t>
      </w:r>
      <w:r w:rsidRPr="004932C4">
        <w:rPr>
          <w:rFonts w:ascii="Times New Roman" w:eastAsia="Times New Roman" w:hAnsi="Times New Roman"/>
          <w:sz w:val="24"/>
          <w:szCs w:val="24"/>
        </w:rPr>
        <w:t>(ST1: 4.83, ST2: 4.45, ST3: 4.32, ST4: 4.29, ST5: 4.17),</w:t>
      </w:r>
      <w:r w:rsidRPr="004932C4">
        <w:rPr>
          <w:rFonts w:ascii="Times New Roman" w:eastAsia="Times New Roman" w:hAnsi="Times New Roman"/>
          <w:color w:val="000000"/>
          <w:kern w:val="0"/>
          <w:sz w:val="24"/>
          <w:szCs w:val="24"/>
          <w:lang w:eastAsia="en-IN"/>
        </w:rPr>
        <w:t xml:space="preserve"> </w:t>
      </w:r>
      <w:r w:rsidRPr="004932C4">
        <w:rPr>
          <w:rFonts w:ascii="Times New Roman" w:eastAsia="Times New Roman" w:hAnsi="Times New Roman"/>
          <w:sz w:val="24"/>
          <w:szCs w:val="24"/>
        </w:rPr>
        <w:t xml:space="preserve">suggesting class 5 contamination. Cd was classified as class 4 at stations 1 to 3, indicating heavily polluted sediments; class 3 at station 4, indicating moderate to high contamination; and class 2 at station 5, indicating moderate pollution. Cr at stations 1 to 4 was classified as uncontaminated to moderately contaminated (class 1). Hg concentrations corresponded to class 2 at stations 1 to 4 and class 1 at station 5. The Pb level after the spill may be elevated because it accumulates in fine particles of sediment and organic matter (Jayaprakash </w:t>
      </w:r>
      <w:r w:rsidRPr="004932C4">
        <w:rPr>
          <w:rFonts w:ascii="Times New Roman" w:eastAsia="Times New Roman" w:hAnsi="Times New Roman"/>
          <w:i/>
          <w:iCs/>
          <w:sz w:val="24"/>
          <w:szCs w:val="24"/>
        </w:rPr>
        <w:t>et al</w:t>
      </w:r>
      <w:r w:rsidRPr="004932C4">
        <w:rPr>
          <w:rFonts w:ascii="Times New Roman" w:eastAsia="Times New Roman" w:hAnsi="Times New Roman"/>
          <w:sz w:val="24"/>
          <w:szCs w:val="24"/>
        </w:rPr>
        <w:t>., 2008).</w:t>
      </w:r>
    </w:p>
    <w:p w14:paraId="178CE111" w14:textId="77777777" w:rsidR="008C6784" w:rsidRPr="004932C4" w:rsidRDefault="008C6784">
      <w:pPr>
        <w:rPr>
          <w:rFonts w:ascii="Times New Roman" w:eastAsia="Times New Roman" w:hAnsi="Times New Roman"/>
          <w:sz w:val="24"/>
          <w:szCs w:val="24"/>
        </w:rPr>
      </w:pPr>
    </w:p>
    <w:p w14:paraId="12A304F9" w14:textId="77777777" w:rsidR="008C6784" w:rsidRPr="004932C4" w:rsidRDefault="008C6784"/>
    <w:p w14:paraId="130275FD" w14:textId="77777777" w:rsidR="008C6784" w:rsidRPr="004932C4" w:rsidRDefault="00000000">
      <w:r w:rsidRPr="004932C4">
        <w:rPr>
          <w:noProof/>
        </w:rPr>
        <w:drawing>
          <wp:inline distT="0" distB="0" distL="0" distR="0" wp14:anchorId="2FB6EFF0" wp14:editId="181F86A8">
            <wp:extent cx="5645150" cy="3200400"/>
            <wp:effectExtent l="4445" t="4445" r="14605" b="8255"/>
            <wp:docPr id="49549182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07520DB" w14:textId="77777777" w:rsidR="008C6784" w:rsidRPr="004932C4" w:rsidRDefault="00000000">
      <w:pPr>
        <w:rPr>
          <w:rFonts w:ascii="Times New Roman" w:eastAsia="Times New Roman" w:hAnsi="Times New Roman"/>
          <w:b/>
          <w:bCs/>
          <w:sz w:val="24"/>
          <w:szCs w:val="24"/>
        </w:rPr>
      </w:pPr>
      <w:r w:rsidRPr="004932C4">
        <w:rPr>
          <w:rFonts w:ascii="Times New Roman" w:eastAsia="Times New Roman" w:hAnsi="Times New Roman"/>
          <w:b/>
          <w:bCs/>
          <w:sz w:val="24"/>
          <w:szCs w:val="24"/>
        </w:rPr>
        <w:t xml:space="preserve">Fig. 2. </w:t>
      </w:r>
      <w:proofErr w:type="spellStart"/>
      <w:r w:rsidRPr="004932C4">
        <w:rPr>
          <w:rFonts w:ascii="Times New Roman" w:eastAsia="Times New Roman" w:hAnsi="Times New Roman"/>
          <w:b/>
          <w:bCs/>
          <w:sz w:val="24"/>
          <w:szCs w:val="24"/>
        </w:rPr>
        <w:t>Geoaccumulation</w:t>
      </w:r>
      <w:proofErr w:type="spellEnd"/>
      <w:r w:rsidRPr="004932C4">
        <w:rPr>
          <w:rFonts w:ascii="Times New Roman" w:eastAsia="Times New Roman" w:hAnsi="Times New Roman"/>
          <w:b/>
          <w:bCs/>
          <w:sz w:val="24"/>
          <w:szCs w:val="24"/>
        </w:rPr>
        <w:t xml:space="preserve"> values derived from the sediment of the study area.</w:t>
      </w:r>
    </w:p>
    <w:p w14:paraId="087A695F" w14:textId="77777777" w:rsidR="008C6784" w:rsidRPr="004932C4" w:rsidRDefault="00000000">
      <w:pPr>
        <w:rPr>
          <w:rFonts w:ascii="Times New Roman" w:hAnsi="Times New Roman"/>
          <w:b/>
          <w:bCs/>
          <w:sz w:val="24"/>
          <w:szCs w:val="24"/>
          <w:lang w:eastAsia="en-IN"/>
        </w:rPr>
      </w:pPr>
      <w:r w:rsidRPr="004932C4">
        <w:rPr>
          <w:rFonts w:ascii="Times New Roman" w:hAnsi="Times New Roman"/>
          <w:b/>
          <w:bCs/>
          <w:sz w:val="24"/>
          <w:szCs w:val="24"/>
          <w:lang w:eastAsia="en-IN"/>
        </w:rPr>
        <w:t>3.5 Pollution Load Index (PLI)</w:t>
      </w:r>
    </w:p>
    <w:p w14:paraId="5B2925FF" w14:textId="77777777" w:rsidR="008C6784" w:rsidRPr="004932C4" w:rsidRDefault="00000000">
      <w:pPr>
        <w:rPr>
          <w:rFonts w:ascii="Times New Roman" w:hAnsi="Times New Roman"/>
          <w:sz w:val="24"/>
          <w:szCs w:val="24"/>
        </w:rPr>
      </w:pPr>
      <w:r w:rsidRPr="004932C4">
        <w:rPr>
          <w:rFonts w:ascii="Times New Roman" w:hAnsi="Times New Roman"/>
          <w:sz w:val="24"/>
          <w:szCs w:val="24"/>
        </w:rPr>
        <w:t xml:space="preserve">Heavy metals Cd, Cr, Pb and Hg in sediment from station 1 (0.15), station 2 (0.30), station 3 (0.21), station 4 (0.22) and station 5 (0.09) had PLI values below 1 before the oil spill.  By </w:t>
      </w:r>
      <w:r w:rsidRPr="004932C4">
        <w:rPr>
          <w:rFonts w:ascii="Times New Roman" w:hAnsi="Times New Roman"/>
          <w:sz w:val="24"/>
          <w:szCs w:val="24"/>
        </w:rPr>
        <w:lastRenderedPageBreak/>
        <w:t xml:space="preserve">contrast, after the spill, PLI values at station 1 (8.51), station 2 (7.09), station 3 (6.89), station 4 (6.86) and station 5 (4.58) exceeded 1, indicating increased cumulative pollution at all five stations. This may be associated with the low-energy aquatic environment, which allows metals to settle on sediment surfaces (Yan </w:t>
      </w:r>
      <w:r w:rsidRPr="004932C4">
        <w:rPr>
          <w:rFonts w:ascii="Times New Roman" w:hAnsi="Times New Roman"/>
          <w:i/>
          <w:iCs/>
          <w:sz w:val="24"/>
          <w:szCs w:val="24"/>
        </w:rPr>
        <w:t>et al</w:t>
      </w:r>
      <w:r w:rsidRPr="004932C4">
        <w:rPr>
          <w:rFonts w:ascii="Times New Roman" w:hAnsi="Times New Roman"/>
          <w:sz w:val="24"/>
          <w:szCs w:val="24"/>
        </w:rPr>
        <w:t>., 2016).</w:t>
      </w:r>
    </w:p>
    <w:p w14:paraId="54A38239" w14:textId="77777777" w:rsidR="008C6784" w:rsidRPr="004932C4" w:rsidRDefault="00000000">
      <w:pPr>
        <w:rPr>
          <w:rFonts w:ascii="Times New Roman" w:hAnsi="Times New Roman"/>
          <w:sz w:val="24"/>
          <w:szCs w:val="24"/>
        </w:rPr>
      </w:pPr>
      <w:r w:rsidRPr="004932C4">
        <w:rPr>
          <w:rFonts w:ascii="Times New Roman" w:eastAsia="Times New Roman" w:hAnsi="Times New Roman"/>
          <w:b/>
          <w:iCs/>
          <w:sz w:val="24"/>
          <w:szCs w:val="24"/>
        </w:rPr>
        <w:t xml:space="preserve">3.6 Bioaccumulation factor </w:t>
      </w:r>
    </w:p>
    <w:p w14:paraId="1FC7B5B4" w14:textId="77777777" w:rsidR="008C6784" w:rsidRPr="004932C4" w:rsidRDefault="00000000">
      <w:pPr>
        <w:rPr>
          <w:rFonts w:ascii="Times New Roman" w:hAnsi="Times New Roman"/>
          <w:sz w:val="24"/>
          <w:szCs w:val="24"/>
        </w:rPr>
      </w:pPr>
      <w:r w:rsidRPr="004932C4">
        <w:rPr>
          <w:rFonts w:ascii="Times New Roman" w:hAnsi="Times New Roman"/>
          <w:sz w:val="24"/>
          <w:szCs w:val="24"/>
        </w:rPr>
        <w:t xml:space="preserve">BAF values in polychaetes ranged from 0.01 to 19.50 before the spill and from 0.01 to 2.59 after the spill, indicating relatively low metal accumulation compared with the surrounding water. For </w:t>
      </w:r>
      <w:proofErr w:type="spellStart"/>
      <w:r w:rsidRPr="004932C4">
        <w:rPr>
          <w:rFonts w:ascii="Times New Roman" w:eastAsia="Times New Roman" w:hAnsi="Times New Roman"/>
          <w:i/>
          <w:iCs/>
          <w:color w:val="000000"/>
          <w:kern w:val="0"/>
          <w:sz w:val="24"/>
          <w:szCs w:val="24"/>
          <w:lang w:eastAsia="en-IN"/>
        </w:rPr>
        <w:t>Elops</w:t>
      </w:r>
      <w:proofErr w:type="spellEnd"/>
      <w:r w:rsidRPr="004932C4">
        <w:rPr>
          <w:rFonts w:ascii="Times New Roman" w:eastAsia="Times New Roman" w:hAnsi="Times New Roman"/>
          <w:i/>
          <w:iCs/>
          <w:color w:val="000000"/>
          <w:kern w:val="0"/>
          <w:sz w:val="24"/>
          <w:szCs w:val="24"/>
          <w:lang w:eastAsia="en-IN"/>
        </w:rPr>
        <w:t xml:space="preserve"> saurus</w:t>
      </w:r>
      <w:r w:rsidRPr="004932C4">
        <w:rPr>
          <w:rFonts w:ascii="Times New Roman" w:hAnsi="Times New Roman"/>
          <w:sz w:val="24"/>
          <w:szCs w:val="24"/>
        </w:rPr>
        <w:t xml:space="preserve"> and </w:t>
      </w:r>
      <w:r w:rsidRPr="004932C4">
        <w:rPr>
          <w:rFonts w:ascii="Times New Roman" w:eastAsia="Times New Roman" w:hAnsi="Times New Roman"/>
          <w:i/>
          <w:iCs/>
          <w:sz w:val="24"/>
          <w:szCs w:val="24"/>
          <w:lang w:eastAsia="en-GB"/>
        </w:rPr>
        <w:t xml:space="preserve">Gerres </w:t>
      </w:r>
      <w:proofErr w:type="spellStart"/>
      <w:r w:rsidRPr="004932C4">
        <w:rPr>
          <w:rFonts w:ascii="Times New Roman" w:eastAsia="Times New Roman" w:hAnsi="Times New Roman"/>
          <w:i/>
          <w:iCs/>
          <w:sz w:val="24"/>
          <w:szCs w:val="24"/>
          <w:lang w:eastAsia="en-GB"/>
        </w:rPr>
        <w:t>filamentosus</w:t>
      </w:r>
      <w:proofErr w:type="spellEnd"/>
      <w:r w:rsidRPr="004932C4">
        <w:rPr>
          <w:rFonts w:ascii="Times New Roman" w:hAnsi="Times New Roman"/>
          <w:i/>
          <w:iCs/>
          <w:sz w:val="24"/>
          <w:szCs w:val="24"/>
        </w:rPr>
        <w:t xml:space="preserve">, </w:t>
      </w:r>
      <w:r w:rsidRPr="004932C4">
        <w:rPr>
          <w:rFonts w:ascii="Times New Roman" w:hAnsi="Times New Roman"/>
          <w:sz w:val="24"/>
          <w:szCs w:val="24"/>
        </w:rPr>
        <w:t xml:space="preserve">the results indicated comparatively low accumulation relative to metal concentrations in the surrounding water. A similar study by Olayinka-Olagunju et al. (2021) reported low accumulation in the muscles of </w:t>
      </w:r>
      <w:r w:rsidRPr="004932C4">
        <w:rPr>
          <w:rFonts w:ascii="Times New Roman" w:hAnsi="Times New Roman"/>
          <w:i/>
          <w:iCs/>
          <w:sz w:val="24"/>
          <w:szCs w:val="24"/>
        </w:rPr>
        <w:t xml:space="preserve">Clarias </w:t>
      </w:r>
      <w:proofErr w:type="spellStart"/>
      <w:r w:rsidRPr="004932C4">
        <w:rPr>
          <w:rFonts w:ascii="Times New Roman" w:hAnsi="Times New Roman"/>
          <w:i/>
          <w:iCs/>
          <w:sz w:val="24"/>
          <w:szCs w:val="24"/>
        </w:rPr>
        <w:t>gariepinus</w:t>
      </w:r>
      <w:proofErr w:type="spellEnd"/>
      <w:r w:rsidRPr="004932C4">
        <w:rPr>
          <w:rFonts w:ascii="Times New Roman" w:hAnsi="Times New Roman"/>
          <w:sz w:val="24"/>
          <w:szCs w:val="24"/>
        </w:rPr>
        <w:t xml:space="preserve"> and attributed species-specific differences partly to feeding behaviour.</w:t>
      </w:r>
    </w:p>
    <w:p w14:paraId="4B926A92" w14:textId="77777777" w:rsidR="008C6784" w:rsidRPr="004932C4" w:rsidRDefault="00000000">
      <w:pPr>
        <w:rPr>
          <w:rFonts w:ascii="Times New Roman" w:hAnsi="Times New Roman"/>
          <w:b/>
          <w:bCs/>
          <w:sz w:val="24"/>
          <w:szCs w:val="24"/>
        </w:rPr>
      </w:pPr>
      <w:r w:rsidRPr="004932C4">
        <w:rPr>
          <w:rFonts w:ascii="Times New Roman" w:hAnsi="Times New Roman"/>
          <w:b/>
          <w:bCs/>
          <w:sz w:val="24"/>
          <w:szCs w:val="24"/>
        </w:rPr>
        <w:t>3.7 Pearson correlation</w:t>
      </w:r>
    </w:p>
    <w:p w14:paraId="4B0F3503" w14:textId="77777777" w:rsidR="008C6784" w:rsidRPr="004932C4" w:rsidRDefault="00000000">
      <w:pPr>
        <w:rPr>
          <w:rFonts w:ascii="Times New Roman" w:hAnsi="Times New Roman"/>
          <w:sz w:val="24"/>
          <w:szCs w:val="24"/>
        </w:rPr>
      </w:pPr>
      <w:r w:rsidRPr="004932C4">
        <w:rPr>
          <w:rFonts w:ascii="Times New Roman" w:eastAsia="Times New Roman" w:hAnsi="Times New Roman"/>
          <w:sz w:val="24"/>
          <w:szCs w:val="24"/>
        </w:rPr>
        <w:t>Strong positive correlations in water were observed between temperature and salinity (r = 0.89); pH and DO (r = 0.75) and salinity and DO (r = 0.84); relationships were also examined in sediment, polychaetes and fish.  Correlations between metals in water were as follows: Cd and Cr (r = 0.89); Cr and Hg (r = 0.89); Pb and Hg (r = 0.83). A very strong positive correlation was also observed between Cd and Hg (r = 0.95).  By contrast, physicochemical parameters showed strong negative correlations with heavy metals in water and sediment. Correlation alone does not establish the source of contamination, although physicochemical conditions may influence metal mobility (</w:t>
      </w:r>
      <w:r w:rsidRPr="004932C4">
        <w:rPr>
          <w:rFonts w:ascii="Times New Roman" w:hAnsi="Times New Roman"/>
          <w:sz w:val="24"/>
          <w:szCs w:val="24"/>
        </w:rPr>
        <w:t xml:space="preserve">Nishitha </w:t>
      </w:r>
      <w:r w:rsidRPr="004932C4">
        <w:rPr>
          <w:rFonts w:ascii="Times New Roman" w:hAnsi="Times New Roman"/>
          <w:i/>
          <w:iCs/>
          <w:sz w:val="24"/>
          <w:szCs w:val="24"/>
        </w:rPr>
        <w:t xml:space="preserve">et al., </w:t>
      </w:r>
      <w:r w:rsidRPr="004932C4">
        <w:rPr>
          <w:rFonts w:ascii="Times New Roman" w:hAnsi="Times New Roman"/>
          <w:sz w:val="24"/>
          <w:szCs w:val="24"/>
        </w:rPr>
        <w:t xml:space="preserve">2023). Correlations among heavy metals in water were reported to be statistically significant (p &lt; 0.001). In sediment, strong positive correlations were observed for Cd and Pb (r = 0.91) and for Cr and Hg (r = 0.98).  Zhang et al. (2022) reported negative correlations between Hg, Cr and Cd and salinity in sediment. On the other hand, temperature, pH and DO show a negative correlation with heavy metals (Zhang </w:t>
      </w:r>
      <w:r w:rsidRPr="004932C4">
        <w:rPr>
          <w:rFonts w:ascii="Times New Roman" w:hAnsi="Times New Roman"/>
          <w:i/>
          <w:iCs/>
          <w:sz w:val="24"/>
          <w:szCs w:val="24"/>
        </w:rPr>
        <w:t>et al</w:t>
      </w:r>
      <w:r w:rsidRPr="004932C4">
        <w:rPr>
          <w:rFonts w:ascii="Times New Roman" w:hAnsi="Times New Roman"/>
          <w:sz w:val="24"/>
          <w:szCs w:val="24"/>
        </w:rPr>
        <w:t xml:space="preserve">., 2018). The p-values for polychaete metals Cd- Cr, Cd-Hg, Cr-Hg and Pb-Hg </w:t>
      </w:r>
      <w:r w:rsidRPr="004932C4">
        <w:rPr>
          <w:rFonts w:ascii="Times New Roman" w:hAnsi="Times New Roman"/>
          <w:sz w:val="24"/>
          <w:szCs w:val="24"/>
        </w:rPr>
        <w:lastRenderedPageBreak/>
        <w:t xml:space="preserve">were &lt;0.05, indicating statistical significance, whereas Cd-Pb and Cr-Pb were &lt;0.001, indicating high statistical significance. A very strong correlation was observed for Cr-Pb (r = 0.88), whereas a weak correlation was seen for Pb-Hg (r = 0.36). Physicochemical parameters can influence metal accumulation in </w:t>
      </w:r>
      <w:proofErr w:type="spellStart"/>
      <w:r w:rsidRPr="004932C4">
        <w:rPr>
          <w:rFonts w:ascii="Times New Roman" w:hAnsi="Times New Roman"/>
          <w:i/>
          <w:iCs/>
          <w:sz w:val="24"/>
          <w:szCs w:val="24"/>
        </w:rPr>
        <w:t>Diopatra</w:t>
      </w:r>
      <w:proofErr w:type="spellEnd"/>
      <w:r w:rsidRPr="004932C4">
        <w:rPr>
          <w:rFonts w:ascii="Times New Roman" w:hAnsi="Times New Roman"/>
          <w:i/>
          <w:iCs/>
          <w:sz w:val="24"/>
          <w:szCs w:val="24"/>
        </w:rPr>
        <w:t xml:space="preserve"> </w:t>
      </w:r>
      <w:proofErr w:type="spellStart"/>
      <w:r w:rsidRPr="004932C4">
        <w:rPr>
          <w:rFonts w:ascii="Times New Roman" w:hAnsi="Times New Roman"/>
          <w:i/>
          <w:iCs/>
          <w:sz w:val="24"/>
          <w:szCs w:val="24"/>
        </w:rPr>
        <w:t>neapolitana</w:t>
      </w:r>
      <w:proofErr w:type="spellEnd"/>
      <w:r w:rsidRPr="004932C4">
        <w:rPr>
          <w:rFonts w:ascii="Times New Roman" w:hAnsi="Times New Roman"/>
          <w:i/>
          <w:iCs/>
          <w:sz w:val="24"/>
          <w:szCs w:val="24"/>
        </w:rPr>
        <w:t xml:space="preserve"> </w:t>
      </w:r>
      <w:r w:rsidRPr="004932C4">
        <w:rPr>
          <w:rFonts w:ascii="Times New Roman" w:hAnsi="Times New Roman"/>
          <w:sz w:val="24"/>
          <w:szCs w:val="24"/>
        </w:rPr>
        <w:t>(Giménez</w:t>
      </w:r>
      <w:r w:rsidRPr="004932C4">
        <w:rPr>
          <w:rFonts w:ascii="Times New Roman" w:hAnsi="Times New Roman"/>
          <w:i/>
          <w:iCs/>
          <w:sz w:val="24"/>
          <w:szCs w:val="24"/>
        </w:rPr>
        <w:t xml:space="preserve"> et al., </w:t>
      </w:r>
      <w:r w:rsidRPr="004932C4">
        <w:rPr>
          <w:rFonts w:ascii="Times New Roman" w:hAnsi="Times New Roman"/>
          <w:sz w:val="24"/>
          <w:szCs w:val="24"/>
        </w:rPr>
        <w:t xml:space="preserve">2022). The p-values for polychaetes and </w:t>
      </w:r>
      <w:proofErr w:type="spellStart"/>
      <w:r w:rsidRPr="004932C4">
        <w:rPr>
          <w:rFonts w:ascii="Times New Roman" w:eastAsia="Times New Roman" w:hAnsi="Times New Roman"/>
          <w:i/>
          <w:iCs/>
          <w:color w:val="000000"/>
          <w:kern w:val="0"/>
          <w:sz w:val="24"/>
          <w:szCs w:val="24"/>
          <w:lang w:eastAsia="en-IN"/>
        </w:rPr>
        <w:t>Elops</w:t>
      </w:r>
      <w:proofErr w:type="spellEnd"/>
      <w:r w:rsidRPr="004932C4">
        <w:rPr>
          <w:rFonts w:ascii="Times New Roman" w:eastAsia="Times New Roman" w:hAnsi="Times New Roman"/>
          <w:i/>
          <w:iCs/>
          <w:color w:val="000000"/>
          <w:kern w:val="0"/>
          <w:sz w:val="24"/>
          <w:szCs w:val="24"/>
          <w:lang w:eastAsia="en-IN"/>
        </w:rPr>
        <w:t xml:space="preserve"> saurus</w:t>
      </w:r>
      <w:r w:rsidRPr="004932C4">
        <w:rPr>
          <w:rFonts w:ascii="Times New Roman" w:hAnsi="Times New Roman"/>
          <w:sz w:val="24"/>
          <w:szCs w:val="24"/>
        </w:rPr>
        <w:t xml:space="preserve"> Cd- Cr, Cd-Hg, Cr-Hg and Pb-Hg were &lt;0.05, which is statistically significant, whereas Cd-Pb and Cr-Pb were &lt;0.001, which is highly statistically significant. </w:t>
      </w:r>
      <w:r w:rsidRPr="004932C4">
        <w:rPr>
          <w:rFonts w:ascii="Times New Roman" w:eastAsia="Times New Roman" w:hAnsi="Times New Roman"/>
          <w:i/>
          <w:iCs/>
          <w:color w:val="000000"/>
          <w:kern w:val="0"/>
          <w:sz w:val="24"/>
          <w:szCs w:val="24"/>
          <w:lang w:eastAsia="en-IN"/>
        </w:rPr>
        <w:t>In E. saurus, very strong positive correlations were found between</w:t>
      </w:r>
      <w:r w:rsidRPr="004932C4">
        <w:rPr>
          <w:rFonts w:ascii="Times New Roman" w:hAnsi="Times New Roman"/>
          <w:sz w:val="24"/>
          <w:szCs w:val="24"/>
        </w:rPr>
        <w:t xml:space="preserve"> Cd-Pb (r = 0.84) and Pb-Hg (r = 0.88) with a strong correlation between Cr-Hg (r = 0.69) and a weaker correlation between Cr-Pb (r = 0.6). Similarly, for G. filamentosus, Cd-Pb (r = 0.82) represented a very strong correlation; a weaker correlation was observed for Cr-Pb (r = 0.8). The p-values for all the metals were &lt;0.001, which is highly statistically significant. </w:t>
      </w:r>
    </w:p>
    <w:p w14:paraId="217182FE" w14:textId="77777777" w:rsidR="008C6784" w:rsidRPr="004932C4" w:rsidRDefault="00000000">
      <w:pPr>
        <w:rPr>
          <w:rFonts w:ascii="Times New Roman" w:eastAsia="Times New Roman" w:hAnsi="Times New Roman"/>
          <w:b/>
          <w:color w:val="000000"/>
          <w:sz w:val="24"/>
          <w:szCs w:val="24"/>
        </w:rPr>
      </w:pPr>
      <w:r w:rsidRPr="004932C4">
        <w:rPr>
          <w:rFonts w:ascii="Times New Roman" w:eastAsia="Times New Roman" w:hAnsi="Times New Roman"/>
          <w:sz w:val="24"/>
          <w:szCs w:val="24"/>
        </w:rPr>
        <w:t xml:space="preserve"> </w:t>
      </w:r>
      <w:r w:rsidRPr="004932C4">
        <w:rPr>
          <w:rFonts w:ascii="Times New Roman" w:eastAsia="Times New Roman" w:hAnsi="Times New Roman"/>
          <w:b/>
          <w:color w:val="000000"/>
          <w:sz w:val="24"/>
          <w:szCs w:val="24"/>
        </w:rPr>
        <w:t>4. Conclusions</w:t>
      </w:r>
    </w:p>
    <w:p w14:paraId="1ABB0804" w14:textId="77777777" w:rsidR="008C6784" w:rsidRDefault="00000000">
      <w:pPr>
        <w:rPr>
          <w:rFonts w:ascii="Times New Roman" w:eastAsia="Times New Roman" w:hAnsi="Times New Roman"/>
          <w:sz w:val="24"/>
          <w:szCs w:val="24"/>
        </w:rPr>
      </w:pPr>
      <w:bookmarkStart w:id="4" w:name="_heading=h.pcyhxq3k6e6s" w:colFirst="0" w:colLast="0"/>
      <w:bookmarkEnd w:id="4"/>
      <w:r w:rsidRPr="004932C4">
        <w:rPr>
          <w:rFonts w:ascii="Times New Roman" w:eastAsia="Times New Roman" w:hAnsi="Times New Roman"/>
          <w:sz w:val="24"/>
          <w:szCs w:val="24"/>
        </w:rPr>
        <w:t xml:space="preserve">The present study found marked increases in heavy metal concentrations in the aquatic environment following the oil spill. Trace amounts of non-essential heavy metals can be toxic to many living organisms. Concentrations of Cd, Cr, Pb and Hg were compared across biotic and abiotic environmental components, and higher concentrations were observed after the spill. The </w:t>
      </w:r>
      <w:proofErr w:type="spellStart"/>
      <w:r w:rsidRPr="004932C4">
        <w:rPr>
          <w:rFonts w:ascii="Times New Roman" w:eastAsia="Times New Roman" w:hAnsi="Times New Roman"/>
          <w:sz w:val="24"/>
          <w:szCs w:val="24"/>
        </w:rPr>
        <w:t>Igeo</w:t>
      </w:r>
      <w:proofErr w:type="spellEnd"/>
      <w:r w:rsidRPr="004932C4">
        <w:rPr>
          <w:rFonts w:ascii="Times New Roman" w:eastAsia="Times New Roman" w:hAnsi="Times New Roman"/>
          <w:sz w:val="24"/>
          <w:szCs w:val="24"/>
        </w:rPr>
        <w:t xml:space="preserve"> and PLI indices indicated increased metal contamination in sediment. BAF values were used to assess metal accumulation in fish and indicated relatively limited accumulation. Overall, sediment contamination was highest for Pb, followed by Cr, Cd and Hg. </w:t>
      </w:r>
      <w:r w:rsidRPr="004932C4">
        <w:rPr>
          <w:rFonts w:ascii="Times New Roman" w:hAnsi="Times New Roman"/>
          <w:sz w:val="24"/>
          <w:szCs w:val="24"/>
        </w:rPr>
        <w:t xml:space="preserve">Although the absence of an unaffected reference site limits the exclusive attribution of the observed changes to the oil spill, the before and after findings provide valuable evidence of temporal changes in environmental quality following the event. Future studies incorporating reference sites and long-term monitoring would further strengthen the assessment of spill-associated effects while accounting for natural variability and other pollution sources. </w:t>
      </w:r>
      <w:r w:rsidRPr="004932C4">
        <w:rPr>
          <w:rFonts w:ascii="Times New Roman" w:eastAsia="Times New Roman" w:hAnsi="Times New Roman"/>
          <w:sz w:val="24"/>
          <w:szCs w:val="24"/>
        </w:rPr>
        <w:t xml:space="preserve">Bioremediation and careful monitoring of industrial waste discharges may </w:t>
      </w:r>
      <w:r w:rsidRPr="004932C4">
        <w:rPr>
          <w:rFonts w:ascii="Times New Roman" w:eastAsia="Times New Roman" w:hAnsi="Times New Roman"/>
          <w:sz w:val="24"/>
          <w:szCs w:val="24"/>
        </w:rPr>
        <w:lastRenderedPageBreak/>
        <w:t xml:space="preserve">help reduce contamination in coastal and adjacent terrestrial ecosystems and limit potential bioaccumulation risks. </w:t>
      </w:r>
    </w:p>
    <w:p w14:paraId="142F4EB5" w14:textId="77777777" w:rsidR="00B529ED" w:rsidRDefault="00B529ED">
      <w:pPr>
        <w:rPr>
          <w:rFonts w:ascii="Times New Roman" w:hAnsi="Times New Roman"/>
          <w:sz w:val="24"/>
          <w:szCs w:val="24"/>
        </w:rPr>
      </w:pPr>
      <w:r w:rsidRPr="00B529ED">
        <w:rPr>
          <w:rFonts w:ascii="Times New Roman" w:hAnsi="Times New Roman"/>
          <w:sz w:val="24"/>
          <w:szCs w:val="24"/>
        </w:rPr>
        <w:t>Limitations</w:t>
      </w:r>
    </w:p>
    <w:p w14:paraId="75EB33A4" w14:textId="77777777" w:rsidR="00B529ED" w:rsidRPr="004932C4" w:rsidRDefault="00B529ED">
      <w:pPr>
        <w:rPr>
          <w:rFonts w:ascii="Times New Roman" w:hAnsi="Times New Roman"/>
          <w:sz w:val="24"/>
          <w:szCs w:val="24"/>
        </w:rPr>
      </w:pPr>
      <w:r w:rsidRPr="00B529ED">
        <w:rPr>
          <w:rFonts w:ascii="Times New Roman" w:hAnsi="Times New Roman"/>
          <w:sz w:val="24"/>
          <w:szCs w:val="24"/>
        </w:rPr>
        <w:t>The investigation was restricted to five stations in Ennore Creek and a sampling period extending from October 2023 to February 2024. Although measurements were available before and after the spill, no unaffected reference site was included, limiting attribution of observed changes specifically to the oil spill rather than other pollution sources or environmental variation. The manuscript also provides limited detail on analytical detection limits and quality-control results. Future work incorporating reference locations, longer monitoring periods and fully documented analytical quality assurance would improve the assessment of temporal patterns and potential ecological consequences.</w:t>
      </w:r>
    </w:p>
    <w:p w14:paraId="5B291C21" w14:textId="77777777" w:rsidR="008C6784" w:rsidRPr="004932C4" w:rsidRDefault="008C6784">
      <w:pPr>
        <w:rPr>
          <w:rFonts w:ascii="Times New Roman" w:eastAsia="Times New Roman" w:hAnsi="Times New Roman"/>
          <w:sz w:val="24"/>
          <w:szCs w:val="24"/>
        </w:rPr>
      </w:pPr>
    </w:p>
    <w:p w14:paraId="5328FA13" w14:textId="77777777" w:rsidR="008C6784" w:rsidRPr="004932C4" w:rsidRDefault="008C6784">
      <w:pPr>
        <w:pStyle w:val="NormalWeb"/>
      </w:pPr>
    </w:p>
    <w:p w14:paraId="660E8DCE" w14:textId="77777777" w:rsidR="008C6784" w:rsidRPr="004932C4" w:rsidRDefault="008C6784">
      <w:pPr>
        <w:pStyle w:val="NormalWeb"/>
      </w:pPr>
    </w:p>
    <w:p w14:paraId="57630F0C" w14:textId="77777777" w:rsidR="008C6784" w:rsidRPr="004932C4" w:rsidRDefault="00000000">
      <w:pPr>
        <w:spacing w:line="240" w:lineRule="auto"/>
        <w:ind w:left="0"/>
        <w:jc w:val="left"/>
        <w:rPr>
          <w:rFonts w:ascii="Arial" w:hAnsi="Arial" w:cs="Arial"/>
          <w:b/>
          <w:kern w:val="0"/>
          <w:sz w:val="20"/>
          <w:szCs w:val="20"/>
          <w:lang w:val="en-US"/>
        </w:rPr>
      </w:pPr>
      <w:r w:rsidRPr="004932C4">
        <w:rPr>
          <w:rFonts w:ascii="Arial" w:hAnsi="Arial" w:cs="Arial"/>
          <w:b/>
          <w:kern w:val="0"/>
          <w:sz w:val="20"/>
          <w:szCs w:val="20"/>
          <w:lang w:val="en-US"/>
        </w:rPr>
        <w:t>Declaration of AI Use</w:t>
      </w:r>
    </w:p>
    <w:p w14:paraId="0E4518D4" w14:textId="77777777" w:rsidR="008C6784" w:rsidRPr="004932C4" w:rsidRDefault="008C6784">
      <w:pPr>
        <w:spacing w:line="240" w:lineRule="auto"/>
        <w:ind w:left="0"/>
        <w:jc w:val="left"/>
        <w:rPr>
          <w:rFonts w:ascii="Arial" w:hAnsi="Arial" w:cs="Arial"/>
          <w:kern w:val="0"/>
          <w:sz w:val="20"/>
          <w:szCs w:val="20"/>
          <w:lang w:val="en-US"/>
        </w:rPr>
      </w:pPr>
    </w:p>
    <w:p w14:paraId="0BD62BD9" w14:textId="77777777" w:rsidR="008C6784" w:rsidRPr="004932C4" w:rsidRDefault="00000000">
      <w:pPr>
        <w:spacing w:line="240" w:lineRule="auto"/>
        <w:ind w:left="0"/>
        <w:jc w:val="left"/>
        <w:rPr>
          <w:rFonts w:ascii="Arial" w:hAnsi="Arial" w:cs="Arial"/>
          <w:kern w:val="0"/>
          <w:sz w:val="20"/>
          <w:szCs w:val="20"/>
          <w:lang w:val="en-US"/>
        </w:rPr>
      </w:pPr>
      <w:r w:rsidRPr="004932C4">
        <w:rPr>
          <w:rFonts w:ascii="Arial" w:hAnsi="Arial" w:cs="Arial"/>
          <w:kern w:val="0"/>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25CEB77" w14:textId="77777777" w:rsidR="008C6784" w:rsidRPr="004932C4" w:rsidRDefault="008C6784">
      <w:pPr>
        <w:spacing w:line="240" w:lineRule="auto"/>
        <w:ind w:left="0"/>
        <w:rPr>
          <w:rFonts w:ascii="Times New Roman" w:hAnsi="Times New Roman"/>
          <w:kern w:val="0"/>
          <w:lang w:val="en-US"/>
        </w:rPr>
      </w:pPr>
    </w:p>
    <w:p w14:paraId="31C20095" w14:textId="77777777" w:rsidR="008C6784" w:rsidRPr="004932C4" w:rsidRDefault="008C6784">
      <w:pPr>
        <w:spacing w:line="240" w:lineRule="auto"/>
        <w:ind w:left="0"/>
        <w:rPr>
          <w:rFonts w:ascii="Times New Roman" w:hAnsi="Times New Roman"/>
          <w:kern w:val="0"/>
          <w:lang w:val="en-US"/>
        </w:rPr>
      </w:pPr>
    </w:p>
    <w:p w14:paraId="7A9D317C" w14:textId="77777777" w:rsidR="008C6784" w:rsidRPr="004932C4" w:rsidRDefault="00000000">
      <w:pPr>
        <w:spacing w:after="200" w:line="276" w:lineRule="auto"/>
        <w:ind w:left="0"/>
        <w:jc w:val="left"/>
        <w:rPr>
          <w:rFonts w:ascii="Cambria" w:eastAsia="Times New Roman" w:hAnsi="Cambria" w:cs="Arial"/>
          <w:b/>
          <w:bCs/>
          <w:kern w:val="0"/>
          <w:lang w:val="en-GB" w:eastAsia="en-GB"/>
        </w:rPr>
      </w:pPr>
      <w:r w:rsidRPr="004932C4">
        <w:rPr>
          <w:rFonts w:ascii="Cambria" w:eastAsia="Times New Roman" w:hAnsi="Cambria" w:cs="Arial"/>
          <w:b/>
          <w:bCs/>
          <w:kern w:val="0"/>
          <w:lang w:val="en-GB" w:eastAsia="en-GB"/>
        </w:rPr>
        <w:t>COMPETING INTERESTS DISCLAIMER:</w:t>
      </w:r>
    </w:p>
    <w:p w14:paraId="7B806EAF" w14:textId="77777777" w:rsidR="008C6784" w:rsidRPr="004932C4" w:rsidRDefault="00000000">
      <w:pPr>
        <w:spacing w:after="200" w:line="276" w:lineRule="auto"/>
        <w:ind w:left="0"/>
        <w:jc w:val="left"/>
        <w:rPr>
          <w:rFonts w:ascii="Cambria" w:eastAsia="Times New Roman" w:hAnsi="Cambria"/>
          <w:kern w:val="0"/>
          <w:lang w:val="en-GB" w:eastAsia="en-GB"/>
        </w:rPr>
      </w:pPr>
      <w:r w:rsidRPr="004932C4">
        <w:rPr>
          <w:rFonts w:ascii="Cambria" w:eastAsia="Times New Roman" w:hAnsi="Cambria" w:cs="Arial"/>
          <w:kern w:val="0"/>
          <w:lang w:val="en-GB" w:eastAsia="en-GB"/>
        </w:rPr>
        <w:t>Authors have declared that they have no known competing financial interests OR non-financial interests OR personal relationships that could have appeared to influence the work reported in this paper.</w:t>
      </w:r>
    </w:p>
    <w:p w14:paraId="09232D88" w14:textId="77777777" w:rsidR="008C6784" w:rsidRPr="004932C4" w:rsidRDefault="008C6784">
      <w:pPr>
        <w:pStyle w:val="NormalWeb"/>
      </w:pPr>
    </w:p>
    <w:p w14:paraId="25967AEC" w14:textId="77777777" w:rsidR="008C6784" w:rsidRDefault="00000000">
      <w:pPr>
        <w:rPr>
          <w:rFonts w:ascii="Times New Roman" w:hAnsi="Times New Roman"/>
          <w:b/>
          <w:bCs/>
          <w:sz w:val="24"/>
          <w:szCs w:val="24"/>
        </w:rPr>
      </w:pPr>
      <w:r w:rsidRPr="004932C4">
        <w:rPr>
          <w:rFonts w:ascii="Times New Roman" w:hAnsi="Times New Roman"/>
          <w:b/>
          <w:bCs/>
          <w:sz w:val="24"/>
          <w:szCs w:val="24"/>
        </w:rPr>
        <w:t>References</w:t>
      </w:r>
    </w:p>
    <w:p w14:paraId="18F67246" w14:textId="77777777" w:rsidR="00B8768D" w:rsidRDefault="00000000">
      <w:pPr>
        <w:keepLines/>
        <w:spacing w:after="140"/>
        <w:ind w:left="480" w:hanging="480"/>
        <w:jc w:val="left"/>
      </w:pPr>
      <w:r>
        <w:t xml:space="preserve">Ali, B., Anushka, &amp; Mishra, A. (2022). Effects of dissolved oxygen concentration on freshwater fish: A review. </w:t>
      </w:r>
      <w:r>
        <w:rPr>
          <w:i/>
        </w:rPr>
        <w:t>International Journal of Fisheries and Aquatic Studies, 10</w:t>
      </w:r>
      <w:r>
        <w:t xml:space="preserve">(4), 113–127. </w:t>
      </w:r>
      <w:hyperlink r:id="rId11">
        <w:r>
          <w:rPr>
            <w:color w:val="0563C1"/>
            <w:u w:val="single"/>
          </w:rPr>
          <w:t>https://doi.org/10.22271/fish.2022.v10.i4b.2693</w:t>
        </w:r>
      </w:hyperlink>
    </w:p>
    <w:p w14:paraId="418AA64B" w14:textId="77777777" w:rsidR="00B8768D" w:rsidRDefault="00000000">
      <w:pPr>
        <w:keepLines/>
        <w:spacing w:after="140"/>
        <w:ind w:left="480" w:hanging="480"/>
        <w:jc w:val="left"/>
      </w:pPr>
      <w:r>
        <w:lastRenderedPageBreak/>
        <w:t xml:space="preserve">AOAC International. (2016). </w:t>
      </w:r>
      <w:r>
        <w:rPr>
          <w:i/>
        </w:rPr>
        <w:t>Official methods of analysis of AOAC International</w:t>
      </w:r>
      <w:r>
        <w:t xml:space="preserve"> (20th ed.; G. W. Latimer Jr., Ed.). AOAC International. </w:t>
      </w:r>
      <w:hyperlink r:id="rId12">
        <w:r>
          <w:rPr>
            <w:color w:val="0563C1"/>
            <w:u w:val="single"/>
          </w:rPr>
          <w:t>https://search.worldcat.org/title/Official-methods-of-analysis-of-AOAC-International/oclc/950056914</w:t>
        </w:r>
      </w:hyperlink>
    </w:p>
    <w:p w14:paraId="7F1A744B" w14:textId="77777777" w:rsidR="00B8768D" w:rsidRDefault="00000000">
      <w:pPr>
        <w:keepLines/>
        <w:spacing w:after="140"/>
        <w:ind w:left="480" w:hanging="480"/>
        <w:jc w:val="left"/>
      </w:pPr>
      <w:r>
        <w:t xml:space="preserve">Bakshi, A., &amp; Panigrahi, A. K. (2018). A comprehensive review on chromium induced alterations in fresh water fishes. </w:t>
      </w:r>
      <w:r>
        <w:rPr>
          <w:i/>
        </w:rPr>
        <w:t>Toxicology Reports, 5</w:t>
      </w:r>
      <w:r>
        <w:t xml:space="preserve">, 440–447. </w:t>
      </w:r>
      <w:hyperlink r:id="rId13">
        <w:r>
          <w:rPr>
            <w:color w:val="0563C1"/>
            <w:u w:val="single"/>
          </w:rPr>
          <w:t>https://doi.org/10.1016/j.toxrep.2018.03.007</w:t>
        </w:r>
      </w:hyperlink>
    </w:p>
    <w:p w14:paraId="34EC5469" w14:textId="77777777" w:rsidR="00B8768D" w:rsidRDefault="00000000">
      <w:pPr>
        <w:keepLines/>
        <w:spacing w:after="140"/>
        <w:ind w:left="480" w:hanging="480"/>
        <w:jc w:val="left"/>
      </w:pPr>
      <w:r>
        <w:t xml:space="preserve">Beaven, M. M., Sowmya Sri, G., Ann Suji, H., Ananthan, G., &amp; Deivasigamani, B. (2023). Heavy metal assessment in water, sediment and biota from Ennore Creek and Vellar Estuary, Southeast India. </w:t>
      </w:r>
      <w:r>
        <w:rPr>
          <w:i/>
        </w:rPr>
        <w:t>Asian Journal of Fisheries and Aquatic Research, 25</w:t>
      </w:r>
      <w:r>
        <w:t xml:space="preserve">(3), 31–41. </w:t>
      </w:r>
      <w:hyperlink r:id="rId14">
        <w:r>
          <w:rPr>
            <w:color w:val="0563C1"/>
            <w:u w:val="single"/>
          </w:rPr>
          <w:t>https://doi.org/10.9734/ajfar/2023/v25i3665</w:t>
        </w:r>
      </w:hyperlink>
    </w:p>
    <w:p w14:paraId="696F2106" w14:textId="77777777" w:rsidR="00B8768D" w:rsidRDefault="00000000">
      <w:pPr>
        <w:keepLines/>
        <w:spacing w:after="140"/>
        <w:ind w:left="480" w:hanging="480"/>
        <w:jc w:val="left"/>
      </w:pPr>
      <w:r>
        <w:t xml:space="preserve">Canli, M., &amp; Atli, G. (2003). The relationships between heavy metal (Cd, Cr, Cu, Fe, Pb, Zn) levels and the size of six Mediterranean fish species. </w:t>
      </w:r>
      <w:r>
        <w:rPr>
          <w:i/>
        </w:rPr>
        <w:t>Environmental Pollution, 121</w:t>
      </w:r>
      <w:r>
        <w:t xml:space="preserve">(1), 129–136. </w:t>
      </w:r>
      <w:hyperlink r:id="rId15">
        <w:r>
          <w:rPr>
            <w:color w:val="0563C1"/>
            <w:u w:val="single"/>
          </w:rPr>
          <w:t>https://doi.org/10.1016/S0269-7491(02)00194-X</w:t>
        </w:r>
      </w:hyperlink>
    </w:p>
    <w:p w14:paraId="6752DE0F" w14:textId="77777777" w:rsidR="00B8768D" w:rsidRDefault="00000000">
      <w:pPr>
        <w:keepLines/>
        <w:spacing w:after="140"/>
        <w:ind w:left="480" w:hanging="480"/>
        <w:jc w:val="left"/>
      </w:pPr>
      <w:r>
        <w:t xml:space="preserve">Carocci, A., Rovito, N., Sinicropi, M. S., &amp; Genchi, G. (2014). Mercury toxicity and neurodegenerative effects. In D. M. Whitacre (Ed.), </w:t>
      </w:r>
      <w:r>
        <w:rPr>
          <w:i/>
        </w:rPr>
        <w:t>Reviews of environmental contamination and toxicology</w:t>
      </w:r>
      <w:r>
        <w:t xml:space="preserve"> (Vol. 229, pp. 1–18). Springer. </w:t>
      </w:r>
      <w:hyperlink r:id="rId16">
        <w:r>
          <w:rPr>
            <w:color w:val="0563C1"/>
            <w:u w:val="single"/>
          </w:rPr>
          <w:t>https://doi.org/10.1007/978-3-319-03777-6_1</w:t>
        </w:r>
      </w:hyperlink>
    </w:p>
    <w:p w14:paraId="711DE174" w14:textId="77777777" w:rsidR="00B8768D" w:rsidRDefault="00000000">
      <w:pPr>
        <w:keepLines/>
        <w:spacing w:after="140"/>
        <w:ind w:left="480" w:hanging="480"/>
        <w:jc w:val="left"/>
      </w:pPr>
      <w:r>
        <w:t xml:space="preserve">Cayabo, G. D. B., Lim, Y. C., Albarico, F. P. J. B., Chen, C.-F., Chen, C.-W., &amp; Dong, C.-D. (2025). Sediment pollutant fractionation and controlling factors of bioaccumulation and ecological risks in coastal benthic ecosystems around Kaohsiung Harbor. </w:t>
      </w:r>
      <w:r>
        <w:rPr>
          <w:i/>
        </w:rPr>
        <w:t>Marine Pollution Bulletin, 220</w:t>
      </w:r>
      <w:r>
        <w:t xml:space="preserve">, Article 118461. </w:t>
      </w:r>
      <w:hyperlink r:id="rId17">
        <w:r>
          <w:rPr>
            <w:color w:val="0563C1"/>
            <w:u w:val="single"/>
          </w:rPr>
          <w:t>https://doi.org/10.1016/j.marpolbul.2025.118461</w:t>
        </w:r>
      </w:hyperlink>
    </w:p>
    <w:p w14:paraId="225F1096" w14:textId="77777777" w:rsidR="00B8768D" w:rsidRDefault="00000000">
      <w:pPr>
        <w:keepLines/>
        <w:spacing w:after="140"/>
        <w:ind w:left="480" w:hanging="480"/>
        <w:jc w:val="left"/>
      </w:pPr>
      <w:r>
        <w:t xml:space="preserve">Chaharlang, B. H., Bakhtiari, A. R., Mohammadi, J., &amp; Farshchi, P. (2016). Geochemical partitioning and pollution assessment of Ni and V as indicator of oil pollution in surface sediments from Shadegan wildlife refuge, Iran. </w:t>
      </w:r>
      <w:r>
        <w:rPr>
          <w:i/>
        </w:rPr>
        <w:t>Marine Pollution Bulletin, 111</w:t>
      </w:r>
      <w:r>
        <w:t xml:space="preserve">(1–2), 247–259. </w:t>
      </w:r>
      <w:hyperlink r:id="rId18">
        <w:r>
          <w:rPr>
            <w:color w:val="0563C1"/>
            <w:u w:val="single"/>
          </w:rPr>
          <w:t>https://doi.org/10.1016/j.marpolbul.2016.06.109</w:t>
        </w:r>
      </w:hyperlink>
    </w:p>
    <w:p w14:paraId="340BFE45" w14:textId="77777777" w:rsidR="00B8768D" w:rsidRDefault="00000000">
      <w:pPr>
        <w:keepLines/>
        <w:spacing w:after="140"/>
        <w:ind w:left="480" w:hanging="480"/>
        <w:jc w:val="left"/>
      </w:pPr>
      <w:r>
        <w:lastRenderedPageBreak/>
        <w:t xml:space="preserve">Chandrasekaran, A., Mukesh, M. V., Chidambaram, S., Singarasubramanian, S. R., Rajendran, S., Muthukumarasamy, R., &amp; Tamilselvi, M. (2015). Assessment of heavy metal distribution pattern in the sediments of Tamirabarani river and estuary, east coast of Tamil Nadu, India. </w:t>
      </w:r>
      <w:r>
        <w:rPr>
          <w:i/>
        </w:rPr>
        <w:t>Environmental Earth Sciences, 73</w:t>
      </w:r>
      <w:r>
        <w:t xml:space="preserve">(5), 2441–2452. </w:t>
      </w:r>
      <w:hyperlink r:id="rId19">
        <w:r>
          <w:rPr>
            <w:color w:val="0563C1"/>
            <w:u w:val="single"/>
          </w:rPr>
          <w:t>https://doi.org/10.1007/s12665-014-3593-y</w:t>
        </w:r>
      </w:hyperlink>
    </w:p>
    <w:p w14:paraId="4B26643F" w14:textId="77777777" w:rsidR="00B8768D" w:rsidRDefault="00000000">
      <w:pPr>
        <w:keepLines/>
        <w:spacing w:after="140"/>
        <w:ind w:left="480" w:hanging="480"/>
        <w:jc w:val="left"/>
      </w:pPr>
      <w:r>
        <w:t xml:space="preserve">Chen, C. C., Tew, K. S., Ho, P. H., Ko, F. C., Hsieh, H. Y., &amp; Meng, P. J. (2017). The impact of two oil spill events on the water quality along coastal area of Kenting National Park, southern Taiwan. </w:t>
      </w:r>
      <w:r>
        <w:rPr>
          <w:i/>
        </w:rPr>
        <w:t>Marine Pollution Bulletin, 124</w:t>
      </w:r>
      <w:r>
        <w:t xml:space="preserve">(2), 974–983. </w:t>
      </w:r>
      <w:hyperlink r:id="rId20">
        <w:r>
          <w:rPr>
            <w:color w:val="0563C1"/>
            <w:u w:val="single"/>
          </w:rPr>
          <w:t>https://doi.org/10.1016/j.marpolbul.2017.02.034</w:t>
        </w:r>
      </w:hyperlink>
    </w:p>
    <w:p w14:paraId="1AE0B428" w14:textId="77777777" w:rsidR="00B8768D" w:rsidRDefault="00000000">
      <w:pPr>
        <w:keepLines/>
        <w:spacing w:after="140"/>
        <w:ind w:left="480" w:hanging="480"/>
        <w:jc w:val="left"/>
      </w:pPr>
      <w:r>
        <w:t xml:space="preserve">Chen, M., Carrasco, G., Park, E., Morgan, K., Tay, S. H. X., Tanzil, J., Ooi, S. K., Zhou, K., &amp; Boyle, E. A. (2022). Monsoonal variations of lead (Pb) in coastal waters around Singapore. </w:t>
      </w:r>
      <w:r>
        <w:rPr>
          <w:i/>
        </w:rPr>
        <w:t>Marine Pollution Bulletin, 179</w:t>
      </w:r>
      <w:r>
        <w:t xml:space="preserve">, Article 113654. </w:t>
      </w:r>
      <w:hyperlink r:id="rId21">
        <w:r>
          <w:rPr>
            <w:color w:val="0563C1"/>
            <w:u w:val="single"/>
          </w:rPr>
          <w:t>https://doi.org/10.1016/j.marpolbul.2022.113654</w:t>
        </w:r>
      </w:hyperlink>
    </w:p>
    <w:p w14:paraId="396C3241" w14:textId="77777777" w:rsidR="00B8768D" w:rsidRDefault="00000000">
      <w:pPr>
        <w:keepLines/>
        <w:spacing w:after="140"/>
        <w:ind w:left="480" w:hanging="480"/>
        <w:jc w:val="left"/>
      </w:pPr>
      <w:r>
        <w:t xml:space="preserve">Cheng, K. M., Hu, C. Q., Liu, Y. N., Zheng, S. X., &amp; Qi, X. J. (2005). Dietary magnesium requirement and physiological responses of marine shrimp Litopenaeus vannamei reared in low salinity water. </w:t>
      </w:r>
      <w:r>
        <w:rPr>
          <w:i/>
        </w:rPr>
        <w:t>Aquaculture Nutrition, 11</w:t>
      </w:r>
      <w:r>
        <w:t xml:space="preserve">(5), 385–393. </w:t>
      </w:r>
      <w:hyperlink r:id="rId22">
        <w:r>
          <w:rPr>
            <w:color w:val="0563C1"/>
            <w:u w:val="single"/>
          </w:rPr>
          <w:t>https://doi.org/10.1111/j.1365-2095.2005.00364.x</w:t>
        </w:r>
      </w:hyperlink>
    </w:p>
    <w:p w14:paraId="06D0CBA5" w14:textId="77777777" w:rsidR="00B8768D" w:rsidRDefault="00000000">
      <w:pPr>
        <w:keepLines/>
        <w:spacing w:after="140"/>
        <w:ind w:left="480" w:hanging="480"/>
        <w:jc w:val="left"/>
      </w:pPr>
      <w:r>
        <w:t xml:space="preserve">da Silva, C. C., da Costa, B. V. M., de Araújo, C. M. V., &amp; de Souza Santos, L. P. (2025). Long-term variation of ecotoxicological quality of sediment in an estuarine system with industrial and port activities. </w:t>
      </w:r>
      <w:r>
        <w:rPr>
          <w:i/>
        </w:rPr>
        <w:t>Marine Pollution Bulletin, 215</w:t>
      </w:r>
      <w:r>
        <w:t xml:space="preserve">, Article 117854. </w:t>
      </w:r>
      <w:hyperlink r:id="rId23">
        <w:r>
          <w:rPr>
            <w:color w:val="0563C1"/>
            <w:u w:val="single"/>
          </w:rPr>
          <w:t>https://doi.org/10.1016/j.marpolbul.2025.117854</w:t>
        </w:r>
      </w:hyperlink>
    </w:p>
    <w:p w14:paraId="13213F3A" w14:textId="77777777" w:rsidR="00B8768D" w:rsidRDefault="00000000">
      <w:pPr>
        <w:keepLines/>
        <w:spacing w:after="140"/>
        <w:ind w:left="480" w:hanging="480"/>
        <w:jc w:val="left"/>
      </w:pPr>
      <w:r>
        <w:t xml:space="preserve">Day, F. (1878). </w:t>
      </w:r>
      <w:r>
        <w:rPr>
          <w:i/>
        </w:rPr>
        <w:t>The fishes of India: Being a natural history of the fishes known to inhabit the seas and fresh waters of India, Burma, and Ceylon</w:t>
      </w:r>
      <w:r>
        <w:t xml:space="preserve"> (Vol. 1). Bernard Quaritch. </w:t>
      </w:r>
      <w:hyperlink r:id="rId24">
        <w:r>
          <w:rPr>
            <w:color w:val="0563C1"/>
            <w:u w:val="single"/>
          </w:rPr>
          <w:t>https://www.tamildigitallibrary.in/admin/assets/book/TVA_BOK_0045590/TVA_BOK_0045590_The_fishes_of_India_1878.pdf</w:t>
        </w:r>
      </w:hyperlink>
    </w:p>
    <w:p w14:paraId="7D835614" w14:textId="77777777" w:rsidR="00B8768D" w:rsidRDefault="00000000">
      <w:pPr>
        <w:keepLines/>
        <w:spacing w:after="140"/>
        <w:ind w:left="480" w:hanging="480"/>
        <w:jc w:val="left"/>
      </w:pPr>
      <w:r>
        <w:lastRenderedPageBreak/>
        <w:t xml:space="preserve">de Carvalho, D., Guimarães, I. M., Ferreira, F. F., Dergam, J. A., Moreira, M. Z., &amp; Pompeu, P. S. (2025). Linking trophic ecology and metal bioaccumulation to assess a widespread fish as a bioindicator following a large-scale mining disaster. </w:t>
      </w:r>
      <w:r>
        <w:rPr>
          <w:i/>
        </w:rPr>
        <w:t>Environmental Science and Pollution Research, 32</w:t>
      </w:r>
      <w:r>
        <w:t xml:space="preserve">(51), 29192–29206. </w:t>
      </w:r>
      <w:hyperlink r:id="rId25">
        <w:r>
          <w:rPr>
            <w:color w:val="0563C1"/>
            <w:u w:val="single"/>
          </w:rPr>
          <w:t>https://doi.org/10.1007/s11356-025-37248-9</w:t>
        </w:r>
      </w:hyperlink>
    </w:p>
    <w:p w14:paraId="328A3E71" w14:textId="77777777" w:rsidR="00B8768D" w:rsidRDefault="00000000">
      <w:pPr>
        <w:keepLines/>
        <w:spacing w:after="140"/>
        <w:ind w:left="480" w:hanging="480"/>
        <w:jc w:val="left"/>
      </w:pPr>
      <w:r>
        <w:t xml:space="preserve">Ekperusi, A. O., Michael, A., Chukwurah, C. H., &amp; Sunday, N. M. (2024). Evaluation of heavy metals and their potential risk to human health from seafood in Escravos Estuary, Southern Nigeria. </w:t>
      </w:r>
      <w:r>
        <w:rPr>
          <w:i/>
        </w:rPr>
        <w:t>Marine Pollution Bulletin, 208</w:t>
      </w:r>
      <w:r>
        <w:t xml:space="preserve">, Article 117014. </w:t>
      </w:r>
      <w:hyperlink r:id="rId26">
        <w:r>
          <w:rPr>
            <w:color w:val="0563C1"/>
            <w:u w:val="single"/>
          </w:rPr>
          <w:t>https://doi.org/10.1016/j.marpolbul.2024.117014</w:t>
        </w:r>
      </w:hyperlink>
    </w:p>
    <w:p w14:paraId="7C8A5495" w14:textId="77777777" w:rsidR="00B8768D" w:rsidRDefault="00000000">
      <w:pPr>
        <w:keepLines/>
        <w:spacing w:after="140"/>
        <w:ind w:left="480" w:hanging="480"/>
        <w:jc w:val="left"/>
      </w:pPr>
      <w:r>
        <w:t xml:space="preserve">Food and Agriculture Organization of the United Nations. (2022). </w:t>
      </w:r>
      <w:r>
        <w:rPr>
          <w:i/>
        </w:rPr>
        <w:t>The state of world fisheries and aquaculture 2022: Towards blue transformation</w:t>
      </w:r>
      <w:r>
        <w:t xml:space="preserve">. </w:t>
      </w:r>
      <w:hyperlink r:id="rId27">
        <w:r>
          <w:rPr>
            <w:color w:val="0563C1"/>
            <w:u w:val="single"/>
          </w:rPr>
          <w:t>https://doi.org/10.4060/cc0461en</w:t>
        </w:r>
      </w:hyperlink>
    </w:p>
    <w:p w14:paraId="61DBC8AB" w14:textId="77777777" w:rsidR="00B8768D" w:rsidRDefault="00000000">
      <w:pPr>
        <w:keepLines/>
        <w:spacing w:after="140"/>
        <w:ind w:left="480" w:hanging="480"/>
        <w:jc w:val="left"/>
      </w:pPr>
      <w:r>
        <w:t xml:space="preserve">Giménez, V., Cardoso, P., Sá, C., Patinha, C., Ferreira da Silva, E., Figueira, E., &amp; Pires, A. (2022). Interplay of seasonality, major and trace elements: Impacts on the polychaete Diopatra neapolitana. </w:t>
      </w:r>
      <w:r>
        <w:rPr>
          <w:i/>
        </w:rPr>
        <w:t>Biology, 11</w:t>
      </w:r>
      <w:r>
        <w:t xml:space="preserve">(8), Article 1153. </w:t>
      </w:r>
      <w:hyperlink r:id="rId28">
        <w:r>
          <w:rPr>
            <w:color w:val="0563C1"/>
            <w:u w:val="single"/>
          </w:rPr>
          <w:t>https://doi.org/10.3390/biology11081153</w:t>
        </w:r>
      </w:hyperlink>
    </w:p>
    <w:p w14:paraId="47AE41BB" w14:textId="77777777" w:rsidR="00B8768D" w:rsidRDefault="00000000">
      <w:pPr>
        <w:keepLines/>
        <w:spacing w:after="140"/>
        <w:ind w:left="480" w:hanging="480"/>
        <w:jc w:val="left"/>
      </w:pPr>
      <w:r>
        <w:t xml:space="preserve">Gong, Y., Zhao, X., Cai, Z., O’Reilly, S. E., Hao, X., &amp; Zhao, D. (2014). A review of oil, dispersed oil and sediment interactions in the aquatic environment: Influence on the fate, transport and remediation of oil spills. </w:t>
      </w:r>
      <w:r>
        <w:rPr>
          <w:i/>
        </w:rPr>
        <w:t>Marine Pollution Bulletin, 79</w:t>
      </w:r>
      <w:r>
        <w:t xml:space="preserve">(1–2), 16–33. </w:t>
      </w:r>
      <w:hyperlink r:id="rId29">
        <w:r>
          <w:rPr>
            <w:color w:val="0563C1"/>
            <w:u w:val="single"/>
          </w:rPr>
          <w:t>https://doi.org/10.1016/j.marpolbul.2013.12.024</w:t>
        </w:r>
      </w:hyperlink>
    </w:p>
    <w:p w14:paraId="031C7535" w14:textId="77777777" w:rsidR="00B8768D" w:rsidRDefault="00000000">
      <w:pPr>
        <w:keepLines/>
        <w:spacing w:after="140"/>
        <w:ind w:left="480" w:hanging="480"/>
        <w:jc w:val="left"/>
      </w:pPr>
      <w:r>
        <w:t xml:space="preserve">Gu, Y. G., Lin, Q., Wang, X. H., Du, F. Y., Yu, Z. L., &amp; Huang, H. H. (2015). Heavy metal concentrations in wild fishes captured from the South China Sea and associated health risks. </w:t>
      </w:r>
      <w:r>
        <w:rPr>
          <w:i/>
        </w:rPr>
        <w:t>Marine Pollution Bulletin, 96</w:t>
      </w:r>
      <w:r>
        <w:t xml:space="preserve">(1–2), 508–512. </w:t>
      </w:r>
      <w:hyperlink r:id="rId30">
        <w:r>
          <w:rPr>
            <w:color w:val="0563C1"/>
            <w:u w:val="single"/>
          </w:rPr>
          <w:t>https://doi.org/10.1016/j.marpolbul.2015.04.022</w:t>
        </w:r>
      </w:hyperlink>
    </w:p>
    <w:p w14:paraId="75C936A9" w14:textId="77777777" w:rsidR="00B8768D" w:rsidRDefault="00000000">
      <w:pPr>
        <w:keepLines/>
        <w:spacing w:after="140"/>
        <w:ind w:left="480" w:hanging="480"/>
        <w:jc w:val="left"/>
      </w:pPr>
      <w:r>
        <w:lastRenderedPageBreak/>
        <w:t xml:space="preserve">Hani, Y. M., Turies, C., Palluel, O., Delahaut, L., Bado-Nilles, A., Geffard, A., Dedourge-Geffard, O., &amp; Porcher, J.-M. (2019). Effects of a chronic exposure to different water temperatures and/or to an environmental cadmium concentration on the reproduction of the threespine stickleback (Gasterosteus aculeatus). </w:t>
      </w:r>
      <w:r>
        <w:rPr>
          <w:i/>
        </w:rPr>
        <w:t>Ecotoxicology and Environmental Safety, 174</w:t>
      </w:r>
      <w:r>
        <w:t xml:space="preserve">, 48–57. </w:t>
      </w:r>
      <w:hyperlink r:id="rId31">
        <w:r>
          <w:rPr>
            <w:color w:val="0563C1"/>
            <w:u w:val="single"/>
          </w:rPr>
          <w:t>https://doi.org/10.1016/j.ecoenv.2019.02.032</w:t>
        </w:r>
      </w:hyperlink>
    </w:p>
    <w:p w14:paraId="4342EB61" w14:textId="77777777" w:rsidR="00B8768D" w:rsidRDefault="00000000">
      <w:pPr>
        <w:keepLines/>
        <w:spacing w:after="140"/>
        <w:ind w:left="480" w:hanging="480"/>
        <w:jc w:val="left"/>
      </w:pPr>
      <w:r>
        <w:t xml:space="preserve">Jayaprakash, M., Jonathan, M. P., Srinivasalu, S., Muthuraj, S., Ram-Mohan, V., &amp; Rajeshwara-Rao, N. (2008). Acid-leachable trace metals in sediments from an industrialized region (Ennore Creek) of Chennai City, SE coast of India: An approach towards regular monitoring. </w:t>
      </w:r>
      <w:r>
        <w:rPr>
          <w:i/>
        </w:rPr>
        <w:t>Estuarine, Coastal and Shelf Science, 76</w:t>
      </w:r>
      <w:r>
        <w:t xml:space="preserve">(3), 692–703. </w:t>
      </w:r>
      <w:hyperlink r:id="rId32">
        <w:r>
          <w:rPr>
            <w:color w:val="0563C1"/>
            <w:u w:val="single"/>
          </w:rPr>
          <w:t>https://doi.org/10.1016/j.ecss.2007.07.035</w:t>
        </w:r>
      </w:hyperlink>
    </w:p>
    <w:p w14:paraId="794CCE10" w14:textId="77777777" w:rsidR="00B8768D" w:rsidRDefault="00000000">
      <w:pPr>
        <w:keepLines/>
        <w:spacing w:after="140"/>
        <w:ind w:left="480" w:hanging="480"/>
        <w:jc w:val="left"/>
      </w:pPr>
      <w:r>
        <w:t xml:space="preserve">Kalnejais, L. H., Martin, W. R., Signell, R. P., &amp; Bothner, M. H. (2007). Role of sediment resuspension in the remobilization of particulate-phase metals from coastal sediments. </w:t>
      </w:r>
      <w:r>
        <w:rPr>
          <w:i/>
        </w:rPr>
        <w:t>Environmental Science &amp; Technology, 41</w:t>
      </w:r>
      <w:r>
        <w:t xml:space="preserve">(7), 2282–2288. </w:t>
      </w:r>
      <w:hyperlink r:id="rId33">
        <w:r>
          <w:rPr>
            <w:color w:val="0563C1"/>
            <w:u w:val="single"/>
          </w:rPr>
          <w:t>https://doi.org/10.1021/es061770z</w:t>
        </w:r>
      </w:hyperlink>
    </w:p>
    <w:p w14:paraId="128A3640" w14:textId="77777777" w:rsidR="00B8768D" w:rsidRDefault="00000000">
      <w:pPr>
        <w:keepLines/>
        <w:spacing w:after="140"/>
        <w:ind w:left="480" w:hanging="480"/>
        <w:jc w:val="left"/>
      </w:pPr>
      <w:r>
        <w:t xml:space="preserve">Karthikeyan, P., Marigoudar, S. R., Mohan, D., Nagarjuna, A., &amp; Sharma, K. V. (2020). Ecological risk from heavy metals in Ennore estuary, South East coast of India. </w:t>
      </w:r>
      <w:r>
        <w:rPr>
          <w:i/>
        </w:rPr>
        <w:t>Environmental Chemistry and Ecotoxicology, 2</w:t>
      </w:r>
      <w:r>
        <w:t xml:space="preserve">, 182–193. </w:t>
      </w:r>
      <w:hyperlink r:id="rId34">
        <w:r>
          <w:rPr>
            <w:color w:val="0563C1"/>
            <w:u w:val="single"/>
          </w:rPr>
          <w:t>https://doi.org/10.1016/j.enceco.2020.09.004</w:t>
        </w:r>
      </w:hyperlink>
    </w:p>
    <w:p w14:paraId="5B4FE13B" w14:textId="77777777" w:rsidR="00B8768D" w:rsidRDefault="00000000">
      <w:pPr>
        <w:keepLines/>
        <w:spacing w:after="140"/>
        <w:ind w:left="480" w:hanging="480"/>
        <w:jc w:val="left"/>
      </w:pPr>
      <w:r>
        <w:t xml:space="preserve">Keshav Krishna, A., &amp; Rama Mohan, K. (2016). Distribution, correlation, ecological and health risk assessment of heavy metal contamination in surface soils around an industrial area, Hyderabad, India. </w:t>
      </w:r>
      <w:r>
        <w:rPr>
          <w:i/>
        </w:rPr>
        <w:t>Environmental Earth Sciences, 75</w:t>
      </w:r>
      <w:r>
        <w:t xml:space="preserve">(5), Article 411. </w:t>
      </w:r>
      <w:hyperlink r:id="rId35">
        <w:r>
          <w:rPr>
            <w:color w:val="0563C1"/>
            <w:u w:val="single"/>
          </w:rPr>
          <w:t>https://doi.org/10.1007/s12665-015-5151-7</w:t>
        </w:r>
      </w:hyperlink>
    </w:p>
    <w:p w14:paraId="2280862D" w14:textId="77777777" w:rsidR="00B8768D" w:rsidRDefault="00000000">
      <w:pPr>
        <w:keepLines/>
        <w:spacing w:after="140"/>
        <w:ind w:left="480" w:hanging="480"/>
        <w:jc w:val="left"/>
      </w:pPr>
      <w:r>
        <w:t xml:space="preserve">Kibria, G., Hossain, M. M., Mallick, D., Lau, T. C., &amp; Wu, R. (2016). Trace/heavy metal pollution monitoring in estuary and coastal area of Bay of Bengal, Bangladesh and implicated impacts. </w:t>
      </w:r>
      <w:r>
        <w:rPr>
          <w:i/>
        </w:rPr>
        <w:t>Marine Pollution Bulletin, 105</w:t>
      </w:r>
      <w:r>
        <w:t xml:space="preserve">(1), 393–402. </w:t>
      </w:r>
      <w:hyperlink r:id="rId36">
        <w:r>
          <w:rPr>
            <w:color w:val="0563C1"/>
            <w:u w:val="single"/>
          </w:rPr>
          <w:t>https://doi.org/10.1016/j.marpolbul.2016.02.021</w:t>
        </w:r>
      </w:hyperlink>
    </w:p>
    <w:p w14:paraId="37A83BD9" w14:textId="77777777" w:rsidR="00B8768D" w:rsidRDefault="00000000">
      <w:pPr>
        <w:keepLines/>
        <w:spacing w:after="140"/>
        <w:ind w:left="480" w:hanging="480"/>
        <w:jc w:val="left"/>
      </w:pPr>
      <w:r>
        <w:lastRenderedPageBreak/>
        <w:t xml:space="preserve">Krishnamurti, A. J., &amp; Nair, V. R. (1999). Concentration of metals in shrimps and crabs from Thane-Bassein creek system, Maharashtra. </w:t>
      </w:r>
      <w:r>
        <w:rPr>
          <w:i/>
        </w:rPr>
        <w:t>Indian Journal of Marine Sciences, 28</w:t>
      </w:r>
      <w:r>
        <w:t xml:space="preserve">(1), 92–95. </w:t>
      </w:r>
      <w:hyperlink r:id="rId37">
        <w:r>
          <w:rPr>
            <w:color w:val="0563C1"/>
            <w:u w:val="single"/>
          </w:rPr>
          <w:t>https://nopr.niscpr.res.in/handle/123456789/25631</w:t>
        </w:r>
      </w:hyperlink>
    </w:p>
    <w:p w14:paraId="4C0CC2F5" w14:textId="77777777" w:rsidR="00B8768D" w:rsidRDefault="00000000">
      <w:pPr>
        <w:keepLines/>
        <w:spacing w:after="140"/>
        <w:ind w:left="480" w:hanging="480"/>
        <w:jc w:val="left"/>
      </w:pPr>
      <w:r>
        <w:t xml:space="preserve">Lee, J. W., Choi, H., Hwang, U. K., Kang, J. C., Kang, Y. J., Kim, K. I., &amp; Kim, J. H. (2019). Toxic effects of lead exposure on bioaccumulation, oxidative stress, neurotoxicity, and immune responses in fish: A review. </w:t>
      </w:r>
      <w:r>
        <w:rPr>
          <w:i/>
        </w:rPr>
        <w:t>Environmental Toxicology and Pharmacology, 68</w:t>
      </w:r>
      <w:r>
        <w:t xml:space="preserve">, 101–108. </w:t>
      </w:r>
      <w:hyperlink r:id="rId38">
        <w:r>
          <w:rPr>
            <w:color w:val="0563C1"/>
            <w:u w:val="single"/>
          </w:rPr>
          <w:t>https://doi.org/10.1016/j.etap.2019.03.010</w:t>
        </w:r>
      </w:hyperlink>
    </w:p>
    <w:p w14:paraId="20A003A7" w14:textId="77777777" w:rsidR="00B8768D" w:rsidRDefault="00000000">
      <w:pPr>
        <w:keepLines/>
        <w:spacing w:after="140"/>
        <w:ind w:left="480" w:hanging="480"/>
        <w:jc w:val="left"/>
      </w:pPr>
      <w:r>
        <w:t xml:space="preserve">Lee, L. H., &amp; Lin, H. J. (2013). Effects of an oil spill on benthic community production and respiration on subtropical intertidal sandflats. </w:t>
      </w:r>
      <w:r>
        <w:rPr>
          <w:i/>
        </w:rPr>
        <w:t>Marine Pollution Bulletin, 73</w:t>
      </w:r>
      <w:r>
        <w:t xml:space="preserve">(1), 291–299. </w:t>
      </w:r>
      <w:hyperlink r:id="rId39">
        <w:r>
          <w:rPr>
            <w:color w:val="0563C1"/>
            <w:u w:val="single"/>
          </w:rPr>
          <w:t>https://doi.org/10.1016/j.marpolbul.2013.05.006</w:t>
        </w:r>
      </w:hyperlink>
    </w:p>
    <w:p w14:paraId="35B8DE8F" w14:textId="77777777" w:rsidR="00B8768D" w:rsidRDefault="00000000">
      <w:pPr>
        <w:keepLines/>
        <w:spacing w:after="140"/>
        <w:ind w:left="480" w:hanging="480"/>
        <w:jc w:val="left"/>
      </w:pPr>
      <w:r>
        <w:t xml:space="preserve">Liang, Y., Wang, R., Sheng, G. D., Pan, L., Lian, E., Su, N., Tang, X., Yang, S., &amp; Yin, D. (2023). Geochemical controls on the distribution and bioavailability of heavy metals in sediments from Yangtze River to the East China Sea: Assessed by sequential extraction versus diffusive gradients in thin-films (DGT) technique. </w:t>
      </w:r>
      <w:r>
        <w:rPr>
          <w:i/>
        </w:rPr>
        <w:t>Journal of Hazardous Materials, 452</w:t>
      </w:r>
      <w:r>
        <w:t xml:space="preserve">, Article 131253. </w:t>
      </w:r>
      <w:hyperlink r:id="rId40">
        <w:r>
          <w:rPr>
            <w:color w:val="0563C1"/>
            <w:u w:val="single"/>
          </w:rPr>
          <w:t>https://doi.org/10.1016/j.jhazmat.2023.131253</w:t>
        </w:r>
      </w:hyperlink>
    </w:p>
    <w:p w14:paraId="103ED2F8" w14:textId="77777777" w:rsidR="00B8768D" w:rsidRDefault="00000000">
      <w:pPr>
        <w:keepLines/>
        <w:spacing w:after="140"/>
        <w:ind w:left="480" w:hanging="480"/>
        <w:jc w:val="left"/>
      </w:pPr>
      <w:r>
        <w:t xml:space="preserve">Liu, J., Dietz, T., Carpenter, S. R., Alberti, M., Folke, C., Moran, E., Pell, A. N., Deadman, P., Kratz, T., Lubchenco, J., Ostrom, E., Ouyang, Z., Provencher, W., Redman, C. L., Schneider, S. H., &amp; Taylor, W. W. (2007). Complexity of coupled human and natural systems. </w:t>
      </w:r>
      <w:r>
        <w:rPr>
          <w:i/>
        </w:rPr>
        <w:t>Science, 317</w:t>
      </w:r>
      <w:r>
        <w:t xml:space="preserve">(5844), 1513–1516. </w:t>
      </w:r>
      <w:hyperlink r:id="rId41">
        <w:r>
          <w:rPr>
            <w:color w:val="0563C1"/>
            <w:u w:val="single"/>
          </w:rPr>
          <w:t>https://doi.org/10.1126/science.1144004</w:t>
        </w:r>
      </w:hyperlink>
    </w:p>
    <w:p w14:paraId="55301E5A" w14:textId="77777777" w:rsidR="00B8768D" w:rsidRDefault="00000000">
      <w:pPr>
        <w:keepLines/>
        <w:spacing w:after="140"/>
        <w:ind w:left="480" w:hanging="480"/>
        <w:jc w:val="left"/>
      </w:pPr>
      <w:r>
        <w:t xml:space="preserve">Loska, K., &amp; Wiechuła, D. (2003). Application of principal component analysis for the estimation of source of heavy metal contamination in surface sediments from the Rybnik Reservoir. </w:t>
      </w:r>
      <w:r>
        <w:rPr>
          <w:i/>
        </w:rPr>
        <w:t>Chemosphere, 51</w:t>
      </w:r>
      <w:r>
        <w:t xml:space="preserve">(8), 723–733. </w:t>
      </w:r>
      <w:hyperlink r:id="rId42">
        <w:r>
          <w:rPr>
            <w:color w:val="0563C1"/>
            <w:u w:val="single"/>
          </w:rPr>
          <w:t>https://doi.org/10.1016/S0045-6535(03)00187-5</w:t>
        </w:r>
      </w:hyperlink>
    </w:p>
    <w:p w14:paraId="32094D9F" w14:textId="77777777" w:rsidR="00B8768D" w:rsidRDefault="00000000">
      <w:pPr>
        <w:keepLines/>
        <w:spacing w:after="140"/>
        <w:ind w:left="480" w:hanging="480"/>
        <w:jc w:val="left"/>
      </w:pPr>
      <w:r>
        <w:lastRenderedPageBreak/>
        <w:t xml:space="preserve">Mohan, S. V., Nithila, P., &amp; Reddy, S. J. (1996). Estimation of heavy metals in drinking water and development of heavy metal pollution index. </w:t>
      </w:r>
      <w:r>
        <w:rPr>
          <w:i/>
        </w:rPr>
        <w:t>Journal of Environmental Science and Health, Part A, 31</w:t>
      </w:r>
      <w:r>
        <w:t xml:space="preserve">(2), 283–289. </w:t>
      </w:r>
      <w:hyperlink r:id="rId43">
        <w:r>
          <w:rPr>
            <w:color w:val="0563C1"/>
            <w:u w:val="single"/>
          </w:rPr>
          <w:t>https://doi.org/10.1080/10934529609376357</w:t>
        </w:r>
      </w:hyperlink>
    </w:p>
    <w:p w14:paraId="29F387F5" w14:textId="77777777" w:rsidR="00B8768D" w:rsidRDefault="00000000">
      <w:pPr>
        <w:keepLines/>
        <w:spacing w:after="140"/>
        <w:ind w:left="480" w:hanging="480"/>
        <w:jc w:val="left"/>
      </w:pPr>
      <w:r>
        <w:t xml:space="preserve">Nishitha, D. S., Sudheer, A. K., Arun, K., Amrish, V. N., Mahesh, G., Udayashankar, H. N., &amp; Balakrishna, K. (2023). Risk assessment and spatio-temporal distribution of dissolved trace metals in Swarna, Sharavati and Kali estuaries, South-West Coast of India. </w:t>
      </w:r>
      <w:r>
        <w:rPr>
          <w:i/>
        </w:rPr>
        <w:t>Environmental Science and Pollution Research, 30</w:t>
      </w:r>
      <w:r>
        <w:t xml:space="preserve">(4), 9914–9931. </w:t>
      </w:r>
      <w:hyperlink r:id="rId44">
        <w:r>
          <w:rPr>
            <w:color w:val="0563C1"/>
            <w:u w:val="single"/>
          </w:rPr>
          <w:t>https://doi.org/10.1007/s11356-022-22812-4</w:t>
        </w:r>
      </w:hyperlink>
    </w:p>
    <w:p w14:paraId="7EB38882" w14:textId="77777777" w:rsidR="00B8768D" w:rsidRDefault="00000000">
      <w:pPr>
        <w:keepLines/>
        <w:spacing w:after="140"/>
        <w:ind w:left="480" w:hanging="480"/>
        <w:jc w:val="left"/>
      </w:pPr>
      <w:r>
        <w:t xml:space="preserve">Olayinka-Olagunju, J. O., Dosumu, A. A., &amp; Olatunji-Ojo, A. M. (2021). Bioaccumulation of heavy metals in pelagic and benthic fishes of Ogbese River, Ondo State, South-Western Nigeria. </w:t>
      </w:r>
      <w:r>
        <w:rPr>
          <w:i/>
        </w:rPr>
        <w:t>Water, Air, &amp; Soil Pollution, 232</w:t>
      </w:r>
      <w:r>
        <w:t xml:space="preserve">(2), Article 44. </w:t>
      </w:r>
      <w:hyperlink r:id="rId45">
        <w:r>
          <w:rPr>
            <w:color w:val="0563C1"/>
            <w:u w:val="single"/>
          </w:rPr>
          <w:t>https://doi.org/10.1007/s11270-021-04987-7</w:t>
        </w:r>
      </w:hyperlink>
    </w:p>
    <w:p w14:paraId="4888E082" w14:textId="77777777" w:rsidR="00B8768D" w:rsidRDefault="00000000">
      <w:pPr>
        <w:keepLines/>
        <w:spacing w:after="140"/>
        <w:ind w:left="480" w:hanging="480"/>
        <w:jc w:val="left"/>
      </w:pPr>
      <w:r>
        <w:t xml:space="preserve">Onuigbo, B. S., Osuji, L. C., &amp; Onojake, M. C. (2025). Physico-chemical status of surface water and sediments of Bonny River after Fusokiri-6 manifold spill in the Niger Delta. </w:t>
      </w:r>
      <w:r>
        <w:rPr>
          <w:i/>
        </w:rPr>
        <w:t>Journal of Applied Chemical Science International, 16</w:t>
      </w:r>
      <w:r>
        <w:t xml:space="preserve">(2), 1–9. </w:t>
      </w:r>
      <w:hyperlink r:id="rId46">
        <w:r>
          <w:rPr>
            <w:color w:val="0563C1"/>
            <w:u w:val="single"/>
          </w:rPr>
          <w:t>https://doi.org/10.56557/jacsi/2025/v16i29159</w:t>
        </w:r>
      </w:hyperlink>
    </w:p>
    <w:p w14:paraId="4619A9AD" w14:textId="77777777" w:rsidR="00B8768D" w:rsidRDefault="00000000">
      <w:pPr>
        <w:keepLines/>
        <w:spacing w:after="140"/>
        <w:ind w:left="480" w:hanging="480"/>
        <w:jc w:val="left"/>
      </w:pPr>
      <w:r>
        <w:t xml:space="preserve">Otchere, F. A. (2019). A 50-year review on heavy metal pollution in the environment: Bivalves as bio-monitors. </w:t>
      </w:r>
      <w:r>
        <w:rPr>
          <w:i/>
        </w:rPr>
        <w:t>African Journal of Environmental Science and Technology, 13</w:t>
      </w:r>
      <w:r>
        <w:t xml:space="preserve">(6), 220–227. </w:t>
      </w:r>
      <w:hyperlink r:id="rId47">
        <w:r>
          <w:rPr>
            <w:color w:val="0563C1"/>
            <w:u w:val="single"/>
          </w:rPr>
          <w:t>https://doi.org/10.5897/AJEST2018.2597</w:t>
        </w:r>
      </w:hyperlink>
    </w:p>
    <w:p w14:paraId="618F3281" w14:textId="77777777" w:rsidR="00B8768D" w:rsidRDefault="00000000">
      <w:pPr>
        <w:keepLines/>
        <w:spacing w:after="140"/>
        <w:ind w:left="480" w:hanging="480"/>
        <w:jc w:val="left"/>
      </w:pPr>
      <w:r>
        <w:t xml:space="preserve">Pandiyan, J., Mahboob, S., Jagadheesan, R., Elumalai, K., Krishnappa, K., Al-Misned, F., Kaimkhani, Z. A., &amp; Govindarajan, M. (2020). A novel approach to assess the heavy metal content in the feathers of shorebirds: A perspective of environmental research. </w:t>
      </w:r>
      <w:r>
        <w:rPr>
          <w:i/>
        </w:rPr>
        <w:t>Journal of King Saud University – Science, 32</w:t>
      </w:r>
      <w:r>
        <w:t xml:space="preserve">(7), 3065–3071. </w:t>
      </w:r>
      <w:hyperlink r:id="rId48">
        <w:r>
          <w:rPr>
            <w:color w:val="0563C1"/>
            <w:u w:val="single"/>
          </w:rPr>
          <w:t>https://doi.org/10.1016/j.jksus.2020.08.014</w:t>
        </w:r>
      </w:hyperlink>
    </w:p>
    <w:p w14:paraId="4D9164D7" w14:textId="77777777" w:rsidR="00B8768D" w:rsidRDefault="00000000">
      <w:pPr>
        <w:keepLines/>
        <w:spacing w:after="140"/>
        <w:ind w:left="480" w:hanging="480"/>
        <w:jc w:val="left"/>
      </w:pPr>
      <w:r>
        <w:lastRenderedPageBreak/>
        <w:t xml:space="preserve">Panseriya, H. Z., Gosai, H. B., Sankhwal, A. O., Sachaniya, B. K., Gavali, D. J., &amp; Dave, B. P. (2020). Distribution, speciation and risk assessment of heavy metals: Geochemical exploration of Gulf of Kachchh, Gujarat, India. </w:t>
      </w:r>
      <w:r>
        <w:rPr>
          <w:i/>
        </w:rPr>
        <w:t>Environmental Earth Sciences, 79</w:t>
      </w:r>
      <w:r>
        <w:t xml:space="preserve">(10), Article 213. </w:t>
      </w:r>
      <w:hyperlink r:id="rId49">
        <w:r>
          <w:rPr>
            <w:color w:val="0563C1"/>
            <w:u w:val="single"/>
          </w:rPr>
          <w:t>https://doi.org/10.1007/s12665-020-08972-x</w:t>
        </w:r>
      </w:hyperlink>
    </w:p>
    <w:p w14:paraId="5DD66E1C" w14:textId="77777777" w:rsidR="00B8768D" w:rsidRDefault="00000000">
      <w:pPr>
        <w:keepLines/>
        <w:spacing w:after="140"/>
        <w:ind w:left="480" w:hanging="480"/>
        <w:jc w:val="left"/>
      </w:pPr>
      <w:r>
        <w:t xml:space="preserve">Prashanth, L., Kattapagari, K. K., Chitturi, R. T., Baddam, V. R. R., &amp; Prasad, L. K. (2015). A review on role of essential trace elements in health and disease. Journal of Dr. </w:t>
      </w:r>
      <w:r>
        <w:rPr>
          <w:i/>
        </w:rPr>
        <w:t>YSR University of Health Sciences, 4</w:t>
      </w:r>
      <w:r>
        <w:t xml:space="preserve">(2), 75–85. </w:t>
      </w:r>
      <w:hyperlink r:id="rId50">
        <w:r>
          <w:rPr>
            <w:color w:val="0563C1"/>
            <w:u w:val="single"/>
          </w:rPr>
          <w:t>https://doi.org/10.4103/2277-8632.158577</w:t>
        </w:r>
      </w:hyperlink>
    </w:p>
    <w:p w14:paraId="064B187E" w14:textId="77777777" w:rsidR="00B8768D" w:rsidRDefault="00000000">
      <w:pPr>
        <w:keepLines/>
        <w:spacing w:after="140"/>
        <w:ind w:left="480" w:hanging="480"/>
        <w:jc w:val="left"/>
      </w:pPr>
      <w:r>
        <w:t xml:space="preserve">Rashed, M. N. (2001). Monitoring of environmental heavy metals in fish from Nasser Lake. </w:t>
      </w:r>
      <w:r>
        <w:rPr>
          <w:i/>
        </w:rPr>
        <w:t>Environment International, 27</w:t>
      </w:r>
      <w:r>
        <w:t xml:space="preserve">(1), 27–33. </w:t>
      </w:r>
      <w:hyperlink r:id="rId51">
        <w:r>
          <w:rPr>
            <w:color w:val="0563C1"/>
            <w:u w:val="single"/>
          </w:rPr>
          <w:t>https://doi.org/10.1016/S0160-4120(01)00050-2</w:t>
        </w:r>
      </w:hyperlink>
    </w:p>
    <w:p w14:paraId="09F757F8" w14:textId="77777777" w:rsidR="00B8768D" w:rsidRDefault="00000000">
      <w:pPr>
        <w:keepLines/>
        <w:spacing w:after="140"/>
        <w:ind w:left="480" w:hanging="480"/>
        <w:jc w:val="left"/>
      </w:pPr>
      <w:r>
        <w:t xml:space="preserve">Ray, A., Mondal, D., Chakraborty, N., &amp; Ganguly, S. (2025). Toxicity effects of hexavalent chromium on hematological, biochemical and digestive enzyme profiles of Labeo rohita (Hamilton, 1822). </w:t>
      </w:r>
      <w:r>
        <w:rPr>
          <w:i/>
        </w:rPr>
        <w:t>Ecotoxicology, 34</w:t>
      </w:r>
      <w:r>
        <w:t xml:space="preserve">(1), 76–88. </w:t>
      </w:r>
      <w:hyperlink r:id="rId52">
        <w:r>
          <w:rPr>
            <w:color w:val="0563C1"/>
            <w:u w:val="single"/>
          </w:rPr>
          <w:t>https://doi.org/10.1007/s10646-024-02815-2</w:t>
        </w:r>
      </w:hyperlink>
    </w:p>
    <w:p w14:paraId="70F66F6D" w14:textId="77777777" w:rsidR="00B8768D" w:rsidRDefault="00000000">
      <w:pPr>
        <w:keepLines/>
        <w:spacing w:after="140"/>
        <w:ind w:left="480" w:hanging="480"/>
        <w:jc w:val="left"/>
      </w:pPr>
      <w:r>
        <w:t xml:space="preserve">Santos-Echeandía, J., Prego, R., &amp; Cobelo-García, A. (2008). Influence of the heavy fuel spill from the Prestige tanker wreckage in the overlying seawater column levels of copper, nickel and vanadium (NE Atlantic Ocean). </w:t>
      </w:r>
      <w:r>
        <w:rPr>
          <w:i/>
        </w:rPr>
        <w:t>Journal of Marine Systems, 72</w:t>
      </w:r>
      <w:r>
        <w:t xml:space="preserve">(1–4), 350–357. </w:t>
      </w:r>
      <w:hyperlink r:id="rId53">
        <w:r>
          <w:rPr>
            <w:color w:val="0563C1"/>
            <w:u w:val="single"/>
          </w:rPr>
          <w:t>https://doi.org/10.1016/j.jmarsys.2006.12.005</w:t>
        </w:r>
      </w:hyperlink>
    </w:p>
    <w:p w14:paraId="391D9A7D" w14:textId="77777777" w:rsidR="00B8768D" w:rsidRDefault="00000000">
      <w:pPr>
        <w:keepLines/>
        <w:spacing w:after="140"/>
        <w:ind w:left="480" w:hanging="480"/>
        <w:jc w:val="left"/>
      </w:pPr>
      <w:r>
        <w:t xml:space="preserve">Sasidharan, S., Pattathil, V., &amp; Sarasamma, J. D. (2025). Heavy metals bioaccumulation in Mugil cephalus Linnaeus in Kadinamkulam Estuary, South India and its implications to human health. </w:t>
      </w:r>
      <w:r>
        <w:rPr>
          <w:i/>
        </w:rPr>
        <w:t>Bulletin of Environmental Contamination and Toxicology, 115</w:t>
      </w:r>
      <w:r>
        <w:t xml:space="preserve">(5), Article 60. </w:t>
      </w:r>
      <w:hyperlink r:id="rId54">
        <w:r>
          <w:rPr>
            <w:color w:val="0563C1"/>
            <w:u w:val="single"/>
          </w:rPr>
          <w:t>https://doi.org/10.1007/s00128-025-04134-6</w:t>
        </w:r>
      </w:hyperlink>
    </w:p>
    <w:p w14:paraId="3FBC8AD9" w14:textId="77777777" w:rsidR="00B8768D" w:rsidRDefault="00000000">
      <w:pPr>
        <w:keepLines/>
        <w:spacing w:after="140"/>
        <w:ind w:left="480" w:hanging="480"/>
        <w:jc w:val="left"/>
      </w:pPr>
      <w:r>
        <w:t xml:space="preserve">Sharma, K., Shah, G., Singhal, K., &amp; Soni, V. (2024). Comprehensive insights into the impact of oil pollution on the environment. </w:t>
      </w:r>
      <w:r>
        <w:rPr>
          <w:i/>
        </w:rPr>
        <w:t>Regional Studies in Marine Science, 74</w:t>
      </w:r>
      <w:r>
        <w:t xml:space="preserve">, Article 103516. </w:t>
      </w:r>
      <w:hyperlink r:id="rId55">
        <w:r>
          <w:rPr>
            <w:color w:val="0563C1"/>
            <w:u w:val="single"/>
          </w:rPr>
          <w:t>https://doi.org/10.1016/j.rsma.2024.103516</w:t>
        </w:r>
      </w:hyperlink>
    </w:p>
    <w:p w14:paraId="3F276DB7" w14:textId="77777777" w:rsidR="00B8768D" w:rsidRDefault="00000000">
      <w:pPr>
        <w:keepLines/>
        <w:spacing w:after="140"/>
        <w:ind w:left="480" w:hanging="480"/>
        <w:jc w:val="left"/>
      </w:pPr>
      <w:r>
        <w:lastRenderedPageBreak/>
        <w:t xml:space="preserve">Sharma, M., Kant, R., Sharma, A. K., &amp; Sharma, A. K. (2025). Exploring the impact of heavy metals toxicity in the aquatic ecosystem. </w:t>
      </w:r>
      <w:r>
        <w:rPr>
          <w:i/>
        </w:rPr>
        <w:t>International Journal of Energy and Water Resources, 9</w:t>
      </w:r>
      <w:r>
        <w:t xml:space="preserve">(1), 267–280. </w:t>
      </w:r>
      <w:hyperlink r:id="rId56">
        <w:r>
          <w:rPr>
            <w:color w:val="0563C1"/>
            <w:u w:val="single"/>
          </w:rPr>
          <w:t>https://doi.org/10.1007/s42108-024-00284-1</w:t>
        </w:r>
      </w:hyperlink>
    </w:p>
    <w:p w14:paraId="66A8D8E0" w14:textId="77777777" w:rsidR="00B8768D" w:rsidRDefault="00000000">
      <w:pPr>
        <w:keepLines/>
        <w:spacing w:after="140"/>
        <w:ind w:left="480" w:hanging="480"/>
        <w:jc w:val="left"/>
      </w:pPr>
      <w:r>
        <w:t xml:space="preserve">Sigamani, S., Dhrisha, J. A., Dony Miraclin, Y. T., Subiksha, S., Balaji, U., Kolandhasamy, P., Syed, A., &amp; Elgorban, A. M. (2024). Bioaccumulation and health risk of metal contamination from different tiers of food chain in Ennore estuary, Southeast coast of India. </w:t>
      </w:r>
      <w:r>
        <w:rPr>
          <w:i/>
        </w:rPr>
        <w:t>Marine Pollution Bulletin, 200</w:t>
      </w:r>
      <w:r>
        <w:t xml:space="preserve">, Article 116154. </w:t>
      </w:r>
      <w:hyperlink r:id="rId57">
        <w:r>
          <w:rPr>
            <w:color w:val="0563C1"/>
            <w:u w:val="single"/>
          </w:rPr>
          <w:t>https://doi.org/10.1016/j.marpolbul.2024.116154</w:t>
        </w:r>
      </w:hyperlink>
    </w:p>
    <w:p w14:paraId="7694E994" w14:textId="545A0D74" w:rsidR="00B8768D" w:rsidRDefault="00000000">
      <w:pPr>
        <w:keepLines/>
        <w:spacing w:after="140"/>
        <w:ind w:left="480" w:hanging="480"/>
        <w:jc w:val="left"/>
      </w:pPr>
      <w:r>
        <w:t xml:space="preserve">Singh, R., Singh, A., Bhadouria, R., &amp; Yadav, H. K. (2017). Impact and assessment of heavy metal toxicity on water quality, edible fishes and sediments in lakes: A review. </w:t>
      </w:r>
      <w:r>
        <w:rPr>
          <w:i/>
        </w:rPr>
        <w:t>Trends in Biosciences, 10</w:t>
      </w:r>
      <w:r>
        <w:t xml:space="preserve">(8), 1551–1560. </w:t>
      </w:r>
    </w:p>
    <w:p w14:paraId="49D1DBA9" w14:textId="77777777" w:rsidR="00B8768D" w:rsidRDefault="00000000">
      <w:pPr>
        <w:keepLines/>
        <w:spacing w:after="140"/>
        <w:ind w:left="480" w:hanging="480"/>
        <w:jc w:val="left"/>
      </w:pPr>
      <w:r>
        <w:t xml:space="preserve">Stark, J. S., Kim, S. L., &amp; Oliver, J. S. (2014). Anthropogenic disturbance and biodiversity of marine benthic communities in Antarctica: A regional comparison. </w:t>
      </w:r>
      <w:r>
        <w:rPr>
          <w:i/>
        </w:rPr>
        <w:t>PLOS ONE, 9</w:t>
      </w:r>
      <w:r>
        <w:t xml:space="preserve">(6), Article e98802. </w:t>
      </w:r>
      <w:hyperlink r:id="rId58">
        <w:r>
          <w:rPr>
            <w:color w:val="0563C1"/>
            <w:u w:val="single"/>
          </w:rPr>
          <w:t>https://doi.org/10.1371/journal.pone.0098802</w:t>
        </w:r>
      </w:hyperlink>
    </w:p>
    <w:p w14:paraId="12E4B6D7" w14:textId="77777777" w:rsidR="00B8768D" w:rsidRDefault="00000000">
      <w:pPr>
        <w:keepLines/>
        <w:spacing w:after="140"/>
        <w:ind w:left="480" w:hanging="480"/>
        <w:jc w:val="left"/>
      </w:pPr>
      <w:r>
        <w:t xml:space="preserve">Steffy, D. A., Nichols, A. C., Morgan, L. J., &amp; Gibbs, R. (2013). Evidence that the Deepwater Horizon oil spill caused a change in the nickel, chromium, and lead average seasonal concentrations occurring in sea bottom sediment collected from the eastern Gulf of Mexico continental shelf between the years 2009 and 2011. </w:t>
      </w:r>
      <w:r>
        <w:rPr>
          <w:i/>
        </w:rPr>
        <w:t>Water, Air, &amp; Soil Pollution, 224</w:t>
      </w:r>
      <w:r>
        <w:t xml:space="preserve">(11), Article 1756. </w:t>
      </w:r>
      <w:hyperlink r:id="rId59">
        <w:r>
          <w:rPr>
            <w:color w:val="0563C1"/>
            <w:u w:val="single"/>
          </w:rPr>
          <w:t>https://doi.org/10.1007/s11270-013-1756-1</w:t>
        </w:r>
      </w:hyperlink>
    </w:p>
    <w:p w14:paraId="6B4724C7" w14:textId="77777777" w:rsidR="00B8768D" w:rsidRDefault="00000000">
      <w:pPr>
        <w:keepLines/>
        <w:spacing w:after="140"/>
        <w:ind w:left="480" w:hanging="480"/>
        <w:jc w:val="left"/>
      </w:pPr>
      <w:r>
        <w:t xml:space="preserve">Tarasco, M., Cardeira, J., Viegas, M. N., Caria, J., Martins, G., Gavaia, P. J., Cancela, M. L., &amp; Laizé, V. (2019). Anti-osteogenic activity of cadmium in zebrafish. </w:t>
      </w:r>
      <w:r>
        <w:rPr>
          <w:i/>
        </w:rPr>
        <w:t>Fishes, 4</w:t>
      </w:r>
      <w:r>
        <w:t xml:space="preserve">(1), Article 11. </w:t>
      </w:r>
      <w:hyperlink r:id="rId60">
        <w:r>
          <w:rPr>
            <w:color w:val="0563C1"/>
            <w:u w:val="single"/>
          </w:rPr>
          <w:t>https://doi.org/10.3390/fishes4010011</w:t>
        </w:r>
      </w:hyperlink>
    </w:p>
    <w:p w14:paraId="235ADBDC" w14:textId="77777777" w:rsidR="00B8768D" w:rsidRDefault="00000000">
      <w:pPr>
        <w:keepLines/>
        <w:spacing w:after="140"/>
        <w:ind w:left="480" w:hanging="480"/>
        <w:jc w:val="left"/>
      </w:pPr>
      <w:r>
        <w:t xml:space="preserve">Tomlinson, D. L., Wilson, J. G., Harris, C. R., &amp; Jeffrey, D. W. (1980). Problems in the assessment of heavy-metal levels in estuaries and the formation of a pollution index. </w:t>
      </w:r>
      <w:r>
        <w:rPr>
          <w:i/>
        </w:rPr>
        <w:t>Helgoländer Meeresuntersuchungen, 33</w:t>
      </w:r>
      <w:r>
        <w:t xml:space="preserve">(1), 566–575. </w:t>
      </w:r>
      <w:hyperlink r:id="rId61">
        <w:r>
          <w:rPr>
            <w:color w:val="0563C1"/>
            <w:u w:val="single"/>
          </w:rPr>
          <w:t>https://doi.org/10.1007/BF02414780</w:t>
        </w:r>
      </w:hyperlink>
    </w:p>
    <w:p w14:paraId="6FB13A3F" w14:textId="77777777" w:rsidR="00B8768D" w:rsidRDefault="00000000">
      <w:pPr>
        <w:keepLines/>
        <w:spacing w:after="140"/>
        <w:ind w:left="480" w:hanging="480"/>
        <w:jc w:val="left"/>
      </w:pPr>
      <w:r>
        <w:lastRenderedPageBreak/>
        <w:t xml:space="preserve">Turekian, K. K., &amp; Wedepohl, K. H. (1961). Distribution of the elements in some major units of the Earth's crust. </w:t>
      </w:r>
      <w:r>
        <w:rPr>
          <w:i/>
        </w:rPr>
        <w:t>Geological Society of America Bulletin, 72</w:t>
      </w:r>
      <w:r>
        <w:t xml:space="preserve">(2), 175–192. </w:t>
      </w:r>
      <w:hyperlink r:id="rId62">
        <w:r>
          <w:rPr>
            <w:color w:val="0563C1"/>
            <w:u w:val="single"/>
          </w:rPr>
          <w:t>https://doi.org/10.1130/0016-7606(1961)72[175:DOTEIS]2.0.CO;2</w:t>
        </w:r>
      </w:hyperlink>
    </w:p>
    <w:p w14:paraId="7D146CFB" w14:textId="77777777" w:rsidR="00B8768D" w:rsidRDefault="00000000">
      <w:pPr>
        <w:keepLines/>
        <w:spacing w:after="140"/>
        <w:ind w:left="480" w:hanging="480"/>
        <w:jc w:val="left"/>
      </w:pPr>
      <w:r>
        <w:t xml:space="preserve">Velusamy, A., Kumar, P. S., Ram, A., &amp; Chinnadurai, S. (2014). Bioaccumulation of heavy metals in commercially important marine fishes from Mumbai Harbor, India. </w:t>
      </w:r>
      <w:r>
        <w:rPr>
          <w:i/>
        </w:rPr>
        <w:t>Marine Pollution Bulletin, 81</w:t>
      </w:r>
      <w:r>
        <w:t xml:space="preserve">(1), 218–224. </w:t>
      </w:r>
      <w:hyperlink r:id="rId63">
        <w:r>
          <w:rPr>
            <w:color w:val="0563C1"/>
            <w:u w:val="single"/>
          </w:rPr>
          <w:t>https://doi.org/10.1016/j.marpolbul.2014.01.049</w:t>
        </w:r>
      </w:hyperlink>
    </w:p>
    <w:p w14:paraId="13A5E12E" w14:textId="77777777" w:rsidR="00B8768D" w:rsidRDefault="00000000">
      <w:pPr>
        <w:keepLines/>
        <w:spacing w:after="140"/>
        <w:ind w:left="480" w:hanging="480"/>
        <w:jc w:val="left"/>
      </w:pPr>
      <w:r>
        <w:t xml:space="preserve">Vergilio, C. S., Moreira, R. V., Carvalho, C. E. V., &amp; Melo, E. J. T. (2015). Evolution of cadmium effects in the testis and sperm of the tropical fish Gymnotus carapo. </w:t>
      </w:r>
      <w:r>
        <w:rPr>
          <w:i/>
        </w:rPr>
        <w:t>Tissue and Cell, 47</w:t>
      </w:r>
      <w:r>
        <w:t xml:space="preserve">(2), 132–139. </w:t>
      </w:r>
      <w:hyperlink r:id="rId64">
        <w:r>
          <w:rPr>
            <w:color w:val="0563C1"/>
            <w:u w:val="single"/>
          </w:rPr>
          <w:t>https://doi.org/10.1016/j.tice.2015.02.001</w:t>
        </w:r>
      </w:hyperlink>
    </w:p>
    <w:p w14:paraId="5DBC6F43" w14:textId="77777777" w:rsidR="00B8768D" w:rsidRDefault="00000000">
      <w:pPr>
        <w:keepLines/>
        <w:spacing w:after="140"/>
        <w:ind w:left="480" w:hanging="480"/>
        <w:jc w:val="left"/>
      </w:pPr>
      <w:r>
        <w:t xml:space="preserve">Vetrimurugan, E., Shruti, V. C., Jonathan, M. P., Roy, P. D., Sarkar, S. K., Rawlins, B. K., &amp; Villegas, L. E. C. (2019). Comprehensive study on metal contents and their ecological risks in beach sediments of KwaZulu-Natal province, South Africa. </w:t>
      </w:r>
      <w:r>
        <w:rPr>
          <w:i/>
        </w:rPr>
        <w:t>Marine Pollution Bulletin, 149</w:t>
      </w:r>
      <w:r>
        <w:t xml:space="preserve">, Article 110555. </w:t>
      </w:r>
      <w:hyperlink r:id="rId65">
        <w:r>
          <w:rPr>
            <w:color w:val="0563C1"/>
            <w:u w:val="single"/>
          </w:rPr>
          <w:t>https://doi.org/10.1016/j.marpolbul.2019.110555</w:t>
        </w:r>
      </w:hyperlink>
    </w:p>
    <w:p w14:paraId="2105371B" w14:textId="77777777" w:rsidR="00B8768D" w:rsidRDefault="00000000">
      <w:pPr>
        <w:keepLines/>
        <w:spacing w:after="140"/>
        <w:ind w:left="480" w:hanging="480"/>
        <w:jc w:val="left"/>
      </w:pPr>
      <w:r>
        <w:t xml:space="preserve">Vinanthi Rajalakshmi, K. S., Liu, W.-C., Balamuralikrishnan, B., Meyyazhagan, A., Sattanathan, G., Pappuswamy, M., Joseph, K. S., Paari, K. A., &amp; Lee, J.-W. (2023). Cadmium as an endocrine disruptor that hinders the reproductive and developmental pathways in freshwater fish: A review. </w:t>
      </w:r>
      <w:r>
        <w:rPr>
          <w:i/>
        </w:rPr>
        <w:t>Fishes, 8</w:t>
      </w:r>
      <w:r>
        <w:t xml:space="preserve">(12), Article 589. </w:t>
      </w:r>
      <w:hyperlink r:id="rId66">
        <w:r>
          <w:rPr>
            <w:color w:val="0563C1"/>
            <w:u w:val="single"/>
          </w:rPr>
          <w:t>https://doi.org/10.3390/fishes8120589</w:t>
        </w:r>
      </w:hyperlink>
    </w:p>
    <w:p w14:paraId="601FD183" w14:textId="77777777" w:rsidR="00B8768D" w:rsidRDefault="00000000">
      <w:pPr>
        <w:keepLines/>
        <w:spacing w:after="140"/>
        <w:ind w:left="480" w:hanging="480"/>
        <w:jc w:val="left"/>
      </w:pPr>
      <w:r>
        <w:t xml:space="preserve">Vincy, M. V., Brilliant, R., &amp; Pradeep Kumar, A. P. (2012). Water quality assessment of a tropical wetland ecosystem with special reference to backwater tourism, Kerala, South India. </w:t>
      </w:r>
      <w:r>
        <w:rPr>
          <w:i/>
        </w:rPr>
        <w:t>International Research Journal of Environment Sciences, 1</w:t>
      </w:r>
      <w:r>
        <w:t xml:space="preserve">(5), 62–68. </w:t>
      </w:r>
      <w:hyperlink r:id="rId67">
        <w:r>
          <w:rPr>
            <w:color w:val="0563C1"/>
            <w:u w:val="single"/>
          </w:rPr>
          <w:t>https://www.isca.me/IJENS/Archive/v1/i5/11.ISCA-IRJEvsS-2012-082.php</w:t>
        </w:r>
      </w:hyperlink>
    </w:p>
    <w:p w14:paraId="3FB56C1A" w14:textId="77777777" w:rsidR="00B8768D" w:rsidRDefault="00000000">
      <w:pPr>
        <w:keepLines/>
        <w:spacing w:after="140"/>
        <w:ind w:left="480" w:hanging="480"/>
        <w:jc w:val="left"/>
      </w:pPr>
      <w:r>
        <w:lastRenderedPageBreak/>
        <w:t xml:space="preserve">Vineethkumar, V., Sayooj, V. V., Shimod, K. P., &amp; Prakash, V. (2020). Estimation of pollution indices and hazard evaluation from trace elements concentration in coastal sediments of Kerala, Southwest Coast of India. </w:t>
      </w:r>
      <w:r>
        <w:rPr>
          <w:i/>
        </w:rPr>
        <w:t>Bulletin of the National Research Centre, 44</w:t>
      </w:r>
      <w:r>
        <w:t xml:space="preserve">, Article 198. </w:t>
      </w:r>
      <w:hyperlink r:id="rId68">
        <w:r>
          <w:rPr>
            <w:color w:val="0563C1"/>
            <w:u w:val="single"/>
          </w:rPr>
          <w:t>https://doi.org/10.1186/s42269-020-00455-0</w:t>
        </w:r>
      </w:hyperlink>
    </w:p>
    <w:p w14:paraId="2E00EF4C" w14:textId="77777777" w:rsidR="00B8768D" w:rsidRDefault="00000000">
      <w:pPr>
        <w:keepLines/>
        <w:spacing w:after="140"/>
        <w:ind w:left="480" w:hanging="480"/>
        <w:jc w:val="left"/>
      </w:pPr>
      <w:r>
        <w:t xml:space="preserve">Wang, Q., &amp; Yang, Z. (2016). Industrial water pollution, water environment treatment, and health risks in China. </w:t>
      </w:r>
      <w:r>
        <w:rPr>
          <w:i/>
        </w:rPr>
        <w:t>Environmental Pollution, 218</w:t>
      </w:r>
      <w:r>
        <w:t xml:space="preserve">, 358–365. </w:t>
      </w:r>
      <w:hyperlink r:id="rId69">
        <w:r>
          <w:rPr>
            <w:color w:val="0563C1"/>
            <w:u w:val="single"/>
          </w:rPr>
          <w:t>https://doi.org/10.1016/j.envpol.2016.07.011</w:t>
        </w:r>
      </w:hyperlink>
    </w:p>
    <w:p w14:paraId="74E905E1" w14:textId="77777777" w:rsidR="00B8768D" w:rsidRDefault="00000000">
      <w:pPr>
        <w:keepLines/>
        <w:spacing w:after="140"/>
        <w:ind w:left="480" w:hanging="480"/>
        <w:jc w:val="left"/>
      </w:pPr>
      <w:r>
        <w:t xml:space="preserve">Wang, Q., Chen, M., Shan, G., Chen, P., Cui, S., Yi, S., &amp; Zhu, L. (2017). Bioaccumulation and biomagnification of emerging bisphenol analogues in aquatic organisms from Taihu Lake, China. </w:t>
      </w:r>
      <w:r>
        <w:rPr>
          <w:i/>
        </w:rPr>
        <w:t>Science of the Total Environment, 598</w:t>
      </w:r>
      <w:r>
        <w:t xml:space="preserve">, 814–820. </w:t>
      </w:r>
      <w:hyperlink r:id="rId70">
        <w:r>
          <w:rPr>
            <w:color w:val="0563C1"/>
            <w:u w:val="single"/>
          </w:rPr>
          <w:t>https://doi.org/10.1016/j.scitotenv.2017.04.167</w:t>
        </w:r>
      </w:hyperlink>
    </w:p>
    <w:p w14:paraId="2A938FB0" w14:textId="77777777" w:rsidR="00B8768D" w:rsidRDefault="00000000">
      <w:pPr>
        <w:keepLines/>
        <w:spacing w:after="140"/>
        <w:ind w:left="480" w:hanging="480"/>
        <w:jc w:val="left"/>
      </w:pPr>
      <w:r>
        <w:t xml:space="preserve">Xing, Q., Li, L., Lou, M., Bing, L., Zhao, R., &amp; Li, Z. (2015). Observation of oil spills through Landsat thermal infrared imagery: A case of Deepwater Horizon. </w:t>
      </w:r>
      <w:r>
        <w:rPr>
          <w:i/>
        </w:rPr>
        <w:t>Aquatic Procedia, 3</w:t>
      </w:r>
      <w:r>
        <w:t xml:space="preserve">, 151–156. </w:t>
      </w:r>
      <w:hyperlink r:id="rId71">
        <w:r>
          <w:rPr>
            <w:color w:val="0563C1"/>
            <w:u w:val="single"/>
          </w:rPr>
          <w:t>https://doi.org/10.1016/j.aqpro.2015.02.205</w:t>
        </w:r>
      </w:hyperlink>
    </w:p>
    <w:p w14:paraId="79FC0BA8" w14:textId="77777777" w:rsidR="00B8768D" w:rsidRDefault="00000000">
      <w:pPr>
        <w:keepLines/>
        <w:spacing w:after="140"/>
        <w:ind w:left="480" w:hanging="480"/>
        <w:jc w:val="left"/>
      </w:pPr>
      <w:r>
        <w:t xml:space="preserve">Xu, Q., Wu, B., &amp; Chai, X. (2022). In situ remediation technology for heavy metal contaminated sediment: A review. </w:t>
      </w:r>
      <w:r>
        <w:rPr>
          <w:i/>
        </w:rPr>
        <w:t>International Journal of Environmental Research and Public Health, 19</w:t>
      </w:r>
      <w:r>
        <w:t xml:space="preserve">(24), Article 16767. </w:t>
      </w:r>
      <w:hyperlink r:id="rId72">
        <w:r>
          <w:rPr>
            <w:color w:val="0563C1"/>
            <w:u w:val="single"/>
          </w:rPr>
          <w:t>https://doi.org/10.3390/ijerph192416767</w:t>
        </w:r>
      </w:hyperlink>
    </w:p>
    <w:p w14:paraId="55581920" w14:textId="77777777" w:rsidR="00B8768D" w:rsidRDefault="00000000">
      <w:pPr>
        <w:keepLines/>
        <w:spacing w:after="140"/>
        <w:ind w:left="480" w:hanging="480"/>
        <w:jc w:val="left"/>
      </w:pPr>
      <w:r>
        <w:t xml:space="preserve">Yan, B., Passow, U., Chanton, J. P., Nöthig, E.-M., Asper, V., Sweet, J., Pitiranggon, M., Diercks, A., &amp; Pak, D. (2016). Sustained deposition of contaminants from the Deepwater Horizon spill. </w:t>
      </w:r>
      <w:r>
        <w:rPr>
          <w:i/>
        </w:rPr>
        <w:t>Proceedings of the National Academy of Sciences, 113</w:t>
      </w:r>
      <w:r>
        <w:t xml:space="preserve">(24), E3332–E3340. </w:t>
      </w:r>
      <w:hyperlink r:id="rId73">
        <w:r>
          <w:rPr>
            <w:color w:val="0563C1"/>
            <w:u w:val="single"/>
          </w:rPr>
          <w:t>https://doi.org/10.1073/pnas.1513156113</w:t>
        </w:r>
      </w:hyperlink>
    </w:p>
    <w:p w14:paraId="2FC8CC73" w14:textId="77777777" w:rsidR="00B8768D" w:rsidRDefault="00000000">
      <w:pPr>
        <w:keepLines/>
        <w:spacing w:after="140"/>
        <w:ind w:left="480" w:hanging="480"/>
        <w:jc w:val="left"/>
      </w:pPr>
      <w:r>
        <w:lastRenderedPageBreak/>
        <w:t xml:space="preserve">Zhang, J., Zhou, F., Chen, C., Sun, X., Shi, Y., Zhao, H., &amp; Chen, F. (2018). Spatial distribution and correlation characteristics of heavy metals in the seawater, suspended particulate matter and sediments in Zhanjiang Bay, China. </w:t>
      </w:r>
      <w:r>
        <w:rPr>
          <w:i/>
        </w:rPr>
        <w:t>PLOS ONE, 13</w:t>
      </w:r>
      <w:r>
        <w:t xml:space="preserve">(8), Article e0201414. </w:t>
      </w:r>
      <w:hyperlink r:id="rId74">
        <w:r>
          <w:rPr>
            <w:color w:val="0563C1"/>
            <w:u w:val="single"/>
          </w:rPr>
          <w:t>https://doi.org/10.1371/journal.pone.0201414</w:t>
        </w:r>
      </w:hyperlink>
    </w:p>
    <w:p w14:paraId="455819DD" w14:textId="77777777" w:rsidR="00B8768D" w:rsidRDefault="00000000">
      <w:pPr>
        <w:keepLines/>
        <w:spacing w:after="140"/>
        <w:ind w:left="480" w:hanging="480"/>
        <w:jc w:val="left"/>
      </w:pPr>
      <w:r>
        <w:t xml:space="preserve">Zhang, S., Chen, B., Du, J., Wang, T., Shi, H., &amp; Wang, F. (2022). Distribution, assessment, and source of heavy metals in sediments of the Qinjiang River, China. </w:t>
      </w:r>
      <w:r>
        <w:rPr>
          <w:i/>
        </w:rPr>
        <w:t>International Journal of Environmental Research and Public Health, 19</w:t>
      </w:r>
      <w:r>
        <w:t xml:space="preserve">(15), Article 9140. </w:t>
      </w:r>
      <w:hyperlink r:id="rId75">
        <w:r>
          <w:rPr>
            <w:color w:val="0563C1"/>
            <w:u w:val="single"/>
          </w:rPr>
          <w:t>https://doi.org/10.3390/ijerph19159140</w:t>
        </w:r>
      </w:hyperlink>
    </w:p>
    <w:p w14:paraId="5FE51511" w14:textId="77777777" w:rsidR="00B8768D" w:rsidRDefault="00000000">
      <w:pPr>
        <w:keepLines/>
        <w:spacing w:after="140"/>
        <w:ind w:left="480" w:hanging="480"/>
        <w:jc w:val="left"/>
      </w:pPr>
      <w:r>
        <w:t xml:space="preserve">Zhu, B., Wang, Q., Shi, X., Guo, Y., Xu, T., &amp; Zhou, B. (2016). Effect of combined exposure to lead and decabromodiphenyl ether on neurodevelopment of zebrafish larvae. </w:t>
      </w:r>
      <w:r>
        <w:rPr>
          <w:i/>
        </w:rPr>
        <w:t>Chemosphere, 144</w:t>
      </w:r>
      <w:r>
        <w:t xml:space="preserve">, 1646–1654. </w:t>
      </w:r>
      <w:hyperlink r:id="rId76">
        <w:r>
          <w:rPr>
            <w:color w:val="0563C1"/>
            <w:u w:val="single"/>
          </w:rPr>
          <w:t>https://doi.org/10.1016/j.chemosphere.2015.10.056</w:t>
        </w:r>
      </w:hyperlink>
    </w:p>
    <w:sectPr w:rsidR="00B8768D">
      <w:headerReference w:type="even" r:id="rId77"/>
      <w:headerReference w:type="default" r:id="rId78"/>
      <w:footerReference w:type="even" r:id="rId79"/>
      <w:footerReference w:type="default" r:id="rId80"/>
      <w:headerReference w:type="first" r:id="rId81"/>
      <w:footerReference w:type="first" r:id="rId8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D0E45" w14:textId="77777777" w:rsidR="001F5467" w:rsidRDefault="001F5467">
      <w:pPr>
        <w:spacing w:line="240" w:lineRule="auto"/>
      </w:pPr>
      <w:r>
        <w:separator/>
      </w:r>
    </w:p>
  </w:endnote>
  <w:endnote w:type="continuationSeparator" w:id="0">
    <w:p w14:paraId="0E440006" w14:textId="77777777" w:rsidR="001F5467" w:rsidRDefault="001F54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784BA" w14:textId="77777777" w:rsidR="008C6784" w:rsidRDefault="008C67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DB055" w14:textId="77777777" w:rsidR="008C6784" w:rsidRDefault="008C67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8B63F" w14:textId="77777777" w:rsidR="008C6784" w:rsidRDefault="008C67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ADE86" w14:textId="77777777" w:rsidR="001F5467" w:rsidRDefault="001F5467">
      <w:r>
        <w:separator/>
      </w:r>
    </w:p>
  </w:footnote>
  <w:footnote w:type="continuationSeparator" w:id="0">
    <w:p w14:paraId="5AD6172F" w14:textId="77777777" w:rsidR="001F5467" w:rsidRDefault="001F5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3FE6D" w14:textId="77777777" w:rsidR="008C6784" w:rsidRDefault="00000000">
    <w:pPr>
      <w:pStyle w:val="Header"/>
    </w:pPr>
    <w:r>
      <w:pict w14:anchorId="561ABE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9469407" o:spid="_x0000_s1026" type="#_x0000_t136" style="position:absolute;left:0;text-align:left;margin-left:0;margin-top:0;width:535.8pt;height:100.45pt;rotation:315;z-index:-251656192;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0726F" w14:textId="77777777" w:rsidR="008C6784" w:rsidRDefault="00000000">
    <w:pPr>
      <w:pStyle w:val="Header"/>
    </w:pPr>
    <w:r>
      <w:pict w14:anchorId="5B0B05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9469408" o:spid="_x0000_s1027" type="#_x0000_t136" style="position:absolute;left:0;text-align:left;margin-left:0;margin-top:0;width:535.8pt;height:100.45pt;rotation:315;z-index:-251655168;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C1591" w14:textId="77777777" w:rsidR="008C6784" w:rsidRDefault="00000000">
    <w:pPr>
      <w:pStyle w:val="Header"/>
    </w:pPr>
    <w:r>
      <w:pict w14:anchorId="50EA40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9469406" o:spid="_x0000_s1025" type="#_x0000_t136" style="position:absolute;left:0;text-align:left;margin-left:0;margin-top:0;width:535.8pt;height:100.45pt;rotation:315;z-index:-251657216;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08E"/>
    <w:multiLevelType w:val="multilevel"/>
    <w:tmpl w:val="0053208E"/>
    <w:lvl w:ilvl="0">
      <w:start w:val="1"/>
      <w:numFmt w:val="decimal"/>
      <w:lvlText w:val="%1."/>
      <w:lvlJc w:val="left"/>
      <w:pPr>
        <w:ind w:left="720" w:hanging="360"/>
      </w:pPr>
      <w:rPr>
        <w:b/>
      </w:rPr>
    </w:lvl>
    <w:lvl w:ilvl="1">
      <w:start w:val="11"/>
      <w:numFmt w:val="decimal"/>
      <w:lvlText w:val="%1.%2."/>
      <w:lvlJc w:val="left"/>
      <w:pPr>
        <w:ind w:left="828" w:hanging="468"/>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778F02ED"/>
    <w:multiLevelType w:val="multilevel"/>
    <w:tmpl w:val="778F02ED"/>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91213806">
    <w:abstractNumId w:val="0"/>
  </w:num>
  <w:num w:numId="2" w16cid:durableId="756831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MxMTE3MTU1MzM1tzRS0lEKTi0uzszPAykwrAUAOK2rsSwAAAA="/>
  </w:docVars>
  <w:rsids>
    <w:rsidRoot w:val="00165BA6"/>
    <w:rsid w:val="000239CD"/>
    <w:rsid w:val="0005361C"/>
    <w:rsid w:val="00080628"/>
    <w:rsid w:val="00085EA1"/>
    <w:rsid w:val="000976D3"/>
    <w:rsid w:val="000A47EF"/>
    <w:rsid w:val="000C327D"/>
    <w:rsid w:val="000D1EA8"/>
    <w:rsid w:val="000F25E2"/>
    <w:rsid w:val="00110014"/>
    <w:rsid w:val="00111F89"/>
    <w:rsid w:val="00146588"/>
    <w:rsid w:val="001517C7"/>
    <w:rsid w:val="00165BA6"/>
    <w:rsid w:val="001977A9"/>
    <w:rsid w:val="001B04FD"/>
    <w:rsid w:val="001D65AD"/>
    <w:rsid w:val="001F536A"/>
    <w:rsid w:val="001F5467"/>
    <w:rsid w:val="00247AC8"/>
    <w:rsid w:val="0025531F"/>
    <w:rsid w:val="00280B6E"/>
    <w:rsid w:val="002818EF"/>
    <w:rsid w:val="0028436B"/>
    <w:rsid w:val="002A6805"/>
    <w:rsid w:val="002C38C5"/>
    <w:rsid w:val="002F7BA4"/>
    <w:rsid w:val="003007A9"/>
    <w:rsid w:val="00304487"/>
    <w:rsid w:val="00316F8D"/>
    <w:rsid w:val="0033786E"/>
    <w:rsid w:val="00343E5A"/>
    <w:rsid w:val="00353B21"/>
    <w:rsid w:val="00374D1C"/>
    <w:rsid w:val="00383807"/>
    <w:rsid w:val="00383B49"/>
    <w:rsid w:val="003A1586"/>
    <w:rsid w:val="003A41EF"/>
    <w:rsid w:val="003B0017"/>
    <w:rsid w:val="003B77F8"/>
    <w:rsid w:val="004035CF"/>
    <w:rsid w:val="004516F9"/>
    <w:rsid w:val="00472DD2"/>
    <w:rsid w:val="00475B29"/>
    <w:rsid w:val="004932C4"/>
    <w:rsid w:val="004A124A"/>
    <w:rsid w:val="004E6E32"/>
    <w:rsid w:val="005043C1"/>
    <w:rsid w:val="00511C66"/>
    <w:rsid w:val="00516F4B"/>
    <w:rsid w:val="005448D3"/>
    <w:rsid w:val="0054522C"/>
    <w:rsid w:val="00552A29"/>
    <w:rsid w:val="005A16DE"/>
    <w:rsid w:val="005C1056"/>
    <w:rsid w:val="005D02CA"/>
    <w:rsid w:val="005E1696"/>
    <w:rsid w:val="005F0A00"/>
    <w:rsid w:val="005F63DF"/>
    <w:rsid w:val="00600085"/>
    <w:rsid w:val="00603EAE"/>
    <w:rsid w:val="00603F1E"/>
    <w:rsid w:val="006704C4"/>
    <w:rsid w:val="00681D00"/>
    <w:rsid w:val="00684CFE"/>
    <w:rsid w:val="006A01B0"/>
    <w:rsid w:val="006A0585"/>
    <w:rsid w:val="006A2AAC"/>
    <w:rsid w:val="006B5D01"/>
    <w:rsid w:val="006C0655"/>
    <w:rsid w:val="006C54DC"/>
    <w:rsid w:val="006F0112"/>
    <w:rsid w:val="006F79C5"/>
    <w:rsid w:val="0074683E"/>
    <w:rsid w:val="00762C75"/>
    <w:rsid w:val="00795D81"/>
    <w:rsid w:val="007A1852"/>
    <w:rsid w:val="007A5EBF"/>
    <w:rsid w:val="007A7531"/>
    <w:rsid w:val="007C4A53"/>
    <w:rsid w:val="007F4096"/>
    <w:rsid w:val="00837D7E"/>
    <w:rsid w:val="00860D2D"/>
    <w:rsid w:val="008629B9"/>
    <w:rsid w:val="008C6750"/>
    <w:rsid w:val="008C6784"/>
    <w:rsid w:val="009118D7"/>
    <w:rsid w:val="00923770"/>
    <w:rsid w:val="00956456"/>
    <w:rsid w:val="0096177E"/>
    <w:rsid w:val="00985BA4"/>
    <w:rsid w:val="00986B54"/>
    <w:rsid w:val="009B068F"/>
    <w:rsid w:val="009C6C16"/>
    <w:rsid w:val="009E10DD"/>
    <w:rsid w:val="009E49A1"/>
    <w:rsid w:val="00A25ABB"/>
    <w:rsid w:val="00A351FB"/>
    <w:rsid w:val="00A4280C"/>
    <w:rsid w:val="00A93C8E"/>
    <w:rsid w:val="00AC2DCF"/>
    <w:rsid w:val="00AC47CA"/>
    <w:rsid w:val="00AD1B5B"/>
    <w:rsid w:val="00B10CA6"/>
    <w:rsid w:val="00B44800"/>
    <w:rsid w:val="00B529ED"/>
    <w:rsid w:val="00B62F93"/>
    <w:rsid w:val="00B63CF0"/>
    <w:rsid w:val="00B85A09"/>
    <w:rsid w:val="00B8768D"/>
    <w:rsid w:val="00BA2FC0"/>
    <w:rsid w:val="00BD35D6"/>
    <w:rsid w:val="00BE1B01"/>
    <w:rsid w:val="00BF06C7"/>
    <w:rsid w:val="00C11F6A"/>
    <w:rsid w:val="00C5348A"/>
    <w:rsid w:val="00C838BB"/>
    <w:rsid w:val="00C900D8"/>
    <w:rsid w:val="00C94E77"/>
    <w:rsid w:val="00CA5C30"/>
    <w:rsid w:val="00CA698B"/>
    <w:rsid w:val="00CC1257"/>
    <w:rsid w:val="00CD478F"/>
    <w:rsid w:val="00CD7681"/>
    <w:rsid w:val="00D169F1"/>
    <w:rsid w:val="00D34317"/>
    <w:rsid w:val="00D404C8"/>
    <w:rsid w:val="00D4448A"/>
    <w:rsid w:val="00D57359"/>
    <w:rsid w:val="00D71BCF"/>
    <w:rsid w:val="00D81BC3"/>
    <w:rsid w:val="00D946E1"/>
    <w:rsid w:val="00D9731B"/>
    <w:rsid w:val="00DA47CB"/>
    <w:rsid w:val="00DB6623"/>
    <w:rsid w:val="00DB78B0"/>
    <w:rsid w:val="00DD1F5B"/>
    <w:rsid w:val="00DD68B5"/>
    <w:rsid w:val="00E206DF"/>
    <w:rsid w:val="00E2520A"/>
    <w:rsid w:val="00E854A7"/>
    <w:rsid w:val="00E900F6"/>
    <w:rsid w:val="00ED0A83"/>
    <w:rsid w:val="00F01DF1"/>
    <w:rsid w:val="00F02FC9"/>
    <w:rsid w:val="00F24500"/>
    <w:rsid w:val="00F3306B"/>
    <w:rsid w:val="00FD3FB5"/>
    <w:rsid w:val="00FE5B59"/>
    <w:rsid w:val="00FF128D"/>
    <w:rsid w:val="123910F2"/>
    <w:rsid w:val="23057FA0"/>
    <w:rsid w:val="2EE17EB8"/>
    <w:rsid w:val="39913FDB"/>
    <w:rsid w:val="45265097"/>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828896"/>
  <w15:docId w15:val="{73C2BAC1-D50D-40A9-9454-9A58B043F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480" w:lineRule="auto"/>
      <w:ind w:left="142"/>
      <w:jc w:val="both"/>
    </w:pPr>
    <w:rPr>
      <w:rFonts w:ascii="Calibri" w:eastAsia="Calibri" w:hAnsi="Calibri" w:cs="Times New Roman"/>
      <w:kern w:val="2"/>
      <w:sz w:val="22"/>
      <w:szCs w:val="22"/>
      <w:lang w:val="en-IN"/>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unhideWhenUsed/>
    <w:qFormat/>
    <w:rPr>
      <w:sz w:val="16"/>
      <w:szCs w:val="16"/>
    </w:rPr>
  </w:style>
  <w:style w:type="paragraph" w:styleId="CommentText">
    <w:name w:val="annotation text"/>
    <w:basedOn w:val="Normal"/>
    <w:link w:val="CommentTextChar"/>
    <w:uiPriority w:val="99"/>
    <w:unhideWhenUsed/>
    <w:qFormat/>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513"/>
        <w:tab w:val="right" w:pos="9026"/>
      </w:tabs>
      <w:spacing w:line="240" w:lineRule="auto"/>
    </w:pPr>
  </w:style>
  <w:style w:type="paragraph" w:styleId="Header">
    <w:name w:val="header"/>
    <w:basedOn w:val="Normal"/>
    <w:link w:val="HeaderChar"/>
    <w:uiPriority w:val="99"/>
    <w:unhideWhenUsed/>
    <w:qFormat/>
    <w:pPr>
      <w:tabs>
        <w:tab w:val="center" w:pos="4513"/>
        <w:tab w:val="right" w:pos="9026"/>
      </w:tabs>
      <w:spacing w:line="240" w:lineRule="auto"/>
    </w:pPr>
  </w:style>
  <w:style w:type="character" w:styleId="Hyperlink">
    <w:name w:val="Hyperlink"/>
    <w:uiPriority w:val="99"/>
    <w:unhideWhenUsed/>
    <w:qFormat/>
    <w:rPr>
      <w:color w:val="0563C1"/>
      <w:u w:val="single"/>
    </w:rPr>
  </w:style>
  <w:style w:type="paragraph" w:styleId="NormalWeb">
    <w:name w:val="Normal (Web)"/>
    <w:basedOn w:val="Normal"/>
    <w:uiPriority w:val="99"/>
    <w:unhideWhenUsed/>
    <w:qFormat/>
    <w:rPr>
      <w:rFonts w:ascii="Times New Roman" w:hAnsi="Times New Roman"/>
      <w:sz w:val="24"/>
      <w:szCs w:val="24"/>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CommentTextChar">
    <w:name w:val="Comment Text Char"/>
    <w:basedOn w:val="DefaultParagraphFont"/>
    <w:link w:val="CommentText"/>
    <w:uiPriority w:val="99"/>
    <w:qFormat/>
    <w:rPr>
      <w:rFonts w:ascii="Calibri" w:eastAsia="Calibri" w:hAnsi="Calibri" w:cs="Times New Roman"/>
      <w14:ligatures w14:val="none"/>
    </w:rPr>
  </w:style>
  <w:style w:type="character" w:styleId="PlaceholderText">
    <w:name w:val="Placeholder Text"/>
    <w:basedOn w:val="DefaultParagraphFont"/>
    <w:uiPriority w:val="99"/>
    <w:semiHidden/>
    <w:qFormat/>
    <w:rPr>
      <w:color w:val="666666"/>
    </w:rPr>
  </w:style>
  <w:style w:type="character" w:customStyle="1" w:styleId="HeaderChar">
    <w:name w:val="Header Char"/>
    <w:basedOn w:val="DefaultParagraphFont"/>
    <w:link w:val="Header"/>
    <w:uiPriority w:val="99"/>
    <w:qFormat/>
    <w:rPr>
      <w:rFonts w:ascii="Calibri" w:eastAsia="Calibri" w:hAnsi="Calibri" w:cs="Times New Roman"/>
      <w14:ligatures w14:val="none"/>
    </w:rPr>
  </w:style>
  <w:style w:type="character" w:customStyle="1" w:styleId="FooterChar">
    <w:name w:val="Footer Char"/>
    <w:basedOn w:val="DefaultParagraphFont"/>
    <w:link w:val="Footer"/>
    <w:uiPriority w:val="99"/>
    <w:qFormat/>
    <w:rPr>
      <w:rFonts w:ascii="Calibri" w:eastAsia="Calibri" w:hAnsi="Calibri" w:cs="Times New Roman"/>
      <w14:ligatures w14:val="none"/>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pdq2pgselectionanchorcontainer">
    <w:name w:val="pdq2pg_selectionanchorcontainer"/>
    <w:basedOn w:val="Normal"/>
    <w:qFormat/>
    <w:pPr>
      <w:spacing w:before="100" w:beforeAutospacing="1" w:after="100" w:afterAutospacing="1" w:line="240" w:lineRule="auto"/>
      <w:ind w:left="0"/>
      <w:jc w:val="left"/>
    </w:pPr>
    <w:rPr>
      <w:rFonts w:ascii="Times New Roman" w:eastAsia="Times New Roman" w:hAnsi="Times New Roman"/>
      <w:kern w:val="0"/>
      <w:sz w:val="24"/>
      <w:szCs w:val="24"/>
      <w:lang w:eastAsia="en-IN"/>
    </w:rPr>
  </w:style>
  <w:style w:type="character" w:customStyle="1" w:styleId="UnresolvedMention2">
    <w:name w:val="Unresolved Mention2"/>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1016/j.marpolbul.2024.117014" TargetMode="External"/><Relationship Id="rId21" Type="http://schemas.openxmlformats.org/officeDocument/2006/relationships/hyperlink" Target="https://doi.org/10.1016/j.marpolbul.2022.113654" TargetMode="External"/><Relationship Id="rId42" Type="http://schemas.openxmlformats.org/officeDocument/2006/relationships/hyperlink" Target="https://doi.org/10.1016/S0045-6535(03)00187-5" TargetMode="External"/><Relationship Id="rId47" Type="http://schemas.openxmlformats.org/officeDocument/2006/relationships/hyperlink" Target="https://doi.org/10.5897/AJEST2018.2597" TargetMode="External"/><Relationship Id="rId63" Type="http://schemas.openxmlformats.org/officeDocument/2006/relationships/hyperlink" Target="https://doi.org/10.1016/j.marpolbul.2014.01.049" TargetMode="External"/><Relationship Id="rId68" Type="http://schemas.openxmlformats.org/officeDocument/2006/relationships/hyperlink" Target="https://doi.org/10.1186/s42269-020-00455-0" TargetMode="External"/><Relationship Id="rId84" Type="http://schemas.openxmlformats.org/officeDocument/2006/relationships/theme" Target="theme/theme1.xml"/><Relationship Id="rId16" Type="http://schemas.openxmlformats.org/officeDocument/2006/relationships/hyperlink" Target="https://doi.org/10.1007/978-3-319-03777-6_1" TargetMode="External"/><Relationship Id="rId11" Type="http://schemas.openxmlformats.org/officeDocument/2006/relationships/hyperlink" Target="https://doi.org/10.22271/fish.2022.v10.i4b.2693" TargetMode="External"/><Relationship Id="rId32" Type="http://schemas.openxmlformats.org/officeDocument/2006/relationships/hyperlink" Target="https://doi.org/10.1016/j.ecss.2007.07.035" TargetMode="External"/><Relationship Id="rId37" Type="http://schemas.openxmlformats.org/officeDocument/2006/relationships/hyperlink" Target="https://nopr.niscpr.res.in/handle/123456789/25631" TargetMode="External"/><Relationship Id="rId53" Type="http://schemas.openxmlformats.org/officeDocument/2006/relationships/hyperlink" Target="https://doi.org/10.1016/j.jmarsys.2006.12.005" TargetMode="External"/><Relationship Id="rId58" Type="http://schemas.openxmlformats.org/officeDocument/2006/relationships/hyperlink" Target="https://doi.org/10.1371/journal.pone.0098802" TargetMode="External"/><Relationship Id="rId74" Type="http://schemas.openxmlformats.org/officeDocument/2006/relationships/hyperlink" Target="https://doi.org/10.1371/journal.pone.0201414" TargetMode="External"/><Relationship Id="rId79"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hyperlink" Target="https://doi.org/10.1007/BF02414780" TargetMode="External"/><Relationship Id="rId82" Type="http://schemas.openxmlformats.org/officeDocument/2006/relationships/footer" Target="footer3.xml"/><Relationship Id="rId19" Type="http://schemas.openxmlformats.org/officeDocument/2006/relationships/hyperlink" Target="https://doi.org/10.1007/s12665-014-3593-y" TargetMode="External"/><Relationship Id="rId14" Type="http://schemas.openxmlformats.org/officeDocument/2006/relationships/hyperlink" Target="https://doi.org/10.9734/ajfar/2023/v25i3665" TargetMode="External"/><Relationship Id="rId22" Type="http://schemas.openxmlformats.org/officeDocument/2006/relationships/hyperlink" Target="https://doi.org/10.1111/j.1365-2095.2005.00364.x" TargetMode="External"/><Relationship Id="rId27" Type="http://schemas.openxmlformats.org/officeDocument/2006/relationships/hyperlink" Target="https://doi.org/10.4060/cc0461en" TargetMode="External"/><Relationship Id="rId30" Type="http://schemas.openxmlformats.org/officeDocument/2006/relationships/hyperlink" Target="https://doi.org/10.1016/j.marpolbul.2015.04.022" TargetMode="External"/><Relationship Id="rId35" Type="http://schemas.openxmlformats.org/officeDocument/2006/relationships/hyperlink" Target="https://doi.org/10.1007/s12665-015-5151-7" TargetMode="External"/><Relationship Id="rId43" Type="http://schemas.openxmlformats.org/officeDocument/2006/relationships/hyperlink" Target="https://doi.org/10.1080/10934529609376357" TargetMode="External"/><Relationship Id="rId48" Type="http://schemas.openxmlformats.org/officeDocument/2006/relationships/hyperlink" Target="https://doi.org/10.1016/j.jksus.2020.08.014" TargetMode="External"/><Relationship Id="rId56" Type="http://schemas.openxmlformats.org/officeDocument/2006/relationships/hyperlink" Target="https://doi.org/10.1007/s42108-024-00284-1" TargetMode="External"/><Relationship Id="rId64" Type="http://schemas.openxmlformats.org/officeDocument/2006/relationships/hyperlink" Target="https://doi.org/10.1016/j.tice.2015.02.001" TargetMode="External"/><Relationship Id="rId69" Type="http://schemas.openxmlformats.org/officeDocument/2006/relationships/hyperlink" Target="https://doi.org/10.1016/j.envpol.2016.07.011" TargetMode="External"/><Relationship Id="rId77"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https://doi.org/10.1016/S0160-4120(01)00050-2" TargetMode="External"/><Relationship Id="rId72" Type="http://schemas.openxmlformats.org/officeDocument/2006/relationships/hyperlink" Target="https://doi.org/10.3390/ijerph192416767" TargetMode="External"/><Relationship Id="rId80" Type="http://schemas.openxmlformats.org/officeDocument/2006/relationships/footer" Target="footer2.xml"/><Relationship Id="rId3" Type="http://schemas.openxmlformats.org/officeDocument/2006/relationships/numbering" Target="numbering.xml"/><Relationship Id="rId12" Type="http://schemas.openxmlformats.org/officeDocument/2006/relationships/hyperlink" Target="https://search.worldcat.org/title/Official-methods-of-analysis-of-AOAC-International/oclc/950056914" TargetMode="External"/><Relationship Id="rId17" Type="http://schemas.openxmlformats.org/officeDocument/2006/relationships/hyperlink" Target="https://doi.org/10.1016/j.marpolbul.2025.118461" TargetMode="External"/><Relationship Id="rId25" Type="http://schemas.openxmlformats.org/officeDocument/2006/relationships/hyperlink" Target="https://doi.org/10.1007/s11356-025-37248-9" TargetMode="External"/><Relationship Id="rId33" Type="http://schemas.openxmlformats.org/officeDocument/2006/relationships/hyperlink" Target="https://doi.org/10.1021/es061770z" TargetMode="External"/><Relationship Id="rId38" Type="http://schemas.openxmlformats.org/officeDocument/2006/relationships/hyperlink" Target="https://doi.org/10.1016/j.etap.2019.03.010" TargetMode="External"/><Relationship Id="rId46" Type="http://schemas.openxmlformats.org/officeDocument/2006/relationships/hyperlink" Target="https://doi.org/10.56557/jacsi/2025/v16i29159" TargetMode="External"/><Relationship Id="rId59" Type="http://schemas.openxmlformats.org/officeDocument/2006/relationships/hyperlink" Target="https://doi.org/10.1007/s11270-013-1756-1" TargetMode="External"/><Relationship Id="rId67" Type="http://schemas.openxmlformats.org/officeDocument/2006/relationships/hyperlink" Target="https://www.isca.me/IJENS/Archive/v1/i5/11.ISCA-IRJEvsS-2012-082.php" TargetMode="External"/><Relationship Id="rId20" Type="http://schemas.openxmlformats.org/officeDocument/2006/relationships/hyperlink" Target="https://doi.org/10.1016/j.marpolbul.2017.02.034" TargetMode="External"/><Relationship Id="rId41" Type="http://schemas.openxmlformats.org/officeDocument/2006/relationships/hyperlink" Target="https://doi.org/10.1126/science.1144004" TargetMode="External"/><Relationship Id="rId54" Type="http://schemas.openxmlformats.org/officeDocument/2006/relationships/hyperlink" Target="https://doi.org/10.1007/s00128-025-04134-6" TargetMode="External"/><Relationship Id="rId62" Type="http://schemas.openxmlformats.org/officeDocument/2006/relationships/hyperlink" Target="https://doi.org/10.1130/0016-7606(1961)72%5b175:DOTEIS%5d2.0.CO;2" TargetMode="External"/><Relationship Id="rId70" Type="http://schemas.openxmlformats.org/officeDocument/2006/relationships/hyperlink" Target="https://doi.org/10.1016/j.scitotenv.2017.04.167" TargetMode="External"/><Relationship Id="rId75" Type="http://schemas.openxmlformats.org/officeDocument/2006/relationships/hyperlink" Target="https://doi.org/10.3390/ijerph19159140"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doi.org/10.1016/S0269-7491(02)00194-X" TargetMode="External"/><Relationship Id="rId23" Type="http://schemas.openxmlformats.org/officeDocument/2006/relationships/hyperlink" Target="https://doi.org/10.1016/j.marpolbul.2025.117854" TargetMode="External"/><Relationship Id="rId28" Type="http://schemas.openxmlformats.org/officeDocument/2006/relationships/hyperlink" Target="https://doi.org/10.3390/biology11081153" TargetMode="External"/><Relationship Id="rId36" Type="http://schemas.openxmlformats.org/officeDocument/2006/relationships/hyperlink" Target="https://doi.org/10.1016/j.marpolbul.2016.02.021" TargetMode="External"/><Relationship Id="rId49" Type="http://schemas.openxmlformats.org/officeDocument/2006/relationships/hyperlink" Target="https://doi.org/10.1007/s12665-020-08972-x" TargetMode="External"/><Relationship Id="rId57" Type="http://schemas.openxmlformats.org/officeDocument/2006/relationships/hyperlink" Target="https://doi.org/10.1016/j.marpolbul.2024.116154" TargetMode="External"/><Relationship Id="rId10" Type="http://schemas.openxmlformats.org/officeDocument/2006/relationships/chart" Target="charts/chart1.xml"/><Relationship Id="rId31" Type="http://schemas.openxmlformats.org/officeDocument/2006/relationships/hyperlink" Target="https://doi.org/10.1016/j.ecoenv.2019.02.032" TargetMode="External"/><Relationship Id="rId44" Type="http://schemas.openxmlformats.org/officeDocument/2006/relationships/hyperlink" Target="https://doi.org/10.1007/s11356-022-22812-4" TargetMode="External"/><Relationship Id="rId52" Type="http://schemas.openxmlformats.org/officeDocument/2006/relationships/hyperlink" Target="https://doi.org/10.1007/s10646-024-02815-2" TargetMode="External"/><Relationship Id="rId60" Type="http://schemas.openxmlformats.org/officeDocument/2006/relationships/hyperlink" Target="https://doi.org/10.3390/fishes4010011" TargetMode="External"/><Relationship Id="rId65" Type="http://schemas.openxmlformats.org/officeDocument/2006/relationships/hyperlink" Target="https://doi.org/10.1016/j.marpolbul.2019.110555" TargetMode="External"/><Relationship Id="rId73" Type="http://schemas.openxmlformats.org/officeDocument/2006/relationships/hyperlink" Target="https://doi.org/10.1073/pnas.1513156113" TargetMode="External"/><Relationship Id="rId78" Type="http://schemas.openxmlformats.org/officeDocument/2006/relationships/header" Target="header2.xml"/><Relationship Id="rId81"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hyperlink" Target="https://doi.org/10.1016/j.toxrep.2018.03.007" TargetMode="External"/><Relationship Id="rId18" Type="http://schemas.openxmlformats.org/officeDocument/2006/relationships/hyperlink" Target="https://doi.org/10.1016/j.marpolbul.2016.06.109" TargetMode="External"/><Relationship Id="rId39" Type="http://schemas.openxmlformats.org/officeDocument/2006/relationships/hyperlink" Target="https://doi.org/10.1016/j.marpolbul.2013.05.006" TargetMode="External"/><Relationship Id="rId34" Type="http://schemas.openxmlformats.org/officeDocument/2006/relationships/hyperlink" Target="https://doi.org/10.1016/j.enceco.2020.09.004" TargetMode="External"/><Relationship Id="rId50" Type="http://schemas.openxmlformats.org/officeDocument/2006/relationships/hyperlink" Target="https://doi.org/10.4103/2277-8632.158577" TargetMode="External"/><Relationship Id="rId55" Type="http://schemas.openxmlformats.org/officeDocument/2006/relationships/hyperlink" Target="https://doi.org/10.1016/j.rsma.2024.103516" TargetMode="External"/><Relationship Id="rId76" Type="http://schemas.openxmlformats.org/officeDocument/2006/relationships/hyperlink" Target="https://doi.org/10.1016/j.chemosphere.2015.10.056" TargetMode="External"/><Relationship Id="rId7" Type="http://schemas.openxmlformats.org/officeDocument/2006/relationships/footnotes" Target="footnotes.xml"/><Relationship Id="rId71" Type="http://schemas.openxmlformats.org/officeDocument/2006/relationships/hyperlink" Target="https://doi.org/10.1016/j.aqpro.2015.02.205" TargetMode="External"/><Relationship Id="rId2" Type="http://schemas.openxmlformats.org/officeDocument/2006/relationships/customXml" Target="../customXml/item2.xml"/><Relationship Id="rId29" Type="http://schemas.openxmlformats.org/officeDocument/2006/relationships/hyperlink" Target="https://doi.org/10.1016/j.marpolbul.2013.12.024" TargetMode="External"/><Relationship Id="rId24" Type="http://schemas.openxmlformats.org/officeDocument/2006/relationships/hyperlink" Target="https://www.tamildigitallibrary.in/admin/assets/book/TVA_BOK_0045590/TVA_BOK_0045590_The_fishes_of_India_1878.pdf" TargetMode="External"/><Relationship Id="rId40" Type="http://schemas.openxmlformats.org/officeDocument/2006/relationships/hyperlink" Target="https://doi.org/10.1016/j.jhazmat.2023.131253" TargetMode="External"/><Relationship Id="rId45" Type="http://schemas.openxmlformats.org/officeDocument/2006/relationships/hyperlink" Target="https://doi.org/10.1007/s11270-021-04987-7" TargetMode="External"/><Relationship Id="rId66" Type="http://schemas.openxmlformats.org/officeDocument/2006/relationships/hyperlink" Target="https://doi.org/10.3390/fishes8120589"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anupa\Documents\REVISED\Geoaccumulation%20Index-Dr.M.M%20oc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830032788438"/>
          <c:y val="0.14423176724689701"/>
          <c:w val="0.83054725870862001"/>
          <c:h val="0.57116450270908803"/>
        </c:manualLayout>
      </c:layout>
      <c:lineChart>
        <c:grouping val="standard"/>
        <c:varyColors val="0"/>
        <c:ser>
          <c:idx val="0"/>
          <c:order val="0"/>
          <c:tx>
            <c:strRef>
              <c:f>Sheet2!$T$38</c:f>
              <c:strCache>
                <c:ptCount val="1"/>
                <c:pt idx="0">
                  <c:v>BOS</c:v>
                </c:pt>
              </c:strCache>
            </c:strRef>
          </c:tx>
          <c:spPr>
            <a:ln w="28575" cap="rnd">
              <a:solidFill>
                <a:srgbClr val="FF0000"/>
              </a:solidFill>
              <a:round/>
            </a:ln>
            <a:effectLst/>
          </c:spPr>
          <c:marker>
            <c:symbol val="circle"/>
            <c:size val="5"/>
            <c:spPr>
              <a:solidFill>
                <a:srgbClr val="FFFF00"/>
              </a:solidFill>
              <a:ln w="9525">
                <a:gradFill>
                  <a:gsLst>
                    <a:gs pos="0">
                      <a:srgbClr val="FFFF00"/>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a:scene3d>
                <a:camera prst="orthographicFront"/>
                <a:lightRig rig="threePt" dir="t"/>
              </a:scene3d>
              <a:sp3d>
                <a:bevelT prst="angle"/>
                <a:bevelB prst="angle"/>
              </a:sp3d>
            </c:spPr>
          </c:marker>
          <c:cat>
            <c:multiLvlStrRef>
              <c:f>Sheet2!$R$39:$S$58</c:f>
              <c:multiLvlStrCache>
                <c:ptCount val="20"/>
                <c:lvl>
                  <c:pt idx="0">
                    <c:v>Cd</c:v>
                  </c:pt>
                  <c:pt idx="1">
                    <c:v>Cr</c:v>
                  </c:pt>
                  <c:pt idx="2">
                    <c:v>Pb</c:v>
                  </c:pt>
                  <c:pt idx="3">
                    <c:v>Hg</c:v>
                  </c:pt>
                  <c:pt idx="4">
                    <c:v>Cd</c:v>
                  </c:pt>
                  <c:pt idx="5">
                    <c:v>Cr</c:v>
                  </c:pt>
                  <c:pt idx="6">
                    <c:v>Pb</c:v>
                  </c:pt>
                  <c:pt idx="7">
                    <c:v>Hg</c:v>
                  </c:pt>
                  <c:pt idx="8">
                    <c:v>Cd</c:v>
                  </c:pt>
                  <c:pt idx="9">
                    <c:v>Cr</c:v>
                  </c:pt>
                  <c:pt idx="10">
                    <c:v>Pb</c:v>
                  </c:pt>
                  <c:pt idx="11">
                    <c:v>Hg</c:v>
                  </c:pt>
                  <c:pt idx="12">
                    <c:v>Cd</c:v>
                  </c:pt>
                  <c:pt idx="13">
                    <c:v>Cr</c:v>
                  </c:pt>
                  <c:pt idx="14">
                    <c:v>Pb</c:v>
                  </c:pt>
                  <c:pt idx="15">
                    <c:v>Hg</c:v>
                  </c:pt>
                  <c:pt idx="16">
                    <c:v>Cd</c:v>
                  </c:pt>
                  <c:pt idx="17">
                    <c:v>Cr</c:v>
                  </c:pt>
                  <c:pt idx="18">
                    <c:v>Pb</c:v>
                  </c:pt>
                  <c:pt idx="19">
                    <c:v>Hg</c:v>
                  </c:pt>
                </c:lvl>
                <c:lvl>
                  <c:pt idx="0">
                    <c:v>ST-1</c:v>
                  </c:pt>
                  <c:pt idx="4">
                    <c:v>ST-2</c:v>
                  </c:pt>
                  <c:pt idx="8">
                    <c:v>ST-3</c:v>
                  </c:pt>
                  <c:pt idx="12">
                    <c:v>ST-4</c:v>
                  </c:pt>
                  <c:pt idx="16">
                    <c:v>ST-5</c:v>
                  </c:pt>
                </c:lvl>
              </c:multiLvlStrCache>
            </c:multiLvlStrRef>
          </c:cat>
          <c:val>
            <c:numRef>
              <c:f>Sheet2!$T$39:$T$58</c:f>
              <c:numCache>
                <c:formatCode>General</c:formatCode>
                <c:ptCount val="20"/>
                <c:pt idx="0">
                  <c:v>-9.0999999999999998E-2</c:v>
                </c:pt>
                <c:pt idx="1">
                  <c:v>-6.9</c:v>
                </c:pt>
                <c:pt idx="2">
                  <c:v>-3.08</c:v>
                </c:pt>
                <c:pt idx="3">
                  <c:v>-2.21</c:v>
                </c:pt>
                <c:pt idx="4">
                  <c:v>0.42</c:v>
                </c:pt>
                <c:pt idx="5">
                  <c:v>-5.0599999999999996</c:v>
                </c:pt>
                <c:pt idx="6">
                  <c:v>-1.98</c:v>
                </c:pt>
                <c:pt idx="7">
                  <c:v>-2.91</c:v>
                </c:pt>
                <c:pt idx="8">
                  <c:v>0.87</c:v>
                </c:pt>
                <c:pt idx="9">
                  <c:v>-6.9</c:v>
                </c:pt>
                <c:pt idx="10">
                  <c:v>-3.23</c:v>
                </c:pt>
                <c:pt idx="11">
                  <c:v>-1.82</c:v>
                </c:pt>
                <c:pt idx="12">
                  <c:v>0.6</c:v>
                </c:pt>
                <c:pt idx="13">
                  <c:v>-5.46</c:v>
                </c:pt>
                <c:pt idx="14">
                  <c:v>-3.53</c:v>
                </c:pt>
                <c:pt idx="15">
                  <c:v>-2.58</c:v>
                </c:pt>
                <c:pt idx="16">
                  <c:v>-1.32</c:v>
                </c:pt>
                <c:pt idx="17">
                  <c:v>-6.97</c:v>
                </c:pt>
                <c:pt idx="18">
                  <c:v>-4.4000000000000004</c:v>
                </c:pt>
                <c:pt idx="19">
                  <c:v>-3.32</c:v>
                </c:pt>
              </c:numCache>
            </c:numRef>
          </c:val>
          <c:smooth val="0"/>
          <c:extLst>
            <c:ext xmlns:c16="http://schemas.microsoft.com/office/drawing/2014/chart" uri="{C3380CC4-5D6E-409C-BE32-E72D297353CC}">
              <c16:uniqueId val="{00000000-FF5A-469B-B53A-1BC1610E41A5}"/>
            </c:ext>
          </c:extLst>
        </c:ser>
        <c:ser>
          <c:idx val="1"/>
          <c:order val="1"/>
          <c:tx>
            <c:strRef>
              <c:f>Sheet2!$U$38</c:f>
              <c:strCache>
                <c:ptCount val="1"/>
                <c:pt idx="0">
                  <c:v>AOS</c:v>
                </c:pt>
              </c:strCache>
            </c:strRef>
          </c:tx>
          <c:spPr>
            <a:ln w="28575" cap="rnd">
              <a:solidFill>
                <a:srgbClr val="00B050"/>
              </a:solidFill>
              <a:round/>
            </a:ln>
            <a:effectLst/>
          </c:spPr>
          <c:marker>
            <c:symbol val="circle"/>
            <c:size val="5"/>
            <c:spPr>
              <a:solidFill>
                <a:schemeClr val="accent2"/>
              </a:solidFill>
              <a:ln w="9525">
                <a:solidFill>
                  <a:schemeClr val="accent2"/>
                </a:solidFill>
              </a:ln>
              <a:effectLst/>
              <a:scene3d>
                <a:camera prst="orthographicFront"/>
                <a:lightRig rig="threePt" dir="t"/>
              </a:scene3d>
              <a:sp3d>
                <a:bevelT prst="angle"/>
              </a:sp3d>
            </c:spPr>
          </c:marker>
          <c:cat>
            <c:multiLvlStrRef>
              <c:f>Sheet2!$R$39:$S$58</c:f>
              <c:multiLvlStrCache>
                <c:ptCount val="20"/>
                <c:lvl>
                  <c:pt idx="0">
                    <c:v>Cd</c:v>
                  </c:pt>
                  <c:pt idx="1">
                    <c:v>Cr</c:v>
                  </c:pt>
                  <c:pt idx="2">
                    <c:v>Pb</c:v>
                  </c:pt>
                  <c:pt idx="3">
                    <c:v>Hg</c:v>
                  </c:pt>
                  <c:pt idx="4">
                    <c:v>Cd</c:v>
                  </c:pt>
                  <c:pt idx="5">
                    <c:v>Cr</c:v>
                  </c:pt>
                  <c:pt idx="6">
                    <c:v>Pb</c:v>
                  </c:pt>
                  <c:pt idx="7">
                    <c:v>Hg</c:v>
                  </c:pt>
                  <c:pt idx="8">
                    <c:v>Cd</c:v>
                  </c:pt>
                  <c:pt idx="9">
                    <c:v>Cr</c:v>
                  </c:pt>
                  <c:pt idx="10">
                    <c:v>Pb</c:v>
                  </c:pt>
                  <c:pt idx="11">
                    <c:v>Hg</c:v>
                  </c:pt>
                  <c:pt idx="12">
                    <c:v>Cd</c:v>
                  </c:pt>
                  <c:pt idx="13">
                    <c:v>Cr</c:v>
                  </c:pt>
                  <c:pt idx="14">
                    <c:v>Pb</c:v>
                  </c:pt>
                  <c:pt idx="15">
                    <c:v>Hg</c:v>
                  </c:pt>
                  <c:pt idx="16">
                    <c:v>Cd</c:v>
                  </c:pt>
                  <c:pt idx="17">
                    <c:v>Cr</c:v>
                  </c:pt>
                  <c:pt idx="18">
                    <c:v>Pb</c:v>
                  </c:pt>
                  <c:pt idx="19">
                    <c:v>Hg</c:v>
                  </c:pt>
                </c:lvl>
                <c:lvl>
                  <c:pt idx="0">
                    <c:v>ST-1</c:v>
                  </c:pt>
                  <c:pt idx="4">
                    <c:v>ST-2</c:v>
                  </c:pt>
                  <c:pt idx="8">
                    <c:v>ST-3</c:v>
                  </c:pt>
                  <c:pt idx="12">
                    <c:v>ST-4</c:v>
                  </c:pt>
                  <c:pt idx="16">
                    <c:v>ST-5</c:v>
                  </c:pt>
                </c:lvl>
              </c:multiLvlStrCache>
            </c:multiLvlStrRef>
          </c:cat>
          <c:val>
            <c:numRef>
              <c:f>Sheet2!$U$39:$U$58</c:f>
              <c:numCache>
                <c:formatCode>General</c:formatCode>
                <c:ptCount val="20"/>
                <c:pt idx="0">
                  <c:v>3.78</c:v>
                </c:pt>
                <c:pt idx="1">
                  <c:v>0.28000000000000003</c:v>
                </c:pt>
                <c:pt idx="2">
                  <c:v>4.38</c:v>
                </c:pt>
                <c:pt idx="3">
                  <c:v>1.1200000000000001</c:v>
                </c:pt>
                <c:pt idx="4">
                  <c:v>3.27</c:v>
                </c:pt>
                <c:pt idx="5">
                  <c:v>-0.08</c:v>
                </c:pt>
                <c:pt idx="6">
                  <c:v>4.45</c:v>
                </c:pt>
                <c:pt idx="7">
                  <c:v>1.31</c:v>
                </c:pt>
                <c:pt idx="8">
                  <c:v>3.51</c:v>
                </c:pt>
                <c:pt idx="9">
                  <c:v>-0.16</c:v>
                </c:pt>
                <c:pt idx="10">
                  <c:v>4.32</c:v>
                </c:pt>
                <c:pt idx="11">
                  <c:v>1.0900000000000001</c:v>
                </c:pt>
                <c:pt idx="12">
                  <c:v>2.58</c:v>
                </c:pt>
                <c:pt idx="13">
                  <c:v>0.01</c:v>
                </c:pt>
                <c:pt idx="14">
                  <c:v>4.29</c:v>
                </c:pt>
                <c:pt idx="15">
                  <c:v>1.2</c:v>
                </c:pt>
                <c:pt idx="16">
                  <c:v>1.63</c:v>
                </c:pt>
                <c:pt idx="17">
                  <c:v>-0.3</c:v>
                </c:pt>
                <c:pt idx="18">
                  <c:v>4.17</c:v>
                </c:pt>
                <c:pt idx="19">
                  <c:v>0.94</c:v>
                </c:pt>
              </c:numCache>
            </c:numRef>
          </c:val>
          <c:smooth val="0"/>
          <c:extLst>
            <c:ext xmlns:c16="http://schemas.microsoft.com/office/drawing/2014/chart" uri="{C3380CC4-5D6E-409C-BE32-E72D297353CC}">
              <c16:uniqueId val="{00000001-FF5A-469B-B53A-1BC1610E41A5}"/>
            </c:ext>
          </c:extLst>
        </c:ser>
        <c:dLbls>
          <c:showLegendKey val="0"/>
          <c:showVal val="0"/>
          <c:showCatName val="0"/>
          <c:showSerName val="0"/>
          <c:showPercent val="0"/>
          <c:showBubbleSize val="0"/>
        </c:dLbls>
        <c:marker val="1"/>
        <c:smooth val="0"/>
        <c:axId val="116274336"/>
        <c:axId val="1937654832"/>
      </c:lineChart>
      <c:catAx>
        <c:axId val="116274336"/>
        <c:scaling>
          <c:orientation val="minMax"/>
        </c:scaling>
        <c:delete val="0"/>
        <c:axPos val="b"/>
        <c:title>
          <c:tx>
            <c:rich>
              <a:bodyPr rot="0" spcFirstLastPara="1" vertOverflow="ellipsis" vert="horz" wrap="square" anchor="ctr" anchorCtr="1"/>
              <a:lstStyle/>
              <a:p>
                <a:pPr>
                  <a:defRPr lang="en-US" sz="1000" b="0" i="0" u="none" strike="noStrike" kern="1200" baseline="0">
                    <a:solidFill>
                      <a:sysClr val="windowText" lastClr="000000"/>
                    </a:solidFill>
                    <a:latin typeface="+mn-lt"/>
                    <a:ea typeface="+mn-ea"/>
                    <a:cs typeface="+mn-cs"/>
                  </a:defRPr>
                </a:pPr>
                <a:r>
                  <a:rPr lang="en-IN" b="1">
                    <a:solidFill>
                      <a:sysClr val="windowText" lastClr="000000"/>
                    </a:solidFill>
                    <a:latin typeface="Times New Roman" panose="02020603050405020304" charset="0"/>
                    <a:cs typeface="Times New Roman" panose="02020603050405020304" charset="0"/>
                  </a:rPr>
                  <a:t>Heavy metals</a:t>
                </a:r>
                <a:r>
                  <a:rPr lang="en-IN" b="1" baseline="0">
                    <a:solidFill>
                      <a:sysClr val="windowText" lastClr="000000"/>
                    </a:solidFill>
                    <a:latin typeface="Times New Roman" panose="02020603050405020304" charset="0"/>
                    <a:cs typeface="Times New Roman" panose="02020603050405020304" charset="0"/>
                  </a:rPr>
                  <a:t> and stations</a:t>
                </a:r>
                <a:endParaRPr lang="en-IN" b="1">
                  <a:solidFill>
                    <a:sysClr val="windowText" lastClr="000000"/>
                  </a:solidFill>
                  <a:latin typeface="Times New Roman" panose="02020603050405020304" charset="0"/>
                  <a:cs typeface="Times New Roman" panose="02020603050405020304" charset="0"/>
                </a:endParaRPr>
              </a:p>
            </c:rich>
          </c:tx>
          <c:overlay val="0"/>
          <c:spPr>
            <a:noFill/>
            <a:ln>
              <a:noFill/>
            </a:ln>
            <a:effectLst/>
          </c:spPr>
          <c:txPr>
            <a:bodyPr rot="0" spcFirstLastPara="1" vertOverflow="ellipsis" vert="horz" wrap="square" anchor="ctr" anchorCtr="1"/>
            <a:lstStyle/>
            <a:p>
              <a:pPr>
                <a:defRPr lang="en-US" sz="1000" b="0" i="0" u="none" strike="noStrike" kern="1200" baseline="0">
                  <a:solidFill>
                    <a:sysClr val="windowText" lastClr="000000"/>
                  </a:solidFill>
                  <a:latin typeface="+mn-lt"/>
                  <a:ea typeface="+mn-ea"/>
                  <a:cs typeface="+mn-cs"/>
                </a:defRPr>
              </a:pPr>
              <a:endParaRPr lang="en-IN"/>
            </a:p>
          </c:txPr>
        </c:title>
        <c:numFmt formatCode="General" sourceLinked="1"/>
        <c:majorTickMark val="none"/>
        <c:minorTickMark val="none"/>
        <c:tickLblPos val="low"/>
        <c:spPr>
          <a:noFill/>
          <a:ln w="9525" cap="flat" cmpd="sng" algn="ctr">
            <a:solidFill>
              <a:schemeClr val="tx1"/>
            </a:solidFill>
            <a:round/>
            <a:tailEnd type="triangle"/>
          </a:ln>
          <a:effectLst/>
        </c:spPr>
        <c:txPr>
          <a:bodyPr rot="-60000000" spcFirstLastPara="1" vertOverflow="ellipsis" vert="horz" wrap="square" anchor="ctr" anchorCtr="1"/>
          <a:lstStyle/>
          <a:p>
            <a:pPr>
              <a:defRPr lang="en-US" sz="900" b="1" i="0" u="none" strike="noStrike" kern="1200" baseline="0">
                <a:solidFill>
                  <a:sysClr val="windowText" lastClr="000000"/>
                </a:solidFill>
                <a:latin typeface="Times New Roman" panose="02020603050405020304" charset="0"/>
                <a:ea typeface="+mn-ea"/>
                <a:cs typeface="Times New Roman" panose="02020603050405020304" charset="0"/>
              </a:defRPr>
            </a:pPr>
            <a:endParaRPr lang="en-US"/>
          </a:p>
        </c:txPr>
        <c:crossAx val="1937654832"/>
        <c:crosses val="autoZero"/>
        <c:auto val="1"/>
        <c:lblAlgn val="ctr"/>
        <c:lblOffset val="100"/>
        <c:noMultiLvlLbl val="0"/>
      </c:catAx>
      <c:valAx>
        <c:axId val="193765483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en-US" sz="1000" b="0" i="0" u="none" strike="noStrike" kern="1200" baseline="0">
                    <a:solidFill>
                      <a:sysClr val="windowText" lastClr="000000"/>
                    </a:solidFill>
                    <a:latin typeface="+mn-lt"/>
                    <a:ea typeface="+mn-ea"/>
                    <a:cs typeface="+mn-cs"/>
                  </a:defRPr>
                </a:pPr>
                <a:r>
                  <a:rPr lang="en-IN" sz="1000" b="1" i="0" u="none" strike="noStrike" kern="1200" baseline="0">
                    <a:solidFill>
                      <a:sysClr val="windowText" lastClr="000000"/>
                    </a:solidFill>
                    <a:latin typeface="Times New Roman" panose="02020603050405020304" charset="0"/>
                    <a:cs typeface="Times New Roman" panose="02020603050405020304" charset="0"/>
                  </a:rPr>
                  <a:t> Concentration of heavy </a:t>
                </a:r>
              </a:p>
              <a:p>
                <a:pPr marL="0" marR="0" lvl="0" indent="0" algn="ctr" defTabSz="914400" rtl="0" eaLnBrk="1" fontAlgn="auto" latinLnBrk="0" hangingPunct="1">
                  <a:lnSpc>
                    <a:spcPct val="100000"/>
                  </a:lnSpc>
                  <a:spcBef>
                    <a:spcPts val="0"/>
                  </a:spcBef>
                  <a:spcAft>
                    <a:spcPts val="0"/>
                  </a:spcAft>
                  <a:buClrTx/>
                  <a:buSzTx/>
                  <a:buFontTx/>
                  <a:buNone/>
                  <a:defRPr>
                    <a:solidFill>
                      <a:sysClr val="windowText" lastClr="000000"/>
                    </a:solidFill>
                  </a:defRPr>
                </a:pPr>
                <a:r>
                  <a:rPr lang="en-IN" sz="1000" b="1" i="0" u="none" strike="noStrike" kern="1200" baseline="0">
                    <a:solidFill>
                      <a:sysClr val="windowText" lastClr="000000"/>
                    </a:solidFill>
                    <a:latin typeface="Times New Roman" panose="02020603050405020304" charset="0"/>
                    <a:cs typeface="Times New Roman" panose="02020603050405020304" charset="0"/>
                  </a:rPr>
                  <a:t>metals </a:t>
                </a:r>
                <a:r>
                  <a:rPr lang="en-IN" b="1">
                    <a:solidFill>
                      <a:sysClr val="windowText" lastClr="000000"/>
                    </a:solidFill>
                  </a:rPr>
                  <a:t>mg/kg</a:t>
                </a: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en-US" sz="1000" b="0" i="0" u="none" strike="noStrike" kern="1200" baseline="0">
                  <a:solidFill>
                    <a:sysClr val="windowText" lastClr="000000"/>
                  </a:solidFill>
                  <a:latin typeface="+mn-lt"/>
                  <a:ea typeface="+mn-ea"/>
                  <a:cs typeface="+mn-cs"/>
                </a:defRPr>
              </a:pPr>
              <a:endParaRPr lang="en-IN"/>
            </a:p>
          </c:txPr>
        </c:title>
        <c:numFmt formatCode="General" sourceLinked="1"/>
        <c:majorTickMark val="none"/>
        <c:minorTickMark val="none"/>
        <c:tickLblPos val="nextTo"/>
        <c:spPr>
          <a:noFill/>
          <a:ln>
            <a:solidFill>
              <a:schemeClr val="tx1"/>
            </a:solidFill>
            <a:tailEnd type="triangle"/>
          </a:ln>
          <a:effectLst/>
        </c:spPr>
        <c:txPr>
          <a:bodyPr rot="-60000000" spcFirstLastPara="1" vertOverflow="ellipsis" vert="horz" wrap="square" anchor="ctr" anchorCtr="1"/>
          <a:lstStyle/>
          <a:p>
            <a:pPr>
              <a:defRPr lang="en-US" sz="900" b="1" i="0" u="none" strike="noStrike" kern="1200" baseline="0">
                <a:solidFill>
                  <a:sysClr val="windowText" lastClr="000000"/>
                </a:solidFill>
                <a:latin typeface="Times New Roman" panose="02020603050405020304" charset="0"/>
                <a:ea typeface="+mn-ea"/>
                <a:cs typeface="Times New Roman" panose="02020603050405020304" charset="0"/>
              </a:defRPr>
            </a:pPr>
            <a:endParaRPr lang="en-US"/>
          </a:p>
        </c:txPr>
        <c:crossAx val="116274336"/>
        <c:crosses val="autoZero"/>
        <c:crossBetween val="midCat"/>
      </c:valAx>
      <c:spPr>
        <a:noFill/>
        <a:ln>
          <a:noFill/>
        </a:ln>
        <a:effectLst/>
      </c:spPr>
    </c:plotArea>
    <c:legend>
      <c:legendPos val="t"/>
      <c:overlay val="0"/>
      <c:spPr>
        <a:noFill/>
        <a:ln>
          <a:noFill/>
        </a:ln>
        <a:effectLst/>
      </c:spPr>
      <c:txPr>
        <a:bodyPr rot="0" spcFirstLastPara="1" vertOverflow="ellipsis" vert="horz" wrap="square" anchor="ctr" anchorCtr="1"/>
        <a:lstStyle/>
        <a:p>
          <a:pPr>
            <a:defRPr lang="en-US" sz="900" b="1" i="0" u="none" strike="noStrike" kern="1200" baseline="0">
              <a:solidFill>
                <a:sysClr val="windowText" lastClr="000000"/>
              </a:solidFill>
              <a:latin typeface="Times New Roman" panose="02020603050405020304" charset="0"/>
              <a:ea typeface="+mn-ea"/>
              <a:cs typeface="Times New Roman" panose="02020603050405020304" charset="0"/>
            </a:defRPr>
          </a:pPr>
          <a:endParaRPr lang="en-US"/>
        </a:p>
      </c:txPr>
    </c:legend>
    <c:plotVisOnly val="1"/>
    <c:dispBlanksAs val="gap"/>
    <c:showDLblsOverMax val="0"/>
    <c:extLst>
      <c:ext uri="{0b15fc19-7d7d-44ad-8c2d-2c3a37ce22c3}">
        <chartProps xmlns="https://web.wps.cn/et/2018/main" chartId="{0864a3e7-e342-4baa-9ac7-98b63389898e}"/>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Info spid="_x0000_s102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7E3671-3F82-4938-99BC-93E9BDF5B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29</Pages>
  <Words>8041</Words>
  <Characters>45837</Characters>
  <Application>Microsoft Office Word</Application>
  <DocSecurity>0</DocSecurity>
  <Lines>381</Lines>
  <Paragraphs>107</Paragraphs>
  <ScaleCrop>false</ScaleCrop>
  <Company/>
  <LinksUpToDate>false</LinksUpToDate>
  <CharactersWithSpaces>53771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Anupama Vijay</dc:creator>
  <cp:lastModifiedBy>SDI 1087</cp:lastModifiedBy>
  <cp:revision>16</cp:revision>
  <dcterms:created xsi:type="dcterms:W3CDTF">2026-10-12T14:12:00Z</dcterms:created>
  <dcterms:modified xsi:type="dcterms:W3CDTF">2026-10-14T10:47:00Z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80a49db0-ce8f-458a-b763-8cd30b074973</vt:lpwstr>
  </property>
  <property fmtid="{D5CDD505-2E9C-101B-9397-08002B2CF9AE}" pid="3" name="KSOTemplateDocerSaveRecord">
    <vt:lpwstr>eyJoZGlkIjoiYTg2YWRmZGU0MDUxMGY0NWQyMTNhNjJiOTc3NzFiMjIiLCJ1c2VySWQiOiI1NjcxMzQ3MjY1NDcifQ==</vt:lpwstr>
  </property>
  <property fmtid="{D5CDD505-2E9C-101B-9397-08002B2CF9AE}" pid="4" name="KSOProductBuildVer">
    <vt:lpwstr>1033-12.1.0.28485</vt:lpwstr>
  </property>
  <property fmtid="{D5CDD505-2E9C-101B-9397-08002B2CF9AE}" pid="5" name="ICV">
    <vt:lpwstr>3083F5C174954B5EA65ECE199618FD99_12</vt:lpwstr>
  </property>
</Properties>
</file>