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4C791" w14:textId="77777777" w:rsidR="004C43D3" w:rsidRPr="00EF072B" w:rsidRDefault="004C43D3" w:rsidP="005E37DB">
      <w:pPr>
        <w:spacing w:line="360" w:lineRule="auto"/>
        <w:rPr>
          <w:rFonts w:ascii="Arial" w:hAnsi="Arial" w:cs="Arial"/>
          <w:b/>
          <w:bCs/>
          <w:iCs/>
          <w:kern w:val="28"/>
          <w:sz w:val="36"/>
        </w:rPr>
      </w:pPr>
      <w:r w:rsidRPr="00EF072B">
        <w:rPr>
          <w:rFonts w:ascii="Arial" w:hAnsi="Arial" w:cs="Arial"/>
          <w:b/>
          <w:bCs/>
          <w:iCs/>
          <w:kern w:val="28"/>
          <w:sz w:val="36"/>
        </w:rPr>
        <w:t xml:space="preserve">Freshwater Molluscan Diversity, Abundance and Community Structure in Tank Ecosystems of </w:t>
      </w:r>
      <w:proofErr w:type="spellStart"/>
      <w:r w:rsidRPr="00EF072B">
        <w:rPr>
          <w:rFonts w:ascii="Arial" w:hAnsi="Arial" w:cs="Arial"/>
          <w:b/>
          <w:bCs/>
          <w:iCs/>
          <w:kern w:val="28"/>
          <w:sz w:val="36"/>
        </w:rPr>
        <w:t>Kadegaon</w:t>
      </w:r>
      <w:proofErr w:type="spellEnd"/>
      <w:r w:rsidRPr="00EF072B">
        <w:rPr>
          <w:rFonts w:ascii="Arial" w:hAnsi="Arial" w:cs="Arial"/>
          <w:b/>
          <w:bCs/>
          <w:iCs/>
          <w:kern w:val="28"/>
          <w:sz w:val="36"/>
        </w:rPr>
        <w:t>, Maharashtra, India</w:t>
      </w:r>
    </w:p>
    <w:p w14:paraId="0338E058" w14:textId="77777777" w:rsidR="002C57D2" w:rsidRPr="00EF072B" w:rsidRDefault="002C57D2" w:rsidP="00441B6F">
      <w:pPr>
        <w:pStyle w:val="Affiliation"/>
        <w:spacing w:after="0" w:line="240" w:lineRule="auto"/>
        <w:jc w:val="both"/>
        <w:rPr>
          <w:rFonts w:ascii="Arial" w:hAnsi="Arial" w:cs="Arial"/>
        </w:rPr>
      </w:pPr>
    </w:p>
    <w:p w14:paraId="38033B34" w14:textId="77777777" w:rsidR="00B01FCD" w:rsidRPr="00EF072B" w:rsidRDefault="00000000" w:rsidP="00441B6F">
      <w:pPr>
        <w:pStyle w:val="Copyright"/>
        <w:spacing w:after="0" w:line="240" w:lineRule="auto"/>
        <w:jc w:val="both"/>
        <w:rPr>
          <w:rFonts w:ascii="Arial" w:hAnsi="Arial" w:cs="Arial"/>
        </w:rPr>
        <w:sectPr w:rsidR="00B01FCD" w:rsidRPr="00EF072B" w:rsidSect="00E4566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bidi="mr-IN"/>
        </w:rPr>
      </w:r>
      <w:r>
        <w:rPr>
          <w:rFonts w:ascii="Arial" w:hAnsi="Arial" w:cs="Arial"/>
          <w:noProof/>
          <w:lang w:bidi="mr-IN"/>
        </w:rPr>
        <w:pict w14:anchorId="35E2A958">
          <v:shapetype id="_x0000_t32" coordsize="21600,21600" o:spt="32" o:oned="t" path="m,l21600,21600e" filled="f">
            <v:path arrowok="t" fillok="f" o:connecttype="none"/>
            <o:lock v:ext="edit" shapetype="t"/>
          </v:shapetype>
          <v:shape id="AutoShape 2" o:spid="_x0000_s2050" type="#_x0000_t32" style="width:417.6pt;height:0;visibility:visible;mso-wrap-style:square;mso-left-percent:-10001;mso-top-percent:-10001;mso-position-horizontal:absolute;mso-position-horizontal-relative:char;mso-position-vertical:absolute;mso-position-vertical-relative:line;mso-left-percent:-10001;mso-top-percent:-10001" strokeweight="1.5pt">
            <w10:anchorlock/>
          </v:shape>
        </w:pict>
      </w:r>
      <w:r w:rsidR="00FB3A86" w:rsidRPr="00EF072B">
        <w:rPr>
          <w:rFonts w:ascii="Arial" w:hAnsi="Arial" w:cs="Arial"/>
        </w:rPr>
        <w:t>.</w:t>
      </w:r>
    </w:p>
    <w:p w14:paraId="6F030C50" w14:textId="77777777" w:rsidR="00790ADA" w:rsidRPr="00EF072B" w:rsidRDefault="00B01FCD" w:rsidP="00441B6F">
      <w:pPr>
        <w:pStyle w:val="AbstHead"/>
        <w:spacing w:after="0"/>
        <w:jc w:val="both"/>
        <w:rPr>
          <w:rFonts w:ascii="Arial" w:hAnsi="Arial" w:cs="Arial"/>
        </w:rPr>
      </w:pPr>
      <w:r w:rsidRPr="00EF072B">
        <w:rPr>
          <w:rFonts w:ascii="Arial" w:hAnsi="Arial" w:cs="Arial"/>
        </w:rPr>
        <w:t>ABSTRACT</w:t>
      </w:r>
      <w:r w:rsidR="0066510A" w:rsidRPr="00EF072B">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EF072B" w14:paraId="15C6AEE5" w14:textId="77777777" w:rsidTr="001E44FE">
        <w:tc>
          <w:tcPr>
            <w:tcW w:w="9576" w:type="dxa"/>
            <w:shd w:val="clear" w:color="auto" w:fill="F2F2F2"/>
          </w:tcPr>
          <w:p w14:paraId="62FC4269" w14:textId="77777777" w:rsidR="00A03B96" w:rsidRPr="00EF072B" w:rsidRDefault="00A03B96" w:rsidP="00441B6F">
            <w:pPr>
              <w:pStyle w:val="Body"/>
              <w:spacing w:after="0"/>
              <w:rPr>
                <w:rFonts w:ascii="Arial" w:eastAsia="Calibri" w:hAnsi="Arial" w:cs="Arial"/>
                <w:szCs w:val="22"/>
              </w:rPr>
            </w:pPr>
          </w:p>
          <w:p w14:paraId="028C9EF9" w14:textId="68C500DA" w:rsidR="00E3114E" w:rsidRPr="00EF072B" w:rsidRDefault="009B5E41" w:rsidP="00441B6F">
            <w:pPr>
              <w:pStyle w:val="Body"/>
              <w:spacing w:after="0"/>
              <w:rPr>
                <w:rFonts w:ascii="Arial" w:eastAsia="Calibri" w:hAnsi="Arial" w:cs="Arial"/>
                <w:szCs w:val="22"/>
              </w:rPr>
            </w:pPr>
            <w:r w:rsidRPr="009B5E41">
              <w:rPr>
                <w:rFonts w:ascii="Arial" w:eastAsia="Calibri" w:hAnsi="Arial" w:cs="Arial"/>
                <w:b/>
                <w:bCs/>
                <w:szCs w:val="22"/>
              </w:rPr>
              <w:t>Background</w:t>
            </w:r>
            <w:r>
              <w:rPr>
                <w:rFonts w:ascii="Arial" w:eastAsia="Calibri" w:hAnsi="Arial" w:cs="Arial"/>
                <w:szCs w:val="22"/>
              </w:rPr>
              <w:t xml:space="preserve">: </w:t>
            </w:r>
            <w:r w:rsidRPr="009B5E41">
              <w:rPr>
                <w:rFonts w:ascii="Arial" w:eastAsia="Calibri" w:hAnsi="Arial" w:cs="Arial"/>
                <w:szCs w:val="22"/>
              </w:rPr>
              <w:t xml:space="preserve">Freshwater </w:t>
            </w:r>
            <w:proofErr w:type="spellStart"/>
            <w:r w:rsidRPr="009B5E41">
              <w:rPr>
                <w:rFonts w:ascii="Arial" w:eastAsia="Calibri" w:hAnsi="Arial" w:cs="Arial"/>
                <w:szCs w:val="22"/>
              </w:rPr>
              <w:t>molluscs</w:t>
            </w:r>
            <w:proofErr w:type="spellEnd"/>
            <w:r w:rsidRPr="009B5E41">
              <w:rPr>
                <w:rFonts w:ascii="Arial" w:eastAsia="Calibri" w:hAnsi="Arial" w:cs="Arial"/>
                <w:szCs w:val="22"/>
              </w:rPr>
              <w:t xml:space="preserve"> are important components of inland aquatic ecosystems, yet local information on their assemblages in tank habitats of </w:t>
            </w:r>
            <w:proofErr w:type="spellStart"/>
            <w:r w:rsidRPr="009B5E41">
              <w:rPr>
                <w:rFonts w:ascii="Arial" w:eastAsia="Calibri" w:hAnsi="Arial" w:cs="Arial"/>
                <w:szCs w:val="22"/>
              </w:rPr>
              <w:t>Kadegaon</w:t>
            </w:r>
            <w:proofErr w:type="spellEnd"/>
            <w:r w:rsidRPr="009B5E41">
              <w:rPr>
                <w:rFonts w:ascii="Arial" w:eastAsia="Calibri" w:hAnsi="Arial" w:cs="Arial"/>
                <w:szCs w:val="22"/>
              </w:rPr>
              <w:t>, Maharashtra, remains limited.</w:t>
            </w:r>
          </w:p>
          <w:p w14:paraId="67BB6E5A"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Aim:</w:t>
            </w:r>
          </w:p>
          <w:p w14:paraId="1C855FDF" w14:textId="77777777" w:rsidR="004C43D3" w:rsidRPr="00EF072B" w:rsidRDefault="004C43D3" w:rsidP="006950A3">
            <w:pPr>
              <w:pStyle w:val="Body"/>
            </w:pPr>
            <w:r w:rsidRPr="00EF072B">
              <w:t xml:space="preserve">To assess the diversity, abundance, distribution, and community structure of freshwater </w:t>
            </w:r>
            <w:proofErr w:type="spellStart"/>
            <w:r w:rsidRPr="00EF072B">
              <w:t>molluscs</w:t>
            </w:r>
            <w:proofErr w:type="spellEnd"/>
            <w:r w:rsidRPr="00EF072B">
              <w:t xml:space="preserve"> inhabiting selected tank ecosystems of </w:t>
            </w:r>
            <w:proofErr w:type="spellStart"/>
            <w:r w:rsidRPr="00EF072B">
              <w:t>Kadegaon</w:t>
            </w:r>
            <w:proofErr w:type="spellEnd"/>
            <w:r w:rsidRPr="00EF072B">
              <w:t xml:space="preserve">, </w:t>
            </w:r>
            <w:proofErr w:type="spellStart"/>
            <w:r w:rsidRPr="00EF072B">
              <w:t>Sangli</w:t>
            </w:r>
            <w:proofErr w:type="spellEnd"/>
            <w:r w:rsidRPr="00EF072B">
              <w:t xml:space="preserve"> District, Maharashtra.</w:t>
            </w:r>
          </w:p>
          <w:p w14:paraId="43BBAB14"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Study Design:</w:t>
            </w:r>
          </w:p>
          <w:p w14:paraId="119EF988" w14:textId="77777777" w:rsidR="004C43D3" w:rsidRPr="00EF072B" w:rsidRDefault="004C43D3" w:rsidP="006950A3">
            <w:pPr>
              <w:pStyle w:val="Body"/>
              <w:rPr>
                <w:rFonts w:ascii="Arial" w:eastAsia="Calibri" w:hAnsi="Arial" w:cs="Arial"/>
                <w:szCs w:val="22"/>
              </w:rPr>
            </w:pPr>
            <w:r w:rsidRPr="00EF072B">
              <w:rPr>
                <w:rFonts w:ascii="Arial" w:eastAsia="Calibri" w:hAnsi="Arial" w:cs="Arial"/>
                <w:szCs w:val="22"/>
                <w:highlight w:val="yellow"/>
              </w:rPr>
              <w:t>A field-based comparative study was conducted in two freshwater tank ecosystems.</w:t>
            </w:r>
          </w:p>
          <w:p w14:paraId="1AD79307"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Place and Duration of Study:</w:t>
            </w:r>
          </w:p>
          <w:p w14:paraId="5B3024FF" w14:textId="77777777" w:rsidR="006950A3" w:rsidRPr="00EF072B" w:rsidRDefault="004C43D3" w:rsidP="006950A3">
            <w:pPr>
              <w:pStyle w:val="Body"/>
              <w:rPr>
                <w:rFonts w:ascii="Arial" w:eastAsia="Calibri" w:hAnsi="Arial" w:cs="Arial"/>
                <w:szCs w:val="22"/>
              </w:rPr>
            </w:pPr>
            <w:r w:rsidRPr="00EF072B">
              <w:rPr>
                <w:rFonts w:ascii="Arial" w:eastAsia="Calibri" w:hAnsi="Arial" w:cs="Arial"/>
                <w:szCs w:val="22"/>
              </w:rPr>
              <w:t xml:space="preserve">Nerli Tank (Site-I) and </w:t>
            </w:r>
            <w:proofErr w:type="spellStart"/>
            <w:r w:rsidRPr="00EF072B">
              <w:rPr>
                <w:rFonts w:ascii="Arial" w:eastAsia="Calibri" w:hAnsi="Arial" w:cs="Arial"/>
                <w:szCs w:val="22"/>
              </w:rPr>
              <w:t>Surli</w:t>
            </w:r>
            <w:proofErr w:type="spellEnd"/>
            <w:r w:rsidRPr="00EF072B">
              <w:rPr>
                <w:rFonts w:ascii="Arial" w:eastAsia="Calibri" w:hAnsi="Arial" w:cs="Arial"/>
                <w:szCs w:val="22"/>
              </w:rPr>
              <w:t xml:space="preserve"> Ghat Tank (Site-II), located in </w:t>
            </w:r>
            <w:proofErr w:type="spellStart"/>
            <w:r w:rsidRPr="00EF072B">
              <w:rPr>
                <w:rFonts w:ascii="Arial" w:eastAsia="Calibri" w:hAnsi="Arial" w:cs="Arial"/>
                <w:szCs w:val="22"/>
              </w:rPr>
              <w:t>Kadegaon</w:t>
            </w:r>
            <w:proofErr w:type="spellEnd"/>
            <w:r w:rsidRPr="00EF072B">
              <w:rPr>
                <w:rFonts w:ascii="Arial" w:eastAsia="Calibri" w:hAnsi="Arial" w:cs="Arial"/>
                <w:szCs w:val="22"/>
              </w:rPr>
              <w:t xml:space="preserve">, </w:t>
            </w:r>
            <w:proofErr w:type="spellStart"/>
            <w:r w:rsidRPr="00EF072B">
              <w:rPr>
                <w:rFonts w:ascii="Arial" w:eastAsia="Calibri" w:hAnsi="Arial" w:cs="Arial"/>
                <w:szCs w:val="22"/>
              </w:rPr>
              <w:t>Sangli</w:t>
            </w:r>
            <w:proofErr w:type="spellEnd"/>
            <w:r w:rsidRPr="00EF072B">
              <w:rPr>
                <w:rFonts w:ascii="Arial" w:eastAsia="Calibri" w:hAnsi="Arial" w:cs="Arial"/>
                <w:szCs w:val="22"/>
              </w:rPr>
              <w:t xml:space="preserve"> District, Maharashtra, India. The study was carried out during January 2026, with repeated sampling conducted at both </w:t>
            </w:r>
            <w:r w:rsidRPr="00EF072B">
              <w:rPr>
                <w:rFonts w:ascii="Arial" w:eastAsia="Calibri" w:hAnsi="Arial" w:cs="Arial"/>
                <w:szCs w:val="22"/>
                <w:highlight w:val="yellow"/>
              </w:rPr>
              <w:t>sites.</w:t>
            </w:r>
          </w:p>
          <w:p w14:paraId="61081FFA"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Methodology:</w:t>
            </w:r>
          </w:p>
          <w:p w14:paraId="0FBFB5C1" w14:textId="77777777" w:rsidR="006950A3" w:rsidRPr="00EF072B" w:rsidRDefault="00BF7B9F" w:rsidP="006950A3">
            <w:pPr>
              <w:pStyle w:val="Body"/>
              <w:rPr>
                <w:rFonts w:ascii="Arial" w:eastAsia="Calibri" w:hAnsi="Arial" w:cs="Arial"/>
                <w:szCs w:val="22"/>
              </w:rPr>
            </w:pPr>
            <w:r w:rsidRPr="00EF072B">
              <w:rPr>
                <w:rFonts w:ascii="Arial" w:eastAsia="Calibri" w:hAnsi="Arial" w:cs="Arial"/>
                <w:szCs w:val="22"/>
              </w:rPr>
              <w:t xml:space="preserve">Freshwater </w:t>
            </w:r>
            <w:proofErr w:type="spellStart"/>
            <w:r w:rsidRPr="00EF072B">
              <w:rPr>
                <w:rFonts w:ascii="Arial" w:eastAsia="Calibri" w:hAnsi="Arial" w:cs="Arial"/>
                <w:szCs w:val="22"/>
              </w:rPr>
              <w:t>molluscs</w:t>
            </w:r>
            <w:proofErr w:type="spellEnd"/>
            <w:r w:rsidRPr="00EF072B">
              <w:rPr>
                <w:rFonts w:ascii="Arial" w:eastAsia="Calibri" w:hAnsi="Arial" w:cs="Arial"/>
                <w:szCs w:val="22"/>
              </w:rPr>
              <w:t xml:space="preserve"> were sampled using hand-picking, scoop-net collection, and random quadrat sampling (1 m × 1 m). Specimens were identified based on shell morphology and standard taxonomic keys. Species abundance and distribution were recorded for both sites, and community diversity was evaluated using the Shannon–Wiener diversity index and Simpson’s dominance index.</w:t>
            </w:r>
          </w:p>
          <w:p w14:paraId="48AC7139"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Results:</w:t>
            </w:r>
          </w:p>
          <w:p w14:paraId="1A8075D2" w14:textId="77777777" w:rsidR="00BF7B9F" w:rsidRPr="00EF072B" w:rsidRDefault="00BF7B9F" w:rsidP="006950A3">
            <w:pPr>
              <w:pStyle w:val="Body"/>
              <w:rPr>
                <w:rFonts w:ascii="Arial" w:eastAsia="Calibri" w:hAnsi="Arial" w:cs="Arial"/>
                <w:szCs w:val="22"/>
              </w:rPr>
            </w:pPr>
            <w:r w:rsidRPr="00EF072B">
              <w:rPr>
                <w:rFonts w:ascii="Arial" w:eastAsia="Calibri" w:hAnsi="Arial" w:cs="Arial"/>
                <w:szCs w:val="22"/>
                <w:highlight w:val="yellow"/>
              </w:rPr>
              <w:t xml:space="preserve">Five </w:t>
            </w:r>
            <w:r w:rsidRPr="00EF072B">
              <w:rPr>
                <w:rFonts w:ascii="Arial" w:eastAsia="Calibri" w:hAnsi="Arial" w:cs="Arial"/>
                <w:szCs w:val="22"/>
              </w:rPr>
              <w:t xml:space="preserve">molluscan species belonging to the classes </w:t>
            </w:r>
            <w:proofErr w:type="spellStart"/>
            <w:r w:rsidRPr="00EF072B">
              <w:rPr>
                <w:rFonts w:ascii="Arial" w:eastAsia="Calibri" w:hAnsi="Arial" w:cs="Arial"/>
                <w:szCs w:val="22"/>
              </w:rPr>
              <w:t>Gastropoda</w:t>
            </w:r>
            <w:proofErr w:type="spellEnd"/>
            <w:r w:rsidRPr="00EF072B">
              <w:rPr>
                <w:rFonts w:ascii="Arial" w:eastAsia="Calibri" w:hAnsi="Arial" w:cs="Arial"/>
                <w:szCs w:val="22"/>
              </w:rPr>
              <w:t xml:space="preserve"> and Bivalvia were recorded: </w:t>
            </w:r>
            <w:r w:rsidRPr="00EF072B">
              <w:rPr>
                <w:rFonts w:ascii="Arial" w:eastAsia="Calibri" w:hAnsi="Arial" w:cs="Arial"/>
                <w:i/>
                <w:iCs/>
                <w:szCs w:val="22"/>
              </w:rPr>
              <w:t>Pila</w:t>
            </w:r>
            <w:r w:rsidRPr="00EF072B">
              <w:rPr>
                <w:rFonts w:ascii="Arial" w:eastAsia="Calibri" w:hAnsi="Arial" w:cs="Arial"/>
                <w:szCs w:val="22"/>
              </w:rPr>
              <w:t xml:space="preserve"> sp., </w:t>
            </w:r>
            <w:proofErr w:type="spellStart"/>
            <w:r w:rsidRPr="00EF072B">
              <w:rPr>
                <w:rFonts w:ascii="Arial" w:eastAsia="Calibri" w:hAnsi="Arial" w:cs="Arial"/>
                <w:i/>
                <w:iCs/>
                <w:szCs w:val="22"/>
              </w:rPr>
              <w:t>Bellamya</w:t>
            </w:r>
            <w:proofErr w:type="spellEnd"/>
            <w:r w:rsidRPr="00EF072B">
              <w:rPr>
                <w:rFonts w:ascii="Arial" w:eastAsia="Calibri" w:hAnsi="Arial" w:cs="Arial"/>
                <w:szCs w:val="22"/>
              </w:rPr>
              <w:t xml:space="preserve"> sp., </w:t>
            </w:r>
            <w:proofErr w:type="spellStart"/>
            <w:r w:rsidRPr="00EF072B">
              <w:rPr>
                <w:rFonts w:ascii="Arial" w:eastAsia="Calibri" w:hAnsi="Arial" w:cs="Arial"/>
                <w:i/>
                <w:iCs/>
                <w:szCs w:val="22"/>
              </w:rPr>
              <w:t>Lymnaea</w:t>
            </w:r>
            <w:proofErr w:type="spellEnd"/>
            <w:r w:rsidRPr="00EF072B">
              <w:rPr>
                <w:rFonts w:ascii="Arial" w:eastAsia="Calibri" w:hAnsi="Arial" w:cs="Arial"/>
                <w:szCs w:val="22"/>
              </w:rPr>
              <w:t xml:space="preserve"> sp., </w:t>
            </w:r>
            <w:r w:rsidRPr="00EF072B">
              <w:rPr>
                <w:rFonts w:ascii="Arial" w:eastAsia="Calibri" w:hAnsi="Arial" w:cs="Arial"/>
                <w:i/>
                <w:iCs/>
                <w:szCs w:val="22"/>
              </w:rPr>
              <w:t>Trochus</w:t>
            </w:r>
            <w:r w:rsidRPr="00EF072B">
              <w:rPr>
                <w:rFonts w:ascii="Arial" w:eastAsia="Calibri" w:hAnsi="Arial" w:cs="Arial"/>
                <w:szCs w:val="22"/>
              </w:rPr>
              <w:t xml:space="preserve"> sp., and </w:t>
            </w:r>
            <w:proofErr w:type="spellStart"/>
            <w:r w:rsidRPr="00EF072B">
              <w:rPr>
                <w:rFonts w:ascii="Arial" w:eastAsia="Calibri" w:hAnsi="Arial" w:cs="Arial"/>
                <w:i/>
                <w:iCs/>
                <w:szCs w:val="22"/>
              </w:rPr>
              <w:t>Lamellidens</w:t>
            </w:r>
            <w:proofErr w:type="spellEnd"/>
            <w:r w:rsidRPr="00EF072B">
              <w:rPr>
                <w:rFonts w:ascii="Arial" w:eastAsia="Calibri" w:hAnsi="Arial" w:cs="Arial"/>
                <w:szCs w:val="22"/>
              </w:rPr>
              <w:t xml:space="preserve"> sp. Gastropods were dominant at both sites. Site-I recorded 167 individuals, while Site-II recorded </w:t>
            </w:r>
            <w:r w:rsidRPr="00EF072B">
              <w:rPr>
                <w:rFonts w:ascii="Arial" w:eastAsia="Calibri" w:hAnsi="Arial" w:cs="Arial"/>
                <w:szCs w:val="22"/>
                <w:highlight w:val="yellow"/>
              </w:rPr>
              <w:t>115</w:t>
            </w:r>
            <w:r w:rsidRPr="00EF072B">
              <w:rPr>
                <w:rFonts w:ascii="Arial" w:eastAsia="Calibri" w:hAnsi="Arial" w:cs="Arial"/>
                <w:szCs w:val="22"/>
              </w:rPr>
              <w:t xml:space="preserve"> individuals. </w:t>
            </w:r>
            <w:proofErr w:type="spellStart"/>
            <w:r w:rsidRPr="00EF072B">
              <w:rPr>
                <w:rFonts w:ascii="Arial" w:eastAsia="Calibri" w:hAnsi="Arial" w:cs="Arial"/>
                <w:i/>
                <w:iCs/>
                <w:szCs w:val="22"/>
              </w:rPr>
              <w:t>Lymnaea</w:t>
            </w:r>
            <w:proofErr w:type="spellEnd"/>
            <w:r w:rsidRPr="00EF072B">
              <w:rPr>
                <w:rFonts w:ascii="Arial" w:eastAsia="Calibri" w:hAnsi="Arial" w:cs="Arial"/>
                <w:szCs w:val="22"/>
              </w:rPr>
              <w:t xml:space="preserve"> sp. was the most abundant species, whereas </w:t>
            </w:r>
            <w:r w:rsidRPr="00EF072B">
              <w:rPr>
                <w:rFonts w:ascii="Arial" w:eastAsia="Calibri" w:hAnsi="Arial" w:cs="Arial"/>
                <w:i/>
                <w:iCs/>
                <w:szCs w:val="22"/>
              </w:rPr>
              <w:t>Trochus</w:t>
            </w:r>
            <w:r w:rsidRPr="00EF072B">
              <w:rPr>
                <w:rFonts w:ascii="Arial" w:eastAsia="Calibri" w:hAnsi="Arial" w:cs="Arial"/>
                <w:szCs w:val="22"/>
              </w:rPr>
              <w:t xml:space="preserve"> sp. showed the lowest abundance. </w:t>
            </w:r>
            <w:proofErr w:type="spellStart"/>
            <w:r w:rsidRPr="00EF072B">
              <w:rPr>
                <w:rFonts w:ascii="Arial" w:eastAsia="Calibri" w:hAnsi="Arial" w:cs="Arial"/>
                <w:i/>
                <w:iCs/>
                <w:szCs w:val="22"/>
              </w:rPr>
              <w:t>Lamellidens</w:t>
            </w:r>
            <w:proofErr w:type="spellEnd"/>
            <w:r w:rsidRPr="00EF072B">
              <w:rPr>
                <w:rFonts w:ascii="Arial" w:eastAsia="Calibri" w:hAnsi="Arial" w:cs="Arial"/>
                <w:szCs w:val="22"/>
              </w:rPr>
              <w:t xml:space="preserve"> sp. was recorded exclusively at Site-I. The Shannon–Wiener diversity index was </w:t>
            </w:r>
            <w:r w:rsidRPr="00EF072B">
              <w:rPr>
                <w:rFonts w:ascii="Arial" w:eastAsia="Calibri" w:hAnsi="Arial" w:cs="Arial"/>
                <w:szCs w:val="22"/>
                <w:highlight w:val="yellow"/>
              </w:rPr>
              <w:t>1.41035</w:t>
            </w:r>
            <w:r w:rsidRPr="00EF072B">
              <w:rPr>
                <w:rFonts w:ascii="Arial" w:eastAsia="Calibri" w:hAnsi="Arial" w:cs="Arial"/>
                <w:szCs w:val="22"/>
              </w:rPr>
              <w:t xml:space="preserve"> at Site-I and </w:t>
            </w:r>
            <w:r w:rsidRPr="00EF072B">
              <w:rPr>
                <w:rFonts w:ascii="Arial" w:eastAsia="Calibri" w:hAnsi="Arial" w:cs="Arial"/>
                <w:szCs w:val="22"/>
                <w:highlight w:val="yellow"/>
              </w:rPr>
              <w:t>1.27101</w:t>
            </w:r>
            <w:r w:rsidRPr="00EF072B">
              <w:rPr>
                <w:rFonts w:ascii="Arial" w:eastAsia="Calibri" w:hAnsi="Arial" w:cs="Arial"/>
                <w:szCs w:val="22"/>
              </w:rPr>
              <w:t xml:space="preserve"> at Site-II, while Simpson’s dominance index was </w:t>
            </w:r>
            <w:r w:rsidRPr="00EF072B">
              <w:rPr>
                <w:rFonts w:ascii="Arial" w:eastAsia="Calibri" w:hAnsi="Arial" w:cs="Arial"/>
                <w:szCs w:val="22"/>
                <w:highlight w:val="yellow"/>
              </w:rPr>
              <w:t>0.276820</w:t>
            </w:r>
            <w:r w:rsidRPr="00EF072B">
              <w:rPr>
                <w:rFonts w:ascii="Arial" w:eastAsia="Calibri" w:hAnsi="Arial" w:cs="Arial"/>
                <w:szCs w:val="22"/>
              </w:rPr>
              <w:t xml:space="preserve"> and </w:t>
            </w:r>
            <w:r w:rsidRPr="00EF072B">
              <w:rPr>
                <w:rFonts w:ascii="Arial" w:eastAsia="Calibri" w:hAnsi="Arial" w:cs="Arial"/>
                <w:szCs w:val="22"/>
                <w:highlight w:val="yellow"/>
              </w:rPr>
              <w:t>0.292906</w:t>
            </w:r>
            <w:r w:rsidRPr="00EF072B">
              <w:rPr>
                <w:rFonts w:ascii="Arial" w:eastAsia="Calibri" w:hAnsi="Arial" w:cs="Arial"/>
                <w:szCs w:val="22"/>
              </w:rPr>
              <w:t>, respectively.</w:t>
            </w:r>
          </w:p>
          <w:p w14:paraId="4D34B229" w14:textId="77777777" w:rsidR="006950A3" w:rsidRPr="00EF072B" w:rsidRDefault="006950A3" w:rsidP="006950A3">
            <w:pPr>
              <w:pStyle w:val="Body"/>
              <w:rPr>
                <w:rFonts w:ascii="Arial" w:eastAsia="Calibri" w:hAnsi="Arial" w:cs="Arial"/>
                <w:szCs w:val="22"/>
              </w:rPr>
            </w:pPr>
            <w:r w:rsidRPr="00EF072B">
              <w:rPr>
                <w:rFonts w:ascii="Arial" w:eastAsia="Calibri" w:hAnsi="Arial" w:cs="Arial"/>
                <w:szCs w:val="22"/>
              </w:rPr>
              <w:t>Conclusion:</w:t>
            </w:r>
          </w:p>
          <w:p w14:paraId="79A3A38F" w14:textId="77777777" w:rsidR="00505F06" w:rsidRPr="00EF072B" w:rsidRDefault="00BF7B9F" w:rsidP="006950A3">
            <w:pPr>
              <w:pStyle w:val="Body"/>
              <w:spacing w:after="0"/>
              <w:rPr>
                <w:rFonts w:ascii="Arial" w:eastAsia="Calibri" w:hAnsi="Arial" w:cs="Arial"/>
                <w:szCs w:val="22"/>
              </w:rPr>
            </w:pPr>
            <w:r w:rsidRPr="00EF072B">
              <w:rPr>
                <w:rFonts w:ascii="Arial" w:eastAsia="Calibri" w:hAnsi="Arial" w:cs="Arial"/>
                <w:szCs w:val="22"/>
              </w:rPr>
              <w:t xml:space="preserve">Nerli Tank supported greater molluscan abundance and slightly higher species diversity than </w:t>
            </w:r>
            <w:proofErr w:type="spellStart"/>
            <w:r w:rsidRPr="00EF072B">
              <w:rPr>
                <w:rFonts w:ascii="Arial" w:eastAsia="Calibri" w:hAnsi="Arial" w:cs="Arial"/>
                <w:szCs w:val="22"/>
              </w:rPr>
              <w:t>Surli</w:t>
            </w:r>
            <w:proofErr w:type="spellEnd"/>
            <w:r w:rsidRPr="00EF072B">
              <w:rPr>
                <w:rFonts w:ascii="Arial" w:eastAsia="Calibri" w:hAnsi="Arial" w:cs="Arial"/>
                <w:szCs w:val="22"/>
              </w:rPr>
              <w:t xml:space="preserve"> Ghat Tank. The differences in species composition, abundance, and distribution between the two sites suggest variation in habitat characteristics and ecological conditions. The study highlights the ecological importance of tank ecosystems as habitats for freshwater molluscan communities and provides baseline information for future biodiversity monitoring and conservation.</w:t>
            </w:r>
          </w:p>
        </w:tc>
      </w:tr>
    </w:tbl>
    <w:p w14:paraId="02304A1B" w14:textId="77777777" w:rsidR="00636EB2" w:rsidRPr="00EF072B" w:rsidRDefault="00636EB2" w:rsidP="00441B6F">
      <w:pPr>
        <w:pStyle w:val="Body"/>
        <w:spacing w:after="0"/>
        <w:rPr>
          <w:rFonts w:ascii="Arial" w:hAnsi="Arial" w:cs="Arial"/>
          <w:i/>
        </w:rPr>
      </w:pPr>
    </w:p>
    <w:p w14:paraId="1197A928" w14:textId="77777777" w:rsidR="007C6779" w:rsidRPr="00EF072B" w:rsidRDefault="00A24E7E" w:rsidP="007C6779">
      <w:pPr>
        <w:pStyle w:val="Body"/>
        <w:spacing w:after="0"/>
        <w:rPr>
          <w:rFonts w:ascii="Arial" w:hAnsi="Arial" w:cs="Arial"/>
          <w:i/>
        </w:rPr>
      </w:pPr>
      <w:r w:rsidRPr="00EF072B">
        <w:rPr>
          <w:rFonts w:ascii="Arial" w:hAnsi="Arial" w:cs="Arial"/>
          <w:i/>
        </w:rPr>
        <w:lastRenderedPageBreak/>
        <w:t xml:space="preserve">Keywords: </w:t>
      </w:r>
      <w:r w:rsidR="007C6779" w:rsidRPr="00EF072B">
        <w:rPr>
          <w:rFonts w:ascii="Arial" w:hAnsi="Arial" w:cs="Arial"/>
          <w:i/>
        </w:rPr>
        <w:t xml:space="preserve">Molluscan diversity; freshwater </w:t>
      </w:r>
      <w:proofErr w:type="spellStart"/>
      <w:r w:rsidR="007C6779" w:rsidRPr="00EF072B">
        <w:rPr>
          <w:rFonts w:ascii="Arial" w:hAnsi="Arial" w:cs="Arial"/>
          <w:i/>
        </w:rPr>
        <w:t>molluscs</w:t>
      </w:r>
      <w:proofErr w:type="spellEnd"/>
      <w:r w:rsidR="007C6779" w:rsidRPr="00EF072B">
        <w:rPr>
          <w:rFonts w:ascii="Arial" w:hAnsi="Arial" w:cs="Arial"/>
          <w:i/>
        </w:rPr>
        <w:t xml:space="preserve">; tank ecosystem; </w:t>
      </w:r>
      <w:proofErr w:type="spellStart"/>
      <w:r w:rsidR="007C6779" w:rsidRPr="00EF072B">
        <w:rPr>
          <w:rFonts w:ascii="Arial" w:hAnsi="Arial" w:cs="Arial"/>
          <w:i/>
        </w:rPr>
        <w:t>Gastropoda</w:t>
      </w:r>
      <w:proofErr w:type="spellEnd"/>
      <w:r w:rsidR="007C6779" w:rsidRPr="00EF072B">
        <w:rPr>
          <w:rFonts w:ascii="Arial" w:hAnsi="Arial" w:cs="Arial"/>
          <w:i/>
        </w:rPr>
        <w:t>; Shannon–Wiener index; Simpson’s dominance index</w:t>
      </w:r>
    </w:p>
    <w:p w14:paraId="0241119E" w14:textId="77777777" w:rsidR="0024282C" w:rsidRPr="00EF072B" w:rsidRDefault="0024282C" w:rsidP="00441B6F">
      <w:pPr>
        <w:pStyle w:val="Body"/>
        <w:spacing w:after="0"/>
        <w:rPr>
          <w:rFonts w:ascii="Arial" w:hAnsi="Arial" w:cs="Arial"/>
          <w:i/>
          <w:sz w:val="18"/>
        </w:rPr>
      </w:pPr>
    </w:p>
    <w:p w14:paraId="154D99B7" w14:textId="77777777" w:rsidR="00790ADA" w:rsidRPr="00EF072B" w:rsidRDefault="00902823" w:rsidP="00441B6F">
      <w:pPr>
        <w:pStyle w:val="AbstHead"/>
        <w:spacing w:after="0"/>
        <w:jc w:val="both"/>
        <w:rPr>
          <w:rFonts w:ascii="Arial" w:hAnsi="Arial" w:cs="Arial"/>
        </w:rPr>
      </w:pPr>
      <w:r w:rsidRPr="00EF072B">
        <w:rPr>
          <w:rFonts w:ascii="Arial" w:hAnsi="Arial" w:cs="Arial"/>
        </w:rPr>
        <w:t xml:space="preserve">1. </w:t>
      </w:r>
      <w:r w:rsidR="00B01FCD" w:rsidRPr="00EF072B">
        <w:rPr>
          <w:rFonts w:ascii="Arial" w:hAnsi="Arial" w:cs="Arial"/>
        </w:rPr>
        <w:t>INTRODUCTION</w:t>
      </w:r>
      <w:r w:rsidR="007F7B32" w:rsidRPr="00EF072B">
        <w:rPr>
          <w:rFonts w:ascii="Arial" w:hAnsi="Arial" w:cs="Arial"/>
        </w:rPr>
        <w:t xml:space="preserve"> </w:t>
      </w:r>
    </w:p>
    <w:p w14:paraId="5D0EC79D" w14:textId="77777777" w:rsidR="008025DA" w:rsidRPr="00EF072B" w:rsidRDefault="008025DA" w:rsidP="008025DA">
      <w:pPr>
        <w:pStyle w:val="Body"/>
        <w:spacing w:after="0"/>
        <w:rPr>
          <w:rFonts w:ascii="Arial" w:hAnsi="Arial" w:cs="Arial"/>
        </w:rPr>
      </w:pPr>
      <w:r w:rsidRPr="00EF072B">
        <w:rPr>
          <w:rFonts w:ascii="Arial" w:hAnsi="Arial" w:cs="Arial"/>
        </w:rPr>
        <w:t xml:space="preserve">Biodiversity refers to the variation among living organisms and ecosystems </w:t>
      </w:r>
      <w:r w:rsidRPr="00EF072B">
        <w:rPr>
          <w:rFonts w:ascii="Arial" w:hAnsi="Arial" w:cs="Arial"/>
          <w:highlight w:val="yellow"/>
        </w:rPr>
        <w:t xml:space="preserve">(United Nations Environment </w:t>
      </w:r>
      <w:proofErr w:type="spellStart"/>
      <w:r w:rsidRPr="00EF072B">
        <w:rPr>
          <w:rFonts w:ascii="Arial" w:hAnsi="Arial" w:cs="Arial"/>
          <w:highlight w:val="yellow"/>
        </w:rPr>
        <w:t>Programme</w:t>
      </w:r>
      <w:proofErr w:type="spellEnd"/>
      <w:r w:rsidRPr="00EF072B">
        <w:rPr>
          <w:rFonts w:ascii="Arial" w:hAnsi="Arial" w:cs="Arial"/>
          <w:highlight w:val="yellow"/>
        </w:rPr>
        <w:t>, 1992)</w:t>
      </w:r>
      <w:r w:rsidRPr="00EF072B">
        <w:rPr>
          <w:rFonts w:ascii="Arial" w:hAnsi="Arial" w:cs="Arial"/>
        </w:rPr>
        <w:t xml:space="preserve">. It is a multifactorial concept that exhibits considerable heterogeneity across both time (Gaston, 2000; Rohde &amp; Muller, 2005) and space (Diniz-Filho &amp; Bini, 2005; Buckley &amp; </w:t>
      </w:r>
      <w:proofErr w:type="spellStart"/>
      <w:r w:rsidRPr="00EF072B">
        <w:rPr>
          <w:rFonts w:ascii="Arial" w:hAnsi="Arial" w:cs="Arial"/>
        </w:rPr>
        <w:t>Jetz</w:t>
      </w:r>
      <w:proofErr w:type="spellEnd"/>
      <w:r w:rsidRPr="00EF072B">
        <w:rPr>
          <w:rFonts w:ascii="Arial" w:hAnsi="Arial" w:cs="Arial"/>
        </w:rPr>
        <w:t>, 2008). Freshwater ecosystems, including ponds, lakes, rivers, and reservoirs, support a wide variety of biological communities and provide essential ecological services.</w:t>
      </w:r>
    </w:p>
    <w:p w14:paraId="1B0CC37B" w14:textId="77777777" w:rsidR="008025DA" w:rsidRPr="00EF072B" w:rsidRDefault="008025DA" w:rsidP="008025DA">
      <w:pPr>
        <w:pStyle w:val="Body"/>
        <w:spacing w:after="0"/>
        <w:rPr>
          <w:rFonts w:ascii="Arial" w:hAnsi="Arial" w:cs="Arial"/>
        </w:rPr>
      </w:pPr>
      <w:r w:rsidRPr="00EF072B">
        <w:rPr>
          <w:rFonts w:ascii="Arial" w:hAnsi="Arial" w:cs="Arial"/>
        </w:rPr>
        <w:t xml:space="preserve">Freshwater </w:t>
      </w:r>
      <w:proofErr w:type="spellStart"/>
      <w:r w:rsidRPr="00EF072B">
        <w:rPr>
          <w:rFonts w:ascii="Arial" w:hAnsi="Arial" w:cs="Arial"/>
        </w:rPr>
        <w:t>molluscs</w:t>
      </w:r>
      <w:proofErr w:type="spellEnd"/>
      <w:r w:rsidRPr="00EF072B">
        <w:rPr>
          <w:rFonts w:ascii="Arial" w:hAnsi="Arial" w:cs="Arial"/>
        </w:rPr>
        <w:t xml:space="preserve"> represent an important and diverse component of freshwater biodiversity. They comprise approximately 4% of freshwater taxa and rank fifth in terms of species richness. These organisms are distributed across freshwater habitats worldwide, except Antarctica (Graf &amp; Cummings, 2007; Strong et al., 2008). However, freshwater </w:t>
      </w:r>
      <w:proofErr w:type="spellStart"/>
      <w:r w:rsidRPr="00EF072B">
        <w:rPr>
          <w:rFonts w:ascii="Arial" w:hAnsi="Arial" w:cs="Arial"/>
        </w:rPr>
        <w:t>molluscs</w:t>
      </w:r>
      <w:proofErr w:type="spellEnd"/>
      <w:r w:rsidRPr="00EF072B">
        <w:rPr>
          <w:rFonts w:ascii="Arial" w:hAnsi="Arial" w:cs="Arial"/>
        </w:rPr>
        <w:t xml:space="preserve"> are among the most threatened groups of freshwater animals, primarily because of environmental changes and habitat degradation (Balian et al., 2008).</w:t>
      </w:r>
    </w:p>
    <w:p w14:paraId="3A702B4F" w14:textId="47CE04C3" w:rsidR="00C0652A" w:rsidRPr="009B5E41" w:rsidRDefault="00000000">
      <w:pPr>
        <w:pStyle w:val="Body"/>
        <w:spacing w:after="0"/>
        <w:rPr>
          <w:rFonts w:ascii="Arial" w:hAnsi="Arial" w:cs="Arial"/>
        </w:rPr>
      </w:pPr>
      <w:r w:rsidRPr="00EF072B">
        <w:rPr>
          <w:rFonts w:ascii="Arial" w:hAnsi="Arial"/>
        </w:rPr>
        <w:t>Global assessments show that freshwater gastropods comprise several thousand described species but face substantial pressures from habitat loss, degradation, and other freshwater stressors, reinforcing the value of local inventories and baseline monitoring (Reid et al., 2019; Strong et al., 2008).</w:t>
      </w:r>
      <w:r w:rsidR="009B5E41">
        <w:rPr>
          <w:rFonts w:ascii="Arial" w:hAnsi="Arial" w:cs="Arial"/>
        </w:rPr>
        <w:t xml:space="preserve"> </w:t>
      </w:r>
      <w:r w:rsidRPr="009B5E41">
        <w:rPr>
          <w:rFonts w:ascii="Arial" w:hAnsi="Arial"/>
          <w:bCs/>
          <w:highlight w:val="yellow"/>
        </w:rPr>
        <w:t>Recent regional inventories from India likewise document marked differences in freshwater molluscan composition and representation across localities, supporting the value of geographically focused baseline surveys (Prasad et al., 2025; Priyadarsini, 2026).</w:t>
      </w:r>
    </w:p>
    <w:p w14:paraId="7C3A46D8" w14:textId="77777777" w:rsidR="008025DA" w:rsidRPr="00EF072B" w:rsidRDefault="008025DA" w:rsidP="008025DA">
      <w:pPr>
        <w:pStyle w:val="Body"/>
        <w:spacing w:after="0"/>
        <w:rPr>
          <w:rFonts w:ascii="Arial" w:hAnsi="Arial" w:cs="Arial"/>
        </w:rPr>
      </w:pPr>
      <w:r w:rsidRPr="00EF072B">
        <w:rPr>
          <w:rFonts w:ascii="Arial" w:hAnsi="Arial" w:cs="Arial"/>
        </w:rPr>
        <w:t xml:space="preserve">Freshwater </w:t>
      </w:r>
      <w:proofErr w:type="spellStart"/>
      <w:r w:rsidRPr="00EF072B">
        <w:rPr>
          <w:rFonts w:ascii="Arial" w:hAnsi="Arial" w:cs="Arial"/>
        </w:rPr>
        <w:t>molluscs</w:t>
      </w:r>
      <w:proofErr w:type="spellEnd"/>
      <w:r w:rsidRPr="00EF072B">
        <w:rPr>
          <w:rFonts w:ascii="Arial" w:hAnsi="Arial" w:cs="Arial"/>
        </w:rPr>
        <w:t xml:space="preserve"> belong to the phylum Mollusca and are mainly represented by two major classes, </w:t>
      </w:r>
      <w:proofErr w:type="spellStart"/>
      <w:r w:rsidRPr="00EF072B">
        <w:rPr>
          <w:rFonts w:ascii="Arial" w:hAnsi="Arial" w:cs="Arial"/>
        </w:rPr>
        <w:t>Gastropoda</w:t>
      </w:r>
      <w:proofErr w:type="spellEnd"/>
      <w:r w:rsidRPr="00EF072B">
        <w:rPr>
          <w:rFonts w:ascii="Arial" w:hAnsi="Arial" w:cs="Arial"/>
        </w:rPr>
        <w:t xml:space="preserve"> (snails) and Bivalvia (clams and mussels). They play important ecological roles in maintaining the balance of aquatic ecosystems through nutrient cycling, decomposition of organic matter, biofiltration, and grazing. They also serve as an important food source for fish, birds, and other aquatic organisms. Therefore, </w:t>
      </w:r>
      <w:proofErr w:type="spellStart"/>
      <w:r w:rsidRPr="00EF072B">
        <w:rPr>
          <w:rFonts w:ascii="Arial" w:hAnsi="Arial" w:cs="Arial"/>
        </w:rPr>
        <w:t>molluscs</w:t>
      </w:r>
      <w:proofErr w:type="spellEnd"/>
      <w:r w:rsidRPr="00EF072B">
        <w:rPr>
          <w:rFonts w:ascii="Arial" w:hAnsi="Arial" w:cs="Arial"/>
        </w:rPr>
        <w:t xml:space="preserve"> contribute significantly to aquatic food webs and overall ecosystem functioning </w:t>
      </w:r>
      <w:r w:rsidRPr="00EF072B">
        <w:rPr>
          <w:rFonts w:ascii="Arial" w:hAnsi="Arial" w:cs="Arial"/>
          <w:highlight w:val="yellow"/>
        </w:rPr>
        <w:t xml:space="preserve">(Subba Rao, 1989; Vaughn, 2018; </w:t>
      </w:r>
      <w:proofErr w:type="spellStart"/>
      <w:r w:rsidRPr="00EF072B">
        <w:rPr>
          <w:rFonts w:ascii="Arial" w:hAnsi="Arial" w:cs="Arial"/>
          <w:highlight w:val="yellow"/>
        </w:rPr>
        <w:t>Zieritz</w:t>
      </w:r>
      <w:proofErr w:type="spellEnd"/>
      <w:r w:rsidRPr="00EF072B">
        <w:rPr>
          <w:rFonts w:ascii="Arial" w:hAnsi="Arial" w:cs="Arial"/>
          <w:highlight w:val="yellow"/>
        </w:rPr>
        <w:t xml:space="preserve"> et al., 2022)</w:t>
      </w:r>
      <w:r w:rsidRPr="00EF072B">
        <w:rPr>
          <w:rFonts w:ascii="Arial" w:hAnsi="Arial" w:cs="Arial"/>
        </w:rPr>
        <w:t>.</w:t>
      </w:r>
    </w:p>
    <w:p w14:paraId="7E63E70E" w14:textId="2B41305F" w:rsidR="00C0652A" w:rsidRPr="009B5E41" w:rsidRDefault="00000000">
      <w:pPr>
        <w:pStyle w:val="Body"/>
        <w:spacing w:after="0"/>
        <w:rPr>
          <w:rFonts w:ascii="Arial" w:hAnsi="Arial" w:cs="Arial"/>
        </w:rPr>
      </w:pPr>
      <w:r w:rsidRPr="00EF072B">
        <w:rPr>
          <w:rFonts w:ascii="Arial" w:hAnsi="Arial"/>
        </w:rPr>
        <w:t>Beyond their contribution to species richness, freshwater bivalves influence nutrient recycling, substrate processes, habitat structure, and water filtration, demonstrating that molluscan diversity is linked to important ecosystem functions (Vaughn, 2018).</w:t>
      </w:r>
      <w:r w:rsidR="009B5E41">
        <w:rPr>
          <w:rFonts w:ascii="Arial" w:hAnsi="Arial" w:cs="Arial"/>
        </w:rPr>
        <w:t xml:space="preserve"> </w:t>
      </w:r>
      <w:r w:rsidRPr="009B5E41">
        <w:rPr>
          <w:rFonts w:ascii="Arial" w:hAnsi="Arial"/>
          <w:bCs/>
          <w:highlight w:val="yellow"/>
        </w:rPr>
        <w:t>Recent synthesis further supports the ecological importance of freshwater bivalves through their roles in filtration, biomonitoring, and other ecosystem services (</w:t>
      </w:r>
      <w:proofErr w:type="spellStart"/>
      <w:r w:rsidRPr="009B5E41">
        <w:rPr>
          <w:rFonts w:ascii="Arial" w:hAnsi="Arial"/>
          <w:bCs/>
          <w:highlight w:val="yellow"/>
        </w:rPr>
        <w:t>Zieritz</w:t>
      </w:r>
      <w:proofErr w:type="spellEnd"/>
      <w:r w:rsidRPr="009B5E41">
        <w:rPr>
          <w:rFonts w:ascii="Arial" w:hAnsi="Arial"/>
          <w:bCs/>
          <w:highlight w:val="yellow"/>
        </w:rPr>
        <w:t xml:space="preserve"> et al., 2022).</w:t>
      </w:r>
    </w:p>
    <w:p w14:paraId="03DB017E" w14:textId="5CD75EC4" w:rsidR="00C0652A" w:rsidRPr="009B5E41" w:rsidRDefault="00000000">
      <w:pPr>
        <w:pStyle w:val="Body"/>
        <w:spacing w:after="0"/>
        <w:rPr>
          <w:rFonts w:ascii="Arial" w:hAnsi="Arial" w:cs="Arial"/>
        </w:rPr>
      </w:pPr>
      <w:r w:rsidRPr="00EF072B">
        <w:rPr>
          <w:rFonts w:ascii="Arial" w:hAnsi="Arial"/>
        </w:rPr>
        <w:t>Recent Indian studies also demonstrate that freshwater molluscan richness and assemblage composition vary among habitat types and along environmental gradients, underscoring the value of site-level surveys for regional biodiversity assessment (Kulkarni et al., 2021; Sonowal et al., 2021).</w:t>
      </w:r>
      <w:r w:rsidR="009B5E41">
        <w:rPr>
          <w:rFonts w:ascii="Arial" w:hAnsi="Arial" w:cs="Arial"/>
        </w:rPr>
        <w:t xml:space="preserve"> </w:t>
      </w:r>
      <w:r w:rsidRPr="009B5E41">
        <w:rPr>
          <w:rFonts w:ascii="Arial" w:hAnsi="Arial"/>
          <w:bCs/>
          <w:highlight w:val="yellow"/>
        </w:rPr>
        <w:t>In central India, local freshwater gastropod distributions have been associated with environmental conditions such as dissolved oxygen and aquatic vegetation (Kolhe et al., 2025). Taxonomic work from Assam also demonstrates substantial regional diversity and endemism in freshwater mussels, underscoring the value of localized faunal documentation (</w:t>
      </w:r>
      <w:proofErr w:type="spellStart"/>
      <w:r w:rsidRPr="009B5E41">
        <w:rPr>
          <w:rFonts w:ascii="Arial" w:hAnsi="Arial"/>
          <w:bCs/>
          <w:highlight w:val="yellow"/>
        </w:rPr>
        <w:t>Bolotov</w:t>
      </w:r>
      <w:proofErr w:type="spellEnd"/>
      <w:r w:rsidRPr="009B5E41">
        <w:rPr>
          <w:rFonts w:ascii="Arial" w:hAnsi="Arial"/>
          <w:bCs/>
          <w:highlight w:val="yellow"/>
        </w:rPr>
        <w:t xml:space="preserve"> et al., 2024).</w:t>
      </w:r>
    </w:p>
    <w:p w14:paraId="03D4FEC4" w14:textId="77777777" w:rsidR="008025DA" w:rsidRPr="00EF072B" w:rsidRDefault="008025DA" w:rsidP="008025DA">
      <w:pPr>
        <w:pStyle w:val="Body"/>
        <w:spacing w:after="0"/>
        <w:rPr>
          <w:rFonts w:ascii="Arial" w:hAnsi="Arial" w:cs="Arial"/>
        </w:rPr>
      </w:pPr>
      <w:r w:rsidRPr="00EF072B">
        <w:rPr>
          <w:rFonts w:ascii="Arial" w:hAnsi="Arial" w:cs="Arial"/>
        </w:rPr>
        <w:t xml:space="preserve">Gastropods, in particular, play an important ecological role in freshwater ecosystems by grazing on algae and detritus and serving as prey for various aquatic and terrestrial animals. Their abundance, distribution, and diversity can therefore provide useful information about the ecological condition of freshwater habitats </w:t>
      </w:r>
      <w:r w:rsidRPr="00EF072B">
        <w:rPr>
          <w:rFonts w:ascii="Arial" w:hAnsi="Arial" w:cs="Arial"/>
          <w:highlight w:val="yellow"/>
        </w:rPr>
        <w:t>(Agudo-Padrón, 2011)</w:t>
      </w:r>
      <w:r w:rsidRPr="00EF072B">
        <w:rPr>
          <w:rFonts w:ascii="Arial" w:hAnsi="Arial" w:cs="Arial"/>
        </w:rPr>
        <w:t xml:space="preserve">. Consequently, the study of freshwater molluscan diversity is important for understanding aquatic biodiversity, community structure, and the ecological health of freshwater ecosystems. </w:t>
      </w:r>
      <w:r w:rsidRPr="009B5E41">
        <w:rPr>
          <w:rFonts w:ascii="Arial" w:hAnsi="Arial" w:cs="Arial"/>
          <w:bCs/>
          <w:highlight w:val="yellow"/>
        </w:rPr>
        <w:t xml:space="preserve">A local information gap therefore remains regarding the comparative diversity, abundance, distribution, and community structure of freshwater </w:t>
      </w:r>
      <w:proofErr w:type="spellStart"/>
      <w:r w:rsidRPr="009B5E41">
        <w:rPr>
          <w:rFonts w:ascii="Arial" w:hAnsi="Arial" w:cs="Arial"/>
          <w:bCs/>
          <w:highlight w:val="yellow"/>
        </w:rPr>
        <w:t>molluscs</w:t>
      </w:r>
      <w:proofErr w:type="spellEnd"/>
      <w:r w:rsidRPr="009B5E41">
        <w:rPr>
          <w:rFonts w:ascii="Arial" w:hAnsi="Arial" w:cs="Arial"/>
          <w:bCs/>
          <w:highlight w:val="yellow"/>
        </w:rPr>
        <w:t xml:space="preserve"> in tank ecosystems of </w:t>
      </w:r>
      <w:proofErr w:type="spellStart"/>
      <w:r w:rsidRPr="009B5E41">
        <w:rPr>
          <w:rFonts w:ascii="Arial" w:hAnsi="Arial" w:cs="Arial"/>
          <w:bCs/>
          <w:highlight w:val="yellow"/>
        </w:rPr>
        <w:t>Kadegaon</w:t>
      </w:r>
      <w:proofErr w:type="spellEnd"/>
      <w:r w:rsidRPr="009B5E41">
        <w:rPr>
          <w:rFonts w:ascii="Arial" w:hAnsi="Arial" w:cs="Arial"/>
          <w:bCs/>
          <w:highlight w:val="yellow"/>
        </w:rPr>
        <w:t xml:space="preserve">, </w:t>
      </w:r>
      <w:proofErr w:type="spellStart"/>
      <w:r w:rsidRPr="009B5E41">
        <w:rPr>
          <w:rFonts w:ascii="Arial" w:hAnsi="Arial" w:cs="Arial"/>
          <w:bCs/>
          <w:highlight w:val="yellow"/>
        </w:rPr>
        <w:t>Sangli</w:t>
      </w:r>
      <w:proofErr w:type="spellEnd"/>
      <w:r w:rsidRPr="009B5E41">
        <w:rPr>
          <w:rFonts w:ascii="Arial" w:hAnsi="Arial" w:cs="Arial"/>
          <w:bCs/>
          <w:highlight w:val="yellow"/>
        </w:rPr>
        <w:t xml:space="preserve"> District. </w:t>
      </w:r>
      <w:r>
        <w:rPr>
          <w:rFonts w:ascii="Arial" w:hAnsi="Arial" w:cs="Arial"/>
        </w:rPr>
        <w:t xml:space="preserve">The aim of the present study was to assess and compare the diversity, abundance, distribution, and community structure of freshwater </w:t>
      </w:r>
      <w:proofErr w:type="spellStart"/>
      <w:r>
        <w:rPr>
          <w:rFonts w:ascii="Arial" w:hAnsi="Arial" w:cs="Arial"/>
        </w:rPr>
        <w:t>molluscs</w:t>
      </w:r>
      <w:proofErr w:type="spellEnd"/>
      <w:r>
        <w:rPr>
          <w:rFonts w:ascii="Arial" w:hAnsi="Arial" w:cs="Arial"/>
        </w:rPr>
        <w:t xml:space="preserve"> in selected tank ecosystems of </w:t>
      </w:r>
      <w:proofErr w:type="spellStart"/>
      <w:r>
        <w:rPr>
          <w:rFonts w:ascii="Arial" w:hAnsi="Arial" w:cs="Arial"/>
        </w:rPr>
        <w:t>Kadegaon</w:t>
      </w:r>
      <w:proofErr w:type="spellEnd"/>
      <w:r>
        <w:rPr>
          <w:rFonts w:ascii="Arial" w:hAnsi="Arial" w:cs="Arial"/>
        </w:rPr>
        <w:t xml:space="preserve">, </w:t>
      </w:r>
      <w:proofErr w:type="spellStart"/>
      <w:r>
        <w:rPr>
          <w:rFonts w:ascii="Arial" w:hAnsi="Arial" w:cs="Arial"/>
        </w:rPr>
        <w:t>Sangli</w:t>
      </w:r>
      <w:proofErr w:type="spellEnd"/>
      <w:r>
        <w:rPr>
          <w:rFonts w:ascii="Arial" w:hAnsi="Arial" w:cs="Arial"/>
        </w:rPr>
        <w:t xml:space="preserve"> District, Maharashtra, India, and to evaluate their ecological significance.</w:t>
      </w:r>
    </w:p>
    <w:p w14:paraId="1D3E5D54" w14:textId="77777777" w:rsidR="007F7B32" w:rsidRPr="00EF072B" w:rsidRDefault="00902823" w:rsidP="00441B6F">
      <w:pPr>
        <w:pStyle w:val="AbstHead"/>
        <w:spacing w:after="0"/>
        <w:jc w:val="both"/>
        <w:rPr>
          <w:rFonts w:ascii="Arial" w:hAnsi="Arial" w:cs="Arial"/>
        </w:rPr>
      </w:pPr>
      <w:r w:rsidRPr="00EF072B">
        <w:rPr>
          <w:rFonts w:ascii="Arial" w:hAnsi="Arial" w:cs="Arial"/>
        </w:rPr>
        <w:lastRenderedPageBreak/>
        <w:t>2. material and method</w:t>
      </w:r>
      <w:r w:rsidR="00000F8F" w:rsidRPr="00EF072B">
        <w:rPr>
          <w:rFonts w:ascii="Arial" w:hAnsi="Arial" w:cs="Arial"/>
        </w:rPr>
        <w:t xml:space="preserve">s </w:t>
      </w:r>
    </w:p>
    <w:p w14:paraId="7C8F14DC" w14:textId="77777777" w:rsidR="00790ADA" w:rsidRPr="00EF072B" w:rsidRDefault="00790ADA" w:rsidP="00441B6F">
      <w:pPr>
        <w:pStyle w:val="AbstHead"/>
        <w:spacing w:after="0"/>
        <w:jc w:val="both"/>
        <w:rPr>
          <w:rFonts w:ascii="Arial" w:hAnsi="Arial" w:cs="Arial"/>
        </w:rPr>
      </w:pPr>
    </w:p>
    <w:p w14:paraId="182048B7"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highlight w:val="yellow"/>
          <w:lang w:bidi="mr-IN"/>
        </w:rPr>
        <w:t>2.1 Study Sites</w:t>
      </w:r>
      <w:r w:rsidRPr="00EF072B">
        <w:rPr>
          <w:rStyle w:val="Strong"/>
          <w:rFonts w:ascii="Arial" w:hAnsi="Arial" w:cs="Arial"/>
          <w:b/>
          <w:caps w:val="0"/>
          <w:sz w:val="20"/>
          <w:lang w:bidi="mr-IN"/>
        </w:rPr>
        <w:t xml:space="preserve"> (Plate I)</w:t>
      </w:r>
    </w:p>
    <w:p w14:paraId="299253A6"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 xml:space="preserve">2.1.1 Site-I (Nerli Tank): </w:t>
      </w:r>
    </w:p>
    <w:p w14:paraId="6D9FBF80"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 xml:space="preserve">Nerli Tank is located at Nerli village in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Taluka, approximately 7 km from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town and about 70 km from </w:t>
      </w:r>
      <w:proofErr w:type="spellStart"/>
      <w:r w:rsidRPr="00EF072B">
        <w:rPr>
          <w:rStyle w:val="Strong"/>
          <w:rFonts w:ascii="Arial" w:hAnsi="Arial" w:cs="Arial"/>
          <w:bCs w:val="0"/>
          <w:caps w:val="0"/>
          <w:sz w:val="20"/>
          <w:lang w:bidi="mr-IN"/>
        </w:rPr>
        <w:t>Sangli</w:t>
      </w:r>
      <w:proofErr w:type="spellEnd"/>
      <w:r w:rsidRPr="00EF072B">
        <w:rPr>
          <w:rStyle w:val="Strong"/>
          <w:rFonts w:ascii="Arial" w:hAnsi="Arial" w:cs="Arial"/>
          <w:bCs w:val="0"/>
          <w:caps w:val="0"/>
          <w:sz w:val="20"/>
          <w:lang w:bidi="mr-IN"/>
        </w:rPr>
        <w:t xml:space="preserve"> city, at 17.32° N latitude and 74.39° E longitude. The tank is surrounded mainly by agricultural fields and is used for irrigation, domestic purposes, and livestock. It receives runoff from nearby agricultural areas and supports aquatic vegetation, benthic organisms, and freshwater </w:t>
      </w:r>
      <w:proofErr w:type="spellStart"/>
      <w:r w:rsidRPr="00EF072B">
        <w:rPr>
          <w:rStyle w:val="Strong"/>
          <w:rFonts w:ascii="Arial" w:hAnsi="Arial" w:cs="Arial"/>
          <w:bCs w:val="0"/>
          <w:caps w:val="0"/>
          <w:sz w:val="20"/>
          <w:lang w:bidi="mr-IN"/>
        </w:rPr>
        <w:t>molluscs</w:t>
      </w:r>
      <w:proofErr w:type="spellEnd"/>
      <w:r w:rsidRPr="00EF072B">
        <w:rPr>
          <w:rStyle w:val="Strong"/>
          <w:rFonts w:ascii="Arial" w:hAnsi="Arial" w:cs="Arial"/>
          <w:bCs w:val="0"/>
          <w:caps w:val="0"/>
          <w:sz w:val="20"/>
          <w:lang w:bidi="mr-IN"/>
        </w:rPr>
        <w:t xml:space="preserve"> such as </w:t>
      </w:r>
      <w:r w:rsidRPr="00EF072B">
        <w:rPr>
          <w:rStyle w:val="Strong"/>
          <w:rFonts w:ascii="Arial" w:hAnsi="Arial" w:cs="Arial"/>
          <w:bCs w:val="0"/>
          <w:i/>
          <w:caps w:val="0"/>
          <w:sz w:val="20"/>
          <w:lang w:bidi="mr-IN"/>
        </w:rPr>
        <w:t>Pila</w:t>
      </w:r>
      <w:r w:rsidRPr="00EF072B">
        <w:rPr>
          <w:rStyle w:val="Strong"/>
          <w:rFonts w:ascii="Arial" w:hAnsi="Arial" w:cs="Arial"/>
          <w:bCs w:val="0"/>
          <w:caps w:val="0"/>
          <w:sz w:val="20"/>
          <w:lang w:bidi="mr-IN"/>
        </w:rPr>
        <w:t xml:space="preserve">, </w:t>
      </w:r>
      <w:proofErr w:type="spellStart"/>
      <w:r w:rsidRPr="00EF072B">
        <w:rPr>
          <w:rStyle w:val="Strong"/>
          <w:rFonts w:ascii="Arial" w:hAnsi="Arial" w:cs="Arial"/>
          <w:bCs w:val="0"/>
          <w:i/>
          <w:caps w:val="0"/>
          <w:sz w:val="20"/>
          <w:lang w:bidi="mr-IN"/>
        </w:rPr>
        <w:t>Bellamya</w:t>
      </w:r>
      <w:proofErr w:type="spellEnd"/>
      <w:r w:rsidRPr="00EF072B">
        <w:rPr>
          <w:rStyle w:val="Strong"/>
          <w:rFonts w:ascii="Arial" w:hAnsi="Arial" w:cs="Arial"/>
          <w:bCs w:val="0"/>
          <w:caps w:val="0"/>
          <w:sz w:val="20"/>
          <w:lang w:bidi="mr-IN"/>
        </w:rPr>
        <w:t xml:space="preserve">, and </w:t>
      </w:r>
      <w:proofErr w:type="spellStart"/>
      <w:r w:rsidRPr="00EF072B">
        <w:rPr>
          <w:rStyle w:val="Strong"/>
          <w:rFonts w:ascii="Arial" w:hAnsi="Arial" w:cs="Arial"/>
          <w:bCs w:val="0"/>
          <w:i/>
          <w:caps w:val="0"/>
          <w:sz w:val="20"/>
          <w:lang w:bidi="mr-IN"/>
        </w:rPr>
        <w:t>Lymnaea</w:t>
      </w:r>
      <w:proofErr w:type="spellEnd"/>
      <w:r w:rsidRPr="00EF072B">
        <w:rPr>
          <w:rStyle w:val="Strong"/>
          <w:rFonts w:ascii="Arial" w:hAnsi="Arial" w:cs="Arial"/>
          <w:bCs w:val="0"/>
          <w:caps w:val="0"/>
          <w:sz w:val="20"/>
          <w:lang w:bidi="mr-IN"/>
        </w:rPr>
        <w:t xml:space="preserve"> (Plate I).</w:t>
      </w:r>
    </w:p>
    <w:p w14:paraId="2482742F"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2.1.2 Site-II (</w:t>
      </w:r>
      <w:proofErr w:type="spellStart"/>
      <w:r w:rsidRPr="00EF072B">
        <w:rPr>
          <w:rStyle w:val="Strong"/>
          <w:rFonts w:ascii="Arial" w:hAnsi="Arial" w:cs="Arial"/>
          <w:b/>
          <w:caps w:val="0"/>
          <w:sz w:val="20"/>
          <w:lang w:bidi="mr-IN"/>
        </w:rPr>
        <w:t>Surli</w:t>
      </w:r>
      <w:proofErr w:type="spellEnd"/>
      <w:r w:rsidRPr="00EF072B">
        <w:rPr>
          <w:rStyle w:val="Strong"/>
          <w:rFonts w:ascii="Arial" w:hAnsi="Arial" w:cs="Arial"/>
          <w:b/>
          <w:caps w:val="0"/>
          <w:sz w:val="20"/>
          <w:lang w:bidi="mr-IN"/>
        </w:rPr>
        <w:t xml:space="preserve"> Ghat Tank): </w:t>
      </w:r>
    </w:p>
    <w:p w14:paraId="3BAFEB18" w14:textId="77777777" w:rsidR="008025DA" w:rsidRPr="00EF072B" w:rsidRDefault="008025DA" w:rsidP="008025DA">
      <w:pPr>
        <w:pStyle w:val="Head1"/>
        <w:jc w:val="both"/>
        <w:rPr>
          <w:rStyle w:val="Strong"/>
          <w:rFonts w:ascii="Arial" w:hAnsi="Arial" w:cs="Arial"/>
          <w:bCs w:val="0"/>
          <w:caps w:val="0"/>
          <w:sz w:val="20"/>
          <w:lang w:bidi="mr-IN"/>
        </w:rPr>
      </w:pPr>
      <w:proofErr w:type="spellStart"/>
      <w:r w:rsidRPr="00EF072B">
        <w:rPr>
          <w:rStyle w:val="Strong"/>
          <w:rFonts w:ascii="Arial" w:hAnsi="Arial" w:cs="Arial"/>
          <w:bCs w:val="0"/>
          <w:caps w:val="0"/>
          <w:sz w:val="20"/>
          <w:lang w:bidi="mr-IN"/>
        </w:rPr>
        <w:t>Surli</w:t>
      </w:r>
      <w:proofErr w:type="spellEnd"/>
      <w:r w:rsidRPr="00EF072B">
        <w:rPr>
          <w:rStyle w:val="Strong"/>
          <w:rFonts w:ascii="Arial" w:hAnsi="Arial" w:cs="Arial"/>
          <w:bCs w:val="0"/>
          <w:caps w:val="0"/>
          <w:sz w:val="20"/>
          <w:lang w:bidi="mr-IN"/>
        </w:rPr>
        <w:t xml:space="preserve"> Ghat Tank is located near </w:t>
      </w:r>
      <w:proofErr w:type="spellStart"/>
      <w:r w:rsidRPr="00EF072B">
        <w:rPr>
          <w:rStyle w:val="Strong"/>
          <w:rFonts w:ascii="Arial" w:hAnsi="Arial" w:cs="Arial"/>
          <w:bCs w:val="0"/>
          <w:caps w:val="0"/>
          <w:sz w:val="20"/>
          <w:lang w:bidi="mr-IN"/>
        </w:rPr>
        <w:t>Surli</w:t>
      </w:r>
      <w:proofErr w:type="spellEnd"/>
      <w:r w:rsidRPr="00EF072B">
        <w:rPr>
          <w:rStyle w:val="Strong"/>
          <w:rFonts w:ascii="Arial" w:hAnsi="Arial" w:cs="Arial"/>
          <w:bCs w:val="0"/>
          <w:caps w:val="0"/>
          <w:sz w:val="20"/>
          <w:lang w:bidi="mr-IN"/>
        </w:rPr>
        <w:t xml:space="preserve"> village in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Taluka and is primarily used for irrigation and water storage. The tank is surrounded by agricultural land and small settlements and receives seasonal water through rainfall runoff and nearby drainage channels. It supports various aquatic organisms, including </w:t>
      </w:r>
      <w:proofErr w:type="spellStart"/>
      <w:r w:rsidRPr="00EF072B">
        <w:rPr>
          <w:rStyle w:val="Strong"/>
          <w:rFonts w:ascii="Arial" w:hAnsi="Arial" w:cs="Arial"/>
          <w:bCs w:val="0"/>
          <w:caps w:val="0"/>
          <w:sz w:val="20"/>
          <w:lang w:bidi="mr-IN"/>
        </w:rPr>
        <w:t>molluscs</w:t>
      </w:r>
      <w:proofErr w:type="spellEnd"/>
      <w:r w:rsidRPr="00EF072B">
        <w:rPr>
          <w:rStyle w:val="Strong"/>
          <w:rFonts w:ascii="Arial" w:hAnsi="Arial" w:cs="Arial"/>
          <w:bCs w:val="0"/>
          <w:caps w:val="0"/>
          <w:sz w:val="20"/>
          <w:lang w:bidi="mr-IN"/>
        </w:rPr>
        <w:t xml:space="preserve">, plankton, and aquatic vegetation. Both sites were selected to facilitate a comparative assessment of molluscan diversity, abundance, distribution, and community structure in freshwater tank ecosystems of the </w:t>
      </w:r>
      <w:proofErr w:type="spellStart"/>
      <w:r w:rsidRPr="00EF072B">
        <w:rPr>
          <w:rStyle w:val="Strong"/>
          <w:rFonts w:ascii="Arial" w:hAnsi="Arial" w:cs="Arial"/>
          <w:bCs w:val="0"/>
          <w:caps w:val="0"/>
          <w:sz w:val="20"/>
          <w:lang w:bidi="mr-IN"/>
        </w:rPr>
        <w:t>Kadegaon</w:t>
      </w:r>
      <w:proofErr w:type="spellEnd"/>
      <w:r w:rsidRPr="00EF072B">
        <w:rPr>
          <w:rStyle w:val="Strong"/>
          <w:rFonts w:ascii="Arial" w:hAnsi="Arial" w:cs="Arial"/>
          <w:bCs w:val="0"/>
          <w:caps w:val="0"/>
          <w:sz w:val="20"/>
          <w:lang w:bidi="mr-IN"/>
        </w:rPr>
        <w:t xml:space="preserve"> region (Plate I).</w:t>
      </w:r>
    </w:p>
    <w:p w14:paraId="66DABE26"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2.1.3 Sampling Period and Method</w:t>
      </w:r>
    </w:p>
    <w:p w14:paraId="70BDAE1D"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Sampling was conducted during the morning hours in January 2026 to maintain relatively uniform environmental conditions. Molluscan specimens were collected using hand-picking, scoop-net, and quadrat methods. Quadrats measuring 1 m × 1 m were randomly placed at different locations within each tank, and the molluscan species present within each quadrat were collected and recorded. To improve the accuracy and reliability of the observations, the sampling procedure was repeated two to three times at each study site.</w:t>
      </w:r>
    </w:p>
    <w:p w14:paraId="37CD8778"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2.1.4 Identification of Species</w:t>
      </w:r>
    </w:p>
    <w:p w14:paraId="62D2E706"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 xml:space="preserve">The collected molluscan specimens were identified using standard zoological identification keys and relevant local fauna reference books. Identification was primarily based on shell morphological characteristics, including shell shape, </w:t>
      </w:r>
      <w:proofErr w:type="spellStart"/>
      <w:r w:rsidRPr="00EF072B">
        <w:rPr>
          <w:rStyle w:val="Strong"/>
          <w:rFonts w:ascii="Arial" w:hAnsi="Arial" w:cs="Arial"/>
          <w:bCs w:val="0"/>
          <w:caps w:val="0"/>
          <w:sz w:val="20"/>
          <w:lang w:bidi="mr-IN"/>
        </w:rPr>
        <w:t>colour</w:t>
      </w:r>
      <w:proofErr w:type="spellEnd"/>
      <w:r w:rsidRPr="00EF072B">
        <w:rPr>
          <w:rStyle w:val="Strong"/>
          <w:rFonts w:ascii="Arial" w:hAnsi="Arial" w:cs="Arial"/>
          <w:bCs w:val="0"/>
          <w:caps w:val="0"/>
          <w:sz w:val="20"/>
          <w:lang w:bidi="mr-IN"/>
        </w:rPr>
        <w:t>, size, coiling pattern, and other distinguishing features.</w:t>
      </w:r>
    </w:p>
    <w:p w14:paraId="4FF5C89D" w14:textId="77777777" w:rsidR="008025DA" w:rsidRPr="00EF072B" w:rsidRDefault="008025DA" w:rsidP="008025DA">
      <w:pPr>
        <w:pStyle w:val="Head1"/>
        <w:jc w:val="both"/>
        <w:rPr>
          <w:rStyle w:val="Strong"/>
          <w:rFonts w:ascii="Arial" w:hAnsi="Arial" w:cs="Arial"/>
          <w:b/>
          <w:caps w:val="0"/>
          <w:sz w:val="20"/>
          <w:lang w:bidi="mr-IN"/>
        </w:rPr>
      </w:pPr>
      <w:r w:rsidRPr="00EF072B">
        <w:rPr>
          <w:rStyle w:val="Strong"/>
          <w:rFonts w:ascii="Arial" w:hAnsi="Arial" w:cs="Arial"/>
          <w:b/>
          <w:caps w:val="0"/>
          <w:sz w:val="20"/>
          <w:lang w:bidi="mr-IN"/>
        </w:rPr>
        <w:t>2.1.5 Counting and Recording of Data</w:t>
      </w:r>
    </w:p>
    <w:p w14:paraId="231E1D6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 xml:space="preserve">The number of individuals of each molluscan species was counted and recorded separately for each study site. The data were </w:t>
      </w:r>
      <w:proofErr w:type="spellStart"/>
      <w:r w:rsidRPr="00EF072B">
        <w:rPr>
          <w:rStyle w:val="Strong"/>
          <w:rFonts w:ascii="Arial" w:hAnsi="Arial" w:cs="Arial"/>
          <w:bCs w:val="0"/>
          <w:caps w:val="0"/>
          <w:sz w:val="20"/>
          <w:highlight w:val="yellow"/>
          <w:lang w:bidi="mr-IN"/>
        </w:rPr>
        <w:t>organised</w:t>
      </w:r>
      <w:proofErr w:type="spellEnd"/>
      <w:r w:rsidRPr="00EF072B">
        <w:rPr>
          <w:rStyle w:val="Strong"/>
          <w:rFonts w:ascii="Arial" w:hAnsi="Arial" w:cs="Arial"/>
          <w:bCs w:val="0"/>
          <w:caps w:val="0"/>
          <w:sz w:val="20"/>
          <w:lang w:bidi="mr-IN"/>
        </w:rPr>
        <w:t xml:space="preserve"> in the following format:</w:t>
      </w:r>
    </w:p>
    <w:p w14:paraId="555AE79C"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The number of individuals of each species is presented in the following table.</w:t>
      </w:r>
    </w:p>
    <w:p w14:paraId="1B743ACB"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r>
      <w:r w:rsidRPr="00EF072B">
        <w:rPr>
          <w:rStyle w:val="Strong"/>
          <w:rFonts w:ascii="Arial" w:hAnsi="Arial" w:cs="Arial"/>
          <w:bCs w:val="0"/>
          <w:caps w:val="0"/>
          <w:sz w:val="20"/>
          <w:lang w:bidi="mr-IN"/>
        </w:rPr>
        <w:tab/>
      </w:r>
    </w:p>
    <w:p w14:paraId="55003F8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Calculation of Simpson’s Dominance Index (D) (Simpson, 1949)</w:t>
      </w:r>
    </w:p>
    <w:p w14:paraId="059230A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D=(∑</w:t>
      </w:r>
      <w:proofErr w:type="spellStart"/>
      <w:r w:rsidRPr="00EF072B">
        <w:rPr>
          <w:rStyle w:val="Strong"/>
          <w:rFonts w:ascii="Arial" w:hAnsi="Arial" w:cs="Arial"/>
          <w:bCs w:val="0"/>
          <w:caps w:val="0"/>
          <w:sz w:val="20"/>
          <w:lang w:bidi="mr-IN"/>
        </w:rPr>
        <w:t>ni</w:t>
      </w:r>
      <w:proofErr w:type="spellEnd"/>
      <w:r w:rsidRPr="00EF072B">
        <w:rPr>
          <w:rStyle w:val="Strong"/>
          <w:rFonts w:ascii="Arial" w:hAnsi="Arial" w:cs="Arial"/>
          <w:bCs w:val="0"/>
          <w:caps w:val="0"/>
          <w:sz w:val="20"/>
          <w:lang w:bidi="mr-IN"/>
        </w:rPr>
        <w:t>(ni-1))/(N(N-1))</w:t>
      </w:r>
    </w:p>
    <w:p w14:paraId="546248B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Where:</w:t>
      </w:r>
    </w:p>
    <w:p w14:paraId="598D9071"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 xml:space="preserve">nᵢ = number of individuals of species </w:t>
      </w:r>
      <w:proofErr w:type="spellStart"/>
      <w:r w:rsidRPr="00EF072B">
        <w:rPr>
          <w:rStyle w:val="Strong"/>
          <w:rFonts w:ascii="Arial" w:hAnsi="Arial" w:cs="Arial"/>
          <w:bCs w:val="0"/>
          <w:caps w:val="0"/>
          <w:sz w:val="20"/>
          <w:lang w:bidi="mr-IN"/>
        </w:rPr>
        <w:t>i</w:t>
      </w:r>
      <w:proofErr w:type="spellEnd"/>
    </w:p>
    <w:p w14:paraId="26EB1CB7"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 = total number of individuals</w:t>
      </w:r>
    </w:p>
    <w:p w14:paraId="24B94DE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 xml:space="preserve">pᵢ = proportion of individuals of species </w:t>
      </w:r>
      <w:proofErr w:type="spellStart"/>
      <w:r w:rsidRPr="00EF072B">
        <w:rPr>
          <w:rStyle w:val="Strong"/>
          <w:rFonts w:ascii="Arial" w:hAnsi="Arial" w:cs="Arial"/>
          <w:bCs w:val="0"/>
          <w:caps w:val="0"/>
          <w:sz w:val="20"/>
          <w:lang w:bidi="mr-IN"/>
        </w:rPr>
        <w:t>i</w:t>
      </w:r>
      <w:proofErr w:type="spellEnd"/>
      <w:r w:rsidRPr="00EF072B">
        <w:rPr>
          <w:rStyle w:val="Strong"/>
          <w:rFonts w:ascii="Arial" w:hAnsi="Arial" w:cs="Arial"/>
          <w:bCs w:val="0"/>
          <w:caps w:val="0"/>
          <w:sz w:val="20"/>
          <w:lang w:bidi="mr-IN"/>
        </w:rPr>
        <w:t xml:space="preserve"> (nᵢ / N)</w:t>
      </w:r>
    </w:p>
    <w:p w14:paraId="73EE844F"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D Value</w:t>
      </w:r>
      <w:r w:rsidRPr="00EF072B">
        <w:rPr>
          <w:rStyle w:val="Strong"/>
          <w:rFonts w:ascii="Arial" w:hAnsi="Arial" w:cs="Arial"/>
          <w:bCs w:val="0"/>
          <w:caps w:val="0"/>
          <w:sz w:val="20"/>
          <w:lang w:bidi="mr-IN"/>
        </w:rPr>
        <w:tab/>
        <w:t>Interpretation</w:t>
      </w:r>
    </w:p>
    <w:p w14:paraId="2056D266"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w:t>
      </w:r>
      <w:r w:rsidRPr="00EF072B">
        <w:rPr>
          <w:rStyle w:val="Strong"/>
          <w:rFonts w:ascii="Arial" w:hAnsi="Arial" w:cs="Arial"/>
          <w:bCs w:val="0"/>
          <w:caps w:val="0"/>
          <w:sz w:val="20"/>
          <w:lang w:bidi="mr-IN"/>
        </w:rPr>
        <w:tab/>
        <w:t>No dominance</w:t>
      </w:r>
    </w:p>
    <w:p w14:paraId="3DD244BC"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0.01 – 0.30</w:t>
      </w:r>
      <w:r w:rsidRPr="00EF072B">
        <w:rPr>
          <w:rStyle w:val="Strong"/>
          <w:rFonts w:ascii="Arial" w:hAnsi="Arial" w:cs="Arial"/>
          <w:bCs w:val="0"/>
          <w:caps w:val="0"/>
          <w:sz w:val="20"/>
          <w:lang w:bidi="mr-IN"/>
        </w:rPr>
        <w:tab/>
        <w:t>High diversity (low dominance)</w:t>
      </w:r>
    </w:p>
    <w:p w14:paraId="46A3A42F"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lastRenderedPageBreak/>
        <w:t>0.31 – 0.60</w:t>
      </w:r>
      <w:r w:rsidRPr="00EF072B">
        <w:rPr>
          <w:rStyle w:val="Strong"/>
          <w:rFonts w:ascii="Arial" w:hAnsi="Arial" w:cs="Arial"/>
          <w:bCs w:val="0"/>
          <w:caps w:val="0"/>
          <w:sz w:val="20"/>
          <w:lang w:bidi="mr-IN"/>
        </w:rPr>
        <w:tab/>
        <w:t>Moderate dominance</w:t>
      </w:r>
    </w:p>
    <w:p w14:paraId="0EDE684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0.61 – 1.00</w:t>
      </w:r>
      <w:r w:rsidRPr="00EF072B">
        <w:rPr>
          <w:rStyle w:val="Strong"/>
          <w:rFonts w:ascii="Arial" w:hAnsi="Arial" w:cs="Arial"/>
          <w:bCs w:val="0"/>
          <w:caps w:val="0"/>
          <w:sz w:val="20"/>
          <w:highlight w:val="yellow"/>
          <w:lang w:bidi="mr-IN"/>
        </w:rPr>
        <w:tab/>
        <w:t>High dominance</w:t>
      </w:r>
    </w:p>
    <w:p w14:paraId="05535765"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Calculation of Shannon–Wiener Diversity Index (H′) (Shannon, 1948)</w:t>
      </w:r>
    </w:p>
    <w:p w14:paraId="694C6ADF"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H′ = −</w:t>
      </w:r>
      <w:proofErr w:type="gramStart"/>
      <w:r w:rsidRPr="00EF072B">
        <w:rPr>
          <w:rStyle w:val="Strong"/>
          <w:rFonts w:ascii="Arial" w:hAnsi="Arial" w:cs="Arial"/>
          <w:bCs w:val="0"/>
          <w:caps w:val="0"/>
          <w:sz w:val="20"/>
          <w:lang w:bidi="mr-IN"/>
        </w:rPr>
        <w:t>∑(</w:t>
      </w:r>
      <w:proofErr w:type="gramEnd"/>
      <w:r w:rsidRPr="00EF072B">
        <w:rPr>
          <w:rStyle w:val="Strong"/>
          <w:rFonts w:ascii="Arial" w:hAnsi="Arial" w:cs="Arial"/>
          <w:bCs w:val="0"/>
          <w:caps w:val="0"/>
          <w:sz w:val="20"/>
          <w:lang w:bidi="mr-IN"/>
        </w:rPr>
        <w:t>pᵢ ln pᵢ)</w:t>
      </w:r>
    </w:p>
    <w:p w14:paraId="33ACDB2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where:</w:t>
      </w:r>
    </w:p>
    <w:p w14:paraId="096067D3" w14:textId="77777777" w:rsidR="008025DA" w:rsidRPr="00EF072B" w:rsidRDefault="008025DA" w:rsidP="008025DA">
      <w:pPr>
        <w:pStyle w:val="Head1"/>
        <w:jc w:val="both"/>
        <w:rPr>
          <w:rStyle w:val="Strong"/>
          <w:rFonts w:ascii="Arial" w:hAnsi="Arial" w:cs="Arial"/>
          <w:bCs w:val="0"/>
          <w:caps w:val="0"/>
          <w:sz w:val="20"/>
          <w:lang w:bidi="mr-IN"/>
        </w:rPr>
      </w:pPr>
    </w:p>
    <w:p w14:paraId="527BB868"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 xml:space="preserve">pᵢ = proportion of individuals of species </w:t>
      </w:r>
      <w:proofErr w:type="spellStart"/>
      <w:r w:rsidRPr="00EF072B">
        <w:rPr>
          <w:rStyle w:val="Strong"/>
          <w:rFonts w:ascii="Arial" w:hAnsi="Arial" w:cs="Arial"/>
          <w:bCs w:val="0"/>
          <w:caps w:val="0"/>
          <w:sz w:val="20"/>
          <w:lang w:bidi="mr-IN"/>
        </w:rPr>
        <w:t>i</w:t>
      </w:r>
      <w:proofErr w:type="spellEnd"/>
      <w:r w:rsidRPr="00EF072B">
        <w:rPr>
          <w:rStyle w:val="Strong"/>
          <w:rFonts w:ascii="Arial" w:hAnsi="Arial" w:cs="Arial"/>
          <w:bCs w:val="0"/>
          <w:caps w:val="0"/>
          <w:sz w:val="20"/>
          <w:lang w:bidi="mr-IN"/>
        </w:rPr>
        <w:t xml:space="preserve"> (pᵢ = nᵢ / N)</w:t>
      </w:r>
    </w:p>
    <w:p w14:paraId="6F5E54C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 xml:space="preserve">nᵢ = number of individuals of species </w:t>
      </w:r>
      <w:proofErr w:type="spellStart"/>
      <w:r w:rsidRPr="00EF072B">
        <w:rPr>
          <w:rStyle w:val="Strong"/>
          <w:rFonts w:ascii="Arial" w:hAnsi="Arial" w:cs="Arial"/>
          <w:bCs w:val="0"/>
          <w:caps w:val="0"/>
          <w:sz w:val="20"/>
          <w:lang w:bidi="mr-IN"/>
        </w:rPr>
        <w:t>i</w:t>
      </w:r>
      <w:proofErr w:type="spellEnd"/>
    </w:p>
    <w:p w14:paraId="10E859AD"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N = total number of individuals of all species</w:t>
      </w:r>
    </w:p>
    <w:p w14:paraId="3CC4F89F"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ab/>
        <w:t>ln = natural logarithm</w:t>
      </w:r>
    </w:p>
    <w:p w14:paraId="6B82BD22" w14:textId="77777777" w:rsidR="008025DA" w:rsidRPr="00EF072B" w:rsidRDefault="008025DA" w:rsidP="008025DA">
      <w:pPr>
        <w:pStyle w:val="Head1"/>
        <w:jc w:val="both"/>
        <w:rPr>
          <w:rStyle w:val="Strong"/>
          <w:rFonts w:ascii="Arial" w:hAnsi="Arial" w:cs="Arial"/>
          <w:bCs w:val="0"/>
          <w:caps w:val="0"/>
          <w:sz w:val="20"/>
          <w:lang w:bidi="mr-IN"/>
        </w:rPr>
      </w:pPr>
    </w:p>
    <w:p w14:paraId="119EA53C"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highlight w:val="yellow"/>
          <w:lang w:bidi="mr-IN"/>
        </w:rPr>
        <w:t>H′ Value</w:t>
      </w:r>
      <w:r w:rsidRPr="00EF072B">
        <w:rPr>
          <w:rStyle w:val="Strong"/>
          <w:rFonts w:ascii="Arial" w:hAnsi="Arial" w:cs="Arial"/>
          <w:bCs w:val="0"/>
          <w:caps w:val="0"/>
          <w:sz w:val="20"/>
          <w:lang w:bidi="mr-IN"/>
        </w:rPr>
        <w:tab/>
        <w:t>Interpretation</w:t>
      </w:r>
    </w:p>
    <w:p w14:paraId="0E35A739"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&lt;1.0</w:t>
      </w:r>
      <w:r w:rsidRPr="00EF072B">
        <w:rPr>
          <w:rStyle w:val="Strong"/>
          <w:rFonts w:ascii="Arial" w:hAnsi="Arial" w:cs="Arial"/>
          <w:bCs w:val="0"/>
          <w:caps w:val="0"/>
          <w:sz w:val="20"/>
          <w:lang w:bidi="mr-IN"/>
        </w:rPr>
        <w:tab/>
        <w:t>Very low diversity (disturbed/polluted habitat)</w:t>
      </w:r>
    </w:p>
    <w:p w14:paraId="3B5CE091"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1.0-2.0</w:t>
      </w:r>
      <w:r w:rsidRPr="00EF072B">
        <w:rPr>
          <w:rStyle w:val="Strong"/>
          <w:rFonts w:ascii="Arial" w:hAnsi="Arial" w:cs="Arial"/>
          <w:bCs w:val="0"/>
          <w:caps w:val="0"/>
          <w:sz w:val="20"/>
          <w:lang w:bidi="mr-IN"/>
        </w:rPr>
        <w:tab/>
        <w:t>Low diversity</w:t>
      </w:r>
    </w:p>
    <w:p w14:paraId="751FF09E"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2.0 – 3.0</w:t>
      </w:r>
      <w:r w:rsidRPr="00EF072B">
        <w:rPr>
          <w:rStyle w:val="Strong"/>
          <w:rFonts w:ascii="Arial" w:hAnsi="Arial" w:cs="Arial"/>
          <w:bCs w:val="0"/>
          <w:caps w:val="0"/>
          <w:sz w:val="20"/>
          <w:lang w:bidi="mr-IN"/>
        </w:rPr>
        <w:tab/>
        <w:t>Moderate diversity</w:t>
      </w:r>
    </w:p>
    <w:p w14:paraId="655EC459" w14:textId="77777777" w:rsidR="008025DA" w:rsidRPr="00EF072B" w:rsidRDefault="008025DA" w:rsidP="008025DA">
      <w:pPr>
        <w:pStyle w:val="Head1"/>
        <w:jc w:val="both"/>
        <w:rPr>
          <w:rStyle w:val="Strong"/>
          <w:rFonts w:ascii="Arial" w:hAnsi="Arial" w:cs="Arial"/>
          <w:bCs w:val="0"/>
          <w:caps w:val="0"/>
          <w:sz w:val="20"/>
          <w:lang w:bidi="mr-IN"/>
        </w:rPr>
      </w:pPr>
      <w:r w:rsidRPr="00EF072B">
        <w:rPr>
          <w:rStyle w:val="Strong"/>
          <w:rFonts w:ascii="Arial" w:hAnsi="Arial" w:cs="Arial"/>
          <w:bCs w:val="0"/>
          <w:caps w:val="0"/>
          <w:sz w:val="20"/>
          <w:lang w:bidi="mr-IN"/>
        </w:rPr>
        <w:t>3.0 – 4.0</w:t>
      </w:r>
      <w:r w:rsidRPr="00EF072B">
        <w:rPr>
          <w:rStyle w:val="Strong"/>
          <w:rFonts w:ascii="Arial" w:hAnsi="Arial" w:cs="Arial"/>
          <w:bCs w:val="0"/>
          <w:caps w:val="0"/>
          <w:sz w:val="20"/>
          <w:lang w:bidi="mr-IN"/>
        </w:rPr>
        <w:tab/>
        <w:t>High Diversity</w:t>
      </w:r>
    </w:p>
    <w:p w14:paraId="7F9F7A59" w14:textId="77777777" w:rsidR="008025DA" w:rsidRPr="00EF072B" w:rsidRDefault="008025DA" w:rsidP="008025DA">
      <w:pPr>
        <w:pStyle w:val="Head1"/>
        <w:spacing w:after="0"/>
        <w:jc w:val="both"/>
        <w:rPr>
          <w:rFonts w:ascii="Arial" w:hAnsi="Arial" w:cs="Arial"/>
          <w:b w:val="0"/>
        </w:rPr>
      </w:pPr>
      <w:r w:rsidRPr="00EF072B">
        <w:rPr>
          <w:rStyle w:val="Strong"/>
          <w:rFonts w:ascii="Arial" w:hAnsi="Arial" w:cs="Arial"/>
          <w:bCs w:val="0"/>
          <w:caps w:val="0"/>
          <w:sz w:val="20"/>
          <w:lang w:bidi="mr-IN"/>
        </w:rPr>
        <w:t>&gt;4.0</w:t>
      </w:r>
      <w:r w:rsidRPr="00EF072B">
        <w:rPr>
          <w:rStyle w:val="Strong"/>
          <w:rFonts w:ascii="Arial" w:hAnsi="Arial" w:cs="Arial"/>
          <w:bCs w:val="0"/>
          <w:caps w:val="0"/>
          <w:sz w:val="20"/>
          <w:lang w:bidi="mr-IN"/>
        </w:rPr>
        <w:tab/>
        <w:t>Very high diversity (rare in freshwater ecosystems)</w:t>
      </w:r>
    </w:p>
    <w:p w14:paraId="24259761" w14:textId="77777777" w:rsidR="007134D4" w:rsidRPr="00EF072B" w:rsidRDefault="007134D4" w:rsidP="008025DA">
      <w:pPr>
        <w:pStyle w:val="Head1"/>
        <w:spacing w:after="0"/>
        <w:jc w:val="both"/>
        <w:rPr>
          <w:rFonts w:ascii="Arial" w:hAnsi="Arial" w:cs="Arial"/>
          <w:b w:val="0"/>
        </w:rPr>
      </w:pPr>
    </w:p>
    <w:p w14:paraId="512D1F35" w14:textId="77777777" w:rsidR="007134D4" w:rsidRPr="00EF072B" w:rsidRDefault="007134D4" w:rsidP="007134D4">
      <w:pPr>
        <w:spacing w:line="360" w:lineRule="auto"/>
        <w:rPr>
          <w:rFonts w:ascii="Times New Roman" w:hAnsi="Times New Roman"/>
          <w:b/>
          <w:bCs/>
          <w:sz w:val="24"/>
          <w:szCs w:val="24"/>
        </w:rPr>
      </w:pPr>
      <w:r w:rsidRPr="00EF072B">
        <w:rPr>
          <w:rFonts w:ascii="Times New Roman" w:hAnsi="Times New Roman"/>
          <w:b/>
          <w:bCs/>
          <w:noProof/>
          <w:sz w:val="24"/>
          <w:szCs w:val="24"/>
          <w:lang w:bidi="mr-IN"/>
        </w:rPr>
        <w:lastRenderedPageBreak/>
        <w:drawing>
          <wp:inline distT="0" distB="0" distL="0" distR="0" wp14:anchorId="3E406C2B" wp14:editId="48827660">
            <wp:extent cx="5669872" cy="7346731"/>
            <wp:effectExtent l="19050" t="19050" r="26670" b="26035"/>
            <wp:docPr id="6" name="Picture 6" descr="H:\DKASC College\Base Level Project\Plat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DKASC College\Base Level Project\Plates-I.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6011" b="14944"/>
                    <a:stretch/>
                  </pic:blipFill>
                  <pic:spPr bwMode="auto">
                    <a:xfrm>
                      <a:off x="0" y="0"/>
                      <a:ext cx="5678041" cy="735731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B130C38" w14:textId="77777777" w:rsidR="007134D4" w:rsidRPr="00EF072B" w:rsidRDefault="007134D4" w:rsidP="007134D4">
      <w:pPr>
        <w:pStyle w:val="NormalWeb"/>
        <w:spacing w:line="360" w:lineRule="auto"/>
        <w:rPr>
          <w:rStyle w:val="Strong"/>
          <w:b w:val="0"/>
          <w:bCs w:val="0"/>
        </w:rPr>
      </w:pPr>
      <w:r w:rsidRPr="00EF072B">
        <w:t xml:space="preserve">Plate I. Location map of the study area showing the sampling sites in </w:t>
      </w:r>
      <w:proofErr w:type="spellStart"/>
      <w:r w:rsidRPr="00EF072B">
        <w:t>Kadegaon</w:t>
      </w:r>
      <w:proofErr w:type="spellEnd"/>
      <w:r w:rsidRPr="00EF072B">
        <w:t xml:space="preserve"> Taluka, </w:t>
      </w:r>
      <w:proofErr w:type="spellStart"/>
      <w:r w:rsidRPr="00EF072B">
        <w:t>Sangli</w:t>
      </w:r>
      <w:proofErr w:type="spellEnd"/>
      <w:r w:rsidRPr="00EF072B">
        <w:t xml:space="preserve"> District, Maharashtra, India.</w:t>
      </w:r>
    </w:p>
    <w:p w14:paraId="34C8A3A0" w14:textId="77777777" w:rsidR="007134D4" w:rsidRPr="00EF072B" w:rsidRDefault="007134D4" w:rsidP="008025DA">
      <w:pPr>
        <w:pStyle w:val="Head1"/>
        <w:spacing w:after="0"/>
        <w:jc w:val="both"/>
        <w:rPr>
          <w:rFonts w:ascii="Arial" w:hAnsi="Arial" w:cs="Arial"/>
          <w:b w:val="0"/>
        </w:rPr>
      </w:pPr>
    </w:p>
    <w:p w14:paraId="1039FE74" w14:textId="77777777" w:rsidR="007134D4" w:rsidRPr="00EF072B" w:rsidRDefault="007134D4" w:rsidP="008025DA">
      <w:pPr>
        <w:pStyle w:val="Head1"/>
        <w:spacing w:after="0"/>
        <w:jc w:val="both"/>
        <w:rPr>
          <w:rFonts w:ascii="Arial" w:hAnsi="Arial" w:cs="Arial"/>
          <w:b w:val="0"/>
          <w:sz w:val="20"/>
        </w:rPr>
      </w:pPr>
    </w:p>
    <w:p w14:paraId="1BE36D01" w14:textId="77777777" w:rsidR="00902823" w:rsidRPr="00EF072B" w:rsidRDefault="00902823" w:rsidP="008025DA">
      <w:pPr>
        <w:pStyle w:val="Head1"/>
        <w:spacing w:after="0"/>
        <w:jc w:val="both"/>
        <w:rPr>
          <w:rFonts w:ascii="Arial" w:hAnsi="Arial" w:cs="Arial"/>
          <w:bCs/>
          <w:sz w:val="20"/>
        </w:rPr>
      </w:pPr>
      <w:r w:rsidRPr="00EF072B">
        <w:rPr>
          <w:rFonts w:ascii="Arial" w:hAnsi="Arial" w:cs="Arial"/>
          <w:b w:val="0"/>
          <w:sz w:val="20"/>
          <w:highlight w:val="yellow"/>
        </w:rPr>
        <w:t>3. RESULTS AND DISCUSSION</w:t>
      </w:r>
    </w:p>
    <w:p w14:paraId="7ED97010" w14:textId="77777777" w:rsidR="00790ADA" w:rsidRPr="00EF072B" w:rsidRDefault="00790ADA" w:rsidP="00441B6F">
      <w:pPr>
        <w:pStyle w:val="Head1"/>
        <w:spacing w:after="0"/>
        <w:jc w:val="both"/>
        <w:rPr>
          <w:rFonts w:ascii="Arial" w:hAnsi="Arial" w:cs="Arial"/>
          <w:sz w:val="20"/>
        </w:rPr>
      </w:pPr>
    </w:p>
    <w:p w14:paraId="76AD188F" w14:textId="77777777" w:rsidR="00C56069" w:rsidRPr="00EF072B" w:rsidRDefault="00430E6A" w:rsidP="00430E6A">
      <w:pPr>
        <w:pStyle w:val="pdq2pgselectionanchorcontainer"/>
        <w:jc w:val="both"/>
        <w:rPr>
          <w:rFonts w:ascii="Arial" w:hAnsi="Arial" w:cs="Arial"/>
          <w:sz w:val="20"/>
          <w:szCs w:val="20"/>
        </w:rPr>
      </w:pPr>
      <w:r w:rsidRPr="00EF072B">
        <w:rPr>
          <w:rFonts w:ascii="Arial" w:hAnsi="Arial" w:cs="Arial"/>
          <w:sz w:val="20"/>
          <w:szCs w:val="20"/>
        </w:rPr>
        <w:t>T</w:t>
      </w:r>
      <w:r w:rsidR="00C56069" w:rsidRPr="00EF072B">
        <w:rPr>
          <w:rFonts w:ascii="Arial" w:hAnsi="Arial" w:cs="Arial"/>
          <w:sz w:val="20"/>
          <w:szCs w:val="20"/>
        </w:rPr>
        <w:t xml:space="preserve">he present investigation recorded five freshwater molluscan species belonging to two classes, </w:t>
      </w:r>
      <w:proofErr w:type="spellStart"/>
      <w:r w:rsidR="00C56069" w:rsidRPr="00EF072B">
        <w:rPr>
          <w:rFonts w:ascii="Arial" w:hAnsi="Arial" w:cs="Arial"/>
          <w:sz w:val="20"/>
          <w:szCs w:val="20"/>
        </w:rPr>
        <w:t>Gastropoda</w:t>
      </w:r>
      <w:proofErr w:type="spellEnd"/>
      <w:r w:rsidR="00C56069" w:rsidRPr="00EF072B">
        <w:rPr>
          <w:rFonts w:ascii="Arial" w:hAnsi="Arial" w:cs="Arial"/>
          <w:sz w:val="20"/>
          <w:szCs w:val="20"/>
        </w:rPr>
        <w:t xml:space="preserve"> and Bivalvia, from the selected tank ecosystems of the </w:t>
      </w:r>
      <w:proofErr w:type="spellStart"/>
      <w:r w:rsidR="00C56069" w:rsidRPr="00EF072B">
        <w:rPr>
          <w:rFonts w:ascii="Arial" w:hAnsi="Arial" w:cs="Arial"/>
          <w:sz w:val="20"/>
          <w:szCs w:val="20"/>
        </w:rPr>
        <w:t>Kadegaon</w:t>
      </w:r>
      <w:proofErr w:type="spellEnd"/>
      <w:r w:rsidR="00C56069" w:rsidRPr="00EF072B">
        <w:rPr>
          <w:rFonts w:ascii="Arial" w:hAnsi="Arial" w:cs="Arial"/>
          <w:sz w:val="20"/>
          <w:szCs w:val="20"/>
        </w:rPr>
        <w:t xml:space="preserve"> region. The recorded species were </w:t>
      </w:r>
      <w:r w:rsidR="00C56069" w:rsidRPr="00EF072B">
        <w:rPr>
          <w:rStyle w:val="Emphasis"/>
          <w:rFonts w:ascii="Arial" w:hAnsi="Arial" w:cs="Arial"/>
          <w:sz w:val="20"/>
          <w:szCs w:val="20"/>
        </w:rPr>
        <w:t>Pila</w:t>
      </w:r>
      <w:r w:rsidR="00C56069" w:rsidRPr="00EF072B">
        <w:rPr>
          <w:rFonts w:ascii="Arial" w:hAnsi="Arial" w:cs="Arial"/>
          <w:sz w:val="20"/>
          <w:szCs w:val="20"/>
        </w:rPr>
        <w:t xml:space="preserve"> sp., </w:t>
      </w:r>
      <w:proofErr w:type="spellStart"/>
      <w:r w:rsidR="00C56069" w:rsidRPr="00EF072B">
        <w:rPr>
          <w:rStyle w:val="Emphasis"/>
          <w:rFonts w:ascii="Arial" w:hAnsi="Arial" w:cs="Arial"/>
          <w:sz w:val="20"/>
          <w:szCs w:val="20"/>
        </w:rPr>
        <w:t>Bellamya</w:t>
      </w:r>
      <w:proofErr w:type="spellEnd"/>
      <w:r w:rsidR="00C56069" w:rsidRPr="00EF072B">
        <w:rPr>
          <w:rFonts w:ascii="Arial" w:hAnsi="Arial" w:cs="Arial"/>
          <w:sz w:val="20"/>
          <w:szCs w:val="20"/>
        </w:rPr>
        <w:t xml:space="preserve"> sp., </w:t>
      </w:r>
      <w:proofErr w:type="spellStart"/>
      <w:r w:rsidR="00C56069" w:rsidRPr="00EF072B">
        <w:rPr>
          <w:rStyle w:val="Emphasis"/>
          <w:rFonts w:ascii="Arial" w:hAnsi="Arial" w:cs="Arial"/>
          <w:sz w:val="20"/>
          <w:szCs w:val="20"/>
        </w:rPr>
        <w:t>Lymnaea</w:t>
      </w:r>
      <w:proofErr w:type="spellEnd"/>
      <w:r w:rsidR="00C56069" w:rsidRPr="00EF072B">
        <w:rPr>
          <w:rFonts w:ascii="Arial" w:hAnsi="Arial" w:cs="Arial"/>
          <w:sz w:val="20"/>
          <w:szCs w:val="20"/>
        </w:rPr>
        <w:t xml:space="preserve"> sp., </w:t>
      </w:r>
      <w:r w:rsidR="00C56069" w:rsidRPr="00EF072B">
        <w:rPr>
          <w:rStyle w:val="Emphasis"/>
          <w:rFonts w:ascii="Arial" w:hAnsi="Arial" w:cs="Arial"/>
          <w:sz w:val="20"/>
          <w:szCs w:val="20"/>
        </w:rPr>
        <w:t>Trochus</w:t>
      </w:r>
      <w:r w:rsidR="00C56069" w:rsidRPr="00EF072B">
        <w:rPr>
          <w:rFonts w:ascii="Arial" w:hAnsi="Arial" w:cs="Arial"/>
          <w:sz w:val="20"/>
          <w:szCs w:val="20"/>
        </w:rPr>
        <w:t xml:space="preserve"> sp., and </w:t>
      </w:r>
      <w:proofErr w:type="spellStart"/>
      <w:r w:rsidR="00C56069" w:rsidRPr="00EF072B">
        <w:rPr>
          <w:rStyle w:val="Emphasis"/>
          <w:rFonts w:ascii="Arial" w:hAnsi="Arial" w:cs="Arial"/>
          <w:sz w:val="20"/>
          <w:szCs w:val="20"/>
        </w:rPr>
        <w:t>Lamellidens</w:t>
      </w:r>
      <w:proofErr w:type="spellEnd"/>
      <w:r w:rsidR="00C56069" w:rsidRPr="00EF072B">
        <w:rPr>
          <w:rFonts w:ascii="Arial" w:hAnsi="Arial" w:cs="Arial"/>
          <w:sz w:val="20"/>
          <w:szCs w:val="20"/>
        </w:rPr>
        <w:t xml:space="preserve"> sp. Four species belonged to </w:t>
      </w:r>
      <w:proofErr w:type="spellStart"/>
      <w:r w:rsidR="00C56069" w:rsidRPr="00EF072B">
        <w:rPr>
          <w:rFonts w:ascii="Arial" w:hAnsi="Arial" w:cs="Arial"/>
          <w:sz w:val="20"/>
          <w:szCs w:val="20"/>
        </w:rPr>
        <w:t>Gastropoda</w:t>
      </w:r>
      <w:proofErr w:type="spellEnd"/>
      <w:r w:rsidR="00C56069" w:rsidRPr="00EF072B">
        <w:rPr>
          <w:rFonts w:ascii="Arial" w:hAnsi="Arial" w:cs="Arial"/>
          <w:sz w:val="20"/>
          <w:szCs w:val="20"/>
        </w:rPr>
        <w:t>, whereas one species belonged to Bivalvia. The distribution and abundance of the recorded species at Site-I (Nerli Tank) and Site-II (</w:t>
      </w:r>
      <w:proofErr w:type="spellStart"/>
      <w:r w:rsidR="00C56069" w:rsidRPr="00EF072B">
        <w:rPr>
          <w:rFonts w:ascii="Arial" w:hAnsi="Arial" w:cs="Arial"/>
          <w:sz w:val="20"/>
          <w:szCs w:val="20"/>
        </w:rPr>
        <w:t>Surli</w:t>
      </w:r>
      <w:proofErr w:type="spellEnd"/>
      <w:r w:rsidR="00C56069" w:rsidRPr="00EF072B">
        <w:rPr>
          <w:rFonts w:ascii="Arial" w:hAnsi="Arial" w:cs="Arial"/>
          <w:sz w:val="20"/>
          <w:szCs w:val="20"/>
        </w:rPr>
        <w:t xml:space="preserve"> Ghat Tank) are presented in Table 1 and Plate II.</w:t>
      </w:r>
    </w:p>
    <w:p w14:paraId="699424CD"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A total of 167 individuals were recorded at Site-I, whereas </w:t>
      </w:r>
      <w:r w:rsidRPr="00EF072B">
        <w:rPr>
          <w:rFonts w:ascii="Arial" w:hAnsi="Arial" w:cs="Arial"/>
          <w:sz w:val="20"/>
          <w:szCs w:val="20"/>
          <w:highlight w:val="yellow"/>
        </w:rPr>
        <w:t>115</w:t>
      </w:r>
      <w:r w:rsidRPr="00EF072B">
        <w:rPr>
          <w:rFonts w:ascii="Arial" w:hAnsi="Arial" w:cs="Arial"/>
          <w:sz w:val="20"/>
          <w:szCs w:val="20"/>
        </w:rPr>
        <w:t xml:space="preserve"> individuals were recorded at Site-II. Among the recorded species,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was the most abundant, with 70 individuals at Site-I and 43 individuals at Site-II. </w:t>
      </w:r>
      <w:r w:rsidRPr="00EF072B">
        <w:rPr>
          <w:rStyle w:val="Emphasis"/>
          <w:rFonts w:ascii="Arial" w:hAnsi="Arial" w:cs="Arial"/>
          <w:sz w:val="20"/>
          <w:szCs w:val="20"/>
        </w:rPr>
        <w:t>Pila</w:t>
      </w:r>
      <w:r w:rsidRPr="00EF072B">
        <w:rPr>
          <w:rFonts w:ascii="Arial" w:hAnsi="Arial" w:cs="Arial"/>
          <w:sz w:val="20"/>
          <w:szCs w:val="20"/>
        </w:rPr>
        <w:t xml:space="preserve"> sp. was the second most abundant species, with 40 and 36 individuals, respectively, followed by </w:t>
      </w:r>
      <w:proofErr w:type="spellStart"/>
      <w:r w:rsidRPr="00EF072B">
        <w:rPr>
          <w:rStyle w:val="Emphasis"/>
          <w:rFonts w:ascii="Arial" w:hAnsi="Arial" w:cs="Arial"/>
          <w:sz w:val="20"/>
          <w:szCs w:val="20"/>
        </w:rPr>
        <w:t>Bellamya</w:t>
      </w:r>
      <w:proofErr w:type="spellEnd"/>
      <w:r w:rsidRPr="00EF072B">
        <w:rPr>
          <w:rFonts w:ascii="Arial" w:hAnsi="Arial" w:cs="Arial"/>
          <w:sz w:val="20"/>
          <w:szCs w:val="20"/>
        </w:rPr>
        <w:t xml:space="preserve"> sp., with 32 and 27 individuals. </w:t>
      </w:r>
      <w:r w:rsidRPr="00EF072B">
        <w:rPr>
          <w:rStyle w:val="Emphasis"/>
          <w:rFonts w:ascii="Arial" w:hAnsi="Arial" w:cs="Arial"/>
          <w:sz w:val="20"/>
          <w:szCs w:val="20"/>
        </w:rPr>
        <w:t>Trochus</w:t>
      </w:r>
      <w:r w:rsidRPr="00EF072B">
        <w:rPr>
          <w:rFonts w:ascii="Arial" w:hAnsi="Arial" w:cs="Arial"/>
          <w:sz w:val="20"/>
          <w:szCs w:val="20"/>
        </w:rPr>
        <w:t xml:space="preserve"> sp. occurred in relatively low numbers, with 11 individuals at Site-I and 9 individuals at Site-II. </w:t>
      </w:r>
      <w:proofErr w:type="spellStart"/>
      <w:r w:rsidRPr="00EF072B">
        <w:rPr>
          <w:rStyle w:val="Emphasis"/>
          <w:rFonts w:ascii="Arial" w:hAnsi="Arial" w:cs="Arial"/>
          <w:sz w:val="20"/>
          <w:szCs w:val="20"/>
        </w:rPr>
        <w:t>Lamellidens</w:t>
      </w:r>
      <w:proofErr w:type="spellEnd"/>
      <w:r w:rsidRPr="00EF072B">
        <w:rPr>
          <w:rFonts w:ascii="Arial" w:hAnsi="Arial" w:cs="Arial"/>
          <w:sz w:val="20"/>
          <w:szCs w:val="20"/>
        </w:rPr>
        <w:t xml:space="preserve"> sp. was recorded exclusively at Site-I, with 14 individuals, and was absent from Site-II. The graphical representation of species abundance is presented in Figure 1.</w:t>
      </w:r>
    </w:p>
    <w:p w14:paraId="7354BA3D"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predominance of gastropods in the present study may be associated with their ecological adaptability and ability to </w:t>
      </w:r>
      <w:proofErr w:type="spellStart"/>
      <w:r w:rsidRPr="00EF072B">
        <w:rPr>
          <w:rFonts w:ascii="Arial" w:hAnsi="Arial" w:cs="Arial"/>
          <w:sz w:val="20"/>
          <w:szCs w:val="20"/>
          <w:highlight w:val="yellow"/>
        </w:rPr>
        <w:t>utilise</w:t>
      </w:r>
      <w:proofErr w:type="spellEnd"/>
      <w:r w:rsidRPr="00EF072B">
        <w:rPr>
          <w:rFonts w:ascii="Arial" w:hAnsi="Arial" w:cs="Arial"/>
          <w:sz w:val="20"/>
          <w:szCs w:val="20"/>
        </w:rPr>
        <w:t xml:space="preserve"> a variety of food resources, including algae, aquatic vegetation, detritus, and organic matter. Gastropods are also capable of occupying different microhabitats within freshwater ecosystems, which may contribute to their relatively high abundance. Similar dominance of gastropods has been reported in freshwater molluscan communities by </w:t>
      </w:r>
      <w:proofErr w:type="spellStart"/>
      <w:r w:rsidRPr="00EF072B">
        <w:rPr>
          <w:rFonts w:ascii="Arial" w:hAnsi="Arial" w:cs="Arial"/>
          <w:sz w:val="20"/>
          <w:szCs w:val="20"/>
          <w:highlight w:val="yellow"/>
        </w:rPr>
        <w:t>Bijukumar</w:t>
      </w:r>
      <w:proofErr w:type="spellEnd"/>
      <w:r w:rsidRPr="00EF072B">
        <w:rPr>
          <w:rFonts w:ascii="Arial" w:hAnsi="Arial" w:cs="Arial"/>
          <w:sz w:val="20"/>
          <w:szCs w:val="20"/>
          <w:highlight w:val="yellow"/>
        </w:rPr>
        <w:t xml:space="preserve"> et al. (2001)</w:t>
      </w:r>
      <w:r w:rsidRPr="00EF072B">
        <w:rPr>
          <w:rFonts w:ascii="Arial" w:hAnsi="Arial" w:cs="Arial"/>
          <w:sz w:val="20"/>
          <w:szCs w:val="20"/>
        </w:rPr>
        <w:t>, Subba (2003), and Raina et al. (2016).</w:t>
      </w:r>
    </w:p>
    <w:p w14:paraId="1479BA56" w14:textId="77777777" w:rsidR="00BD0A86" w:rsidRPr="00EF072B" w:rsidRDefault="00000000">
      <w:pPr>
        <w:pStyle w:val="NormalWeb"/>
        <w:jc w:val="both"/>
        <w:rPr>
          <w:rFonts w:ascii="Arial" w:hAnsi="Arial" w:cs="Arial"/>
          <w:sz w:val="20"/>
          <w:szCs w:val="20"/>
        </w:rPr>
      </w:pPr>
      <w:r w:rsidRPr="00EF072B">
        <w:rPr>
          <w:rFonts w:ascii="Arial" w:hAnsi="Arial"/>
          <w:sz w:val="20"/>
        </w:rPr>
        <w:t>Comparable Indian surveys have documented substantial spatial variation in freshwater gastropod richness and community composition, with habitat condition and anthropogenic gradients influencing local assemblages (Bagade et al., 2024; Kulkarni et al., 2021).</w:t>
      </w:r>
    </w:p>
    <w:p w14:paraId="1CEE389B"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greater total abundance observed at Nerli Tank compared with </w:t>
      </w:r>
      <w:proofErr w:type="spellStart"/>
      <w:r w:rsidRPr="00EF072B">
        <w:rPr>
          <w:rFonts w:ascii="Arial" w:hAnsi="Arial" w:cs="Arial"/>
          <w:sz w:val="20"/>
          <w:szCs w:val="20"/>
        </w:rPr>
        <w:t>Surli</w:t>
      </w:r>
      <w:proofErr w:type="spellEnd"/>
      <w:r w:rsidRPr="00EF072B">
        <w:rPr>
          <w:rFonts w:ascii="Arial" w:hAnsi="Arial" w:cs="Arial"/>
          <w:sz w:val="20"/>
          <w:szCs w:val="20"/>
        </w:rPr>
        <w:t xml:space="preserve"> Ghat Tank may be related to differences in habitat characteristics, aquatic vegetation, food availability, substrate composition, water quality, and other local environmental factors. The consistently high abundance of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at both sites suggests that this taxon is well adapted to the prevailing environmental conditions. </w:t>
      </w:r>
      <w:r w:rsidRPr="00EF072B">
        <w:rPr>
          <w:rStyle w:val="Emphasis"/>
          <w:rFonts w:ascii="Arial" w:hAnsi="Arial" w:cs="Arial"/>
          <w:sz w:val="20"/>
          <w:szCs w:val="20"/>
        </w:rPr>
        <w:t>Pila</w:t>
      </w:r>
      <w:r w:rsidRPr="00EF072B">
        <w:rPr>
          <w:rFonts w:ascii="Arial" w:hAnsi="Arial" w:cs="Arial"/>
          <w:sz w:val="20"/>
          <w:szCs w:val="20"/>
        </w:rPr>
        <w:t xml:space="preserve"> sp. and </w:t>
      </w:r>
      <w:proofErr w:type="spellStart"/>
      <w:r w:rsidRPr="00EF072B">
        <w:rPr>
          <w:rStyle w:val="Emphasis"/>
          <w:rFonts w:ascii="Arial" w:hAnsi="Arial" w:cs="Arial"/>
          <w:sz w:val="20"/>
          <w:szCs w:val="20"/>
        </w:rPr>
        <w:t>Bellamya</w:t>
      </w:r>
      <w:proofErr w:type="spellEnd"/>
      <w:r w:rsidRPr="00EF072B">
        <w:rPr>
          <w:rFonts w:ascii="Arial" w:hAnsi="Arial" w:cs="Arial"/>
          <w:sz w:val="20"/>
          <w:szCs w:val="20"/>
        </w:rPr>
        <w:t xml:space="preserve"> sp. also showed relatively high abundance at both sites, indicating their successful establishment in the studied tank habitats. In contrast, the low abundance of </w:t>
      </w:r>
      <w:r w:rsidRPr="00EF072B">
        <w:rPr>
          <w:rStyle w:val="Emphasis"/>
          <w:rFonts w:ascii="Arial" w:hAnsi="Arial" w:cs="Arial"/>
          <w:sz w:val="20"/>
          <w:szCs w:val="20"/>
        </w:rPr>
        <w:t>Trochus</w:t>
      </w:r>
      <w:r w:rsidRPr="00EF072B">
        <w:rPr>
          <w:rFonts w:ascii="Arial" w:hAnsi="Arial" w:cs="Arial"/>
          <w:sz w:val="20"/>
          <w:szCs w:val="20"/>
        </w:rPr>
        <w:t xml:space="preserve"> sp. suggests a comparatively restricted distribution within the study area. The exclusive occurrence of </w:t>
      </w:r>
      <w:proofErr w:type="spellStart"/>
      <w:r w:rsidRPr="00EF072B">
        <w:rPr>
          <w:rStyle w:val="Emphasis"/>
          <w:rFonts w:ascii="Arial" w:hAnsi="Arial" w:cs="Arial"/>
          <w:sz w:val="20"/>
          <w:szCs w:val="20"/>
        </w:rPr>
        <w:t>Lamellidens</w:t>
      </w:r>
      <w:proofErr w:type="spellEnd"/>
      <w:r w:rsidRPr="00EF072B">
        <w:rPr>
          <w:rFonts w:ascii="Arial" w:hAnsi="Arial" w:cs="Arial"/>
          <w:sz w:val="20"/>
          <w:szCs w:val="20"/>
        </w:rPr>
        <w:t xml:space="preserve"> sp. at Nerli Tank may be associated with site-specific substrate characteristics, availability of suitable habitat, water conditions, or food resources. However, these relationships should be interpreted cautiously because detailed physicochemical parameters were not assessed in the present diversity survey.</w:t>
      </w:r>
    </w:p>
    <w:p w14:paraId="79FE5118" w14:textId="77777777" w:rsidR="00BD0A86" w:rsidRPr="00EF072B" w:rsidRDefault="00000000">
      <w:pPr>
        <w:pStyle w:val="NormalWeb"/>
        <w:jc w:val="both"/>
        <w:rPr>
          <w:rFonts w:ascii="Arial" w:hAnsi="Arial" w:cs="Arial"/>
          <w:sz w:val="20"/>
          <w:szCs w:val="20"/>
        </w:rPr>
      </w:pPr>
      <w:r w:rsidRPr="00EF072B">
        <w:rPr>
          <w:rFonts w:ascii="Arial" w:hAnsi="Arial"/>
          <w:sz w:val="20"/>
        </w:rPr>
        <w:t xml:space="preserve">Field studies further indicate that freshwater </w:t>
      </w:r>
      <w:proofErr w:type="spellStart"/>
      <w:r w:rsidRPr="00EF072B">
        <w:rPr>
          <w:rFonts w:ascii="Arial" w:hAnsi="Arial"/>
          <w:sz w:val="20"/>
        </w:rPr>
        <w:t>mollusc</w:t>
      </w:r>
      <w:proofErr w:type="spellEnd"/>
      <w:r w:rsidRPr="00EF072B">
        <w:rPr>
          <w:rFonts w:ascii="Arial" w:hAnsi="Arial"/>
          <w:sz w:val="20"/>
        </w:rPr>
        <w:t xml:space="preserve"> communities can be structured by interacting environmental filters, including water chemistry, substrate, aquatic vegetation, hydrological stability, and connectivity; therefore, the site-level explanations proposed here remain ecologically plausible but untested without corresponding environmental measurements (</w:t>
      </w:r>
      <w:proofErr w:type="spellStart"/>
      <w:r w:rsidRPr="00EF072B">
        <w:rPr>
          <w:rFonts w:ascii="Arial" w:hAnsi="Arial"/>
          <w:sz w:val="20"/>
        </w:rPr>
        <w:t>Dubart</w:t>
      </w:r>
      <w:proofErr w:type="spellEnd"/>
      <w:r w:rsidRPr="00EF072B">
        <w:rPr>
          <w:rFonts w:ascii="Arial" w:hAnsi="Arial"/>
          <w:sz w:val="20"/>
        </w:rPr>
        <w:t xml:space="preserve"> et al., 2022; Sowa et al., 2019; Zawal et al., 2016).</w:t>
      </w:r>
    </w:p>
    <w:p w14:paraId="2C7A0E2A"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observed species composition is broadly comparable with previous studies of freshwater molluscan communities. Subba (2003) recorded ten freshwater molluscan species with a predominance of gastropods, while Raina et al. (2016) reported 17 molluscan species belonging to </w:t>
      </w:r>
      <w:proofErr w:type="spellStart"/>
      <w:r w:rsidRPr="00EF072B">
        <w:rPr>
          <w:rFonts w:ascii="Arial" w:hAnsi="Arial" w:cs="Arial"/>
          <w:sz w:val="20"/>
          <w:szCs w:val="20"/>
        </w:rPr>
        <w:t>Gastropoda</w:t>
      </w:r>
      <w:proofErr w:type="spellEnd"/>
      <w:r w:rsidRPr="00EF072B">
        <w:rPr>
          <w:rFonts w:ascii="Arial" w:hAnsi="Arial" w:cs="Arial"/>
          <w:sz w:val="20"/>
          <w:szCs w:val="20"/>
        </w:rPr>
        <w:t xml:space="preserve"> and Bivalvia from the Sip River in central India. Al-Saad et al. (2011) reported that molluscan species richness and distribution can vary according to environmental conditions and anthropogenic influences. Benthic macroinvertebrates, including </w:t>
      </w:r>
      <w:proofErr w:type="spellStart"/>
      <w:r w:rsidRPr="00EF072B">
        <w:rPr>
          <w:rFonts w:ascii="Arial" w:hAnsi="Arial" w:cs="Arial"/>
          <w:sz w:val="20"/>
          <w:szCs w:val="20"/>
        </w:rPr>
        <w:t>molluscs</w:t>
      </w:r>
      <w:proofErr w:type="spellEnd"/>
      <w:r w:rsidRPr="00EF072B">
        <w:rPr>
          <w:rFonts w:ascii="Arial" w:hAnsi="Arial" w:cs="Arial"/>
          <w:sz w:val="20"/>
          <w:szCs w:val="20"/>
        </w:rPr>
        <w:t xml:space="preserve">, are also </w:t>
      </w:r>
      <w:proofErr w:type="spellStart"/>
      <w:r w:rsidRPr="00EF072B">
        <w:rPr>
          <w:rFonts w:ascii="Arial" w:hAnsi="Arial" w:cs="Arial"/>
          <w:sz w:val="20"/>
          <w:szCs w:val="20"/>
          <w:highlight w:val="yellow"/>
        </w:rPr>
        <w:t>recognised</w:t>
      </w:r>
      <w:proofErr w:type="spellEnd"/>
      <w:r w:rsidRPr="00EF072B">
        <w:rPr>
          <w:rFonts w:ascii="Arial" w:hAnsi="Arial" w:cs="Arial"/>
          <w:sz w:val="20"/>
          <w:szCs w:val="20"/>
        </w:rPr>
        <w:t xml:space="preserve"> as useful indicators of changes in aquatic environmental conditions because their distribution and community structure may respond to local habitat characteristics </w:t>
      </w:r>
      <w:r w:rsidRPr="00EF072B">
        <w:rPr>
          <w:rFonts w:ascii="Arial" w:hAnsi="Arial" w:cs="Arial"/>
          <w:sz w:val="20"/>
          <w:szCs w:val="20"/>
          <w:highlight w:val="yellow"/>
        </w:rPr>
        <w:t>(Karr, 1987)</w:t>
      </w:r>
      <w:r w:rsidRPr="00EF072B">
        <w:rPr>
          <w:rFonts w:ascii="Arial" w:hAnsi="Arial" w:cs="Arial"/>
          <w:sz w:val="20"/>
          <w:szCs w:val="20"/>
        </w:rPr>
        <w:t>.</w:t>
      </w:r>
    </w:p>
    <w:p w14:paraId="617E3241"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rPr>
        <w:t xml:space="preserve">The Shannon–Wiener diversity index (H′) was </w:t>
      </w:r>
      <w:r w:rsidRPr="00EF072B">
        <w:rPr>
          <w:rFonts w:ascii="Arial" w:hAnsi="Arial" w:cs="Arial"/>
          <w:sz w:val="20"/>
          <w:szCs w:val="20"/>
          <w:highlight w:val="yellow"/>
        </w:rPr>
        <w:t>1.41035</w:t>
      </w:r>
      <w:r w:rsidRPr="00EF072B">
        <w:rPr>
          <w:rFonts w:ascii="Arial" w:hAnsi="Arial" w:cs="Arial"/>
          <w:sz w:val="20"/>
          <w:szCs w:val="20"/>
        </w:rPr>
        <w:t xml:space="preserve"> at Site-I and </w:t>
      </w:r>
      <w:r w:rsidRPr="00EF072B">
        <w:rPr>
          <w:rFonts w:ascii="Arial" w:hAnsi="Arial" w:cs="Arial"/>
          <w:sz w:val="20"/>
          <w:szCs w:val="20"/>
          <w:highlight w:val="yellow"/>
        </w:rPr>
        <w:t>1.27101</w:t>
      </w:r>
      <w:r w:rsidRPr="00EF072B">
        <w:rPr>
          <w:rFonts w:ascii="Arial" w:hAnsi="Arial" w:cs="Arial"/>
          <w:sz w:val="20"/>
          <w:szCs w:val="20"/>
        </w:rPr>
        <w:t xml:space="preserve"> at Site-II, indicating slightly higher molluscan diversity at Nerli Tank. The relatively higher diversity at Site-I may be associated with greater habitat heterogeneity and the availability of suitable ecological resources. In contrast, the comparatively lower diversity at </w:t>
      </w:r>
      <w:proofErr w:type="spellStart"/>
      <w:r w:rsidRPr="00EF072B">
        <w:rPr>
          <w:rFonts w:ascii="Arial" w:hAnsi="Arial" w:cs="Arial"/>
          <w:sz w:val="20"/>
          <w:szCs w:val="20"/>
        </w:rPr>
        <w:t>Surli</w:t>
      </w:r>
      <w:proofErr w:type="spellEnd"/>
      <w:r w:rsidRPr="00EF072B">
        <w:rPr>
          <w:rFonts w:ascii="Arial" w:hAnsi="Arial" w:cs="Arial"/>
          <w:sz w:val="20"/>
          <w:szCs w:val="20"/>
        </w:rPr>
        <w:t xml:space="preserve"> Ghat Tank may reflect differences in habitat structure, water chemistry, nutrient availability, aquatic vegetation, or other environmental factors. Freshwater </w:t>
      </w:r>
      <w:proofErr w:type="spellStart"/>
      <w:r w:rsidRPr="00EF072B">
        <w:rPr>
          <w:rFonts w:ascii="Arial" w:hAnsi="Arial" w:cs="Arial"/>
          <w:sz w:val="20"/>
          <w:szCs w:val="20"/>
        </w:rPr>
        <w:t>molluscs</w:t>
      </w:r>
      <w:proofErr w:type="spellEnd"/>
      <w:r w:rsidRPr="00EF072B">
        <w:rPr>
          <w:rFonts w:ascii="Arial" w:hAnsi="Arial" w:cs="Arial"/>
          <w:sz w:val="20"/>
          <w:szCs w:val="20"/>
        </w:rPr>
        <w:t xml:space="preserve"> constitute important components of aquatic communities and their distribution and diversity can provide useful information on ecological conditions (Ercan et al., 2013).</w:t>
      </w:r>
    </w:p>
    <w:p w14:paraId="415ACF04" w14:textId="77777777" w:rsidR="00BD0A86" w:rsidRPr="00EF072B" w:rsidRDefault="00000000">
      <w:pPr>
        <w:pStyle w:val="NormalWeb"/>
        <w:jc w:val="both"/>
        <w:rPr>
          <w:rFonts w:ascii="Arial" w:hAnsi="Arial" w:cs="Arial"/>
          <w:sz w:val="20"/>
          <w:szCs w:val="20"/>
        </w:rPr>
      </w:pPr>
      <w:r w:rsidRPr="00EF072B">
        <w:rPr>
          <w:rFonts w:ascii="Arial" w:hAnsi="Arial"/>
          <w:sz w:val="20"/>
        </w:rPr>
        <w:lastRenderedPageBreak/>
        <w:t>Accordingly, the modest difference in Shannon-Wiener diversity between the two tanks should be interpreted as a descriptive contrast in community structure rather than as evidence for a specific causal mechanism, because molluscan richness and turnover may respond jointly to habitat heterogeneity and multiple environmental gradients (</w:t>
      </w:r>
      <w:proofErr w:type="spellStart"/>
      <w:r w:rsidRPr="00EF072B">
        <w:rPr>
          <w:rFonts w:ascii="Arial" w:hAnsi="Arial"/>
          <w:sz w:val="20"/>
        </w:rPr>
        <w:t>Dubart</w:t>
      </w:r>
      <w:proofErr w:type="spellEnd"/>
      <w:r w:rsidRPr="00EF072B">
        <w:rPr>
          <w:rFonts w:ascii="Arial" w:hAnsi="Arial"/>
          <w:sz w:val="20"/>
        </w:rPr>
        <w:t xml:space="preserve"> et al., 2022; Sowa et al., 2019).</w:t>
      </w:r>
    </w:p>
    <w:p w14:paraId="53C49967"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highlight w:val="yellow"/>
        </w:rPr>
        <w:t xml:space="preserve">Simpson’s dominance index (D) was 0.276820 at Site-I and 0.292906 at Site-II. The slightly higher value at </w:t>
      </w:r>
      <w:proofErr w:type="spellStart"/>
      <w:r w:rsidRPr="00EF072B">
        <w:rPr>
          <w:rFonts w:ascii="Arial" w:hAnsi="Arial" w:cs="Arial"/>
          <w:sz w:val="20"/>
          <w:szCs w:val="20"/>
          <w:highlight w:val="yellow"/>
        </w:rPr>
        <w:t>Surli</w:t>
      </w:r>
      <w:proofErr w:type="spellEnd"/>
      <w:r w:rsidRPr="00EF072B">
        <w:rPr>
          <w:rFonts w:ascii="Arial" w:hAnsi="Arial" w:cs="Arial"/>
          <w:sz w:val="20"/>
          <w:szCs w:val="20"/>
          <w:highlight w:val="yellow"/>
        </w:rPr>
        <w:t xml:space="preserve"> Ghat Tank indicates marginally greater dominance within the community. The relatively high abundance of </w:t>
      </w:r>
      <w:proofErr w:type="spellStart"/>
      <w:r w:rsidRPr="00EF072B">
        <w:rPr>
          <w:rStyle w:val="Emphasis"/>
          <w:rFonts w:ascii="Arial" w:hAnsi="Arial" w:cs="Arial"/>
          <w:sz w:val="20"/>
          <w:szCs w:val="20"/>
        </w:rPr>
        <w:t>Lymnaea</w:t>
      </w:r>
      <w:proofErr w:type="spellEnd"/>
      <w:r w:rsidRPr="00EF072B">
        <w:rPr>
          <w:rFonts w:ascii="Arial" w:hAnsi="Arial" w:cs="Arial"/>
          <w:sz w:val="20"/>
          <w:szCs w:val="20"/>
        </w:rPr>
        <w:t xml:space="preserve"> sp. and </w:t>
      </w:r>
      <w:r w:rsidRPr="00EF072B">
        <w:rPr>
          <w:rStyle w:val="Emphasis"/>
          <w:rFonts w:ascii="Arial" w:hAnsi="Arial" w:cs="Arial"/>
          <w:sz w:val="20"/>
          <w:szCs w:val="20"/>
        </w:rPr>
        <w:t>Pila</w:t>
      </w:r>
      <w:r w:rsidRPr="00EF072B">
        <w:rPr>
          <w:rFonts w:ascii="Arial" w:hAnsi="Arial" w:cs="Arial"/>
          <w:sz w:val="20"/>
          <w:szCs w:val="20"/>
          <w:highlight w:val="yellow"/>
        </w:rPr>
        <w:t xml:space="preserve"> sp. at Nerli Tank did not result in a higher overall dominance index. Thus, although Nerli Tank exhibited slightly higher Shannon–Wiener diversity and greater total abundance, </w:t>
      </w:r>
      <w:proofErr w:type="spellStart"/>
      <w:r w:rsidRPr="00EF072B">
        <w:rPr>
          <w:rFonts w:ascii="Arial" w:hAnsi="Arial" w:cs="Arial"/>
          <w:sz w:val="20"/>
          <w:szCs w:val="20"/>
          <w:highlight w:val="yellow"/>
        </w:rPr>
        <w:t>Surli</w:t>
      </w:r>
      <w:proofErr w:type="spellEnd"/>
      <w:r w:rsidRPr="00EF072B">
        <w:rPr>
          <w:rFonts w:ascii="Arial" w:hAnsi="Arial" w:cs="Arial"/>
          <w:sz w:val="20"/>
          <w:szCs w:val="20"/>
          <w:highlight w:val="yellow"/>
        </w:rPr>
        <w:t xml:space="preserve"> Ghat Tank showed slightly greater dominance. This demonstrates that species richness, abundance, diversity, and dominance represent different aspects of community structure and should therefore be interpreted together. Variations in molluscan community composition and dominance in relation to environmental conditions have also been reported in earlier studies (Sowa et al., 2019)</w:t>
      </w:r>
      <w:r w:rsidRPr="00EF072B">
        <w:rPr>
          <w:rFonts w:ascii="Arial" w:hAnsi="Arial" w:cs="Arial"/>
          <w:sz w:val="20"/>
          <w:szCs w:val="20"/>
        </w:rPr>
        <w:t>.</w:t>
      </w:r>
    </w:p>
    <w:p w14:paraId="383DF32A" w14:textId="77777777" w:rsidR="00BD0A86" w:rsidRPr="00EF072B" w:rsidRDefault="00000000">
      <w:pPr>
        <w:pStyle w:val="NormalWeb"/>
        <w:jc w:val="both"/>
        <w:rPr>
          <w:rFonts w:ascii="Arial" w:hAnsi="Arial" w:cs="Arial"/>
          <w:sz w:val="20"/>
          <w:szCs w:val="20"/>
        </w:rPr>
      </w:pPr>
      <w:r w:rsidRPr="00EF072B">
        <w:rPr>
          <w:rFonts w:ascii="Arial" w:hAnsi="Arial"/>
          <w:sz w:val="20"/>
        </w:rPr>
        <w:t>Regional studies from India likewise show that differences in habitat condition can alter gastropod richness, composition, and persistence, highlighting the importance of repeated seasonal sampling before assigning ecological status from a single survey period (Bagade et al., 2024; Kulkarni et al., 2021; Sonowal et al., 2021).</w:t>
      </w:r>
    </w:p>
    <w:p w14:paraId="3BA65791" w14:textId="77777777" w:rsidR="00C56069" w:rsidRPr="00EF072B" w:rsidRDefault="00C56069" w:rsidP="00430E6A">
      <w:pPr>
        <w:pStyle w:val="NormalWeb"/>
        <w:jc w:val="both"/>
        <w:rPr>
          <w:rFonts w:ascii="Arial" w:hAnsi="Arial" w:cs="Arial"/>
          <w:sz w:val="20"/>
          <w:szCs w:val="20"/>
        </w:rPr>
      </w:pPr>
      <w:r w:rsidRPr="00EF072B">
        <w:rPr>
          <w:rFonts w:ascii="Arial" w:hAnsi="Arial" w:cs="Arial"/>
          <w:sz w:val="20"/>
          <w:szCs w:val="20"/>
          <w:highlight w:val="yellow"/>
        </w:rPr>
        <w:t xml:space="preserve">Overall, the present study demonstrates clear differences in molluscan abundance and community structure between the two selected tank ecosystems. Nerli Tank supported a higher total abundance (167 individuals) and slightly higher Shannon–Wiener diversity (H′ = 1.41035), with a Simpson’s dominance index of D = 0.276820, whereas </w:t>
      </w:r>
      <w:proofErr w:type="spellStart"/>
      <w:r w:rsidRPr="00EF072B">
        <w:rPr>
          <w:rFonts w:ascii="Arial" w:hAnsi="Arial" w:cs="Arial"/>
          <w:sz w:val="20"/>
          <w:szCs w:val="20"/>
          <w:highlight w:val="yellow"/>
        </w:rPr>
        <w:t>Surli</w:t>
      </w:r>
      <w:proofErr w:type="spellEnd"/>
      <w:r w:rsidRPr="00EF072B">
        <w:rPr>
          <w:rFonts w:ascii="Arial" w:hAnsi="Arial" w:cs="Arial"/>
          <w:sz w:val="20"/>
          <w:szCs w:val="20"/>
          <w:highlight w:val="yellow"/>
        </w:rPr>
        <w:t xml:space="preserve"> Ghat Tank supported 115 individuals with a Shannon–Wiener diversity of 1.27101 and a slightly higher Simpson’s dominance index of D = 0.292906. </w:t>
      </w:r>
      <w:r w:rsidRPr="00EF072B">
        <w:rPr>
          <w:rFonts w:ascii="Arial" w:hAnsi="Arial" w:cs="Arial"/>
          <w:sz w:val="20"/>
          <w:szCs w:val="20"/>
        </w:rPr>
        <w:t xml:space="preserve">The occurrence of </w:t>
      </w:r>
      <w:proofErr w:type="spellStart"/>
      <w:r w:rsidRPr="00EF072B">
        <w:rPr>
          <w:rStyle w:val="Emphasis"/>
          <w:rFonts w:ascii="Arial" w:hAnsi="Arial" w:cs="Arial"/>
          <w:sz w:val="20"/>
          <w:szCs w:val="20"/>
        </w:rPr>
        <w:t>Lamellidens</w:t>
      </w:r>
      <w:proofErr w:type="spellEnd"/>
      <w:r w:rsidRPr="00EF072B">
        <w:rPr>
          <w:rFonts w:ascii="Arial" w:hAnsi="Arial" w:cs="Arial"/>
          <w:sz w:val="20"/>
          <w:szCs w:val="20"/>
        </w:rPr>
        <w:t xml:space="preserve"> sp. exclusively at Nerli Tank further contributed to the difference in species composition between the two sites. The present findings provide baseline information on freshwater molluscan diversity and community structure in tank ecosystems of the </w:t>
      </w:r>
      <w:proofErr w:type="spellStart"/>
      <w:r w:rsidRPr="00EF072B">
        <w:rPr>
          <w:rFonts w:ascii="Arial" w:hAnsi="Arial" w:cs="Arial"/>
          <w:sz w:val="20"/>
          <w:szCs w:val="20"/>
        </w:rPr>
        <w:t>Kadegaon</w:t>
      </w:r>
      <w:proofErr w:type="spellEnd"/>
      <w:r w:rsidRPr="00EF072B">
        <w:rPr>
          <w:rFonts w:ascii="Arial" w:hAnsi="Arial" w:cs="Arial"/>
          <w:sz w:val="20"/>
          <w:szCs w:val="20"/>
        </w:rPr>
        <w:t xml:space="preserve"> region and highlight the potential usefulness of molluscan communities in future ecological monitoring and assessment of freshwater habitats.</w:t>
      </w:r>
    </w:p>
    <w:p w14:paraId="777A3030" w14:textId="77777777" w:rsidR="00C91DF5" w:rsidRPr="00EF072B" w:rsidRDefault="00C91DF5" w:rsidP="00C91DF5">
      <w:pPr>
        <w:rPr>
          <w:rFonts w:ascii="Arial" w:hAnsi="Arial" w:cs="Arial"/>
        </w:rPr>
      </w:pPr>
      <w:r w:rsidRPr="00EF072B">
        <w:rPr>
          <w:rFonts w:ascii="Arial" w:hAnsi="Arial" w:cs="Arial"/>
          <w:b/>
          <w:bCs/>
        </w:rPr>
        <w:t>Table 1</w:t>
      </w:r>
      <w:r w:rsidRPr="00EF072B">
        <w:rPr>
          <w:rFonts w:ascii="Arial" w:hAnsi="Arial" w:cs="Arial"/>
        </w:rPr>
        <w:t xml:space="preserve">: Distribution of Molluscan Species in Selected Sites of </w:t>
      </w:r>
      <w:proofErr w:type="spellStart"/>
      <w:r w:rsidRPr="00EF072B">
        <w:rPr>
          <w:rFonts w:ascii="Arial" w:hAnsi="Arial" w:cs="Arial"/>
        </w:rPr>
        <w:t>Kadegaon</w:t>
      </w:r>
      <w:proofErr w:type="spellEnd"/>
      <w:r w:rsidRPr="00EF072B">
        <w:rPr>
          <w:rFonts w:ascii="Arial" w:hAnsi="Arial" w:cs="Arial"/>
        </w:rPr>
        <w:t xml:space="preserve"> Region.</w:t>
      </w:r>
    </w:p>
    <w:p w14:paraId="25978B77" w14:textId="77777777" w:rsidR="009F09EA" w:rsidRPr="00EF072B" w:rsidRDefault="009F09EA" w:rsidP="00C91DF5">
      <w:pPr>
        <w:rPr>
          <w:rFonts w:ascii="Arial" w:hAnsi="Arial" w:cs="Arial"/>
        </w:rPr>
      </w:pPr>
    </w:p>
    <w:tbl>
      <w:tblPr>
        <w:tblStyle w:val="TableGrid"/>
        <w:tblW w:w="0" w:type="auto"/>
        <w:tblLook w:val="04A0" w:firstRow="1" w:lastRow="0" w:firstColumn="1" w:lastColumn="0" w:noHBand="0" w:noVBand="1"/>
      </w:tblPr>
      <w:tblGrid>
        <w:gridCol w:w="918"/>
        <w:gridCol w:w="1440"/>
        <w:gridCol w:w="1620"/>
        <w:gridCol w:w="2160"/>
        <w:gridCol w:w="2250"/>
        <w:gridCol w:w="1188"/>
      </w:tblGrid>
      <w:tr w:rsidR="00C91DF5" w:rsidRPr="00EF072B" w14:paraId="0136DAC7" w14:textId="77777777" w:rsidTr="00F50CC0">
        <w:tc>
          <w:tcPr>
            <w:tcW w:w="918" w:type="dxa"/>
            <w:vMerge w:val="restart"/>
          </w:tcPr>
          <w:p w14:paraId="41CE089B"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Sr. No</w:t>
            </w:r>
          </w:p>
        </w:tc>
        <w:tc>
          <w:tcPr>
            <w:tcW w:w="1440" w:type="dxa"/>
            <w:vMerge w:val="restart"/>
          </w:tcPr>
          <w:p w14:paraId="182CFAE0"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Name of the Species</w:t>
            </w:r>
          </w:p>
        </w:tc>
        <w:tc>
          <w:tcPr>
            <w:tcW w:w="1620" w:type="dxa"/>
            <w:vMerge w:val="restart"/>
          </w:tcPr>
          <w:p w14:paraId="10A131AE"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Family</w:t>
            </w:r>
          </w:p>
        </w:tc>
        <w:tc>
          <w:tcPr>
            <w:tcW w:w="2160" w:type="dxa"/>
          </w:tcPr>
          <w:p w14:paraId="12FB8C92"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Site-I Nerli Tank</w:t>
            </w:r>
          </w:p>
        </w:tc>
        <w:tc>
          <w:tcPr>
            <w:tcW w:w="2250" w:type="dxa"/>
          </w:tcPr>
          <w:p w14:paraId="574C84E5"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 xml:space="preserve">Site- II- </w:t>
            </w:r>
            <w:proofErr w:type="spellStart"/>
            <w:r w:rsidRPr="00EF072B">
              <w:rPr>
                <w:rFonts w:ascii="Times New Roman" w:eastAsia="Times New Roman" w:hAnsi="Times New Roman"/>
                <w:b/>
                <w:bCs/>
                <w:sz w:val="24"/>
                <w:szCs w:val="24"/>
              </w:rPr>
              <w:t>Surli</w:t>
            </w:r>
            <w:proofErr w:type="spellEnd"/>
            <w:r w:rsidRPr="00EF072B">
              <w:rPr>
                <w:rFonts w:ascii="Times New Roman" w:eastAsia="Times New Roman" w:hAnsi="Times New Roman"/>
                <w:b/>
                <w:bCs/>
                <w:sz w:val="24"/>
                <w:szCs w:val="24"/>
              </w:rPr>
              <w:t xml:space="preserve"> Tank </w:t>
            </w:r>
          </w:p>
        </w:tc>
        <w:tc>
          <w:tcPr>
            <w:tcW w:w="1188" w:type="dxa"/>
            <w:vMerge w:val="restart"/>
          </w:tcPr>
          <w:p w14:paraId="2D932673"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status</w:t>
            </w:r>
          </w:p>
        </w:tc>
      </w:tr>
      <w:tr w:rsidR="00C91DF5" w:rsidRPr="00EF072B" w14:paraId="1F3FE17B" w14:textId="77777777" w:rsidTr="00F50CC0">
        <w:tc>
          <w:tcPr>
            <w:tcW w:w="918" w:type="dxa"/>
            <w:vMerge/>
          </w:tcPr>
          <w:p w14:paraId="3073C555" w14:textId="77777777" w:rsidR="00C91DF5" w:rsidRPr="00EF072B" w:rsidRDefault="00C91DF5" w:rsidP="00F50CC0">
            <w:pPr>
              <w:spacing w:line="360" w:lineRule="auto"/>
              <w:rPr>
                <w:rFonts w:ascii="Times New Roman" w:eastAsia="Times New Roman" w:hAnsi="Times New Roman"/>
                <w:b/>
                <w:bCs/>
                <w:sz w:val="24"/>
                <w:szCs w:val="24"/>
              </w:rPr>
            </w:pPr>
          </w:p>
        </w:tc>
        <w:tc>
          <w:tcPr>
            <w:tcW w:w="1440" w:type="dxa"/>
            <w:vMerge/>
          </w:tcPr>
          <w:p w14:paraId="64661AD4" w14:textId="77777777" w:rsidR="00C91DF5" w:rsidRPr="00EF072B" w:rsidRDefault="00C91DF5" w:rsidP="00F50CC0">
            <w:pPr>
              <w:spacing w:line="360" w:lineRule="auto"/>
              <w:rPr>
                <w:rFonts w:ascii="Times New Roman" w:eastAsia="Times New Roman" w:hAnsi="Times New Roman"/>
                <w:b/>
                <w:bCs/>
                <w:sz w:val="24"/>
                <w:szCs w:val="24"/>
              </w:rPr>
            </w:pPr>
          </w:p>
        </w:tc>
        <w:tc>
          <w:tcPr>
            <w:tcW w:w="1620" w:type="dxa"/>
            <w:vMerge/>
          </w:tcPr>
          <w:p w14:paraId="3C203143" w14:textId="77777777" w:rsidR="00C91DF5" w:rsidRPr="00EF072B" w:rsidRDefault="00C91DF5" w:rsidP="00F50CC0">
            <w:pPr>
              <w:spacing w:line="360" w:lineRule="auto"/>
              <w:rPr>
                <w:rFonts w:ascii="Times New Roman" w:eastAsia="Times New Roman" w:hAnsi="Times New Roman"/>
                <w:b/>
                <w:bCs/>
                <w:sz w:val="24"/>
                <w:szCs w:val="24"/>
              </w:rPr>
            </w:pPr>
          </w:p>
        </w:tc>
        <w:tc>
          <w:tcPr>
            <w:tcW w:w="2160" w:type="dxa"/>
          </w:tcPr>
          <w:p w14:paraId="3A0EAB43"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No of Species seen</w:t>
            </w:r>
          </w:p>
        </w:tc>
        <w:tc>
          <w:tcPr>
            <w:tcW w:w="2250" w:type="dxa"/>
          </w:tcPr>
          <w:p w14:paraId="5FCCED99" w14:textId="77777777" w:rsidR="00C91DF5" w:rsidRPr="00EF072B" w:rsidRDefault="00C91DF5" w:rsidP="00F50CC0">
            <w:pPr>
              <w:spacing w:line="360" w:lineRule="auto"/>
              <w:rPr>
                <w:rFonts w:ascii="Times New Roman" w:eastAsia="Times New Roman" w:hAnsi="Times New Roman"/>
                <w:b/>
                <w:bCs/>
                <w:sz w:val="24"/>
                <w:szCs w:val="24"/>
              </w:rPr>
            </w:pPr>
            <w:r w:rsidRPr="00EF072B">
              <w:rPr>
                <w:rFonts w:ascii="Times New Roman" w:eastAsia="Times New Roman" w:hAnsi="Times New Roman"/>
                <w:b/>
                <w:bCs/>
                <w:sz w:val="24"/>
                <w:szCs w:val="24"/>
              </w:rPr>
              <w:t>No of Species seen</w:t>
            </w:r>
          </w:p>
        </w:tc>
        <w:tc>
          <w:tcPr>
            <w:tcW w:w="1188" w:type="dxa"/>
            <w:vMerge/>
          </w:tcPr>
          <w:p w14:paraId="53C3F2A1" w14:textId="77777777" w:rsidR="00C91DF5" w:rsidRPr="00EF072B" w:rsidRDefault="00C91DF5" w:rsidP="00F50CC0">
            <w:pPr>
              <w:spacing w:line="360" w:lineRule="auto"/>
              <w:rPr>
                <w:rFonts w:ascii="Times New Roman" w:eastAsia="Times New Roman" w:hAnsi="Times New Roman"/>
                <w:b/>
                <w:bCs/>
                <w:sz w:val="24"/>
                <w:szCs w:val="24"/>
              </w:rPr>
            </w:pPr>
          </w:p>
        </w:tc>
      </w:tr>
      <w:tr w:rsidR="00C91DF5" w:rsidRPr="00EF072B" w14:paraId="2AC91EFC" w14:textId="77777777" w:rsidTr="00F50CC0">
        <w:tc>
          <w:tcPr>
            <w:tcW w:w="9576" w:type="dxa"/>
            <w:gridSpan w:val="6"/>
          </w:tcPr>
          <w:p w14:paraId="70BA0119"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 xml:space="preserve"> Class : </w:t>
            </w:r>
            <w:proofErr w:type="spellStart"/>
            <w:r w:rsidRPr="00EF072B">
              <w:rPr>
                <w:rFonts w:ascii="Times New Roman" w:eastAsia="Times New Roman" w:hAnsi="Times New Roman"/>
                <w:sz w:val="24"/>
                <w:szCs w:val="24"/>
              </w:rPr>
              <w:t>Gastropoda</w:t>
            </w:r>
            <w:proofErr w:type="spellEnd"/>
            <w:r w:rsidRPr="00EF072B">
              <w:rPr>
                <w:rFonts w:ascii="Times New Roman" w:eastAsia="Times New Roman" w:hAnsi="Times New Roman"/>
                <w:sz w:val="24"/>
                <w:szCs w:val="24"/>
              </w:rPr>
              <w:t xml:space="preserve"> ( Univalve Shell)</w:t>
            </w:r>
          </w:p>
        </w:tc>
      </w:tr>
      <w:tr w:rsidR="00C91DF5" w:rsidRPr="00EF072B" w14:paraId="3870F0F9" w14:textId="77777777" w:rsidTr="00F50CC0">
        <w:tc>
          <w:tcPr>
            <w:tcW w:w="918" w:type="dxa"/>
          </w:tcPr>
          <w:p w14:paraId="00B6699D"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w:t>
            </w:r>
          </w:p>
        </w:tc>
        <w:tc>
          <w:tcPr>
            <w:tcW w:w="1440" w:type="dxa"/>
          </w:tcPr>
          <w:p w14:paraId="70FE6B1F" w14:textId="77777777" w:rsidR="00C91DF5" w:rsidRPr="00EF072B" w:rsidRDefault="00C91DF5" w:rsidP="00F50CC0">
            <w:pPr>
              <w:spacing w:line="360" w:lineRule="auto"/>
              <w:rPr>
                <w:rFonts w:ascii="Times New Roman" w:eastAsia="Times New Roman" w:hAnsi="Times New Roman"/>
                <w:i/>
                <w:iCs/>
                <w:sz w:val="24"/>
                <w:szCs w:val="24"/>
              </w:rPr>
            </w:pPr>
            <w:r w:rsidRPr="00EF072B">
              <w:rPr>
                <w:rFonts w:ascii="Times New Roman" w:eastAsia="Times New Roman" w:hAnsi="Times New Roman"/>
                <w:i/>
                <w:iCs/>
                <w:sz w:val="24"/>
                <w:szCs w:val="24"/>
              </w:rPr>
              <w:t xml:space="preserve">Pila </w:t>
            </w:r>
            <w:proofErr w:type="spellStart"/>
            <w:r w:rsidRPr="00EF072B">
              <w:rPr>
                <w:rFonts w:ascii="Times New Roman" w:eastAsia="Times New Roman" w:hAnsi="Times New Roman"/>
                <w:i/>
                <w:iCs/>
                <w:sz w:val="24"/>
                <w:szCs w:val="24"/>
              </w:rPr>
              <w:t>sp</w:t>
            </w:r>
            <w:proofErr w:type="spellEnd"/>
          </w:p>
        </w:tc>
        <w:tc>
          <w:tcPr>
            <w:tcW w:w="1620" w:type="dxa"/>
          </w:tcPr>
          <w:p w14:paraId="6B608237"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Ampullariidae</w:t>
            </w:r>
            <w:proofErr w:type="spellEnd"/>
          </w:p>
        </w:tc>
        <w:tc>
          <w:tcPr>
            <w:tcW w:w="2160" w:type="dxa"/>
          </w:tcPr>
          <w:p w14:paraId="70706A65"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40</w:t>
            </w:r>
          </w:p>
        </w:tc>
        <w:tc>
          <w:tcPr>
            <w:tcW w:w="2250" w:type="dxa"/>
          </w:tcPr>
          <w:p w14:paraId="23AE8C9E"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36</w:t>
            </w:r>
          </w:p>
        </w:tc>
        <w:tc>
          <w:tcPr>
            <w:tcW w:w="1188" w:type="dxa"/>
          </w:tcPr>
          <w:p w14:paraId="7A5560D6"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common</w:t>
            </w:r>
          </w:p>
        </w:tc>
      </w:tr>
      <w:tr w:rsidR="00C91DF5" w:rsidRPr="00EF072B" w14:paraId="373B6C91" w14:textId="77777777" w:rsidTr="00F50CC0">
        <w:tc>
          <w:tcPr>
            <w:tcW w:w="918" w:type="dxa"/>
          </w:tcPr>
          <w:p w14:paraId="5FD9446A"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2</w:t>
            </w:r>
          </w:p>
        </w:tc>
        <w:tc>
          <w:tcPr>
            <w:tcW w:w="1440" w:type="dxa"/>
          </w:tcPr>
          <w:p w14:paraId="2D228D0C"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Bellymya</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2189C679"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Viviparidae</w:t>
            </w:r>
            <w:proofErr w:type="spellEnd"/>
          </w:p>
        </w:tc>
        <w:tc>
          <w:tcPr>
            <w:tcW w:w="2160" w:type="dxa"/>
          </w:tcPr>
          <w:p w14:paraId="3D8FE3E1"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32</w:t>
            </w:r>
          </w:p>
        </w:tc>
        <w:tc>
          <w:tcPr>
            <w:tcW w:w="2250" w:type="dxa"/>
          </w:tcPr>
          <w:p w14:paraId="5425F2FF"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27</w:t>
            </w:r>
          </w:p>
        </w:tc>
        <w:tc>
          <w:tcPr>
            <w:tcW w:w="1188" w:type="dxa"/>
          </w:tcPr>
          <w:p w14:paraId="4EE80CAF"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common</w:t>
            </w:r>
          </w:p>
        </w:tc>
      </w:tr>
      <w:tr w:rsidR="00C91DF5" w:rsidRPr="00EF072B" w14:paraId="4A7F3364" w14:textId="77777777" w:rsidTr="00F50CC0">
        <w:tc>
          <w:tcPr>
            <w:tcW w:w="918" w:type="dxa"/>
          </w:tcPr>
          <w:p w14:paraId="7DC0CC17"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3</w:t>
            </w:r>
          </w:p>
        </w:tc>
        <w:tc>
          <w:tcPr>
            <w:tcW w:w="1440" w:type="dxa"/>
          </w:tcPr>
          <w:p w14:paraId="68629141"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Lymnea</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286B510B"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Lymnaeidae</w:t>
            </w:r>
            <w:proofErr w:type="spellEnd"/>
          </w:p>
        </w:tc>
        <w:tc>
          <w:tcPr>
            <w:tcW w:w="2160" w:type="dxa"/>
          </w:tcPr>
          <w:p w14:paraId="3810D216"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70</w:t>
            </w:r>
          </w:p>
        </w:tc>
        <w:tc>
          <w:tcPr>
            <w:tcW w:w="2250" w:type="dxa"/>
          </w:tcPr>
          <w:p w14:paraId="78586D95"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43</w:t>
            </w:r>
          </w:p>
        </w:tc>
        <w:tc>
          <w:tcPr>
            <w:tcW w:w="1188" w:type="dxa"/>
          </w:tcPr>
          <w:p w14:paraId="7370D3ED"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common</w:t>
            </w:r>
          </w:p>
        </w:tc>
      </w:tr>
      <w:tr w:rsidR="00C91DF5" w:rsidRPr="00EF072B" w14:paraId="55ED3192" w14:textId="77777777" w:rsidTr="00F50CC0">
        <w:tc>
          <w:tcPr>
            <w:tcW w:w="918" w:type="dxa"/>
          </w:tcPr>
          <w:p w14:paraId="0CE36CC1"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4</w:t>
            </w:r>
          </w:p>
        </w:tc>
        <w:tc>
          <w:tcPr>
            <w:tcW w:w="1440" w:type="dxa"/>
          </w:tcPr>
          <w:p w14:paraId="0BCFF166" w14:textId="77777777" w:rsidR="00C91DF5" w:rsidRPr="00EF072B" w:rsidRDefault="00C91DF5" w:rsidP="00F50CC0">
            <w:pPr>
              <w:spacing w:line="360" w:lineRule="auto"/>
              <w:rPr>
                <w:rFonts w:ascii="Times New Roman" w:eastAsia="Times New Roman" w:hAnsi="Times New Roman"/>
                <w:i/>
                <w:iCs/>
                <w:sz w:val="24"/>
                <w:szCs w:val="24"/>
              </w:rPr>
            </w:pPr>
            <w:r w:rsidRPr="00EF072B">
              <w:rPr>
                <w:rFonts w:ascii="Times New Roman" w:eastAsia="Times New Roman" w:hAnsi="Times New Roman"/>
                <w:i/>
                <w:iCs/>
                <w:sz w:val="24"/>
                <w:szCs w:val="24"/>
              </w:rPr>
              <w:t xml:space="preserve">Trochus </w:t>
            </w:r>
            <w:proofErr w:type="spellStart"/>
            <w:r w:rsidRPr="00EF072B">
              <w:rPr>
                <w:rFonts w:ascii="Times New Roman" w:eastAsia="Times New Roman" w:hAnsi="Times New Roman"/>
                <w:i/>
                <w:iCs/>
                <w:sz w:val="24"/>
                <w:szCs w:val="24"/>
              </w:rPr>
              <w:t>sp</w:t>
            </w:r>
            <w:proofErr w:type="spellEnd"/>
          </w:p>
        </w:tc>
        <w:tc>
          <w:tcPr>
            <w:tcW w:w="1620" w:type="dxa"/>
          </w:tcPr>
          <w:p w14:paraId="436C7BE5"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Trochidae</w:t>
            </w:r>
            <w:proofErr w:type="spellEnd"/>
          </w:p>
        </w:tc>
        <w:tc>
          <w:tcPr>
            <w:tcW w:w="2160" w:type="dxa"/>
          </w:tcPr>
          <w:p w14:paraId="33D9CF9E"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11</w:t>
            </w:r>
          </w:p>
        </w:tc>
        <w:tc>
          <w:tcPr>
            <w:tcW w:w="2250" w:type="dxa"/>
          </w:tcPr>
          <w:p w14:paraId="45FEA88E"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09</w:t>
            </w:r>
          </w:p>
        </w:tc>
        <w:tc>
          <w:tcPr>
            <w:tcW w:w="1188" w:type="dxa"/>
          </w:tcPr>
          <w:p w14:paraId="5595265A"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Very Rare</w:t>
            </w:r>
          </w:p>
        </w:tc>
      </w:tr>
      <w:tr w:rsidR="00C91DF5" w:rsidRPr="00EF072B" w14:paraId="44125A6A" w14:textId="77777777" w:rsidTr="00F50CC0">
        <w:tc>
          <w:tcPr>
            <w:tcW w:w="9576" w:type="dxa"/>
            <w:gridSpan w:val="6"/>
          </w:tcPr>
          <w:p w14:paraId="079396F1"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 xml:space="preserve">Class : </w:t>
            </w:r>
            <w:proofErr w:type="spellStart"/>
            <w:r w:rsidRPr="00EF072B">
              <w:rPr>
                <w:rFonts w:ascii="Times New Roman" w:eastAsia="Times New Roman" w:hAnsi="Times New Roman"/>
                <w:sz w:val="24"/>
                <w:szCs w:val="24"/>
              </w:rPr>
              <w:t>Gastropoda</w:t>
            </w:r>
            <w:proofErr w:type="spellEnd"/>
            <w:r w:rsidRPr="00EF072B">
              <w:rPr>
                <w:rFonts w:ascii="Times New Roman" w:eastAsia="Times New Roman" w:hAnsi="Times New Roman"/>
                <w:sz w:val="24"/>
                <w:szCs w:val="24"/>
              </w:rPr>
              <w:t xml:space="preserve"> ( Two valved Shell)</w:t>
            </w:r>
          </w:p>
        </w:tc>
      </w:tr>
      <w:tr w:rsidR="00C91DF5" w:rsidRPr="00EF072B" w14:paraId="49A27E4B" w14:textId="77777777" w:rsidTr="00F50CC0">
        <w:tc>
          <w:tcPr>
            <w:tcW w:w="918" w:type="dxa"/>
          </w:tcPr>
          <w:p w14:paraId="0F237D90"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w:t>
            </w:r>
          </w:p>
        </w:tc>
        <w:tc>
          <w:tcPr>
            <w:tcW w:w="1440" w:type="dxa"/>
          </w:tcPr>
          <w:p w14:paraId="5F94A3C0"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eastAsia="Times New Roman" w:hAnsi="Times New Roman"/>
                <w:i/>
                <w:iCs/>
                <w:sz w:val="24"/>
                <w:szCs w:val="24"/>
              </w:rPr>
              <w:t>Lamellidens</w:t>
            </w:r>
            <w:proofErr w:type="spellEnd"/>
            <w:r w:rsidRPr="00EF072B">
              <w:rPr>
                <w:rFonts w:ascii="Times New Roman" w:eastAsia="Times New Roman" w:hAnsi="Times New Roman"/>
                <w:i/>
                <w:iCs/>
                <w:sz w:val="24"/>
                <w:szCs w:val="24"/>
              </w:rPr>
              <w:t xml:space="preserve"> </w:t>
            </w:r>
            <w:proofErr w:type="spellStart"/>
            <w:r w:rsidRPr="00EF072B">
              <w:rPr>
                <w:rFonts w:ascii="Times New Roman" w:eastAsia="Times New Roman" w:hAnsi="Times New Roman"/>
                <w:i/>
                <w:iCs/>
                <w:sz w:val="24"/>
                <w:szCs w:val="24"/>
              </w:rPr>
              <w:t>sp</w:t>
            </w:r>
            <w:proofErr w:type="spellEnd"/>
          </w:p>
        </w:tc>
        <w:tc>
          <w:tcPr>
            <w:tcW w:w="1620" w:type="dxa"/>
          </w:tcPr>
          <w:p w14:paraId="645ADD8E" w14:textId="77777777" w:rsidR="00C91DF5" w:rsidRPr="00EF072B" w:rsidRDefault="00C91DF5" w:rsidP="00F50CC0">
            <w:pPr>
              <w:spacing w:line="360" w:lineRule="auto"/>
              <w:rPr>
                <w:rFonts w:ascii="Times New Roman" w:eastAsia="Times New Roman" w:hAnsi="Times New Roman"/>
                <w:i/>
                <w:iCs/>
                <w:sz w:val="24"/>
                <w:szCs w:val="24"/>
              </w:rPr>
            </w:pPr>
            <w:proofErr w:type="spellStart"/>
            <w:r w:rsidRPr="00EF072B">
              <w:rPr>
                <w:rFonts w:ascii="Times New Roman" w:hAnsi="Times New Roman"/>
                <w:i/>
                <w:iCs/>
                <w:sz w:val="24"/>
                <w:szCs w:val="24"/>
              </w:rPr>
              <w:t>Unionidae</w:t>
            </w:r>
            <w:proofErr w:type="spellEnd"/>
          </w:p>
        </w:tc>
        <w:tc>
          <w:tcPr>
            <w:tcW w:w="2160" w:type="dxa"/>
          </w:tcPr>
          <w:p w14:paraId="0CF28481"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14</w:t>
            </w:r>
          </w:p>
        </w:tc>
        <w:tc>
          <w:tcPr>
            <w:tcW w:w="2250" w:type="dxa"/>
          </w:tcPr>
          <w:p w14:paraId="4ED1FC43"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00</w:t>
            </w:r>
          </w:p>
        </w:tc>
        <w:tc>
          <w:tcPr>
            <w:tcW w:w="1188" w:type="dxa"/>
          </w:tcPr>
          <w:p w14:paraId="68C78768" w14:textId="77777777" w:rsidR="00C91DF5" w:rsidRPr="00EF072B" w:rsidRDefault="00C91DF5" w:rsidP="00F50CC0">
            <w:pPr>
              <w:spacing w:line="360" w:lineRule="auto"/>
              <w:rPr>
                <w:rFonts w:ascii="Times New Roman" w:eastAsia="Times New Roman" w:hAnsi="Times New Roman"/>
                <w:sz w:val="24"/>
                <w:szCs w:val="24"/>
              </w:rPr>
            </w:pPr>
            <w:r w:rsidRPr="00EF072B">
              <w:rPr>
                <w:rFonts w:ascii="Times New Roman" w:eastAsia="Times New Roman" w:hAnsi="Times New Roman"/>
                <w:sz w:val="24"/>
                <w:szCs w:val="24"/>
              </w:rPr>
              <w:t>Rare</w:t>
            </w:r>
          </w:p>
        </w:tc>
      </w:tr>
    </w:tbl>
    <w:p w14:paraId="79D3D118" w14:textId="77777777" w:rsidR="00C91DF5" w:rsidRPr="00EF072B" w:rsidRDefault="00C91DF5" w:rsidP="00C91DF5">
      <w:pPr>
        <w:spacing w:line="360" w:lineRule="auto"/>
      </w:pPr>
    </w:p>
    <w:p w14:paraId="4E097B5B" w14:textId="77777777" w:rsidR="00EE214F" w:rsidRPr="00EF072B" w:rsidRDefault="00EE214F" w:rsidP="00EE214F">
      <w:pPr>
        <w:spacing w:before="100" w:beforeAutospacing="1" w:after="100" w:afterAutospacing="1" w:line="360" w:lineRule="auto"/>
        <w:rPr>
          <w:rFonts w:ascii="Times New Roman" w:hAnsi="Times New Roman"/>
          <w:sz w:val="24"/>
          <w:szCs w:val="24"/>
        </w:rPr>
      </w:pPr>
      <w:r w:rsidRPr="00EF072B">
        <w:rPr>
          <w:rFonts w:ascii="Times New Roman" w:hAnsi="Times New Roman"/>
          <w:noProof/>
          <w:sz w:val="24"/>
          <w:szCs w:val="24"/>
          <w:lang w:bidi="mr-IN"/>
        </w:rPr>
        <w:lastRenderedPageBreak/>
        <w:drawing>
          <wp:inline distT="0" distB="0" distL="0" distR="0" wp14:anchorId="6ED62284" wp14:editId="27F7169E">
            <wp:extent cx="4933333" cy="347619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933333" cy="3476190"/>
                    </a:xfrm>
                    <a:prstGeom prst="rect">
                      <a:avLst/>
                    </a:prstGeom>
                  </pic:spPr>
                </pic:pic>
              </a:graphicData>
            </a:graphic>
          </wp:inline>
        </w:drawing>
      </w:r>
    </w:p>
    <w:p w14:paraId="5CCE32CA" w14:textId="77777777" w:rsidR="00EE214F" w:rsidRPr="00EF072B" w:rsidRDefault="00EE214F" w:rsidP="00EE214F">
      <w:pPr>
        <w:spacing w:before="100" w:beforeAutospacing="1" w:after="100" w:afterAutospacing="1" w:line="360" w:lineRule="auto"/>
        <w:rPr>
          <w:rFonts w:ascii="Arial" w:hAnsi="Arial" w:cs="Arial"/>
        </w:rPr>
      </w:pPr>
      <w:r w:rsidRPr="00EF072B">
        <w:rPr>
          <w:rFonts w:ascii="Arial" w:hAnsi="Arial" w:cs="Arial"/>
        </w:rPr>
        <w:t>Figure 1. Comparison of molluscan species distribution at the two study sites.</w:t>
      </w:r>
    </w:p>
    <w:p w14:paraId="6D7F5C53" w14:textId="77777777" w:rsidR="00EE214F" w:rsidRPr="00EF072B" w:rsidRDefault="00EE214F" w:rsidP="00EE214F">
      <w:pPr>
        <w:spacing w:line="360" w:lineRule="auto"/>
        <w:rPr>
          <w:rFonts w:ascii="Times New Roman" w:hAnsi="Times New Roman"/>
          <w:b/>
          <w:bCs/>
          <w:sz w:val="24"/>
          <w:szCs w:val="24"/>
        </w:rPr>
      </w:pPr>
    </w:p>
    <w:p w14:paraId="4A05E067" w14:textId="77777777" w:rsidR="00EE214F" w:rsidRPr="00EF072B" w:rsidRDefault="00EE214F" w:rsidP="00EE214F">
      <w:pPr>
        <w:spacing w:line="360" w:lineRule="auto"/>
        <w:rPr>
          <w:rFonts w:ascii="Times New Roman" w:hAnsi="Times New Roman"/>
          <w:b/>
          <w:bCs/>
          <w:sz w:val="24"/>
          <w:szCs w:val="24"/>
        </w:rPr>
      </w:pPr>
      <w:r w:rsidRPr="00EF072B">
        <w:rPr>
          <w:rFonts w:ascii="Times New Roman" w:hAnsi="Times New Roman"/>
          <w:noProof/>
          <w:sz w:val="24"/>
          <w:szCs w:val="24"/>
          <w:lang w:bidi="mr-IN"/>
        </w:rPr>
        <w:lastRenderedPageBreak/>
        <w:drawing>
          <wp:inline distT="0" distB="0" distL="0" distR="0" wp14:anchorId="4F600ABB" wp14:editId="32888BD0">
            <wp:extent cx="5352381" cy="6304762"/>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52381" cy="6304762"/>
                    </a:xfrm>
                    <a:prstGeom prst="rect">
                      <a:avLst/>
                    </a:prstGeom>
                  </pic:spPr>
                </pic:pic>
              </a:graphicData>
            </a:graphic>
          </wp:inline>
        </w:drawing>
      </w:r>
    </w:p>
    <w:p w14:paraId="5E7E99D2" w14:textId="77777777" w:rsidR="00EE214F" w:rsidRPr="00EF072B" w:rsidRDefault="00EE214F" w:rsidP="00EE214F">
      <w:pPr>
        <w:spacing w:before="100" w:beforeAutospacing="1" w:after="100" w:afterAutospacing="1" w:line="360" w:lineRule="auto"/>
        <w:rPr>
          <w:rFonts w:ascii="Arial" w:hAnsi="Arial" w:cs="Arial"/>
          <w:b/>
          <w:bCs/>
        </w:rPr>
      </w:pPr>
      <w:r w:rsidRPr="00EF072B">
        <w:rPr>
          <w:rFonts w:ascii="Arial" w:hAnsi="Arial" w:cs="Arial"/>
        </w:rPr>
        <w:t>Plate II. Freshwater Molluscan Species Recorded from the Study Area</w:t>
      </w:r>
    </w:p>
    <w:p w14:paraId="39DFF54A" w14:textId="77777777" w:rsidR="00EE214F" w:rsidRPr="00EF072B" w:rsidRDefault="00EE214F" w:rsidP="00EE214F">
      <w:pPr>
        <w:pStyle w:val="ListParagraph"/>
        <w:numPr>
          <w:ilvl w:val="0"/>
          <w:numId w:val="35"/>
        </w:numPr>
        <w:spacing w:before="100" w:beforeAutospacing="1" w:after="100" w:afterAutospacing="1" w:line="360" w:lineRule="auto"/>
        <w:rPr>
          <w:rFonts w:ascii="Arial" w:hAnsi="Arial" w:cs="Arial"/>
        </w:rPr>
      </w:pPr>
      <w:r w:rsidRPr="00EF072B">
        <w:rPr>
          <w:rFonts w:ascii="Arial" w:hAnsi="Arial" w:cs="Arial"/>
        </w:rPr>
        <w:t xml:space="preserve">A. </w:t>
      </w:r>
      <w:proofErr w:type="spellStart"/>
      <w:r w:rsidRPr="00EF072B">
        <w:rPr>
          <w:rFonts w:ascii="Arial" w:hAnsi="Arial" w:cs="Arial"/>
        </w:rPr>
        <w:t>Bellamya</w:t>
      </w:r>
      <w:proofErr w:type="spellEnd"/>
      <w:r w:rsidRPr="00EF072B">
        <w:rPr>
          <w:rFonts w:ascii="Arial" w:hAnsi="Arial" w:cs="Arial"/>
        </w:rPr>
        <w:t xml:space="preserve"> sp. (Family: </w:t>
      </w:r>
      <w:proofErr w:type="spellStart"/>
      <w:r w:rsidRPr="00EF072B">
        <w:rPr>
          <w:rFonts w:ascii="Arial" w:hAnsi="Arial" w:cs="Arial"/>
        </w:rPr>
        <w:t>Viviparidae</w:t>
      </w:r>
      <w:proofErr w:type="spellEnd"/>
      <w:r w:rsidRPr="00EF072B">
        <w:rPr>
          <w:rFonts w:ascii="Arial" w:hAnsi="Arial" w:cs="Arial"/>
        </w:rPr>
        <w:t xml:space="preserve">); B. Pila sp. (Family: </w:t>
      </w:r>
      <w:proofErr w:type="spellStart"/>
      <w:r w:rsidRPr="00EF072B">
        <w:rPr>
          <w:rFonts w:ascii="Arial" w:hAnsi="Arial" w:cs="Arial"/>
        </w:rPr>
        <w:t>Ampullariidae</w:t>
      </w:r>
      <w:proofErr w:type="spellEnd"/>
      <w:r w:rsidRPr="00EF072B">
        <w:rPr>
          <w:rFonts w:ascii="Arial" w:hAnsi="Arial" w:cs="Arial"/>
        </w:rPr>
        <w:t xml:space="preserve">); C. </w:t>
      </w:r>
      <w:proofErr w:type="spellStart"/>
      <w:r w:rsidRPr="00EF072B">
        <w:rPr>
          <w:rFonts w:ascii="Arial" w:hAnsi="Arial" w:cs="Arial"/>
        </w:rPr>
        <w:t>Lamellidens</w:t>
      </w:r>
      <w:proofErr w:type="spellEnd"/>
      <w:r w:rsidRPr="00EF072B">
        <w:rPr>
          <w:rFonts w:ascii="Arial" w:hAnsi="Arial" w:cs="Arial"/>
        </w:rPr>
        <w:t xml:space="preserve"> sp. (Family: </w:t>
      </w:r>
      <w:proofErr w:type="spellStart"/>
      <w:r w:rsidRPr="00EF072B">
        <w:rPr>
          <w:rFonts w:ascii="Arial" w:hAnsi="Arial" w:cs="Arial"/>
        </w:rPr>
        <w:t>Unionidae</w:t>
      </w:r>
      <w:proofErr w:type="spellEnd"/>
      <w:r w:rsidRPr="00EF072B">
        <w:rPr>
          <w:rFonts w:ascii="Arial" w:hAnsi="Arial" w:cs="Arial"/>
        </w:rPr>
        <w:t xml:space="preserve">) – external view of shell valves; D. Pila sp. (Family: </w:t>
      </w:r>
      <w:proofErr w:type="spellStart"/>
      <w:r w:rsidRPr="00EF072B">
        <w:rPr>
          <w:rFonts w:ascii="Arial" w:hAnsi="Arial" w:cs="Arial"/>
        </w:rPr>
        <w:t>Ampullariidae</w:t>
      </w:r>
      <w:proofErr w:type="spellEnd"/>
      <w:r w:rsidRPr="00EF072B">
        <w:rPr>
          <w:rFonts w:ascii="Arial" w:hAnsi="Arial" w:cs="Arial"/>
        </w:rPr>
        <w:t xml:space="preserve">) – shell morphology; E. </w:t>
      </w:r>
      <w:proofErr w:type="spellStart"/>
      <w:r w:rsidRPr="00EF072B">
        <w:rPr>
          <w:rFonts w:ascii="Arial" w:hAnsi="Arial" w:cs="Arial"/>
        </w:rPr>
        <w:t>Lymnaea</w:t>
      </w:r>
      <w:proofErr w:type="spellEnd"/>
      <w:r w:rsidRPr="00EF072B">
        <w:rPr>
          <w:rFonts w:ascii="Arial" w:hAnsi="Arial" w:cs="Arial"/>
        </w:rPr>
        <w:t xml:space="preserve"> sp. (Family: </w:t>
      </w:r>
      <w:proofErr w:type="spellStart"/>
      <w:r w:rsidRPr="00EF072B">
        <w:rPr>
          <w:rFonts w:ascii="Arial" w:hAnsi="Arial" w:cs="Arial"/>
        </w:rPr>
        <w:t>Lymnaeidae</w:t>
      </w:r>
      <w:proofErr w:type="spellEnd"/>
      <w:r w:rsidRPr="00EF072B">
        <w:rPr>
          <w:rFonts w:ascii="Arial" w:hAnsi="Arial" w:cs="Arial"/>
        </w:rPr>
        <w:t>).</w:t>
      </w:r>
    </w:p>
    <w:p w14:paraId="5FD1F637" w14:textId="77777777" w:rsidR="00B01FCD" w:rsidRPr="00EF072B" w:rsidRDefault="00000F8F" w:rsidP="00430E6A">
      <w:pPr>
        <w:pStyle w:val="ConcHead"/>
        <w:spacing w:after="0"/>
        <w:jc w:val="both"/>
        <w:rPr>
          <w:rFonts w:ascii="Arial" w:hAnsi="Arial" w:cs="Arial"/>
        </w:rPr>
      </w:pPr>
      <w:r w:rsidRPr="00EF072B">
        <w:rPr>
          <w:rFonts w:ascii="Arial" w:hAnsi="Arial" w:cs="Arial"/>
        </w:rPr>
        <w:t xml:space="preserve">4. </w:t>
      </w:r>
      <w:r w:rsidR="00B01FCD" w:rsidRPr="00EF072B">
        <w:rPr>
          <w:rFonts w:ascii="Arial" w:hAnsi="Arial" w:cs="Arial"/>
        </w:rPr>
        <w:t>Conclusion</w:t>
      </w:r>
    </w:p>
    <w:p w14:paraId="14DF901F" w14:textId="77777777" w:rsidR="00790ADA" w:rsidRPr="00EF072B" w:rsidRDefault="00790ADA" w:rsidP="00430E6A">
      <w:pPr>
        <w:pStyle w:val="ConcHead"/>
        <w:spacing w:after="0"/>
        <w:jc w:val="both"/>
        <w:rPr>
          <w:rFonts w:ascii="Arial" w:hAnsi="Arial" w:cs="Arial"/>
        </w:rPr>
      </w:pPr>
    </w:p>
    <w:p w14:paraId="5FA8BD91" w14:textId="77777777" w:rsidR="00C56069" w:rsidRPr="00EF072B" w:rsidRDefault="00C56069" w:rsidP="00430E6A">
      <w:pPr>
        <w:pStyle w:val="AcknHead"/>
        <w:spacing w:after="0"/>
        <w:jc w:val="both"/>
        <w:rPr>
          <w:rFonts w:ascii="Arial" w:hAnsi="Arial" w:cs="Arial"/>
          <w:b w:val="0"/>
          <w:caps w:val="0"/>
          <w:sz w:val="20"/>
        </w:rPr>
      </w:pPr>
      <w:r w:rsidRPr="00EF072B">
        <w:rPr>
          <w:rFonts w:ascii="Arial" w:hAnsi="Arial" w:cs="Arial"/>
          <w:b w:val="0"/>
          <w:caps w:val="0"/>
          <w:sz w:val="20"/>
        </w:rPr>
        <w:t xml:space="preserve">The present study provides baseline information on the diversity, abundance, distribution, and community structure of freshwater </w:t>
      </w:r>
      <w:proofErr w:type="spellStart"/>
      <w:r w:rsidRPr="00EF072B">
        <w:rPr>
          <w:rFonts w:ascii="Arial" w:hAnsi="Arial" w:cs="Arial"/>
          <w:b w:val="0"/>
          <w:caps w:val="0"/>
          <w:sz w:val="20"/>
        </w:rPr>
        <w:t>molluscs</w:t>
      </w:r>
      <w:proofErr w:type="spellEnd"/>
      <w:r w:rsidRPr="00EF072B">
        <w:rPr>
          <w:rFonts w:ascii="Arial" w:hAnsi="Arial" w:cs="Arial"/>
          <w:b w:val="0"/>
          <w:caps w:val="0"/>
          <w:sz w:val="20"/>
        </w:rPr>
        <w:t xml:space="preserve"> inhabiting two tank ecosystems of the </w:t>
      </w:r>
      <w:proofErr w:type="spellStart"/>
      <w:r w:rsidRPr="00EF072B">
        <w:rPr>
          <w:rFonts w:ascii="Arial" w:hAnsi="Arial" w:cs="Arial"/>
          <w:b w:val="0"/>
          <w:caps w:val="0"/>
          <w:sz w:val="20"/>
        </w:rPr>
        <w:t>Kadegaon</w:t>
      </w:r>
      <w:proofErr w:type="spellEnd"/>
      <w:r w:rsidRPr="00EF072B">
        <w:rPr>
          <w:rFonts w:ascii="Arial" w:hAnsi="Arial" w:cs="Arial"/>
          <w:b w:val="0"/>
          <w:caps w:val="0"/>
          <w:sz w:val="20"/>
        </w:rPr>
        <w:t xml:space="preserve"> region, </w:t>
      </w:r>
      <w:proofErr w:type="spellStart"/>
      <w:r w:rsidRPr="00EF072B">
        <w:rPr>
          <w:rFonts w:ascii="Arial" w:hAnsi="Arial" w:cs="Arial"/>
          <w:b w:val="0"/>
          <w:caps w:val="0"/>
          <w:sz w:val="20"/>
        </w:rPr>
        <w:t>Sangli</w:t>
      </w:r>
      <w:proofErr w:type="spellEnd"/>
      <w:r w:rsidRPr="00EF072B">
        <w:rPr>
          <w:rFonts w:ascii="Arial" w:hAnsi="Arial" w:cs="Arial"/>
          <w:b w:val="0"/>
          <w:caps w:val="0"/>
          <w:sz w:val="20"/>
        </w:rPr>
        <w:t xml:space="preserve"> District, Maharashtra. Five species belonging to </w:t>
      </w:r>
      <w:proofErr w:type="spellStart"/>
      <w:r w:rsidRPr="00EF072B">
        <w:rPr>
          <w:rFonts w:ascii="Arial" w:hAnsi="Arial" w:cs="Arial"/>
          <w:b w:val="0"/>
          <w:caps w:val="0"/>
          <w:sz w:val="20"/>
        </w:rPr>
        <w:t>Gastropoda</w:t>
      </w:r>
      <w:proofErr w:type="spellEnd"/>
      <w:r w:rsidRPr="00EF072B">
        <w:rPr>
          <w:rFonts w:ascii="Arial" w:hAnsi="Arial" w:cs="Arial"/>
          <w:b w:val="0"/>
          <w:caps w:val="0"/>
          <w:sz w:val="20"/>
        </w:rPr>
        <w:t xml:space="preserve"> and Bivalvia were recorded, with gastropods showing clear numerical dominance. </w:t>
      </w:r>
      <w:proofErr w:type="spellStart"/>
      <w:r w:rsidRPr="00EF072B">
        <w:rPr>
          <w:rFonts w:ascii="Arial" w:hAnsi="Arial" w:cs="Arial"/>
          <w:b w:val="0"/>
          <w:i/>
          <w:iCs/>
          <w:caps w:val="0"/>
          <w:sz w:val="20"/>
        </w:rPr>
        <w:t>Lymnaea</w:t>
      </w:r>
      <w:proofErr w:type="spellEnd"/>
      <w:r w:rsidRPr="00EF072B">
        <w:rPr>
          <w:rFonts w:ascii="Arial" w:hAnsi="Arial" w:cs="Arial"/>
          <w:b w:val="0"/>
          <w:caps w:val="0"/>
          <w:sz w:val="20"/>
        </w:rPr>
        <w:t xml:space="preserve"> sp. was the most abundant species at both study sites, whereas </w:t>
      </w:r>
      <w:r w:rsidRPr="00EF072B">
        <w:rPr>
          <w:rFonts w:ascii="Arial" w:hAnsi="Arial" w:cs="Arial"/>
          <w:b w:val="0"/>
          <w:i/>
          <w:iCs/>
          <w:caps w:val="0"/>
          <w:sz w:val="20"/>
        </w:rPr>
        <w:t>Trochus</w:t>
      </w:r>
      <w:r w:rsidRPr="00EF072B">
        <w:rPr>
          <w:rFonts w:ascii="Arial" w:hAnsi="Arial" w:cs="Arial"/>
          <w:b w:val="0"/>
          <w:caps w:val="0"/>
          <w:sz w:val="20"/>
        </w:rPr>
        <w:t xml:space="preserve"> sp. showed the lowest abundance and </w:t>
      </w:r>
      <w:proofErr w:type="spellStart"/>
      <w:r w:rsidRPr="00EF072B">
        <w:rPr>
          <w:rFonts w:ascii="Arial" w:hAnsi="Arial" w:cs="Arial"/>
          <w:b w:val="0"/>
          <w:i/>
          <w:iCs/>
          <w:caps w:val="0"/>
          <w:sz w:val="20"/>
        </w:rPr>
        <w:t>Lamellidens</w:t>
      </w:r>
      <w:proofErr w:type="spellEnd"/>
      <w:r w:rsidRPr="00EF072B">
        <w:rPr>
          <w:rFonts w:ascii="Arial" w:hAnsi="Arial" w:cs="Arial"/>
          <w:b w:val="0"/>
          <w:caps w:val="0"/>
          <w:sz w:val="20"/>
        </w:rPr>
        <w:t xml:space="preserve"> </w:t>
      </w:r>
      <w:r w:rsidRPr="00EF072B">
        <w:rPr>
          <w:rFonts w:ascii="Arial" w:hAnsi="Arial" w:cs="Arial"/>
          <w:b w:val="0"/>
          <w:caps w:val="0"/>
          <w:sz w:val="20"/>
        </w:rPr>
        <w:lastRenderedPageBreak/>
        <w:t xml:space="preserve">sp. was restricted to Nerli Tank. </w:t>
      </w:r>
      <w:r w:rsidRPr="00EF072B">
        <w:rPr>
          <w:rFonts w:ascii="Arial" w:hAnsi="Arial" w:cs="Arial"/>
          <w:b w:val="0"/>
          <w:caps w:val="0"/>
          <w:sz w:val="20"/>
          <w:highlight w:val="yellow"/>
        </w:rPr>
        <w:t xml:space="preserve">Nerli Tank supported higher total abundance and slightly greater Shannon–Wiener diversity than </w:t>
      </w:r>
      <w:proofErr w:type="spellStart"/>
      <w:r w:rsidRPr="00EF072B">
        <w:rPr>
          <w:rFonts w:ascii="Arial" w:hAnsi="Arial" w:cs="Arial"/>
          <w:b w:val="0"/>
          <w:caps w:val="0"/>
          <w:sz w:val="20"/>
          <w:highlight w:val="yellow"/>
        </w:rPr>
        <w:t>Surli</w:t>
      </w:r>
      <w:proofErr w:type="spellEnd"/>
      <w:r w:rsidRPr="00EF072B">
        <w:rPr>
          <w:rFonts w:ascii="Arial" w:hAnsi="Arial" w:cs="Arial"/>
          <w:b w:val="0"/>
          <w:caps w:val="0"/>
          <w:sz w:val="20"/>
          <w:highlight w:val="yellow"/>
        </w:rPr>
        <w:t xml:space="preserve"> Ghat Tank, whereas </w:t>
      </w:r>
      <w:proofErr w:type="spellStart"/>
      <w:r w:rsidRPr="00EF072B">
        <w:rPr>
          <w:rFonts w:ascii="Arial" w:hAnsi="Arial" w:cs="Arial"/>
          <w:b w:val="0"/>
          <w:caps w:val="0"/>
          <w:sz w:val="20"/>
          <w:highlight w:val="yellow"/>
        </w:rPr>
        <w:t>Surli</w:t>
      </w:r>
      <w:proofErr w:type="spellEnd"/>
      <w:r w:rsidRPr="00EF072B">
        <w:rPr>
          <w:rFonts w:ascii="Arial" w:hAnsi="Arial" w:cs="Arial"/>
          <w:b w:val="0"/>
          <w:caps w:val="0"/>
          <w:sz w:val="20"/>
          <w:highlight w:val="yellow"/>
        </w:rPr>
        <w:t xml:space="preserve"> Ghat Tank showed slightly greater dominance according to Simpson’s dominance index.</w:t>
      </w:r>
      <w:r w:rsidRPr="00EF072B">
        <w:rPr>
          <w:rFonts w:ascii="Arial" w:hAnsi="Arial" w:cs="Arial"/>
          <w:b w:val="0"/>
          <w:caps w:val="0"/>
          <w:sz w:val="20"/>
        </w:rPr>
        <w:t xml:space="preserve"> These differences indicate variation in the community structure of the two tank ecosystems, possibly reflecting differences in habitat characteristics and local environmental conditions. The findings establish a useful baseline for future monitoring of freshwater molluscan communities in the </w:t>
      </w:r>
      <w:proofErr w:type="spellStart"/>
      <w:r w:rsidRPr="00EF072B">
        <w:rPr>
          <w:rFonts w:ascii="Arial" w:hAnsi="Arial" w:cs="Arial"/>
          <w:b w:val="0"/>
          <w:caps w:val="0"/>
          <w:sz w:val="20"/>
        </w:rPr>
        <w:t>Kadegaon</w:t>
      </w:r>
      <w:proofErr w:type="spellEnd"/>
      <w:r w:rsidRPr="00EF072B">
        <w:rPr>
          <w:rFonts w:ascii="Arial" w:hAnsi="Arial" w:cs="Arial"/>
          <w:b w:val="0"/>
          <w:caps w:val="0"/>
          <w:sz w:val="20"/>
        </w:rPr>
        <w:t xml:space="preserve"> region and </w:t>
      </w:r>
      <w:proofErr w:type="spellStart"/>
      <w:r w:rsidRPr="00EF072B">
        <w:rPr>
          <w:rFonts w:ascii="Arial" w:hAnsi="Arial" w:cs="Arial"/>
          <w:b w:val="0"/>
          <w:caps w:val="0"/>
          <w:sz w:val="20"/>
          <w:highlight w:val="yellow"/>
        </w:rPr>
        <w:t>emphasise</w:t>
      </w:r>
      <w:proofErr w:type="spellEnd"/>
      <w:r w:rsidRPr="00EF072B">
        <w:rPr>
          <w:rFonts w:ascii="Arial" w:hAnsi="Arial" w:cs="Arial"/>
          <w:b w:val="0"/>
          <w:caps w:val="0"/>
          <w:sz w:val="20"/>
        </w:rPr>
        <w:t xml:space="preserve"> the ecological importance of conserving tank habitats. Further studies incorporating seasonal sampling and detailed physicochemical and water-quality parameters are recommended to better understand the environmental factors governing molluscan diversity and distribution.</w:t>
      </w:r>
    </w:p>
    <w:p w14:paraId="677D4861" w14:textId="0BB9BFF2" w:rsidR="00E4566B" w:rsidRDefault="009B5E41" w:rsidP="00EF072B">
      <w:pPr>
        <w:rPr>
          <w:rFonts w:ascii="Arial" w:eastAsia="Calibri" w:hAnsi="Arial" w:cs="Arial"/>
          <w:b/>
        </w:rPr>
      </w:pPr>
      <w:r>
        <w:rPr>
          <w:rFonts w:ascii="Arial" w:eastAsia="Calibri" w:hAnsi="Arial" w:cs="Arial"/>
          <w:b/>
        </w:rPr>
        <w:t xml:space="preserve"> </w:t>
      </w:r>
    </w:p>
    <w:p w14:paraId="19B9D0DF" w14:textId="77777777" w:rsidR="009B5E41" w:rsidRDefault="009B5E41" w:rsidP="00EF072B">
      <w:pPr>
        <w:rPr>
          <w:rFonts w:ascii="Arial" w:eastAsia="Calibri" w:hAnsi="Arial" w:cs="Arial"/>
          <w:b/>
        </w:rPr>
      </w:pPr>
    </w:p>
    <w:p w14:paraId="23043D9E" w14:textId="02419CA6" w:rsidR="009B5E41" w:rsidRPr="009B5E41" w:rsidRDefault="009B5E41" w:rsidP="009B5E41">
      <w:pPr>
        <w:spacing w:before="100" w:beforeAutospacing="1" w:after="100" w:afterAutospacing="1"/>
        <w:outlineLvl w:val="1"/>
        <w:rPr>
          <w:rFonts w:ascii="Times New Roman" w:hAnsi="Times New Roman"/>
          <w:b/>
          <w:bCs/>
          <w:sz w:val="36"/>
          <w:szCs w:val="36"/>
        </w:rPr>
      </w:pPr>
      <w:r w:rsidRPr="009B5E41">
        <w:rPr>
          <w:rFonts w:ascii="Times New Roman" w:hAnsi="Times New Roman"/>
          <w:b/>
          <w:bCs/>
          <w:sz w:val="36"/>
          <w:szCs w:val="36"/>
        </w:rPr>
        <w:t>Limitation</w:t>
      </w:r>
    </w:p>
    <w:p w14:paraId="74BC92A3" w14:textId="77777777" w:rsidR="009B5E41" w:rsidRPr="009B5E41" w:rsidRDefault="009B5E41" w:rsidP="009B5E41">
      <w:pPr>
        <w:spacing w:before="100" w:beforeAutospacing="1" w:after="100" w:afterAutospacing="1"/>
        <w:rPr>
          <w:rFonts w:ascii="Times New Roman" w:hAnsi="Times New Roman"/>
          <w:sz w:val="24"/>
          <w:szCs w:val="24"/>
        </w:rPr>
      </w:pPr>
      <w:r w:rsidRPr="009B5E41">
        <w:rPr>
          <w:rFonts w:ascii="Times New Roman" w:hAnsi="Times New Roman"/>
          <w:sz w:val="24"/>
          <w:szCs w:val="24"/>
        </w:rPr>
        <w:t>The study was limited to sampling conducted in January 2026 at two tank ecosystems, with sampling repeated only two to three times at each site. Detailed physicochemical, water-quality, substrate, and habitat variables were not measured. Consequently, observed differences in molluscan abundance, diversity, dominance, and species composition cannot be attributed to specific environmental drivers. Seasonal changes and longer-term temporal variation were also not assessed. The findings should therefore be interpreted as a baseline description of the sampled communities rather than a comprehensive ecological assessment of the two tanks.</w:t>
      </w:r>
    </w:p>
    <w:p w14:paraId="6735A725" w14:textId="77777777" w:rsidR="009B5E41" w:rsidRDefault="009B5E41" w:rsidP="00EF072B">
      <w:pPr>
        <w:rPr>
          <w:rFonts w:ascii="Arial" w:eastAsia="Calibri" w:hAnsi="Arial" w:cs="Arial"/>
          <w:b/>
        </w:rPr>
      </w:pPr>
    </w:p>
    <w:p w14:paraId="4C4E8FDF" w14:textId="77777777" w:rsidR="00EF072B" w:rsidRPr="00EF072B" w:rsidRDefault="00EF072B" w:rsidP="00EF072B">
      <w:pPr>
        <w:rPr>
          <w:rFonts w:ascii="Arial" w:eastAsia="Calibri" w:hAnsi="Arial" w:cs="Arial"/>
          <w:b/>
        </w:rPr>
      </w:pPr>
      <w:r w:rsidRPr="00EF072B">
        <w:rPr>
          <w:rFonts w:ascii="Arial" w:eastAsia="Calibri" w:hAnsi="Arial" w:cs="Arial"/>
          <w:b/>
        </w:rPr>
        <w:t>Declaration of AI Use</w:t>
      </w:r>
    </w:p>
    <w:p w14:paraId="7CF247A8" w14:textId="77777777" w:rsidR="00EF072B" w:rsidRPr="00EF072B" w:rsidRDefault="00EF072B" w:rsidP="00EF072B">
      <w:pPr>
        <w:rPr>
          <w:rFonts w:ascii="Arial" w:eastAsia="Calibri" w:hAnsi="Arial" w:cs="Arial"/>
        </w:rPr>
      </w:pPr>
    </w:p>
    <w:p w14:paraId="75B3FC94" w14:textId="77777777" w:rsidR="00EF072B" w:rsidRPr="00EF072B" w:rsidRDefault="00EF072B" w:rsidP="00EF072B">
      <w:pPr>
        <w:rPr>
          <w:rFonts w:ascii="Arial" w:eastAsia="Calibri" w:hAnsi="Arial" w:cs="Arial"/>
        </w:rPr>
      </w:pPr>
      <w:r w:rsidRPr="00EF072B">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EDA00C" w14:textId="77777777" w:rsidR="00EF072B" w:rsidRPr="00EF072B" w:rsidRDefault="00EF072B" w:rsidP="00EF072B">
      <w:pPr>
        <w:jc w:val="both"/>
        <w:rPr>
          <w:rFonts w:ascii="Times New Roman" w:eastAsia="Calibri" w:hAnsi="Times New Roman"/>
          <w:sz w:val="22"/>
          <w:szCs w:val="22"/>
        </w:rPr>
      </w:pPr>
    </w:p>
    <w:p w14:paraId="7B219D95" w14:textId="77777777" w:rsidR="00EF072B" w:rsidRPr="00EF072B" w:rsidRDefault="00EF072B" w:rsidP="00EF072B">
      <w:pPr>
        <w:jc w:val="both"/>
        <w:rPr>
          <w:rFonts w:ascii="Times New Roman" w:eastAsia="Calibri" w:hAnsi="Times New Roman"/>
          <w:sz w:val="22"/>
          <w:szCs w:val="22"/>
        </w:rPr>
      </w:pPr>
    </w:p>
    <w:p w14:paraId="53A76A4B" w14:textId="77777777" w:rsidR="00EF072B" w:rsidRPr="00EF072B" w:rsidRDefault="00EF072B" w:rsidP="00EF072B">
      <w:pPr>
        <w:spacing w:after="200" w:line="276" w:lineRule="auto"/>
        <w:rPr>
          <w:rFonts w:ascii="Cambria" w:hAnsi="Cambria" w:cs="Arial"/>
          <w:b/>
          <w:bCs/>
          <w:sz w:val="22"/>
          <w:szCs w:val="22"/>
          <w:lang w:val="en-GB" w:eastAsia="en-GB"/>
        </w:rPr>
      </w:pPr>
      <w:r w:rsidRPr="00EF072B">
        <w:rPr>
          <w:rFonts w:ascii="Cambria" w:hAnsi="Cambria" w:cs="Arial"/>
          <w:b/>
          <w:bCs/>
          <w:sz w:val="22"/>
          <w:szCs w:val="22"/>
          <w:lang w:val="en-GB" w:eastAsia="en-GB"/>
        </w:rPr>
        <w:t>COMPETING INTERESTS DISCLAIMER:</w:t>
      </w:r>
    </w:p>
    <w:p w14:paraId="58A5A12D" w14:textId="77777777" w:rsidR="00EF072B" w:rsidRPr="00EF072B" w:rsidRDefault="00EF072B" w:rsidP="00EF072B">
      <w:pPr>
        <w:spacing w:after="200" w:line="276" w:lineRule="auto"/>
        <w:rPr>
          <w:rFonts w:ascii="Cambria" w:hAnsi="Cambria"/>
          <w:sz w:val="22"/>
          <w:szCs w:val="22"/>
          <w:lang w:val="en-GB" w:eastAsia="en-GB"/>
        </w:rPr>
      </w:pPr>
      <w:r w:rsidRPr="00EF072B">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52524B2" w14:textId="77777777" w:rsidR="0041027F" w:rsidRPr="00EF072B" w:rsidRDefault="0041027F" w:rsidP="00441B6F">
      <w:pPr>
        <w:pStyle w:val="ReferHead"/>
        <w:spacing w:after="0"/>
        <w:jc w:val="both"/>
        <w:rPr>
          <w:rFonts w:ascii="Arial" w:hAnsi="Arial" w:cs="Arial"/>
          <w:b w:val="0"/>
          <w:caps w:val="0"/>
          <w:sz w:val="20"/>
          <w:u w:val="single"/>
        </w:rPr>
      </w:pPr>
    </w:p>
    <w:p w14:paraId="5CFDA956" w14:textId="77777777" w:rsidR="00860000" w:rsidRPr="00EF072B" w:rsidRDefault="00860000" w:rsidP="00441B6F">
      <w:pPr>
        <w:pStyle w:val="ReferHead"/>
        <w:spacing w:after="0"/>
        <w:jc w:val="both"/>
        <w:rPr>
          <w:rFonts w:ascii="Arial" w:hAnsi="Arial" w:cs="Arial"/>
        </w:rPr>
      </w:pPr>
    </w:p>
    <w:p w14:paraId="0A563EEF" w14:textId="77777777" w:rsidR="00B01FCD" w:rsidRPr="00EF072B" w:rsidRDefault="00B01FCD" w:rsidP="00441B6F">
      <w:pPr>
        <w:pStyle w:val="ReferHead"/>
        <w:spacing w:after="0"/>
        <w:jc w:val="both"/>
        <w:rPr>
          <w:rFonts w:ascii="Arial" w:hAnsi="Arial" w:cs="Arial"/>
        </w:rPr>
      </w:pPr>
      <w:r w:rsidRPr="00EF072B">
        <w:rPr>
          <w:rFonts w:ascii="Arial" w:hAnsi="Arial" w:cs="Arial"/>
        </w:rPr>
        <w:t>References</w:t>
      </w:r>
    </w:p>
    <w:p w14:paraId="29B8FF83" w14:textId="77777777" w:rsidR="00790ADA" w:rsidRDefault="00790ADA" w:rsidP="00441B6F">
      <w:pPr>
        <w:pStyle w:val="ReferHead"/>
        <w:spacing w:after="0"/>
        <w:jc w:val="both"/>
        <w:rPr>
          <w:rFonts w:ascii="Arial" w:hAnsi="Arial" w:cs="Arial"/>
        </w:rPr>
      </w:pPr>
    </w:p>
    <w:p w14:paraId="5DCB49DF"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Agudo-Padrón, A. I. (2011). Current knowledge on population studies on five continental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(Mollusca, </w:t>
      </w:r>
      <w:proofErr w:type="spellStart"/>
      <w:r w:rsidRPr="00F86856">
        <w:rPr>
          <w:rFonts w:ascii="Times New Roman" w:hAnsi="Times New Roman"/>
          <w:sz w:val="24"/>
          <w:szCs w:val="24"/>
        </w:rPr>
        <w:t>Gastropoda</w:t>
      </w:r>
      <w:proofErr w:type="spellEnd"/>
      <w:r w:rsidRPr="00F86856">
        <w:rPr>
          <w:rFonts w:ascii="Times New Roman" w:hAnsi="Times New Roman"/>
          <w:sz w:val="24"/>
          <w:szCs w:val="24"/>
        </w:rPr>
        <w:t xml:space="preserve"> et Bivalvia) of Santa Catarina State (SC, Central Southern Brazil region). Biodiversity Journal, 2(1), 9–12. </w:t>
      </w:r>
      <w:hyperlink r:id="rId17" w:history="1">
        <w:r w:rsidRPr="00F86856">
          <w:rPr>
            <w:rFonts w:ascii="Times New Roman" w:hAnsi="Times New Roman"/>
            <w:color w:val="0000FF"/>
            <w:sz w:val="24"/>
            <w:szCs w:val="24"/>
            <w:u w:val="single"/>
          </w:rPr>
          <w:t>https://www.biodiversityjournal.com/pdf/2_9-12.pdf</w:t>
        </w:r>
      </w:hyperlink>
    </w:p>
    <w:p w14:paraId="5ADDE712"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Al-Saad, H. T., Farid, W. A., &amp; Al-</w:t>
      </w:r>
      <w:proofErr w:type="spellStart"/>
      <w:r w:rsidRPr="00F86856">
        <w:rPr>
          <w:rFonts w:ascii="Times New Roman" w:hAnsi="Times New Roman"/>
          <w:sz w:val="24"/>
          <w:szCs w:val="24"/>
        </w:rPr>
        <w:t>Adhub</w:t>
      </w:r>
      <w:proofErr w:type="spellEnd"/>
      <w:r w:rsidRPr="00F86856">
        <w:rPr>
          <w:rFonts w:ascii="Times New Roman" w:hAnsi="Times New Roman"/>
          <w:sz w:val="24"/>
          <w:szCs w:val="24"/>
        </w:rPr>
        <w:t xml:space="preserve">, A. Y. (2011). Distribution and seasonal variations of n-alkanes in some species of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from Shatt Al-Arab River. Mesopotamian Journal of Marine Sciences, 26(2), 182–196. </w:t>
      </w:r>
      <w:hyperlink r:id="rId18" w:history="1">
        <w:r w:rsidRPr="00F86856">
          <w:rPr>
            <w:rFonts w:ascii="Times New Roman" w:hAnsi="Times New Roman"/>
            <w:color w:val="0000FF"/>
            <w:sz w:val="24"/>
            <w:szCs w:val="24"/>
            <w:u w:val="single"/>
          </w:rPr>
          <w:t>https://doi.org/10.58629/mjms.v26i2.183</w:t>
        </w:r>
      </w:hyperlink>
    </w:p>
    <w:p w14:paraId="46E94C65"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Bagade, A., Kulkarni, M. R., Khandare, S., </w:t>
      </w:r>
      <w:proofErr w:type="spellStart"/>
      <w:r w:rsidRPr="00F86856">
        <w:rPr>
          <w:rFonts w:ascii="Times New Roman" w:hAnsi="Times New Roman"/>
          <w:sz w:val="24"/>
          <w:szCs w:val="24"/>
        </w:rPr>
        <w:t>Khandagle</w:t>
      </w:r>
      <w:proofErr w:type="spellEnd"/>
      <w:r w:rsidRPr="00F86856">
        <w:rPr>
          <w:rFonts w:ascii="Times New Roman" w:hAnsi="Times New Roman"/>
          <w:sz w:val="24"/>
          <w:szCs w:val="24"/>
        </w:rPr>
        <w:t xml:space="preserve">, A., Aravind, N. A., Shinde, Y., &amp; Padhye, S. M. (2024). Rapid declines in freshwater gastropods in Pune city, India. Biodiversity, 25(4), 343–356. </w:t>
      </w:r>
      <w:hyperlink r:id="rId19" w:history="1">
        <w:r w:rsidRPr="00F86856">
          <w:rPr>
            <w:rFonts w:ascii="Times New Roman" w:hAnsi="Times New Roman"/>
            <w:color w:val="0000FF"/>
            <w:sz w:val="24"/>
            <w:szCs w:val="24"/>
            <w:u w:val="single"/>
          </w:rPr>
          <w:t>https://doi.org/10.1080/14888386.2024.2410013</w:t>
        </w:r>
      </w:hyperlink>
    </w:p>
    <w:p w14:paraId="7F24ABEF"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Balian, E. V., Segers, H., Lévêque, C., &amp; Martens, K. (2008). The freshwater animal diversity assessment: An overview of the results. </w:t>
      </w:r>
      <w:proofErr w:type="spellStart"/>
      <w:r w:rsidRPr="00F86856">
        <w:rPr>
          <w:rFonts w:ascii="Times New Roman" w:hAnsi="Times New Roman"/>
          <w:sz w:val="24"/>
          <w:szCs w:val="24"/>
        </w:rPr>
        <w:t>Hydrobiologia</w:t>
      </w:r>
      <w:proofErr w:type="spellEnd"/>
      <w:r w:rsidRPr="00F86856">
        <w:rPr>
          <w:rFonts w:ascii="Times New Roman" w:hAnsi="Times New Roman"/>
          <w:sz w:val="24"/>
          <w:szCs w:val="24"/>
        </w:rPr>
        <w:t xml:space="preserve">, 595, 627–637. </w:t>
      </w:r>
      <w:hyperlink r:id="rId20" w:history="1">
        <w:r w:rsidRPr="00F86856">
          <w:rPr>
            <w:rFonts w:ascii="Times New Roman" w:hAnsi="Times New Roman"/>
            <w:color w:val="0000FF"/>
            <w:sz w:val="24"/>
            <w:szCs w:val="24"/>
            <w:u w:val="single"/>
          </w:rPr>
          <w:t>https://doi.org/10.1007/s10750-007-9246-3</w:t>
        </w:r>
      </w:hyperlink>
    </w:p>
    <w:p w14:paraId="3CE4E995" w14:textId="1DBF1350" w:rsidR="00F86856" w:rsidRPr="00F86856" w:rsidRDefault="00F86856" w:rsidP="00F86856">
      <w:pPr>
        <w:spacing w:before="100" w:beforeAutospacing="1" w:after="100" w:afterAutospacing="1"/>
        <w:rPr>
          <w:rFonts w:ascii="Times New Roman" w:hAnsi="Times New Roman"/>
          <w:sz w:val="24"/>
          <w:szCs w:val="24"/>
        </w:rPr>
      </w:pPr>
      <w:proofErr w:type="spellStart"/>
      <w:r w:rsidRPr="00F86856">
        <w:rPr>
          <w:rFonts w:ascii="Times New Roman" w:hAnsi="Times New Roman"/>
          <w:sz w:val="24"/>
          <w:szCs w:val="24"/>
        </w:rPr>
        <w:lastRenderedPageBreak/>
        <w:t>Bijukumar</w:t>
      </w:r>
      <w:proofErr w:type="spellEnd"/>
      <w:r w:rsidRPr="00F86856">
        <w:rPr>
          <w:rFonts w:ascii="Times New Roman" w:hAnsi="Times New Roman"/>
          <w:sz w:val="24"/>
          <w:szCs w:val="24"/>
        </w:rPr>
        <w:t xml:space="preserve">, A., Sushama, S., &amp; Biswas, T. (2001).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collected from the </w:t>
      </w:r>
      <w:proofErr w:type="spellStart"/>
      <w:r w:rsidRPr="00F86856">
        <w:rPr>
          <w:rFonts w:ascii="Times New Roman" w:hAnsi="Times New Roman"/>
          <w:sz w:val="24"/>
          <w:szCs w:val="24"/>
        </w:rPr>
        <w:t>Bharathapuzha</w:t>
      </w:r>
      <w:proofErr w:type="spellEnd"/>
      <w:r w:rsidRPr="00F86856">
        <w:rPr>
          <w:rFonts w:ascii="Times New Roman" w:hAnsi="Times New Roman"/>
          <w:sz w:val="24"/>
          <w:szCs w:val="24"/>
        </w:rPr>
        <w:t xml:space="preserve"> River, Kerala. Journal of the Inland Fisheries Society of India, 33(2), 68–69. </w:t>
      </w:r>
    </w:p>
    <w:p w14:paraId="34E1D96A"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Bolotov, I. N., Sonowal, J., </w:t>
      </w:r>
      <w:proofErr w:type="spellStart"/>
      <w:r w:rsidRPr="00F86856">
        <w:rPr>
          <w:rFonts w:ascii="Times New Roman" w:hAnsi="Times New Roman"/>
          <w:sz w:val="24"/>
          <w:szCs w:val="24"/>
        </w:rPr>
        <w:t>Kardong</w:t>
      </w:r>
      <w:proofErr w:type="spellEnd"/>
      <w:r w:rsidRPr="00F86856">
        <w:rPr>
          <w:rFonts w:ascii="Times New Roman" w:hAnsi="Times New Roman"/>
          <w:sz w:val="24"/>
          <w:szCs w:val="24"/>
        </w:rPr>
        <w:t xml:space="preserve">, D., Pasupuleti, R., Subba Rao, N. V., Unnikrishnan, S. K., Gofarov, M. Y., Kondakov, A. V., Konopleva, E. S., </w:t>
      </w:r>
      <w:proofErr w:type="spellStart"/>
      <w:r w:rsidRPr="00F86856">
        <w:rPr>
          <w:rFonts w:ascii="Times New Roman" w:hAnsi="Times New Roman"/>
          <w:sz w:val="24"/>
          <w:szCs w:val="24"/>
        </w:rPr>
        <w:t>Lyubas</w:t>
      </w:r>
      <w:proofErr w:type="spellEnd"/>
      <w:r w:rsidRPr="00F86856">
        <w:rPr>
          <w:rFonts w:ascii="Times New Roman" w:hAnsi="Times New Roman"/>
          <w:sz w:val="24"/>
          <w:szCs w:val="24"/>
        </w:rPr>
        <w:t xml:space="preserve">, A. A., &amp; Vikhrev, I. V. (2024). Discovery of an endemism hotspot of freshwater mussels (Bivalvia: </w:t>
      </w:r>
      <w:proofErr w:type="spellStart"/>
      <w:r w:rsidRPr="00F86856">
        <w:rPr>
          <w:rFonts w:ascii="Times New Roman" w:hAnsi="Times New Roman"/>
          <w:sz w:val="24"/>
          <w:szCs w:val="24"/>
        </w:rPr>
        <w:t>Unionidae</w:t>
      </w:r>
      <w:proofErr w:type="spellEnd"/>
      <w:r w:rsidRPr="00F86856">
        <w:rPr>
          <w:rFonts w:ascii="Times New Roman" w:hAnsi="Times New Roman"/>
          <w:sz w:val="24"/>
          <w:szCs w:val="24"/>
        </w:rPr>
        <w:t xml:space="preserve">) in Assam, with a description of two new genera. Zoological Journal of the Linnean Society, 202(4), zlae052. </w:t>
      </w:r>
      <w:hyperlink r:id="rId21" w:history="1">
        <w:r w:rsidRPr="00F86856">
          <w:rPr>
            <w:rFonts w:ascii="Times New Roman" w:hAnsi="Times New Roman"/>
            <w:color w:val="0000FF"/>
            <w:sz w:val="24"/>
            <w:szCs w:val="24"/>
            <w:u w:val="single"/>
          </w:rPr>
          <w:t>https://doi.org/10.1093/zoolinnean/zlae052</w:t>
        </w:r>
      </w:hyperlink>
    </w:p>
    <w:p w14:paraId="575E7AA4"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Buckley, L. B., &amp; </w:t>
      </w:r>
      <w:proofErr w:type="spellStart"/>
      <w:r w:rsidRPr="00F86856">
        <w:rPr>
          <w:rFonts w:ascii="Times New Roman" w:hAnsi="Times New Roman"/>
          <w:sz w:val="24"/>
          <w:szCs w:val="24"/>
        </w:rPr>
        <w:t>Jetz</w:t>
      </w:r>
      <w:proofErr w:type="spellEnd"/>
      <w:r w:rsidRPr="00F86856">
        <w:rPr>
          <w:rFonts w:ascii="Times New Roman" w:hAnsi="Times New Roman"/>
          <w:sz w:val="24"/>
          <w:szCs w:val="24"/>
        </w:rPr>
        <w:t xml:space="preserve">, W. (2008). Linking global turnover of species and environments. Proceedings of the National Academy of Sciences of the United States of America, 105(46), 17836–17841. </w:t>
      </w:r>
      <w:hyperlink r:id="rId22" w:history="1">
        <w:r w:rsidRPr="00F86856">
          <w:rPr>
            <w:rFonts w:ascii="Times New Roman" w:hAnsi="Times New Roman"/>
            <w:color w:val="0000FF"/>
            <w:sz w:val="24"/>
            <w:szCs w:val="24"/>
            <w:u w:val="single"/>
          </w:rPr>
          <w:t>https://doi.org/10.1073/pnas.0803524105</w:t>
        </w:r>
      </w:hyperlink>
    </w:p>
    <w:p w14:paraId="5E93DC30"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Diniz-Filho, J. A. F., &amp; Bini, L. M. (2005). Modelling geographical patterns in species richness using eigenvector-based spatial filters. Global Ecology and Biogeography, 14(2), 177–185. </w:t>
      </w:r>
      <w:hyperlink r:id="rId23" w:history="1">
        <w:r w:rsidRPr="00F86856">
          <w:rPr>
            <w:rFonts w:ascii="Times New Roman" w:hAnsi="Times New Roman"/>
            <w:color w:val="0000FF"/>
            <w:sz w:val="24"/>
            <w:szCs w:val="24"/>
            <w:u w:val="single"/>
          </w:rPr>
          <w:t>https://doi.org/10.1111/j.1466-822X.2005.00147.x</w:t>
        </w:r>
      </w:hyperlink>
    </w:p>
    <w:p w14:paraId="69730BE1" w14:textId="77777777" w:rsidR="00F86856" w:rsidRPr="00F86856" w:rsidRDefault="00F86856" w:rsidP="00F86856">
      <w:pPr>
        <w:spacing w:before="100" w:beforeAutospacing="1" w:after="100" w:afterAutospacing="1"/>
        <w:rPr>
          <w:rFonts w:ascii="Times New Roman" w:hAnsi="Times New Roman"/>
          <w:sz w:val="24"/>
          <w:szCs w:val="24"/>
        </w:rPr>
      </w:pPr>
      <w:proofErr w:type="spellStart"/>
      <w:r w:rsidRPr="00F86856">
        <w:rPr>
          <w:rFonts w:ascii="Times New Roman" w:hAnsi="Times New Roman"/>
          <w:sz w:val="24"/>
          <w:szCs w:val="24"/>
        </w:rPr>
        <w:t>Dubart</w:t>
      </w:r>
      <w:proofErr w:type="spellEnd"/>
      <w:r w:rsidRPr="00F86856">
        <w:rPr>
          <w:rFonts w:ascii="Times New Roman" w:hAnsi="Times New Roman"/>
          <w:sz w:val="24"/>
          <w:szCs w:val="24"/>
        </w:rPr>
        <w:t xml:space="preserve">, M., Pointier, J.-P., Jarne, P., &amp; David, P. (2022). Niche filtering, competition and species turnover in a metacommunity of freshwater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Oikos, 2022(9), e09157. </w:t>
      </w:r>
      <w:hyperlink r:id="rId24" w:history="1">
        <w:r w:rsidRPr="00F86856">
          <w:rPr>
            <w:rFonts w:ascii="Times New Roman" w:hAnsi="Times New Roman"/>
            <w:color w:val="0000FF"/>
            <w:sz w:val="24"/>
            <w:szCs w:val="24"/>
            <w:u w:val="single"/>
          </w:rPr>
          <w:t>https://doi.org/10.1111/oik.09157</w:t>
        </w:r>
      </w:hyperlink>
    </w:p>
    <w:p w14:paraId="7D9BACE6"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Ercan, E., </w:t>
      </w:r>
      <w:proofErr w:type="spellStart"/>
      <w:r w:rsidRPr="00F86856">
        <w:rPr>
          <w:rFonts w:ascii="Times New Roman" w:hAnsi="Times New Roman"/>
          <w:sz w:val="24"/>
          <w:szCs w:val="24"/>
        </w:rPr>
        <w:t>Gaygusuz</w:t>
      </w:r>
      <w:proofErr w:type="spellEnd"/>
      <w:r w:rsidRPr="00F86856">
        <w:rPr>
          <w:rFonts w:ascii="Times New Roman" w:hAnsi="Times New Roman"/>
          <w:sz w:val="24"/>
          <w:szCs w:val="24"/>
        </w:rPr>
        <w:t xml:space="preserve">, Ö., Tarkan, A. S., Reichard, M., &amp; Smith, C. (2013). The ecology of freshwater bivalves in the Lake </w:t>
      </w:r>
      <w:proofErr w:type="spellStart"/>
      <w:r w:rsidRPr="00F86856">
        <w:rPr>
          <w:rFonts w:ascii="Times New Roman" w:hAnsi="Times New Roman"/>
          <w:sz w:val="24"/>
          <w:szCs w:val="24"/>
        </w:rPr>
        <w:t>Sapanca</w:t>
      </w:r>
      <w:proofErr w:type="spellEnd"/>
      <w:r w:rsidRPr="00F86856">
        <w:rPr>
          <w:rFonts w:ascii="Times New Roman" w:hAnsi="Times New Roman"/>
          <w:sz w:val="24"/>
          <w:szCs w:val="24"/>
        </w:rPr>
        <w:t xml:space="preserve"> basin, Turkey. Turkish Journal of Zoology, 37(6), 730–738. </w:t>
      </w:r>
      <w:hyperlink r:id="rId25" w:history="1">
        <w:r w:rsidRPr="00F86856">
          <w:rPr>
            <w:rFonts w:ascii="Times New Roman" w:hAnsi="Times New Roman"/>
            <w:color w:val="0000FF"/>
            <w:sz w:val="24"/>
            <w:szCs w:val="24"/>
            <w:u w:val="single"/>
          </w:rPr>
          <w:t>https://doi.org/10.3906/zoo-1212-23</w:t>
        </w:r>
      </w:hyperlink>
    </w:p>
    <w:p w14:paraId="5844DE8D"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Gaston, K. J. (2000). Global patterns in biodiversity. Nature, 405, 220–227. </w:t>
      </w:r>
      <w:hyperlink r:id="rId26" w:history="1">
        <w:r w:rsidRPr="00F86856">
          <w:rPr>
            <w:rFonts w:ascii="Times New Roman" w:hAnsi="Times New Roman"/>
            <w:color w:val="0000FF"/>
            <w:sz w:val="24"/>
            <w:szCs w:val="24"/>
            <w:u w:val="single"/>
          </w:rPr>
          <w:t>https://doi.org/10.1038/35012228</w:t>
        </w:r>
      </w:hyperlink>
    </w:p>
    <w:p w14:paraId="651AAFBF"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Graf, D. L., &amp; Cummings, K. S. (2007). Review of the systematics and global diversity of freshwater mussel species (Bivalvia: </w:t>
      </w:r>
      <w:proofErr w:type="spellStart"/>
      <w:r w:rsidRPr="00F86856">
        <w:rPr>
          <w:rFonts w:ascii="Times New Roman" w:hAnsi="Times New Roman"/>
          <w:sz w:val="24"/>
          <w:szCs w:val="24"/>
        </w:rPr>
        <w:t>Unionoida</w:t>
      </w:r>
      <w:proofErr w:type="spellEnd"/>
      <w:r w:rsidRPr="00F86856">
        <w:rPr>
          <w:rFonts w:ascii="Times New Roman" w:hAnsi="Times New Roman"/>
          <w:sz w:val="24"/>
          <w:szCs w:val="24"/>
        </w:rPr>
        <w:t xml:space="preserve">). Journal of Molluscan Studies, 73(4), 291–314. </w:t>
      </w:r>
      <w:hyperlink r:id="rId27" w:history="1">
        <w:r w:rsidRPr="00F86856">
          <w:rPr>
            <w:rFonts w:ascii="Times New Roman" w:hAnsi="Times New Roman"/>
            <w:color w:val="0000FF"/>
            <w:sz w:val="24"/>
            <w:szCs w:val="24"/>
            <w:u w:val="single"/>
          </w:rPr>
          <w:t>https://doi.org/10.1093/mollus/eym029</w:t>
        </w:r>
      </w:hyperlink>
    </w:p>
    <w:p w14:paraId="4BD51B23"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Karr, J. R. (1987). Biological monitoring and environmental assessment: A conceptual framework. Environmental Management, 11(2), 249–256. </w:t>
      </w:r>
      <w:hyperlink r:id="rId28" w:history="1">
        <w:r w:rsidRPr="00F86856">
          <w:rPr>
            <w:rFonts w:ascii="Times New Roman" w:hAnsi="Times New Roman"/>
            <w:color w:val="0000FF"/>
            <w:sz w:val="24"/>
            <w:szCs w:val="24"/>
            <w:u w:val="single"/>
          </w:rPr>
          <w:t>https://doi.org/10.1007/BF01867203</w:t>
        </w:r>
      </w:hyperlink>
    </w:p>
    <w:p w14:paraId="497EE502"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Kolhe, B. G., Naik, R. D., </w:t>
      </w:r>
      <w:proofErr w:type="spellStart"/>
      <w:r w:rsidRPr="00F86856">
        <w:rPr>
          <w:rFonts w:ascii="Times New Roman" w:hAnsi="Times New Roman"/>
          <w:sz w:val="24"/>
          <w:szCs w:val="24"/>
        </w:rPr>
        <w:t>Anantharam</w:t>
      </w:r>
      <w:proofErr w:type="spellEnd"/>
      <w:r w:rsidRPr="00F86856">
        <w:rPr>
          <w:rFonts w:ascii="Times New Roman" w:hAnsi="Times New Roman"/>
          <w:sz w:val="24"/>
          <w:szCs w:val="24"/>
        </w:rPr>
        <w:t xml:space="preserve">, A. N., &amp; Padhye, S. M. (2025). Beta diversity patterns and species-environment relationships of aquatic gastropods (Mollusca: </w:t>
      </w:r>
      <w:proofErr w:type="spellStart"/>
      <w:r w:rsidRPr="00F86856">
        <w:rPr>
          <w:rFonts w:ascii="Times New Roman" w:hAnsi="Times New Roman"/>
          <w:sz w:val="24"/>
          <w:szCs w:val="24"/>
        </w:rPr>
        <w:t>Gastropoda</w:t>
      </w:r>
      <w:proofErr w:type="spellEnd"/>
      <w:r w:rsidRPr="00F86856">
        <w:rPr>
          <w:rFonts w:ascii="Times New Roman" w:hAnsi="Times New Roman"/>
          <w:sz w:val="24"/>
          <w:szCs w:val="24"/>
        </w:rPr>
        <w:t xml:space="preserve">) from an urban region in central India. </w:t>
      </w:r>
      <w:proofErr w:type="spellStart"/>
      <w:r w:rsidRPr="00F86856">
        <w:rPr>
          <w:rFonts w:ascii="Times New Roman" w:hAnsi="Times New Roman"/>
          <w:sz w:val="24"/>
          <w:szCs w:val="24"/>
        </w:rPr>
        <w:t>Biologia</w:t>
      </w:r>
      <w:proofErr w:type="spellEnd"/>
      <w:r w:rsidRPr="00F86856">
        <w:rPr>
          <w:rFonts w:ascii="Times New Roman" w:hAnsi="Times New Roman"/>
          <w:sz w:val="24"/>
          <w:szCs w:val="24"/>
        </w:rPr>
        <w:t xml:space="preserve">, 80, 1425–1434. </w:t>
      </w:r>
      <w:hyperlink r:id="rId29" w:history="1">
        <w:r w:rsidRPr="00F86856">
          <w:rPr>
            <w:rFonts w:ascii="Times New Roman" w:hAnsi="Times New Roman"/>
            <w:color w:val="0000FF"/>
            <w:sz w:val="24"/>
            <w:szCs w:val="24"/>
            <w:u w:val="single"/>
          </w:rPr>
          <w:t>https://doi.org/10.1007/s11756-025-01907-6</w:t>
        </w:r>
      </w:hyperlink>
    </w:p>
    <w:p w14:paraId="242448A8"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Kulkarni, M. R., Bagade, A., &amp; Padhye, S. M. (2021). Freshwater gastropod richness patterns along an urbanization gradient in tropical India. Journal of Urban Ecology, 7(1), juab035. </w:t>
      </w:r>
      <w:hyperlink r:id="rId30" w:history="1">
        <w:r w:rsidRPr="00F86856">
          <w:rPr>
            <w:rFonts w:ascii="Times New Roman" w:hAnsi="Times New Roman"/>
            <w:color w:val="0000FF"/>
            <w:sz w:val="24"/>
            <w:szCs w:val="24"/>
            <w:u w:val="single"/>
          </w:rPr>
          <w:t>https://doi.org/10.1093/jue/juab035</w:t>
        </w:r>
      </w:hyperlink>
    </w:p>
    <w:p w14:paraId="1F042116"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Prasad, S., Nath, P., &amp; Bhushan, M. (2025). Systematic diversity, population abundance and ecological significance of shellfish fauna in Bihar, India. Journal of Scientific Research and Reports, 31(10), 182–192. </w:t>
      </w:r>
      <w:hyperlink r:id="rId31" w:history="1">
        <w:r w:rsidRPr="00F86856">
          <w:rPr>
            <w:rFonts w:ascii="Times New Roman" w:hAnsi="Times New Roman"/>
            <w:color w:val="0000FF"/>
            <w:sz w:val="24"/>
            <w:szCs w:val="24"/>
            <w:u w:val="single"/>
          </w:rPr>
          <w:t>https://doi.org/10.9734/jsrr/2025/v31i103561</w:t>
        </w:r>
      </w:hyperlink>
    </w:p>
    <w:p w14:paraId="7C760A7A"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Priyadarsini, P. (2026). Freshwater malacofaunal diversity of Jabalpur Division, Madhya Pradesh, India. Journal of Biology and Nature, 18(2), 318–326. </w:t>
      </w:r>
      <w:hyperlink r:id="rId32" w:history="1">
        <w:r w:rsidRPr="00F86856">
          <w:rPr>
            <w:rFonts w:ascii="Times New Roman" w:hAnsi="Times New Roman"/>
            <w:color w:val="0000FF"/>
            <w:sz w:val="24"/>
            <w:szCs w:val="24"/>
            <w:u w:val="single"/>
          </w:rPr>
          <w:t>https://doi.org/10.56557/joban/2026/v18i210912</w:t>
        </w:r>
      </w:hyperlink>
    </w:p>
    <w:p w14:paraId="577CE115"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Raina, R. K., Vyas, V., Swarup, A., &amp; Gurjar, P. (2016). Molluscan diversity in River Sip—A tributary of River Narmada in central India. International Journal of Pure &amp; Applied Bioscience, 4(5), 108–113. </w:t>
      </w:r>
      <w:hyperlink r:id="rId33" w:history="1">
        <w:r w:rsidRPr="00F86856">
          <w:rPr>
            <w:rFonts w:ascii="Times New Roman" w:hAnsi="Times New Roman"/>
            <w:color w:val="0000FF"/>
            <w:sz w:val="24"/>
            <w:szCs w:val="24"/>
            <w:u w:val="single"/>
          </w:rPr>
          <w:t>https://doi.org/10.18782/2320-7051.2381</w:t>
        </w:r>
      </w:hyperlink>
    </w:p>
    <w:p w14:paraId="6CD3B8B8"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lastRenderedPageBreak/>
        <w:t xml:space="preserve">Reid, A. J., Carlson, A. K., Creed, I. F., Eliason, E. J., Gell, P. A., Johnson, P. T. J., Kidd, K. A., MacCormack, T. J., Olden, J. D., Ormerod, S. J., </w:t>
      </w:r>
      <w:proofErr w:type="spellStart"/>
      <w:r w:rsidRPr="00F86856">
        <w:rPr>
          <w:rFonts w:ascii="Times New Roman" w:hAnsi="Times New Roman"/>
          <w:sz w:val="24"/>
          <w:szCs w:val="24"/>
        </w:rPr>
        <w:t>Smol</w:t>
      </w:r>
      <w:proofErr w:type="spellEnd"/>
      <w:r w:rsidRPr="00F86856">
        <w:rPr>
          <w:rFonts w:ascii="Times New Roman" w:hAnsi="Times New Roman"/>
          <w:sz w:val="24"/>
          <w:szCs w:val="24"/>
        </w:rPr>
        <w:t xml:space="preserve">, J. P., Taylor, W. W., </w:t>
      </w:r>
      <w:proofErr w:type="spellStart"/>
      <w:r w:rsidRPr="00F86856">
        <w:rPr>
          <w:rFonts w:ascii="Times New Roman" w:hAnsi="Times New Roman"/>
          <w:sz w:val="24"/>
          <w:szCs w:val="24"/>
        </w:rPr>
        <w:t>Tockner</w:t>
      </w:r>
      <w:proofErr w:type="spellEnd"/>
      <w:r w:rsidRPr="00F86856">
        <w:rPr>
          <w:rFonts w:ascii="Times New Roman" w:hAnsi="Times New Roman"/>
          <w:sz w:val="24"/>
          <w:szCs w:val="24"/>
        </w:rPr>
        <w:t xml:space="preserve">, K., </w:t>
      </w:r>
      <w:proofErr w:type="spellStart"/>
      <w:r w:rsidRPr="00F86856">
        <w:rPr>
          <w:rFonts w:ascii="Times New Roman" w:hAnsi="Times New Roman"/>
          <w:sz w:val="24"/>
          <w:szCs w:val="24"/>
        </w:rPr>
        <w:t>Vermaire</w:t>
      </w:r>
      <w:proofErr w:type="spellEnd"/>
      <w:r w:rsidRPr="00F86856">
        <w:rPr>
          <w:rFonts w:ascii="Times New Roman" w:hAnsi="Times New Roman"/>
          <w:sz w:val="24"/>
          <w:szCs w:val="24"/>
        </w:rPr>
        <w:t xml:space="preserve">, J. C., Dudgeon, D., &amp; Cooke, S. J. (2019). Emerging threats and persistent conservation challenges for freshwater biodiversity. Biological Reviews, 94(3), 849–873. </w:t>
      </w:r>
      <w:hyperlink r:id="rId34" w:history="1">
        <w:r w:rsidRPr="00F86856">
          <w:rPr>
            <w:rFonts w:ascii="Times New Roman" w:hAnsi="Times New Roman"/>
            <w:color w:val="0000FF"/>
            <w:sz w:val="24"/>
            <w:szCs w:val="24"/>
            <w:u w:val="single"/>
          </w:rPr>
          <w:t>https://doi.org/10.1111/brv.12480</w:t>
        </w:r>
      </w:hyperlink>
    </w:p>
    <w:p w14:paraId="11625FBC"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Rohde, R. A., &amp; Muller, R. A. (2005). Cycles in fossil diversity. Nature, 434, 208–210. </w:t>
      </w:r>
      <w:hyperlink r:id="rId35" w:history="1">
        <w:r w:rsidRPr="00F86856">
          <w:rPr>
            <w:rFonts w:ascii="Times New Roman" w:hAnsi="Times New Roman"/>
            <w:color w:val="0000FF"/>
            <w:sz w:val="24"/>
            <w:szCs w:val="24"/>
            <w:u w:val="single"/>
          </w:rPr>
          <w:t>https://doi.org/10.1038/nature03339</w:t>
        </w:r>
      </w:hyperlink>
    </w:p>
    <w:p w14:paraId="05FF7090"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Shannon, C. E. (1948). A mathematical theory of communication. Bell System Technical Journal, 27(3), 379–423. </w:t>
      </w:r>
      <w:hyperlink r:id="rId36" w:history="1">
        <w:r w:rsidRPr="00F86856">
          <w:rPr>
            <w:rFonts w:ascii="Times New Roman" w:hAnsi="Times New Roman"/>
            <w:color w:val="0000FF"/>
            <w:sz w:val="24"/>
            <w:szCs w:val="24"/>
            <w:u w:val="single"/>
          </w:rPr>
          <w:t>https://doi.org/10.1002/j.1538-7305.1948.tb01338.x</w:t>
        </w:r>
      </w:hyperlink>
    </w:p>
    <w:p w14:paraId="338DFFCF"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Simpson, E. H. (1949). Measurement of diversity. Nature, 163, 688. </w:t>
      </w:r>
      <w:hyperlink r:id="rId37" w:history="1">
        <w:r w:rsidRPr="00F86856">
          <w:rPr>
            <w:rFonts w:ascii="Times New Roman" w:hAnsi="Times New Roman"/>
            <w:color w:val="0000FF"/>
            <w:sz w:val="24"/>
            <w:szCs w:val="24"/>
            <w:u w:val="single"/>
          </w:rPr>
          <w:t>https://doi.org/10.1038/163688a0</w:t>
        </w:r>
      </w:hyperlink>
    </w:p>
    <w:p w14:paraId="699B6437"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Sonowal, J., </w:t>
      </w:r>
      <w:proofErr w:type="spellStart"/>
      <w:r w:rsidRPr="00F86856">
        <w:rPr>
          <w:rFonts w:ascii="Times New Roman" w:hAnsi="Times New Roman"/>
          <w:sz w:val="24"/>
          <w:szCs w:val="24"/>
        </w:rPr>
        <w:t>Puzari</w:t>
      </w:r>
      <w:proofErr w:type="spellEnd"/>
      <w:r w:rsidRPr="00F86856">
        <w:rPr>
          <w:rFonts w:ascii="Times New Roman" w:hAnsi="Times New Roman"/>
          <w:sz w:val="24"/>
          <w:szCs w:val="24"/>
        </w:rPr>
        <w:t xml:space="preserve">, M., &amp; </w:t>
      </w:r>
      <w:proofErr w:type="spellStart"/>
      <w:r w:rsidRPr="00F86856">
        <w:rPr>
          <w:rFonts w:ascii="Times New Roman" w:hAnsi="Times New Roman"/>
          <w:sz w:val="24"/>
          <w:szCs w:val="24"/>
        </w:rPr>
        <w:t>Kardong</w:t>
      </w:r>
      <w:proofErr w:type="spellEnd"/>
      <w:r w:rsidRPr="00F86856">
        <w:rPr>
          <w:rFonts w:ascii="Times New Roman" w:hAnsi="Times New Roman"/>
          <w:sz w:val="24"/>
          <w:szCs w:val="24"/>
        </w:rPr>
        <w:t xml:space="preserve">, D. (2021). Diversity of freshwater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from the upper Brahmaputra Basin, Assam, India. Journal of Threatened Taxa, 13(5), 18237–18246. </w:t>
      </w:r>
      <w:hyperlink r:id="rId38" w:history="1">
        <w:r w:rsidRPr="00F86856">
          <w:rPr>
            <w:rFonts w:ascii="Times New Roman" w:hAnsi="Times New Roman"/>
            <w:color w:val="0000FF"/>
            <w:sz w:val="24"/>
            <w:szCs w:val="24"/>
            <w:u w:val="single"/>
          </w:rPr>
          <w:t>https://doi.org/10.11609/jott.7144.13.5.18237-18246</w:t>
        </w:r>
      </w:hyperlink>
    </w:p>
    <w:p w14:paraId="09607EC8"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Sowa, A., </w:t>
      </w:r>
      <w:proofErr w:type="spellStart"/>
      <w:r w:rsidRPr="00F86856">
        <w:rPr>
          <w:rFonts w:ascii="Times New Roman" w:hAnsi="Times New Roman"/>
          <w:sz w:val="24"/>
          <w:szCs w:val="24"/>
        </w:rPr>
        <w:t>Krodkiewska</w:t>
      </w:r>
      <w:proofErr w:type="spellEnd"/>
      <w:r w:rsidRPr="00F86856">
        <w:rPr>
          <w:rFonts w:ascii="Times New Roman" w:hAnsi="Times New Roman"/>
          <w:sz w:val="24"/>
          <w:szCs w:val="24"/>
        </w:rPr>
        <w:t xml:space="preserve">, M., Halabowski, D., &amp; Lewin, I. (2019). Response of the </w:t>
      </w:r>
      <w:proofErr w:type="spellStart"/>
      <w:r w:rsidRPr="00F86856">
        <w:rPr>
          <w:rFonts w:ascii="Times New Roman" w:hAnsi="Times New Roman"/>
          <w:sz w:val="24"/>
          <w:szCs w:val="24"/>
        </w:rPr>
        <w:t>mollusc</w:t>
      </w:r>
      <w:proofErr w:type="spellEnd"/>
      <w:r w:rsidRPr="00F86856">
        <w:rPr>
          <w:rFonts w:ascii="Times New Roman" w:hAnsi="Times New Roman"/>
          <w:sz w:val="24"/>
          <w:szCs w:val="24"/>
        </w:rPr>
        <w:t xml:space="preserve"> communities to environmental factors along an anthropogenic salinity gradient. The Science of Nature, 106, Article 60. </w:t>
      </w:r>
      <w:hyperlink r:id="rId39" w:history="1">
        <w:r w:rsidRPr="00F86856">
          <w:rPr>
            <w:rFonts w:ascii="Times New Roman" w:hAnsi="Times New Roman"/>
            <w:color w:val="0000FF"/>
            <w:sz w:val="24"/>
            <w:szCs w:val="24"/>
            <w:u w:val="single"/>
          </w:rPr>
          <w:t>https://doi.org/10.1007/s00114-019-1655-4</w:t>
        </w:r>
      </w:hyperlink>
    </w:p>
    <w:p w14:paraId="55EC683E"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Strong, E. E., </w:t>
      </w:r>
      <w:proofErr w:type="spellStart"/>
      <w:r w:rsidRPr="00F86856">
        <w:rPr>
          <w:rFonts w:ascii="Times New Roman" w:hAnsi="Times New Roman"/>
          <w:sz w:val="24"/>
          <w:szCs w:val="24"/>
        </w:rPr>
        <w:t>Gargominy</w:t>
      </w:r>
      <w:proofErr w:type="spellEnd"/>
      <w:r w:rsidRPr="00F86856">
        <w:rPr>
          <w:rFonts w:ascii="Times New Roman" w:hAnsi="Times New Roman"/>
          <w:sz w:val="24"/>
          <w:szCs w:val="24"/>
        </w:rPr>
        <w:t>, O., Ponder, W. F., &amp; Bouchet, P. (2008). Global diversity of gastropods (</w:t>
      </w:r>
      <w:proofErr w:type="spellStart"/>
      <w:r w:rsidRPr="00F86856">
        <w:rPr>
          <w:rFonts w:ascii="Times New Roman" w:hAnsi="Times New Roman"/>
          <w:sz w:val="24"/>
          <w:szCs w:val="24"/>
        </w:rPr>
        <w:t>Gastropoda</w:t>
      </w:r>
      <w:proofErr w:type="spellEnd"/>
      <w:r w:rsidRPr="00F86856">
        <w:rPr>
          <w:rFonts w:ascii="Times New Roman" w:hAnsi="Times New Roman"/>
          <w:sz w:val="24"/>
          <w:szCs w:val="24"/>
        </w:rPr>
        <w:t xml:space="preserve">; Mollusca) in freshwater. </w:t>
      </w:r>
      <w:proofErr w:type="spellStart"/>
      <w:r w:rsidRPr="00F86856">
        <w:rPr>
          <w:rFonts w:ascii="Times New Roman" w:hAnsi="Times New Roman"/>
          <w:sz w:val="24"/>
          <w:szCs w:val="24"/>
        </w:rPr>
        <w:t>Hydrobiologia</w:t>
      </w:r>
      <w:proofErr w:type="spellEnd"/>
      <w:r w:rsidRPr="00F86856">
        <w:rPr>
          <w:rFonts w:ascii="Times New Roman" w:hAnsi="Times New Roman"/>
          <w:sz w:val="24"/>
          <w:szCs w:val="24"/>
        </w:rPr>
        <w:t xml:space="preserve">, 595, 149–166. </w:t>
      </w:r>
      <w:hyperlink r:id="rId40" w:history="1">
        <w:r w:rsidRPr="00F86856">
          <w:rPr>
            <w:rFonts w:ascii="Times New Roman" w:hAnsi="Times New Roman"/>
            <w:color w:val="0000FF"/>
            <w:sz w:val="24"/>
            <w:szCs w:val="24"/>
            <w:u w:val="single"/>
          </w:rPr>
          <w:t>https://doi.org/10.1007/s10750-007-9012-6</w:t>
        </w:r>
      </w:hyperlink>
    </w:p>
    <w:p w14:paraId="6967E518"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Subba, B. R. (2003). Molluscan check list of </w:t>
      </w:r>
      <w:proofErr w:type="spellStart"/>
      <w:r w:rsidRPr="00F86856">
        <w:rPr>
          <w:rFonts w:ascii="Times New Roman" w:hAnsi="Times New Roman"/>
          <w:sz w:val="24"/>
          <w:szCs w:val="24"/>
        </w:rPr>
        <w:t>Ghodaghodi</w:t>
      </w:r>
      <w:proofErr w:type="spellEnd"/>
      <w:r w:rsidRPr="00F86856">
        <w:rPr>
          <w:rFonts w:ascii="Times New Roman" w:hAnsi="Times New Roman"/>
          <w:sz w:val="24"/>
          <w:szCs w:val="24"/>
        </w:rPr>
        <w:t xml:space="preserve"> Tal Area, Kailali District. Our Nature, 1(1), 1–2. </w:t>
      </w:r>
      <w:hyperlink r:id="rId41" w:history="1">
        <w:r w:rsidRPr="00F86856">
          <w:rPr>
            <w:rFonts w:ascii="Times New Roman" w:hAnsi="Times New Roman"/>
            <w:color w:val="0000FF"/>
            <w:sz w:val="24"/>
            <w:szCs w:val="24"/>
            <w:u w:val="single"/>
          </w:rPr>
          <w:t>https://doi.org/10.3126/on.v1i1.294</w:t>
        </w:r>
      </w:hyperlink>
    </w:p>
    <w:p w14:paraId="51CCAA00"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Subba Rao, N. V. (1989). Handbook freshwater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of India. Zoological Survey of India. </w:t>
      </w:r>
      <w:hyperlink r:id="rId42" w:history="1">
        <w:r w:rsidRPr="00F86856">
          <w:rPr>
            <w:rFonts w:ascii="Times New Roman" w:hAnsi="Times New Roman"/>
            <w:color w:val="0000FF"/>
            <w:sz w:val="24"/>
            <w:szCs w:val="24"/>
            <w:u w:val="single"/>
          </w:rPr>
          <w:t>https://zsi.gov.in/handbook-and-pictorial-guides-book-toc?book_id=005&amp;book_title=Handbook+Freshwater+Molluscs+of+India&amp;type=hpg</w:t>
        </w:r>
      </w:hyperlink>
    </w:p>
    <w:p w14:paraId="33A2AB80"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United Nations Environment </w:t>
      </w:r>
      <w:proofErr w:type="spellStart"/>
      <w:r w:rsidRPr="00F86856">
        <w:rPr>
          <w:rFonts w:ascii="Times New Roman" w:hAnsi="Times New Roman"/>
          <w:sz w:val="24"/>
          <w:szCs w:val="24"/>
        </w:rPr>
        <w:t>Programme</w:t>
      </w:r>
      <w:proofErr w:type="spellEnd"/>
      <w:r w:rsidRPr="00F86856">
        <w:rPr>
          <w:rFonts w:ascii="Times New Roman" w:hAnsi="Times New Roman"/>
          <w:sz w:val="24"/>
          <w:szCs w:val="24"/>
        </w:rPr>
        <w:t xml:space="preserve">. (1992). Convention on biological diversity. </w:t>
      </w:r>
      <w:hyperlink r:id="rId43" w:history="1">
        <w:r w:rsidRPr="00F86856">
          <w:rPr>
            <w:rFonts w:ascii="Times New Roman" w:hAnsi="Times New Roman"/>
            <w:color w:val="0000FF"/>
            <w:sz w:val="24"/>
            <w:szCs w:val="24"/>
            <w:u w:val="single"/>
          </w:rPr>
          <w:t>https://www.unep.org/resources/report/convention-biological-diversity-june-1992</w:t>
        </w:r>
      </w:hyperlink>
    </w:p>
    <w:p w14:paraId="029A1DC1"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Vaughn, C. C. (2018). Ecosystem services provided by freshwater mussels. </w:t>
      </w:r>
      <w:proofErr w:type="spellStart"/>
      <w:r w:rsidRPr="00F86856">
        <w:rPr>
          <w:rFonts w:ascii="Times New Roman" w:hAnsi="Times New Roman"/>
          <w:sz w:val="24"/>
          <w:szCs w:val="24"/>
        </w:rPr>
        <w:t>Hydrobiologia</w:t>
      </w:r>
      <w:proofErr w:type="spellEnd"/>
      <w:r w:rsidRPr="00F86856">
        <w:rPr>
          <w:rFonts w:ascii="Times New Roman" w:hAnsi="Times New Roman"/>
          <w:sz w:val="24"/>
          <w:szCs w:val="24"/>
        </w:rPr>
        <w:t xml:space="preserve">, 810, 15–27. </w:t>
      </w:r>
      <w:hyperlink r:id="rId44" w:history="1">
        <w:r w:rsidRPr="00F86856">
          <w:rPr>
            <w:rFonts w:ascii="Times New Roman" w:hAnsi="Times New Roman"/>
            <w:color w:val="0000FF"/>
            <w:sz w:val="24"/>
            <w:szCs w:val="24"/>
            <w:u w:val="single"/>
          </w:rPr>
          <w:t>https://doi.org/10.1007/s10750-017-3139-x</w:t>
        </w:r>
      </w:hyperlink>
    </w:p>
    <w:p w14:paraId="6D7416D4"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Zawal, A., Lewin, I., </w:t>
      </w:r>
      <w:proofErr w:type="spellStart"/>
      <w:r w:rsidRPr="00F86856">
        <w:rPr>
          <w:rFonts w:ascii="Times New Roman" w:hAnsi="Times New Roman"/>
          <w:sz w:val="24"/>
          <w:szCs w:val="24"/>
        </w:rPr>
        <w:t>Stępień</w:t>
      </w:r>
      <w:proofErr w:type="spellEnd"/>
      <w:r w:rsidRPr="00F86856">
        <w:rPr>
          <w:rFonts w:ascii="Times New Roman" w:hAnsi="Times New Roman"/>
          <w:sz w:val="24"/>
          <w:szCs w:val="24"/>
        </w:rPr>
        <w:t>, E., Szlauer-</w:t>
      </w:r>
      <w:proofErr w:type="spellStart"/>
      <w:r w:rsidRPr="00F86856">
        <w:rPr>
          <w:rFonts w:ascii="Times New Roman" w:hAnsi="Times New Roman"/>
          <w:sz w:val="24"/>
          <w:szCs w:val="24"/>
        </w:rPr>
        <w:t>Łukaszewska</w:t>
      </w:r>
      <w:proofErr w:type="spellEnd"/>
      <w:r w:rsidRPr="00F86856">
        <w:rPr>
          <w:rFonts w:ascii="Times New Roman" w:hAnsi="Times New Roman"/>
          <w:sz w:val="24"/>
          <w:szCs w:val="24"/>
        </w:rPr>
        <w:t xml:space="preserve">, A., Buczyńska, E., Buczyński, P., &amp; </w:t>
      </w:r>
      <w:proofErr w:type="spellStart"/>
      <w:r w:rsidRPr="00F86856">
        <w:rPr>
          <w:rFonts w:ascii="Times New Roman" w:hAnsi="Times New Roman"/>
          <w:sz w:val="24"/>
          <w:szCs w:val="24"/>
        </w:rPr>
        <w:t>Stryjecki</w:t>
      </w:r>
      <w:proofErr w:type="spellEnd"/>
      <w:r w:rsidRPr="00F86856">
        <w:rPr>
          <w:rFonts w:ascii="Times New Roman" w:hAnsi="Times New Roman"/>
          <w:sz w:val="24"/>
          <w:szCs w:val="24"/>
        </w:rPr>
        <w:t xml:space="preserve">, R. (2016). The influence of the landscape structure within buffer zones, catchment land use and instream environmental variables on </w:t>
      </w:r>
      <w:proofErr w:type="spellStart"/>
      <w:r w:rsidRPr="00F86856">
        <w:rPr>
          <w:rFonts w:ascii="Times New Roman" w:hAnsi="Times New Roman"/>
          <w:sz w:val="24"/>
          <w:szCs w:val="24"/>
        </w:rPr>
        <w:t>mollusc</w:t>
      </w:r>
      <w:proofErr w:type="spellEnd"/>
      <w:r w:rsidRPr="00F86856">
        <w:rPr>
          <w:rFonts w:ascii="Times New Roman" w:hAnsi="Times New Roman"/>
          <w:sz w:val="24"/>
          <w:szCs w:val="24"/>
        </w:rPr>
        <w:t xml:space="preserve"> communities in a medium-sized lowland river. Ecological Research, 31(6), 853–867. </w:t>
      </w:r>
      <w:hyperlink r:id="rId45" w:history="1">
        <w:r w:rsidRPr="00F86856">
          <w:rPr>
            <w:rFonts w:ascii="Times New Roman" w:hAnsi="Times New Roman"/>
            <w:color w:val="0000FF"/>
            <w:sz w:val="24"/>
            <w:szCs w:val="24"/>
            <w:u w:val="single"/>
          </w:rPr>
          <w:t>https://doi.org/10.1007/s11284-016-1395-2</w:t>
        </w:r>
      </w:hyperlink>
    </w:p>
    <w:p w14:paraId="199CB92F" w14:textId="77777777" w:rsidR="00F86856" w:rsidRPr="00F86856" w:rsidRDefault="00F86856" w:rsidP="00F86856">
      <w:pPr>
        <w:spacing w:before="100" w:beforeAutospacing="1" w:after="100" w:afterAutospacing="1"/>
        <w:rPr>
          <w:rFonts w:ascii="Times New Roman" w:hAnsi="Times New Roman"/>
          <w:sz w:val="24"/>
          <w:szCs w:val="24"/>
        </w:rPr>
      </w:pPr>
      <w:r w:rsidRPr="00F86856">
        <w:rPr>
          <w:rFonts w:ascii="Times New Roman" w:hAnsi="Times New Roman"/>
          <w:sz w:val="24"/>
          <w:szCs w:val="24"/>
        </w:rPr>
        <w:t xml:space="preserve">Zieritz, A., Sousa, R., Aldridge, D. C., Douda, K., Esteves, E., Ferreira-Rodríguez, N., </w:t>
      </w:r>
      <w:proofErr w:type="spellStart"/>
      <w:r w:rsidRPr="00F86856">
        <w:rPr>
          <w:rFonts w:ascii="Times New Roman" w:hAnsi="Times New Roman"/>
          <w:sz w:val="24"/>
          <w:szCs w:val="24"/>
        </w:rPr>
        <w:t>Mageroy</w:t>
      </w:r>
      <w:proofErr w:type="spellEnd"/>
      <w:r w:rsidRPr="00F86856">
        <w:rPr>
          <w:rFonts w:ascii="Times New Roman" w:hAnsi="Times New Roman"/>
          <w:sz w:val="24"/>
          <w:szCs w:val="24"/>
        </w:rPr>
        <w:t xml:space="preserve">, J. H., </w:t>
      </w:r>
      <w:proofErr w:type="spellStart"/>
      <w:r w:rsidRPr="00F86856">
        <w:rPr>
          <w:rFonts w:ascii="Times New Roman" w:hAnsi="Times New Roman"/>
          <w:sz w:val="24"/>
          <w:szCs w:val="24"/>
        </w:rPr>
        <w:t>Nizzoli</w:t>
      </w:r>
      <w:proofErr w:type="spellEnd"/>
      <w:r w:rsidRPr="00F86856">
        <w:rPr>
          <w:rFonts w:ascii="Times New Roman" w:hAnsi="Times New Roman"/>
          <w:sz w:val="24"/>
          <w:szCs w:val="24"/>
        </w:rPr>
        <w:t xml:space="preserve">, D., Osterling, M., Reis, J., Riccardi, N., Daill, D., </w:t>
      </w:r>
      <w:proofErr w:type="spellStart"/>
      <w:r w:rsidRPr="00F86856">
        <w:rPr>
          <w:rFonts w:ascii="Times New Roman" w:hAnsi="Times New Roman"/>
          <w:sz w:val="24"/>
          <w:szCs w:val="24"/>
        </w:rPr>
        <w:t>Gumpinger</w:t>
      </w:r>
      <w:proofErr w:type="spellEnd"/>
      <w:r w:rsidRPr="00F86856">
        <w:rPr>
          <w:rFonts w:ascii="Times New Roman" w:hAnsi="Times New Roman"/>
          <w:sz w:val="24"/>
          <w:szCs w:val="24"/>
        </w:rPr>
        <w:t xml:space="preserve">, C., &amp; Vaz, A. S. (2022). A global synthesis of ecosystem services provided and disrupted by freshwater bivalve </w:t>
      </w:r>
      <w:proofErr w:type="spellStart"/>
      <w:r w:rsidRPr="00F86856">
        <w:rPr>
          <w:rFonts w:ascii="Times New Roman" w:hAnsi="Times New Roman"/>
          <w:sz w:val="24"/>
          <w:szCs w:val="24"/>
        </w:rPr>
        <w:t>molluscs</w:t>
      </w:r>
      <w:proofErr w:type="spellEnd"/>
      <w:r w:rsidRPr="00F86856">
        <w:rPr>
          <w:rFonts w:ascii="Times New Roman" w:hAnsi="Times New Roman"/>
          <w:sz w:val="24"/>
          <w:szCs w:val="24"/>
        </w:rPr>
        <w:t xml:space="preserve">. Biological Reviews, 97(5), 1967–1998. </w:t>
      </w:r>
      <w:hyperlink r:id="rId46" w:history="1">
        <w:r w:rsidRPr="00F86856">
          <w:rPr>
            <w:rFonts w:ascii="Times New Roman" w:hAnsi="Times New Roman"/>
            <w:color w:val="0000FF"/>
            <w:sz w:val="24"/>
            <w:szCs w:val="24"/>
            <w:u w:val="single"/>
          </w:rPr>
          <w:t>https://doi.org/10.1111/brv.12878</w:t>
        </w:r>
      </w:hyperlink>
    </w:p>
    <w:p w14:paraId="5CBD69B6" w14:textId="77777777" w:rsidR="00F86856" w:rsidRPr="00EF072B" w:rsidRDefault="00F86856" w:rsidP="00441B6F">
      <w:pPr>
        <w:pStyle w:val="ReferHead"/>
        <w:spacing w:after="0"/>
        <w:jc w:val="both"/>
        <w:rPr>
          <w:rFonts w:ascii="Arial" w:hAnsi="Arial" w:cs="Arial"/>
        </w:rPr>
      </w:pPr>
    </w:p>
    <w:sectPr w:rsidR="00F86856" w:rsidRPr="00EF072B" w:rsidSect="00E4566B">
      <w:headerReference w:type="even" r:id="rId47"/>
      <w:headerReference w:type="default" r:id="rId48"/>
      <w:footerReference w:type="default" r:id="rId49"/>
      <w:headerReference w:type="first" r:id="rId5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4151" w14:textId="77777777" w:rsidR="002A2307" w:rsidRDefault="002A2307" w:rsidP="00C37E61">
      <w:r>
        <w:separator/>
      </w:r>
    </w:p>
  </w:endnote>
  <w:endnote w:type="continuationSeparator" w:id="0">
    <w:p w14:paraId="06136466" w14:textId="77777777" w:rsidR="002A2307" w:rsidRDefault="002A230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83C9" w14:textId="77777777" w:rsidR="00E4566B" w:rsidRDefault="00E45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1BE4" w14:textId="77777777" w:rsidR="00E4566B" w:rsidRDefault="00E456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3D42" w14:textId="77777777" w:rsidR="00754C9A" w:rsidRPr="00E4566B" w:rsidRDefault="00754C9A" w:rsidP="00E45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BA5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1086A" w14:textId="77777777" w:rsidR="002A2307" w:rsidRDefault="002A2307" w:rsidP="00C37E61">
      <w:r>
        <w:separator/>
      </w:r>
    </w:p>
  </w:footnote>
  <w:footnote w:type="continuationSeparator" w:id="0">
    <w:p w14:paraId="0A071E5A" w14:textId="77777777" w:rsidR="002A2307" w:rsidRDefault="002A230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25BF" w14:textId="77777777" w:rsidR="00E4566B" w:rsidRDefault="00000000">
    <w:pPr>
      <w:pStyle w:val="Header"/>
    </w:pPr>
    <w:r>
      <w:rPr>
        <w:noProof/>
      </w:rPr>
      <w:pict w14:anchorId="1C6D9E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6CF3" w14:textId="77777777" w:rsidR="00E4566B" w:rsidRDefault="00000000">
    <w:pPr>
      <w:pStyle w:val="Header"/>
    </w:pPr>
    <w:r>
      <w:rPr>
        <w:noProof/>
      </w:rPr>
      <w:pict w14:anchorId="472D45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19D4" w14:textId="77777777" w:rsidR="00296529" w:rsidRPr="00296529" w:rsidRDefault="00000000" w:rsidP="00296529">
    <w:pPr>
      <w:ind w:left="2160"/>
      <w:jc w:val="center"/>
      <w:rPr>
        <w:rFonts w:ascii="Times New Roman" w:eastAsia="Calibri" w:hAnsi="Times New Roman"/>
        <w:i/>
        <w:sz w:val="18"/>
        <w:szCs w:val="22"/>
      </w:rPr>
    </w:pPr>
    <w:r>
      <w:rPr>
        <w:noProof/>
      </w:rPr>
      <w:pict w14:anchorId="181B77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C6DAE0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p>
  <w:p w14:paraId="16B97452"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3B02F59" w14:textId="77777777" w:rsidR="00296529" w:rsidRPr="00296529" w:rsidRDefault="00754C9A"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7915670F" w14:textId="77777777" w:rsidR="00296529" w:rsidRDefault="00296529" w:rsidP="00296529">
    <w:pPr>
      <w:jc w:val="center"/>
      <w:rPr>
        <w:rFonts w:ascii="Times New Roman" w:eastAsia="Calibri" w:hAnsi="Times New Roman"/>
        <w:i/>
        <w:sz w:val="18"/>
        <w:szCs w:val="22"/>
      </w:rPr>
    </w:pPr>
  </w:p>
  <w:p w14:paraId="451FA2B6"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9B1E81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B90D" w14:textId="77777777" w:rsidR="00E4566B" w:rsidRDefault="00000000">
    <w:pPr>
      <w:pStyle w:val="Header"/>
    </w:pPr>
    <w:r>
      <w:rPr>
        <w:noProof/>
      </w:rPr>
      <w:pict w14:anchorId="40D4EB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0B054F1">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B032" w14:textId="77777777" w:rsidR="00E4566B" w:rsidRDefault="00000000">
    <w:pPr>
      <w:pStyle w:val="Header"/>
    </w:pPr>
    <w:r>
      <w:rPr>
        <w:noProof/>
      </w:rPr>
      <w:pict w14:anchorId="2E3E23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1F0AA90">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202C" w14:textId="77777777" w:rsidR="00E4566B" w:rsidRPr="00296529" w:rsidRDefault="00000000" w:rsidP="00296529">
    <w:pPr>
      <w:ind w:left="2160"/>
      <w:jc w:val="center"/>
      <w:rPr>
        <w:rFonts w:ascii="Times New Roman" w:eastAsia="Calibri" w:hAnsi="Times New Roman"/>
        <w:i/>
        <w:sz w:val="18"/>
        <w:szCs w:val="22"/>
      </w:rPr>
    </w:pPr>
    <w:r>
      <w:rPr>
        <w:noProof/>
      </w:rPr>
      <w:pict w14:anchorId="13F95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57925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ACCE2B9">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69E132D" w14:textId="77777777" w:rsidR="00E4566B" w:rsidRPr="00296529" w:rsidRDefault="00E4566B" w:rsidP="00296529">
    <w:pPr>
      <w:ind w:left="4320"/>
      <w:rPr>
        <w:rFonts w:ascii="Times New Roman" w:eastAsia="Calibri" w:hAnsi="Times New Roman"/>
        <w:i/>
        <w:sz w:val="18"/>
        <w:szCs w:val="22"/>
      </w:rPr>
    </w:pPr>
    <w:r>
      <w:rPr>
        <w:rFonts w:ascii="Times New Roman" w:eastAsia="Calibri" w:hAnsi="Times New Roman"/>
        <w:i/>
        <w:sz w:val="18"/>
        <w:szCs w:val="22"/>
      </w:rPr>
      <w:t>.</w:t>
    </w:r>
  </w:p>
  <w:p w14:paraId="79525AFE" w14:textId="77777777" w:rsidR="00E4566B" w:rsidRPr="00296529" w:rsidRDefault="00E4566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779C492" w14:textId="77777777" w:rsidR="00E4566B" w:rsidRPr="00296529" w:rsidRDefault="00E4566B"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45771072" w14:textId="77777777" w:rsidR="00E4566B" w:rsidRDefault="00E4566B" w:rsidP="00296529">
    <w:pPr>
      <w:jc w:val="center"/>
      <w:rPr>
        <w:rFonts w:ascii="Times New Roman" w:eastAsia="Calibri" w:hAnsi="Times New Roman"/>
        <w:i/>
        <w:sz w:val="18"/>
        <w:szCs w:val="22"/>
      </w:rPr>
    </w:pPr>
  </w:p>
  <w:p w14:paraId="03BEC57A" w14:textId="77777777" w:rsidR="00E4566B" w:rsidRDefault="00E4566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8AA878D" w14:textId="77777777" w:rsidR="00E4566B" w:rsidRDefault="00E4566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25E036A"/>
    <w:multiLevelType w:val="hybridMultilevel"/>
    <w:tmpl w:val="3BBAE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1614E32"/>
    <w:multiLevelType w:val="hybridMultilevel"/>
    <w:tmpl w:val="B12E9E9A"/>
    <w:lvl w:ilvl="0" w:tplc="DDB0585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87818"/>
    <w:multiLevelType w:val="hybridMultilevel"/>
    <w:tmpl w:val="E750A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A4DD6"/>
    <w:multiLevelType w:val="multilevel"/>
    <w:tmpl w:val="BCDC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20656C3"/>
    <w:multiLevelType w:val="hybridMultilevel"/>
    <w:tmpl w:val="E4FA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5"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7"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111035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73553821">
    <w:abstractNumId w:val="16"/>
  </w:num>
  <w:num w:numId="3" w16cid:durableId="1128940275">
    <w:abstractNumId w:val="28"/>
  </w:num>
  <w:num w:numId="4" w16cid:durableId="12362315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73717784">
    <w:abstractNumId w:val="7"/>
  </w:num>
  <w:num w:numId="6" w16cid:durableId="445470070">
    <w:abstractNumId w:val="6"/>
  </w:num>
  <w:num w:numId="7" w16cid:durableId="650212010">
    <w:abstractNumId w:val="1"/>
  </w:num>
  <w:num w:numId="8" w16cid:durableId="1496725316">
    <w:abstractNumId w:val="12"/>
  </w:num>
  <w:num w:numId="9" w16cid:durableId="1122769315">
    <w:abstractNumId w:val="30"/>
  </w:num>
  <w:num w:numId="10" w16cid:durableId="419758813">
    <w:abstractNumId w:val="2"/>
  </w:num>
  <w:num w:numId="11" w16cid:durableId="228077866">
    <w:abstractNumId w:val="23"/>
  </w:num>
  <w:num w:numId="12" w16cid:durableId="1825707457">
    <w:abstractNumId w:val="3"/>
  </w:num>
  <w:num w:numId="13" w16cid:durableId="292636909">
    <w:abstractNumId w:val="21"/>
  </w:num>
  <w:num w:numId="14" w16cid:durableId="1501584777">
    <w:abstractNumId w:val="8"/>
  </w:num>
  <w:num w:numId="15" w16cid:durableId="829558211">
    <w:abstractNumId w:val="26"/>
  </w:num>
  <w:num w:numId="16" w16cid:durableId="1573349708">
    <w:abstractNumId w:val="5"/>
  </w:num>
  <w:num w:numId="17" w16cid:durableId="2090302442">
    <w:abstractNumId w:val="27"/>
  </w:num>
  <w:num w:numId="18" w16cid:durableId="1173492689">
    <w:abstractNumId w:val="14"/>
  </w:num>
  <w:num w:numId="19" w16cid:durableId="2134014563">
    <w:abstractNumId w:val="33"/>
  </w:num>
  <w:num w:numId="20" w16cid:durableId="1551116970">
    <w:abstractNumId w:val="11"/>
  </w:num>
  <w:num w:numId="21" w16cid:durableId="9332518">
    <w:abstractNumId w:val="9"/>
  </w:num>
  <w:num w:numId="22" w16cid:durableId="1569342100">
    <w:abstractNumId w:val="13"/>
  </w:num>
  <w:num w:numId="23" w16cid:durableId="269359300">
    <w:abstractNumId w:val="24"/>
  </w:num>
  <w:num w:numId="24" w16cid:durableId="522481104">
    <w:abstractNumId w:val="31"/>
  </w:num>
  <w:num w:numId="25" w16cid:durableId="1642422621">
    <w:abstractNumId w:val="4"/>
  </w:num>
  <w:num w:numId="26" w16cid:durableId="1351836147">
    <w:abstractNumId w:val="18"/>
  </w:num>
  <w:num w:numId="27" w16cid:durableId="1641574029">
    <w:abstractNumId w:val="25"/>
  </w:num>
  <w:num w:numId="28" w16cid:durableId="73557301">
    <w:abstractNumId w:val="32"/>
  </w:num>
  <w:num w:numId="29" w16cid:durableId="1725790345">
    <w:abstractNumId w:val="29"/>
  </w:num>
  <w:num w:numId="30" w16cid:durableId="2144493772">
    <w:abstractNumId w:val="10"/>
  </w:num>
  <w:num w:numId="31" w16cid:durableId="1185942140">
    <w:abstractNumId w:val="20"/>
  </w:num>
  <w:num w:numId="32" w16cid:durableId="894396068">
    <w:abstractNumId w:val="19"/>
  </w:num>
  <w:num w:numId="33" w16cid:durableId="1406881294">
    <w:abstractNumId w:val="22"/>
  </w:num>
  <w:num w:numId="34" w16cid:durableId="1051005363">
    <w:abstractNumId w:val="15"/>
  </w:num>
  <w:num w:numId="35" w16cid:durableId="1555458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52B3"/>
    <w:rsid w:val="00030174"/>
    <w:rsid w:val="0004579C"/>
    <w:rsid w:val="000A47FA"/>
    <w:rsid w:val="000A65D3"/>
    <w:rsid w:val="000B1E33"/>
    <w:rsid w:val="000D689F"/>
    <w:rsid w:val="000E5878"/>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0FD"/>
    <w:rsid w:val="002A2307"/>
    <w:rsid w:val="002B27FB"/>
    <w:rsid w:val="002B685A"/>
    <w:rsid w:val="002C57D2"/>
    <w:rsid w:val="002D48BF"/>
    <w:rsid w:val="002E0D56"/>
    <w:rsid w:val="00315186"/>
    <w:rsid w:val="0033343E"/>
    <w:rsid w:val="00350BC7"/>
    <w:rsid w:val="003512C2"/>
    <w:rsid w:val="0035505F"/>
    <w:rsid w:val="00371FB6"/>
    <w:rsid w:val="003735A0"/>
    <w:rsid w:val="003763C1"/>
    <w:rsid w:val="00376BBE"/>
    <w:rsid w:val="0039224F"/>
    <w:rsid w:val="003A43A4"/>
    <w:rsid w:val="003A7E18"/>
    <w:rsid w:val="003B785F"/>
    <w:rsid w:val="003C4C86"/>
    <w:rsid w:val="003C6258"/>
    <w:rsid w:val="003D101A"/>
    <w:rsid w:val="003E2904"/>
    <w:rsid w:val="00401927"/>
    <w:rsid w:val="0041027F"/>
    <w:rsid w:val="00412475"/>
    <w:rsid w:val="00421DD6"/>
    <w:rsid w:val="00423789"/>
    <w:rsid w:val="00430E6A"/>
    <w:rsid w:val="00440F43"/>
    <w:rsid w:val="00441B6F"/>
    <w:rsid w:val="00446221"/>
    <w:rsid w:val="00450E62"/>
    <w:rsid w:val="004539DB"/>
    <w:rsid w:val="00471A80"/>
    <w:rsid w:val="004B1CAB"/>
    <w:rsid w:val="004C43D3"/>
    <w:rsid w:val="004D305E"/>
    <w:rsid w:val="004D4277"/>
    <w:rsid w:val="004F0162"/>
    <w:rsid w:val="00500CCB"/>
    <w:rsid w:val="00500EE4"/>
    <w:rsid w:val="00502516"/>
    <w:rsid w:val="00505F06"/>
    <w:rsid w:val="00506828"/>
    <w:rsid w:val="0053056E"/>
    <w:rsid w:val="005545A6"/>
    <w:rsid w:val="00554FDA"/>
    <w:rsid w:val="005579C0"/>
    <w:rsid w:val="005B3936"/>
    <w:rsid w:val="005C4557"/>
    <w:rsid w:val="005C784C"/>
    <w:rsid w:val="005D17F6"/>
    <w:rsid w:val="005E37DB"/>
    <w:rsid w:val="005E5539"/>
    <w:rsid w:val="00602BF5"/>
    <w:rsid w:val="00617FDD"/>
    <w:rsid w:val="00626132"/>
    <w:rsid w:val="00633614"/>
    <w:rsid w:val="00633F68"/>
    <w:rsid w:val="00636EB2"/>
    <w:rsid w:val="006375B8"/>
    <w:rsid w:val="0066510A"/>
    <w:rsid w:val="00673F9F"/>
    <w:rsid w:val="00686953"/>
    <w:rsid w:val="00687DEA"/>
    <w:rsid w:val="00687E67"/>
    <w:rsid w:val="006950A3"/>
    <w:rsid w:val="006967F7"/>
    <w:rsid w:val="006A250C"/>
    <w:rsid w:val="006B1C19"/>
    <w:rsid w:val="006B21D3"/>
    <w:rsid w:val="006B57D0"/>
    <w:rsid w:val="006D0C98"/>
    <w:rsid w:val="006D30FF"/>
    <w:rsid w:val="006D6940"/>
    <w:rsid w:val="006F11EC"/>
    <w:rsid w:val="0070082C"/>
    <w:rsid w:val="00701DA5"/>
    <w:rsid w:val="007134D4"/>
    <w:rsid w:val="007369E6"/>
    <w:rsid w:val="00740659"/>
    <w:rsid w:val="00746E59"/>
    <w:rsid w:val="00754C9A"/>
    <w:rsid w:val="0075599A"/>
    <w:rsid w:val="00761D52"/>
    <w:rsid w:val="0077749E"/>
    <w:rsid w:val="00790ADA"/>
    <w:rsid w:val="007C6779"/>
    <w:rsid w:val="007D2288"/>
    <w:rsid w:val="007E088F"/>
    <w:rsid w:val="007F32D6"/>
    <w:rsid w:val="007F7B32"/>
    <w:rsid w:val="008025DA"/>
    <w:rsid w:val="00804BC2"/>
    <w:rsid w:val="0081431A"/>
    <w:rsid w:val="0083216F"/>
    <w:rsid w:val="0084714E"/>
    <w:rsid w:val="008543BD"/>
    <w:rsid w:val="00860000"/>
    <w:rsid w:val="00863BD3"/>
    <w:rsid w:val="008641ED"/>
    <w:rsid w:val="00866D66"/>
    <w:rsid w:val="008671C6"/>
    <w:rsid w:val="00875803"/>
    <w:rsid w:val="0088030F"/>
    <w:rsid w:val="008B459E"/>
    <w:rsid w:val="008E13AE"/>
    <w:rsid w:val="008E1506"/>
    <w:rsid w:val="008E710C"/>
    <w:rsid w:val="008F69D6"/>
    <w:rsid w:val="00901826"/>
    <w:rsid w:val="00902823"/>
    <w:rsid w:val="00915CA6"/>
    <w:rsid w:val="00926341"/>
    <w:rsid w:val="00927834"/>
    <w:rsid w:val="009500A6"/>
    <w:rsid w:val="00957C18"/>
    <w:rsid w:val="009659BA"/>
    <w:rsid w:val="00983040"/>
    <w:rsid w:val="009A3333"/>
    <w:rsid w:val="009B202A"/>
    <w:rsid w:val="009B2257"/>
    <w:rsid w:val="009B3FB9"/>
    <w:rsid w:val="009B5E41"/>
    <w:rsid w:val="009C0838"/>
    <w:rsid w:val="009C2465"/>
    <w:rsid w:val="009D35A0"/>
    <w:rsid w:val="009D7EB7"/>
    <w:rsid w:val="009E048A"/>
    <w:rsid w:val="009E08E9"/>
    <w:rsid w:val="009E3DB9"/>
    <w:rsid w:val="009E6E35"/>
    <w:rsid w:val="009F01E8"/>
    <w:rsid w:val="009F09EA"/>
    <w:rsid w:val="009F0EDA"/>
    <w:rsid w:val="00A03B96"/>
    <w:rsid w:val="00A05B19"/>
    <w:rsid w:val="00A1134E"/>
    <w:rsid w:val="00A24E7E"/>
    <w:rsid w:val="00A258C3"/>
    <w:rsid w:val="00A27BE6"/>
    <w:rsid w:val="00A347C0"/>
    <w:rsid w:val="00A51431"/>
    <w:rsid w:val="00A539AD"/>
    <w:rsid w:val="00A63EC6"/>
    <w:rsid w:val="00A94063"/>
    <w:rsid w:val="00AA6219"/>
    <w:rsid w:val="00AA74E0"/>
    <w:rsid w:val="00AB3893"/>
    <w:rsid w:val="00AB703F"/>
    <w:rsid w:val="00AC6BB8"/>
    <w:rsid w:val="00AE008F"/>
    <w:rsid w:val="00B01FCD"/>
    <w:rsid w:val="00B1776C"/>
    <w:rsid w:val="00B27974"/>
    <w:rsid w:val="00B3679B"/>
    <w:rsid w:val="00B40F86"/>
    <w:rsid w:val="00B52583"/>
    <w:rsid w:val="00B52896"/>
    <w:rsid w:val="00B95236"/>
    <w:rsid w:val="00B96BD9"/>
    <w:rsid w:val="00BA1B01"/>
    <w:rsid w:val="00BA2641"/>
    <w:rsid w:val="00BB37AA"/>
    <w:rsid w:val="00BC53A0"/>
    <w:rsid w:val="00BD0A86"/>
    <w:rsid w:val="00BD70E2"/>
    <w:rsid w:val="00BE62AD"/>
    <w:rsid w:val="00BF121F"/>
    <w:rsid w:val="00BF1F80"/>
    <w:rsid w:val="00BF7B9F"/>
    <w:rsid w:val="00C0652A"/>
    <w:rsid w:val="00C12AC4"/>
    <w:rsid w:val="00C166EF"/>
    <w:rsid w:val="00C17EB0"/>
    <w:rsid w:val="00C27F5F"/>
    <w:rsid w:val="00C30A0F"/>
    <w:rsid w:val="00C365AD"/>
    <w:rsid w:val="00C37E61"/>
    <w:rsid w:val="00C56069"/>
    <w:rsid w:val="00C70F1B"/>
    <w:rsid w:val="00C71A47"/>
    <w:rsid w:val="00C7464C"/>
    <w:rsid w:val="00C85588"/>
    <w:rsid w:val="00C91DF5"/>
    <w:rsid w:val="00CC0415"/>
    <w:rsid w:val="00CD6755"/>
    <w:rsid w:val="00CD6856"/>
    <w:rsid w:val="00CE0089"/>
    <w:rsid w:val="00CE793C"/>
    <w:rsid w:val="00CF193C"/>
    <w:rsid w:val="00D029B2"/>
    <w:rsid w:val="00D173F1"/>
    <w:rsid w:val="00D307B3"/>
    <w:rsid w:val="00D74CB0"/>
    <w:rsid w:val="00D8295D"/>
    <w:rsid w:val="00DC2A65"/>
    <w:rsid w:val="00DE15F0"/>
    <w:rsid w:val="00DE34D7"/>
    <w:rsid w:val="00DE5663"/>
    <w:rsid w:val="00DE78AA"/>
    <w:rsid w:val="00E053D0"/>
    <w:rsid w:val="00E15994"/>
    <w:rsid w:val="00E3114E"/>
    <w:rsid w:val="00E31A70"/>
    <w:rsid w:val="00E35B02"/>
    <w:rsid w:val="00E45121"/>
    <w:rsid w:val="00E4566B"/>
    <w:rsid w:val="00E606E0"/>
    <w:rsid w:val="00E650A6"/>
    <w:rsid w:val="00E66496"/>
    <w:rsid w:val="00E66B35"/>
    <w:rsid w:val="00E66E10"/>
    <w:rsid w:val="00E769F6"/>
    <w:rsid w:val="00E8407C"/>
    <w:rsid w:val="00E84F3C"/>
    <w:rsid w:val="00EA012C"/>
    <w:rsid w:val="00EB2D87"/>
    <w:rsid w:val="00EC4E3E"/>
    <w:rsid w:val="00EC6A55"/>
    <w:rsid w:val="00ED0288"/>
    <w:rsid w:val="00EE214F"/>
    <w:rsid w:val="00EE2483"/>
    <w:rsid w:val="00EE52CB"/>
    <w:rsid w:val="00EF072B"/>
    <w:rsid w:val="00EF26E1"/>
    <w:rsid w:val="00EF581D"/>
    <w:rsid w:val="00EF7FD8"/>
    <w:rsid w:val="00F06F59"/>
    <w:rsid w:val="00F17988"/>
    <w:rsid w:val="00F36673"/>
    <w:rsid w:val="00F469F0"/>
    <w:rsid w:val="00F53273"/>
    <w:rsid w:val="00F755E4"/>
    <w:rsid w:val="00F77D02"/>
    <w:rsid w:val="00F86856"/>
    <w:rsid w:val="00F932E9"/>
    <w:rsid w:val="00FA5754"/>
    <w:rsid w:val="00FA7C8D"/>
    <w:rsid w:val="00FB1897"/>
    <w:rsid w:val="00FB3A86"/>
    <w:rsid w:val="00FD36C8"/>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AutoShape 2"/>
      </o:rules>
    </o:shapelayout>
  </w:shapeDefaults>
  <w:decimalSymbol w:val="."/>
  <w:listSeparator w:val=","/>
  <w14:docId w14:val="652FFD5A"/>
  <w15:docId w15:val="{28889BD3-05F6-4467-88BC-3AB153BB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9B5E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701DA5"/>
    <w:pPr>
      <w:spacing w:before="100" w:beforeAutospacing="1" w:after="100" w:afterAutospacing="1"/>
    </w:pPr>
    <w:rPr>
      <w:rFonts w:ascii="Times New Roman" w:hAnsi="Times New Roman"/>
      <w:sz w:val="24"/>
      <w:szCs w:val="24"/>
      <w:lang w:bidi="mr-IN"/>
    </w:rPr>
  </w:style>
  <w:style w:type="character" w:styleId="Strong">
    <w:name w:val="Strong"/>
    <w:basedOn w:val="DefaultParagraphFont"/>
    <w:uiPriority w:val="22"/>
    <w:qFormat/>
    <w:rsid w:val="00701DA5"/>
    <w:rPr>
      <w:b/>
      <w:bCs/>
    </w:rPr>
  </w:style>
  <w:style w:type="paragraph" w:styleId="ListParagraph">
    <w:name w:val="List Paragraph"/>
    <w:basedOn w:val="Normal"/>
    <w:uiPriority w:val="34"/>
    <w:qFormat/>
    <w:rsid w:val="00EE2483"/>
    <w:pPr>
      <w:ind w:left="720"/>
      <w:contextualSpacing/>
    </w:pPr>
  </w:style>
  <w:style w:type="paragraph" w:customStyle="1" w:styleId="pdq2pgselectionanchorcontainer">
    <w:name w:val="pdq2pg_selectionanchorcontainer"/>
    <w:basedOn w:val="Normal"/>
    <w:rsid w:val="00C56069"/>
    <w:pPr>
      <w:spacing w:before="100" w:beforeAutospacing="1" w:after="100" w:afterAutospacing="1"/>
    </w:pPr>
    <w:rPr>
      <w:rFonts w:ascii="Times New Roman" w:hAnsi="Times New Roman"/>
      <w:sz w:val="24"/>
      <w:szCs w:val="24"/>
      <w:lang w:bidi="mr-IN"/>
    </w:rPr>
  </w:style>
  <w:style w:type="character" w:styleId="UnresolvedMention">
    <w:name w:val="Unresolved Mention"/>
    <w:basedOn w:val="DefaultParagraphFont"/>
    <w:uiPriority w:val="99"/>
    <w:semiHidden/>
    <w:unhideWhenUsed/>
    <w:rsid w:val="0088030F"/>
    <w:rPr>
      <w:color w:val="605E5C"/>
      <w:shd w:val="clear" w:color="auto" w:fill="E1DFDD"/>
    </w:rPr>
  </w:style>
  <w:style w:type="character" w:customStyle="1" w:styleId="Heading2Char">
    <w:name w:val="Heading 2 Char"/>
    <w:basedOn w:val="DefaultParagraphFont"/>
    <w:link w:val="Heading2"/>
    <w:semiHidden/>
    <w:rsid w:val="009B5E4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19943730">
      <w:bodyDiv w:val="1"/>
      <w:marLeft w:val="0"/>
      <w:marRight w:val="0"/>
      <w:marTop w:val="0"/>
      <w:marBottom w:val="0"/>
      <w:divBdr>
        <w:top w:val="none" w:sz="0" w:space="0" w:color="auto"/>
        <w:left w:val="none" w:sz="0" w:space="0" w:color="auto"/>
        <w:bottom w:val="none" w:sz="0" w:space="0" w:color="auto"/>
        <w:right w:val="none" w:sz="0" w:space="0" w:color="auto"/>
      </w:divBdr>
    </w:div>
    <w:div w:id="774986572">
      <w:bodyDiv w:val="1"/>
      <w:marLeft w:val="0"/>
      <w:marRight w:val="0"/>
      <w:marTop w:val="0"/>
      <w:marBottom w:val="0"/>
      <w:divBdr>
        <w:top w:val="none" w:sz="0" w:space="0" w:color="auto"/>
        <w:left w:val="none" w:sz="0" w:space="0" w:color="auto"/>
        <w:bottom w:val="none" w:sz="0" w:space="0" w:color="auto"/>
        <w:right w:val="none" w:sz="0" w:space="0" w:color="auto"/>
      </w:divBdr>
    </w:div>
    <w:div w:id="878275785">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23950771">
      <w:bodyDiv w:val="1"/>
      <w:marLeft w:val="0"/>
      <w:marRight w:val="0"/>
      <w:marTop w:val="0"/>
      <w:marBottom w:val="0"/>
      <w:divBdr>
        <w:top w:val="none" w:sz="0" w:space="0" w:color="auto"/>
        <w:left w:val="none" w:sz="0" w:space="0" w:color="auto"/>
        <w:bottom w:val="none" w:sz="0" w:space="0" w:color="auto"/>
        <w:right w:val="none" w:sz="0" w:space="0" w:color="auto"/>
      </w:divBdr>
    </w:div>
    <w:div w:id="1459645934">
      <w:bodyDiv w:val="1"/>
      <w:marLeft w:val="0"/>
      <w:marRight w:val="0"/>
      <w:marTop w:val="0"/>
      <w:marBottom w:val="0"/>
      <w:divBdr>
        <w:top w:val="none" w:sz="0" w:space="0" w:color="auto"/>
        <w:left w:val="none" w:sz="0" w:space="0" w:color="auto"/>
        <w:bottom w:val="none" w:sz="0" w:space="0" w:color="auto"/>
        <w:right w:val="none" w:sz="0" w:space="0" w:color="auto"/>
      </w:divBdr>
    </w:div>
    <w:div w:id="1478914973">
      <w:bodyDiv w:val="1"/>
      <w:marLeft w:val="0"/>
      <w:marRight w:val="0"/>
      <w:marTop w:val="0"/>
      <w:marBottom w:val="0"/>
      <w:divBdr>
        <w:top w:val="none" w:sz="0" w:space="0" w:color="auto"/>
        <w:left w:val="none" w:sz="0" w:space="0" w:color="auto"/>
        <w:bottom w:val="none" w:sz="0" w:space="0" w:color="auto"/>
        <w:right w:val="none" w:sz="0" w:space="0" w:color="auto"/>
      </w:divBdr>
    </w:div>
    <w:div w:id="1642618370">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82478279">
      <w:bodyDiv w:val="1"/>
      <w:marLeft w:val="0"/>
      <w:marRight w:val="0"/>
      <w:marTop w:val="0"/>
      <w:marBottom w:val="0"/>
      <w:divBdr>
        <w:top w:val="none" w:sz="0" w:space="0" w:color="auto"/>
        <w:left w:val="none" w:sz="0" w:space="0" w:color="auto"/>
        <w:bottom w:val="none" w:sz="0" w:space="0" w:color="auto"/>
        <w:right w:val="none" w:sz="0" w:space="0" w:color="auto"/>
      </w:divBdr>
    </w:div>
    <w:div w:id="1920213312">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9028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8629/mjms.v26i2.183" TargetMode="External"/><Relationship Id="rId26" Type="http://schemas.openxmlformats.org/officeDocument/2006/relationships/hyperlink" Target="https://doi.org/10.1038/35012228" TargetMode="External"/><Relationship Id="rId39" Type="http://schemas.openxmlformats.org/officeDocument/2006/relationships/hyperlink" Target="https://doi.org/10.1007/s00114-019-1655-4" TargetMode="External"/><Relationship Id="rId21" Type="http://schemas.openxmlformats.org/officeDocument/2006/relationships/hyperlink" Target="https://doi.org/10.1093/zoolinnean/zlae052" TargetMode="External"/><Relationship Id="rId34" Type="http://schemas.openxmlformats.org/officeDocument/2006/relationships/hyperlink" Target="https://doi.org/10.1111/brv.12480" TargetMode="External"/><Relationship Id="rId42" Type="http://schemas.openxmlformats.org/officeDocument/2006/relationships/hyperlink" Target="https://zsi.gov.in/handbook-and-pictorial-guides-book-toc?book_id=005&amp;book_title=Handbook+Freshwater+Molluscs+of+India&amp;type=hpg" TargetMode="Externa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1007/s11756-025-01907-6" TargetMode="External"/><Relationship Id="rId11" Type="http://schemas.openxmlformats.org/officeDocument/2006/relationships/footer" Target="footer2.xml"/><Relationship Id="rId24" Type="http://schemas.openxmlformats.org/officeDocument/2006/relationships/hyperlink" Target="https://doi.org/10.1111/oik.09157" TargetMode="External"/><Relationship Id="rId32" Type="http://schemas.openxmlformats.org/officeDocument/2006/relationships/hyperlink" Target="https://doi.org/10.56557/joban/2026/v18i210912" TargetMode="External"/><Relationship Id="rId37" Type="http://schemas.openxmlformats.org/officeDocument/2006/relationships/hyperlink" Target="https://doi.org/10.1038/163688a0" TargetMode="External"/><Relationship Id="rId40" Type="http://schemas.openxmlformats.org/officeDocument/2006/relationships/hyperlink" Target="https://doi.org/10.1007/s10750-007-9012-6" TargetMode="External"/><Relationship Id="rId45" Type="http://schemas.openxmlformats.org/officeDocument/2006/relationships/hyperlink" Target="https://doi.org/10.1007/s11284-016-1395-2"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111/j.1466-822X.2005.00147.x" TargetMode="External"/><Relationship Id="rId28" Type="http://schemas.openxmlformats.org/officeDocument/2006/relationships/hyperlink" Target="https://doi.org/10.1007/BF01867203" TargetMode="External"/><Relationship Id="rId36" Type="http://schemas.openxmlformats.org/officeDocument/2006/relationships/hyperlink" Target="https://doi.org/10.1002/j.1538-7305.1948.tb01338.x" TargetMode="External"/><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doi.org/10.1080/14888386.2024.2410013" TargetMode="External"/><Relationship Id="rId31" Type="http://schemas.openxmlformats.org/officeDocument/2006/relationships/hyperlink" Target="https://doi.org/10.9734/jsrr/2025/v31i103561" TargetMode="External"/><Relationship Id="rId44" Type="http://schemas.openxmlformats.org/officeDocument/2006/relationships/hyperlink" Target="https://doi.org/10.1007/s10750-017-3139-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73/pnas.0803524105" TargetMode="External"/><Relationship Id="rId27" Type="http://schemas.openxmlformats.org/officeDocument/2006/relationships/hyperlink" Target="https://doi.org/10.1093/mollus/eym029" TargetMode="External"/><Relationship Id="rId30" Type="http://schemas.openxmlformats.org/officeDocument/2006/relationships/hyperlink" Target="https://doi.org/10.1093/jue/juab035" TargetMode="External"/><Relationship Id="rId35" Type="http://schemas.openxmlformats.org/officeDocument/2006/relationships/hyperlink" Target="https://doi.org/10.1038/nature03339" TargetMode="External"/><Relationship Id="rId43" Type="http://schemas.openxmlformats.org/officeDocument/2006/relationships/hyperlink" Target="https://www.unep.org/resources/report/convention-biological-diversity-june-1992" TargetMode="External"/><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biodiversityjournal.com/pdf/2_9-12.pdf" TargetMode="External"/><Relationship Id="rId25" Type="http://schemas.openxmlformats.org/officeDocument/2006/relationships/hyperlink" Target="https://doi.org/10.3906/zoo-1212-23" TargetMode="External"/><Relationship Id="rId33" Type="http://schemas.openxmlformats.org/officeDocument/2006/relationships/hyperlink" Target="https://doi.org/10.18782/2320-7051.2381" TargetMode="External"/><Relationship Id="rId38" Type="http://schemas.openxmlformats.org/officeDocument/2006/relationships/hyperlink" Target="https://doi.org/10.11609/jott.7144.13.5.18237-18246" TargetMode="External"/><Relationship Id="rId46" Type="http://schemas.openxmlformats.org/officeDocument/2006/relationships/hyperlink" Target="https://doi.org/10.1111/brv.12878" TargetMode="External"/><Relationship Id="rId20" Type="http://schemas.openxmlformats.org/officeDocument/2006/relationships/hyperlink" Target="https://doi.org/10.1007/s10750-007-9246-3" TargetMode="External"/><Relationship Id="rId41" Type="http://schemas.openxmlformats.org/officeDocument/2006/relationships/hyperlink" Target="https://doi.org/10.3126/on.v1i1.294"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63EDF-3EB5-45D7-871B-E9CB5FC6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193</TotalTime>
  <Pages>12</Pages>
  <Words>4415</Words>
  <Characters>25171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29527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58</cp:revision>
  <cp:lastPrinted>1999-07-06T11:00:00Z</cp:lastPrinted>
  <dcterms:created xsi:type="dcterms:W3CDTF">2026-07-10T03:19:00Z</dcterms:created>
  <dcterms:modified xsi:type="dcterms:W3CDTF">2026-10-12T08:31:00Z</dcterms:modified>
</cp:coreProperties>
</file>