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43F58" w14:textId="77777777" w:rsidR="00565C45" w:rsidRPr="00C84177" w:rsidRDefault="00D05D54" w:rsidP="003C03D9">
      <w:pPr>
        <w:jc w:val="center"/>
        <w:rPr>
          <w:rFonts w:ascii="Times New Roman" w:hAnsi="Times New Roman" w:cs="Times New Roman"/>
          <w:b/>
          <w:bCs/>
          <w:sz w:val="28"/>
          <w:szCs w:val="28"/>
        </w:rPr>
      </w:pPr>
      <w:r w:rsidRPr="00F27AA9">
        <w:rPr>
          <w:rFonts w:ascii="Times New Roman" w:hAnsi="Times New Roman" w:cs="Times New Roman"/>
          <w:b/>
          <w:bCs/>
          <w:sz w:val="28"/>
          <w:szCs w:val="28"/>
        </w:rPr>
        <w:t>Host-plant associations of moths across agro-ecosystem landscapes of Central Uttar Pradesh, India</w:t>
      </w:r>
    </w:p>
    <w:p w14:paraId="73EF02FC" w14:textId="77777777" w:rsidR="00BE06F0" w:rsidRPr="00F27AA9" w:rsidRDefault="00BE06F0" w:rsidP="00074B3B">
      <w:pPr>
        <w:spacing w:before="100" w:beforeAutospacing="1" w:after="100" w:afterAutospacing="1" w:line="360" w:lineRule="auto"/>
        <w:jc w:val="center"/>
        <w:rPr>
          <w:rFonts w:ascii="Times New Roman" w:eastAsia="Times New Roman" w:hAnsi="Times New Roman" w:cs="Times New Roman"/>
          <w:b/>
          <w:bCs/>
          <w:kern w:val="0"/>
          <w:sz w:val="28"/>
          <w:szCs w:val="28"/>
          <w:lang w:val="en-US" w:bidi="hi-IN"/>
          <w14:ligatures w14:val="none"/>
        </w:rPr>
      </w:pPr>
      <w:r w:rsidRPr="00F27AA9">
        <w:rPr>
          <w:rFonts w:ascii="Times New Roman" w:eastAsia="Times New Roman" w:hAnsi="Times New Roman" w:cs="Times New Roman"/>
          <w:b/>
          <w:bCs/>
          <w:kern w:val="0"/>
          <w:sz w:val="28"/>
          <w:szCs w:val="28"/>
          <w:lang w:val="en-US" w:bidi="hi-IN"/>
          <w14:ligatures w14:val="none"/>
        </w:rPr>
        <w:t>Abstract</w:t>
      </w:r>
    </w:p>
    <w:p w14:paraId="33526C97" w14:textId="027E9762" w:rsidR="00BE06F0" w:rsidRPr="00F27AA9" w:rsidRDefault="00FD1696" w:rsidP="0019772C">
      <w:pPr>
        <w:pStyle w:val="NormalWeb"/>
        <w:spacing w:before="0" w:beforeAutospacing="0" w:after="0" w:afterAutospacing="0" w:line="360" w:lineRule="auto"/>
        <w:ind w:firstLine="720"/>
        <w:jc w:val="both"/>
      </w:pPr>
      <w:r w:rsidRPr="00FD1696">
        <w:rPr>
          <w:lang w:val="en-IN"/>
        </w:rPr>
        <w:t xml:space="preserve">This study documented moth diversity and host-plant associations across selected agricultural and associated habitats of Central and Northern Uttar Pradesh, India. </w:t>
      </w:r>
      <w:r w:rsidR="00BE06F0">
        <w:t xml:space="preserve">The present study was conducted to document moth diversity and host-plant associations across selected agricultural and associated habitats of Central and Northern Uttar Pradesh, India. Field observations and collections were carried out </w:t>
      </w:r>
      <w:r w:rsidR="00BE06F0">
        <w:rPr>
          <w:highlight w:val="yellow"/>
        </w:rPr>
        <w:t>at</w:t>
      </w:r>
      <w:r w:rsidR="00BE06F0">
        <w:t xml:space="preserve"> representative localities </w:t>
      </w:r>
      <w:r w:rsidR="00BE06F0">
        <w:rPr>
          <w:highlight w:val="yellow"/>
        </w:rPr>
        <w:t>in</w:t>
      </w:r>
      <w:r w:rsidR="00BE06F0">
        <w:t xml:space="preserve"> Kanpur, Lucknow, and Lakhimpur Kheri, covering agricultural fields, experimental farms, forestry areas, and associated habitats. Adult moths and larvae were recorded through direct field searches, handpicking, and crop inspections, while host plants were identified from observed larval feeding associations and verified using botanical references. A total of 34 moth species associated with 33 unique host-plant species belonging to 16 plant families were documented. Crambidae, Noctuidae, and Erebidae represented prominent components of the recorded fauna. Host utili</w:t>
      </w:r>
      <w:r w:rsidR="00BE06F0">
        <w:rPr>
          <w:highlight w:val="yellow"/>
        </w:rPr>
        <w:t>s</w:t>
      </w:r>
      <w:r w:rsidR="00BE06F0">
        <w:t xml:space="preserve">ation varied considerably among species, ranging from relatively host-restricted associations to broad polyphagy. </w:t>
      </w:r>
      <w:r w:rsidR="00BE06F0">
        <w:rPr>
          <w:rStyle w:val="Emphasis"/>
        </w:rPr>
        <w:t>Helicoverpa armigera</w:t>
      </w:r>
      <w:r w:rsidR="00BE06F0">
        <w:t xml:space="preserve"> exhibited the broadest host range, utili</w:t>
      </w:r>
      <w:r w:rsidR="00BE06F0">
        <w:rPr>
          <w:highlight w:val="yellow"/>
        </w:rPr>
        <w:t>s</w:t>
      </w:r>
      <w:r w:rsidR="00BE06F0">
        <w:t xml:space="preserve">ing six crop species belonging to Fabaceae, Poaceae, and Solanaceae. Other economically important species, including </w:t>
      </w:r>
      <w:r w:rsidR="00BE06F0">
        <w:rPr>
          <w:rStyle w:val="Emphasis"/>
        </w:rPr>
        <w:t>Spodoptera litura</w:t>
      </w:r>
      <w:r w:rsidR="00BE06F0">
        <w:t xml:space="preserve">, </w:t>
      </w:r>
      <w:r w:rsidR="00BE06F0">
        <w:rPr>
          <w:rStyle w:val="Emphasis"/>
        </w:rPr>
        <w:t>Spoladea recurvalis</w:t>
      </w:r>
      <w:r w:rsidR="00BE06F0">
        <w:t xml:space="preserve">, </w:t>
      </w:r>
      <w:r w:rsidR="00BE06F0">
        <w:rPr>
          <w:rStyle w:val="Emphasis"/>
        </w:rPr>
        <w:t>Leucinodes orbonalis</w:t>
      </w:r>
      <w:r w:rsidR="00BE06F0">
        <w:t xml:space="preserve">, </w:t>
      </w:r>
      <w:r w:rsidR="00BE06F0">
        <w:rPr>
          <w:rStyle w:val="Emphasis"/>
        </w:rPr>
        <w:t>Cnaphalocrocis medinalis</w:t>
      </w:r>
      <w:r w:rsidR="00BE06F0">
        <w:t xml:space="preserve">, and </w:t>
      </w:r>
      <w:r w:rsidR="00BE06F0">
        <w:rPr>
          <w:rStyle w:val="Emphasis"/>
        </w:rPr>
        <w:t>Scirpophaga incertulas</w:t>
      </w:r>
      <w:r w:rsidR="00BE06F0">
        <w:t>, showed distinct patterns of host utili</w:t>
      </w:r>
      <w:r w:rsidR="00BE06F0">
        <w:rPr>
          <w:highlight w:val="yellow"/>
        </w:rPr>
        <w:t>s</w:t>
      </w:r>
      <w:r w:rsidR="00BE06F0">
        <w:t>ation. The study provides baseline information on moth–host</w:t>
      </w:r>
      <w:r w:rsidR="00BE06F0">
        <w:rPr>
          <w:highlight w:val="yellow"/>
        </w:rPr>
        <w:t>-</w:t>
      </w:r>
      <w:r w:rsidR="00BE06F0">
        <w:t>plant relationships and highlights their ecological and agricultural significance for future biodiversity assessment, pest monitoring, and integrated pest management in Uttar Pradesh.</w:t>
      </w:r>
    </w:p>
    <w:p w14:paraId="3CEB4305" w14:textId="2876E98A" w:rsidR="00D31C8F" w:rsidRDefault="00BE06F0" w:rsidP="00D31C8F">
      <w:pPr>
        <w:pStyle w:val="Heading3"/>
        <w:spacing w:before="0" w:beforeAutospacing="0" w:after="0" w:afterAutospacing="0" w:line="360" w:lineRule="auto"/>
        <w:rPr>
          <w:b w:val="0"/>
          <w:bCs w:val="0"/>
          <w:sz w:val="24"/>
          <w:szCs w:val="24"/>
          <w:lang w:val="en-IN"/>
        </w:rPr>
      </w:pPr>
      <w:r w:rsidRPr="00F27AA9">
        <w:rPr>
          <w:sz w:val="24"/>
          <w:szCs w:val="24"/>
        </w:rPr>
        <w:t>Keywords</w:t>
      </w:r>
      <w:r w:rsidR="00553EFF" w:rsidRPr="00F27AA9">
        <w:rPr>
          <w:sz w:val="24"/>
          <w:szCs w:val="24"/>
        </w:rPr>
        <w:t xml:space="preserve"> </w:t>
      </w:r>
      <w:r w:rsidR="00D31C8F" w:rsidRPr="00D31C8F">
        <w:rPr>
          <w:b w:val="0"/>
          <w:bCs w:val="0"/>
          <w:sz w:val="24"/>
          <w:szCs w:val="24"/>
          <w:lang w:val="en-IN"/>
        </w:rPr>
        <w:t xml:space="preserve">Moth diversity; Host-plant associations; </w:t>
      </w:r>
      <w:proofErr w:type="spellStart"/>
      <w:r w:rsidR="00D31C8F" w:rsidRPr="00D31C8F">
        <w:rPr>
          <w:b w:val="0"/>
          <w:bCs w:val="0"/>
          <w:sz w:val="24"/>
          <w:szCs w:val="24"/>
          <w:lang w:val="en-IN"/>
        </w:rPr>
        <w:t>Agro</w:t>
      </w:r>
      <w:proofErr w:type="spellEnd"/>
      <w:r w:rsidR="00D31C8F" w:rsidRPr="00D31C8F">
        <w:rPr>
          <w:b w:val="0"/>
          <w:bCs w:val="0"/>
          <w:sz w:val="24"/>
          <w:szCs w:val="24"/>
          <w:lang w:val="en-IN"/>
        </w:rPr>
        <w:t xml:space="preserve">-ecosystems; Lepidoptera; Phytophagous insects; </w:t>
      </w:r>
      <w:proofErr w:type="spellStart"/>
      <w:r w:rsidR="00D31C8F" w:rsidRPr="00D31C8F">
        <w:rPr>
          <w:b w:val="0"/>
          <w:bCs w:val="0"/>
          <w:sz w:val="24"/>
          <w:szCs w:val="24"/>
          <w:lang w:val="en-IN"/>
        </w:rPr>
        <w:t>Polyphagy</w:t>
      </w:r>
      <w:proofErr w:type="spellEnd"/>
      <w:r w:rsidR="00D31C8F" w:rsidRPr="00D31C8F">
        <w:rPr>
          <w:b w:val="0"/>
          <w:bCs w:val="0"/>
          <w:sz w:val="24"/>
          <w:szCs w:val="24"/>
          <w:lang w:val="en-IN"/>
        </w:rPr>
        <w:t xml:space="preserve">; Crop pests; Integrated pest management; Agricultural landscapes </w:t>
      </w:r>
    </w:p>
    <w:p w14:paraId="75B90F66" w14:textId="32608C18" w:rsidR="00A40A35" w:rsidRPr="00F27AA9" w:rsidRDefault="00A40A35" w:rsidP="00D31C8F">
      <w:pPr>
        <w:pStyle w:val="Heading3"/>
        <w:spacing w:before="0" w:beforeAutospacing="0" w:after="0" w:afterAutospacing="0" w:line="360" w:lineRule="auto"/>
        <w:rPr>
          <w:b w:val="0"/>
          <w:bCs w:val="0"/>
          <w:color w:val="000000" w:themeColor="text1"/>
          <w:sz w:val="28"/>
          <w:szCs w:val="28"/>
          <w:shd w:val="clear" w:color="auto" w:fill="FFFFFF"/>
        </w:rPr>
      </w:pPr>
      <w:r w:rsidRPr="00F27AA9">
        <w:rPr>
          <w:color w:val="000000" w:themeColor="text1"/>
          <w:sz w:val="28"/>
          <w:szCs w:val="28"/>
          <w:shd w:val="clear" w:color="auto" w:fill="FFFFFF"/>
        </w:rPr>
        <w:t>Introduction</w:t>
      </w:r>
    </w:p>
    <w:p w14:paraId="5790C5D9" w14:textId="77777777" w:rsidR="00B366A9" w:rsidRPr="00137512" w:rsidRDefault="00B366A9" w:rsidP="003C03D9">
      <w:pPr>
        <w:pStyle w:val="NormalWeb"/>
        <w:spacing w:before="0" w:beforeAutospacing="0" w:after="0" w:afterAutospacing="0" w:line="360" w:lineRule="auto"/>
        <w:ind w:firstLine="720"/>
        <w:jc w:val="both"/>
        <w:rPr>
          <w:bCs/>
          <w:color w:val="222222"/>
          <w:shd w:val="clear" w:color="auto" w:fill="FFFFFF"/>
        </w:rPr>
      </w:pPr>
      <w:r>
        <w:t>Moths constitute one of the most diverse groups of insects within the order Lepidoptera and occupy important ecological roles in terrestrial ecosystems</w:t>
      </w:r>
      <w:r>
        <w:rPr>
          <w:highlight w:val="yellow"/>
        </w:rPr>
        <w:t xml:space="preserve"> (Goldstein, 2017)</w:t>
      </w:r>
      <w:r>
        <w:t>. Globally, more than 160,000 moth species have been described</w:t>
      </w:r>
      <w:r>
        <w:rPr>
          <w:highlight w:val="yellow"/>
        </w:rPr>
        <w:t>.</w:t>
      </w:r>
      <w:r>
        <w:t xml:space="preserve"> Additionally, India supports a remarkably rich moth fauna, with more than 12,000 species reported from different </w:t>
      </w:r>
      <w:r>
        <w:lastRenderedPageBreak/>
        <w:t>geographical regions and habitat types (Mathew et al.</w:t>
      </w:r>
      <w:r>
        <w:rPr>
          <w:highlight w:val="yellow"/>
        </w:rPr>
        <w:t>,</w:t>
      </w:r>
      <w:r>
        <w:t xml:space="preserve"> 2018</w:t>
      </w:r>
      <w:r>
        <w:rPr>
          <w:highlight w:val="yellow"/>
        </w:rPr>
        <w:t>;</w:t>
      </w:r>
      <w:r>
        <w:t xml:space="preserve"> Heppner</w:t>
      </w:r>
      <w:r>
        <w:rPr>
          <w:highlight w:val="yellow"/>
        </w:rPr>
        <w:t>,</w:t>
      </w:r>
      <w:r>
        <w:t xml:space="preserve"> 2008). </w:t>
      </w:r>
      <w:r>
        <w:rPr>
          <w:highlight w:val="yellow"/>
        </w:rPr>
        <w:t>M</w:t>
      </w:r>
      <w:r>
        <w:t>oth</w:t>
      </w:r>
      <w:r>
        <w:rPr>
          <w:highlight w:val="yellow"/>
        </w:rPr>
        <w:t>s</w:t>
      </w:r>
      <w:r>
        <w:t xml:space="preserve"> represent one of the most diverse groups of phytophagous insects globally, playing crucial roles as pollinators, herbivores, and key components of terrestrial food webs (Hailay</w:t>
      </w:r>
      <w:r>
        <w:rPr>
          <w:highlight w:val="yellow"/>
        </w:rPr>
        <w:t xml:space="preserve"> Gebremariam,</w:t>
      </w:r>
      <w:r>
        <w:t xml:space="preserve"> 2024; Verma et al.</w:t>
      </w:r>
      <w:r>
        <w:rPr>
          <w:highlight w:val="yellow"/>
        </w:rPr>
        <w:t>,</w:t>
      </w:r>
      <w:r>
        <w:t xml:space="preserve"> 2023; Rajendran </w:t>
      </w:r>
      <w:r>
        <w:rPr>
          <w:highlight w:val="yellow"/>
        </w:rPr>
        <w:t>&amp;</w:t>
      </w:r>
      <w:r>
        <w:t xml:space="preserve"> Singh, 2016</w:t>
      </w:r>
      <w:r>
        <w:rPr>
          <w:highlight w:val="yellow"/>
        </w:rPr>
        <w:t>;</w:t>
      </w:r>
      <w:r>
        <w:t xml:space="preserve"> Jaenike</w:t>
      </w:r>
      <w:r>
        <w:rPr>
          <w:highlight w:val="yellow"/>
        </w:rPr>
        <w:t>,</w:t>
      </w:r>
      <w:r>
        <w:t xml:space="preserve"> 1990). Insects play a pivotal role in global ecosystems, agriculture, human society, and animal health </w:t>
      </w:r>
      <w:r>
        <w:rPr>
          <w:highlight w:val="yellow"/>
        </w:rPr>
        <w:t>beca</w:t>
      </w:r>
      <w:r>
        <w:t>u</w:t>
      </w:r>
      <w:r>
        <w:rPr>
          <w:highlight w:val="yellow"/>
        </w:rPr>
        <w:t>s</w:t>
      </w:r>
      <w:r>
        <w:t>e o</w:t>
      </w:r>
      <w:r>
        <w:rPr>
          <w:highlight w:val="yellow"/>
        </w:rPr>
        <w:t>f</w:t>
      </w:r>
      <w:r>
        <w:t xml:space="preserve"> their immense diversity and </w:t>
      </w:r>
      <w:r>
        <w:rPr>
          <w:highlight w:val="yellow"/>
        </w:rPr>
        <w:t xml:space="preserve">contributions to </w:t>
      </w:r>
      <w:r>
        <w:t>natural resource</w:t>
      </w:r>
      <w:r>
        <w:rPr>
          <w:highlight w:val="yellow"/>
        </w:rPr>
        <w:t>s</w:t>
      </w:r>
      <w:r>
        <w:t xml:space="preserve"> </w:t>
      </w:r>
      <w:r>
        <w:rPr>
          <w:highlight w:val="yellow"/>
        </w:rPr>
        <w:t>(</w:t>
      </w:r>
      <w:r>
        <w:t>Khan et al.</w:t>
      </w:r>
      <w:r>
        <w:rPr>
          <w:highlight w:val="yellow"/>
        </w:rPr>
        <w:t>,</w:t>
      </w:r>
      <w:r>
        <w:t xml:space="preserve"> 2023; Wagner et al.</w:t>
      </w:r>
      <w:r>
        <w:rPr>
          <w:highlight w:val="yellow"/>
        </w:rPr>
        <w:t>,</w:t>
      </w:r>
      <w:r>
        <w:t xml:space="preserve"> 2021)</w:t>
      </w:r>
      <w:r>
        <w:rPr>
          <w:highlight w:val="yellow"/>
        </w:rPr>
        <w:t>.</w:t>
      </w:r>
      <w:r>
        <w:t xml:space="preserve"> </w:t>
      </w:r>
      <w:r>
        <w:rPr>
          <w:highlight w:val="yellow"/>
        </w:rPr>
        <w:t>M</w:t>
      </w:r>
      <w:r>
        <w:t>oths</w:t>
      </w:r>
      <w:r>
        <w:rPr>
          <w:highlight w:val="yellow"/>
        </w:rPr>
        <w:t>,</w:t>
      </w:r>
      <w:r>
        <w:t xml:space="preserve"> as one of the most diverse and widespread groups of organisms on Earth, play fundamental roles in terrestrial ecosystems and provide important ecological services through their interactions with plants and other organisms (Khan et al., 2023; New, 2023). Moths contribute to ecosystem functioning as herbivores, pollinators, decomposers, and prey for a variety of organisms (Upadhyay et al.</w:t>
      </w:r>
      <w:r>
        <w:rPr>
          <w:highlight w:val="yellow"/>
        </w:rPr>
        <w:t>,</w:t>
      </w:r>
      <w:r>
        <w:t xml:space="preserve"> 2025; Pradhan et al.</w:t>
      </w:r>
      <w:r>
        <w:rPr>
          <w:highlight w:val="yellow"/>
        </w:rPr>
        <w:t>,</w:t>
      </w:r>
      <w:r>
        <w:t xml:space="preserve"> 2024</w:t>
      </w:r>
      <w:r>
        <w:rPr>
          <w:highlight w:val="yellow"/>
        </w:rPr>
        <w:t>;</w:t>
      </w:r>
      <w:r>
        <w:t xml:space="preserve"> Uniyal et al.</w:t>
      </w:r>
      <w:r>
        <w:rPr>
          <w:highlight w:val="yellow"/>
        </w:rPr>
        <w:t>,</w:t>
      </w:r>
      <w:r>
        <w:t xml:space="preserve"> 2016). Their larvae, in particular, exhibit diverse feeding habits and utili</w:t>
      </w:r>
      <w:r>
        <w:rPr>
          <w:highlight w:val="yellow"/>
        </w:rPr>
        <w:t>s</w:t>
      </w:r>
      <w:r>
        <w:t>e a wide range of plant species, making moth–plant interactions an important component of terrestrial biodiversity (Wright et al.</w:t>
      </w:r>
      <w:r>
        <w:rPr>
          <w:highlight w:val="yellow"/>
        </w:rPr>
        <w:t>,</w:t>
      </w:r>
      <w:r>
        <w:t xml:space="preserve"> 2026; Sanyal &amp; Uniyal, 2015; Menken et al.</w:t>
      </w:r>
      <w:r>
        <w:rPr>
          <w:highlight w:val="yellow"/>
        </w:rPr>
        <w:t>,</w:t>
      </w:r>
      <w:r>
        <w:t xml:space="preserve"> 2010). </w:t>
      </w:r>
      <w:r w:rsidRPr="00137512">
        <w:rPr>
          <w:bCs/>
          <w:highlight w:val="yellow"/>
        </w:rPr>
        <w:t>Recent landscape-scale analyses further show that Lepidoptera–plant interaction structure varies with environmental and land-cover gradients, supporting the value of spatially explicit host records (Ho &amp; Altermatt, 2024).</w:t>
      </w:r>
    </w:p>
    <w:p w14:paraId="6802F12B" w14:textId="77777777" w:rsidR="0077661F" w:rsidRPr="00137512" w:rsidRDefault="00AA2296" w:rsidP="00AA2296">
      <w:pPr>
        <w:pStyle w:val="NormalWeb"/>
        <w:spacing w:line="360" w:lineRule="auto"/>
        <w:ind w:firstLine="720"/>
        <w:jc w:val="both"/>
        <w:rPr>
          <w:bCs/>
        </w:rPr>
      </w:pPr>
      <w:r>
        <w:t>In Northern India, Uttar Pradesh comprises highly fertile and intensively cultivated agricultural landscapes characteri</w:t>
      </w:r>
      <w:r>
        <w:rPr>
          <w:highlight w:val="yellow"/>
        </w:rPr>
        <w:t>s</w:t>
      </w:r>
      <w:r>
        <w:t xml:space="preserve">ed by diverse cropping systems, including rice, wheat, sugarcane, pulses, oilseeds, vegetables, and horticultural crops (Singh, 2012; Singh </w:t>
      </w:r>
      <w:r>
        <w:rPr>
          <w:i/>
          <w:iCs/>
        </w:rPr>
        <w:t>et al</w:t>
      </w:r>
      <w:r>
        <w:t>., 2011</w:t>
      </w:r>
      <w:r>
        <w:rPr>
          <w:highlight w:val="yellow"/>
        </w:rPr>
        <w:t>;</w:t>
      </w:r>
      <w:r>
        <w:t xml:space="preserve"> Das, 2006</w:t>
      </w:r>
      <w:r>
        <w:rPr>
          <w:highlight w:val="yellow"/>
        </w:rPr>
        <w:t>; Prasad et al., 2025</w:t>
      </w:r>
      <w:r>
        <w:t>). These agricultural ecosystems, together with associated forestry and semi-natural habitats, provide a wide range of resources for moth species (</w:t>
      </w:r>
      <w:r>
        <w:rPr>
          <w:color w:val="222222"/>
          <w:shd w:val="clear" w:color="auto" w:fill="FFFFFF"/>
        </w:rPr>
        <w:t xml:space="preserve">Kennedy </w:t>
      </w:r>
      <w:r>
        <w:rPr>
          <w:i/>
          <w:iCs/>
          <w:color w:val="222222"/>
          <w:shd w:val="clear" w:color="auto" w:fill="FFFFFF"/>
        </w:rPr>
        <w:t>et al</w:t>
      </w:r>
      <w:r>
        <w:rPr>
          <w:color w:val="222222"/>
          <w:shd w:val="clear" w:color="auto" w:fill="FFFFFF"/>
        </w:rPr>
        <w:t>.</w:t>
      </w:r>
      <w:r>
        <w:rPr>
          <w:color w:val="222222"/>
          <w:highlight w:val="yellow"/>
          <w:shd w:val="clear" w:color="auto" w:fill="FFFFFF"/>
        </w:rPr>
        <w:t>,</w:t>
      </w:r>
      <w:r>
        <w:rPr>
          <w:color w:val="222222"/>
          <w:shd w:val="clear" w:color="auto" w:fill="FFFFFF"/>
        </w:rPr>
        <w:t xml:space="preserve"> 2026;</w:t>
      </w:r>
      <w:r>
        <w:rPr>
          <w:rFonts w:ascii="Arial" w:hAnsi="Arial" w:cs="Arial"/>
          <w:color w:val="222222"/>
          <w:shd w:val="clear" w:color="auto" w:fill="FFFFFF"/>
        </w:rPr>
        <w:t xml:space="preserve"> </w:t>
      </w:r>
      <w:r>
        <w:rPr>
          <w:color w:val="222222"/>
          <w:shd w:val="clear" w:color="auto" w:fill="FFFFFF"/>
        </w:rPr>
        <w:t xml:space="preserve">Fetnassi </w:t>
      </w:r>
      <w:r>
        <w:rPr>
          <w:i/>
          <w:iCs/>
          <w:color w:val="222222"/>
          <w:shd w:val="clear" w:color="auto" w:fill="FFFFFF"/>
        </w:rPr>
        <w:t>et al</w:t>
      </w:r>
      <w:r>
        <w:rPr>
          <w:color w:val="222222"/>
          <w:shd w:val="clear" w:color="auto" w:fill="FFFFFF"/>
        </w:rPr>
        <w:t>.</w:t>
      </w:r>
      <w:r>
        <w:rPr>
          <w:color w:val="222222"/>
          <w:highlight w:val="yellow"/>
          <w:shd w:val="clear" w:color="auto" w:fill="FFFFFF"/>
        </w:rPr>
        <w:t>,</w:t>
      </w:r>
      <w:r>
        <w:rPr>
          <w:color w:val="222222"/>
          <w:shd w:val="clear" w:color="auto" w:fill="FFFFFF"/>
        </w:rPr>
        <w:t xml:space="preserve"> 2025)</w:t>
      </w:r>
      <w:r>
        <w:rPr>
          <w:color w:val="222222"/>
          <w:highlight w:val="yellow"/>
          <w:shd w:val="clear" w:color="auto" w:fill="FFFFFF"/>
        </w:rPr>
        <w:t>.</w:t>
      </w:r>
      <w:r>
        <w:t xml:space="preserve"> However, information on the diversity of moths and their associated host plants remains fragmented at the local and regional levels. This study presents a structured inventory of 34 moth species collected across distinct agricultural sites in Kanpur, Lakhimpur Kheri, and adjacent regions. </w:t>
      </w:r>
      <w:r w:rsidRPr="00137512">
        <w:rPr>
          <w:bCs/>
          <w:highlight w:val="yellow"/>
        </w:rPr>
        <w:t>Recent evidence from agricultural landscapes also indicates that land-management context can substantially influence butterfly and moth diversity (Debusscher et al., 2026).</w:t>
      </w:r>
    </w:p>
    <w:p w14:paraId="53EAE892" w14:textId="77777777" w:rsidR="00F9653B" w:rsidRPr="00137512" w:rsidRDefault="00BB3990" w:rsidP="003C03D9">
      <w:pPr>
        <w:spacing w:line="360" w:lineRule="auto"/>
        <w:ind w:firstLine="720"/>
        <w:jc w:val="both"/>
        <w:rPr>
          <w:rFonts w:ascii="Times New Roman" w:hAnsi="Times New Roman" w:cs="Times New Roman"/>
          <w:bCs/>
        </w:rPr>
      </w:pPr>
      <w:r>
        <w:rPr>
          <w:rFonts w:ascii="Times New Roman" w:hAnsi="Times New Roman" w:cs="Times New Roman"/>
        </w:rPr>
        <w:t xml:space="preserve">Host association data are also relevant to pest management because host suitability is not uniform even among plants that are accepted by highly polyphagous species. Experimental studies on </w:t>
      </w:r>
      <w:r>
        <w:rPr>
          <w:rFonts w:ascii="Times New Roman" w:hAnsi="Times New Roman" w:cs="Times New Roman"/>
          <w:i/>
          <w:iCs/>
        </w:rPr>
        <w:t>Helicoverpa armigera</w:t>
      </w:r>
      <w:r>
        <w:rPr>
          <w:rFonts w:ascii="Times New Roman" w:hAnsi="Times New Roman" w:cs="Times New Roman"/>
        </w:rPr>
        <w:t xml:space="preserve"> demonstrate substantial differences in survival, development, </w:t>
      </w:r>
      <w:r>
        <w:rPr>
          <w:rFonts w:ascii="Times New Roman" w:hAnsi="Times New Roman" w:cs="Times New Roman"/>
        </w:rPr>
        <w:lastRenderedPageBreak/>
        <w:t xml:space="preserve">and reproductive performance among host crops, indicating that observed host records should be interpreted as ecological associations rather than as evidence that all hosts are equally suitable (Reigada </w:t>
      </w:r>
      <w:r>
        <w:rPr>
          <w:rFonts w:ascii="Times New Roman" w:hAnsi="Times New Roman" w:cs="Times New Roman"/>
          <w:i/>
          <w:iCs/>
        </w:rPr>
        <w:t>et al</w:t>
      </w:r>
      <w:r>
        <w:rPr>
          <w:rFonts w:ascii="Times New Roman" w:hAnsi="Times New Roman" w:cs="Times New Roman"/>
        </w:rPr>
        <w:t xml:space="preserve">., 2016). Similarly, the broad host range of </w:t>
      </w:r>
      <w:r>
        <w:rPr>
          <w:rFonts w:ascii="Times New Roman" w:hAnsi="Times New Roman" w:cs="Times New Roman"/>
          <w:i/>
          <w:iCs/>
        </w:rPr>
        <w:t>Spodoptera litura</w:t>
      </w:r>
      <w:r>
        <w:rPr>
          <w:rFonts w:ascii="Times New Roman" w:hAnsi="Times New Roman" w:cs="Times New Roman"/>
        </w:rPr>
        <w:t xml:space="preserve"> is supported by physiological and genomic mechanisms that facilitate recognition and detoxification of chemically diverse plants (Cheng </w:t>
      </w:r>
      <w:r>
        <w:rPr>
          <w:rFonts w:ascii="Times New Roman" w:hAnsi="Times New Roman" w:cs="Times New Roman"/>
          <w:i/>
          <w:iCs/>
        </w:rPr>
        <w:t>et al</w:t>
      </w:r>
      <w:r>
        <w:rPr>
          <w:rFonts w:ascii="Times New Roman" w:hAnsi="Times New Roman" w:cs="Times New Roman"/>
        </w:rPr>
        <w:t>., 2017). These findings support the value of field-based host records for identifying crop sequences and non-crop reservoirs that may sustain pest populations. Within the intensively cultivated landscapes of Uttar Pradesh, a locality-based inventory can therefore provide a useful baseline for subsequent quantitative studies of seasonal abundance, host preference, larval performance, and movement among crops. Such information is especially relevant where heterogeneous mosaics of cereals, pulses, vegetables, horticultural crops, and woody vegetation occur in close proximity.</w:t>
      </w:r>
      <w:r>
        <w:t xml:space="preserve"> </w:t>
      </w:r>
      <w:r w:rsidRPr="00137512">
        <w:rPr>
          <w:bCs/>
          <w:highlight w:val="yellow"/>
        </w:rPr>
        <w:t xml:space="preserve">Recent experimental work on </w:t>
      </w:r>
      <w:r w:rsidRPr="00137512">
        <w:rPr>
          <w:bCs/>
          <w:i/>
          <w:highlight w:val="yellow"/>
        </w:rPr>
        <w:t>Spodoptera litura</w:t>
      </w:r>
      <w:r w:rsidRPr="00137512">
        <w:rPr>
          <w:bCs/>
          <w:highlight w:val="yellow"/>
        </w:rPr>
        <w:t xml:space="preserve"> likewise shows that host plant identity affects growth and developmental traits, reinforcing the need to distinguish field occurrence from host quality (Gangavarapu et al., 2026).</w:t>
      </w:r>
    </w:p>
    <w:p w14:paraId="75E8FCBB" w14:textId="77777777" w:rsidR="00F9653B" w:rsidRPr="00137512" w:rsidRDefault="00BB3990" w:rsidP="003C03D9">
      <w:pPr>
        <w:spacing w:line="360" w:lineRule="auto"/>
        <w:ind w:firstLine="720"/>
        <w:jc w:val="both"/>
        <w:rPr>
          <w:rFonts w:ascii="Times New Roman" w:hAnsi="Times New Roman" w:cs="Times New Roman"/>
          <w:bCs/>
        </w:rPr>
      </w:pPr>
      <w:r>
        <w:rPr>
          <w:rFonts w:ascii="Times New Roman" w:hAnsi="Times New Roman" w:cs="Times New Roman"/>
        </w:rPr>
        <w:t>Host-plant breadth is a central ecological trait in Lepidoptera because larval feeding determines access to nutrients, exposure to plant defensive chemistry, and the spatial continuity of resources across a landscape. Comparative evidence across Lepidoptera indicates that host use ranges from narrow speciali</w:t>
      </w:r>
      <w:r>
        <w:rPr>
          <w:rFonts w:ascii="Times New Roman" w:hAnsi="Times New Roman" w:cs="Times New Roman"/>
          <w:highlight w:val="yellow"/>
        </w:rPr>
        <w:t>s</w:t>
      </w:r>
      <w:r>
        <w:rPr>
          <w:rFonts w:ascii="Times New Roman" w:hAnsi="Times New Roman" w:cs="Times New Roman"/>
        </w:rPr>
        <w:t>ation to broad polyphagy, and that shifts in diet breadth are associated with major evolutionary and ecological transitions in plant-feeding lineages (Menken et al., 2010). In agricultural landscapes, this variation has practical importance because dietary generalists may use multiple cultivated and non-cultivated plants through successive crop seasons, whereas specialists may be more tightly linked to the occurrence and phenology of particular host taxa. At the same time, moth responses to land use are heterogeneous, and local habitat quality, agricultural intensification, pesticide exposure, and the availability of larval host plants can influence species persistence and assemblage composition (Wagner et al., 2021). Consequently, documenting moth</w:t>
      </w:r>
      <w:r>
        <w:rPr>
          <w:rFonts w:ascii="Times New Roman" w:hAnsi="Times New Roman" w:cs="Times New Roman"/>
          <w:highlight w:val="yellow"/>
        </w:rPr>
        <w:t>–</w:t>
      </w:r>
      <w:r>
        <w:rPr>
          <w:rFonts w:ascii="Times New Roman" w:hAnsi="Times New Roman" w:cs="Times New Roman"/>
        </w:rPr>
        <w:t>host associations at local scales provides information that complements broad biodiversity inventories by linking species occurrence directly with the plant resources used by immature stages.</w:t>
      </w:r>
      <w:r>
        <w:t xml:space="preserve"> </w:t>
      </w:r>
      <w:r w:rsidRPr="00137512">
        <w:rPr>
          <w:bCs/>
          <w:highlight w:val="yellow"/>
        </w:rPr>
        <w:t>Species-level Lepidoptera–plant association datasets can also support analysis of host specialisation and interaction-network structure (Gaytán, 2026).</w:t>
      </w:r>
    </w:p>
    <w:p w14:paraId="06348E05" w14:textId="77777777" w:rsidR="00973BE2" w:rsidRDefault="00000000">
      <w:r>
        <w:rPr>
          <w:b/>
          <w:highlight w:val="yellow"/>
        </w:rPr>
        <w:lastRenderedPageBreak/>
        <w:t>Despite the ecological and pest-management relevance of these interactions, locality-specific information linking moth species with observed host plants remains limited for Central and Northern Uttar Pradesh. A structured local inventory is therefore needed to provide a baseline for later seasonal and quantitative assessment of host use.</w:t>
      </w:r>
    </w:p>
    <w:p w14:paraId="29390180" w14:textId="77777777" w:rsidR="00973BE2" w:rsidRDefault="00000000">
      <w:r>
        <w:rPr>
          <w:b/>
          <w:highlight w:val="yellow"/>
        </w:rPr>
        <w:t>Objective</w:t>
      </w:r>
    </w:p>
    <w:p w14:paraId="0AFB615F" w14:textId="77777777" w:rsidR="00973BE2" w:rsidRDefault="00000000">
      <w:r>
        <w:rPr>
          <w:b/>
          <w:highlight w:val="yellow"/>
        </w:rPr>
        <w:t>The objective is to analyse host-plant specificity, identify major polyphagous pest complexes, and establish baseline ecological data for pest management in Central and Northern Uttar Pradesh.</w:t>
      </w:r>
    </w:p>
    <w:p w14:paraId="68D33321" w14:textId="77777777" w:rsidR="00A40A35" w:rsidRPr="00F27AA9" w:rsidRDefault="00A40A35" w:rsidP="00A40A35">
      <w:pPr>
        <w:spacing w:before="100" w:beforeAutospacing="1" w:after="100" w:afterAutospacing="1" w:line="240" w:lineRule="auto"/>
        <w:outlineLvl w:val="1"/>
        <w:rPr>
          <w:rFonts w:ascii="Times New Roman" w:eastAsia="Times New Roman" w:hAnsi="Times New Roman" w:cs="Times New Roman"/>
          <w:b/>
          <w:bCs/>
          <w:kern w:val="0"/>
          <w:lang w:val="en-US" w:bidi="hi-IN"/>
          <w14:ligatures w14:val="none"/>
        </w:rPr>
      </w:pPr>
      <w:r>
        <w:rPr>
          <w:rFonts w:ascii="Times New Roman" w:eastAsia="Times New Roman" w:hAnsi="Times New Roman" w:cs="Times New Roman"/>
          <w:b/>
          <w:bCs/>
          <w:kern w:val="0"/>
          <w:lang w:val="en-US" w:bidi="hi-IN"/>
          <w14:ligatures w14:val="none"/>
        </w:rPr>
        <w:t>Materials and Methods</w:t>
      </w:r>
    </w:p>
    <w:p w14:paraId="095D6CFB" w14:textId="77777777" w:rsidR="00A40A35" w:rsidRPr="00F27AA9" w:rsidRDefault="00A40A35" w:rsidP="00CA3E02">
      <w:pPr>
        <w:spacing w:before="100" w:beforeAutospacing="1" w:after="100" w:afterAutospacing="1" w:line="240" w:lineRule="auto"/>
        <w:outlineLvl w:val="2"/>
        <w:rPr>
          <w:rFonts w:ascii="Times New Roman" w:eastAsia="Times New Roman" w:hAnsi="Times New Roman" w:cs="Times New Roman"/>
          <w:b/>
          <w:bCs/>
          <w:kern w:val="0"/>
          <w:lang w:val="en-US" w:bidi="hi-IN"/>
          <w14:ligatures w14:val="none"/>
        </w:rPr>
      </w:pPr>
      <w:r>
        <w:rPr>
          <w:rFonts w:ascii="Times New Roman" w:eastAsia="Times New Roman" w:hAnsi="Times New Roman" w:cs="Times New Roman"/>
          <w:b/>
          <w:bCs/>
          <w:kern w:val="0"/>
          <w:lang w:val="en-US" w:bidi="hi-IN"/>
          <w14:ligatures w14:val="none"/>
        </w:rPr>
        <w:t>Study Area</w:t>
      </w:r>
    </w:p>
    <w:p w14:paraId="602A938D" w14:textId="77777777" w:rsidR="00CA3E02" w:rsidRPr="00C84177" w:rsidRDefault="003213CC" w:rsidP="003C03D9">
      <w:pPr>
        <w:spacing w:before="100" w:beforeAutospacing="1" w:after="100" w:afterAutospacing="1" w:line="360" w:lineRule="auto"/>
        <w:ind w:firstLine="720"/>
        <w:jc w:val="both"/>
        <w:outlineLvl w:val="2"/>
        <w:rPr>
          <w:rFonts w:ascii="Times New Roman" w:eastAsia="Times New Roman" w:hAnsi="Times New Roman" w:cs="Times New Roman"/>
          <w:kern w:val="0"/>
          <w:lang w:val="en-US" w:bidi="hi-IN"/>
          <w14:ligatures w14:val="none"/>
        </w:rPr>
      </w:pPr>
      <w:r>
        <w:rPr>
          <w:rFonts w:ascii="Times New Roman" w:eastAsia="Times New Roman" w:hAnsi="Times New Roman" w:cs="Times New Roman"/>
          <w:kern w:val="0"/>
          <w:lang w:val="en-US" w:bidi="hi-IN"/>
          <w14:ligatures w14:val="none"/>
        </w:rPr>
        <w:t>Field sampling and systematic observations were conducted across diverse agro-ecological zones within Uttar Pradesh, India, to assess locali</w:t>
      </w:r>
      <w:r>
        <w:rPr>
          <w:rFonts w:ascii="Times New Roman" w:eastAsia="Times New Roman" w:hAnsi="Times New Roman" w:cs="Times New Roman"/>
          <w:kern w:val="0"/>
          <w:highlight w:val="yellow"/>
          <w:lang w:val="en-US" w:bidi="hi-IN"/>
          <w14:ligatures w14:val="none"/>
        </w:rPr>
        <w:t>s</w:t>
      </w:r>
      <w:r>
        <w:rPr>
          <w:rFonts w:ascii="Times New Roman" w:eastAsia="Times New Roman" w:hAnsi="Times New Roman" w:cs="Times New Roman"/>
          <w:kern w:val="0"/>
          <w:lang w:val="en-US" w:bidi="hi-IN"/>
          <w14:ligatures w14:val="none"/>
        </w:rPr>
        <w:t>ed moth diversity and host</w:t>
      </w:r>
      <w:r>
        <w:rPr>
          <w:rFonts w:ascii="Times New Roman" w:eastAsia="Times New Roman" w:hAnsi="Times New Roman" w:cs="Times New Roman"/>
          <w:kern w:val="0"/>
          <w:highlight w:val="yellow"/>
          <w:lang w:val="en-US" w:bidi="hi-IN"/>
          <w14:ligatures w14:val="none"/>
        </w:rPr>
        <w:t>-</w:t>
      </w:r>
      <w:r>
        <w:rPr>
          <w:rFonts w:ascii="Times New Roman" w:eastAsia="Times New Roman" w:hAnsi="Times New Roman" w:cs="Times New Roman"/>
          <w:kern w:val="0"/>
          <w:lang w:val="en-US" w:bidi="hi-IN"/>
          <w14:ligatures w14:val="none"/>
        </w:rPr>
        <w:t>plant interactions. Primary collection efforts were concentrated across three representative agricultural regions: Kanpur, Lakhimpur Kheri, and Lucknow. These study areas encompass distinct cropping systems, experimental farms, and forestry belts, providing a representative cross-section of the state's agrarian landscapes. Sampling across these diverse sites enabled the documentation of key moth species, their associated botanical families, and their regional spatial distribution patterns.</w:t>
      </w:r>
    </w:p>
    <w:p w14:paraId="5C6B752B" w14:textId="77777777" w:rsidR="00A40A35" w:rsidRPr="00C84177" w:rsidRDefault="00A40A35" w:rsidP="00C84177">
      <w:pPr>
        <w:spacing w:before="100" w:beforeAutospacing="1" w:after="100" w:afterAutospacing="1" w:line="360" w:lineRule="auto"/>
        <w:jc w:val="both"/>
        <w:outlineLvl w:val="2"/>
        <w:rPr>
          <w:rFonts w:ascii="Times New Roman" w:eastAsia="Times New Roman" w:hAnsi="Times New Roman" w:cs="Times New Roman"/>
          <w:kern w:val="0"/>
          <w:sz w:val="22"/>
          <w:szCs w:val="22"/>
          <w:lang w:val="en-US" w:bidi="hi-IN"/>
          <w14:ligatures w14:val="none"/>
        </w:rPr>
      </w:pPr>
      <w:r>
        <w:rPr>
          <w:rFonts w:ascii="Times New Roman" w:eastAsia="Times New Roman" w:hAnsi="Times New Roman" w:cs="Times New Roman"/>
          <w:b/>
          <w:bCs/>
          <w:kern w:val="0"/>
          <w:lang w:val="en-US" w:bidi="hi-IN"/>
          <w14:ligatures w14:val="none"/>
        </w:rPr>
        <w:t xml:space="preserve"> Sampling and Identification</w:t>
      </w:r>
    </w:p>
    <w:p w14:paraId="217AD082" w14:textId="77777777" w:rsidR="00A40A35" w:rsidRPr="00C84177" w:rsidRDefault="00F7637C" w:rsidP="003C03D9">
      <w:pPr>
        <w:spacing w:before="100" w:beforeAutospacing="1" w:after="100" w:afterAutospacing="1" w:line="360" w:lineRule="auto"/>
        <w:ind w:firstLine="720"/>
        <w:jc w:val="both"/>
        <w:rPr>
          <w:rFonts w:ascii="Times New Roman" w:eastAsia="Times New Roman" w:hAnsi="Times New Roman" w:cs="Times New Roman"/>
          <w:kern w:val="0"/>
          <w:lang w:val="en-US" w:bidi="hi-IN"/>
          <w14:ligatures w14:val="none"/>
        </w:rPr>
      </w:pPr>
      <w:r>
        <w:rPr>
          <w:rFonts w:ascii="Times New Roman" w:eastAsia="Times New Roman" w:hAnsi="Times New Roman" w:cs="Times New Roman"/>
          <w:kern w:val="0"/>
          <w:lang w:val="en-US" w:bidi="hi-IN"/>
          <w14:ligatures w14:val="none"/>
        </w:rPr>
        <w:t>Adult moth</w:t>
      </w:r>
      <w:r>
        <w:rPr>
          <w:rFonts w:ascii="Times New Roman" w:eastAsia="Times New Roman" w:hAnsi="Times New Roman" w:cs="Times New Roman"/>
          <w:kern w:val="0"/>
          <w:highlight w:val="yellow"/>
          <w:lang w:val="en-US" w:bidi="hi-IN"/>
          <w14:ligatures w14:val="none"/>
        </w:rPr>
        <w:t>s and</w:t>
      </w:r>
      <w:r>
        <w:rPr>
          <w:rFonts w:ascii="Times New Roman" w:eastAsia="Times New Roman" w:hAnsi="Times New Roman" w:cs="Times New Roman"/>
          <w:kern w:val="0"/>
          <w:lang w:val="en-US" w:bidi="hi-IN"/>
          <w14:ligatures w14:val="none"/>
        </w:rPr>
        <w:t xml:space="preserve"> larvae were recorded through manual handpicking, direct field searches, and crop inspections across agricultural fields, experimental farms, and forestry nurseries. Host plants were identified based on larval feeding activity and verified using botanical reference keys. Species were taxonomically categori</w:t>
      </w:r>
      <w:r>
        <w:rPr>
          <w:rFonts w:ascii="Times New Roman" w:eastAsia="Times New Roman" w:hAnsi="Times New Roman" w:cs="Times New Roman"/>
          <w:kern w:val="0"/>
          <w:highlight w:val="yellow"/>
          <w:lang w:val="en-US" w:bidi="hi-IN"/>
          <w14:ligatures w14:val="none"/>
        </w:rPr>
        <w:t>s</w:t>
      </w:r>
      <w:r>
        <w:rPr>
          <w:rFonts w:ascii="Times New Roman" w:eastAsia="Times New Roman" w:hAnsi="Times New Roman" w:cs="Times New Roman"/>
          <w:kern w:val="0"/>
          <w:lang w:val="en-US" w:bidi="hi-IN"/>
          <w14:ligatures w14:val="none"/>
        </w:rPr>
        <w:t xml:space="preserve">ed </w:t>
      </w:r>
      <w:r>
        <w:rPr>
          <w:rFonts w:ascii="Times New Roman" w:eastAsia="Times New Roman" w:hAnsi="Times New Roman" w:cs="Times New Roman"/>
          <w:kern w:val="0"/>
          <w:highlight w:val="yellow"/>
          <w:lang w:val="en-US" w:bidi="hi-IN"/>
          <w14:ligatures w14:val="none"/>
        </w:rPr>
        <w:t>using</w:t>
      </w:r>
      <w:r>
        <w:rPr>
          <w:rFonts w:ascii="Times New Roman" w:eastAsia="Times New Roman" w:hAnsi="Times New Roman" w:cs="Times New Roman"/>
          <w:kern w:val="0"/>
          <w:lang w:val="en-US" w:bidi="hi-IN"/>
          <w14:ligatures w14:val="none"/>
        </w:rPr>
        <w:t xml:space="preserve"> scientific nomenclature</w:t>
      </w:r>
      <w:r>
        <w:rPr>
          <w:rFonts w:ascii="Times New Roman" w:eastAsia="Times New Roman" w:hAnsi="Times New Roman" w:cs="Times New Roman"/>
          <w:kern w:val="0"/>
          <w:highlight w:val="yellow"/>
          <w:lang w:val="en-US" w:bidi="hi-IN"/>
          <w14:ligatures w14:val="none"/>
        </w:rPr>
        <w:t xml:space="preserve"> and</w:t>
      </w:r>
      <w:r>
        <w:rPr>
          <w:rFonts w:ascii="Times New Roman" w:eastAsia="Times New Roman" w:hAnsi="Times New Roman" w:cs="Times New Roman"/>
          <w:kern w:val="0"/>
          <w:lang w:val="en-US" w:bidi="hi-IN"/>
          <w14:ligatures w14:val="none"/>
        </w:rPr>
        <w:t xml:space="preserve"> associated host plants.</w:t>
      </w:r>
    </w:p>
    <w:p w14:paraId="7F9DD58D" w14:textId="77777777" w:rsidR="00A40A35" w:rsidRPr="00C84177" w:rsidRDefault="00CA3E02" w:rsidP="00C84177">
      <w:pPr>
        <w:spacing w:before="100" w:beforeAutospacing="1" w:after="100" w:afterAutospacing="1" w:line="360" w:lineRule="auto"/>
        <w:jc w:val="both"/>
        <w:rPr>
          <w:rFonts w:ascii="Times New Roman" w:eastAsia="Times New Roman" w:hAnsi="Times New Roman" w:cs="Times New Roman"/>
          <w:b/>
          <w:bCs/>
          <w:kern w:val="0"/>
          <w:lang w:val="en-US" w:bidi="hi-IN"/>
          <w14:ligatures w14:val="none"/>
        </w:rPr>
      </w:pPr>
      <w:r>
        <w:rPr>
          <w:rFonts w:ascii="Times New Roman" w:eastAsia="Times New Roman" w:hAnsi="Times New Roman" w:cs="Times New Roman"/>
          <w:b/>
          <w:bCs/>
          <w:kern w:val="0"/>
          <w:lang w:val="en-US" w:bidi="hi-IN"/>
          <w14:ligatures w14:val="none"/>
        </w:rPr>
        <w:t>Result</w:t>
      </w:r>
      <w:r>
        <w:rPr>
          <w:rFonts w:ascii="Times New Roman" w:eastAsia="Times New Roman" w:hAnsi="Times New Roman" w:cs="Times New Roman"/>
          <w:b/>
          <w:bCs/>
          <w:kern w:val="0"/>
          <w:highlight w:val="yellow"/>
          <w:lang w:val="en-US" w:bidi="hi-IN"/>
          <w14:ligatures w14:val="none"/>
        </w:rPr>
        <w:t>s</w:t>
      </w:r>
      <w:r>
        <w:rPr>
          <w:rFonts w:ascii="Times New Roman" w:eastAsia="Times New Roman" w:hAnsi="Times New Roman" w:cs="Times New Roman"/>
          <w:b/>
          <w:bCs/>
          <w:kern w:val="0"/>
          <w:lang w:val="en-US" w:bidi="hi-IN"/>
          <w14:ligatures w14:val="none"/>
        </w:rPr>
        <w:t xml:space="preserve"> </w:t>
      </w:r>
      <w:r>
        <w:rPr>
          <w:rFonts w:ascii="Times New Roman" w:eastAsia="Times New Roman" w:hAnsi="Times New Roman" w:cs="Times New Roman"/>
          <w:b/>
          <w:bCs/>
          <w:kern w:val="0"/>
          <w:highlight w:val="yellow"/>
          <w:lang w:val="en-US" w:bidi="hi-IN"/>
          <w14:ligatures w14:val="none"/>
        </w:rPr>
        <w:t>and</w:t>
      </w:r>
      <w:r>
        <w:rPr>
          <w:rFonts w:ascii="Times New Roman" w:eastAsia="Times New Roman" w:hAnsi="Times New Roman" w:cs="Times New Roman"/>
          <w:b/>
          <w:bCs/>
          <w:kern w:val="0"/>
          <w:lang w:val="en-US" w:bidi="hi-IN"/>
          <w14:ligatures w14:val="none"/>
        </w:rPr>
        <w:t xml:space="preserve"> Discussion:</w:t>
      </w:r>
    </w:p>
    <w:p w14:paraId="6516899E" w14:textId="3F9B035B" w:rsidR="002D47D2" w:rsidRPr="00C84177" w:rsidRDefault="00015793" w:rsidP="003C03D9">
      <w:pPr>
        <w:spacing w:line="36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During the field survey, host plants associated with moth species in different localities of Central Uttar Pradesh were observed. </w:t>
      </w:r>
      <w:r>
        <w:rPr>
          <w:rFonts w:ascii="Times New Roman" w:hAnsi="Times New Roman" w:cs="Times New Roman"/>
          <w:color w:val="000000" w:themeColor="text1"/>
          <w:highlight w:val="yellow"/>
        </w:rPr>
        <w:t xml:space="preserve">In </w:t>
      </w:r>
      <w:r>
        <w:rPr>
          <w:rFonts w:ascii="Times New Roman" w:hAnsi="Times New Roman" w:cs="Times New Roman"/>
          <w:color w:val="000000" w:themeColor="text1"/>
        </w:rPr>
        <w:t>t</w:t>
      </w:r>
      <w:r>
        <w:rPr>
          <w:rFonts w:ascii="Times New Roman" w:hAnsi="Times New Roman" w:cs="Times New Roman"/>
          <w:color w:val="000000" w:themeColor="text1"/>
          <w:highlight w:val="yellow"/>
        </w:rPr>
        <w:t>he</w:t>
      </w:r>
      <w:r>
        <w:rPr>
          <w:rFonts w:ascii="Times New Roman" w:hAnsi="Times New Roman" w:cs="Times New Roman"/>
          <w:color w:val="000000" w:themeColor="text1"/>
        </w:rPr>
        <w:t xml:space="preserve"> present study, 34 moth species associat</w:t>
      </w:r>
      <w:r>
        <w:rPr>
          <w:rFonts w:ascii="Times New Roman" w:hAnsi="Times New Roman" w:cs="Times New Roman"/>
          <w:color w:val="000000" w:themeColor="text1"/>
          <w:highlight w:val="yellow"/>
        </w:rPr>
        <w:t>ed</w:t>
      </w:r>
      <w:r>
        <w:rPr>
          <w:rFonts w:ascii="Times New Roman" w:hAnsi="Times New Roman" w:cs="Times New Roman"/>
          <w:color w:val="000000" w:themeColor="text1"/>
        </w:rPr>
        <w:t xml:space="preserve"> with 33 unique host-plant species belonging to 16 plant families were recorded. The survey recorded </w:t>
      </w:r>
      <w:r>
        <w:rPr>
          <w:rFonts w:ascii="Times New Roman" w:hAnsi="Times New Roman" w:cs="Times New Roman"/>
          <w:color w:val="000000" w:themeColor="text1"/>
        </w:rPr>
        <w:lastRenderedPageBreak/>
        <w:t>a total of 34 moth species associated with agricultural crops, horticultural plants, and forestry trees in Central and Northern Uttar Pradesh. Members of the families Crambidae, Noctuidae, and Erebidae dominated the collected fauna, accounting for the highest species richness and host</w:t>
      </w:r>
      <w:r>
        <w:rPr>
          <w:rFonts w:ascii="Times New Roman" w:hAnsi="Times New Roman" w:cs="Times New Roman"/>
          <w:color w:val="000000" w:themeColor="text1"/>
          <w:highlight w:val="yellow"/>
        </w:rPr>
        <w:t>-</w:t>
      </w:r>
      <w:r>
        <w:rPr>
          <w:rFonts w:ascii="Times New Roman" w:hAnsi="Times New Roman" w:cs="Times New Roman"/>
          <w:color w:val="000000" w:themeColor="text1"/>
        </w:rPr>
        <w:t>plant interactions. Host specificity varied significantly among the recorded species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monophagous species included </w:t>
      </w:r>
      <w:r>
        <w:rPr>
          <w:rFonts w:ascii="Times New Roman" w:hAnsi="Times New Roman" w:cs="Times New Roman"/>
          <w:i/>
          <w:iCs/>
          <w:color w:val="000000" w:themeColor="text1"/>
        </w:rPr>
        <w:t>Scirpophaga incertulas</w:t>
      </w:r>
      <w:r>
        <w:rPr>
          <w:rFonts w:ascii="Times New Roman" w:hAnsi="Times New Roman" w:cs="Times New Roman"/>
          <w:i/>
          <w:iCs/>
          <w:color w:val="000000" w:themeColor="text1"/>
          <w:highlight w:val="yellow"/>
        </w:rPr>
        <w:t>;</w:t>
      </w:r>
      <w:r>
        <w:rPr>
          <w:rFonts w:ascii="Times New Roman" w:hAnsi="Times New Roman" w:cs="Times New Roman"/>
          <w:i/>
          <w:iCs/>
          <w:color w:val="000000" w:themeColor="text1"/>
        </w:rPr>
        <w:t xml:space="preserve"> </w:t>
      </w:r>
      <w:r>
        <w:rPr>
          <w:rFonts w:ascii="Times New Roman" w:hAnsi="Times New Roman" w:cs="Times New Roman"/>
          <w:color w:val="000000" w:themeColor="text1"/>
        </w:rPr>
        <w:t xml:space="preserve">oligophagous species included </w:t>
      </w:r>
      <w:r>
        <w:rPr>
          <w:rFonts w:ascii="Times New Roman" w:hAnsi="Times New Roman" w:cs="Times New Roman"/>
          <w:i/>
          <w:iCs/>
          <w:color w:val="000000" w:themeColor="text1"/>
        </w:rPr>
        <w:t>Cnaphalocrocis medinalis</w:t>
      </w:r>
      <w:r>
        <w:rPr>
          <w:rFonts w:ascii="Times New Roman" w:hAnsi="Times New Roman" w:cs="Times New Roman"/>
          <w:i/>
          <w:iCs/>
          <w:color w:val="000000" w:themeColor="text1"/>
          <w:highlight w:val="yellow"/>
        </w:rPr>
        <w:t>;</w:t>
      </w:r>
      <w:r>
        <w:rPr>
          <w:rFonts w:ascii="Times New Roman" w:hAnsi="Times New Roman" w:cs="Times New Roman"/>
          <w:color w:val="000000" w:themeColor="text1"/>
        </w:rPr>
        <w:t xml:space="preserve"> and p</w:t>
      </w:r>
      <w:r>
        <w:rPr>
          <w:rFonts w:ascii="Times New Roman" w:hAnsi="Times New Roman" w:cs="Times New Roman"/>
          <w:color w:val="000000" w:themeColor="text1"/>
          <w:highlight w:val="yellow"/>
        </w:rPr>
        <w:t>o</w:t>
      </w:r>
      <w:r>
        <w:rPr>
          <w:rFonts w:ascii="Times New Roman" w:hAnsi="Times New Roman" w:cs="Times New Roman"/>
          <w:color w:val="000000" w:themeColor="text1"/>
        </w:rPr>
        <w:t>lyphagous</w:t>
      </w:r>
      <w:r>
        <w:rPr>
          <w:rFonts w:ascii="Times New Roman" w:hAnsi="Times New Roman" w:cs="Times New Roman"/>
          <w:color w:val="000000" w:themeColor="text1"/>
          <w:highlight w:val="yellow"/>
        </w:rPr>
        <w:t xml:space="preserve"> species included</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Bradina admixtalis</w:t>
      </w:r>
      <w:r>
        <w:rPr>
          <w:rFonts w:ascii="Times New Roman" w:hAnsi="Times New Roman" w:cs="Times New Roman"/>
          <w:color w:val="000000" w:themeColor="text1"/>
        </w:rPr>
        <w:t>, which w</w:t>
      </w:r>
      <w:r>
        <w:rPr>
          <w:rFonts w:ascii="Times New Roman" w:hAnsi="Times New Roman" w:cs="Times New Roman"/>
          <w:color w:val="000000" w:themeColor="text1"/>
          <w:highlight w:val="yellow"/>
        </w:rPr>
        <w:t>as</w:t>
      </w:r>
      <w:r>
        <w:rPr>
          <w:rFonts w:ascii="Times New Roman" w:hAnsi="Times New Roman" w:cs="Times New Roman"/>
          <w:color w:val="000000" w:themeColor="text1"/>
        </w:rPr>
        <w:t xml:space="preserve"> restricted entirely to Poaceae (</w:t>
      </w:r>
      <w:r>
        <w:rPr>
          <w:rFonts w:ascii="Times New Roman" w:hAnsi="Times New Roman" w:cs="Times New Roman"/>
          <w:i/>
          <w:iCs/>
          <w:color w:val="000000" w:themeColor="text1"/>
        </w:rPr>
        <w:t>Oryza sativa</w:t>
      </w:r>
      <w:r>
        <w:rPr>
          <w:rFonts w:ascii="Times New Roman" w:hAnsi="Times New Roman" w:cs="Times New Roman"/>
          <w:color w:val="000000" w:themeColor="text1"/>
        </w:rPr>
        <w:t xml:space="preserve">), as well as </w:t>
      </w:r>
      <w:r>
        <w:rPr>
          <w:rFonts w:ascii="Times New Roman" w:hAnsi="Times New Roman" w:cs="Times New Roman"/>
          <w:i/>
          <w:iCs/>
          <w:color w:val="000000" w:themeColor="text1"/>
        </w:rPr>
        <w:t>Leucinodes orbonalis</w:t>
      </w:r>
      <w:r>
        <w:rPr>
          <w:rFonts w:ascii="Times New Roman" w:hAnsi="Times New Roman" w:cs="Times New Roman"/>
          <w:color w:val="000000" w:themeColor="text1"/>
        </w:rPr>
        <w:t>, which fed exclusively on Solanaceae (</w:t>
      </w:r>
      <w:r>
        <w:rPr>
          <w:rFonts w:ascii="Times New Roman" w:hAnsi="Times New Roman" w:cs="Times New Roman"/>
          <w:i/>
          <w:iCs/>
          <w:color w:val="000000" w:themeColor="text1"/>
        </w:rPr>
        <w:t>Solanum melongena</w:t>
      </w:r>
      <w:r>
        <w:rPr>
          <w:rFonts w:ascii="Times New Roman" w:hAnsi="Times New Roman" w:cs="Times New Roman"/>
          <w:color w:val="000000" w:themeColor="text1"/>
        </w:rPr>
        <w:t xml:space="preserve"> and </w:t>
      </w:r>
      <w:r>
        <w:rPr>
          <w:rFonts w:ascii="Times New Roman" w:hAnsi="Times New Roman" w:cs="Times New Roman"/>
          <w:i/>
          <w:iCs/>
          <w:color w:val="000000" w:themeColor="text1"/>
        </w:rPr>
        <w:t>Solanum tuberosum</w:t>
      </w:r>
      <w:r>
        <w:rPr>
          <w:rFonts w:ascii="Times New Roman" w:hAnsi="Times New Roman" w:cs="Times New Roman"/>
          <w:color w:val="000000" w:themeColor="text1"/>
        </w:rPr>
        <w:t xml:space="preserve">). Conversely, broad polyphagy was observed </w:t>
      </w:r>
      <w:r>
        <w:rPr>
          <w:rFonts w:ascii="Times New Roman" w:hAnsi="Times New Roman" w:cs="Times New Roman"/>
          <w:color w:val="000000" w:themeColor="text1"/>
          <w:highlight w:val="yellow"/>
        </w:rPr>
        <w:t>amo</w:t>
      </w:r>
      <w:r>
        <w:rPr>
          <w:rFonts w:ascii="Times New Roman" w:hAnsi="Times New Roman" w:cs="Times New Roman"/>
          <w:color w:val="000000" w:themeColor="text1"/>
        </w:rPr>
        <w:t>n</w:t>
      </w:r>
      <w:r>
        <w:rPr>
          <w:rFonts w:ascii="Times New Roman" w:hAnsi="Times New Roman" w:cs="Times New Roman"/>
          <w:color w:val="000000" w:themeColor="text1"/>
          <w:highlight w:val="yellow"/>
        </w:rPr>
        <w:t>g</w:t>
      </w:r>
      <w:r>
        <w:rPr>
          <w:rFonts w:ascii="Times New Roman" w:hAnsi="Times New Roman" w:cs="Times New Roman"/>
          <w:color w:val="000000" w:themeColor="text1"/>
        </w:rPr>
        <w:t xml:space="preserve"> major economic</w:t>
      </w:r>
      <w:r>
        <w:rPr>
          <w:rFonts w:ascii="Times New Roman" w:hAnsi="Times New Roman" w:cs="Times New Roman"/>
          <w:color w:val="000000" w:themeColor="text1"/>
          <w:highlight w:val="yellow"/>
        </w:rPr>
        <w:t>ally important</w:t>
      </w:r>
      <w:r>
        <w:rPr>
          <w:rFonts w:ascii="Times New Roman" w:hAnsi="Times New Roman" w:cs="Times New Roman"/>
          <w:color w:val="000000" w:themeColor="text1"/>
        </w:rPr>
        <w:t xml:space="preserve"> pests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Helicoverpa armigera</w:t>
      </w:r>
      <w:r>
        <w:rPr>
          <w:rFonts w:ascii="Times New Roman" w:hAnsi="Times New Roman" w:cs="Times New Roman"/>
          <w:color w:val="000000" w:themeColor="text1"/>
        </w:rPr>
        <w:t xml:space="preserve"> exhibited the widest host range, feeding o</w:t>
      </w:r>
      <w:r>
        <w:rPr>
          <w:rFonts w:ascii="Times New Roman" w:hAnsi="Times New Roman" w:cs="Times New Roman"/>
          <w:color w:val="000000" w:themeColor="text1"/>
          <w:highlight w:val="yellow"/>
        </w:rPr>
        <w:t>n</w:t>
      </w:r>
      <w:r>
        <w:rPr>
          <w:rFonts w:ascii="Times New Roman" w:hAnsi="Times New Roman" w:cs="Times New Roman"/>
          <w:color w:val="000000" w:themeColor="text1"/>
        </w:rPr>
        <w:t xml:space="preserve"> six distinct crop species spanning Fabaceae, Poaceae, and Solanaceae. </w:t>
      </w:r>
      <w:r>
        <w:rPr>
          <w:rFonts w:ascii="Times New Roman" w:hAnsi="Times New Roman" w:cs="Times New Roman"/>
        </w:rPr>
        <w:t xml:space="preserve">The observed host-plant associations are broadly consistent with earlier reports documenting diverse feeding relationships between moths and their host plants. Similarly, </w:t>
      </w:r>
      <w:r>
        <w:rPr>
          <w:rStyle w:val="Emphasis"/>
          <w:rFonts w:ascii="Times New Roman" w:hAnsi="Times New Roman" w:cs="Times New Roman"/>
        </w:rPr>
        <w:t>Spodoptera litura</w:t>
      </w:r>
      <w:r>
        <w:rPr>
          <w:rFonts w:ascii="Times New Roman" w:hAnsi="Times New Roman" w:cs="Times New Roman"/>
        </w:rPr>
        <w:t xml:space="preserve"> and </w:t>
      </w:r>
      <w:r>
        <w:rPr>
          <w:rStyle w:val="Emphasis"/>
          <w:rFonts w:ascii="Times New Roman" w:hAnsi="Times New Roman" w:cs="Times New Roman"/>
        </w:rPr>
        <w:t>Spoladea recurvalis</w:t>
      </w:r>
      <w:r>
        <w:rPr>
          <w:rFonts w:ascii="Times New Roman" w:hAnsi="Times New Roman" w:cs="Times New Roman"/>
        </w:rPr>
        <w:t xml:space="preserve"> exhibited broad host utili</w:t>
      </w:r>
      <w:r>
        <w:rPr>
          <w:rFonts w:ascii="Times New Roman" w:hAnsi="Times New Roman" w:cs="Times New Roman"/>
          <w:highlight w:val="yellow"/>
        </w:rPr>
        <w:t>s</w:t>
      </w:r>
      <w:r>
        <w:rPr>
          <w:rFonts w:ascii="Times New Roman" w:hAnsi="Times New Roman" w:cs="Times New Roman"/>
        </w:rPr>
        <w:t xml:space="preserve">ation and were recorded in association with host plants belonging to multiple families, including Poaceae, Amaranthaceae, and Euphorbiaceae. Such polyphagous feeding behaviour has also been documented in earlier studies, which reported the occurrence of </w:t>
      </w:r>
      <w:r>
        <w:rPr>
          <w:rStyle w:val="Emphasis"/>
          <w:rFonts w:ascii="Times New Roman" w:hAnsi="Times New Roman" w:cs="Times New Roman"/>
        </w:rPr>
        <w:t>S. litura</w:t>
      </w:r>
      <w:r>
        <w:rPr>
          <w:rFonts w:ascii="Times New Roman" w:hAnsi="Times New Roman" w:cs="Times New Roman"/>
        </w:rPr>
        <w:t xml:space="preserve"> and </w:t>
      </w:r>
      <w:r>
        <w:rPr>
          <w:rStyle w:val="Emphasis"/>
          <w:rFonts w:ascii="Times New Roman" w:hAnsi="Times New Roman" w:cs="Times New Roman"/>
        </w:rPr>
        <w:t>S. recurvalis</w:t>
      </w:r>
      <w:r>
        <w:rPr>
          <w:rFonts w:ascii="Times New Roman" w:hAnsi="Times New Roman" w:cs="Times New Roman"/>
        </w:rPr>
        <w:t xml:space="preserve"> on a diverse range of agricultural, horticultural, and weed host plants (</w:t>
      </w:r>
      <w:r>
        <w:rPr>
          <w:rFonts w:ascii="Times New Roman" w:hAnsi="Times New Roman" w:cs="Times New Roman"/>
          <w:shd w:val="clear" w:color="auto" w:fill="FFFFFF"/>
        </w:rPr>
        <w:t xml:space="preserve">Bhagat, 2018; </w:t>
      </w:r>
      <w:r w:rsidR="008A4748" w:rsidRPr="008A4748">
        <w:rPr>
          <w:rFonts w:ascii="Times New Roman" w:hAnsi="Times New Roman" w:cs="Times New Roman"/>
        </w:rPr>
        <w:t>Kumkum</w:t>
      </w:r>
      <w:r>
        <w:rPr>
          <w:rFonts w:ascii="Times New Roman" w:hAnsi="Times New Roman" w:cs="Times New Roman"/>
        </w:rPr>
        <w:t xml:space="preserve"> </w:t>
      </w:r>
      <w:r>
        <w:rPr>
          <w:rFonts w:ascii="Times New Roman" w:hAnsi="Times New Roman" w:cs="Times New Roman"/>
          <w:highlight w:val="yellow"/>
        </w:rPr>
        <w:t>&amp;</w:t>
      </w:r>
      <w:r>
        <w:rPr>
          <w:rFonts w:ascii="Times New Roman" w:hAnsi="Times New Roman" w:cs="Times New Roman"/>
        </w:rPr>
        <w:t xml:space="preserve"> Upadhyay</w:t>
      </w:r>
      <w:r>
        <w:rPr>
          <w:rFonts w:ascii="Times New Roman" w:hAnsi="Times New Roman" w:cs="Times New Roman"/>
          <w:highlight w:val="yellow"/>
        </w:rPr>
        <w:t>,</w:t>
      </w:r>
      <w:r>
        <w:rPr>
          <w:rFonts w:ascii="Times New Roman" w:hAnsi="Times New Roman" w:cs="Times New Roman"/>
        </w:rPr>
        <w:t xml:space="preserve"> 2025; Singh </w:t>
      </w:r>
      <w:r>
        <w:rPr>
          <w:rFonts w:ascii="Times New Roman" w:hAnsi="Times New Roman" w:cs="Times New Roman"/>
          <w:i/>
          <w:iCs/>
        </w:rPr>
        <w:t>et al</w:t>
      </w:r>
      <w:r>
        <w:rPr>
          <w:rFonts w:ascii="Times New Roman" w:hAnsi="Times New Roman" w:cs="Times New Roman"/>
        </w:rPr>
        <w:t xml:space="preserve">., 2004; Singh </w:t>
      </w:r>
      <w:r>
        <w:rPr>
          <w:rFonts w:ascii="Times New Roman" w:hAnsi="Times New Roman" w:cs="Times New Roman"/>
          <w:highlight w:val="yellow"/>
        </w:rPr>
        <w:t>&amp;</w:t>
      </w:r>
      <w:r>
        <w:rPr>
          <w:rFonts w:ascii="Times New Roman" w:hAnsi="Times New Roman" w:cs="Times New Roman"/>
        </w:rPr>
        <w:t xml:space="preserve"> Singh, 2014; Gangwar </w:t>
      </w:r>
      <w:r>
        <w:rPr>
          <w:rFonts w:ascii="Times New Roman" w:hAnsi="Times New Roman" w:cs="Times New Roman"/>
          <w:i/>
          <w:iCs/>
        </w:rPr>
        <w:t>et al</w:t>
      </w:r>
      <w:r>
        <w:rPr>
          <w:rFonts w:ascii="Times New Roman" w:hAnsi="Times New Roman" w:cs="Times New Roman"/>
        </w:rPr>
        <w:t xml:space="preserve">., 2015; Paul, 2020; Sanyal </w:t>
      </w:r>
      <w:r>
        <w:rPr>
          <w:rFonts w:ascii="Times New Roman" w:hAnsi="Times New Roman" w:cs="Times New Roman"/>
          <w:i/>
          <w:iCs/>
        </w:rPr>
        <w:t>et al</w:t>
      </w:r>
      <w:r>
        <w:rPr>
          <w:rFonts w:ascii="Times New Roman" w:hAnsi="Times New Roman" w:cs="Times New Roman"/>
        </w:rPr>
        <w:t xml:space="preserve">., 2018; Kalawate </w:t>
      </w:r>
      <w:r>
        <w:rPr>
          <w:rFonts w:ascii="Times New Roman" w:hAnsi="Times New Roman" w:cs="Times New Roman"/>
          <w:i/>
          <w:iCs/>
        </w:rPr>
        <w:t>et al</w:t>
      </w:r>
      <w:r>
        <w:rPr>
          <w:rFonts w:ascii="Times New Roman" w:hAnsi="Times New Roman" w:cs="Times New Roman"/>
        </w:rPr>
        <w:t xml:space="preserve">., 2023; Bisht </w:t>
      </w:r>
      <w:r>
        <w:rPr>
          <w:rFonts w:ascii="Times New Roman" w:hAnsi="Times New Roman" w:cs="Times New Roman"/>
          <w:i/>
          <w:iCs/>
        </w:rPr>
        <w:t>et al</w:t>
      </w:r>
      <w:r>
        <w:rPr>
          <w:rFonts w:ascii="Times New Roman" w:hAnsi="Times New Roman" w:cs="Times New Roman"/>
        </w:rPr>
        <w:t>., 2026). The present observations are further supported by earlier investigations of moth–host</w:t>
      </w:r>
      <w:r>
        <w:rPr>
          <w:rFonts w:ascii="Times New Roman" w:hAnsi="Times New Roman" w:cs="Times New Roman"/>
          <w:highlight w:val="yellow"/>
        </w:rPr>
        <w:t>-</w:t>
      </w:r>
      <w:r>
        <w:rPr>
          <w:rFonts w:ascii="Times New Roman" w:hAnsi="Times New Roman" w:cs="Times New Roman"/>
        </w:rPr>
        <w:t>plant relationships, which have documented substantial variation in host utili</w:t>
      </w:r>
      <w:r>
        <w:rPr>
          <w:rFonts w:ascii="Times New Roman" w:hAnsi="Times New Roman" w:cs="Times New Roman"/>
          <w:highlight w:val="yellow"/>
        </w:rPr>
        <w:t>s</w:t>
      </w:r>
      <w:r>
        <w:rPr>
          <w:rFonts w:ascii="Times New Roman" w:hAnsi="Times New Roman" w:cs="Times New Roman"/>
        </w:rPr>
        <w:t xml:space="preserve">ation and feeding breadth among Lepidoptera (Ramachandran </w:t>
      </w:r>
      <w:r>
        <w:rPr>
          <w:rFonts w:ascii="Times New Roman" w:hAnsi="Times New Roman" w:cs="Times New Roman"/>
          <w:i/>
          <w:iCs/>
        </w:rPr>
        <w:t>et al</w:t>
      </w:r>
      <w:r>
        <w:rPr>
          <w:rFonts w:ascii="Times New Roman" w:hAnsi="Times New Roman" w:cs="Times New Roman"/>
        </w:rPr>
        <w:t xml:space="preserve">., 1990; Robinson </w:t>
      </w:r>
      <w:r>
        <w:rPr>
          <w:rFonts w:ascii="Times New Roman" w:hAnsi="Times New Roman" w:cs="Times New Roman"/>
          <w:i/>
          <w:iCs/>
        </w:rPr>
        <w:t>et al</w:t>
      </w:r>
      <w:r>
        <w:rPr>
          <w:rFonts w:ascii="Times New Roman" w:hAnsi="Times New Roman" w:cs="Times New Roman"/>
        </w:rPr>
        <w:t xml:space="preserve">., 1994, 2001; Mathew </w:t>
      </w:r>
      <w:r>
        <w:rPr>
          <w:rFonts w:ascii="Times New Roman" w:hAnsi="Times New Roman" w:cs="Times New Roman"/>
          <w:i/>
          <w:iCs/>
        </w:rPr>
        <w:t>et al</w:t>
      </w:r>
      <w:r>
        <w:rPr>
          <w:rFonts w:ascii="Times New Roman" w:hAnsi="Times New Roman" w:cs="Times New Roman"/>
        </w:rPr>
        <w:t>., 2018). These findings indicate that broad host utili</w:t>
      </w:r>
      <w:r>
        <w:rPr>
          <w:rFonts w:ascii="Times New Roman" w:hAnsi="Times New Roman" w:cs="Times New Roman"/>
          <w:highlight w:val="yellow"/>
        </w:rPr>
        <w:t>s</w:t>
      </w:r>
      <w:r>
        <w:rPr>
          <w:rFonts w:ascii="Times New Roman" w:hAnsi="Times New Roman" w:cs="Times New Roman"/>
        </w:rPr>
        <w:t>ation may contribute to the persistence and distribution of polyphagous moth species across heterogeneous agricultural and semi-natural habitats in the study region.</w:t>
      </w:r>
    </w:p>
    <w:p w14:paraId="2CAA54EE"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rPr>
        <w:t xml:space="preserve">At the community level, the results also underscore the need to retain an ecological perspective when interpreting moths in agro-ecosystems. Moths include economically important herbivores, but they also contribute to food webs and other ecosystem processes, and regional trends can differ substantially among species and functional groups (Wagner et al., 2021). Integrated pest management should therefore aim to suppress damaging populations while avoiding unnecessary disruption of non-target moth diversity. In the context of the </w:t>
      </w:r>
      <w:r>
        <w:rPr>
          <w:rFonts w:ascii="Times New Roman" w:hAnsi="Times New Roman" w:cs="Times New Roman"/>
        </w:rPr>
        <w:lastRenderedPageBreak/>
        <w:t>present study, the most defensible next step is a seasonally replicated survey linking each moth species with host availability, crop stage, larval density, and damage severity. This would permit stronger evaluation of host switching, identify the crops that function as important population reservoirs, and clarify whether the associations documented here are persistent across years and localities.</w:t>
      </w:r>
    </w:p>
    <w:p w14:paraId="1D8902D5"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rPr>
        <w:t xml:space="preserve">The host-association matrix generated in this study has practical value as a baseline for designing pest-monitoring programmes. For broad generalists such as </w:t>
      </w:r>
      <w:r>
        <w:rPr>
          <w:rFonts w:ascii="Times New Roman" w:hAnsi="Times New Roman" w:cs="Times New Roman"/>
          <w:i/>
          <w:iCs/>
        </w:rPr>
        <w:t>H. armigera</w:t>
      </w:r>
      <w:r>
        <w:rPr>
          <w:rFonts w:ascii="Times New Roman" w:hAnsi="Times New Roman" w:cs="Times New Roman"/>
        </w:rPr>
        <w:t xml:space="preserve"> and </w:t>
      </w:r>
      <w:r>
        <w:rPr>
          <w:rFonts w:ascii="Times New Roman" w:hAnsi="Times New Roman" w:cs="Times New Roman"/>
          <w:i/>
          <w:iCs/>
        </w:rPr>
        <w:t>S. litura,</w:t>
      </w:r>
      <w:r>
        <w:rPr>
          <w:rFonts w:ascii="Times New Roman" w:hAnsi="Times New Roman" w:cs="Times New Roman"/>
        </w:rPr>
        <w:t xml:space="preserve"> surveillance should include alternat</w:t>
      </w:r>
      <w:r>
        <w:rPr>
          <w:rFonts w:ascii="Times New Roman" w:hAnsi="Times New Roman" w:cs="Times New Roman"/>
          <w:highlight w:val="yellow"/>
        </w:rPr>
        <w:t>iv</w:t>
      </w:r>
      <w:r>
        <w:rPr>
          <w:rFonts w:ascii="Times New Roman" w:hAnsi="Times New Roman" w:cs="Times New Roman"/>
        </w:rPr>
        <w:t xml:space="preserve">e host crops and vegetation that can maintain larvae between major crop cycles; for crop-linked species, monitoring can be concentrated around the susceptible phenological stages of the principal host. Evidence that host quality affects </w:t>
      </w:r>
      <w:r>
        <w:rPr>
          <w:rFonts w:ascii="Times New Roman" w:hAnsi="Times New Roman" w:cs="Times New Roman"/>
          <w:i/>
          <w:iCs/>
        </w:rPr>
        <w:t>H. armigera</w:t>
      </w:r>
      <w:r>
        <w:rPr>
          <w:rFonts w:ascii="Times New Roman" w:hAnsi="Times New Roman" w:cs="Times New Roman"/>
        </w:rPr>
        <w:t xml:space="preserve"> fitness (Reigada et al., 2016) and that </w:t>
      </w:r>
      <w:r>
        <w:rPr>
          <w:rFonts w:ascii="Times New Roman" w:hAnsi="Times New Roman" w:cs="Times New Roman"/>
          <w:i/>
          <w:iCs/>
        </w:rPr>
        <w:t>S. litura</w:t>
      </w:r>
      <w:r>
        <w:rPr>
          <w:rFonts w:ascii="Times New Roman" w:hAnsi="Times New Roman" w:cs="Times New Roman"/>
        </w:rPr>
        <w:t xml:space="preserve"> possesses extensive adaptive capacity for polyphagy (Cheng et al., 2017) further suggests that simple presence/absence host lists should be complemented by measures of larval abundance, development, crop injury, and seasonal continuity. Such measurements would allow host records to be ranked by epidemiological or pest-management importance rather than by occurrence alone.</w:t>
      </w:r>
    </w:p>
    <w:p w14:paraId="2C3E6D16" w14:textId="77777777" w:rsidR="00F9653B" w:rsidRPr="00C84177" w:rsidRDefault="00BB3990" w:rsidP="00C84177">
      <w:pPr>
        <w:spacing w:line="360" w:lineRule="auto"/>
        <w:jc w:val="both"/>
        <w:rPr>
          <w:rFonts w:ascii="Times New Roman" w:hAnsi="Times New Roman" w:cs="Times New Roman"/>
        </w:rPr>
      </w:pPr>
      <w:r>
        <w:rPr>
          <w:rFonts w:ascii="Times New Roman" w:hAnsi="Times New Roman" w:cs="Times New Roman"/>
          <w:b/>
        </w:rPr>
        <w:t>3.4 Implications for monitoring and integrated pest management</w:t>
      </w:r>
    </w:p>
    <w:p w14:paraId="71EBB84F"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i/>
          <w:iCs/>
        </w:rPr>
        <w:t>Leucinodes orbonalis</w:t>
      </w:r>
      <w:r>
        <w:rPr>
          <w:rFonts w:ascii="Times New Roman" w:hAnsi="Times New Roman" w:cs="Times New Roman"/>
        </w:rPr>
        <w:t xml:space="preserve"> was recorded on </w:t>
      </w:r>
      <w:r>
        <w:rPr>
          <w:rFonts w:ascii="Times New Roman" w:hAnsi="Times New Roman" w:cs="Times New Roman"/>
          <w:i/>
          <w:iCs/>
        </w:rPr>
        <w:t>Solanum melongena</w:t>
      </w:r>
      <w:r>
        <w:rPr>
          <w:rFonts w:ascii="Times New Roman" w:hAnsi="Times New Roman" w:cs="Times New Roman"/>
        </w:rPr>
        <w:t xml:space="preserve"> and </w:t>
      </w:r>
      <w:r>
        <w:rPr>
          <w:rFonts w:ascii="Times New Roman" w:hAnsi="Times New Roman" w:cs="Times New Roman"/>
          <w:i/>
        </w:rPr>
        <w:t>S. tuberosum</w:t>
      </w:r>
      <w:r>
        <w:rPr>
          <w:rFonts w:ascii="Times New Roman" w:hAnsi="Times New Roman" w:cs="Times New Roman"/>
        </w:rPr>
        <w:t xml:space="preserve">. Eggplant is a well-established major host, and experimental evaluation of eggplant genotypes has demonstrated substantial variation in resistance traits affecting </w:t>
      </w:r>
      <w:r>
        <w:rPr>
          <w:rFonts w:ascii="Times New Roman" w:hAnsi="Times New Roman" w:cs="Times New Roman"/>
          <w:i/>
          <w:iCs/>
        </w:rPr>
        <w:t>L. orbonalis</w:t>
      </w:r>
      <w:r>
        <w:rPr>
          <w:rFonts w:ascii="Times New Roman" w:hAnsi="Times New Roman" w:cs="Times New Roman"/>
        </w:rPr>
        <w:t xml:space="preserve">, reinforcing the close ecological relationship between the insect and solanaceous host characteristics (Challa </w:t>
      </w:r>
      <w:r>
        <w:rPr>
          <w:rFonts w:ascii="Times New Roman" w:hAnsi="Times New Roman" w:cs="Times New Roman"/>
          <w:i/>
          <w:iCs/>
        </w:rPr>
        <w:t>et al.,</w:t>
      </w:r>
      <w:r>
        <w:rPr>
          <w:rFonts w:ascii="Times New Roman" w:hAnsi="Times New Roman" w:cs="Times New Roman"/>
        </w:rPr>
        <w:t xml:space="preserve"> 2021). The present observations therefore contribute local evidence to the broader host-use literature, but they should not be interpreted as demonstrating equal preference for brinjal and potato. More generally, the coexistence of relatively restricted and broadly polyphagous species in the same landscape illustrates the range of host-use strategies expected in Lepidoptera (Menken et al., 2010). This contrast is important for surveillance because specialist pests may be monitored most efficiently within focal crops, whereas generalists require attention to alternate hosts and crop succession across the surrounding landscape.</w:t>
      </w:r>
    </w:p>
    <w:p w14:paraId="7B0AAE4C"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rPr>
        <w:t xml:space="preserve">Several records in the survey were comparatively host-restricted, including </w:t>
      </w:r>
      <w:r>
        <w:rPr>
          <w:rFonts w:ascii="Times New Roman" w:hAnsi="Times New Roman" w:cs="Times New Roman"/>
          <w:i/>
          <w:iCs/>
        </w:rPr>
        <w:t>Cnaphalocrocis medinalis</w:t>
      </w:r>
      <w:r>
        <w:rPr>
          <w:rFonts w:ascii="Times New Roman" w:hAnsi="Times New Roman" w:cs="Times New Roman"/>
        </w:rPr>
        <w:t xml:space="preserve"> and </w:t>
      </w:r>
      <w:r>
        <w:rPr>
          <w:rFonts w:ascii="Times New Roman" w:hAnsi="Times New Roman" w:cs="Times New Roman"/>
          <w:i/>
          <w:iCs/>
        </w:rPr>
        <w:t>Scirpophaga incertulas</w:t>
      </w:r>
      <w:r>
        <w:rPr>
          <w:rFonts w:ascii="Times New Roman" w:hAnsi="Times New Roman" w:cs="Times New Roman"/>
        </w:rPr>
        <w:t xml:space="preserve"> on rice and </w:t>
      </w:r>
      <w:r>
        <w:rPr>
          <w:rFonts w:ascii="Times New Roman" w:hAnsi="Times New Roman" w:cs="Times New Roman"/>
          <w:i/>
          <w:iCs/>
        </w:rPr>
        <w:t>Leucinodes orbonalis</w:t>
      </w:r>
      <w:r>
        <w:rPr>
          <w:rFonts w:ascii="Times New Roman" w:hAnsi="Times New Roman" w:cs="Times New Roman"/>
        </w:rPr>
        <w:t xml:space="preserve"> on </w:t>
      </w:r>
      <w:r>
        <w:rPr>
          <w:rFonts w:ascii="Times New Roman" w:hAnsi="Times New Roman" w:cs="Times New Roman"/>
        </w:rPr>
        <w:lastRenderedPageBreak/>
        <w:t>solanaceous hosts. Restricted host records are informative because they may indicate a stronger dependence on the availability and phenology of a particular crop group, although apparent speciali</w:t>
      </w:r>
      <w:r>
        <w:rPr>
          <w:rFonts w:ascii="Times New Roman" w:hAnsi="Times New Roman" w:cs="Times New Roman"/>
          <w:highlight w:val="yellow"/>
        </w:rPr>
        <w:t>s</w:t>
      </w:r>
      <w:r>
        <w:rPr>
          <w:rFonts w:ascii="Times New Roman" w:hAnsi="Times New Roman" w:cs="Times New Roman"/>
        </w:rPr>
        <w:t xml:space="preserve">ation can also reflect the crops and locations sampled. For </w:t>
      </w:r>
      <w:r>
        <w:rPr>
          <w:rFonts w:ascii="Times New Roman" w:hAnsi="Times New Roman" w:cs="Times New Roman"/>
          <w:i/>
          <w:iCs/>
        </w:rPr>
        <w:t>C. medinalis</w:t>
      </w:r>
      <w:r>
        <w:rPr>
          <w:rFonts w:ascii="Times New Roman" w:hAnsi="Times New Roman" w:cs="Times New Roman"/>
        </w:rPr>
        <w:t xml:space="preserve">, experimental work confirms a strong behavioural relationship with rice as a host and shows that host-location and oviposition responses are mediated by plant cues (Sun </w:t>
      </w:r>
      <w:r>
        <w:rPr>
          <w:rFonts w:ascii="Times New Roman" w:hAnsi="Times New Roman" w:cs="Times New Roman"/>
          <w:i/>
          <w:iCs/>
        </w:rPr>
        <w:t>et al.,</w:t>
      </w:r>
      <w:r>
        <w:rPr>
          <w:rFonts w:ascii="Times New Roman" w:hAnsi="Times New Roman" w:cs="Times New Roman"/>
        </w:rPr>
        <w:t xml:space="preserve"> 2013). Accordingly, the present rice-associated record is biologically plausible and provides a basis for more detailed seasonal observations during crop stages that are susceptible to leaf-folder infestation. The same caution applies to </w:t>
      </w:r>
      <w:r>
        <w:rPr>
          <w:rFonts w:ascii="Times New Roman" w:hAnsi="Times New Roman" w:cs="Times New Roman"/>
          <w:i/>
          <w:iCs/>
        </w:rPr>
        <w:t>S. incertulas</w:t>
      </w:r>
      <w:r>
        <w:rPr>
          <w:rFonts w:ascii="Times New Roman" w:hAnsi="Times New Roman" w:cs="Times New Roman"/>
        </w:rPr>
        <w:t>: its occurrence on rice in the present inventory is consistent with a crop-linked association, but estimating its local importance would require replicated measurements of incidence and injury across fields and seasons.</w:t>
      </w:r>
    </w:p>
    <w:p w14:paraId="63CDA6B3" w14:textId="77777777" w:rsidR="00F9653B" w:rsidRPr="00C84177" w:rsidRDefault="00BB3990" w:rsidP="00C84177">
      <w:pPr>
        <w:spacing w:line="360" w:lineRule="auto"/>
        <w:jc w:val="both"/>
        <w:rPr>
          <w:rFonts w:ascii="Times New Roman" w:hAnsi="Times New Roman" w:cs="Times New Roman"/>
        </w:rPr>
      </w:pPr>
      <w:r>
        <w:rPr>
          <w:rFonts w:ascii="Times New Roman" w:hAnsi="Times New Roman" w:cs="Times New Roman"/>
          <w:b/>
        </w:rPr>
        <w:t>3.3 Host-restricted associations and crop-linked specialists</w:t>
      </w:r>
    </w:p>
    <w:p w14:paraId="6380FC10"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i/>
          <w:iCs/>
        </w:rPr>
        <w:t>Spodoptera litura</w:t>
      </w:r>
      <w:r>
        <w:rPr>
          <w:rFonts w:ascii="Times New Roman" w:hAnsi="Times New Roman" w:cs="Times New Roman"/>
        </w:rPr>
        <w:t xml:space="preserve"> was likewise recorded from hosts in Poaceae, Lamiaceae/Verbenaceae, and Euphorbiaceae in the present inventory. The ability of </w:t>
      </w:r>
      <w:r>
        <w:rPr>
          <w:rFonts w:ascii="Times New Roman" w:hAnsi="Times New Roman" w:cs="Times New Roman"/>
          <w:i/>
          <w:iCs/>
        </w:rPr>
        <w:t>S. litura</w:t>
      </w:r>
      <w:r>
        <w:rPr>
          <w:rFonts w:ascii="Times New Roman" w:hAnsi="Times New Roman" w:cs="Times New Roman"/>
        </w:rPr>
        <w:t xml:space="preserve"> to exploit chemically diverse host plants has been linked to expanded sensory and detoxification gene families, providing a mechanistic basis for its broad polyphagy (Cheng </w:t>
      </w:r>
      <w:r>
        <w:rPr>
          <w:rFonts w:ascii="Times New Roman" w:hAnsi="Times New Roman" w:cs="Times New Roman"/>
          <w:i/>
          <w:iCs/>
        </w:rPr>
        <w:t>et al.,</w:t>
      </w:r>
      <w:r>
        <w:rPr>
          <w:rFonts w:ascii="Times New Roman" w:hAnsi="Times New Roman" w:cs="Times New Roman"/>
        </w:rPr>
        <w:t xml:space="preserve"> 2017). Such plasticity can complicate crop-by-crop control because populations may persist on alternate cultivated or non-cultivated hosts when a preferred crop is unavailable. For this reason, host-association records are particularly useful when integrated with crop calendars and surrounding vegetation surveys. The present observations support the need to consider the agricultural mosaic rather than an individual field as the ecological unit for monitoring polyphagous pests. However, the current dataset does not quantify larval density, damage intensity, or host preference; therefore, management conclusions should be framed as hypotheses for subsequent field validation rather than as direct estimates of pest pressure.</w:t>
      </w:r>
    </w:p>
    <w:p w14:paraId="6652E640"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rPr>
        <w:t xml:space="preserve">The widest host range in the present dataset was recorded for </w:t>
      </w:r>
      <w:r>
        <w:rPr>
          <w:rFonts w:ascii="Times New Roman" w:hAnsi="Times New Roman" w:cs="Times New Roman"/>
          <w:i/>
        </w:rPr>
        <w:t>Helicoverpa armigera</w:t>
      </w:r>
      <w:r>
        <w:rPr>
          <w:rFonts w:ascii="Times New Roman" w:hAnsi="Times New Roman" w:cs="Times New Roman"/>
        </w:rPr>
        <w:t xml:space="preserve">, which was associated with six crop species spanning Fabaceae, Poaceae, and Solanaceae. This pattern is compatible with the well-established polyphagous ecology of </w:t>
      </w:r>
      <w:r>
        <w:rPr>
          <w:rFonts w:ascii="Times New Roman" w:hAnsi="Times New Roman" w:cs="Times New Roman"/>
          <w:i/>
        </w:rPr>
        <w:t>H. armigera</w:t>
      </w:r>
      <w:r>
        <w:rPr>
          <w:rFonts w:ascii="Times New Roman" w:hAnsi="Times New Roman" w:cs="Times New Roman"/>
        </w:rPr>
        <w:t xml:space="preserve">, but the local host records should not be interpreted as equivalent host suitability. Controlled studies have shown that larval survival, development time, pupal performance, and fecundity can differ markedly among host species, so the contribution of a crop to population persistence depends on both availability and nutritional suitability (Reigada </w:t>
      </w:r>
      <w:r>
        <w:rPr>
          <w:rFonts w:ascii="Times New Roman" w:hAnsi="Times New Roman" w:cs="Times New Roman"/>
          <w:i/>
          <w:iCs/>
        </w:rPr>
        <w:t>et al.,</w:t>
      </w:r>
      <w:r>
        <w:rPr>
          <w:rFonts w:ascii="Times New Roman" w:hAnsi="Times New Roman" w:cs="Times New Roman"/>
        </w:rPr>
        <w:t xml:space="preserve"> 2016). The occurrence </w:t>
      </w:r>
      <w:r>
        <w:rPr>
          <w:rFonts w:ascii="Times New Roman" w:hAnsi="Times New Roman" w:cs="Times New Roman"/>
        </w:rPr>
        <w:lastRenderedPageBreak/>
        <w:t xml:space="preserve">of </w:t>
      </w:r>
      <w:r>
        <w:rPr>
          <w:rFonts w:ascii="Times New Roman" w:hAnsi="Times New Roman" w:cs="Times New Roman"/>
          <w:i/>
          <w:iCs/>
        </w:rPr>
        <w:t>H. armigera</w:t>
      </w:r>
      <w:r>
        <w:rPr>
          <w:rFonts w:ascii="Times New Roman" w:hAnsi="Times New Roman" w:cs="Times New Roman"/>
        </w:rPr>
        <w:t xml:space="preserve"> across crops belonging to different plant families is therefore important from an agro-ecosystem perspective because asynchronous crop phenologies may provide sequential resources that permit persistence across seasons. This interpretation is also consistent with broader evolutionary evidence that generalist feeding in Lepidoptera is supported by flexible host-use strategies rather than uniform performance on every recorded host (Menken </w:t>
      </w:r>
      <w:r>
        <w:rPr>
          <w:rFonts w:ascii="Times New Roman" w:hAnsi="Times New Roman" w:cs="Times New Roman"/>
          <w:i/>
          <w:iCs/>
        </w:rPr>
        <w:t>et al.,</w:t>
      </w:r>
      <w:r>
        <w:rPr>
          <w:rFonts w:ascii="Times New Roman" w:hAnsi="Times New Roman" w:cs="Times New Roman"/>
        </w:rPr>
        <w:t xml:space="preserve"> 2010).</w:t>
      </w:r>
    </w:p>
    <w:p w14:paraId="1558096F" w14:textId="77777777" w:rsidR="00F9653B" w:rsidRPr="00C84177" w:rsidRDefault="00BB3990" w:rsidP="00C84177">
      <w:pPr>
        <w:spacing w:line="360" w:lineRule="auto"/>
        <w:jc w:val="both"/>
        <w:rPr>
          <w:rFonts w:ascii="Times New Roman" w:hAnsi="Times New Roman" w:cs="Times New Roman"/>
        </w:rPr>
      </w:pPr>
      <w:r>
        <w:rPr>
          <w:rFonts w:ascii="Times New Roman" w:hAnsi="Times New Roman" w:cs="Times New Roman"/>
          <w:b/>
        </w:rPr>
        <w:t>3.2 Host breadth and polyphagous pest complexes</w:t>
      </w:r>
    </w:p>
    <w:p w14:paraId="6D6E952E" w14:textId="77777777" w:rsidR="00F9653B" w:rsidRPr="00C84177" w:rsidRDefault="00BB3990" w:rsidP="003C03D9">
      <w:pPr>
        <w:spacing w:line="360" w:lineRule="auto"/>
        <w:ind w:firstLine="720"/>
        <w:jc w:val="both"/>
        <w:rPr>
          <w:rFonts w:ascii="Times New Roman" w:hAnsi="Times New Roman" w:cs="Times New Roman"/>
        </w:rPr>
      </w:pPr>
      <w:r>
        <w:rPr>
          <w:rFonts w:ascii="Times New Roman" w:hAnsi="Times New Roman" w:cs="Times New Roman"/>
        </w:rPr>
        <w:t>The survey recorded 34 moth species associated with 33 unique host-plant species from 16 plant families, indicating that the sampled agricultural and associated habitats supported a taxonomically and trophically heterogeneous moth assemblage. Because the sampling design was primarily inventory-based, these records are best interpreted as documented occurrence and feeding associations rather than estimates of relative abundance or statistically standardi</w:t>
      </w:r>
      <w:r>
        <w:rPr>
          <w:rFonts w:ascii="Times New Roman" w:hAnsi="Times New Roman" w:cs="Times New Roman"/>
          <w:highlight w:val="yellow"/>
        </w:rPr>
        <w:t>s</w:t>
      </w:r>
      <w:r>
        <w:rPr>
          <w:rFonts w:ascii="Times New Roman" w:hAnsi="Times New Roman" w:cs="Times New Roman"/>
        </w:rPr>
        <w:t>ed host preference. Nevertheless, the representation of Crambidae, Noctuidae, and Erebidae is ecologically consistent with the importance of these families in crop-dominated landscapes, where larval feeding guilds include leaf feeders, stem and shoot borers, fruit borers, and generalist defoliators. Broader syntheses show that moth assemblages respond to interacting effects of land use, habitat continuity, plant composition, and agricultural intensification, with substantial variation among regions and ecological guilds (Wagner et al., 2021). The present locality records therefore provide a useful starting point for repeated seasonal surveys in Kanpur, Lucknow, and Lakhimpur Kheri. Future sampling using standardi</w:t>
      </w:r>
      <w:r>
        <w:rPr>
          <w:rFonts w:ascii="Times New Roman" w:hAnsi="Times New Roman" w:cs="Times New Roman"/>
          <w:highlight w:val="yellow"/>
        </w:rPr>
        <w:t>s</w:t>
      </w:r>
      <w:r>
        <w:rPr>
          <w:rFonts w:ascii="Times New Roman" w:hAnsi="Times New Roman" w:cs="Times New Roman"/>
        </w:rPr>
        <w:t xml:space="preserve">ed effort, light trapping, larval counts, and repeated crop-stage observations would allow the current inventory to be converted into comparable estimates of richness, occupancy, and temporal turnover while retaining the host-association information that is central to pest ecology (Menken </w:t>
      </w:r>
      <w:r>
        <w:rPr>
          <w:rFonts w:ascii="Times New Roman" w:hAnsi="Times New Roman" w:cs="Times New Roman"/>
          <w:i/>
          <w:iCs/>
        </w:rPr>
        <w:t>et al</w:t>
      </w:r>
      <w:r>
        <w:rPr>
          <w:rFonts w:ascii="Times New Roman" w:hAnsi="Times New Roman" w:cs="Times New Roman"/>
        </w:rPr>
        <w:t xml:space="preserve">., 2010; Wagner </w:t>
      </w:r>
      <w:r>
        <w:rPr>
          <w:rFonts w:ascii="Times New Roman" w:hAnsi="Times New Roman" w:cs="Times New Roman"/>
          <w:i/>
          <w:iCs/>
        </w:rPr>
        <w:t>et al.,</w:t>
      </w:r>
      <w:r>
        <w:rPr>
          <w:rFonts w:ascii="Times New Roman" w:hAnsi="Times New Roman" w:cs="Times New Roman"/>
        </w:rPr>
        <w:t xml:space="preserve"> 2021).</w:t>
      </w:r>
    </w:p>
    <w:p w14:paraId="465DE5D8" w14:textId="77777777" w:rsidR="00F9653B" w:rsidRPr="00C84177" w:rsidRDefault="00BB3990" w:rsidP="00C84177">
      <w:pPr>
        <w:spacing w:line="360" w:lineRule="auto"/>
        <w:jc w:val="both"/>
        <w:rPr>
          <w:rFonts w:ascii="Times New Roman" w:hAnsi="Times New Roman" w:cs="Times New Roman"/>
        </w:rPr>
      </w:pPr>
      <w:r>
        <w:rPr>
          <w:rFonts w:ascii="Times New Roman" w:hAnsi="Times New Roman" w:cs="Times New Roman"/>
          <w:b/>
        </w:rPr>
        <w:t>3.1 Species composition and agro-ecosystem context</w:t>
      </w:r>
    </w:p>
    <w:p w14:paraId="1B476B1C" w14:textId="77777777" w:rsidR="000E687B" w:rsidRPr="00C84177" w:rsidRDefault="00015793" w:rsidP="00C84177">
      <w:pPr>
        <w:spacing w:line="360" w:lineRule="auto"/>
        <w:jc w:val="both"/>
        <w:rPr>
          <w:rFonts w:ascii="Times New Roman" w:hAnsi="Times New Roman" w:cs="Times New Roman"/>
        </w:rPr>
      </w:pPr>
      <w:r>
        <w:rPr>
          <w:rFonts w:ascii="Times New Roman" w:hAnsi="Times New Roman" w:cs="Times New Roman"/>
          <w:color w:val="000000" w:themeColor="text1"/>
        </w:rPr>
        <w:t>The recorded moth species and their host plants are tabulated below.</w:t>
      </w:r>
    </w:p>
    <w:p w14:paraId="1DE4CA45" w14:textId="77777777" w:rsidR="00F9653B" w:rsidRPr="00C84177" w:rsidRDefault="00BB3990" w:rsidP="00C84177">
      <w:pPr>
        <w:spacing w:line="360" w:lineRule="auto"/>
        <w:jc w:val="both"/>
        <w:rPr>
          <w:rFonts w:ascii="Times New Roman" w:hAnsi="Times New Roman" w:cs="Times New Roman"/>
        </w:rPr>
      </w:pPr>
      <w:r>
        <w:rPr>
          <w:rFonts w:ascii="Times New Roman" w:hAnsi="Times New Roman" w:cs="Times New Roman"/>
          <w:b/>
        </w:rPr>
        <w:t>Table 1. Moth species, recorded host plants, plant families, and collection localities documented during the survey in Uttar Pradesh, India.</w:t>
      </w:r>
    </w:p>
    <w:tbl>
      <w:tblPr>
        <w:tblStyle w:val="TableGrid"/>
        <w:tblW w:w="9180" w:type="dxa"/>
        <w:tblInd w:w="108" w:type="dxa"/>
        <w:tblLook w:val="04A0" w:firstRow="1" w:lastRow="0" w:firstColumn="1" w:lastColumn="0" w:noHBand="0" w:noVBand="1"/>
      </w:tblPr>
      <w:tblGrid>
        <w:gridCol w:w="990"/>
        <w:gridCol w:w="2160"/>
        <w:gridCol w:w="3780"/>
        <w:gridCol w:w="2250"/>
      </w:tblGrid>
      <w:tr w:rsidR="000E687B" w:rsidRPr="00F27AA9" w14:paraId="0F5C649E" w14:textId="77777777" w:rsidTr="0019772C">
        <w:trPr>
          <w:trHeight w:val="20"/>
        </w:trPr>
        <w:tc>
          <w:tcPr>
            <w:tcW w:w="990" w:type="dxa"/>
            <w:vAlign w:val="center"/>
          </w:tcPr>
          <w:p w14:paraId="6D307C46"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Sr. No.</w:t>
            </w:r>
          </w:p>
        </w:tc>
        <w:tc>
          <w:tcPr>
            <w:tcW w:w="2160" w:type="dxa"/>
            <w:noWrap/>
            <w:vAlign w:val="center"/>
          </w:tcPr>
          <w:p w14:paraId="781C8702"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Moths</w:t>
            </w:r>
          </w:p>
        </w:tc>
        <w:tc>
          <w:tcPr>
            <w:tcW w:w="3780" w:type="dxa"/>
            <w:noWrap/>
            <w:vAlign w:val="center"/>
          </w:tcPr>
          <w:p w14:paraId="7974420C"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Host Plant</w:t>
            </w:r>
          </w:p>
        </w:tc>
        <w:tc>
          <w:tcPr>
            <w:tcW w:w="2250" w:type="dxa"/>
            <w:vAlign w:val="center"/>
          </w:tcPr>
          <w:p w14:paraId="7C16BCF8"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Location</w:t>
            </w:r>
          </w:p>
        </w:tc>
      </w:tr>
      <w:tr w:rsidR="000E687B" w:rsidRPr="00F27AA9" w14:paraId="78D872CF" w14:textId="77777777" w:rsidTr="0019772C">
        <w:trPr>
          <w:trHeight w:val="20"/>
        </w:trPr>
        <w:tc>
          <w:tcPr>
            <w:tcW w:w="990" w:type="dxa"/>
            <w:vAlign w:val="center"/>
          </w:tcPr>
          <w:p w14:paraId="668CB1E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E90CC3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Bombyx mori</w:t>
            </w:r>
          </w:p>
        </w:tc>
        <w:tc>
          <w:tcPr>
            <w:tcW w:w="3780" w:type="dxa"/>
            <w:noWrap/>
            <w:vAlign w:val="center"/>
            <w:hideMark/>
          </w:tcPr>
          <w:p w14:paraId="53F7651F"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Morus alba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Moraceae</w:t>
            </w:r>
            <w:proofErr w:type="spellEnd"/>
            <w:r w:rsidRPr="00F27AA9">
              <w:rPr>
                <w:rFonts w:ascii="Times New Roman" w:hAnsi="Times New Roman" w:cs="Times New Roman"/>
                <w:lang w:val="en-US" w:bidi="hi-IN"/>
              </w:rPr>
              <w:t>)</w:t>
            </w:r>
          </w:p>
        </w:tc>
        <w:tc>
          <w:tcPr>
            <w:tcW w:w="2250" w:type="dxa"/>
            <w:vAlign w:val="center"/>
          </w:tcPr>
          <w:p w14:paraId="54EF3BDD"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lang w:val="en-US" w:bidi="hi-IN"/>
              </w:rPr>
              <w:t>Bighapur Kanpur</w:t>
            </w:r>
          </w:p>
        </w:tc>
      </w:tr>
      <w:tr w:rsidR="000E687B" w:rsidRPr="00F27AA9" w14:paraId="06185372" w14:textId="77777777" w:rsidTr="0019772C">
        <w:trPr>
          <w:trHeight w:val="20"/>
        </w:trPr>
        <w:tc>
          <w:tcPr>
            <w:tcW w:w="990" w:type="dxa"/>
            <w:vAlign w:val="center"/>
          </w:tcPr>
          <w:p w14:paraId="22B9742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FA8AC18"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Eupterote</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gardneri</w:t>
            </w:r>
            <w:proofErr w:type="spellEnd"/>
          </w:p>
        </w:tc>
        <w:tc>
          <w:tcPr>
            <w:tcW w:w="3780" w:type="dxa"/>
            <w:noWrap/>
            <w:vAlign w:val="center"/>
            <w:hideMark/>
          </w:tcPr>
          <w:p w14:paraId="44DEDE99"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Ricinus communis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350E712B"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lang w:val="en-US" w:bidi="hi-IN"/>
              </w:rPr>
              <w:t>Gola Lakhimpur Kheri</w:t>
            </w:r>
          </w:p>
        </w:tc>
      </w:tr>
      <w:tr w:rsidR="000E687B" w:rsidRPr="00F27AA9" w14:paraId="62D9D34B" w14:textId="77777777" w:rsidTr="0019772C">
        <w:trPr>
          <w:trHeight w:val="20"/>
        </w:trPr>
        <w:tc>
          <w:tcPr>
            <w:tcW w:w="990" w:type="dxa"/>
            <w:vAlign w:val="center"/>
          </w:tcPr>
          <w:p w14:paraId="6E45E134"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09DD68DA"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Mocis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frugalis</w:t>
            </w:r>
            <w:proofErr w:type="spellEnd"/>
          </w:p>
        </w:tc>
        <w:tc>
          <w:tcPr>
            <w:tcW w:w="3780" w:type="dxa"/>
            <w:noWrap/>
            <w:vAlign w:val="center"/>
            <w:hideMark/>
          </w:tcPr>
          <w:p w14:paraId="0E0C2879"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Sorghum bicolor, Zea mays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0379630E" w14:textId="77777777" w:rsidR="000E687B" w:rsidRPr="00F27AA9" w:rsidRDefault="000E687B" w:rsidP="0019772C">
            <w:pPr>
              <w:spacing w:after="0"/>
              <w:rPr>
                <w:rFonts w:ascii="Times New Roman" w:hAnsi="Times New Roman" w:cs="Times New Roman"/>
                <w:lang w:val="en-US" w:bidi="hi-IN"/>
              </w:rPr>
            </w:pPr>
            <w:proofErr w:type="spellStart"/>
            <w:r w:rsidRPr="00F27AA9">
              <w:rPr>
                <w:rFonts w:ascii="Times New Roman" w:hAnsi="Times New Roman" w:cs="Times New Roman"/>
                <w:lang w:val="en-US" w:bidi="hi-IN"/>
              </w:rPr>
              <w:t>Paliya</w:t>
            </w:r>
            <w:proofErr w:type="spellEnd"/>
            <w:r w:rsidRPr="00F27AA9">
              <w:rPr>
                <w:rFonts w:ascii="Times New Roman" w:hAnsi="Times New Roman" w:cs="Times New Roman"/>
                <w:lang w:val="en-US" w:bidi="hi-IN"/>
              </w:rPr>
              <w:t>, Lakhimpur Kheri</w:t>
            </w:r>
          </w:p>
        </w:tc>
      </w:tr>
      <w:tr w:rsidR="000E687B" w:rsidRPr="00F27AA9" w14:paraId="2C56A3AC" w14:textId="77777777" w:rsidTr="0019772C">
        <w:trPr>
          <w:trHeight w:val="20"/>
        </w:trPr>
        <w:tc>
          <w:tcPr>
            <w:tcW w:w="990" w:type="dxa"/>
            <w:vAlign w:val="center"/>
          </w:tcPr>
          <w:p w14:paraId="598BE1D3"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66345F9"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Mocis</w:t>
            </w:r>
            <w:proofErr w:type="spellEnd"/>
            <w:r w:rsidRPr="00F27AA9">
              <w:rPr>
                <w:rFonts w:ascii="Times New Roman" w:hAnsi="Times New Roman" w:cs="Times New Roman"/>
                <w:i/>
                <w:iCs/>
                <w:lang w:val="en-US" w:bidi="hi-IN"/>
              </w:rPr>
              <w:t xml:space="preserve"> undata</w:t>
            </w:r>
          </w:p>
        </w:tc>
        <w:tc>
          <w:tcPr>
            <w:tcW w:w="3780" w:type="dxa"/>
            <w:noWrap/>
            <w:vAlign w:val="center"/>
            <w:hideMark/>
          </w:tcPr>
          <w:p w14:paraId="098057FF"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Vigna </w:t>
            </w:r>
            <w:proofErr w:type="gramStart"/>
            <w:r w:rsidRPr="00F27AA9">
              <w:rPr>
                <w:rFonts w:ascii="Times New Roman" w:hAnsi="Times New Roman" w:cs="Times New Roman"/>
                <w:i/>
                <w:iCs/>
                <w:lang w:val="en-US" w:bidi="hi-IN"/>
              </w:rPr>
              <w:t>mungo,  Cajanus</w:t>
            </w:r>
            <w:proofErr w:type="gram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i/>
                <w:iCs/>
                <w:lang w:val="en-US" w:bidi="hi-IN"/>
              </w:rPr>
              <w:t>, Vigna unguiculata</w:t>
            </w:r>
            <w:r w:rsidRPr="00F27AA9">
              <w:rPr>
                <w:rFonts w:ascii="Times New Roman" w:hAnsi="Times New Roman" w:cs="Times New Roman"/>
                <w:lang w:val="en-US" w:bidi="hi-IN"/>
              </w:rPr>
              <w:t xml:space="preserve"> (Fabaceae),</w:t>
            </w:r>
          </w:p>
        </w:tc>
        <w:tc>
          <w:tcPr>
            <w:tcW w:w="2250" w:type="dxa"/>
            <w:vAlign w:val="center"/>
          </w:tcPr>
          <w:p w14:paraId="1BBC92C0"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Daleepnagar</w:t>
            </w:r>
            <w:proofErr w:type="spellEnd"/>
            <w:r w:rsidRPr="00F27AA9">
              <w:rPr>
                <w:rFonts w:ascii="Times New Roman" w:hAnsi="Times New Roman" w:cs="Times New Roman"/>
              </w:rPr>
              <w:t>, Kanpur</w:t>
            </w:r>
          </w:p>
        </w:tc>
      </w:tr>
      <w:tr w:rsidR="000E687B" w:rsidRPr="00F27AA9" w14:paraId="52353430" w14:textId="77777777" w:rsidTr="0019772C">
        <w:trPr>
          <w:trHeight w:val="20"/>
        </w:trPr>
        <w:tc>
          <w:tcPr>
            <w:tcW w:w="990" w:type="dxa"/>
            <w:vAlign w:val="center"/>
          </w:tcPr>
          <w:p w14:paraId="12D1C1BF"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4028213"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Achaea </w:t>
            </w:r>
            <w:proofErr w:type="spellStart"/>
            <w:r w:rsidRPr="00F27AA9">
              <w:rPr>
                <w:rFonts w:ascii="Times New Roman" w:hAnsi="Times New Roman" w:cs="Times New Roman"/>
                <w:i/>
                <w:iCs/>
                <w:lang w:val="en-US" w:bidi="hi-IN"/>
              </w:rPr>
              <w:t>janata</w:t>
            </w:r>
            <w:proofErr w:type="spellEnd"/>
          </w:p>
        </w:tc>
        <w:tc>
          <w:tcPr>
            <w:tcW w:w="3780" w:type="dxa"/>
            <w:noWrap/>
            <w:vAlign w:val="center"/>
            <w:hideMark/>
          </w:tcPr>
          <w:p w14:paraId="3F44C388"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Ricinus communis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4C0E0DD3"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58F8B749" w14:textId="77777777" w:rsidTr="0019772C">
        <w:trPr>
          <w:trHeight w:val="20"/>
        </w:trPr>
        <w:tc>
          <w:tcPr>
            <w:tcW w:w="990" w:type="dxa"/>
            <w:vAlign w:val="center"/>
          </w:tcPr>
          <w:p w14:paraId="5E1FFBCA"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0C0B52DF"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Amyna punctum</w:t>
            </w:r>
          </w:p>
        </w:tc>
        <w:tc>
          <w:tcPr>
            <w:tcW w:w="3780" w:type="dxa"/>
            <w:noWrap/>
            <w:vAlign w:val="center"/>
            <w:hideMark/>
          </w:tcPr>
          <w:p w14:paraId="2976EA5D"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Triticum aestivum</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5209B1D9"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A7A959D" w14:textId="77777777" w:rsidTr="0019772C">
        <w:trPr>
          <w:trHeight w:val="20"/>
        </w:trPr>
        <w:tc>
          <w:tcPr>
            <w:tcW w:w="990" w:type="dxa"/>
            <w:vAlign w:val="center"/>
          </w:tcPr>
          <w:p w14:paraId="589C431C"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7DC76FF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Helicoverpa armigera</w:t>
            </w:r>
          </w:p>
        </w:tc>
        <w:tc>
          <w:tcPr>
            <w:tcW w:w="3780" w:type="dxa"/>
            <w:noWrap/>
            <w:vAlign w:val="center"/>
            <w:hideMark/>
          </w:tcPr>
          <w:p w14:paraId="671F8563"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Arachis hypogaea, Cajanus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i/>
                <w:iCs/>
                <w:lang w:val="en-US" w:bidi="hi-IN"/>
              </w:rPr>
              <w:t>, Pisum sativum</w:t>
            </w:r>
            <w:r w:rsidRPr="00F27AA9">
              <w:rPr>
                <w:rFonts w:ascii="Times New Roman" w:hAnsi="Times New Roman" w:cs="Times New Roman"/>
                <w:lang w:val="en-US" w:bidi="hi-IN"/>
              </w:rPr>
              <w:t xml:space="preserve"> (Fabaceae), </w:t>
            </w:r>
            <w:r w:rsidRPr="00F27AA9">
              <w:rPr>
                <w:rFonts w:ascii="Times New Roman" w:hAnsi="Times New Roman" w:cs="Times New Roman"/>
                <w:i/>
                <w:iCs/>
                <w:lang w:val="en-US" w:bidi="hi-IN"/>
              </w:rPr>
              <w:t>Sorghum bicolor</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 xml:space="preserve">Solanum </w:t>
            </w:r>
            <w:proofErr w:type="spellStart"/>
            <w:r w:rsidRPr="00F27AA9">
              <w:rPr>
                <w:rFonts w:ascii="Times New Roman" w:hAnsi="Times New Roman" w:cs="Times New Roman"/>
                <w:i/>
                <w:iCs/>
                <w:lang w:val="en-US" w:bidi="hi-IN"/>
              </w:rPr>
              <w:t>lycopersicum</w:t>
            </w:r>
            <w:proofErr w:type="spellEnd"/>
            <w:r w:rsidRPr="00F27AA9">
              <w:rPr>
                <w:rFonts w:ascii="Times New Roman" w:hAnsi="Times New Roman" w:cs="Times New Roman"/>
                <w:i/>
                <w:iCs/>
                <w:lang w:val="en-US" w:bidi="hi-IN"/>
              </w:rPr>
              <w:t xml:space="preserve"> </w:t>
            </w:r>
            <w:r w:rsidRPr="00F27AA9">
              <w:rPr>
                <w:rFonts w:ascii="Times New Roman" w:hAnsi="Times New Roman" w:cs="Times New Roman"/>
                <w:lang w:val="en-US" w:bidi="hi-IN"/>
              </w:rPr>
              <w:t>(Solanaceae),</w:t>
            </w:r>
          </w:p>
        </w:tc>
        <w:tc>
          <w:tcPr>
            <w:tcW w:w="2250" w:type="dxa"/>
            <w:vAlign w:val="center"/>
          </w:tcPr>
          <w:p w14:paraId="3F4D1064"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rPr>
              <w:t xml:space="preserve">CSA, </w:t>
            </w:r>
            <w:proofErr w:type="spellStart"/>
            <w:r w:rsidRPr="00F27AA9">
              <w:rPr>
                <w:rFonts w:ascii="Times New Roman" w:hAnsi="Times New Roman" w:cs="Times New Roman"/>
              </w:rPr>
              <w:t>Dileepnagr</w:t>
            </w:r>
            <w:proofErr w:type="spellEnd"/>
            <w:r w:rsidRPr="00F27AA9">
              <w:rPr>
                <w:rFonts w:ascii="Times New Roman" w:hAnsi="Times New Roman" w:cs="Times New Roman"/>
              </w:rPr>
              <w:t xml:space="preserve">, </w:t>
            </w:r>
            <w:proofErr w:type="spellStart"/>
            <w:r w:rsidRPr="00F27AA9">
              <w:rPr>
                <w:rFonts w:ascii="Times New Roman" w:hAnsi="Times New Roman" w:cs="Times New Roman"/>
              </w:rPr>
              <w:t>Ghatampur</w:t>
            </w:r>
            <w:proofErr w:type="spellEnd"/>
            <w:r w:rsidRPr="00F27AA9">
              <w:rPr>
                <w:rFonts w:ascii="Times New Roman" w:hAnsi="Times New Roman" w:cs="Times New Roman"/>
              </w:rPr>
              <w:t xml:space="preserve">, Kanpur; </w:t>
            </w:r>
            <w:proofErr w:type="spellStart"/>
            <w:r w:rsidRPr="00F27AA9">
              <w:rPr>
                <w:rFonts w:ascii="Times New Roman" w:hAnsi="Times New Roman" w:cs="Times New Roman"/>
              </w:rPr>
              <w:t>Kakori</w:t>
            </w:r>
            <w:proofErr w:type="spellEnd"/>
            <w:r w:rsidRPr="00F27AA9">
              <w:rPr>
                <w:rFonts w:ascii="Times New Roman" w:hAnsi="Times New Roman" w:cs="Times New Roman"/>
              </w:rPr>
              <w:t xml:space="preserve">, Lucknow, Gola, </w:t>
            </w:r>
            <w:proofErr w:type="spellStart"/>
            <w:r w:rsidRPr="00F27AA9">
              <w:rPr>
                <w:rFonts w:ascii="Times New Roman" w:hAnsi="Times New Roman" w:cs="Times New Roman"/>
              </w:rPr>
              <w:t>Paliya</w:t>
            </w:r>
            <w:proofErr w:type="spellEnd"/>
            <w:r w:rsidRPr="00F27AA9">
              <w:rPr>
                <w:rFonts w:ascii="Times New Roman" w:hAnsi="Times New Roman" w:cs="Times New Roman"/>
              </w:rPr>
              <w:t xml:space="preserve"> </w:t>
            </w:r>
            <w:r w:rsidRPr="00F27AA9">
              <w:rPr>
                <w:rFonts w:ascii="Times New Roman" w:hAnsi="Times New Roman" w:cs="Times New Roman"/>
                <w:i/>
                <w:iCs/>
                <w:lang w:val="en-US" w:bidi="hi-IN"/>
              </w:rPr>
              <w:t>Lakhimpur Kheri</w:t>
            </w:r>
          </w:p>
        </w:tc>
      </w:tr>
      <w:tr w:rsidR="000E687B" w:rsidRPr="00F27AA9" w14:paraId="7EE19CA3" w14:textId="77777777" w:rsidTr="0019772C">
        <w:trPr>
          <w:trHeight w:val="20"/>
        </w:trPr>
        <w:tc>
          <w:tcPr>
            <w:tcW w:w="990" w:type="dxa"/>
            <w:vAlign w:val="center"/>
          </w:tcPr>
          <w:p w14:paraId="1BCA4DE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B1A59C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Mythimna</w:t>
            </w:r>
            <w:proofErr w:type="spellEnd"/>
            <w:r w:rsidRPr="00F27AA9">
              <w:rPr>
                <w:rFonts w:ascii="Times New Roman" w:hAnsi="Times New Roman" w:cs="Times New Roman"/>
                <w:i/>
                <w:iCs/>
                <w:lang w:val="en-US" w:bidi="hi-IN"/>
              </w:rPr>
              <w:t xml:space="preserve"> separata</w:t>
            </w:r>
          </w:p>
        </w:tc>
        <w:tc>
          <w:tcPr>
            <w:tcW w:w="3780" w:type="dxa"/>
            <w:noWrap/>
            <w:vAlign w:val="center"/>
            <w:hideMark/>
          </w:tcPr>
          <w:p w14:paraId="7CF3D5A0"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Zea mays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Sorghum bicolor</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31575842"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B459369" w14:textId="77777777" w:rsidTr="0019772C">
        <w:trPr>
          <w:trHeight w:val="20"/>
        </w:trPr>
        <w:tc>
          <w:tcPr>
            <w:tcW w:w="990" w:type="dxa"/>
            <w:vAlign w:val="center"/>
          </w:tcPr>
          <w:p w14:paraId="3043100D"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7CB9FDC"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Agrotis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ipsilon</w:t>
            </w:r>
            <w:proofErr w:type="spellEnd"/>
          </w:p>
        </w:tc>
        <w:tc>
          <w:tcPr>
            <w:tcW w:w="3780" w:type="dxa"/>
            <w:noWrap/>
            <w:vAlign w:val="center"/>
            <w:hideMark/>
          </w:tcPr>
          <w:p w14:paraId="79C08C4A"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Cajanus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i/>
                <w:iCs/>
                <w:lang w:val="en-US" w:bidi="hi-IN"/>
              </w:rPr>
              <w:t>, Vigna mungo</w:t>
            </w:r>
            <w:r w:rsidRPr="00F27AA9">
              <w:rPr>
                <w:rFonts w:ascii="Times New Roman" w:hAnsi="Times New Roman" w:cs="Times New Roman"/>
                <w:lang w:val="en-US" w:bidi="hi-IN"/>
              </w:rPr>
              <w:t xml:space="preserve"> (Fabaceae),</w:t>
            </w:r>
          </w:p>
        </w:tc>
        <w:tc>
          <w:tcPr>
            <w:tcW w:w="2250" w:type="dxa"/>
            <w:vAlign w:val="center"/>
          </w:tcPr>
          <w:p w14:paraId="6AD2FD2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E40545F" w14:textId="77777777" w:rsidTr="0019772C">
        <w:trPr>
          <w:trHeight w:val="20"/>
        </w:trPr>
        <w:tc>
          <w:tcPr>
            <w:tcW w:w="990" w:type="dxa"/>
            <w:vAlign w:val="center"/>
          </w:tcPr>
          <w:p w14:paraId="7734F47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45926FF6"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Agrotis</w:t>
            </w:r>
            <w:proofErr w:type="spellEnd"/>
            <w:r w:rsidRPr="00F27AA9">
              <w:rPr>
                <w:rFonts w:ascii="Times New Roman" w:hAnsi="Times New Roman" w:cs="Times New Roman"/>
                <w:i/>
                <w:iCs/>
                <w:lang w:val="en-US" w:bidi="hi-IN"/>
              </w:rPr>
              <w:t xml:space="preserve"> segetum</w:t>
            </w:r>
          </w:p>
        </w:tc>
        <w:tc>
          <w:tcPr>
            <w:tcW w:w="3780" w:type="dxa"/>
            <w:noWrap/>
            <w:vAlign w:val="center"/>
            <w:hideMark/>
          </w:tcPr>
          <w:p w14:paraId="1DDE1333"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Cucumis sativus</w:t>
            </w:r>
            <w:r w:rsidRPr="00F27AA9">
              <w:rPr>
                <w:rFonts w:ascii="Times New Roman" w:hAnsi="Times New Roman" w:cs="Times New Roman"/>
                <w:lang w:val="en-US" w:bidi="hi-IN"/>
              </w:rPr>
              <w:t xml:space="preserve"> (Cucurbitaceae)</w:t>
            </w:r>
          </w:p>
        </w:tc>
        <w:tc>
          <w:tcPr>
            <w:tcW w:w="2250" w:type="dxa"/>
            <w:vAlign w:val="center"/>
          </w:tcPr>
          <w:p w14:paraId="6B93556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Gola, Lakhimpur Kheri</w:t>
            </w:r>
          </w:p>
        </w:tc>
      </w:tr>
      <w:tr w:rsidR="000E687B" w:rsidRPr="00F27AA9" w14:paraId="1FC744E6" w14:textId="77777777" w:rsidTr="0019772C">
        <w:trPr>
          <w:trHeight w:val="20"/>
        </w:trPr>
        <w:tc>
          <w:tcPr>
            <w:tcW w:w="990" w:type="dxa"/>
            <w:vAlign w:val="center"/>
          </w:tcPr>
          <w:p w14:paraId="54F16F0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4D3DCB1E"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Dysgonia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torrida</w:t>
            </w:r>
            <w:proofErr w:type="spellEnd"/>
          </w:p>
        </w:tc>
        <w:tc>
          <w:tcPr>
            <w:tcW w:w="3780" w:type="dxa"/>
            <w:noWrap/>
            <w:vAlign w:val="center"/>
          </w:tcPr>
          <w:p w14:paraId="56A61AB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Ricinus communis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3D5C7A29"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14D677E9" w14:textId="77777777" w:rsidTr="0019772C">
        <w:trPr>
          <w:trHeight w:val="20"/>
        </w:trPr>
        <w:tc>
          <w:tcPr>
            <w:tcW w:w="990" w:type="dxa"/>
            <w:vAlign w:val="center"/>
          </w:tcPr>
          <w:p w14:paraId="3AAAE26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48BC61C2"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Grammodes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geometrica</w:t>
            </w:r>
            <w:proofErr w:type="spellEnd"/>
          </w:p>
        </w:tc>
        <w:tc>
          <w:tcPr>
            <w:tcW w:w="3780" w:type="dxa"/>
            <w:noWrap/>
            <w:vAlign w:val="center"/>
          </w:tcPr>
          <w:p w14:paraId="7DFF2F3B"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Zizyphus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mauritiana</w:t>
            </w:r>
            <w:proofErr w:type="spellEnd"/>
            <w:r w:rsidRPr="00F27AA9">
              <w:rPr>
                <w:rFonts w:ascii="Times New Roman" w:hAnsi="Times New Roman" w:cs="Times New Roman"/>
                <w:i/>
                <w:iCs/>
                <w:lang w:val="en-US" w:bidi="hi-IN"/>
              </w:rPr>
              <w:t xml:space="preserve"> </w:t>
            </w:r>
            <w:r w:rsidRPr="00F27AA9">
              <w:rPr>
                <w:rFonts w:ascii="Times New Roman" w:hAnsi="Times New Roman" w:cs="Times New Roman"/>
                <w:lang w:val="en-US" w:bidi="hi-IN"/>
              </w:rPr>
              <w:t>(Rhamnaceae)</w:t>
            </w:r>
          </w:p>
        </w:tc>
        <w:tc>
          <w:tcPr>
            <w:tcW w:w="2250" w:type="dxa"/>
            <w:vAlign w:val="center"/>
          </w:tcPr>
          <w:p w14:paraId="41C3EFE2"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4CD4C2C" w14:textId="77777777" w:rsidTr="0019772C">
        <w:trPr>
          <w:trHeight w:val="20"/>
        </w:trPr>
        <w:tc>
          <w:tcPr>
            <w:tcW w:w="990" w:type="dxa"/>
            <w:vAlign w:val="center"/>
          </w:tcPr>
          <w:p w14:paraId="02C2F213"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0BCD80DF"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Spodoptera exigua</w:t>
            </w:r>
          </w:p>
        </w:tc>
        <w:tc>
          <w:tcPr>
            <w:tcW w:w="3780" w:type="dxa"/>
            <w:noWrap/>
            <w:vAlign w:val="center"/>
            <w:hideMark/>
          </w:tcPr>
          <w:p w14:paraId="65D5A6CE"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Glycine max</w:t>
            </w:r>
            <w:r w:rsidRPr="00F27AA9">
              <w:rPr>
                <w:rFonts w:ascii="Times New Roman" w:hAnsi="Times New Roman" w:cs="Times New Roman"/>
                <w:lang w:val="en-US" w:bidi="hi-IN"/>
              </w:rPr>
              <w:t xml:space="preserve"> (Fabaceae), </w:t>
            </w:r>
            <w:r w:rsidRPr="00F27AA9">
              <w:rPr>
                <w:rFonts w:ascii="Times New Roman" w:hAnsi="Times New Roman" w:cs="Times New Roman"/>
                <w:i/>
                <w:iCs/>
                <w:lang w:val="en-US" w:bidi="hi-IN"/>
              </w:rPr>
              <w:t>Solanum melongena</w:t>
            </w:r>
            <w:r w:rsidRPr="00F27AA9">
              <w:rPr>
                <w:rFonts w:ascii="Times New Roman" w:hAnsi="Times New Roman" w:cs="Times New Roman"/>
                <w:lang w:val="en-US" w:bidi="hi-IN"/>
              </w:rPr>
              <w:t xml:space="preserve"> (Solanaceae)</w:t>
            </w:r>
          </w:p>
        </w:tc>
        <w:tc>
          <w:tcPr>
            <w:tcW w:w="2250" w:type="dxa"/>
            <w:vAlign w:val="center"/>
          </w:tcPr>
          <w:p w14:paraId="506D1BB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F043982" w14:textId="77777777" w:rsidTr="0019772C">
        <w:trPr>
          <w:trHeight w:val="20"/>
        </w:trPr>
        <w:tc>
          <w:tcPr>
            <w:tcW w:w="990" w:type="dxa"/>
            <w:vAlign w:val="center"/>
          </w:tcPr>
          <w:p w14:paraId="52EFDDC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571C9C39"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Earias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vittella</w:t>
            </w:r>
            <w:proofErr w:type="spellEnd"/>
          </w:p>
        </w:tc>
        <w:tc>
          <w:tcPr>
            <w:tcW w:w="3780" w:type="dxa"/>
            <w:noWrap/>
            <w:vAlign w:val="center"/>
            <w:hideMark/>
          </w:tcPr>
          <w:p w14:paraId="7FA20AA0"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Abelmoschus esculentus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Malvaceae</w:t>
            </w:r>
            <w:proofErr w:type="spellEnd"/>
            <w:r w:rsidRPr="00F27AA9">
              <w:rPr>
                <w:rFonts w:ascii="Times New Roman" w:hAnsi="Times New Roman" w:cs="Times New Roman"/>
                <w:lang w:val="en-US" w:bidi="hi-IN"/>
              </w:rPr>
              <w:t>)</w:t>
            </w:r>
          </w:p>
        </w:tc>
        <w:tc>
          <w:tcPr>
            <w:tcW w:w="2250" w:type="dxa"/>
            <w:vAlign w:val="center"/>
          </w:tcPr>
          <w:p w14:paraId="067E86C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 xml:space="preserve">CSA, Kanpur; </w:t>
            </w:r>
            <w:proofErr w:type="spellStart"/>
            <w:r w:rsidRPr="00F27AA9">
              <w:rPr>
                <w:rFonts w:ascii="Times New Roman" w:hAnsi="Times New Roman" w:cs="Times New Roman"/>
              </w:rPr>
              <w:t>Kakori</w:t>
            </w:r>
            <w:proofErr w:type="spellEnd"/>
            <w:r w:rsidRPr="00F27AA9">
              <w:rPr>
                <w:rFonts w:ascii="Times New Roman" w:hAnsi="Times New Roman" w:cs="Times New Roman"/>
              </w:rPr>
              <w:t>, Lucknow,</w:t>
            </w:r>
          </w:p>
        </w:tc>
      </w:tr>
      <w:tr w:rsidR="000E687B" w:rsidRPr="00F27AA9" w14:paraId="25E6A2E0" w14:textId="77777777" w:rsidTr="0019772C">
        <w:trPr>
          <w:trHeight w:val="20"/>
        </w:trPr>
        <w:tc>
          <w:tcPr>
            <w:tcW w:w="990" w:type="dxa"/>
            <w:vAlign w:val="center"/>
          </w:tcPr>
          <w:p w14:paraId="201F0E3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27018B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Chilo </w:t>
            </w:r>
            <w:proofErr w:type="spellStart"/>
            <w:r w:rsidRPr="00F27AA9">
              <w:rPr>
                <w:rFonts w:ascii="Times New Roman" w:hAnsi="Times New Roman" w:cs="Times New Roman"/>
                <w:i/>
                <w:iCs/>
                <w:lang w:val="en-US" w:bidi="hi-IN"/>
              </w:rPr>
              <w:t>auricilius</w:t>
            </w:r>
            <w:proofErr w:type="spellEnd"/>
          </w:p>
        </w:tc>
        <w:tc>
          <w:tcPr>
            <w:tcW w:w="3780" w:type="dxa"/>
            <w:noWrap/>
            <w:vAlign w:val="center"/>
            <w:hideMark/>
          </w:tcPr>
          <w:p w14:paraId="0171C136"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Saccharum officinarum, Zea mays, Oryza sativa, </w:t>
            </w:r>
            <w:proofErr w:type="spellStart"/>
            <w:r w:rsidRPr="00F27AA9">
              <w:rPr>
                <w:rFonts w:ascii="Times New Roman" w:hAnsi="Times New Roman" w:cs="Times New Roman"/>
                <w:i/>
                <w:iCs/>
                <w:lang w:val="en-US" w:bidi="hi-IN"/>
              </w:rPr>
              <w:t>orghum</w:t>
            </w:r>
            <w:proofErr w:type="spellEnd"/>
            <w:r w:rsidRPr="00F27AA9">
              <w:rPr>
                <w:rFonts w:ascii="Times New Roman" w:hAnsi="Times New Roman" w:cs="Times New Roman"/>
                <w:i/>
                <w:iCs/>
                <w:lang w:val="en-US" w:bidi="hi-IN"/>
              </w:rPr>
              <w:t xml:space="preserve"> bicolor</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040DF11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Gola, Lakhimpur Kheri</w:t>
            </w:r>
          </w:p>
        </w:tc>
      </w:tr>
      <w:tr w:rsidR="000E687B" w:rsidRPr="00F27AA9" w14:paraId="545E7BB3" w14:textId="77777777" w:rsidTr="0019772C">
        <w:trPr>
          <w:trHeight w:val="20"/>
        </w:trPr>
        <w:tc>
          <w:tcPr>
            <w:tcW w:w="990" w:type="dxa"/>
            <w:vAlign w:val="center"/>
          </w:tcPr>
          <w:p w14:paraId="1C032E19"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410C2A8B"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Spoladea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recurvalis</w:t>
            </w:r>
            <w:proofErr w:type="spellEnd"/>
          </w:p>
        </w:tc>
        <w:tc>
          <w:tcPr>
            <w:tcW w:w="3780" w:type="dxa"/>
            <w:noWrap/>
            <w:vAlign w:val="center"/>
            <w:hideMark/>
          </w:tcPr>
          <w:p w14:paraId="0AC8F433"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Vigna radiata</w:t>
            </w:r>
            <w:r w:rsidRPr="00F27AA9">
              <w:rPr>
                <w:rFonts w:ascii="Times New Roman" w:hAnsi="Times New Roman" w:cs="Times New Roman"/>
                <w:lang w:val="en-US" w:bidi="hi-IN"/>
              </w:rPr>
              <w:t xml:space="preserve"> (Fabaceae), </w:t>
            </w:r>
            <w:r w:rsidRPr="00F27AA9">
              <w:rPr>
                <w:rFonts w:ascii="Times New Roman" w:hAnsi="Times New Roman" w:cs="Times New Roman"/>
                <w:i/>
                <w:iCs/>
                <w:lang w:val="en-US" w:bidi="hi-IN"/>
              </w:rPr>
              <w:t xml:space="preserve">Amaranthus </w:t>
            </w:r>
            <w:proofErr w:type="spellStart"/>
            <w:r w:rsidRPr="00F27AA9">
              <w:rPr>
                <w:rFonts w:ascii="Times New Roman" w:hAnsi="Times New Roman" w:cs="Times New Roman"/>
                <w:i/>
                <w:iCs/>
                <w:lang w:val="en-US" w:bidi="hi-IN"/>
              </w:rPr>
              <w:t>viridis</w:t>
            </w:r>
            <w:proofErr w:type="spellEnd"/>
            <w:r w:rsidRPr="00F27AA9">
              <w:rPr>
                <w:rFonts w:ascii="Times New Roman" w:hAnsi="Times New Roman" w:cs="Times New Roman"/>
                <w:i/>
                <w:iCs/>
                <w:lang w:val="en-US" w:bidi="hi-IN"/>
              </w:rPr>
              <w:t xml:space="preserve">, Beta vulgaris, Celosia argentea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Amaranthaceae</w:t>
            </w:r>
            <w:proofErr w:type="spellEnd"/>
            <w:r w:rsidRPr="00F27AA9">
              <w:rPr>
                <w:rFonts w:ascii="Times New Roman" w:hAnsi="Times New Roman" w:cs="Times New Roman"/>
                <w:lang w:val="en-US" w:bidi="hi-IN"/>
              </w:rPr>
              <w:t>)</w:t>
            </w:r>
          </w:p>
        </w:tc>
        <w:tc>
          <w:tcPr>
            <w:tcW w:w="2250" w:type="dxa"/>
            <w:vAlign w:val="center"/>
          </w:tcPr>
          <w:p w14:paraId="5A4CEE4A"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46C81814" w14:textId="77777777" w:rsidTr="0019772C">
        <w:trPr>
          <w:trHeight w:val="20"/>
        </w:trPr>
        <w:tc>
          <w:tcPr>
            <w:tcW w:w="990" w:type="dxa"/>
            <w:vAlign w:val="center"/>
          </w:tcPr>
          <w:p w14:paraId="47BC74A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23D49A84"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Asota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caricae</w:t>
            </w:r>
            <w:proofErr w:type="spellEnd"/>
          </w:p>
        </w:tc>
        <w:tc>
          <w:tcPr>
            <w:tcW w:w="3780" w:type="dxa"/>
            <w:noWrap/>
            <w:vAlign w:val="center"/>
          </w:tcPr>
          <w:p w14:paraId="2E387DF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Shorea</w:t>
            </w:r>
            <w:proofErr w:type="spellEnd"/>
            <w:r w:rsidRPr="00F27AA9">
              <w:rPr>
                <w:rFonts w:ascii="Times New Roman" w:hAnsi="Times New Roman" w:cs="Times New Roman"/>
                <w:i/>
                <w:iCs/>
                <w:lang w:val="en-US" w:bidi="hi-IN"/>
              </w:rPr>
              <w:t xml:space="preserve"> robusta (</w:t>
            </w:r>
            <w:proofErr w:type="spellStart"/>
            <w:r w:rsidRPr="00F27AA9">
              <w:rPr>
                <w:rFonts w:ascii="Times New Roman" w:hAnsi="Times New Roman" w:cs="Times New Roman"/>
                <w:i/>
                <w:iCs/>
                <w:lang w:val="en-US" w:bidi="hi-IN"/>
              </w:rPr>
              <w:t>Dipterocarpaceae</w:t>
            </w:r>
            <w:proofErr w:type="spellEnd"/>
            <w:r w:rsidRPr="00F27AA9">
              <w:rPr>
                <w:rFonts w:ascii="Times New Roman" w:hAnsi="Times New Roman" w:cs="Times New Roman"/>
                <w:i/>
                <w:iCs/>
                <w:lang w:val="en-US" w:bidi="hi-IN"/>
              </w:rPr>
              <w:t>), Tectona grandis (</w:t>
            </w:r>
            <w:proofErr w:type="spellStart"/>
            <w:r w:rsidRPr="00F27AA9">
              <w:rPr>
                <w:rFonts w:ascii="Times New Roman" w:hAnsi="Times New Roman" w:cs="Times New Roman"/>
                <w:i/>
                <w:iCs/>
                <w:lang w:val="en-US" w:bidi="hi-IN"/>
              </w:rPr>
              <w:t>Lamiaceae</w:t>
            </w:r>
            <w:proofErr w:type="spellEnd"/>
            <w:r w:rsidRPr="00F27AA9">
              <w:rPr>
                <w:rFonts w:ascii="Times New Roman" w:hAnsi="Times New Roman" w:cs="Times New Roman"/>
                <w:i/>
                <w:iCs/>
                <w:lang w:val="en-US" w:bidi="hi-IN"/>
              </w:rPr>
              <w:t>)</w:t>
            </w:r>
          </w:p>
        </w:tc>
        <w:tc>
          <w:tcPr>
            <w:tcW w:w="2250" w:type="dxa"/>
            <w:vAlign w:val="center"/>
          </w:tcPr>
          <w:p w14:paraId="48462A0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FE1414F" w14:textId="77777777" w:rsidTr="0019772C">
        <w:trPr>
          <w:trHeight w:val="20"/>
        </w:trPr>
        <w:tc>
          <w:tcPr>
            <w:tcW w:w="990" w:type="dxa"/>
            <w:vAlign w:val="center"/>
          </w:tcPr>
          <w:p w14:paraId="05508B9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7E06D40C"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Leucinodes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orbonalis</w:t>
            </w:r>
            <w:proofErr w:type="spellEnd"/>
          </w:p>
        </w:tc>
        <w:tc>
          <w:tcPr>
            <w:tcW w:w="3780" w:type="dxa"/>
            <w:noWrap/>
            <w:vAlign w:val="center"/>
            <w:hideMark/>
          </w:tcPr>
          <w:p w14:paraId="6701CE29"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Solanum melongena, Solanum tuberosum</w:t>
            </w:r>
            <w:r w:rsidRPr="00F27AA9">
              <w:rPr>
                <w:rFonts w:ascii="Times New Roman" w:hAnsi="Times New Roman" w:cs="Times New Roman"/>
                <w:lang w:val="en-US" w:bidi="hi-IN"/>
              </w:rPr>
              <w:t xml:space="preserve"> (Solanaceae)</w:t>
            </w:r>
          </w:p>
        </w:tc>
        <w:tc>
          <w:tcPr>
            <w:tcW w:w="2250" w:type="dxa"/>
            <w:vAlign w:val="center"/>
          </w:tcPr>
          <w:p w14:paraId="4B4EFA33"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4D94BBB4" w14:textId="77777777" w:rsidTr="0019772C">
        <w:trPr>
          <w:trHeight w:val="20"/>
        </w:trPr>
        <w:tc>
          <w:tcPr>
            <w:tcW w:w="990" w:type="dxa"/>
            <w:vAlign w:val="center"/>
          </w:tcPr>
          <w:p w14:paraId="6F9331D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7CEAE8A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Conogethes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lastRenderedPageBreak/>
              <w:t>punctiferalis</w:t>
            </w:r>
            <w:proofErr w:type="spellEnd"/>
          </w:p>
        </w:tc>
        <w:tc>
          <w:tcPr>
            <w:tcW w:w="3780" w:type="dxa"/>
            <w:noWrap/>
            <w:vAlign w:val="center"/>
            <w:hideMark/>
          </w:tcPr>
          <w:p w14:paraId="5AEC44AE"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lastRenderedPageBreak/>
              <w:t>Zea mays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Carica papaya</w:t>
            </w:r>
            <w:r w:rsidRPr="00F27AA9">
              <w:rPr>
                <w:rFonts w:ascii="Times New Roman" w:hAnsi="Times New Roman" w:cs="Times New Roman"/>
                <w:lang w:val="en-US" w:bidi="hi-IN"/>
              </w:rPr>
              <w:t xml:space="preserve"> </w:t>
            </w:r>
            <w:r w:rsidRPr="00F27AA9">
              <w:rPr>
                <w:rFonts w:ascii="Times New Roman" w:hAnsi="Times New Roman" w:cs="Times New Roman"/>
                <w:lang w:val="en-US" w:bidi="hi-IN"/>
              </w:rPr>
              <w:lastRenderedPageBreak/>
              <w:t>(</w:t>
            </w:r>
            <w:proofErr w:type="spellStart"/>
            <w:r w:rsidRPr="00F27AA9">
              <w:rPr>
                <w:rFonts w:ascii="Times New Roman" w:hAnsi="Times New Roman" w:cs="Times New Roman"/>
                <w:lang w:val="en-US" w:bidi="hi-IN"/>
              </w:rPr>
              <w:t>Caricaceae</w:t>
            </w:r>
            <w:proofErr w:type="spellEnd"/>
            <w:r w:rsidRPr="00F27AA9">
              <w:rPr>
                <w:rFonts w:ascii="Times New Roman" w:hAnsi="Times New Roman" w:cs="Times New Roman"/>
                <w:lang w:val="en-US" w:bidi="hi-IN"/>
              </w:rPr>
              <w:t>)</w:t>
            </w:r>
          </w:p>
        </w:tc>
        <w:tc>
          <w:tcPr>
            <w:tcW w:w="2250" w:type="dxa"/>
            <w:vAlign w:val="center"/>
          </w:tcPr>
          <w:p w14:paraId="3513A459"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lastRenderedPageBreak/>
              <w:t>CSA, Kanpur</w:t>
            </w:r>
          </w:p>
        </w:tc>
      </w:tr>
      <w:tr w:rsidR="000E687B" w:rsidRPr="00F27AA9" w14:paraId="7CEA594F" w14:textId="77777777" w:rsidTr="0019772C">
        <w:trPr>
          <w:trHeight w:val="20"/>
        </w:trPr>
        <w:tc>
          <w:tcPr>
            <w:tcW w:w="990" w:type="dxa"/>
            <w:vAlign w:val="center"/>
          </w:tcPr>
          <w:p w14:paraId="5DF1CC45"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203651C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Pectinophora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gossypiella</w:t>
            </w:r>
            <w:proofErr w:type="spellEnd"/>
          </w:p>
        </w:tc>
        <w:tc>
          <w:tcPr>
            <w:tcW w:w="3780" w:type="dxa"/>
            <w:noWrap/>
            <w:vAlign w:val="center"/>
          </w:tcPr>
          <w:p w14:paraId="5EEC098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Althaea rosea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Malvaceae</w:t>
            </w:r>
            <w:proofErr w:type="spellEnd"/>
            <w:r w:rsidRPr="00F27AA9">
              <w:rPr>
                <w:rFonts w:ascii="Times New Roman" w:hAnsi="Times New Roman" w:cs="Times New Roman"/>
                <w:lang w:val="en-US" w:bidi="hi-IN"/>
              </w:rPr>
              <w:t>)</w:t>
            </w:r>
          </w:p>
        </w:tc>
        <w:tc>
          <w:tcPr>
            <w:tcW w:w="2250" w:type="dxa"/>
            <w:vAlign w:val="center"/>
          </w:tcPr>
          <w:p w14:paraId="203719E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5533B31" w14:textId="77777777" w:rsidTr="0019772C">
        <w:trPr>
          <w:trHeight w:val="20"/>
        </w:trPr>
        <w:tc>
          <w:tcPr>
            <w:tcW w:w="990" w:type="dxa"/>
            <w:vAlign w:val="center"/>
          </w:tcPr>
          <w:p w14:paraId="45711F1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1FC284B5"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Eudocima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materna</w:t>
            </w:r>
            <w:proofErr w:type="spellEnd"/>
          </w:p>
        </w:tc>
        <w:tc>
          <w:tcPr>
            <w:tcW w:w="3780" w:type="dxa"/>
            <w:noWrap/>
            <w:vAlign w:val="center"/>
          </w:tcPr>
          <w:p w14:paraId="0469D4F2"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Citrus </w:t>
            </w:r>
            <w:proofErr w:type="spellStart"/>
            <w:r w:rsidRPr="00F27AA9">
              <w:rPr>
                <w:rFonts w:ascii="Times New Roman" w:hAnsi="Times New Roman" w:cs="Times New Roman"/>
                <w:i/>
                <w:iCs/>
                <w:lang w:val="en-US" w:bidi="hi-IN"/>
              </w:rPr>
              <w:t>aurantiifolia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Rutaceae</w:t>
            </w:r>
            <w:proofErr w:type="spellEnd"/>
            <w:r w:rsidRPr="00F27AA9">
              <w:rPr>
                <w:rFonts w:ascii="Times New Roman" w:hAnsi="Times New Roman" w:cs="Times New Roman"/>
                <w:i/>
                <w:iCs/>
                <w:lang w:val="en-US" w:bidi="hi-IN"/>
              </w:rPr>
              <w:t>)</w:t>
            </w:r>
          </w:p>
        </w:tc>
        <w:tc>
          <w:tcPr>
            <w:tcW w:w="2250" w:type="dxa"/>
            <w:vAlign w:val="center"/>
          </w:tcPr>
          <w:p w14:paraId="6B1AFC7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13CD572D" w14:textId="77777777" w:rsidTr="0019772C">
        <w:trPr>
          <w:trHeight w:val="20"/>
        </w:trPr>
        <w:tc>
          <w:tcPr>
            <w:tcW w:w="990" w:type="dxa"/>
            <w:vAlign w:val="center"/>
          </w:tcPr>
          <w:p w14:paraId="65128CD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3B2A765"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Diaphania</w:t>
            </w:r>
            <w:proofErr w:type="spellEnd"/>
            <w:r w:rsidRPr="00F27AA9">
              <w:rPr>
                <w:rFonts w:ascii="Times New Roman" w:hAnsi="Times New Roman" w:cs="Times New Roman"/>
                <w:i/>
                <w:iCs/>
                <w:lang w:val="en-US" w:bidi="hi-IN"/>
              </w:rPr>
              <w:t xml:space="preserve"> indica</w:t>
            </w:r>
          </w:p>
        </w:tc>
        <w:tc>
          <w:tcPr>
            <w:tcW w:w="3780" w:type="dxa"/>
            <w:noWrap/>
            <w:vAlign w:val="center"/>
            <w:hideMark/>
          </w:tcPr>
          <w:p w14:paraId="47CC8E81"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Cucurbita moschata</w:t>
            </w:r>
            <w:r w:rsidRPr="00F27AA9">
              <w:rPr>
                <w:rFonts w:ascii="Times New Roman" w:hAnsi="Times New Roman" w:cs="Times New Roman"/>
                <w:lang w:val="en-US" w:bidi="hi-IN"/>
              </w:rPr>
              <w:t xml:space="preserve"> (Cucurbitaceae)</w:t>
            </w:r>
          </w:p>
        </w:tc>
        <w:tc>
          <w:tcPr>
            <w:tcW w:w="2250" w:type="dxa"/>
            <w:vAlign w:val="center"/>
          </w:tcPr>
          <w:p w14:paraId="0D83C94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2F94740" w14:textId="77777777" w:rsidTr="0019772C">
        <w:trPr>
          <w:trHeight w:val="20"/>
        </w:trPr>
        <w:tc>
          <w:tcPr>
            <w:tcW w:w="990" w:type="dxa"/>
            <w:vAlign w:val="center"/>
          </w:tcPr>
          <w:p w14:paraId="47961D88"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4F7CF7C"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Glyphodes</w:t>
            </w:r>
            <w:proofErr w:type="spellEnd"/>
            <w:r w:rsidRPr="00F27AA9">
              <w:rPr>
                <w:rFonts w:ascii="Times New Roman" w:hAnsi="Times New Roman" w:cs="Times New Roman"/>
                <w:i/>
                <w:iCs/>
                <w:lang w:val="en-US" w:bidi="hi-IN"/>
              </w:rPr>
              <w:t xml:space="preserve"> bicolor</w:t>
            </w:r>
          </w:p>
        </w:tc>
        <w:tc>
          <w:tcPr>
            <w:tcW w:w="3780" w:type="dxa"/>
            <w:noWrap/>
            <w:vAlign w:val="center"/>
            <w:hideMark/>
          </w:tcPr>
          <w:p w14:paraId="11DFA32A"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Ficus benghalensis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Moraceae</w:t>
            </w:r>
            <w:proofErr w:type="spellEnd"/>
            <w:r w:rsidRPr="00F27AA9">
              <w:rPr>
                <w:rFonts w:ascii="Times New Roman" w:hAnsi="Times New Roman" w:cs="Times New Roman"/>
                <w:lang w:val="en-US" w:bidi="hi-IN"/>
              </w:rPr>
              <w:t>),</w:t>
            </w:r>
          </w:p>
        </w:tc>
        <w:tc>
          <w:tcPr>
            <w:tcW w:w="2250" w:type="dxa"/>
            <w:vAlign w:val="center"/>
          </w:tcPr>
          <w:p w14:paraId="4B8330F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Ghatampur, Kanpur</w:t>
            </w:r>
          </w:p>
        </w:tc>
      </w:tr>
      <w:tr w:rsidR="000E687B" w:rsidRPr="00F27AA9" w14:paraId="5B38FA27" w14:textId="77777777" w:rsidTr="0019772C">
        <w:trPr>
          <w:trHeight w:val="20"/>
        </w:trPr>
        <w:tc>
          <w:tcPr>
            <w:tcW w:w="990" w:type="dxa"/>
            <w:vAlign w:val="center"/>
          </w:tcPr>
          <w:p w14:paraId="302F107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8981B4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Glyphodes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bivitralis</w:t>
            </w:r>
            <w:proofErr w:type="spellEnd"/>
          </w:p>
        </w:tc>
        <w:tc>
          <w:tcPr>
            <w:tcW w:w="3780" w:type="dxa"/>
            <w:noWrap/>
            <w:vAlign w:val="center"/>
            <w:hideMark/>
          </w:tcPr>
          <w:p w14:paraId="1E5C1092"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Psidium guajava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Myrtaceae</w:t>
            </w:r>
            <w:proofErr w:type="spellEnd"/>
            <w:r w:rsidRPr="00F27AA9">
              <w:rPr>
                <w:rFonts w:ascii="Times New Roman" w:hAnsi="Times New Roman" w:cs="Times New Roman"/>
                <w:lang w:val="en-US" w:bidi="hi-IN"/>
              </w:rPr>
              <w:t>)</w:t>
            </w:r>
          </w:p>
        </w:tc>
        <w:tc>
          <w:tcPr>
            <w:tcW w:w="2250" w:type="dxa"/>
            <w:vAlign w:val="center"/>
          </w:tcPr>
          <w:p w14:paraId="4CF48256"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Paliya</w:t>
            </w:r>
            <w:proofErr w:type="spellEnd"/>
            <w:r w:rsidRPr="00F27AA9">
              <w:rPr>
                <w:rFonts w:ascii="Times New Roman" w:hAnsi="Times New Roman" w:cs="Times New Roman"/>
              </w:rPr>
              <w:t>, Lakhimpur Kheri</w:t>
            </w:r>
          </w:p>
        </w:tc>
      </w:tr>
      <w:tr w:rsidR="000E687B" w:rsidRPr="00F27AA9" w14:paraId="0435B67C" w14:textId="77777777" w:rsidTr="0019772C">
        <w:trPr>
          <w:trHeight w:val="20"/>
        </w:trPr>
        <w:tc>
          <w:tcPr>
            <w:tcW w:w="990" w:type="dxa"/>
            <w:vAlign w:val="center"/>
          </w:tcPr>
          <w:p w14:paraId="33E18D0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EEB02E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Maruca </w:t>
            </w:r>
            <w:proofErr w:type="spellStart"/>
            <w:r w:rsidRPr="00F27AA9">
              <w:rPr>
                <w:rFonts w:ascii="Times New Roman" w:hAnsi="Times New Roman" w:cs="Times New Roman"/>
                <w:i/>
                <w:iCs/>
                <w:lang w:val="en-US" w:bidi="hi-IN"/>
              </w:rPr>
              <w:t>vitrata</w:t>
            </w:r>
            <w:proofErr w:type="spellEnd"/>
          </w:p>
        </w:tc>
        <w:tc>
          <w:tcPr>
            <w:tcW w:w="3780" w:type="dxa"/>
            <w:noWrap/>
            <w:vAlign w:val="center"/>
            <w:hideMark/>
          </w:tcPr>
          <w:p w14:paraId="48DA4F53"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Cajanus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lang w:val="en-US" w:bidi="hi-IN"/>
              </w:rPr>
              <w:t xml:space="preserve">, Vigna </w:t>
            </w:r>
            <w:proofErr w:type="gramStart"/>
            <w:r w:rsidRPr="00F27AA9">
              <w:rPr>
                <w:rFonts w:ascii="Times New Roman" w:hAnsi="Times New Roman" w:cs="Times New Roman"/>
                <w:lang w:val="en-US" w:bidi="hi-IN"/>
              </w:rPr>
              <w:t>mungo  (</w:t>
            </w:r>
            <w:proofErr w:type="gramEnd"/>
            <w:r w:rsidRPr="00F27AA9">
              <w:rPr>
                <w:rFonts w:ascii="Times New Roman" w:hAnsi="Times New Roman" w:cs="Times New Roman"/>
                <w:lang w:val="en-US" w:bidi="hi-IN"/>
              </w:rPr>
              <w:t>Fabaceae)</w:t>
            </w:r>
          </w:p>
        </w:tc>
        <w:tc>
          <w:tcPr>
            <w:tcW w:w="2250" w:type="dxa"/>
            <w:vAlign w:val="center"/>
          </w:tcPr>
          <w:p w14:paraId="7A21F80B"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534F92DB" w14:textId="77777777" w:rsidTr="0019772C">
        <w:trPr>
          <w:trHeight w:val="20"/>
        </w:trPr>
        <w:tc>
          <w:tcPr>
            <w:tcW w:w="990" w:type="dxa"/>
            <w:vAlign w:val="center"/>
          </w:tcPr>
          <w:p w14:paraId="1BA6698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5A2AEF2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Sameodes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cancellalis</w:t>
            </w:r>
            <w:proofErr w:type="spellEnd"/>
          </w:p>
        </w:tc>
        <w:tc>
          <w:tcPr>
            <w:tcW w:w="3780" w:type="dxa"/>
            <w:noWrap/>
            <w:vAlign w:val="center"/>
            <w:hideMark/>
          </w:tcPr>
          <w:p w14:paraId="3C2685B6"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Tectona grandis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Lamiaceae</w:t>
            </w:r>
            <w:proofErr w:type="spellEnd"/>
            <w:r w:rsidRPr="00F27AA9">
              <w:rPr>
                <w:rFonts w:ascii="Times New Roman" w:hAnsi="Times New Roman" w:cs="Times New Roman"/>
                <w:lang w:val="en-US" w:bidi="hi-IN"/>
              </w:rPr>
              <w:t>)</w:t>
            </w:r>
          </w:p>
        </w:tc>
        <w:tc>
          <w:tcPr>
            <w:tcW w:w="2250" w:type="dxa"/>
            <w:vAlign w:val="center"/>
          </w:tcPr>
          <w:p w14:paraId="2CE47454"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Paliya</w:t>
            </w:r>
            <w:proofErr w:type="spellEnd"/>
            <w:r w:rsidRPr="00F27AA9">
              <w:rPr>
                <w:rFonts w:ascii="Times New Roman" w:hAnsi="Times New Roman" w:cs="Times New Roman"/>
              </w:rPr>
              <w:t>, Lakhimpur Kheri</w:t>
            </w:r>
          </w:p>
        </w:tc>
      </w:tr>
      <w:tr w:rsidR="000E687B" w:rsidRPr="00F27AA9" w14:paraId="37D7E733" w14:textId="77777777" w:rsidTr="0019772C">
        <w:trPr>
          <w:trHeight w:val="20"/>
        </w:trPr>
        <w:tc>
          <w:tcPr>
            <w:tcW w:w="990" w:type="dxa"/>
            <w:vAlign w:val="center"/>
          </w:tcPr>
          <w:p w14:paraId="2EC1BB51"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593BF182"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Cnaphalocrocis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medinalis</w:t>
            </w:r>
            <w:proofErr w:type="spellEnd"/>
          </w:p>
        </w:tc>
        <w:tc>
          <w:tcPr>
            <w:tcW w:w="3780" w:type="dxa"/>
            <w:noWrap/>
            <w:vAlign w:val="center"/>
            <w:hideMark/>
          </w:tcPr>
          <w:p w14:paraId="6BACF552"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654C369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5BCB3DD5" w14:textId="77777777" w:rsidTr="0019772C">
        <w:trPr>
          <w:trHeight w:val="20"/>
        </w:trPr>
        <w:tc>
          <w:tcPr>
            <w:tcW w:w="990" w:type="dxa"/>
            <w:vAlign w:val="center"/>
          </w:tcPr>
          <w:p w14:paraId="70CD51E9"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0FCC554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Olepa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ricini</w:t>
            </w:r>
            <w:proofErr w:type="spellEnd"/>
          </w:p>
        </w:tc>
        <w:tc>
          <w:tcPr>
            <w:tcW w:w="3780" w:type="dxa"/>
            <w:noWrap/>
            <w:vAlign w:val="center"/>
          </w:tcPr>
          <w:p w14:paraId="2CF135FA"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Sesamum indicum </w:t>
            </w:r>
            <w:r w:rsidRPr="00F27AA9">
              <w:rPr>
                <w:rFonts w:ascii="Times New Roman" w:hAnsi="Times New Roman" w:cs="Times New Roman"/>
                <w:lang w:val="en-US" w:bidi="hi-IN"/>
              </w:rPr>
              <w:t>(Pedaliaceae)</w:t>
            </w:r>
          </w:p>
        </w:tc>
        <w:tc>
          <w:tcPr>
            <w:tcW w:w="2250" w:type="dxa"/>
            <w:vAlign w:val="center"/>
          </w:tcPr>
          <w:p w14:paraId="3CB08AD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7D743B2" w14:textId="77777777" w:rsidTr="0019772C">
        <w:trPr>
          <w:trHeight w:val="20"/>
        </w:trPr>
        <w:tc>
          <w:tcPr>
            <w:tcW w:w="990" w:type="dxa"/>
            <w:vAlign w:val="center"/>
          </w:tcPr>
          <w:p w14:paraId="1F100B84"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45969973"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Bradina </w:t>
            </w:r>
            <w:proofErr w:type="spellStart"/>
            <w:r w:rsidRPr="00F27AA9">
              <w:rPr>
                <w:rFonts w:ascii="Times New Roman" w:hAnsi="Times New Roman" w:cs="Times New Roman"/>
                <w:i/>
                <w:iCs/>
                <w:lang w:val="en-US" w:bidi="hi-IN"/>
              </w:rPr>
              <w:t>admixtalis</w:t>
            </w:r>
            <w:proofErr w:type="spellEnd"/>
          </w:p>
        </w:tc>
        <w:tc>
          <w:tcPr>
            <w:tcW w:w="3780" w:type="dxa"/>
            <w:noWrap/>
            <w:vAlign w:val="center"/>
            <w:hideMark/>
          </w:tcPr>
          <w:p w14:paraId="3D89AA18"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654F21F9"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Paliya</w:t>
            </w:r>
            <w:proofErr w:type="spellEnd"/>
            <w:r w:rsidRPr="00F27AA9">
              <w:rPr>
                <w:rFonts w:ascii="Times New Roman" w:hAnsi="Times New Roman" w:cs="Times New Roman"/>
              </w:rPr>
              <w:t>, Lakhimpur Kheri</w:t>
            </w:r>
          </w:p>
        </w:tc>
      </w:tr>
      <w:tr w:rsidR="000E687B" w:rsidRPr="00F27AA9" w14:paraId="717433E7" w14:textId="77777777" w:rsidTr="0019772C">
        <w:trPr>
          <w:trHeight w:val="20"/>
        </w:trPr>
        <w:tc>
          <w:tcPr>
            <w:tcW w:w="990" w:type="dxa"/>
            <w:vAlign w:val="center"/>
          </w:tcPr>
          <w:p w14:paraId="084CCF45"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05B8481C"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Leucania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loreyi</w:t>
            </w:r>
            <w:proofErr w:type="spellEnd"/>
          </w:p>
        </w:tc>
        <w:tc>
          <w:tcPr>
            <w:tcW w:w="3780" w:type="dxa"/>
            <w:noWrap/>
            <w:vAlign w:val="center"/>
          </w:tcPr>
          <w:p w14:paraId="09B31CF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Zea mays, Oryza sativa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3769D09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05A1228" w14:textId="77777777" w:rsidTr="0019772C">
        <w:trPr>
          <w:trHeight w:val="20"/>
        </w:trPr>
        <w:tc>
          <w:tcPr>
            <w:tcW w:w="990" w:type="dxa"/>
            <w:vAlign w:val="center"/>
          </w:tcPr>
          <w:p w14:paraId="11F8193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75EBDC7E"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Spodoptera </w:t>
            </w:r>
            <w:proofErr w:type="spellStart"/>
            <w:r w:rsidRPr="00F27AA9">
              <w:rPr>
                <w:rFonts w:ascii="Times New Roman" w:hAnsi="Times New Roman" w:cs="Times New Roman"/>
                <w:i/>
                <w:iCs/>
                <w:lang w:val="en-US" w:bidi="hi-IN"/>
              </w:rPr>
              <w:t>litura</w:t>
            </w:r>
            <w:proofErr w:type="spellEnd"/>
          </w:p>
        </w:tc>
        <w:tc>
          <w:tcPr>
            <w:tcW w:w="3780" w:type="dxa"/>
            <w:noWrap/>
            <w:vAlign w:val="center"/>
          </w:tcPr>
          <w:p w14:paraId="7476D09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Sorghum bicolor, Zea mays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r w:rsidRPr="00F27AA9">
              <w:rPr>
                <w:rFonts w:ascii="Times New Roman" w:hAnsi="Times New Roman" w:cs="Times New Roman"/>
                <w:i/>
                <w:iCs/>
                <w:lang w:val="en-US" w:bidi="hi-IN"/>
              </w:rPr>
              <w:t xml:space="preserve"> Tectona grandis </w:t>
            </w:r>
            <w:r w:rsidRPr="00F27AA9">
              <w:rPr>
                <w:rFonts w:ascii="Times New Roman" w:hAnsi="Times New Roman" w:cs="Times New Roman"/>
                <w:lang w:val="en-US" w:bidi="hi-IN"/>
              </w:rPr>
              <w:t xml:space="preserve">(Verbenaceae), </w:t>
            </w:r>
            <w:r w:rsidRPr="00F27AA9">
              <w:rPr>
                <w:rFonts w:ascii="Times New Roman" w:hAnsi="Times New Roman" w:cs="Times New Roman"/>
                <w:i/>
                <w:iCs/>
                <w:lang w:val="en-US" w:bidi="hi-IN"/>
              </w:rPr>
              <w:t>Ricinus communis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0D2D5D1E"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19F3A071" w14:textId="77777777" w:rsidTr="0019772C">
        <w:trPr>
          <w:trHeight w:val="20"/>
        </w:trPr>
        <w:tc>
          <w:tcPr>
            <w:tcW w:w="990" w:type="dxa"/>
            <w:vAlign w:val="center"/>
          </w:tcPr>
          <w:p w14:paraId="3A773C3C"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0B4E8A04"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Spilarctia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obliqua</w:t>
            </w:r>
            <w:proofErr w:type="spellEnd"/>
          </w:p>
        </w:tc>
        <w:tc>
          <w:tcPr>
            <w:tcW w:w="3780" w:type="dxa"/>
            <w:noWrap/>
            <w:vAlign w:val="center"/>
          </w:tcPr>
          <w:p w14:paraId="5F11621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Morus alba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Moraceae</w:t>
            </w:r>
            <w:proofErr w:type="spellEnd"/>
            <w:r w:rsidRPr="00F27AA9">
              <w:rPr>
                <w:rFonts w:ascii="Times New Roman" w:hAnsi="Times New Roman" w:cs="Times New Roman"/>
                <w:lang w:val="en-US" w:bidi="hi-IN"/>
              </w:rPr>
              <w:t>)</w:t>
            </w:r>
          </w:p>
        </w:tc>
        <w:tc>
          <w:tcPr>
            <w:tcW w:w="2250" w:type="dxa"/>
            <w:vAlign w:val="center"/>
          </w:tcPr>
          <w:p w14:paraId="38EDE84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792416F2" w14:textId="77777777" w:rsidTr="0019772C">
        <w:trPr>
          <w:trHeight w:val="20"/>
        </w:trPr>
        <w:tc>
          <w:tcPr>
            <w:tcW w:w="990" w:type="dxa"/>
            <w:vAlign w:val="center"/>
          </w:tcPr>
          <w:p w14:paraId="325EC394"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7881C4E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Eudocima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phalonia</w:t>
            </w:r>
            <w:proofErr w:type="spellEnd"/>
          </w:p>
        </w:tc>
        <w:tc>
          <w:tcPr>
            <w:tcW w:w="3780" w:type="dxa"/>
            <w:noWrap/>
            <w:vAlign w:val="center"/>
          </w:tcPr>
          <w:p w14:paraId="256BBE5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Mangifera indica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Anacardiaceae</w:t>
            </w:r>
            <w:proofErr w:type="spellEnd"/>
            <w:r w:rsidRPr="00F27AA9">
              <w:rPr>
                <w:rFonts w:ascii="Times New Roman" w:hAnsi="Times New Roman" w:cs="Times New Roman"/>
                <w:lang w:val="en-US" w:bidi="hi-IN"/>
              </w:rPr>
              <w:t>)</w:t>
            </w:r>
          </w:p>
        </w:tc>
        <w:tc>
          <w:tcPr>
            <w:tcW w:w="2250" w:type="dxa"/>
            <w:vAlign w:val="center"/>
          </w:tcPr>
          <w:p w14:paraId="3171E32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CA0015E" w14:textId="77777777" w:rsidTr="0019772C">
        <w:trPr>
          <w:trHeight w:val="20"/>
        </w:trPr>
        <w:tc>
          <w:tcPr>
            <w:tcW w:w="990" w:type="dxa"/>
            <w:vAlign w:val="center"/>
          </w:tcPr>
          <w:p w14:paraId="7891429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77B389DE"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Scirpophaga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incertulas</w:t>
            </w:r>
            <w:proofErr w:type="spellEnd"/>
          </w:p>
        </w:tc>
        <w:tc>
          <w:tcPr>
            <w:tcW w:w="3780" w:type="dxa"/>
            <w:noWrap/>
            <w:vAlign w:val="center"/>
            <w:hideMark/>
          </w:tcPr>
          <w:p w14:paraId="3DBCF7B8"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1578213E"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bl>
    <w:p w14:paraId="616155AD" w14:textId="77777777" w:rsidR="00684ABC" w:rsidRPr="00F27AA9" w:rsidRDefault="00684ABC" w:rsidP="00684ABC">
      <w:pPr>
        <w:spacing w:before="100" w:beforeAutospacing="1" w:after="100" w:afterAutospacing="1" w:line="360" w:lineRule="auto"/>
        <w:jc w:val="both"/>
        <w:rPr>
          <w:rFonts w:ascii="Times New Roman" w:hAnsi="Times New Roman" w:cs="Times New Roman"/>
          <w:b/>
          <w:bCs/>
        </w:rPr>
      </w:pPr>
      <w:r>
        <w:rPr>
          <w:rFonts w:ascii="Times New Roman" w:hAnsi="Times New Roman" w:cs="Times New Roman"/>
          <w:b/>
          <w:bCs/>
        </w:rPr>
        <w:t>Conclusion:</w:t>
      </w:r>
    </w:p>
    <w:p w14:paraId="6E20C894" w14:textId="77777777" w:rsidR="00565C45" w:rsidRDefault="00F27AA9" w:rsidP="003C03D9">
      <w:pPr>
        <w:spacing w:before="100" w:beforeAutospacing="1" w:after="100" w:afterAutospacing="1" w:line="360" w:lineRule="auto"/>
        <w:jc w:val="both"/>
        <w:rPr>
          <w:rFonts w:ascii="Times New Roman" w:eastAsia="Times New Roman" w:hAnsi="Times New Roman" w:cs="Times New Roman"/>
          <w:kern w:val="0"/>
          <w:lang w:val="en-GB" w:eastAsia="en-GB"/>
          <w14:ligatures w14:val="none"/>
        </w:rPr>
      </w:pPr>
      <w:r>
        <w:rPr>
          <w:rFonts w:ascii="Times New Roman" w:eastAsia="Times New Roman" w:hAnsi="Times New Roman" w:cs="Times New Roman"/>
          <w:kern w:val="0"/>
          <w:lang w:val="en-GB" w:eastAsia="en-GB"/>
          <w14:ligatures w14:val="none"/>
        </w:rPr>
        <w:t>The survey documented 34 moth species associated with 33 host-plant species across agricultural and adjoining habitats of Kanpur, Lucknow</w:t>
      </w:r>
      <w:r>
        <w:rPr>
          <w:rFonts w:ascii="Times New Roman" w:eastAsia="Times New Roman" w:hAnsi="Times New Roman" w:cs="Times New Roman"/>
          <w:kern w:val="0"/>
          <w:highlight w:val="yellow"/>
          <w:lang w:val="en-GB" w:eastAsia="en-GB"/>
          <w14:ligatures w14:val="none"/>
        </w:rPr>
        <w:t>,</w:t>
      </w:r>
      <w:r>
        <w:rPr>
          <w:rFonts w:ascii="Times New Roman" w:eastAsia="Times New Roman" w:hAnsi="Times New Roman" w:cs="Times New Roman"/>
          <w:kern w:val="0"/>
          <w:lang w:val="en-GB" w:eastAsia="en-GB"/>
          <w14:ligatures w14:val="none"/>
        </w:rPr>
        <w:t xml:space="preserve"> and Lakhimpur Kheri. The recorded assemblage included species with relatively restricted host associations as well as species occurring on plants from several botanical families. Major crop-associated moths, including </w:t>
      </w:r>
      <w:r>
        <w:rPr>
          <w:rFonts w:ascii="Times New Roman" w:eastAsia="Times New Roman" w:hAnsi="Times New Roman" w:cs="Times New Roman"/>
          <w:i/>
          <w:iCs/>
          <w:kern w:val="0"/>
          <w:lang w:val="en-GB" w:eastAsia="en-GB"/>
          <w14:ligatures w14:val="none"/>
        </w:rPr>
        <w:t>Helicoverpa armigera</w:t>
      </w:r>
      <w:r>
        <w:rPr>
          <w:rFonts w:ascii="Times New Roman" w:eastAsia="Times New Roman" w:hAnsi="Times New Roman" w:cs="Times New Roman"/>
          <w:kern w:val="0"/>
          <w:lang w:val="en-GB" w:eastAsia="en-GB"/>
          <w14:ligatures w14:val="none"/>
        </w:rPr>
        <w:t xml:space="preserve">, </w:t>
      </w:r>
      <w:r>
        <w:rPr>
          <w:rFonts w:ascii="Times New Roman" w:eastAsia="Times New Roman" w:hAnsi="Times New Roman" w:cs="Times New Roman"/>
          <w:i/>
          <w:iCs/>
          <w:kern w:val="0"/>
          <w:lang w:val="en-GB" w:eastAsia="en-GB"/>
          <w14:ligatures w14:val="none"/>
        </w:rPr>
        <w:t>Spodoptera litura</w:t>
      </w:r>
      <w:r>
        <w:rPr>
          <w:rFonts w:ascii="Times New Roman" w:eastAsia="Times New Roman" w:hAnsi="Times New Roman" w:cs="Times New Roman"/>
          <w:kern w:val="0"/>
          <w:lang w:val="en-GB" w:eastAsia="en-GB"/>
          <w14:ligatures w14:val="none"/>
        </w:rPr>
        <w:t xml:space="preserve">, </w:t>
      </w:r>
      <w:r>
        <w:rPr>
          <w:rFonts w:ascii="Times New Roman" w:eastAsia="Times New Roman" w:hAnsi="Times New Roman" w:cs="Times New Roman"/>
          <w:i/>
          <w:iCs/>
          <w:kern w:val="0"/>
          <w:lang w:val="en-GB" w:eastAsia="en-GB"/>
          <w14:ligatures w14:val="none"/>
        </w:rPr>
        <w:t>Leucinodes orbonalis</w:t>
      </w:r>
      <w:r>
        <w:rPr>
          <w:rFonts w:ascii="Times New Roman" w:eastAsia="Times New Roman" w:hAnsi="Times New Roman" w:cs="Times New Roman"/>
          <w:kern w:val="0"/>
          <w:lang w:val="en-GB" w:eastAsia="en-GB"/>
          <w14:ligatures w14:val="none"/>
        </w:rPr>
        <w:t xml:space="preserve">, </w:t>
      </w:r>
      <w:r>
        <w:rPr>
          <w:rFonts w:ascii="Times New Roman" w:eastAsia="Times New Roman" w:hAnsi="Times New Roman" w:cs="Times New Roman"/>
          <w:i/>
          <w:iCs/>
          <w:kern w:val="0"/>
          <w:lang w:val="en-GB" w:eastAsia="en-GB"/>
          <w14:ligatures w14:val="none"/>
        </w:rPr>
        <w:t>Cnaphalocrocis medinalis</w:t>
      </w:r>
      <w:r>
        <w:rPr>
          <w:rFonts w:ascii="Times New Roman" w:eastAsia="Times New Roman" w:hAnsi="Times New Roman" w:cs="Times New Roman"/>
          <w:i/>
          <w:iCs/>
          <w:kern w:val="0"/>
          <w:highlight w:val="yellow"/>
          <w:lang w:val="en-GB" w:eastAsia="en-GB"/>
          <w14:ligatures w14:val="none"/>
        </w:rPr>
        <w:t>,</w:t>
      </w:r>
      <w:r>
        <w:rPr>
          <w:rFonts w:ascii="Times New Roman" w:eastAsia="Times New Roman" w:hAnsi="Times New Roman" w:cs="Times New Roman"/>
          <w:kern w:val="0"/>
          <w:lang w:val="en-GB" w:eastAsia="en-GB"/>
          <w14:ligatures w14:val="none"/>
        </w:rPr>
        <w:t xml:space="preserve"> and </w:t>
      </w:r>
      <w:r>
        <w:rPr>
          <w:rFonts w:ascii="Times New Roman" w:eastAsia="Times New Roman" w:hAnsi="Times New Roman" w:cs="Times New Roman"/>
          <w:i/>
          <w:iCs/>
          <w:kern w:val="0"/>
          <w:lang w:val="en-GB" w:eastAsia="en-GB"/>
          <w14:ligatures w14:val="none"/>
        </w:rPr>
        <w:t>Scirpophaga incertulas</w:t>
      </w:r>
      <w:r>
        <w:rPr>
          <w:rFonts w:ascii="Times New Roman" w:eastAsia="Times New Roman" w:hAnsi="Times New Roman" w:cs="Times New Roman"/>
          <w:kern w:val="0"/>
          <w:lang w:val="en-GB" w:eastAsia="en-GB"/>
          <w14:ligatures w14:val="none"/>
        </w:rPr>
        <w:t xml:space="preserve">, formed an important component of the inventory. These observations provide baseline information on local moth–plant relationships and may assist the design of future ecological and pest-monitoring studies. However, the records represent </w:t>
      </w:r>
      <w:r>
        <w:rPr>
          <w:rFonts w:ascii="Times New Roman" w:eastAsia="Times New Roman" w:hAnsi="Times New Roman" w:cs="Times New Roman"/>
          <w:kern w:val="0"/>
          <w:lang w:val="en-GB" w:eastAsia="en-GB"/>
          <w14:ligatures w14:val="none"/>
        </w:rPr>
        <w:lastRenderedPageBreak/>
        <w:t>observed associations rather than quantitative estimates of host preference or pest pressure. Repeated seasonal sampling with standardised effort is required to establish the persistence and relative importance of individual host associations.</w:t>
      </w:r>
    </w:p>
    <w:p w14:paraId="5D8380D0" w14:textId="1C38CD35" w:rsidR="00137512" w:rsidRDefault="00137512" w:rsidP="003C03D9">
      <w:pPr>
        <w:spacing w:before="100" w:beforeAutospacing="1" w:after="100" w:afterAutospacing="1" w:line="360" w:lineRule="auto"/>
        <w:jc w:val="both"/>
        <w:rPr>
          <w:rFonts w:ascii="Times New Roman" w:eastAsia="Times New Roman" w:hAnsi="Times New Roman" w:cs="Times New Roman"/>
          <w:b/>
          <w:bCs/>
          <w:kern w:val="0"/>
          <w:lang w:eastAsia="en-GB"/>
          <w14:ligatures w14:val="none"/>
        </w:rPr>
      </w:pPr>
      <w:r w:rsidRPr="00137512">
        <w:rPr>
          <w:rFonts w:ascii="Times New Roman" w:eastAsia="Times New Roman" w:hAnsi="Times New Roman" w:cs="Times New Roman"/>
          <w:b/>
          <w:bCs/>
          <w:kern w:val="0"/>
          <w:lang w:eastAsia="en-GB"/>
          <w14:ligatures w14:val="none"/>
        </w:rPr>
        <w:t>Limitation</w:t>
      </w:r>
    </w:p>
    <w:p w14:paraId="0FAF01D8" w14:textId="7E95657F" w:rsidR="00137512" w:rsidRPr="00137512" w:rsidRDefault="00137512" w:rsidP="003C03D9">
      <w:pPr>
        <w:spacing w:before="100" w:beforeAutospacing="1" w:after="100" w:afterAutospacing="1" w:line="360" w:lineRule="auto"/>
        <w:jc w:val="both"/>
        <w:rPr>
          <w:rFonts w:ascii="Times New Roman" w:eastAsia="Times New Roman" w:hAnsi="Times New Roman" w:cs="Times New Roman"/>
          <w:b/>
          <w:bCs/>
          <w:kern w:val="0"/>
          <w:lang w:val="en-GB" w:eastAsia="en-GB"/>
          <w14:ligatures w14:val="none"/>
        </w:rPr>
      </w:pPr>
      <w:r>
        <w:t>The study was designed primarily as a locality-based inventory of observed moth-host associations. It did not quantify moth abundance, larval density, crop damage, host preference, host suitability, or seasonal variation, and sampling effort was not presented as a standardised basis for comparative abundance estimates. Consequently, the recorded associations should be interpreted as occurrence and feeding records rather than measures of pest pressure or host preference. Repeated, seasonally replicated sampling across crops and localities would be required to evaluate temporal consistency and relative host importance.</w:t>
      </w:r>
    </w:p>
    <w:p w14:paraId="7ABBC3D5" w14:textId="77777777" w:rsidR="00F27AA9" w:rsidRPr="003C03D9" w:rsidRDefault="00F27AA9" w:rsidP="003C03D9">
      <w:pPr>
        <w:spacing w:after="0" w:line="360" w:lineRule="auto"/>
        <w:jc w:val="both"/>
        <w:rPr>
          <w:rFonts w:ascii="Times New Roman" w:eastAsia="Calibri" w:hAnsi="Times New Roman" w:cs="Times New Roman"/>
          <w:b/>
          <w:kern w:val="0"/>
          <w:lang w:val="en-US"/>
          <w14:ligatures w14:val="none"/>
        </w:rPr>
      </w:pPr>
      <w:r w:rsidRPr="003C03D9">
        <w:rPr>
          <w:rFonts w:ascii="Times New Roman" w:eastAsia="Calibri" w:hAnsi="Times New Roman" w:cs="Times New Roman"/>
          <w:b/>
          <w:kern w:val="0"/>
          <w:lang w:val="en-US"/>
          <w14:ligatures w14:val="none"/>
        </w:rPr>
        <w:t>Declaration of AI Use</w:t>
      </w:r>
    </w:p>
    <w:p w14:paraId="1054BC24" w14:textId="77777777" w:rsidR="00F27AA9" w:rsidRPr="003C03D9" w:rsidRDefault="00F27AA9" w:rsidP="003C03D9">
      <w:pPr>
        <w:spacing w:after="0" w:line="360" w:lineRule="auto"/>
        <w:jc w:val="both"/>
        <w:rPr>
          <w:rFonts w:ascii="Times New Roman" w:eastAsia="Calibri" w:hAnsi="Times New Roman" w:cs="Times New Roman"/>
          <w:kern w:val="0"/>
          <w:lang w:val="en-US"/>
          <w14:ligatures w14:val="none"/>
        </w:rPr>
      </w:pPr>
      <w:r w:rsidRPr="003C03D9">
        <w:rPr>
          <w:rFonts w:ascii="Times New Roman" w:eastAsia="Calibri" w:hAnsi="Times New Roman" w:cs="Times New Roman"/>
          <w:kern w:val="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C26B00" w14:textId="77777777" w:rsidR="00F27AA9" w:rsidRPr="003C03D9" w:rsidRDefault="00F27AA9" w:rsidP="003C03D9">
      <w:pPr>
        <w:spacing w:after="200" w:line="360" w:lineRule="auto"/>
        <w:jc w:val="both"/>
        <w:rPr>
          <w:rFonts w:ascii="Times New Roman" w:eastAsia="Times New Roman" w:hAnsi="Times New Roman" w:cs="Times New Roman"/>
          <w:b/>
          <w:bCs/>
          <w:kern w:val="0"/>
          <w:lang w:val="en-GB" w:eastAsia="en-GB"/>
          <w14:ligatures w14:val="none"/>
        </w:rPr>
      </w:pPr>
      <w:r w:rsidRPr="003C03D9">
        <w:rPr>
          <w:rFonts w:ascii="Times New Roman" w:eastAsia="Times New Roman" w:hAnsi="Times New Roman" w:cs="Times New Roman"/>
          <w:b/>
          <w:bCs/>
          <w:kern w:val="0"/>
          <w:lang w:val="en-GB" w:eastAsia="en-GB"/>
          <w14:ligatures w14:val="none"/>
        </w:rPr>
        <w:t>COMPETING INTERESTS DISCLAIMER:</w:t>
      </w:r>
    </w:p>
    <w:p w14:paraId="468FA223" w14:textId="77777777" w:rsidR="00F27AA9" w:rsidRPr="003C03D9" w:rsidRDefault="00F27AA9" w:rsidP="003C03D9">
      <w:pPr>
        <w:spacing w:after="200" w:line="360" w:lineRule="auto"/>
        <w:jc w:val="both"/>
        <w:rPr>
          <w:rFonts w:ascii="Times New Roman" w:eastAsia="Times New Roman" w:hAnsi="Times New Roman" w:cs="Times New Roman"/>
          <w:kern w:val="0"/>
          <w:lang w:val="en-GB" w:eastAsia="en-GB"/>
          <w14:ligatures w14:val="none"/>
        </w:rPr>
      </w:pPr>
      <w:r w:rsidRPr="003C03D9">
        <w:rPr>
          <w:rFonts w:ascii="Times New Roman" w:eastAsia="Times New Roman" w:hAnsi="Times New Roman" w:cs="Times New Roman"/>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F4BE8F7" w14:textId="77777777" w:rsidR="00BC4482" w:rsidRPr="00F27AA9" w:rsidRDefault="00BC4482" w:rsidP="003C03D9">
      <w:pPr>
        <w:widowControl w:val="0"/>
        <w:autoSpaceDE w:val="0"/>
        <w:autoSpaceDN w:val="0"/>
        <w:spacing w:after="0" w:line="360" w:lineRule="auto"/>
        <w:rPr>
          <w:rFonts w:ascii="Times New Roman" w:hAnsi="Times New Roman" w:cs="Times New Roman"/>
          <w:b/>
          <w:bCs/>
          <w:shd w:val="clear" w:color="auto" w:fill="FFFFFF"/>
        </w:rPr>
      </w:pPr>
    </w:p>
    <w:p w14:paraId="6E3513CF" w14:textId="77777777" w:rsidR="00BC4482" w:rsidRPr="00F27AA9" w:rsidRDefault="00BC4482"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p>
    <w:p w14:paraId="0545E25D" w14:textId="77777777" w:rsidR="003C03D9" w:rsidRDefault="003C03D9"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p>
    <w:p w14:paraId="6509CE7E" w14:textId="77777777" w:rsidR="003C03D9" w:rsidRDefault="003C03D9"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p>
    <w:p w14:paraId="4443A744" w14:textId="77777777" w:rsidR="003C03D9" w:rsidRDefault="003C03D9"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p>
    <w:p w14:paraId="7274C054" w14:textId="77777777" w:rsidR="00BE06F0" w:rsidRPr="00F27AA9" w:rsidRDefault="007F14F3"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r w:rsidRPr="00F27AA9">
        <w:rPr>
          <w:rFonts w:ascii="Times New Roman" w:hAnsi="Times New Roman" w:cs="Times New Roman"/>
          <w:b/>
          <w:bCs/>
          <w:shd w:val="clear" w:color="auto" w:fill="FFFFFF"/>
        </w:rPr>
        <w:t>Reference</w:t>
      </w:r>
    </w:p>
    <w:p w14:paraId="34C29199"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lastRenderedPageBreak/>
        <w:t xml:space="preserve">Bhagat, R. C. (2018). Biodiversity and systematic checklist of moth caterpillars, belonging to family </w:t>
      </w:r>
      <w:proofErr w:type="spellStart"/>
      <w:r w:rsidRPr="008A4748">
        <w:rPr>
          <w:rFonts w:ascii="Times New Roman" w:eastAsia="Times New Roman" w:hAnsi="Times New Roman" w:cs="Times New Roman"/>
          <w:kern w:val="0"/>
          <w:lang w:val="en-US"/>
          <w14:ligatures w14:val="none"/>
        </w:rPr>
        <w:t>Crambidae</w:t>
      </w:r>
      <w:proofErr w:type="spellEnd"/>
      <w:r w:rsidRPr="008A4748">
        <w:rPr>
          <w:rFonts w:ascii="Times New Roman" w:eastAsia="Times New Roman" w:hAnsi="Times New Roman" w:cs="Times New Roman"/>
          <w:kern w:val="0"/>
          <w:lang w:val="en-US"/>
          <w14:ligatures w14:val="none"/>
        </w:rPr>
        <w:t xml:space="preserve">, </w:t>
      </w:r>
      <w:proofErr w:type="spellStart"/>
      <w:r w:rsidRPr="008A4748">
        <w:rPr>
          <w:rFonts w:ascii="Times New Roman" w:eastAsia="Times New Roman" w:hAnsi="Times New Roman" w:cs="Times New Roman"/>
          <w:kern w:val="0"/>
          <w:lang w:val="en-US"/>
          <w14:ligatures w14:val="none"/>
        </w:rPr>
        <w:t>Erebidae</w:t>
      </w:r>
      <w:proofErr w:type="spellEnd"/>
      <w:r w:rsidRPr="008A4748">
        <w:rPr>
          <w:rFonts w:ascii="Times New Roman" w:eastAsia="Times New Roman" w:hAnsi="Times New Roman" w:cs="Times New Roman"/>
          <w:kern w:val="0"/>
          <w:lang w:val="en-US"/>
          <w14:ligatures w14:val="none"/>
        </w:rPr>
        <w:t xml:space="preserve"> and </w:t>
      </w:r>
      <w:proofErr w:type="spellStart"/>
      <w:r w:rsidRPr="008A4748">
        <w:rPr>
          <w:rFonts w:ascii="Times New Roman" w:eastAsia="Times New Roman" w:hAnsi="Times New Roman" w:cs="Times New Roman"/>
          <w:kern w:val="0"/>
          <w:lang w:val="en-US"/>
          <w14:ligatures w14:val="none"/>
        </w:rPr>
        <w:t>Tortricidae</w:t>
      </w:r>
      <w:proofErr w:type="spellEnd"/>
      <w:r w:rsidRPr="008A4748">
        <w:rPr>
          <w:rFonts w:ascii="Times New Roman" w:eastAsia="Times New Roman" w:hAnsi="Times New Roman" w:cs="Times New Roman"/>
          <w:kern w:val="0"/>
          <w:lang w:val="en-US"/>
          <w14:ligatures w14:val="none"/>
        </w:rPr>
        <w:t xml:space="preserve">, affecting host crops and plant species in Jammu &amp; Kashmir State (India). International Journal of Current Research in Biosciences and Plant Biology, 5(11), 56–67. </w:t>
      </w:r>
      <w:hyperlink r:id="rId8" w:history="1">
        <w:r w:rsidRPr="008A4748">
          <w:rPr>
            <w:rFonts w:ascii="Times New Roman" w:eastAsia="Times New Roman" w:hAnsi="Times New Roman" w:cs="Times New Roman"/>
            <w:color w:val="0000FF"/>
            <w:kern w:val="0"/>
            <w:u w:val="single"/>
            <w:lang w:val="en-US"/>
            <w14:ligatures w14:val="none"/>
          </w:rPr>
          <w:t>https://doi.org/10.20546/ijcrbp.2018.511.006</w:t>
        </w:r>
      </w:hyperlink>
    </w:p>
    <w:p w14:paraId="27585B9F"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Bisht, K., Aryan, K., &amp; Yadav, S. K. (2026). Insect pest status on agricultural crops in Western Uttar Pradesh. SKUAST Journal of Research, 28(1), 1–16. </w:t>
      </w:r>
      <w:hyperlink r:id="rId9" w:history="1">
        <w:r w:rsidRPr="008A4748">
          <w:rPr>
            <w:rFonts w:ascii="Times New Roman" w:eastAsia="Times New Roman" w:hAnsi="Times New Roman" w:cs="Times New Roman"/>
            <w:color w:val="0000FF"/>
            <w:kern w:val="0"/>
            <w:u w:val="single"/>
            <w:lang w:val="en-US"/>
            <w14:ligatures w14:val="none"/>
          </w:rPr>
          <w:t>https://doi.org/10.5958/2349-297X.2026.00001.0</w:t>
        </w:r>
      </w:hyperlink>
    </w:p>
    <w:p w14:paraId="03BFAFB8"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Challa, N., Singh, M., Bharadwaj, R. K., Sharma, R., Gaikwad, M. B., &amp; Thakur, P. (2021). Characterization of eggplant genotypes for different resistance mechanisms against </w:t>
      </w:r>
      <w:proofErr w:type="spellStart"/>
      <w:r w:rsidRPr="008A4748">
        <w:rPr>
          <w:rFonts w:ascii="Times New Roman" w:eastAsia="Times New Roman" w:hAnsi="Times New Roman" w:cs="Times New Roman"/>
          <w:kern w:val="0"/>
          <w:lang w:val="en-US"/>
          <w14:ligatures w14:val="none"/>
        </w:rPr>
        <w:t>Leucinodes</w:t>
      </w:r>
      <w:proofErr w:type="spellEnd"/>
      <w:r w:rsidRPr="008A4748">
        <w:rPr>
          <w:rFonts w:ascii="Times New Roman" w:eastAsia="Times New Roman" w:hAnsi="Times New Roman" w:cs="Times New Roman"/>
          <w:kern w:val="0"/>
          <w:lang w:val="en-US"/>
          <w14:ligatures w14:val="none"/>
        </w:rPr>
        <w:t xml:space="preserve"> </w:t>
      </w:r>
      <w:proofErr w:type="spellStart"/>
      <w:r w:rsidRPr="008A4748">
        <w:rPr>
          <w:rFonts w:ascii="Times New Roman" w:eastAsia="Times New Roman" w:hAnsi="Times New Roman" w:cs="Times New Roman"/>
          <w:kern w:val="0"/>
          <w:lang w:val="en-US"/>
          <w14:ligatures w14:val="none"/>
        </w:rPr>
        <w:t>orbonalis</w:t>
      </w:r>
      <w:proofErr w:type="spellEnd"/>
      <w:r w:rsidRPr="008A4748">
        <w:rPr>
          <w:rFonts w:ascii="Times New Roman" w:eastAsia="Times New Roman" w:hAnsi="Times New Roman" w:cs="Times New Roman"/>
          <w:kern w:val="0"/>
          <w:lang w:val="en-US"/>
          <w14:ligatures w14:val="none"/>
        </w:rPr>
        <w:t xml:space="preserve">. Neotropical Entomology, 50(4), 643–653. </w:t>
      </w:r>
      <w:hyperlink r:id="rId10" w:history="1">
        <w:r w:rsidRPr="008A4748">
          <w:rPr>
            <w:rFonts w:ascii="Times New Roman" w:eastAsia="Times New Roman" w:hAnsi="Times New Roman" w:cs="Times New Roman"/>
            <w:color w:val="0000FF"/>
            <w:kern w:val="0"/>
            <w:u w:val="single"/>
            <w:lang w:val="en-US"/>
            <w14:ligatures w14:val="none"/>
          </w:rPr>
          <w:t>https://doi.org/10.1007/s13744-021-00888-w</w:t>
        </w:r>
      </w:hyperlink>
    </w:p>
    <w:p w14:paraId="6BC4C7DC"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Cheng, T., Wu, J., Wu, Y., Chilukuri, R. V., Huang, L., Yamamoto, K., Feng, L., Li, W., Chen, Z., Guo, H., Liu, J., Li, S., Wang, X., Peng, L., Liu, D., Guo, Y., Fu, B., Li, Z., Liu, C., . . . Mita, K. (2017). Genomic adaptation to </w:t>
      </w:r>
      <w:proofErr w:type="spellStart"/>
      <w:r w:rsidRPr="008A4748">
        <w:rPr>
          <w:rFonts w:ascii="Times New Roman" w:eastAsia="Times New Roman" w:hAnsi="Times New Roman" w:cs="Times New Roman"/>
          <w:kern w:val="0"/>
          <w:lang w:val="en-US"/>
          <w14:ligatures w14:val="none"/>
        </w:rPr>
        <w:t>polyphagy</w:t>
      </w:r>
      <w:proofErr w:type="spellEnd"/>
      <w:r w:rsidRPr="008A4748">
        <w:rPr>
          <w:rFonts w:ascii="Times New Roman" w:eastAsia="Times New Roman" w:hAnsi="Times New Roman" w:cs="Times New Roman"/>
          <w:kern w:val="0"/>
          <w:lang w:val="en-US"/>
          <w14:ligatures w14:val="none"/>
        </w:rPr>
        <w:t xml:space="preserve"> and insecticides in a major East Asian noctuid pest. Nature Ecology &amp; Evolution, 1(11), 1747–1756. </w:t>
      </w:r>
      <w:hyperlink r:id="rId11" w:history="1">
        <w:r w:rsidRPr="008A4748">
          <w:rPr>
            <w:rFonts w:ascii="Times New Roman" w:eastAsia="Times New Roman" w:hAnsi="Times New Roman" w:cs="Times New Roman"/>
            <w:color w:val="0000FF"/>
            <w:kern w:val="0"/>
            <w:u w:val="single"/>
            <w:lang w:val="en-US"/>
            <w14:ligatures w14:val="none"/>
          </w:rPr>
          <w:t>https://doi.org/10.1038/s41559-017-0314-4</w:t>
        </w:r>
      </w:hyperlink>
    </w:p>
    <w:p w14:paraId="77342E97"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Das, P. (2006). Cropping pattern (agricultural and horticultural) in different zones, their average yields in comparison to national average/critical gaps/reasons identified and yield potential (pp. 33–47). Indian Council of Agricultural Research. </w:t>
      </w:r>
      <w:hyperlink r:id="rId12" w:history="1">
        <w:r w:rsidRPr="008A4748">
          <w:rPr>
            <w:rFonts w:ascii="Times New Roman" w:eastAsia="Times New Roman" w:hAnsi="Times New Roman" w:cs="Times New Roman"/>
            <w:color w:val="0000FF"/>
            <w:kern w:val="0"/>
            <w:u w:val="single"/>
            <w:lang w:val="en-US"/>
            <w14:ligatures w14:val="none"/>
          </w:rPr>
          <w:t>https://www.academia.edu/7708133/</w:t>
        </w:r>
      </w:hyperlink>
    </w:p>
    <w:p w14:paraId="27EC57CF"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A4748">
        <w:rPr>
          <w:rFonts w:ascii="Times New Roman" w:eastAsia="Times New Roman" w:hAnsi="Times New Roman" w:cs="Times New Roman"/>
          <w:kern w:val="0"/>
          <w:lang w:val="en-US"/>
          <w14:ligatures w14:val="none"/>
        </w:rPr>
        <w:t>Debusscher</w:t>
      </w:r>
      <w:proofErr w:type="spellEnd"/>
      <w:r w:rsidRPr="008A4748">
        <w:rPr>
          <w:rFonts w:ascii="Times New Roman" w:eastAsia="Times New Roman" w:hAnsi="Times New Roman" w:cs="Times New Roman"/>
          <w:kern w:val="0"/>
          <w:lang w:val="en-US"/>
          <w14:ligatures w14:val="none"/>
        </w:rPr>
        <w:t xml:space="preserve">, F., Van Den Eeckhaut, F., Baekeland, J., Van Dyck, H., Merckx, T., &amp; Bossuyt, F. (2026). </w:t>
      </w:r>
      <w:proofErr w:type="spellStart"/>
      <w:r w:rsidRPr="008A4748">
        <w:rPr>
          <w:rFonts w:ascii="Times New Roman" w:eastAsia="Times New Roman" w:hAnsi="Times New Roman" w:cs="Times New Roman"/>
          <w:kern w:val="0"/>
          <w:lang w:val="en-US"/>
          <w14:ligatures w14:val="none"/>
        </w:rPr>
        <w:t>Agriwilding</w:t>
      </w:r>
      <w:proofErr w:type="spellEnd"/>
      <w:r w:rsidRPr="008A4748">
        <w:rPr>
          <w:rFonts w:ascii="Times New Roman" w:eastAsia="Times New Roman" w:hAnsi="Times New Roman" w:cs="Times New Roman"/>
          <w:kern w:val="0"/>
          <w:lang w:val="en-US"/>
          <w14:ligatures w14:val="none"/>
        </w:rPr>
        <w:t xml:space="preserve"> substantially restores butterfly and moth diversity in a European agricultural landscape. Biological Conservation, 321, Article 111965. </w:t>
      </w:r>
      <w:hyperlink r:id="rId13" w:history="1">
        <w:r w:rsidRPr="008A4748">
          <w:rPr>
            <w:rFonts w:ascii="Times New Roman" w:eastAsia="Times New Roman" w:hAnsi="Times New Roman" w:cs="Times New Roman"/>
            <w:color w:val="0000FF"/>
            <w:kern w:val="0"/>
            <w:u w:val="single"/>
            <w:lang w:val="en-US"/>
            <w14:ligatures w14:val="none"/>
          </w:rPr>
          <w:t>https://doi.org/10.1016/j.biocon.2026.111965</w:t>
        </w:r>
      </w:hyperlink>
    </w:p>
    <w:p w14:paraId="30F16AE7"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Fetnassi, N., Foerster, S. I. A., </w:t>
      </w:r>
      <w:proofErr w:type="spellStart"/>
      <w:r w:rsidRPr="008A4748">
        <w:rPr>
          <w:rFonts w:ascii="Times New Roman" w:eastAsia="Times New Roman" w:hAnsi="Times New Roman" w:cs="Times New Roman"/>
          <w:kern w:val="0"/>
          <w:lang w:val="en-US"/>
          <w14:ligatures w14:val="none"/>
        </w:rPr>
        <w:t>Õunap</w:t>
      </w:r>
      <w:proofErr w:type="spellEnd"/>
      <w:r w:rsidRPr="008A4748">
        <w:rPr>
          <w:rFonts w:ascii="Times New Roman" w:eastAsia="Times New Roman" w:hAnsi="Times New Roman" w:cs="Times New Roman"/>
          <w:kern w:val="0"/>
          <w:lang w:val="en-US"/>
          <w14:ligatures w14:val="none"/>
        </w:rPr>
        <w:t xml:space="preserve">, E., </w:t>
      </w:r>
      <w:proofErr w:type="spellStart"/>
      <w:r w:rsidRPr="008A4748">
        <w:rPr>
          <w:rFonts w:ascii="Times New Roman" w:eastAsia="Times New Roman" w:hAnsi="Times New Roman" w:cs="Times New Roman"/>
          <w:kern w:val="0"/>
          <w:lang w:val="en-US"/>
          <w14:ligatures w14:val="none"/>
        </w:rPr>
        <w:t>Ghamizi</w:t>
      </w:r>
      <w:proofErr w:type="spellEnd"/>
      <w:r w:rsidRPr="008A4748">
        <w:rPr>
          <w:rFonts w:ascii="Times New Roman" w:eastAsia="Times New Roman" w:hAnsi="Times New Roman" w:cs="Times New Roman"/>
          <w:kern w:val="0"/>
          <w:lang w:val="en-US"/>
          <w14:ligatures w14:val="none"/>
        </w:rPr>
        <w:t xml:space="preserve">, M., &amp; </w:t>
      </w:r>
      <w:proofErr w:type="spellStart"/>
      <w:r w:rsidRPr="008A4748">
        <w:rPr>
          <w:rFonts w:ascii="Times New Roman" w:eastAsia="Times New Roman" w:hAnsi="Times New Roman" w:cs="Times New Roman"/>
          <w:kern w:val="0"/>
          <w:lang w:val="en-US"/>
          <w14:ligatures w14:val="none"/>
        </w:rPr>
        <w:t>Tammaru</w:t>
      </w:r>
      <w:proofErr w:type="spellEnd"/>
      <w:r w:rsidRPr="008A4748">
        <w:rPr>
          <w:rFonts w:ascii="Times New Roman" w:eastAsia="Times New Roman" w:hAnsi="Times New Roman" w:cs="Times New Roman"/>
          <w:kern w:val="0"/>
          <w:lang w:val="en-US"/>
          <w14:ligatures w14:val="none"/>
        </w:rPr>
        <w:t xml:space="preserve">, T. (2025). Complementary roles of agricultural and natural habitats in supporting moth diversity in semi-arid landscapes of Morocco. European Journal of Entomology, 122, 173–183. </w:t>
      </w:r>
      <w:hyperlink r:id="rId14" w:history="1">
        <w:r w:rsidRPr="008A4748">
          <w:rPr>
            <w:rFonts w:ascii="Times New Roman" w:eastAsia="Times New Roman" w:hAnsi="Times New Roman" w:cs="Times New Roman"/>
            <w:color w:val="0000FF"/>
            <w:kern w:val="0"/>
            <w:u w:val="single"/>
            <w:lang w:val="en-US"/>
            <w14:ligatures w14:val="none"/>
          </w:rPr>
          <w:t>https://doi.org/10.14411/eje.2025.022</w:t>
        </w:r>
      </w:hyperlink>
    </w:p>
    <w:p w14:paraId="389EFD6E"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A4748">
        <w:rPr>
          <w:rFonts w:ascii="Times New Roman" w:eastAsia="Times New Roman" w:hAnsi="Times New Roman" w:cs="Times New Roman"/>
          <w:kern w:val="0"/>
          <w:lang w:val="en-US"/>
          <w14:ligatures w14:val="none"/>
        </w:rPr>
        <w:t>Gangavarapu</w:t>
      </w:r>
      <w:proofErr w:type="spellEnd"/>
      <w:r w:rsidRPr="008A4748">
        <w:rPr>
          <w:rFonts w:ascii="Times New Roman" w:eastAsia="Times New Roman" w:hAnsi="Times New Roman" w:cs="Times New Roman"/>
          <w:kern w:val="0"/>
          <w:lang w:val="en-US"/>
          <w14:ligatures w14:val="none"/>
        </w:rPr>
        <w:t xml:space="preserve">, N., Bhattacharya, S., </w:t>
      </w:r>
      <w:proofErr w:type="spellStart"/>
      <w:r w:rsidRPr="008A4748">
        <w:rPr>
          <w:rFonts w:ascii="Times New Roman" w:eastAsia="Times New Roman" w:hAnsi="Times New Roman" w:cs="Times New Roman"/>
          <w:kern w:val="0"/>
          <w:lang w:val="en-US"/>
          <w14:ligatures w14:val="none"/>
        </w:rPr>
        <w:t>Dhakre</w:t>
      </w:r>
      <w:proofErr w:type="spellEnd"/>
      <w:r w:rsidRPr="008A4748">
        <w:rPr>
          <w:rFonts w:ascii="Times New Roman" w:eastAsia="Times New Roman" w:hAnsi="Times New Roman" w:cs="Times New Roman"/>
          <w:kern w:val="0"/>
          <w:lang w:val="en-US"/>
          <w14:ligatures w14:val="none"/>
        </w:rPr>
        <w:t xml:space="preserve">, D. S., &amp; Pal, S. (2026). Host plant-dependent variation in growth and developmental traits of Spodoptera </w:t>
      </w:r>
      <w:proofErr w:type="spellStart"/>
      <w:r w:rsidRPr="008A4748">
        <w:rPr>
          <w:rFonts w:ascii="Times New Roman" w:eastAsia="Times New Roman" w:hAnsi="Times New Roman" w:cs="Times New Roman"/>
          <w:kern w:val="0"/>
          <w:lang w:val="en-US"/>
          <w14:ligatures w14:val="none"/>
        </w:rPr>
        <w:t>litura</w:t>
      </w:r>
      <w:proofErr w:type="spellEnd"/>
      <w:r w:rsidRPr="008A4748">
        <w:rPr>
          <w:rFonts w:ascii="Times New Roman" w:eastAsia="Times New Roman" w:hAnsi="Times New Roman" w:cs="Times New Roman"/>
          <w:kern w:val="0"/>
          <w:lang w:val="en-US"/>
          <w14:ligatures w14:val="none"/>
        </w:rPr>
        <w:t xml:space="preserve"> (Fabricius). Journal of Advances in Biology &amp; Biotechnology, 29(6), 148–157. </w:t>
      </w:r>
      <w:hyperlink r:id="rId15" w:history="1">
        <w:r w:rsidRPr="008A4748">
          <w:rPr>
            <w:rFonts w:ascii="Times New Roman" w:eastAsia="Times New Roman" w:hAnsi="Times New Roman" w:cs="Times New Roman"/>
            <w:color w:val="0000FF"/>
            <w:kern w:val="0"/>
            <w:u w:val="single"/>
            <w:lang w:val="en-US"/>
            <w14:ligatures w14:val="none"/>
          </w:rPr>
          <w:t>https://doi.org/10.9734/jabb/2026/v29i64001</w:t>
        </w:r>
      </w:hyperlink>
    </w:p>
    <w:p w14:paraId="466D32D0"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Gangwar, R. K., Javeria, S., Yadav, K., Tyagi, S., &amp; Singh, R. (2015). Survey and surveillance of major insect-pests of basmati rice in western Uttar Pradesh (India). IMPACT: International Journal of Research in Applied, Natural and Social Sciences, 3(3), 1–8. </w:t>
      </w:r>
      <w:hyperlink r:id="rId16" w:history="1">
        <w:r w:rsidRPr="008A4748">
          <w:rPr>
            <w:rFonts w:ascii="Times New Roman" w:eastAsia="Times New Roman" w:hAnsi="Times New Roman" w:cs="Times New Roman"/>
            <w:color w:val="0000FF"/>
            <w:kern w:val="0"/>
            <w:u w:val="single"/>
            <w:lang w:val="en-US"/>
            <w14:ligatures w14:val="none"/>
          </w:rPr>
          <w:t>https://www.academia.edu/15071109/</w:t>
        </w:r>
      </w:hyperlink>
    </w:p>
    <w:p w14:paraId="664324D6"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A4748">
        <w:rPr>
          <w:rFonts w:ascii="Times New Roman" w:eastAsia="Times New Roman" w:hAnsi="Times New Roman" w:cs="Times New Roman"/>
          <w:kern w:val="0"/>
          <w:lang w:val="en-US"/>
          <w14:ligatures w14:val="none"/>
        </w:rPr>
        <w:lastRenderedPageBreak/>
        <w:t>Gaytán</w:t>
      </w:r>
      <w:proofErr w:type="spellEnd"/>
      <w:r w:rsidRPr="008A4748">
        <w:rPr>
          <w:rFonts w:ascii="Times New Roman" w:eastAsia="Times New Roman" w:hAnsi="Times New Roman" w:cs="Times New Roman"/>
          <w:kern w:val="0"/>
          <w:lang w:val="en-US"/>
          <w14:ligatures w14:val="none"/>
        </w:rPr>
        <w:t xml:space="preserve">, Á. (2026). European Lepidoptera–plant associations: A species-level interaction matrix. Ecology and Evolution, 16(2), Article e73004. </w:t>
      </w:r>
      <w:hyperlink r:id="rId17" w:history="1">
        <w:r w:rsidRPr="008A4748">
          <w:rPr>
            <w:rFonts w:ascii="Times New Roman" w:eastAsia="Times New Roman" w:hAnsi="Times New Roman" w:cs="Times New Roman"/>
            <w:color w:val="0000FF"/>
            <w:kern w:val="0"/>
            <w:u w:val="single"/>
            <w:lang w:val="en-US"/>
            <w14:ligatures w14:val="none"/>
          </w:rPr>
          <w:t>https://doi.org/10.1002/ece3.73004</w:t>
        </w:r>
      </w:hyperlink>
    </w:p>
    <w:p w14:paraId="38E90653"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Goldstein, P. Z. (2017). Diversity and significance of Lepidoptera: A phylogenetic perspective. In R. G. </w:t>
      </w:r>
      <w:proofErr w:type="spellStart"/>
      <w:r w:rsidRPr="008A4748">
        <w:rPr>
          <w:rFonts w:ascii="Times New Roman" w:eastAsia="Times New Roman" w:hAnsi="Times New Roman" w:cs="Times New Roman"/>
          <w:kern w:val="0"/>
          <w:lang w:val="en-US"/>
          <w14:ligatures w14:val="none"/>
        </w:rPr>
        <w:t>Foottit</w:t>
      </w:r>
      <w:proofErr w:type="spellEnd"/>
      <w:r w:rsidRPr="008A4748">
        <w:rPr>
          <w:rFonts w:ascii="Times New Roman" w:eastAsia="Times New Roman" w:hAnsi="Times New Roman" w:cs="Times New Roman"/>
          <w:kern w:val="0"/>
          <w:lang w:val="en-US"/>
          <w14:ligatures w14:val="none"/>
        </w:rPr>
        <w:t xml:space="preserve"> &amp; P. H. Adler (Eds.), Insect biodiversity: Science and society (pp. 463–495). Wiley. </w:t>
      </w:r>
      <w:hyperlink r:id="rId18" w:history="1">
        <w:r w:rsidRPr="008A4748">
          <w:rPr>
            <w:rFonts w:ascii="Times New Roman" w:eastAsia="Times New Roman" w:hAnsi="Times New Roman" w:cs="Times New Roman"/>
            <w:color w:val="0000FF"/>
            <w:kern w:val="0"/>
            <w:u w:val="single"/>
            <w:lang w:val="en-US"/>
            <w14:ligatures w14:val="none"/>
          </w:rPr>
          <w:t>https://doi.org/10.1002/9781118945568.ch13</w:t>
        </w:r>
      </w:hyperlink>
    </w:p>
    <w:p w14:paraId="5EA47D29"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A4748">
        <w:rPr>
          <w:rFonts w:ascii="Times New Roman" w:eastAsia="Times New Roman" w:hAnsi="Times New Roman" w:cs="Times New Roman"/>
          <w:kern w:val="0"/>
          <w:lang w:val="en-US"/>
          <w14:ligatures w14:val="none"/>
        </w:rPr>
        <w:t>Hailay</w:t>
      </w:r>
      <w:proofErr w:type="spellEnd"/>
      <w:r w:rsidRPr="008A4748">
        <w:rPr>
          <w:rFonts w:ascii="Times New Roman" w:eastAsia="Times New Roman" w:hAnsi="Times New Roman" w:cs="Times New Roman"/>
          <w:kern w:val="0"/>
          <w:lang w:val="en-US"/>
          <w14:ligatures w14:val="none"/>
        </w:rPr>
        <w:t xml:space="preserve"> Gebremariam, G. (2024). A systematic review of insect decline and discovery: Trends, drivers, and conservation strategies over the past two decades. Psyche: A Journal of Entomology, 2024(1), Article 5998962. </w:t>
      </w:r>
      <w:hyperlink r:id="rId19" w:history="1">
        <w:r w:rsidRPr="008A4748">
          <w:rPr>
            <w:rFonts w:ascii="Times New Roman" w:eastAsia="Times New Roman" w:hAnsi="Times New Roman" w:cs="Times New Roman"/>
            <w:color w:val="0000FF"/>
            <w:kern w:val="0"/>
            <w:u w:val="single"/>
            <w:lang w:val="en-US"/>
            <w14:ligatures w14:val="none"/>
          </w:rPr>
          <w:t>https://doi.org/10.1155/2024/5998962</w:t>
        </w:r>
      </w:hyperlink>
    </w:p>
    <w:p w14:paraId="67627405"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Heppner, J. B. (2008). Moths (Lepidoptera: </w:t>
      </w:r>
      <w:proofErr w:type="spellStart"/>
      <w:r w:rsidRPr="008A4748">
        <w:rPr>
          <w:rFonts w:ascii="Times New Roman" w:eastAsia="Times New Roman" w:hAnsi="Times New Roman" w:cs="Times New Roman"/>
          <w:kern w:val="0"/>
          <w:lang w:val="en-US"/>
          <w14:ligatures w14:val="none"/>
        </w:rPr>
        <w:t>Heterocera</w:t>
      </w:r>
      <w:proofErr w:type="spellEnd"/>
      <w:r w:rsidRPr="008A4748">
        <w:rPr>
          <w:rFonts w:ascii="Times New Roman" w:eastAsia="Times New Roman" w:hAnsi="Times New Roman" w:cs="Times New Roman"/>
          <w:kern w:val="0"/>
          <w:lang w:val="en-US"/>
          <w14:ligatures w14:val="none"/>
        </w:rPr>
        <w:t xml:space="preserve">). In J. L. </w:t>
      </w:r>
      <w:proofErr w:type="spellStart"/>
      <w:r w:rsidRPr="008A4748">
        <w:rPr>
          <w:rFonts w:ascii="Times New Roman" w:eastAsia="Times New Roman" w:hAnsi="Times New Roman" w:cs="Times New Roman"/>
          <w:kern w:val="0"/>
          <w:lang w:val="en-US"/>
          <w14:ligatures w14:val="none"/>
        </w:rPr>
        <w:t>Capinera</w:t>
      </w:r>
      <w:proofErr w:type="spellEnd"/>
      <w:r w:rsidRPr="008A4748">
        <w:rPr>
          <w:rFonts w:ascii="Times New Roman" w:eastAsia="Times New Roman" w:hAnsi="Times New Roman" w:cs="Times New Roman"/>
          <w:kern w:val="0"/>
          <w:lang w:val="en-US"/>
          <w14:ligatures w14:val="none"/>
        </w:rPr>
        <w:t xml:space="preserve"> (Ed.), Encyclopedia of entomology (pp. 2491–2494). Springer. </w:t>
      </w:r>
      <w:hyperlink r:id="rId20" w:history="1">
        <w:r w:rsidRPr="008A4748">
          <w:rPr>
            <w:rFonts w:ascii="Times New Roman" w:eastAsia="Times New Roman" w:hAnsi="Times New Roman" w:cs="Times New Roman"/>
            <w:color w:val="0000FF"/>
            <w:kern w:val="0"/>
            <w:u w:val="single"/>
            <w:lang w:val="en-US"/>
            <w14:ligatures w14:val="none"/>
          </w:rPr>
          <w:t>https://doi.org/10.1007/978-1-4020-6359-6_4705</w:t>
        </w:r>
      </w:hyperlink>
    </w:p>
    <w:p w14:paraId="4709D3C2"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Ho, H.-C., &amp; Altermatt, F. (2024). Associating the structure of Lepidoptera-plant interaction networks across clades and life stages to environmental gradients. Journal of Biogeography, 51(4), 725–738. </w:t>
      </w:r>
      <w:hyperlink r:id="rId21" w:history="1">
        <w:r w:rsidRPr="008A4748">
          <w:rPr>
            <w:rFonts w:ascii="Times New Roman" w:eastAsia="Times New Roman" w:hAnsi="Times New Roman" w:cs="Times New Roman"/>
            <w:color w:val="0000FF"/>
            <w:kern w:val="0"/>
            <w:u w:val="single"/>
            <w:lang w:val="en-US"/>
            <w14:ligatures w14:val="none"/>
          </w:rPr>
          <w:t>https://doi.org/10.1111/jbi.14776</w:t>
        </w:r>
      </w:hyperlink>
    </w:p>
    <w:p w14:paraId="5F0DA18D"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Jaenike, J. (1990). Host specialization in phytophagous insects. Annual Review of Ecology and Systematics, 21, 243–273. </w:t>
      </w:r>
      <w:hyperlink r:id="rId22" w:history="1">
        <w:r w:rsidRPr="008A4748">
          <w:rPr>
            <w:rFonts w:ascii="Times New Roman" w:eastAsia="Times New Roman" w:hAnsi="Times New Roman" w:cs="Times New Roman"/>
            <w:color w:val="0000FF"/>
            <w:kern w:val="0"/>
            <w:u w:val="single"/>
            <w:lang w:val="en-US"/>
            <w14:ligatures w14:val="none"/>
          </w:rPr>
          <w:t>https://doi.org/10.1146/annurev.es.21.110190.001331</w:t>
        </w:r>
      </w:hyperlink>
    </w:p>
    <w:p w14:paraId="28FB8387"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A4748">
        <w:rPr>
          <w:rFonts w:ascii="Times New Roman" w:eastAsia="Times New Roman" w:hAnsi="Times New Roman" w:cs="Times New Roman"/>
          <w:kern w:val="0"/>
          <w:lang w:val="en-US"/>
          <w14:ligatures w14:val="none"/>
        </w:rPr>
        <w:t>Kalawate</w:t>
      </w:r>
      <w:proofErr w:type="spellEnd"/>
      <w:r w:rsidRPr="008A4748">
        <w:rPr>
          <w:rFonts w:ascii="Times New Roman" w:eastAsia="Times New Roman" w:hAnsi="Times New Roman" w:cs="Times New Roman"/>
          <w:kern w:val="0"/>
          <w:lang w:val="en-US"/>
          <w14:ligatures w14:val="none"/>
        </w:rPr>
        <w:t xml:space="preserve">, A. S., </w:t>
      </w:r>
      <w:proofErr w:type="spellStart"/>
      <w:r w:rsidRPr="008A4748">
        <w:rPr>
          <w:rFonts w:ascii="Times New Roman" w:eastAsia="Times New Roman" w:hAnsi="Times New Roman" w:cs="Times New Roman"/>
          <w:kern w:val="0"/>
          <w:lang w:val="en-US"/>
          <w14:ligatures w14:val="none"/>
        </w:rPr>
        <w:t>Surwade</w:t>
      </w:r>
      <w:proofErr w:type="spellEnd"/>
      <w:r w:rsidRPr="008A4748">
        <w:rPr>
          <w:rFonts w:ascii="Times New Roman" w:eastAsia="Times New Roman" w:hAnsi="Times New Roman" w:cs="Times New Roman"/>
          <w:kern w:val="0"/>
          <w:lang w:val="en-US"/>
          <w14:ligatures w14:val="none"/>
        </w:rPr>
        <w:t xml:space="preserve">, P., &amp; </w:t>
      </w:r>
      <w:proofErr w:type="spellStart"/>
      <w:r w:rsidRPr="008A4748">
        <w:rPr>
          <w:rFonts w:ascii="Times New Roman" w:eastAsia="Times New Roman" w:hAnsi="Times New Roman" w:cs="Times New Roman"/>
          <w:kern w:val="0"/>
          <w:lang w:val="en-US"/>
          <w14:ligatures w14:val="none"/>
        </w:rPr>
        <w:t>Pawara</w:t>
      </w:r>
      <w:proofErr w:type="spellEnd"/>
      <w:r w:rsidRPr="008A4748">
        <w:rPr>
          <w:rFonts w:ascii="Times New Roman" w:eastAsia="Times New Roman" w:hAnsi="Times New Roman" w:cs="Times New Roman"/>
          <w:kern w:val="0"/>
          <w:lang w:val="en-US"/>
          <w14:ligatures w14:val="none"/>
        </w:rPr>
        <w:t xml:space="preserve">, S. N. (2023). An annotated checklist of the economically important family of moths (Lepidoptera: </w:t>
      </w:r>
      <w:proofErr w:type="spellStart"/>
      <w:r w:rsidRPr="008A4748">
        <w:rPr>
          <w:rFonts w:ascii="Times New Roman" w:eastAsia="Times New Roman" w:hAnsi="Times New Roman" w:cs="Times New Roman"/>
          <w:kern w:val="0"/>
          <w:lang w:val="en-US"/>
          <w14:ligatures w14:val="none"/>
        </w:rPr>
        <w:t>Heterocera</w:t>
      </w:r>
      <w:proofErr w:type="spellEnd"/>
      <w:r w:rsidRPr="008A4748">
        <w:rPr>
          <w:rFonts w:ascii="Times New Roman" w:eastAsia="Times New Roman" w:hAnsi="Times New Roman" w:cs="Times New Roman"/>
          <w:kern w:val="0"/>
          <w:lang w:val="en-US"/>
          <w14:ligatures w14:val="none"/>
        </w:rPr>
        <w:t xml:space="preserve">: </w:t>
      </w:r>
      <w:proofErr w:type="spellStart"/>
      <w:r w:rsidRPr="008A4748">
        <w:rPr>
          <w:rFonts w:ascii="Times New Roman" w:eastAsia="Times New Roman" w:hAnsi="Times New Roman" w:cs="Times New Roman"/>
          <w:kern w:val="0"/>
          <w:lang w:val="en-US"/>
          <w14:ligatures w14:val="none"/>
        </w:rPr>
        <w:t>Noctuidae</w:t>
      </w:r>
      <w:proofErr w:type="spellEnd"/>
      <w:r w:rsidRPr="008A4748">
        <w:rPr>
          <w:rFonts w:ascii="Times New Roman" w:eastAsia="Times New Roman" w:hAnsi="Times New Roman" w:cs="Times New Roman"/>
          <w:kern w:val="0"/>
          <w:lang w:val="en-US"/>
          <w14:ligatures w14:val="none"/>
        </w:rPr>
        <w:t xml:space="preserve">) of the northern Western Ghats, India, with notes on their type species, diversity, distribution, host plants, and an unusual new faunistic record. Journal of Threatened Taxa, 15(2), 22632–22653. </w:t>
      </w:r>
      <w:hyperlink r:id="rId23" w:history="1">
        <w:r w:rsidRPr="008A4748">
          <w:rPr>
            <w:rFonts w:ascii="Times New Roman" w:eastAsia="Times New Roman" w:hAnsi="Times New Roman" w:cs="Times New Roman"/>
            <w:color w:val="0000FF"/>
            <w:kern w:val="0"/>
            <w:u w:val="single"/>
            <w:lang w:val="en-US"/>
            <w14:ligatures w14:val="none"/>
          </w:rPr>
          <w:t>https://doi.org/10.11609/jott.7824.15.2.22632-22653</w:t>
        </w:r>
      </w:hyperlink>
    </w:p>
    <w:p w14:paraId="53F19BB2"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Kennedy, R., Fuentes-Montemayor, E., Park, K. J., &amp; Littlewood, N. (2026). Does mixed farming benefit moths? Exploring how different farming systems shape both local features and the wider landscape. Agriculture, Ecosystems &amp; Environment, 396, Article 109996. </w:t>
      </w:r>
      <w:hyperlink r:id="rId24" w:history="1">
        <w:r w:rsidRPr="008A4748">
          <w:rPr>
            <w:rFonts w:ascii="Times New Roman" w:eastAsia="Times New Roman" w:hAnsi="Times New Roman" w:cs="Times New Roman"/>
            <w:color w:val="0000FF"/>
            <w:kern w:val="0"/>
            <w:u w:val="single"/>
            <w:lang w:val="en-US"/>
            <w14:ligatures w14:val="none"/>
          </w:rPr>
          <w:t>https://doi.org/10.1016/j.agee.2025.109996</w:t>
        </w:r>
      </w:hyperlink>
    </w:p>
    <w:p w14:paraId="76EEEAB4"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Khan, A. U., Poly, N. Y., Dutta, S., &amp; Alam, F. (2023). Lepidopteran </w:t>
      </w:r>
      <w:proofErr w:type="gramStart"/>
      <w:r w:rsidRPr="008A4748">
        <w:rPr>
          <w:rFonts w:ascii="Times New Roman" w:eastAsia="Times New Roman" w:hAnsi="Times New Roman" w:cs="Times New Roman"/>
          <w:kern w:val="0"/>
          <w:lang w:val="en-US"/>
          <w14:ligatures w14:val="none"/>
        </w:rPr>
        <w:t>insects</w:t>
      </w:r>
      <w:proofErr w:type="gramEnd"/>
      <w:r w:rsidRPr="008A4748">
        <w:rPr>
          <w:rFonts w:ascii="Times New Roman" w:eastAsia="Times New Roman" w:hAnsi="Times New Roman" w:cs="Times New Roman"/>
          <w:kern w:val="0"/>
          <w:lang w:val="en-US"/>
          <w14:ligatures w14:val="none"/>
        </w:rPr>
        <w:t xml:space="preserve"> status and diversity: A review. Journal of Multidisciplinary Applied Natural Science, 3(1), 55–80. </w:t>
      </w:r>
      <w:hyperlink r:id="rId25" w:history="1">
        <w:r w:rsidRPr="008A4748">
          <w:rPr>
            <w:rFonts w:ascii="Times New Roman" w:eastAsia="Times New Roman" w:hAnsi="Times New Roman" w:cs="Times New Roman"/>
            <w:color w:val="0000FF"/>
            <w:kern w:val="0"/>
            <w:u w:val="single"/>
            <w:lang w:val="en-US"/>
            <w14:ligatures w14:val="none"/>
          </w:rPr>
          <w:t>https://doi.org/10.47352/jmans.2774-3047.140</w:t>
        </w:r>
      </w:hyperlink>
    </w:p>
    <w:p w14:paraId="46AF02F0"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Kumkum, Saini, M., &amp; Upadhyay, K. (2025). Insect pest status of vegetable crops in Meerut district of Western Uttar Pradesh. Journal of Applied Entomologist, 5(3), 1–8. </w:t>
      </w:r>
      <w:hyperlink r:id="rId26" w:history="1">
        <w:r w:rsidRPr="008A4748">
          <w:rPr>
            <w:rFonts w:ascii="Times New Roman" w:eastAsia="Times New Roman" w:hAnsi="Times New Roman" w:cs="Times New Roman"/>
            <w:color w:val="0000FF"/>
            <w:kern w:val="0"/>
            <w:u w:val="single"/>
            <w:lang w:val="en-US"/>
            <w14:ligatures w14:val="none"/>
          </w:rPr>
          <w:t>https://dzarc.com/entomology/article/view/659</w:t>
        </w:r>
      </w:hyperlink>
    </w:p>
    <w:p w14:paraId="6A56B85F"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Mathew, P., Anand, S., </w:t>
      </w:r>
      <w:proofErr w:type="spellStart"/>
      <w:r w:rsidRPr="008A4748">
        <w:rPr>
          <w:rFonts w:ascii="Times New Roman" w:eastAsia="Times New Roman" w:hAnsi="Times New Roman" w:cs="Times New Roman"/>
          <w:kern w:val="0"/>
          <w:lang w:val="en-US"/>
          <w14:ligatures w14:val="none"/>
        </w:rPr>
        <w:t>Sivasankaran</w:t>
      </w:r>
      <w:proofErr w:type="spellEnd"/>
      <w:r w:rsidRPr="008A4748">
        <w:rPr>
          <w:rFonts w:ascii="Times New Roman" w:eastAsia="Times New Roman" w:hAnsi="Times New Roman" w:cs="Times New Roman"/>
          <w:kern w:val="0"/>
          <w:lang w:val="en-US"/>
          <w14:ligatures w14:val="none"/>
        </w:rPr>
        <w:t xml:space="preserve">, K., &amp; </w:t>
      </w:r>
      <w:proofErr w:type="spellStart"/>
      <w:r w:rsidRPr="008A4748">
        <w:rPr>
          <w:rFonts w:ascii="Times New Roman" w:eastAsia="Times New Roman" w:hAnsi="Times New Roman" w:cs="Times New Roman"/>
          <w:kern w:val="0"/>
          <w:lang w:val="en-US"/>
          <w14:ligatures w14:val="none"/>
        </w:rPr>
        <w:t>Ignacimuthu</w:t>
      </w:r>
      <w:proofErr w:type="spellEnd"/>
      <w:r w:rsidRPr="008A4748">
        <w:rPr>
          <w:rFonts w:ascii="Times New Roman" w:eastAsia="Times New Roman" w:hAnsi="Times New Roman" w:cs="Times New Roman"/>
          <w:kern w:val="0"/>
          <w:lang w:val="en-US"/>
          <w14:ligatures w14:val="none"/>
        </w:rPr>
        <w:t xml:space="preserve">, S. (2018). The moths (Lepidoptera: </w:t>
      </w:r>
      <w:proofErr w:type="spellStart"/>
      <w:r w:rsidRPr="008A4748">
        <w:rPr>
          <w:rFonts w:ascii="Times New Roman" w:eastAsia="Times New Roman" w:hAnsi="Times New Roman" w:cs="Times New Roman"/>
          <w:kern w:val="0"/>
          <w:lang w:val="en-US"/>
          <w14:ligatures w14:val="none"/>
        </w:rPr>
        <w:t>Heterocera</w:t>
      </w:r>
      <w:proofErr w:type="spellEnd"/>
      <w:r w:rsidRPr="008A4748">
        <w:rPr>
          <w:rFonts w:ascii="Times New Roman" w:eastAsia="Times New Roman" w:hAnsi="Times New Roman" w:cs="Times New Roman"/>
          <w:kern w:val="0"/>
          <w:lang w:val="en-US"/>
          <w14:ligatures w14:val="none"/>
        </w:rPr>
        <w:t xml:space="preserve">) of </w:t>
      </w:r>
      <w:proofErr w:type="spellStart"/>
      <w:r w:rsidRPr="008A4748">
        <w:rPr>
          <w:rFonts w:ascii="Times New Roman" w:eastAsia="Times New Roman" w:hAnsi="Times New Roman" w:cs="Times New Roman"/>
          <w:kern w:val="0"/>
          <w:lang w:val="en-US"/>
          <w14:ligatures w14:val="none"/>
        </w:rPr>
        <w:t>Vagamon</w:t>
      </w:r>
      <w:proofErr w:type="spellEnd"/>
      <w:r w:rsidRPr="008A4748">
        <w:rPr>
          <w:rFonts w:ascii="Times New Roman" w:eastAsia="Times New Roman" w:hAnsi="Times New Roman" w:cs="Times New Roman"/>
          <w:kern w:val="0"/>
          <w:lang w:val="en-US"/>
          <w14:ligatures w14:val="none"/>
        </w:rPr>
        <w:t xml:space="preserve"> hills (Western Ghats), Idukki district, Kerala, India. International Journal of Entomology Research, 3(2), 114–120. </w:t>
      </w:r>
      <w:hyperlink r:id="rId27" w:history="1">
        <w:r w:rsidRPr="008A4748">
          <w:rPr>
            <w:rFonts w:ascii="Times New Roman" w:eastAsia="Times New Roman" w:hAnsi="Times New Roman" w:cs="Times New Roman"/>
            <w:color w:val="0000FF"/>
            <w:kern w:val="0"/>
            <w:u w:val="single"/>
            <w:lang w:val="en-US"/>
            <w14:ligatures w14:val="none"/>
          </w:rPr>
          <w:t>https://www.entomologyjournals.com/assets/archives/2018/vol3issue2/3-2-13-365.pdf</w:t>
        </w:r>
      </w:hyperlink>
    </w:p>
    <w:p w14:paraId="1BEC0355"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lastRenderedPageBreak/>
        <w:t xml:space="preserve">Menken, S. B. J., Boomsma, J. J., &amp; van </w:t>
      </w:r>
      <w:proofErr w:type="spellStart"/>
      <w:r w:rsidRPr="008A4748">
        <w:rPr>
          <w:rFonts w:ascii="Times New Roman" w:eastAsia="Times New Roman" w:hAnsi="Times New Roman" w:cs="Times New Roman"/>
          <w:kern w:val="0"/>
          <w:lang w:val="en-US"/>
          <w14:ligatures w14:val="none"/>
        </w:rPr>
        <w:t>Nieukerken</w:t>
      </w:r>
      <w:proofErr w:type="spellEnd"/>
      <w:r w:rsidRPr="008A4748">
        <w:rPr>
          <w:rFonts w:ascii="Times New Roman" w:eastAsia="Times New Roman" w:hAnsi="Times New Roman" w:cs="Times New Roman"/>
          <w:kern w:val="0"/>
          <w:lang w:val="en-US"/>
          <w14:ligatures w14:val="none"/>
        </w:rPr>
        <w:t xml:space="preserve">, E. J. (2010). Large-scale evolutionary patterns of host plant associations in the Lepidoptera. Evolution, 64(4), 1098–1119. </w:t>
      </w:r>
      <w:hyperlink r:id="rId28" w:history="1">
        <w:r w:rsidRPr="008A4748">
          <w:rPr>
            <w:rFonts w:ascii="Times New Roman" w:eastAsia="Times New Roman" w:hAnsi="Times New Roman" w:cs="Times New Roman"/>
            <w:color w:val="0000FF"/>
            <w:kern w:val="0"/>
            <w:u w:val="single"/>
            <w:lang w:val="en-US"/>
            <w14:ligatures w14:val="none"/>
          </w:rPr>
          <w:t>https://doi.org/10.1111/j.1558-5646.2009.00889.x</w:t>
        </w:r>
      </w:hyperlink>
    </w:p>
    <w:p w14:paraId="4848A028"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New, T. R. (2023). Causes for concern: Habitat change as the major imposed threat to moths. In The other Lepidoptera: Moth conservation in Australia (pp. 63–85). Springer. </w:t>
      </w:r>
      <w:hyperlink r:id="rId29" w:history="1">
        <w:r w:rsidRPr="008A4748">
          <w:rPr>
            <w:rFonts w:ascii="Times New Roman" w:eastAsia="Times New Roman" w:hAnsi="Times New Roman" w:cs="Times New Roman"/>
            <w:color w:val="0000FF"/>
            <w:kern w:val="0"/>
            <w:u w:val="single"/>
            <w:lang w:val="en-US"/>
            <w14:ligatures w14:val="none"/>
          </w:rPr>
          <w:t>https://doi.org/10.1007/978-3-031-32103-0_4</w:t>
        </w:r>
      </w:hyperlink>
    </w:p>
    <w:p w14:paraId="2534F4ED"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Paul, M. (2020). Larval host plants of selected Lepidoptera (moths: </w:t>
      </w:r>
      <w:proofErr w:type="spellStart"/>
      <w:r w:rsidRPr="008A4748">
        <w:rPr>
          <w:rFonts w:ascii="Times New Roman" w:eastAsia="Times New Roman" w:hAnsi="Times New Roman" w:cs="Times New Roman"/>
          <w:kern w:val="0"/>
          <w:lang w:val="en-US"/>
          <w14:ligatures w14:val="none"/>
        </w:rPr>
        <w:t>Heterocera</w:t>
      </w:r>
      <w:proofErr w:type="spellEnd"/>
      <w:r w:rsidRPr="008A4748">
        <w:rPr>
          <w:rFonts w:ascii="Times New Roman" w:eastAsia="Times New Roman" w:hAnsi="Times New Roman" w:cs="Times New Roman"/>
          <w:kern w:val="0"/>
          <w:lang w:val="en-US"/>
          <w14:ligatures w14:val="none"/>
        </w:rPr>
        <w:t xml:space="preserve"> and butterflies: </w:t>
      </w:r>
      <w:proofErr w:type="spellStart"/>
      <w:r w:rsidRPr="008A4748">
        <w:rPr>
          <w:rFonts w:ascii="Times New Roman" w:eastAsia="Times New Roman" w:hAnsi="Times New Roman" w:cs="Times New Roman"/>
          <w:kern w:val="0"/>
          <w:lang w:val="en-US"/>
          <w14:ligatures w14:val="none"/>
        </w:rPr>
        <w:t>Rhophalocera</w:t>
      </w:r>
      <w:proofErr w:type="spellEnd"/>
      <w:r w:rsidRPr="008A4748">
        <w:rPr>
          <w:rFonts w:ascii="Times New Roman" w:eastAsia="Times New Roman" w:hAnsi="Times New Roman" w:cs="Times New Roman"/>
          <w:kern w:val="0"/>
          <w:lang w:val="en-US"/>
          <w14:ligatures w14:val="none"/>
        </w:rPr>
        <w:t xml:space="preserve">) of urban Delhi. Indian Forester, 146(11), 1065–1071. </w:t>
      </w:r>
      <w:hyperlink r:id="rId30" w:history="1">
        <w:r w:rsidRPr="008A4748">
          <w:rPr>
            <w:rFonts w:ascii="Times New Roman" w:eastAsia="Times New Roman" w:hAnsi="Times New Roman" w:cs="Times New Roman"/>
            <w:color w:val="0000FF"/>
            <w:kern w:val="0"/>
            <w:u w:val="single"/>
            <w:lang w:val="en-US"/>
            <w14:ligatures w14:val="none"/>
          </w:rPr>
          <w:t>https://doi.org/10.36808/if/2020/v146i11/150248</w:t>
        </w:r>
      </w:hyperlink>
    </w:p>
    <w:p w14:paraId="7BA4EC21"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Pradhan, I., Sethi, J., Rout, S., &amp; Kumar, S. (2024). Common moths and their ecological importance in </w:t>
      </w:r>
      <w:proofErr w:type="spellStart"/>
      <w:r w:rsidRPr="008A4748">
        <w:rPr>
          <w:rFonts w:ascii="Times New Roman" w:eastAsia="Times New Roman" w:hAnsi="Times New Roman" w:cs="Times New Roman"/>
          <w:kern w:val="0"/>
          <w:lang w:val="en-US"/>
          <w14:ligatures w14:val="none"/>
        </w:rPr>
        <w:t>Bisra</w:t>
      </w:r>
      <w:proofErr w:type="spellEnd"/>
      <w:r w:rsidRPr="008A4748">
        <w:rPr>
          <w:rFonts w:ascii="Times New Roman" w:eastAsia="Times New Roman" w:hAnsi="Times New Roman" w:cs="Times New Roman"/>
          <w:kern w:val="0"/>
          <w:lang w:val="en-US"/>
          <w14:ligatures w14:val="none"/>
        </w:rPr>
        <w:t xml:space="preserve"> Range, Rourkela Forest Division, Odisha, India. Asian Journal of Biology, 20(1), 1–6. </w:t>
      </w:r>
      <w:hyperlink r:id="rId31" w:history="1">
        <w:r w:rsidRPr="008A4748">
          <w:rPr>
            <w:rFonts w:ascii="Times New Roman" w:eastAsia="Times New Roman" w:hAnsi="Times New Roman" w:cs="Times New Roman"/>
            <w:color w:val="0000FF"/>
            <w:kern w:val="0"/>
            <w:u w:val="single"/>
            <w:lang w:val="en-US"/>
            <w14:ligatures w14:val="none"/>
          </w:rPr>
          <w:t>https://doi.org/10.9734/ajob/2024/v20i1380</w:t>
        </w:r>
      </w:hyperlink>
    </w:p>
    <w:p w14:paraId="0103AB7F"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Prasad, M., Kumar, S., Kumar, A., Khan, N., &amp; Shukla, S. K. (2025). Blending traditional knowledge of farmers in agriculture with modern scientific technologies in Central Uttar Pradesh. In C. L. Acharya, R. S. Chaudhary, P. Gurumurthy, &amp; A. Subba Rao (Eds.), Blending Indian farmers' traditional knowledge in agriculture with modern scientific technologies: A way forward (pp. 353–374). Springer Nature Singapore. </w:t>
      </w:r>
      <w:hyperlink r:id="rId32" w:history="1">
        <w:r w:rsidRPr="008A4748">
          <w:rPr>
            <w:rFonts w:ascii="Times New Roman" w:eastAsia="Times New Roman" w:hAnsi="Times New Roman" w:cs="Times New Roman"/>
            <w:color w:val="0000FF"/>
            <w:kern w:val="0"/>
            <w:u w:val="single"/>
            <w:lang w:val="en-US"/>
            <w14:ligatures w14:val="none"/>
          </w:rPr>
          <w:t>https://doi.org/10.1007/978-981-96-1020-4_16</w:t>
        </w:r>
      </w:hyperlink>
    </w:p>
    <w:p w14:paraId="04D6E435"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Rajendran, T. P., &amp; Singh, D. (2016). Insects and pests. In Omkar (Ed.), Ecofriendly pest management for food security (pp. 1–24). Academic Press. </w:t>
      </w:r>
      <w:hyperlink r:id="rId33" w:history="1">
        <w:r w:rsidRPr="008A4748">
          <w:rPr>
            <w:rFonts w:ascii="Times New Roman" w:eastAsia="Times New Roman" w:hAnsi="Times New Roman" w:cs="Times New Roman"/>
            <w:color w:val="0000FF"/>
            <w:kern w:val="0"/>
            <w:u w:val="single"/>
            <w:lang w:val="en-US"/>
            <w14:ligatures w14:val="none"/>
          </w:rPr>
          <w:t>https://doi.org/10.1016/B978-0-12-803265-7.00001-4</w:t>
        </w:r>
      </w:hyperlink>
    </w:p>
    <w:p w14:paraId="42FD7A28"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Ramachandran, R., Khan, Z. R., Caballero, P., &amp; Juliano, B. O. (1990). Olfactory sensitivity of two sympatric species of rice leaf folders (Lepidoptera: </w:t>
      </w:r>
      <w:proofErr w:type="spellStart"/>
      <w:r w:rsidRPr="008A4748">
        <w:rPr>
          <w:rFonts w:ascii="Times New Roman" w:eastAsia="Times New Roman" w:hAnsi="Times New Roman" w:cs="Times New Roman"/>
          <w:kern w:val="0"/>
          <w:lang w:val="en-US"/>
          <w14:ligatures w14:val="none"/>
        </w:rPr>
        <w:t>Pyralidae</w:t>
      </w:r>
      <w:proofErr w:type="spellEnd"/>
      <w:r w:rsidRPr="008A4748">
        <w:rPr>
          <w:rFonts w:ascii="Times New Roman" w:eastAsia="Times New Roman" w:hAnsi="Times New Roman" w:cs="Times New Roman"/>
          <w:kern w:val="0"/>
          <w:lang w:val="en-US"/>
          <w14:ligatures w14:val="none"/>
        </w:rPr>
        <w:t xml:space="preserve">) to plant volatiles. Journal of Chemical Ecology, 16(9), 2647–2666. </w:t>
      </w:r>
      <w:hyperlink r:id="rId34" w:history="1">
        <w:r w:rsidRPr="008A4748">
          <w:rPr>
            <w:rFonts w:ascii="Times New Roman" w:eastAsia="Times New Roman" w:hAnsi="Times New Roman" w:cs="Times New Roman"/>
            <w:color w:val="0000FF"/>
            <w:kern w:val="0"/>
            <w:u w:val="single"/>
            <w:lang w:val="en-US"/>
            <w14:ligatures w14:val="none"/>
          </w:rPr>
          <w:t>https://doi.org/10.1007/BF00988076</w:t>
        </w:r>
      </w:hyperlink>
    </w:p>
    <w:p w14:paraId="114418A6"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A4748">
        <w:rPr>
          <w:rFonts w:ascii="Times New Roman" w:eastAsia="Times New Roman" w:hAnsi="Times New Roman" w:cs="Times New Roman"/>
          <w:kern w:val="0"/>
          <w:lang w:val="en-US"/>
          <w14:ligatures w14:val="none"/>
        </w:rPr>
        <w:t>Reigada</w:t>
      </w:r>
      <w:proofErr w:type="spellEnd"/>
      <w:r w:rsidRPr="008A4748">
        <w:rPr>
          <w:rFonts w:ascii="Times New Roman" w:eastAsia="Times New Roman" w:hAnsi="Times New Roman" w:cs="Times New Roman"/>
          <w:kern w:val="0"/>
          <w:lang w:val="en-US"/>
          <w14:ligatures w14:val="none"/>
        </w:rPr>
        <w:t xml:space="preserve">, C., Guimarães, K. F., &amp; Parra, J. R. P. (2016). Relative fitness of Helicoverpa armigera (Lepidoptera: </w:t>
      </w:r>
      <w:proofErr w:type="spellStart"/>
      <w:r w:rsidRPr="008A4748">
        <w:rPr>
          <w:rFonts w:ascii="Times New Roman" w:eastAsia="Times New Roman" w:hAnsi="Times New Roman" w:cs="Times New Roman"/>
          <w:kern w:val="0"/>
          <w:lang w:val="en-US"/>
          <w14:ligatures w14:val="none"/>
        </w:rPr>
        <w:t>Noctuidae</w:t>
      </w:r>
      <w:proofErr w:type="spellEnd"/>
      <w:r w:rsidRPr="008A4748">
        <w:rPr>
          <w:rFonts w:ascii="Times New Roman" w:eastAsia="Times New Roman" w:hAnsi="Times New Roman" w:cs="Times New Roman"/>
          <w:kern w:val="0"/>
          <w:lang w:val="en-US"/>
          <w14:ligatures w14:val="none"/>
        </w:rPr>
        <w:t xml:space="preserve">) on seven host plants: A perspective for IPM in Brazil. Journal of Insect Science, 16(1), Article 3. </w:t>
      </w:r>
      <w:hyperlink r:id="rId35" w:history="1">
        <w:r w:rsidRPr="008A4748">
          <w:rPr>
            <w:rFonts w:ascii="Times New Roman" w:eastAsia="Times New Roman" w:hAnsi="Times New Roman" w:cs="Times New Roman"/>
            <w:color w:val="0000FF"/>
            <w:kern w:val="0"/>
            <w:u w:val="single"/>
            <w:lang w:val="en-US"/>
            <w14:ligatures w14:val="none"/>
          </w:rPr>
          <w:t>https://doi.org/10.1093/jisesa/iev158</w:t>
        </w:r>
      </w:hyperlink>
    </w:p>
    <w:p w14:paraId="7C7250CC" w14:textId="73848FCD"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Robinson, G. S., </w:t>
      </w:r>
      <w:proofErr w:type="spellStart"/>
      <w:r w:rsidRPr="008A4748">
        <w:rPr>
          <w:rFonts w:ascii="Times New Roman" w:eastAsia="Times New Roman" w:hAnsi="Times New Roman" w:cs="Times New Roman"/>
          <w:kern w:val="0"/>
          <w:lang w:val="en-US"/>
          <w14:ligatures w14:val="none"/>
        </w:rPr>
        <w:t>Ackery</w:t>
      </w:r>
      <w:proofErr w:type="spellEnd"/>
      <w:r w:rsidRPr="008A4748">
        <w:rPr>
          <w:rFonts w:ascii="Times New Roman" w:eastAsia="Times New Roman" w:hAnsi="Times New Roman" w:cs="Times New Roman"/>
          <w:kern w:val="0"/>
          <w:lang w:val="en-US"/>
          <w14:ligatures w14:val="none"/>
        </w:rPr>
        <w:t xml:space="preserve">, P. R., Kitching, I. J., </w:t>
      </w:r>
      <w:proofErr w:type="spellStart"/>
      <w:r w:rsidRPr="008A4748">
        <w:rPr>
          <w:rFonts w:ascii="Times New Roman" w:eastAsia="Times New Roman" w:hAnsi="Times New Roman" w:cs="Times New Roman"/>
          <w:kern w:val="0"/>
          <w:lang w:val="en-US"/>
          <w14:ligatures w14:val="none"/>
        </w:rPr>
        <w:t>Beccaloni</w:t>
      </w:r>
      <w:proofErr w:type="spellEnd"/>
      <w:r w:rsidRPr="008A4748">
        <w:rPr>
          <w:rFonts w:ascii="Times New Roman" w:eastAsia="Times New Roman" w:hAnsi="Times New Roman" w:cs="Times New Roman"/>
          <w:kern w:val="0"/>
          <w:lang w:val="en-US"/>
          <w14:ligatures w14:val="none"/>
        </w:rPr>
        <w:t xml:space="preserve">, G. W., &amp; Hernández, L. M. (2001). Hostplants of the moth and butterfly caterpillars of the Oriental Region. Natural History Museum. </w:t>
      </w:r>
    </w:p>
    <w:p w14:paraId="4892A0AA"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Robinson, G. S., Tuck, K. R., &amp; Shaffer, M. (1994). A field guide to the smaller moths of South-East Asia. Malaysian Nature Society. </w:t>
      </w:r>
      <w:hyperlink r:id="rId36" w:history="1">
        <w:r w:rsidRPr="008A4748">
          <w:rPr>
            <w:rFonts w:ascii="Times New Roman" w:eastAsia="Times New Roman" w:hAnsi="Times New Roman" w:cs="Times New Roman"/>
            <w:color w:val="0000FF"/>
            <w:kern w:val="0"/>
            <w:u w:val="single"/>
            <w:lang w:val="en-US"/>
            <w14:ligatures w14:val="none"/>
          </w:rPr>
          <w:t>https://agris.fao.org/search/en/providers/122535/records/65ddf79d4c5aef494fd7e85c</w:t>
        </w:r>
      </w:hyperlink>
    </w:p>
    <w:p w14:paraId="3C2A6BA8"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Sanyal, A. K. (2015). Diversity and distribution of moth assemblages along altitudinal gradient in Gangotri landscape, India [Doctoral dissertation, Saurashtra University]. Wildlife Institute of </w:t>
      </w:r>
      <w:r w:rsidRPr="008A4748">
        <w:rPr>
          <w:rFonts w:ascii="Times New Roman" w:eastAsia="Times New Roman" w:hAnsi="Times New Roman" w:cs="Times New Roman"/>
          <w:kern w:val="0"/>
          <w:lang w:val="en-US"/>
          <w14:ligatures w14:val="none"/>
        </w:rPr>
        <w:lastRenderedPageBreak/>
        <w:t xml:space="preserve">India Digital Repository. </w:t>
      </w:r>
      <w:hyperlink r:id="rId37" w:history="1">
        <w:r w:rsidRPr="008A4748">
          <w:rPr>
            <w:rFonts w:ascii="Times New Roman" w:eastAsia="Times New Roman" w:hAnsi="Times New Roman" w:cs="Times New Roman"/>
            <w:color w:val="0000FF"/>
            <w:kern w:val="0"/>
            <w:u w:val="single"/>
            <w:lang w:val="en-US"/>
            <w14:ligatures w14:val="none"/>
          </w:rPr>
          <w:t>https://digitalrepository.wii.gov.in/items/f0feb628-c248-4fcc-920e-fab3b0e9962b</w:t>
        </w:r>
      </w:hyperlink>
    </w:p>
    <w:p w14:paraId="4270D3F6" w14:textId="74D6E7B9"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Sanyal, A. K., Mallick, K., Khan, S., Bandyopadhyay, U., Mazumder, A., Bhattacharyya, K., Pathania, P. C., Raha, A., &amp; Chandra, K. (2018). </w:t>
      </w:r>
      <w:proofErr w:type="spellStart"/>
      <w:r w:rsidRPr="008A4748">
        <w:rPr>
          <w:rFonts w:ascii="Times New Roman" w:eastAsia="Times New Roman" w:hAnsi="Times New Roman" w:cs="Times New Roman"/>
          <w:kern w:val="0"/>
          <w:lang w:val="en-US"/>
          <w14:ligatures w14:val="none"/>
        </w:rPr>
        <w:t>Insecta</w:t>
      </w:r>
      <w:proofErr w:type="spellEnd"/>
      <w:r w:rsidRPr="008A4748">
        <w:rPr>
          <w:rFonts w:ascii="Times New Roman" w:eastAsia="Times New Roman" w:hAnsi="Times New Roman" w:cs="Times New Roman"/>
          <w:kern w:val="0"/>
          <w:lang w:val="en-US"/>
          <w14:ligatures w14:val="none"/>
        </w:rPr>
        <w:t xml:space="preserve">: Lepidoptera (moths). In K. Chandra, D. Gupta, K. C. Gopi, B. Tripathy, &amp; V. Kumar (Eds.), Faunal diversity of Indian Himalaya (pp. 651–726). Zoological Survey of India. </w:t>
      </w:r>
    </w:p>
    <w:p w14:paraId="7D806C97" w14:textId="5CAD0648"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Singh, A. K. (2012). Probable agricultural biodiversity heritage sites in India: XI. The Upper Gangetic Plains region. Asian Agri-History, 16(1), 21–44. </w:t>
      </w:r>
    </w:p>
    <w:p w14:paraId="42D2D018"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Singh, A. P., Bhandari, R. S., &amp; Verma, T. D. (2004). Important insect pests of poplar in agroforestry and strategies for their management in north-western India. Agroforestry Systems, 63(1), 15–26. </w:t>
      </w:r>
      <w:hyperlink r:id="rId38" w:history="1">
        <w:r w:rsidRPr="008A4748">
          <w:rPr>
            <w:rFonts w:ascii="Times New Roman" w:eastAsia="Times New Roman" w:hAnsi="Times New Roman" w:cs="Times New Roman"/>
            <w:color w:val="0000FF"/>
            <w:kern w:val="0"/>
            <w:u w:val="single"/>
            <w:lang w:val="en-US"/>
            <w14:ligatures w14:val="none"/>
          </w:rPr>
          <w:t>https://doi.org/10.1023/B:AGFO.0000049429.37483.47</w:t>
        </w:r>
      </w:hyperlink>
    </w:p>
    <w:p w14:paraId="2C8610A5" w14:textId="722DA8AE"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Singh, B. B., &amp; Singh, R. (2014). Major rice insect pests in northeastern UP. International Journal of Life Sciences Biotechnology and Pharma Research, 3(1), 124–143. </w:t>
      </w:r>
    </w:p>
    <w:p w14:paraId="2E39614F"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Singh, N. J., Kudrat, M., Jain, K., &amp; Pandey, K. (2011). Cropping pattern of Uttar Pradesh using IRS-P6 (</w:t>
      </w:r>
      <w:proofErr w:type="spellStart"/>
      <w:r w:rsidRPr="008A4748">
        <w:rPr>
          <w:rFonts w:ascii="Times New Roman" w:eastAsia="Times New Roman" w:hAnsi="Times New Roman" w:cs="Times New Roman"/>
          <w:kern w:val="0"/>
          <w:lang w:val="en-US"/>
          <w14:ligatures w14:val="none"/>
        </w:rPr>
        <w:t>AWiFS</w:t>
      </w:r>
      <w:proofErr w:type="spellEnd"/>
      <w:r w:rsidRPr="008A4748">
        <w:rPr>
          <w:rFonts w:ascii="Times New Roman" w:eastAsia="Times New Roman" w:hAnsi="Times New Roman" w:cs="Times New Roman"/>
          <w:kern w:val="0"/>
          <w:lang w:val="en-US"/>
          <w14:ligatures w14:val="none"/>
        </w:rPr>
        <w:t xml:space="preserve">) data. International Journal of Remote Sensing, 32(16), 4511–4526. </w:t>
      </w:r>
      <w:hyperlink r:id="rId39" w:history="1">
        <w:r w:rsidRPr="008A4748">
          <w:rPr>
            <w:rFonts w:ascii="Times New Roman" w:eastAsia="Times New Roman" w:hAnsi="Times New Roman" w:cs="Times New Roman"/>
            <w:color w:val="0000FF"/>
            <w:kern w:val="0"/>
            <w:u w:val="single"/>
            <w:lang w:val="en-US"/>
            <w14:ligatures w14:val="none"/>
          </w:rPr>
          <w:t>https://doi.org/10.1080/01431161.2010.489061</w:t>
        </w:r>
      </w:hyperlink>
    </w:p>
    <w:p w14:paraId="6A56E598"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Sun, X., Zhou, W., Liu, H., Zhang, A., Ai, C.-R., Zhou, S.-S., Zhou, C.-X., &amp; Wang, M.-Q. (2013). Transgenic </w:t>
      </w:r>
      <w:proofErr w:type="spellStart"/>
      <w:r w:rsidRPr="008A4748">
        <w:rPr>
          <w:rFonts w:ascii="Times New Roman" w:eastAsia="Times New Roman" w:hAnsi="Times New Roman" w:cs="Times New Roman"/>
          <w:kern w:val="0"/>
          <w:lang w:val="en-US"/>
          <w14:ligatures w14:val="none"/>
        </w:rPr>
        <w:t>Bt</w:t>
      </w:r>
      <w:proofErr w:type="spellEnd"/>
      <w:r w:rsidRPr="008A4748">
        <w:rPr>
          <w:rFonts w:ascii="Times New Roman" w:eastAsia="Times New Roman" w:hAnsi="Times New Roman" w:cs="Times New Roman"/>
          <w:kern w:val="0"/>
          <w:lang w:val="en-US"/>
          <w14:ligatures w14:val="none"/>
        </w:rPr>
        <w:t xml:space="preserve"> rice does not challenge host preference of the target pest of rice </w:t>
      </w:r>
      <w:proofErr w:type="spellStart"/>
      <w:r w:rsidRPr="008A4748">
        <w:rPr>
          <w:rFonts w:ascii="Times New Roman" w:eastAsia="Times New Roman" w:hAnsi="Times New Roman" w:cs="Times New Roman"/>
          <w:kern w:val="0"/>
          <w:lang w:val="en-US"/>
          <w14:ligatures w14:val="none"/>
        </w:rPr>
        <w:t>leaffolder</w:t>
      </w:r>
      <w:proofErr w:type="spellEnd"/>
      <w:r w:rsidRPr="008A4748">
        <w:rPr>
          <w:rFonts w:ascii="Times New Roman" w:eastAsia="Times New Roman" w:hAnsi="Times New Roman" w:cs="Times New Roman"/>
          <w:kern w:val="0"/>
          <w:lang w:val="en-US"/>
          <w14:ligatures w14:val="none"/>
        </w:rPr>
        <w:t xml:space="preserve">, </w:t>
      </w:r>
      <w:proofErr w:type="spellStart"/>
      <w:r w:rsidRPr="008A4748">
        <w:rPr>
          <w:rFonts w:ascii="Times New Roman" w:eastAsia="Times New Roman" w:hAnsi="Times New Roman" w:cs="Times New Roman"/>
          <w:kern w:val="0"/>
          <w:lang w:val="en-US"/>
          <w14:ligatures w14:val="none"/>
        </w:rPr>
        <w:t>Cnaphalocrocis</w:t>
      </w:r>
      <w:proofErr w:type="spellEnd"/>
      <w:r w:rsidRPr="008A4748">
        <w:rPr>
          <w:rFonts w:ascii="Times New Roman" w:eastAsia="Times New Roman" w:hAnsi="Times New Roman" w:cs="Times New Roman"/>
          <w:kern w:val="0"/>
          <w:lang w:val="en-US"/>
          <w14:ligatures w14:val="none"/>
        </w:rPr>
        <w:t xml:space="preserve"> </w:t>
      </w:r>
      <w:proofErr w:type="spellStart"/>
      <w:r w:rsidRPr="008A4748">
        <w:rPr>
          <w:rFonts w:ascii="Times New Roman" w:eastAsia="Times New Roman" w:hAnsi="Times New Roman" w:cs="Times New Roman"/>
          <w:kern w:val="0"/>
          <w:lang w:val="en-US"/>
          <w14:ligatures w14:val="none"/>
        </w:rPr>
        <w:t>medinalis</w:t>
      </w:r>
      <w:proofErr w:type="spellEnd"/>
      <w:r w:rsidRPr="008A4748">
        <w:rPr>
          <w:rFonts w:ascii="Times New Roman" w:eastAsia="Times New Roman" w:hAnsi="Times New Roman" w:cs="Times New Roman"/>
          <w:kern w:val="0"/>
          <w:lang w:val="en-US"/>
          <w14:ligatures w14:val="none"/>
        </w:rPr>
        <w:t xml:space="preserve"> (Lepidoptera: </w:t>
      </w:r>
      <w:proofErr w:type="spellStart"/>
      <w:r w:rsidRPr="008A4748">
        <w:rPr>
          <w:rFonts w:ascii="Times New Roman" w:eastAsia="Times New Roman" w:hAnsi="Times New Roman" w:cs="Times New Roman"/>
          <w:kern w:val="0"/>
          <w:lang w:val="en-US"/>
          <w14:ligatures w14:val="none"/>
        </w:rPr>
        <w:t>Pyralidae</w:t>
      </w:r>
      <w:proofErr w:type="spellEnd"/>
      <w:r w:rsidRPr="008A4748">
        <w:rPr>
          <w:rFonts w:ascii="Times New Roman" w:eastAsia="Times New Roman" w:hAnsi="Times New Roman" w:cs="Times New Roman"/>
          <w:kern w:val="0"/>
          <w:lang w:val="en-US"/>
          <w14:ligatures w14:val="none"/>
        </w:rPr>
        <w:t xml:space="preserve">). PLOS ONE, 8(11), Article e79032. </w:t>
      </w:r>
      <w:hyperlink r:id="rId40" w:history="1">
        <w:r w:rsidRPr="008A4748">
          <w:rPr>
            <w:rFonts w:ascii="Times New Roman" w:eastAsia="Times New Roman" w:hAnsi="Times New Roman" w:cs="Times New Roman"/>
            <w:color w:val="0000FF"/>
            <w:kern w:val="0"/>
            <w:u w:val="single"/>
            <w:lang w:val="en-US"/>
            <w14:ligatures w14:val="none"/>
          </w:rPr>
          <w:t>https://doi.org/10.1371/journal.pone.0079032</w:t>
        </w:r>
      </w:hyperlink>
    </w:p>
    <w:p w14:paraId="22B2E684"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Uniyal, V. P., Dey, P., &amp; Sanyal, A. K. (2016). Diversity of moths (Lepidoptera: </w:t>
      </w:r>
      <w:proofErr w:type="spellStart"/>
      <w:r w:rsidRPr="008A4748">
        <w:rPr>
          <w:rFonts w:ascii="Times New Roman" w:eastAsia="Times New Roman" w:hAnsi="Times New Roman" w:cs="Times New Roman"/>
          <w:kern w:val="0"/>
          <w:lang w:val="en-US"/>
          <w14:ligatures w14:val="none"/>
        </w:rPr>
        <w:t>Heterocera</w:t>
      </w:r>
      <w:proofErr w:type="spellEnd"/>
      <w:r w:rsidRPr="008A4748">
        <w:rPr>
          <w:rFonts w:ascii="Times New Roman" w:eastAsia="Times New Roman" w:hAnsi="Times New Roman" w:cs="Times New Roman"/>
          <w:kern w:val="0"/>
          <w:lang w:val="en-US"/>
          <w14:ligatures w14:val="none"/>
        </w:rPr>
        <w:t xml:space="preserve">) and their potential role as a conservation tool in different protected areas of Uttarakhand [DST project completion report]. Wildlife Institute of India. </w:t>
      </w:r>
      <w:hyperlink r:id="rId41" w:history="1">
        <w:r w:rsidRPr="008A4748">
          <w:rPr>
            <w:rFonts w:ascii="Times New Roman" w:eastAsia="Times New Roman" w:hAnsi="Times New Roman" w:cs="Times New Roman"/>
            <w:color w:val="0000FF"/>
            <w:kern w:val="0"/>
            <w:u w:val="single"/>
            <w:lang w:val="en-US"/>
            <w14:ligatures w14:val="none"/>
          </w:rPr>
          <w:t>https://digitalrepository.wii.gov.in/items/2479ca10-1348-497e-a82a-1423dbc8aeca</w:t>
        </w:r>
      </w:hyperlink>
    </w:p>
    <w:p w14:paraId="444217D1"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Upadhyay, S., Bhat, S., Kumar, S., &amp; Rawat, S. (2025). Keystone insects: Influences on ecosystem structure and their function in the Himalayan region. In Climate change impact on Himalayan biodiversity (pp. 147–160). Springer Nature Switzerland. </w:t>
      </w:r>
      <w:hyperlink r:id="rId42" w:history="1">
        <w:r w:rsidRPr="008A4748">
          <w:rPr>
            <w:rFonts w:ascii="Times New Roman" w:eastAsia="Times New Roman" w:hAnsi="Times New Roman" w:cs="Times New Roman"/>
            <w:color w:val="0000FF"/>
            <w:kern w:val="0"/>
            <w:u w:val="single"/>
            <w:lang w:val="en-US"/>
            <w14:ligatures w14:val="none"/>
          </w:rPr>
          <w:t>https://doi.org/10.1007/978-3-031-77149-1_6</w:t>
        </w:r>
      </w:hyperlink>
    </w:p>
    <w:p w14:paraId="369879CE"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Verma, R. C., Waseem, M. A., Sharma, N., Bharathi, K., Singh, S., Anto Rashwin, A., Pandey, S. K., &amp; Singh, B. V. (2023). The role of insects in ecosystems, an in-depth review of entomological research. International Journal of Environment and Climate Change, 13(10), 4340–4348. </w:t>
      </w:r>
      <w:hyperlink r:id="rId43" w:history="1">
        <w:r w:rsidRPr="008A4748">
          <w:rPr>
            <w:rFonts w:ascii="Times New Roman" w:eastAsia="Times New Roman" w:hAnsi="Times New Roman" w:cs="Times New Roman"/>
            <w:color w:val="0000FF"/>
            <w:kern w:val="0"/>
            <w:u w:val="single"/>
            <w:lang w:val="en-US"/>
            <w14:ligatures w14:val="none"/>
          </w:rPr>
          <w:t>https://doi.org/10.9734/ijecc/2023/v13i103110</w:t>
        </w:r>
      </w:hyperlink>
    </w:p>
    <w:p w14:paraId="12859540"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t xml:space="preserve">Wagner, D. L., Fox, R., Salcido, D. M., &amp; Dyer, L. A. (2021). A window to the world of global insect declines: Moth biodiversity trends are complex and heterogeneous. Proceedings of the National Academy of Sciences, 118(2), Article e2002549117. </w:t>
      </w:r>
      <w:hyperlink r:id="rId44" w:history="1">
        <w:r w:rsidRPr="008A4748">
          <w:rPr>
            <w:rFonts w:ascii="Times New Roman" w:eastAsia="Times New Roman" w:hAnsi="Times New Roman" w:cs="Times New Roman"/>
            <w:color w:val="0000FF"/>
            <w:kern w:val="0"/>
            <w:u w:val="single"/>
            <w:lang w:val="en-US"/>
            <w14:ligatures w14:val="none"/>
          </w:rPr>
          <w:t>https://doi.org/10.1073/pnas.2002549117</w:t>
        </w:r>
      </w:hyperlink>
    </w:p>
    <w:p w14:paraId="29BB81AE" w14:textId="77777777" w:rsidR="008A4748" w:rsidRPr="008A4748" w:rsidRDefault="008A4748" w:rsidP="008A4748">
      <w:pPr>
        <w:spacing w:before="100" w:beforeAutospacing="1" w:after="100" w:afterAutospacing="1" w:line="240" w:lineRule="auto"/>
        <w:rPr>
          <w:rFonts w:ascii="Times New Roman" w:eastAsia="Times New Roman" w:hAnsi="Times New Roman" w:cs="Times New Roman"/>
          <w:kern w:val="0"/>
          <w:lang w:val="en-US"/>
          <w14:ligatures w14:val="none"/>
        </w:rPr>
      </w:pPr>
      <w:r w:rsidRPr="008A4748">
        <w:rPr>
          <w:rFonts w:ascii="Times New Roman" w:eastAsia="Times New Roman" w:hAnsi="Times New Roman" w:cs="Times New Roman"/>
          <w:kern w:val="0"/>
          <w:lang w:val="en-US"/>
          <w14:ligatures w14:val="none"/>
        </w:rPr>
        <w:lastRenderedPageBreak/>
        <w:t xml:space="preserve">Wright, C. J., Shirey, V. M., Condamine, F. L., Hill, J. K., Pierce, N. E., Wahlberg, N., &amp; Kawahara, A. Y. (2026). Evolution, genomics and conservation of butterflies and moths. Nature Reviews Biodiversity, 2(3), 186–203. </w:t>
      </w:r>
      <w:hyperlink r:id="rId45" w:history="1">
        <w:r w:rsidRPr="008A4748">
          <w:rPr>
            <w:rFonts w:ascii="Times New Roman" w:eastAsia="Times New Roman" w:hAnsi="Times New Roman" w:cs="Times New Roman"/>
            <w:color w:val="0000FF"/>
            <w:kern w:val="0"/>
            <w:u w:val="single"/>
            <w:lang w:val="en-US"/>
            <w14:ligatures w14:val="none"/>
          </w:rPr>
          <w:t>https://doi.org/10.1038/s44358-025-00128-8</w:t>
        </w:r>
      </w:hyperlink>
    </w:p>
    <w:p w14:paraId="0403548D" w14:textId="77777777" w:rsidR="003C03D9" w:rsidRPr="003C03D9" w:rsidRDefault="003C03D9" w:rsidP="003C03D9">
      <w:pPr>
        <w:widowControl w:val="0"/>
        <w:autoSpaceDE w:val="0"/>
        <w:autoSpaceDN w:val="0"/>
        <w:spacing w:line="360" w:lineRule="auto"/>
        <w:ind w:left="720" w:hanging="720"/>
        <w:jc w:val="both"/>
        <w:rPr>
          <w:rFonts w:ascii="Times New Roman" w:hAnsi="Times New Roman" w:cs="Times New Roman"/>
        </w:rPr>
      </w:pPr>
    </w:p>
    <w:sectPr w:rsidR="003C03D9" w:rsidRPr="003C03D9" w:rsidSect="00015793">
      <w:headerReference w:type="even" r:id="rId46"/>
      <w:headerReference w:type="default" r:id="rId47"/>
      <w:footerReference w:type="even" r:id="rId48"/>
      <w:footerReference w:type="default" r:id="rId49"/>
      <w:headerReference w:type="first" r:id="rId50"/>
      <w:footerReference w:type="first" r:id="rId51"/>
      <w:pgSz w:w="12240" w:h="15840"/>
      <w:pgMar w:top="1440" w:right="9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1A845" w14:textId="77777777" w:rsidR="002F2B65" w:rsidRDefault="002F2B65" w:rsidP="00074B3B">
      <w:pPr>
        <w:spacing w:after="0" w:line="240" w:lineRule="auto"/>
      </w:pPr>
      <w:r>
        <w:separator/>
      </w:r>
    </w:p>
  </w:endnote>
  <w:endnote w:type="continuationSeparator" w:id="0">
    <w:p w14:paraId="05059E3C" w14:textId="77777777" w:rsidR="002F2B65" w:rsidRDefault="002F2B65" w:rsidP="00074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423E" w14:textId="77777777" w:rsidR="00565C45" w:rsidRDefault="00565C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1CCD" w14:textId="77777777" w:rsidR="00565C45" w:rsidRDefault="00565C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8DDF" w14:textId="77777777" w:rsidR="00565C45" w:rsidRDefault="00565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FCDC" w14:textId="77777777" w:rsidR="002F2B65" w:rsidRDefault="002F2B65" w:rsidP="00074B3B">
      <w:pPr>
        <w:spacing w:after="0" w:line="240" w:lineRule="auto"/>
      </w:pPr>
      <w:r>
        <w:separator/>
      </w:r>
    </w:p>
  </w:footnote>
  <w:footnote w:type="continuationSeparator" w:id="0">
    <w:p w14:paraId="1D6A9CC1" w14:textId="77777777" w:rsidR="002F2B65" w:rsidRDefault="002F2B65" w:rsidP="00074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BDBA" w14:textId="77777777" w:rsidR="00565C45" w:rsidRDefault="00000000">
    <w:pPr>
      <w:pStyle w:val="Header"/>
    </w:pPr>
    <w:r>
      <w:rPr>
        <w:noProof/>
      </w:rPr>
      <w:pict w14:anchorId="7AF3CB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025188" o:spid="_x0000_s1026" type="#_x0000_t136" style="position:absolute;margin-left:0;margin-top:0;width:544.9pt;height:102.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0E06" w14:textId="77777777" w:rsidR="00565C45" w:rsidRDefault="00000000">
    <w:pPr>
      <w:pStyle w:val="Header"/>
    </w:pPr>
    <w:r>
      <w:rPr>
        <w:noProof/>
      </w:rPr>
      <w:pict w14:anchorId="6FA91D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025189" o:spid="_x0000_s1027" type="#_x0000_t136" style="position:absolute;margin-left:0;margin-top:0;width:544.9pt;height:102.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0250" w14:textId="77777777" w:rsidR="00565C45" w:rsidRDefault="00000000">
    <w:pPr>
      <w:pStyle w:val="Header"/>
    </w:pPr>
    <w:r>
      <w:rPr>
        <w:noProof/>
      </w:rPr>
      <w:pict w14:anchorId="498FC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025187" o:spid="_x0000_s1025" type="#_x0000_t136" style="position:absolute;margin-left:0;margin-top:0;width:544.9pt;height:102.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76F"/>
    <w:multiLevelType w:val="multilevel"/>
    <w:tmpl w:val="BCD85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21C91"/>
    <w:multiLevelType w:val="multilevel"/>
    <w:tmpl w:val="2FDC66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F7D76"/>
    <w:multiLevelType w:val="multilevel"/>
    <w:tmpl w:val="DB9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C6BB9"/>
    <w:multiLevelType w:val="hybridMultilevel"/>
    <w:tmpl w:val="2DFCA5A8"/>
    <w:lvl w:ilvl="0" w:tplc="5B928DD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C56F1"/>
    <w:multiLevelType w:val="hybridMultilevel"/>
    <w:tmpl w:val="3DFEBC4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40F83"/>
    <w:multiLevelType w:val="hybridMultilevel"/>
    <w:tmpl w:val="A732CDB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411D8A"/>
    <w:multiLevelType w:val="hybridMultilevel"/>
    <w:tmpl w:val="FC84E94E"/>
    <w:lvl w:ilvl="0" w:tplc="F9E685E0">
      <w:start w:val="1"/>
      <w:numFmt w:val="decimal"/>
      <w:lvlText w:val="%1."/>
      <w:lvlJc w:val="left"/>
      <w:pPr>
        <w:ind w:left="2222" w:hanging="1076"/>
      </w:pPr>
      <w:rPr>
        <w:rFonts w:hint="default"/>
        <w:spacing w:val="0"/>
        <w:w w:val="100"/>
        <w:lang w:val="en-US" w:eastAsia="en-US" w:bidi="ar-SA"/>
      </w:rPr>
    </w:lvl>
    <w:lvl w:ilvl="1" w:tplc="41642026">
      <w:numFmt w:val="bullet"/>
      <w:lvlText w:val="•"/>
      <w:lvlJc w:val="left"/>
      <w:pPr>
        <w:ind w:left="2357" w:hanging="1076"/>
      </w:pPr>
      <w:rPr>
        <w:rFonts w:hint="default"/>
        <w:lang w:val="en-US" w:eastAsia="en-US" w:bidi="ar-SA"/>
      </w:rPr>
    </w:lvl>
    <w:lvl w:ilvl="2" w:tplc="C22C9076">
      <w:numFmt w:val="bullet"/>
      <w:lvlText w:val="•"/>
      <w:lvlJc w:val="left"/>
      <w:pPr>
        <w:ind w:left="2495" w:hanging="1076"/>
      </w:pPr>
      <w:rPr>
        <w:rFonts w:hint="default"/>
        <w:lang w:val="en-US" w:eastAsia="en-US" w:bidi="ar-SA"/>
      </w:rPr>
    </w:lvl>
    <w:lvl w:ilvl="3" w:tplc="95C07824">
      <w:numFmt w:val="bullet"/>
      <w:lvlText w:val="•"/>
      <w:lvlJc w:val="left"/>
      <w:pPr>
        <w:ind w:left="2633" w:hanging="1076"/>
      </w:pPr>
      <w:rPr>
        <w:rFonts w:hint="default"/>
        <w:lang w:val="en-US" w:eastAsia="en-US" w:bidi="ar-SA"/>
      </w:rPr>
    </w:lvl>
    <w:lvl w:ilvl="4" w:tplc="A0D21C58">
      <w:numFmt w:val="bullet"/>
      <w:lvlText w:val="•"/>
      <w:lvlJc w:val="left"/>
      <w:pPr>
        <w:ind w:left="2771" w:hanging="1076"/>
      </w:pPr>
      <w:rPr>
        <w:rFonts w:hint="default"/>
        <w:lang w:val="en-US" w:eastAsia="en-US" w:bidi="ar-SA"/>
      </w:rPr>
    </w:lvl>
    <w:lvl w:ilvl="5" w:tplc="B7BA0FFA">
      <w:numFmt w:val="bullet"/>
      <w:lvlText w:val="•"/>
      <w:lvlJc w:val="left"/>
      <w:pPr>
        <w:ind w:left="2909" w:hanging="1076"/>
      </w:pPr>
      <w:rPr>
        <w:rFonts w:hint="default"/>
        <w:lang w:val="en-US" w:eastAsia="en-US" w:bidi="ar-SA"/>
      </w:rPr>
    </w:lvl>
    <w:lvl w:ilvl="6" w:tplc="42922D1E">
      <w:numFmt w:val="bullet"/>
      <w:lvlText w:val="•"/>
      <w:lvlJc w:val="left"/>
      <w:pPr>
        <w:ind w:left="3047" w:hanging="1076"/>
      </w:pPr>
      <w:rPr>
        <w:rFonts w:hint="default"/>
        <w:lang w:val="en-US" w:eastAsia="en-US" w:bidi="ar-SA"/>
      </w:rPr>
    </w:lvl>
    <w:lvl w:ilvl="7" w:tplc="56706872">
      <w:numFmt w:val="bullet"/>
      <w:lvlText w:val="•"/>
      <w:lvlJc w:val="left"/>
      <w:pPr>
        <w:ind w:left="3185" w:hanging="1076"/>
      </w:pPr>
      <w:rPr>
        <w:rFonts w:hint="default"/>
        <w:lang w:val="en-US" w:eastAsia="en-US" w:bidi="ar-SA"/>
      </w:rPr>
    </w:lvl>
    <w:lvl w:ilvl="8" w:tplc="49629DA8">
      <w:numFmt w:val="bullet"/>
      <w:lvlText w:val="•"/>
      <w:lvlJc w:val="left"/>
      <w:pPr>
        <w:ind w:left="3323" w:hanging="1076"/>
      </w:pPr>
      <w:rPr>
        <w:rFonts w:hint="default"/>
        <w:lang w:val="en-US" w:eastAsia="en-US" w:bidi="ar-SA"/>
      </w:rPr>
    </w:lvl>
  </w:abstractNum>
  <w:abstractNum w:abstractNumId="7" w15:restartNumberingAfterBreak="0">
    <w:nsid w:val="23331F6D"/>
    <w:multiLevelType w:val="hybridMultilevel"/>
    <w:tmpl w:val="0EF8938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B1608"/>
    <w:multiLevelType w:val="hybridMultilevel"/>
    <w:tmpl w:val="AD0E9AA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0F1755"/>
    <w:multiLevelType w:val="multilevel"/>
    <w:tmpl w:val="AB30D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EE6F01"/>
    <w:multiLevelType w:val="hybridMultilevel"/>
    <w:tmpl w:val="ABB6021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7069836">
    <w:abstractNumId w:val="10"/>
  </w:num>
  <w:num w:numId="2" w16cid:durableId="1293633581">
    <w:abstractNumId w:val="5"/>
  </w:num>
  <w:num w:numId="3" w16cid:durableId="519394140">
    <w:abstractNumId w:val="2"/>
  </w:num>
  <w:num w:numId="4" w16cid:durableId="1694963264">
    <w:abstractNumId w:val="0"/>
  </w:num>
  <w:num w:numId="5" w16cid:durableId="11349012">
    <w:abstractNumId w:val="1"/>
  </w:num>
  <w:num w:numId="6" w16cid:durableId="1072628152">
    <w:abstractNumId w:val="4"/>
  </w:num>
  <w:num w:numId="7" w16cid:durableId="377054027">
    <w:abstractNumId w:val="9"/>
  </w:num>
  <w:num w:numId="8" w16cid:durableId="501286172">
    <w:abstractNumId w:val="6"/>
  </w:num>
  <w:num w:numId="9" w16cid:durableId="1734155372">
    <w:abstractNumId w:val="8"/>
  </w:num>
  <w:num w:numId="10" w16cid:durableId="699404942">
    <w:abstractNumId w:val="7"/>
  </w:num>
  <w:num w:numId="11" w16cid:durableId="514927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87B"/>
    <w:rsid w:val="00015793"/>
    <w:rsid w:val="0005639D"/>
    <w:rsid w:val="00066427"/>
    <w:rsid w:val="00074B3B"/>
    <w:rsid w:val="000E687B"/>
    <w:rsid w:val="001234F6"/>
    <w:rsid w:val="00137512"/>
    <w:rsid w:val="00144B0A"/>
    <w:rsid w:val="001779DD"/>
    <w:rsid w:val="001844A2"/>
    <w:rsid w:val="0019772C"/>
    <w:rsid w:val="00244FD0"/>
    <w:rsid w:val="002D47D2"/>
    <w:rsid w:val="002F0E64"/>
    <w:rsid w:val="002F2B65"/>
    <w:rsid w:val="00312EBF"/>
    <w:rsid w:val="003213CC"/>
    <w:rsid w:val="00336C63"/>
    <w:rsid w:val="00381757"/>
    <w:rsid w:val="003C03D9"/>
    <w:rsid w:val="00553EFF"/>
    <w:rsid w:val="00565C45"/>
    <w:rsid w:val="005725D4"/>
    <w:rsid w:val="00584B89"/>
    <w:rsid w:val="005A424F"/>
    <w:rsid w:val="005B2CB1"/>
    <w:rsid w:val="006414D4"/>
    <w:rsid w:val="00677D6C"/>
    <w:rsid w:val="00684ABC"/>
    <w:rsid w:val="00694C8D"/>
    <w:rsid w:val="006E2CB9"/>
    <w:rsid w:val="00741065"/>
    <w:rsid w:val="0077661F"/>
    <w:rsid w:val="007D0DEE"/>
    <w:rsid w:val="007F14F3"/>
    <w:rsid w:val="00815DCD"/>
    <w:rsid w:val="00823C3F"/>
    <w:rsid w:val="008A4748"/>
    <w:rsid w:val="008B0D27"/>
    <w:rsid w:val="00902523"/>
    <w:rsid w:val="00920E1D"/>
    <w:rsid w:val="00942BCD"/>
    <w:rsid w:val="00973BE2"/>
    <w:rsid w:val="00995ABB"/>
    <w:rsid w:val="009A1535"/>
    <w:rsid w:val="009F695D"/>
    <w:rsid w:val="00A10DC7"/>
    <w:rsid w:val="00A11B3C"/>
    <w:rsid w:val="00A40A35"/>
    <w:rsid w:val="00A56679"/>
    <w:rsid w:val="00A620E0"/>
    <w:rsid w:val="00AA2296"/>
    <w:rsid w:val="00B17960"/>
    <w:rsid w:val="00B366A9"/>
    <w:rsid w:val="00BB3990"/>
    <w:rsid w:val="00BC4482"/>
    <w:rsid w:val="00BD6969"/>
    <w:rsid w:val="00BE06F0"/>
    <w:rsid w:val="00C26300"/>
    <w:rsid w:val="00C430FB"/>
    <w:rsid w:val="00C75ECF"/>
    <w:rsid w:val="00C84177"/>
    <w:rsid w:val="00C8627D"/>
    <w:rsid w:val="00C92B2B"/>
    <w:rsid w:val="00CA3E02"/>
    <w:rsid w:val="00CE0BA2"/>
    <w:rsid w:val="00D05D54"/>
    <w:rsid w:val="00D27A48"/>
    <w:rsid w:val="00D31C8F"/>
    <w:rsid w:val="00DA2433"/>
    <w:rsid w:val="00E336C7"/>
    <w:rsid w:val="00EA4F19"/>
    <w:rsid w:val="00F27AA9"/>
    <w:rsid w:val="00F35867"/>
    <w:rsid w:val="00F7637C"/>
    <w:rsid w:val="00F9653B"/>
    <w:rsid w:val="00FD169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1E3F8"/>
  <w15:docId w15:val="{A59F9CCA-62EB-4696-80BC-1402C770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87B"/>
    <w:pPr>
      <w:spacing w:after="160" w:line="278" w:lineRule="auto"/>
    </w:pPr>
    <w:rPr>
      <w:kern w:val="2"/>
      <w:sz w:val="24"/>
      <w:szCs w:val="24"/>
      <w:lang w:val="en-IN" w:bidi="ar-SA"/>
      <w14:ligatures w14:val="standardContextual"/>
    </w:rPr>
  </w:style>
  <w:style w:type="paragraph" w:styleId="Heading2">
    <w:name w:val="heading 2"/>
    <w:basedOn w:val="Normal"/>
    <w:link w:val="Heading2Char"/>
    <w:uiPriority w:val="9"/>
    <w:qFormat/>
    <w:rsid w:val="00A40A35"/>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bidi="hi-IN"/>
      <w14:ligatures w14:val="none"/>
    </w:rPr>
  </w:style>
  <w:style w:type="paragraph" w:styleId="Heading3">
    <w:name w:val="heading 3"/>
    <w:basedOn w:val="Normal"/>
    <w:link w:val="Heading3Char"/>
    <w:uiPriority w:val="9"/>
    <w:qFormat/>
    <w:rsid w:val="00A40A35"/>
    <w:pPr>
      <w:spacing w:before="100" w:beforeAutospacing="1" w:after="100" w:afterAutospacing="1" w:line="240" w:lineRule="auto"/>
      <w:outlineLvl w:val="2"/>
    </w:pPr>
    <w:rPr>
      <w:rFonts w:ascii="Times New Roman" w:eastAsia="Times New Roman" w:hAnsi="Times New Roman" w:cs="Times New Roman"/>
      <w:b/>
      <w:bCs/>
      <w:kern w:val="0"/>
      <w:sz w:val="27"/>
      <w:szCs w:val="27"/>
      <w:lang w:val="en-US" w:bidi="hi-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E687B"/>
    <w:pPr>
      <w:ind w:left="720"/>
      <w:contextualSpacing/>
    </w:pPr>
  </w:style>
  <w:style w:type="table" w:styleId="TableGrid">
    <w:name w:val="Table Grid"/>
    <w:basedOn w:val="TableNormal"/>
    <w:uiPriority w:val="39"/>
    <w:rsid w:val="000E687B"/>
    <w:pPr>
      <w:spacing w:after="0" w:line="240" w:lineRule="auto"/>
    </w:pPr>
    <w:rPr>
      <w:kern w:val="2"/>
      <w:sz w:val="24"/>
      <w:szCs w:val="24"/>
      <w:lang w:val="en-IN"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687B"/>
    <w:pPr>
      <w:spacing w:before="100" w:beforeAutospacing="1" w:after="100" w:afterAutospacing="1" w:line="240" w:lineRule="auto"/>
    </w:pPr>
    <w:rPr>
      <w:rFonts w:ascii="Times New Roman" w:eastAsia="Times New Roman" w:hAnsi="Times New Roman" w:cs="Times New Roman"/>
      <w:kern w:val="0"/>
      <w:lang w:val="en-US" w:bidi="hi-IN"/>
      <w14:ligatures w14:val="none"/>
    </w:rPr>
  </w:style>
  <w:style w:type="character" w:styleId="Emphasis">
    <w:name w:val="Emphasis"/>
    <w:basedOn w:val="DefaultParagraphFont"/>
    <w:uiPriority w:val="20"/>
    <w:qFormat/>
    <w:rsid w:val="00E336C7"/>
    <w:rPr>
      <w:i/>
      <w:iCs/>
    </w:rPr>
  </w:style>
  <w:style w:type="character" w:customStyle="1" w:styleId="Heading2Char">
    <w:name w:val="Heading 2 Char"/>
    <w:basedOn w:val="DefaultParagraphFont"/>
    <w:link w:val="Heading2"/>
    <w:uiPriority w:val="9"/>
    <w:rsid w:val="00A40A3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0A35"/>
    <w:rPr>
      <w:rFonts w:ascii="Times New Roman" w:eastAsia="Times New Roman" w:hAnsi="Times New Roman" w:cs="Times New Roman"/>
      <w:b/>
      <w:bCs/>
      <w:sz w:val="27"/>
      <w:szCs w:val="27"/>
    </w:rPr>
  </w:style>
  <w:style w:type="character" w:customStyle="1" w:styleId="yrbpuc">
    <w:name w:val="yrbpuc"/>
    <w:basedOn w:val="DefaultParagraphFont"/>
    <w:rsid w:val="00244FD0"/>
  </w:style>
  <w:style w:type="character" w:styleId="Strong">
    <w:name w:val="Strong"/>
    <w:basedOn w:val="DefaultParagraphFont"/>
    <w:uiPriority w:val="22"/>
    <w:qFormat/>
    <w:rsid w:val="007F14F3"/>
    <w:rPr>
      <w:b/>
      <w:bCs/>
    </w:rPr>
  </w:style>
  <w:style w:type="paragraph" w:styleId="Header">
    <w:name w:val="header"/>
    <w:basedOn w:val="Normal"/>
    <w:link w:val="HeaderChar"/>
    <w:uiPriority w:val="99"/>
    <w:unhideWhenUsed/>
    <w:rsid w:val="00074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B3B"/>
    <w:rPr>
      <w:kern w:val="2"/>
      <w:sz w:val="24"/>
      <w:szCs w:val="24"/>
      <w:lang w:val="en-IN" w:bidi="ar-SA"/>
      <w14:ligatures w14:val="standardContextual"/>
    </w:rPr>
  </w:style>
  <w:style w:type="paragraph" w:styleId="Footer">
    <w:name w:val="footer"/>
    <w:basedOn w:val="Normal"/>
    <w:link w:val="FooterChar"/>
    <w:uiPriority w:val="99"/>
    <w:unhideWhenUsed/>
    <w:rsid w:val="00074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B3B"/>
    <w:rPr>
      <w:kern w:val="2"/>
      <w:sz w:val="24"/>
      <w:szCs w:val="24"/>
      <w:lang w:val="en-IN" w:bidi="ar-SA"/>
      <w14:ligatures w14:val="standardContextual"/>
    </w:rPr>
  </w:style>
  <w:style w:type="paragraph" w:customStyle="1" w:styleId="isselectedend">
    <w:name w:val="isselectedend"/>
    <w:basedOn w:val="Normal"/>
    <w:rsid w:val="005725D4"/>
    <w:pPr>
      <w:spacing w:before="100" w:beforeAutospacing="1" w:after="100" w:afterAutospacing="1" w:line="240" w:lineRule="auto"/>
    </w:pPr>
    <w:rPr>
      <w:rFonts w:ascii="Times New Roman" w:eastAsia="Times New Roman" w:hAnsi="Times New Roman" w:cs="Times New Roman"/>
      <w:kern w:val="0"/>
      <w:lang w:val="en-US" w:bidi="hi-IN"/>
      <w14:ligatures w14:val="none"/>
    </w:rPr>
  </w:style>
  <w:style w:type="character" w:styleId="Hyperlink">
    <w:name w:val="Hyperlink"/>
    <w:basedOn w:val="DefaultParagraphFont"/>
    <w:uiPriority w:val="99"/>
    <w:unhideWhenUsed/>
    <w:rsid w:val="00D05D54"/>
    <w:rPr>
      <w:color w:val="0000FF" w:themeColor="hyperlink"/>
      <w:u w:val="single"/>
    </w:rPr>
  </w:style>
  <w:style w:type="character" w:customStyle="1" w:styleId="UnresolvedMention1">
    <w:name w:val="Unresolved Mention1"/>
    <w:basedOn w:val="DefaultParagraphFont"/>
    <w:uiPriority w:val="99"/>
    <w:semiHidden/>
    <w:unhideWhenUsed/>
    <w:rsid w:val="00312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39533">
      <w:bodyDiv w:val="1"/>
      <w:marLeft w:val="0"/>
      <w:marRight w:val="0"/>
      <w:marTop w:val="0"/>
      <w:marBottom w:val="0"/>
      <w:divBdr>
        <w:top w:val="none" w:sz="0" w:space="0" w:color="auto"/>
        <w:left w:val="none" w:sz="0" w:space="0" w:color="auto"/>
        <w:bottom w:val="none" w:sz="0" w:space="0" w:color="auto"/>
        <w:right w:val="none" w:sz="0" w:space="0" w:color="auto"/>
      </w:divBdr>
    </w:div>
    <w:div w:id="315576768">
      <w:bodyDiv w:val="1"/>
      <w:marLeft w:val="0"/>
      <w:marRight w:val="0"/>
      <w:marTop w:val="0"/>
      <w:marBottom w:val="0"/>
      <w:divBdr>
        <w:top w:val="none" w:sz="0" w:space="0" w:color="auto"/>
        <w:left w:val="none" w:sz="0" w:space="0" w:color="auto"/>
        <w:bottom w:val="none" w:sz="0" w:space="0" w:color="auto"/>
        <w:right w:val="none" w:sz="0" w:space="0" w:color="auto"/>
      </w:divBdr>
    </w:div>
    <w:div w:id="744693165">
      <w:bodyDiv w:val="1"/>
      <w:marLeft w:val="0"/>
      <w:marRight w:val="0"/>
      <w:marTop w:val="0"/>
      <w:marBottom w:val="0"/>
      <w:divBdr>
        <w:top w:val="none" w:sz="0" w:space="0" w:color="auto"/>
        <w:left w:val="none" w:sz="0" w:space="0" w:color="auto"/>
        <w:bottom w:val="none" w:sz="0" w:space="0" w:color="auto"/>
        <w:right w:val="none" w:sz="0" w:space="0" w:color="auto"/>
      </w:divBdr>
    </w:div>
    <w:div w:id="751660524">
      <w:bodyDiv w:val="1"/>
      <w:marLeft w:val="0"/>
      <w:marRight w:val="0"/>
      <w:marTop w:val="0"/>
      <w:marBottom w:val="0"/>
      <w:divBdr>
        <w:top w:val="none" w:sz="0" w:space="0" w:color="auto"/>
        <w:left w:val="none" w:sz="0" w:space="0" w:color="auto"/>
        <w:bottom w:val="none" w:sz="0" w:space="0" w:color="auto"/>
        <w:right w:val="none" w:sz="0" w:space="0" w:color="auto"/>
      </w:divBdr>
    </w:div>
    <w:div w:id="809977847">
      <w:bodyDiv w:val="1"/>
      <w:marLeft w:val="0"/>
      <w:marRight w:val="0"/>
      <w:marTop w:val="0"/>
      <w:marBottom w:val="0"/>
      <w:divBdr>
        <w:top w:val="none" w:sz="0" w:space="0" w:color="auto"/>
        <w:left w:val="none" w:sz="0" w:space="0" w:color="auto"/>
        <w:bottom w:val="none" w:sz="0" w:space="0" w:color="auto"/>
        <w:right w:val="none" w:sz="0" w:space="0" w:color="auto"/>
      </w:divBdr>
    </w:div>
    <w:div w:id="840780563">
      <w:bodyDiv w:val="1"/>
      <w:marLeft w:val="0"/>
      <w:marRight w:val="0"/>
      <w:marTop w:val="0"/>
      <w:marBottom w:val="0"/>
      <w:divBdr>
        <w:top w:val="none" w:sz="0" w:space="0" w:color="auto"/>
        <w:left w:val="none" w:sz="0" w:space="0" w:color="auto"/>
        <w:bottom w:val="none" w:sz="0" w:space="0" w:color="auto"/>
        <w:right w:val="none" w:sz="0" w:space="0" w:color="auto"/>
      </w:divBdr>
    </w:div>
    <w:div w:id="1005480103">
      <w:bodyDiv w:val="1"/>
      <w:marLeft w:val="0"/>
      <w:marRight w:val="0"/>
      <w:marTop w:val="0"/>
      <w:marBottom w:val="0"/>
      <w:divBdr>
        <w:top w:val="none" w:sz="0" w:space="0" w:color="auto"/>
        <w:left w:val="none" w:sz="0" w:space="0" w:color="auto"/>
        <w:bottom w:val="none" w:sz="0" w:space="0" w:color="auto"/>
        <w:right w:val="none" w:sz="0" w:space="0" w:color="auto"/>
      </w:divBdr>
    </w:div>
    <w:div w:id="1055355549">
      <w:bodyDiv w:val="1"/>
      <w:marLeft w:val="0"/>
      <w:marRight w:val="0"/>
      <w:marTop w:val="0"/>
      <w:marBottom w:val="0"/>
      <w:divBdr>
        <w:top w:val="none" w:sz="0" w:space="0" w:color="auto"/>
        <w:left w:val="none" w:sz="0" w:space="0" w:color="auto"/>
        <w:bottom w:val="none" w:sz="0" w:space="0" w:color="auto"/>
        <w:right w:val="none" w:sz="0" w:space="0" w:color="auto"/>
      </w:divBdr>
    </w:div>
    <w:div w:id="1099565031">
      <w:bodyDiv w:val="1"/>
      <w:marLeft w:val="0"/>
      <w:marRight w:val="0"/>
      <w:marTop w:val="0"/>
      <w:marBottom w:val="0"/>
      <w:divBdr>
        <w:top w:val="none" w:sz="0" w:space="0" w:color="auto"/>
        <w:left w:val="none" w:sz="0" w:space="0" w:color="auto"/>
        <w:bottom w:val="none" w:sz="0" w:space="0" w:color="auto"/>
        <w:right w:val="none" w:sz="0" w:space="0" w:color="auto"/>
      </w:divBdr>
    </w:div>
    <w:div w:id="1210796938">
      <w:bodyDiv w:val="1"/>
      <w:marLeft w:val="0"/>
      <w:marRight w:val="0"/>
      <w:marTop w:val="0"/>
      <w:marBottom w:val="0"/>
      <w:divBdr>
        <w:top w:val="none" w:sz="0" w:space="0" w:color="auto"/>
        <w:left w:val="none" w:sz="0" w:space="0" w:color="auto"/>
        <w:bottom w:val="none" w:sz="0" w:space="0" w:color="auto"/>
        <w:right w:val="none" w:sz="0" w:space="0" w:color="auto"/>
      </w:divBdr>
      <w:divsChild>
        <w:div w:id="828138488">
          <w:marLeft w:val="0"/>
          <w:marRight w:val="0"/>
          <w:marTop w:val="0"/>
          <w:marBottom w:val="0"/>
          <w:divBdr>
            <w:top w:val="none" w:sz="0" w:space="0" w:color="auto"/>
            <w:left w:val="none" w:sz="0" w:space="0" w:color="auto"/>
            <w:bottom w:val="none" w:sz="0" w:space="0" w:color="auto"/>
            <w:right w:val="none" w:sz="0" w:space="0" w:color="auto"/>
          </w:divBdr>
        </w:div>
        <w:div w:id="1476531754">
          <w:marLeft w:val="0"/>
          <w:marRight w:val="0"/>
          <w:marTop w:val="0"/>
          <w:marBottom w:val="0"/>
          <w:divBdr>
            <w:top w:val="none" w:sz="0" w:space="0" w:color="auto"/>
            <w:left w:val="none" w:sz="0" w:space="0" w:color="auto"/>
            <w:bottom w:val="none" w:sz="0" w:space="0" w:color="auto"/>
            <w:right w:val="none" w:sz="0" w:space="0" w:color="auto"/>
          </w:divBdr>
        </w:div>
      </w:divsChild>
    </w:div>
    <w:div w:id="1451246522">
      <w:bodyDiv w:val="1"/>
      <w:marLeft w:val="0"/>
      <w:marRight w:val="0"/>
      <w:marTop w:val="0"/>
      <w:marBottom w:val="0"/>
      <w:divBdr>
        <w:top w:val="none" w:sz="0" w:space="0" w:color="auto"/>
        <w:left w:val="none" w:sz="0" w:space="0" w:color="auto"/>
        <w:bottom w:val="none" w:sz="0" w:space="0" w:color="auto"/>
        <w:right w:val="none" w:sz="0" w:space="0" w:color="auto"/>
      </w:divBdr>
    </w:div>
    <w:div w:id="1503617360">
      <w:bodyDiv w:val="1"/>
      <w:marLeft w:val="0"/>
      <w:marRight w:val="0"/>
      <w:marTop w:val="0"/>
      <w:marBottom w:val="0"/>
      <w:divBdr>
        <w:top w:val="none" w:sz="0" w:space="0" w:color="auto"/>
        <w:left w:val="none" w:sz="0" w:space="0" w:color="auto"/>
        <w:bottom w:val="none" w:sz="0" w:space="0" w:color="auto"/>
        <w:right w:val="none" w:sz="0" w:space="0" w:color="auto"/>
      </w:divBdr>
    </w:div>
    <w:div w:id="1567490373">
      <w:bodyDiv w:val="1"/>
      <w:marLeft w:val="0"/>
      <w:marRight w:val="0"/>
      <w:marTop w:val="0"/>
      <w:marBottom w:val="0"/>
      <w:divBdr>
        <w:top w:val="none" w:sz="0" w:space="0" w:color="auto"/>
        <w:left w:val="none" w:sz="0" w:space="0" w:color="auto"/>
        <w:bottom w:val="none" w:sz="0" w:space="0" w:color="auto"/>
        <w:right w:val="none" w:sz="0" w:space="0" w:color="auto"/>
      </w:divBdr>
    </w:div>
    <w:div w:id="1577975820">
      <w:bodyDiv w:val="1"/>
      <w:marLeft w:val="0"/>
      <w:marRight w:val="0"/>
      <w:marTop w:val="0"/>
      <w:marBottom w:val="0"/>
      <w:divBdr>
        <w:top w:val="none" w:sz="0" w:space="0" w:color="auto"/>
        <w:left w:val="none" w:sz="0" w:space="0" w:color="auto"/>
        <w:bottom w:val="none" w:sz="0" w:space="0" w:color="auto"/>
        <w:right w:val="none" w:sz="0" w:space="0" w:color="auto"/>
      </w:divBdr>
    </w:div>
    <w:div w:id="1603759443">
      <w:bodyDiv w:val="1"/>
      <w:marLeft w:val="0"/>
      <w:marRight w:val="0"/>
      <w:marTop w:val="0"/>
      <w:marBottom w:val="0"/>
      <w:divBdr>
        <w:top w:val="none" w:sz="0" w:space="0" w:color="auto"/>
        <w:left w:val="none" w:sz="0" w:space="0" w:color="auto"/>
        <w:bottom w:val="none" w:sz="0" w:space="0" w:color="auto"/>
        <w:right w:val="none" w:sz="0" w:space="0" w:color="auto"/>
      </w:divBdr>
    </w:div>
    <w:div w:id="203472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biocon.2026.111965" TargetMode="External"/><Relationship Id="rId18" Type="http://schemas.openxmlformats.org/officeDocument/2006/relationships/hyperlink" Target="https://doi.org/10.1002/9781118945568.ch13" TargetMode="External"/><Relationship Id="rId26" Type="http://schemas.openxmlformats.org/officeDocument/2006/relationships/hyperlink" Target="https://dzarc.com/entomology/article/view/659" TargetMode="External"/><Relationship Id="rId39" Type="http://schemas.openxmlformats.org/officeDocument/2006/relationships/hyperlink" Target="https://doi.org/10.1080/01431161.2010.489061" TargetMode="External"/><Relationship Id="rId21" Type="http://schemas.openxmlformats.org/officeDocument/2006/relationships/hyperlink" Target="https://doi.org/10.1111/jbi.14776" TargetMode="External"/><Relationship Id="rId34" Type="http://schemas.openxmlformats.org/officeDocument/2006/relationships/hyperlink" Target="https://doi.org/10.1007/BF00988076" TargetMode="External"/><Relationship Id="rId42" Type="http://schemas.openxmlformats.org/officeDocument/2006/relationships/hyperlink" Target="https://doi.org/10.1007/978-3-031-77149-1_6"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cademia.edu/15071109/" TargetMode="External"/><Relationship Id="rId29" Type="http://schemas.openxmlformats.org/officeDocument/2006/relationships/hyperlink" Target="https://doi.org/10.1007/978-3-031-32103-0_4" TargetMode="External"/><Relationship Id="rId11" Type="http://schemas.openxmlformats.org/officeDocument/2006/relationships/hyperlink" Target="https://doi.org/10.1038/s41559-017-0314-4" TargetMode="External"/><Relationship Id="rId24" Type="http://schemas.openxmlformats.org/officeDocument/2006/relationships/hyperlink" Target="https://doi.org/10.1016/j.agee.2025.109996" TargetMode="External"/><Relationship Id="rId32" Type="http://schemas.openxmlformats.org/officeDocument/2006/relationships/hyperlink" Target="https://doi.org/10.1007/978-981-96-1020-4_16" TargetMode="External"/><Relationship Id="rId37" Type="http://schemas.openxmlformats.org/officeDocument/2006/relationships/hyperlink" Target="https://digitalrepository.wii.gov.in/items/f0feb628-c248-4fcc-920e-fab3b0e9962b" TargetMode="External"/><Relationship Id="rId40" Type="http://schemas.openxmlformats.org/officeDocument/2006/relationships/hyperlink" Target="https://doi.org/10.1371/journal.pone.0079032" TargetMode="External"/><Relationship Id="rId45" Type="http://schemas.openxmlformats.org/officeDocument/2006/relationships/hyperlink" Target="https://doi.org/10.1038/s44358-025-00128-8"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doi.org/10.1007/s13744-021-00888-w" TargetMode="External"/><Relationship Id="rId19" Type="http://schemas.openxmlformats.org/officeDocument/2006/relationships/hyperlink" Target="https://doi.org/10.1155/2024/5998962" TargetMode="External"/><Relationship Id="rId31" Type="http://schemas.openxmlformats.org/officeDocument/2006/relationships/hyperlink" Target="https://doi.org/10.9734/ajob/2024/v20i1380" TargetMode="External"/><Relationship Id="rId44" Type="http://schemas.openxmlformats.org/officeDocument/2006/relationships/hyperlink" Target="https://doi.org/10.1073/pnas.2002549117"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5958/2349-297X.2026.00001.0" TargetMode="External"/><Relationship Id="rId14" Type="http://schemas.openxmlformats.org/officeDocument/2006/relationships/hyperlink" Target="https://doi.org/10.14411/eje.2025.022" TargetMode="External"/><Relationship Id="rId22" Type="http://schemas.openxmlformats.org/officeDocument/2006/relationships/hyperlink" Target="https://doi.org/10.1146/annurev.es.21.110190.001331" TargetMode="External"/><Relationship Id="rId27" Type="http://schemas.openxmlformats.org/officeDocument/2006/relationships/hyperlink" Target="https://www.entomologyjournals.com/assets/archives/2018/vol3issue2/3-2-13-365.pdf" TargetMode="External"/><Relationship Id="rId30" Type="http://schemas.openxmlformats.org/officeDocument/2006/relationships/hyperlink" Target="https://doi.org/10.36808/if/2020/v146i11/150248" TargetMode="External"/><Relationship Id="rId35" Type="http://schemas.openxmlformats.org/officeDocument/2006/relationships/hyperlink" Target="https://doi.org/10.1093/jisesa/iev158" TargetMode="External"/><Relationship Id="rId43" Type="http://schemas.openxmlformats.org/officeDocument/2006/relationships/hyperlink" Target="https://doi.org/10.9734/ijecc/2023/v13i103110" TargetMode="External"/><Relationship Id="rId48" Type="http://schemas.openxmlformats.org/officeDocument/2006/relationships/footer" Target="footer1.xml"/><Relationship Id="rId8" Type="http://schemas.openxmlformats.org/officeDocument/2006/relationships/hyperlink" Target="https://doi.org/10.20546/ijcrbp.2018.511.006"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academia.edu/7708133/" TargetMode="External"/><Relationship Id="rId17" Type="http://schemas.openxmlformats.org/officeDocument/2006/relationships/hyperlink" Target="https://doi.org/10.1002/ece3.73004" TargetMode="External"/><Relationship Id="rId25" Type="http://schemas.openxmlformats.org/officeDocument/2006/relationships/hyperlink" Target="https://doi.org/10.47352/jmans.2774-3047.140" TargetMode="External"/><Relationship Id="rId33" Type="http://schemas.openxmlformats.org/officeDocument/2006/relationships/hyperlink" Target="https://doi.org/10.1016/B978-0-12-803265-7.00001-4" TargetMode="External"/><Relationship Id="rId38" Type="http://schemas.openxmlformats.org/officeDocument/2006/relationships/hyperlink" Target="https://doi.org/10.1023/B:AGFO.0000049429.37483.47" TargetMode="External"/><Relationship Id="rId46" Type="http://schemas.openxmlformats.org/officeDocument/2006/relationships/header" Target="header1.xml"/><Relationship Id="rId20" Type="http://schemas.openxmlformats.org/officeDocument/2006/relationships/hyperlink" Target="https://doi.org/10.1007/978-1-4020-6359-6_4705" TargetMode="External"/><Relationship Id="rId41" Type="http://schemas.openxmlformats.org/officeDocument/2006/relationships/hyperlink" Target="https://digitalrepository.wii.gov.in/items/2479ca10-1348-497e-a82a-1423dbc8aec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9734/jabb/2026/v29i64001" TargetMode="External"/><Relationship Id="rId23" Type="http://schemas.openxmlformats.org/officeDocument/2006/relationships/hyperlink" Target="https://doi.org/10.11609/jott.7824.15.2.22632-22653" TargetMode="External"/><Relationship Id="rId28" Type="http://schemas.openxmlformats.org/officeDocument/2006/relationships/hyperlink" Target="https://doi.org/10.1111/j.1558-5646.2009.00889.x" TargetMode="External"/><Relationship Id="rId36" Type="http://schemas.openxmlformats.org/officeDocument/2006/relationships/hyperlink" Target="https://agris.fao.org/search/en/providers/122535/records/65ddf79d4c5aef494fd7e85c"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F2110-0798-411D-8B0D-52595BA8C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16</Pages>
  <Words>5724</Words>
  <Characters>32628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SDI 1087</cp:lastModifiedBy>
  <cp:revision>23</cp:revision>
  <dcterms:created xsi:type="dcterms:W3CDTF">2026-09-10T21:07:00Z</dcterms:created>
  <dcterms:modified xsi:type="dcterms:W3CDTF">2026-10-12T08:30:00Z</dcterms:modified>
</cp:coreProperties>
</file>