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63A1B" w14:textId="77777777" w:rsidR="008E04C8" w:rsidRPr="008E04C8" w:rsidRDefault="008E04C8" w:rsidP="008E04C8">
      <w:pPr>
        <w:spacing w:line="360" w:lineRule="auto"/>
        <w:jc w:val="center"/>
        <w:rPr>
          <w:rFonts w:ascii="Times New Roman" w:hAnsi="Times New Roman" w:cs="Times New Roman"/>
          <w:sz w:val="28"/>
          <w:szCs w:val="28"/>
          <w:u w:val="single"/>
        </w:rPr>
      </w:pPr>
      <w:bookmarkStart w:id="0" w:name="_Hlk240712104"/>
      <w:r w:rsidRPr="00951245">
        <w:rPr>
          <w:rFonts w:ascii="Times New Roman" w:hAnsi="Times New Roman" w:cs="Times New Roman"/>
          <w:sz w:val="28"/>
          <w:szCs w:val="28"/>
          <w:u w:val="single"/>
        </w:rPr>
        <w:t>Original Research Article</w:t>
      </w:r>
      <w:bookmarkEnd w:id="0"/>
    </w:p>
    <w:p w14:paraId="74301910" w14:textId="77777777" w:rsidR="00FB4783" w:rsidRDefault="00FB4783" w:rsidP="002F4C1B">
      <w:pPr>
        <w:spacing w:line="360" w:lineRule="auto"/>
        <w:jc w:val="both"/>
        <w:rPr>
          <w:rFonts w:ascii="Times New Roman" w:hAnsi="Times New Roman" w:cs="Times New Roman"/>
          <w:b/>
          <w:bCs/>
          <w:color w:val="000000" w:themeColor="text1"/>
          <w:sz w:val="24"/>
          <w:szCs w:val="24"/>
        </w:rPr>
      </w:pPr>
      <w:r w:rsidRPr="002F4C1B">
        <w:rPr>
          <w:rFonts w:ascii="Times New Roman" w:hAnsi="Times New Roman" w:cs="Times New Roman"/>
          <w:b/>
          <w:bCs/>
          <w:color w:val="000000" w:themeColor="text1"/>
          <w:sz w:val="24"/>
          <w:szCs w:val="24"/>
        </w:rPr>
        <w:t xml:space="preserve">Assessment of Milking Hygiene Practices and Their Impact on Somatic Cell Count in goats Under Field </w:t>
      </w:r>
      <w:r w:rsidR="00557E57">
        <w:rPr>
          <w:rFonts w:ascii="Times New Roman" w:hAnsi="Times New Roman" w:cs="Times New Roman"/>
          <w:b/>
          <w:bCs/>
          <w:color w:val="000000" w:themeColor="text1"/>
          <w:sz w:val="24"/>
          <w:szCs w:val="24"/>
        </w:rPr>
        <w:t>and</w:t>
      </w:r>
      <w:r w:rsidRPr="002F4C1B">
        <w:rPr>
          <w:rFonts w:ascii="Times New Roman" w:hAnsi="Times New Roman" w:cs="Times New Roman"/>
          <w:b/>
          <w:bCs/>
          <w:color w:val="000000" w:themeColor="text1"/>
          <w:sz w:val="24"/>
          <w:szCs w:val="24"/>
        </w:rPr>
        <w:t xml:space="preserve"> Farm Conditions</w:t>
      </w:r>
    </w:p>
    <w:p w14:paraId="743E735F" w14:textId="77777777" w:rsidR="00325000" w:rsidRPr="008E04C8" w:rsidRDefault="00325000" w:rsidP="008E04C8">
      <w:pPr>
        <w:rPr>
          <w:rFonts w:ascii="Times New Roman" w:hAnsi="Times New Roman" w:cs="Times New Roman"/>
          <w:sz w:val="24"/>
          <w:szCs w:val="24"/>
          <w:lang w:val="en-IN"/>
        </w:rPr>
      </w:pPr>
    </w:p>
    <w:p w14:paraId="1ADCE765" w14:textId="77777777" w:rsidR="004E0936" w:rsidRPr="002F4C1B" w:rsidRDefault="004E0936" w:rsidP="002F4C1B">
      <w:pPr>
        <w:spacing w:line="360" w:lineRule="auto"/>
        <w:jc w:val="both"/>
        <w:rPr>
          <w:rFonts w:ascii="Times New Roman" w:hAnsi="Times New Roman" w:cs="Times New Roman"/>
          <w:b/>
          <w:bCs/>
          <w:color w:val="000000" w:themeColor="text1"/>
          <w:sz w:val="24"/>
          <w:szCs w:val="24"/>
        </w:rPr>
      </w:pPr>
      <w:r w:rsidRPr="002F4C1B">
        <w:rPr>
          <w:rFonts w:ascii="Times New Roman" w:hAnsi="Times New Roman" w:cs="Times New Roman"/>
          <w:b/>
          <w:bCs/>
          <w:color w:val="000000" w:themeColor="text1"/>
          <w:sz w:val="24"/>
          <w:szCs w:val="24"/>
        </w:rPr>
        <w:t>Abstract</w:t>
      </w:r>
    </w:p>
    <w:p w14:paraId="27A5C61D" w14:textId="77777777" w:rsidR="00E76A68" w:rsidRPr="00E76A68" w:rsidRDefault="009310A4" w:rsidP="009310A4">
      <w:pPr>
        <w:spacing w:before="100" w:beforeAutospacing="1" w:after="100" w:afterAutospacing="1" w:line="360" w:lineRule="auto"/>
        <w:jc w:val="both"/>
        <w:rPr>
          <w:rFonts w:ascii="Times New Roman" w:eastAsia="Times New Roman" w:hAnsi="Times New Roman" w:cs="Times New Roman"/>
          <w:sz w:val="24"/>
          <w:szCs w:val="24"/>
        </w:rPr>
      </w:pPr>
      <w:r w:rsidRPr="009310A4">
        <w:rPr>
          <w:rFonts w:ascii="Times New Roman" w:eastAsia="Times New Roman" w:hAnsi="Times New Roman" w:cs="Times New Roman"/>
          <w:sz w:val="24"/>
          <w:szCs w:val="24"/>
        </w:rPr>
        <w:t xml:space="preserve">Milking hygiene and management conditions are important determinants of udder health and milk quality in goats. Somatic cell count (SCC) is commonly used as an indicator of mammary health and may vary according to hygiene practices and rearing conditions. However, comparative information on the relationship between routine milking hygiene practices and SCC under semi-intensive farm and free-grazing field conditions remains limited. </w:t>
      </w:r>
      <w:r w:rsidR="00E76A68">
        <w:rPr>
          <w:rFonts w:ascii="Times New Roman" w:eastAsia="Times New Roman" w:hAnsi="Times New Roman" w:cs="Times New Roman"/>
          <w:sz w:val="24"/>
          <w:szCs w:val="24"/>
        </w:rPr>
        <w:t>This study evaluated milking hygiene practices and compared SCC in goats (n</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 xml:space="preserve">56) maintained under semi-intensive farm conditions </w:t>
      </w:r>
      <w:r w:rsidR="00E76A68">
        <w:rPr>
          <w:rFonts w:ascii="Times New Roman" w:eastAsia="Times New Roman" w:hAnsi="Times New Roman" w:cs="Times New Roman"/>
          <w:sz w:val="24"/>
          <w:szCs w:val="24"/>
          <w:highlight w:val="yellow"/>
        </w:rPr>
        <w:t>with those und</w:t>
      </w:r>
      <w:r w:rsidR="00E76A68">
        <w:rPr>
          <w:rFonts w:ascii="Times New Roman" w:eastAsia="Times New Roman" w:hAnsi="Times New Roman" w:cs="Times New Roman"/>
          <w:sz w:val="24"/>
          <w:szCs w:val="24"/>
        </w:rPr>
        <w:t>er free-grazing field conditions (n</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 xml:space="preserve">56). </w:t>
      </w:r>
      <w:r w:rsidR="00E76A68">
        <w:rPr>
          <w:rFonts w:ascii="Times New Roman" w:eastAsia="Times New Roman" w:hAnsi="Times New Roman" w:cs="Times New Roman"/>
          <w:sz w:val="24"/>
          <w:szCs w:val="24"/>
          <w:highlight w:val="yellow"/>
        </w:rPr>
        <w:t>U</w:t>
      </w:r>
      <w:r w:rsidR="00E76A68">
        <w:rPr>
          <w:rFonts w:ascii="Times New Roman" w:eastAsia="Times New Roman" w:hAnsi="Times New Roman" w:cs="Times New Roman"/>
          <w:sz w:val="24"/>
          <w:szCs w:val="24"/>
        </w:rPr>
        <w:t>n</w:t>
      </w:r>
      <w:r w:rsidR="00E76A68">
        <w:rPr>
          <w:rFonts w:ascii="Times New Roman" w:eastAsia="Times New Roman" w:hAnsi="Times New Roman" w:cs="Times New Roman"/>
          <w:sz w:val="24"/>
          <w:szCs w:val="24"/>
          <w:highlight w:val="yellow"/>
        </w:rPr>
        <w:t>der</w:t>
      </w:r>
      <w:r w:rsidR="00E76A68">
        <w:rPr>
          <w:rFonts w:ascii="Times New Roman" w:eastAsia="Times New Roman" w:hAnsi="Times New Roman" w:cs="Times New Roman"/>
          <w:sz w:val="24"/>
          <w:szCs w:val="24"/>
        </w:rPr>
        <w:t xml:space="preserve"> field conditions, high compliance was reported for utensil washing (100.00%, n</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56/56) and pre-milking udder washing (96.42%, n</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54/56), whereas handler hygiene (55.35% wearing unclean attire, n</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31/56) and shed drainage infrastructure (89.28% absent, n</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50/56) showed critical gaps. Mean SCC was significantly lower in field-reared goats (4.27</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0.02</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10</w:t>
      </w:r>
      <w:r w:rsidR="00E76A68">
        <w:rPr>
          <w:rFonts w:ascii="Times New Roman" w:eastAsia="Times New Roman" w:hAnsi="Times New Roman" w:cs="Times New Roman"/>
          <w:sz w:val="24"/>
          <w:szCs w:val="24"/>
          <w:highlight w:val="yellow"/>
        </w:rPr>
        <w:t xml:space="preserve">⁵ </w:t>
      </w:r>
      <w:r w:rsidR="00E76A68">
        <w:rPr>
          <w:rFonts w:ascii="Times New Roman" w:eastAsia="Times New Roman" w:hAnsi="Times New Roman" w:cs="Times New Roman"/>
          <w:sz w:val="24"/>
          <w:szCs w:val="24"/>
        </w:rPr>
        <w:t>cells/mL) than in farm-reared goats (4.62</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0.05</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10</w:t>
      </w:r>
      <w:r w:rsidR="00E76A68">
        <w:rPr>
          <w:rFonts w:ascii="Times New Roman" w:eastAsia="Times New Roman" w:hAnsi="Times New Roman" w:cs="Times New Roman"/>
          <w:sz w:val="24"/>
          <w:szCs w:val="24"/>
          <w:highlight w:val="yellow"/>
        </w:rPr>
        <w:t xml:space="preserve">⁵ </w:t>
      </w:r>
      <w:r w:rsidR="00E76A68">
        <w:rPr>
          <w:rFonts w:ascii="Times New Roman" w:eastAsia="Times New Roman" w:hAnsi="Times New Roman" w:cs="Times New Roman"/>
          <w:sz w:val="24"/>
          <w:szCs w:val="24"/>
        </w:rPr>
        <w:t>cells/mL) (t</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6.499, df</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110, P</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&lt;</w:t>
      </w:r>
      <w:r w:rsidR="00E76A68">
        <w:rPr>
          <w:rFonts w:ascii="Times New Roman" w:eastAsia="Times New Roman" w:hAnsi="Times New Roman" w:cs="Times New Roman"/>
          <w:sz w:val="24"/>
          <w:szCs w:val="24"/>
          <w:highlight w:val="yellow"/>
        </w:rPr>
        <w:t xml:space="preserve"> </w:t>
      </w:r>
      <w:r w:rsidR="00E76A68">
        <w:rPr>
          <w:rFonts w:ascii="Times New Roman" w:eastAsia="Times New Roman" w:hAnsi="Times New Roman" w:cs="Times New Roman"/>
          <w:sz w:val="24"/>
          <w:szCs w:val="24"/>
        </w:rPr>
        <w:t xml:space="preserve">0.001), indicating better overall udder health </w:t>
      </w:r>
      <w:r w:rsidR="00E76A68">
        <w:rPr>
          <w:rFonts w:ascii="Times New Roman" w:eastAsia="Times New Roman" w:hAnsi="Times New Roman" w:cs="Times New Roman"/>
          <w:sz w:val="24"/>
          <w:szCs w:val="24"/>
          <w:highlight w:val="yellow"/>
        </w:rPr>
        <w:t>u</w:t>
      </w:r>
      <w:r w:rsidR="00E76A68">
        <w:rPr>
          <w:rFonts w:ascii="Times New Roman" w:eastAsia="Times New Roman" w:hAnsi="Times New Roman" w:cs="Times New Roman"/>
          <w:sz w:val="24"/>
          <w:szCs w:val="24"/>
        </w:rPr>
        <w:t>n</w:t>
      </w:r>
      <w:r w:rsidR="00E76A68">
        <w:rPr>
          <w:rFonts w:ascii="Times New Roman" w:eastAsia="Times New Roman" w:hAnsi="Times New Roman" w:cs="Times New Roman"/>
          <w:sz w:val="24"/>
          <w:szCs w:val="24"/>
          <w:highlight w:val="yellow"/>
        </w:rPr>
        <w:t>der</w:t>
      </w:r>
      <w:r w:rsidR="00E76A68">
        <w:rPr>
          <w:rFonts w:ascii="Times New Roman" w:eastAsia="Times New Roman" w:hAnsi="Times New Roman" w:cs="Times New Roman"/>
          <w:sz w:val="24"/>
          <w:szCs w:val="24"/>
        </w:rPr>
        <w:t xml:space="preserve"> field </w:t>
      </w:r>
      <w:r w:rsidR="00E76A68">
        <w:rPr>
          <w:rFonts w:ascii="Times New Roman" w:eastAsia="Times New Roman" w:hAnsi="Times New Roman" w:cs="Times New Roman"/>
          <w:sz w:val="24"/>
          <w:szCs w:val="24"/>
          <w:highlight w:val="yellow"/>
        </w:rPr>
        <w:t>condi</w:t>
      </w:r>
      <w:r w:rsidR="00E76A68">
        <w:rPr>
          <w:rFonts w:ascii="Times New Roman" w:eastAsia="Times New Roman" w:hAnsi="Times New Roman" w:cs="Times New Roman"/>
          <w:sz w:val="24"/>
          <w:szCs w:val="24"/>
        </w:rPr>
        <w:t>t</w:t>
      </w:r>
      <w:r w:rsidR="00E76A68">
        <w:rPr>
          <w:rFonts w:ascii="Times New Roman" w:eastAsia="Times New Roman" w:hAnsi="Times New Roman" w:cs="Times New Roman"/>
          <w:sz w:val="24"/>
          <w:szCs w:val="24"/>
          <w:highlight w:val="yellow"/>
        </w:rPr>
        <w:t>ion</w:t>
      </w:r>
      <w:r w:rsidR="00E76A68">
        <w:rPr>
          <w:rFonts w:ascii="Times New Roman" w:eastAsia="Times New Roman" w:hAnsi="Times New Roman" w:cs="Times New Roman"/>
          <w:sz w:val="24"/>
          <w:szCs w:val="24"/>
        </w:rPr>
        <w:t xml:space="preserve">s. This statistical </w:t>
      </w:r>
      <w:r w:rsidR="00E76A68">
        <w:rPr>
          <w:rFonts w:ascii="Times New Roman" w:eastAsia="Times New Roman" w:hAnsi="Times New Roman" w:cs="Times New Roman"/>
          <w:sz w:val="24"/>
          <w:szCs w:val="24"/>
          <w:highlight w:val="yellow"/>
        </w:rPr>
        <w:t>diffe</w:t>
      </w:r>
      <w:r w:rsidR="00E76A68">
        <w:rPr>
          <w:rFonts w:ascii="Times New Roman" w:eastAsia="Times New Roman" w:hAnsi="Times New Roman" w:cs="Times New Roman"/>
          <w:sz w:val="24"/>
          <w:szCs w:val="24"/>
        </w:rPr>
        <w:t>r</w:t>
      </w:r>
      <w:r w:rsidR="00E76A68">
        <w:rPr>
          <w:rFonts w:ascii="Times New Roman" w:eastAsia="Times New Roman" w:hAnsi="Times New Roman" w:cs="Times New Roman"/>
          <w:sz w:val="24"/>
          <w:szCs w:val="24"/>
          <w:highlight w:val="yellow"/>
        </w:rPr>
        <w:t>e</w:t>
      </w:r>
      <w:r w:rsidR="00E76A68">
        <w:rPr>
          <w:rFonts w:ascii="Times New Roman" w:eastAsia="Times New Roman" w:hAnsi="Times New Roman" w:cs="Times New Roman"/>
          <w:sz w:val="24"/>
          <w:szCs w:val="24"/>
        </w:rPr>
        <w:t>nce is largely attributed to differences in housing density and feeding management, as free-grazing field goats benefit from lower environmental stress, increased physical movement, and diverse natural foraging, which positively influence baseline systemic immunity. Conversely, semi-intensive farm housing exposes animals to higher stocking densit</w:t>
      </w:r>
      <w:r w:rsidR="00E76A68">
        <w:rPr>
          <w:rFonts w:ascii="Times New Roman" w:eastAsia="Times New Roman" w:hAnsi="Times New Roman" w:cs="Times New Roman"/>
          <w:sz w:val="24"/>
          <w:szCs w:val="24"/>
          <w:highlight w:val="yellow"/>
        </w:rPr>
        <w:t>ies</w:t>
      </w:r>
      <w:r w:rsidR="00E76A68">
        <w:rPr>
          <w:rFonts w:ascii="Times New Roman" w:eastAsia="Times New Roman" w:hAnsi="Times New Roman" w:cs="Times New Roman"/>
          <w:sz w:val="24"/>
          <w:szCs w:val="24"/>
        </w:rPr>
        <w:t>, restricted mobility, and shed-bound feeding, increasing locali</w:t>
      </w:r>
      <w:r w:rsidR="00E76A68">
        <w:rPr>
          <w:rFonts w:ascii="Times New Roman" w:eastAsia="Times New Roman" w:hAnsi="Times New Roman" w:cs="Times New Roman"/>
          <w:sz w:val="24"/>
          <w:szCs w:val="24"/>
          <w:highlight w:val="yellow"/>
        </w:rPr>
        <w:t>s</w:t>
      </w:r>
      <w:r w:rsidR="00E76A68">
        <w:rPr>
          <w:rFonts w:ascii="Times New Roman" w:eastAsia="Times New Roman" w:hAnsi="Times New Roman" w:cs="Times New Roman"/>
          <w:sz w:val="24"/>
          <w:szCs w:val="24"/>
        </w:rPr>
        <w:t>ed pathogen pressure despite controlled management. While strong adherence to udder and utensil sanitation helps field farmers suppress subclinical mastitis, targeted interventions a</w:t>
      </w:r>
      <w:r w:rsidR="00E76A68">
        <w:rPr>
          <w:rFonts w:ascii="Times New Roman" w:eastAsia="Times New Roman" w:hAnsi="Times New Roman" w:cs="Times New Roman"/>
          <w:sz w:val="24"/>
          <w:szCs w:val="24"/>
          <w:highlight w:val="yellow"/>
        </w:rPr>
        <w:t>dd</w:t>
      </w:r>
      <w:r w:rsidR="00E76A68">
        <w:rPr>
          <w:rFonts w:ascii="Times New Roman" w:eastAsia="Times New Roman" w:hAnsi="Times New Roman" w:cs="Times New Roman"/>
          <w:sz w:val="24"/>
          <w:szCs w:val="24"/>
        </w:rPr>
        <w:t>re</w:t>
      </w:r>
      <w:r w:rsidR="00E76A68">
        <w:rPr>
          <w:rFonts w:ascii="Times New Roman" w:eastAsia="Times New Roman" w:hAnsi="Times New Roman" w:cs="Times New Roman"/>
          <w:sz w:val="24"/>
          <w:szCs w:val="24"/>
          <w:highlight w:val="yellow"/>
        </w:rPr>
        <w:t>ss</w:t>
      </w:r>
      <w:r w:rsidR="00E76A68">
        <w:rPr>
          <w:rFonts w:ascii="Times New Roman" w:eastAsia="Times New Roman" w:hAnsi="Times New Roman" w:cs="Times New Roman"/>
          <w:sz w:val="24"/>
          <w:szCs w:val="24"/>
        </w:rPr>
        <w:t>ing personal milker hygiene and proper shed drainage infrastructure remain necessary. Consequently, addressing these locali</w:t>
      </w:r>
      <w:r w:rsidR="00E76A68">
        <w:rPr>
          <w:rFonts w:ascii="Times New Roman" w:eastAsia="Times New Roman" w:hAnsi="Times New Roman" w:cs="Times New Roman"/>
          <w:sz w:val="24"/>
          <w:szCs w:val="24"/>
          <w:highlight w:val="yellow"/>
        </w:rPr>
        <w:t>s</w:t>
      </w:r>
      <w:r w:rsidR="00E76A68">
        <w:rPr>
          <w:rFonts w:ascii="Times New Roman" w:eastAsia="Times New Roman" w:hAnsi="Times New Roman" w:cs="Times New Roman"/>
          <w:sz w:val="24"/>
          <w:szCs w:val="24"/>
        </w:rPr>
        <w:t>ed sanitation deficiencies could further minimi</w:t>
      </w:r>
      <w:r w:rsidR="00E76A68">
        <w:rPr>
          <w:rFonts w:ascii="Times New Roman" w:eastAsia="Times New Roman" w:hAnsi="Times New Roman" w:cs="Times New Roman"/>
          <w:sz w:val="24"/>
          <w:szCs w:val="24"/>
          <w:highlight w:val="yellow"/>
        </w:rPr>
        <w:t>s</w:t>
      </w:r>
      <w:r w:rsidR="00E76A68">
        <w:rPr>
          <w:rFonts w:ascii="Times New Roman" w:eastAsia="Times New Roman" w:hAnsi="Times New Roman" w:cs="Times New Roman"/>
          <w:sz w:val="24"/>
          <w:szCs w:val="24"/>
        </w:rPr>
        <w:t>e microbial contamination and optimi</w:t>
      </w:r>
      <w:r w:rsidR="00E76A68">
        <w:rPr>
          <w:rFonts w:ascii="Times New Roman" w:eastAsia="Times New Roman" w:hAnsi="Times New Roman" w:cs="Times New Roman"/>
          <w:sz w:val="24"/>
          <w:szCs w:val="24"/>
          <w:highlight w:val="yellow"/>
        </w:rPr>
        <w:t>s</w:t>
      </w:r>
      <w:r w:rsidR="00E76A68">
        <w:rPr>
          <w:rFonts w:ascii="Times New Roman" w:eastAsia="Times New Roman" w:hAnsi="Times New Roman" w:cs="Times New Roman"/>
          <w:sz w:val="24"/>
          <w:szCs w:val="24"/>
        </w:rPr>
        <w:t>e caprine milk quality across smallholder field production systems.</w:t>
      </w:r>
    </w:p>
    <w:p w14:paraId="1DAE17C3" w14:textId="77777777" w:rsidR="00832F8A" w:rsidRPr="002F4C1B" w:rsidRDefault="00832F8A" w:rsidP="002F4C1B">
      <w:pPr>
        <w:pStyle w:val="NormalWeb"/>
        <w:spacing w:line="360" w:lineRule="auto"/>
        <w:jc w:val="both"/>
        <w:rPr>
          <w:color w:val="000000" w:themeColor="text1"/>
        </w:rPr>
      </w:pPr>
      <w:r w:rsidRPr="002F4C1B">
        <w:rPr>
          <w:b/>
          <w:bCs/>
          <w:color w:val="000000" w:themeColor="text1"/>
        </w:rPr>
        <w:lastRenderedPageBreak/>
        <w:t>Keywords:</w:t>
      </w:r>
      <w:r w:rsidR="00E76A68" w:rsidRPr="002F4C1B">
        <w:rPr>
          <w:color w:val="000000" w:themeColor="text1"/>
        </w:rPr>
        <w:t xml:space="preserve"> Goat</w:t>
      </w:r>
      <w:r w:rsidRPr="002F4C1B">
        <w:rPr>
          <w:color w:val="000000" w:themeColor="text1"/>
        </w:rPr>
        <w:t>, Somatic Cel</w:t>
      </w:r>
      <w:r w:rsidR="007764A0" w:rsidRPr="002F4C1B">
        <w:rPr>
          <w:color w:val="000000" w:themeColor="text1"/>
        </w:rPr>
        <w:t xml:space="preserve">l Count, Milking hygiene, Field </w:t>
      </w:r>
      <w:r w:rsidRPr="002F4C1B">
        <w:rPr>
          <w:color w:val="000000" w:themeColor="text1"/>
        </w:rPr>
        <w:t xml:space="preserve">vs. farm conditions, Udder health, Shed drainage </w:t>
      </w:r>
    </w:p>
    <w:p w14:paraId="3AD2436C" w14:textId="77777777" w:rsidR="003C5362" w:rsidRPr="0094784A" w:rsidRDefault="0094784A" w:rsidP="0094784A">
      <w:pPr>
        <w:pStyle w:val="NoSpacing"/>
        <w:rPr>
          <w:rFonts w:ascii="Times New Roman" w:hAnsi="Times New Roman" w:cs="Times New Roman"/>
          <w:b/>
          <w:bCs/>
          <w:sz w:val="24"/>
          <w:szCs w:val="22"/>
        </w:rPr>
      </w:pPr>
      <w:r>
        <w:rPr>
          <w:rFonts w:ascii="Times New Roman" w:hAnsi="Times New Roman" w:cs="Times New Roman"/>
          <w:b/>
          <w:bCs/>
          <w:sz w:val="24"/>
          <w:szCs w:val="22"/>
        </w:rPr>
        <w:t xml:space="preserve">1. </w:t>
      </w:r>
      <w:r w:rsidR="004E0936" w:rsidRPr="0094784A">
        <w:rPr>
          <w:rFonts w:ascii="Times New Roman" w:hAnsi="Times New Roman" w:cs="Times New Roman"/>
          <w:b/>
          <w:bCs/>
          <w:sz w:val="24"/>
          <w:szCs w:val="22"/>
        </w:rPr>
        <w:t>Introduction</w:t>
      </w:r>
      <w:r w:rsidR="003C5362" w:rsidRPr="0094784A">
        <w:rPr>
          <w:rFonts w:ascii="Times New Roman" w:hAnsi="Times New Roman" w:cs="Times New Roman"/>
          <w:b/>
          <w:bCs/>
          <w:sz w:val="24"/>
          <w:szCs w:val="22"/>
        </w:rPr>
        <w:t xml:space="preserve"> </w:t>
      </w:r>
    </w:p>
    <w:p w14:paraId="2F7146D3" w14:textId="77777777" w:rsidR="005379D3" w:rsidRDefault="005379D3" w:rsidP="005379D3">
      <w:pPr>
        <w:pStyle w:val="NormalWeb"/>
        <w:spacing w:line="360" w:lineRule="auto"/>
        <w:jc w:val="both"/>
      </w:pPr>
      <w:r>
        <w:t>Goat farming serves as a vital pillar for rural livelihoods, food security, and agricultural sustainability, particularly in arid and semi-arid regions across the globe (Devendra, 2013; Silanikove, 2000). According to the Food and Agriculture Organization (FAO), global dairy goat inventory and milk production have increased substantially over recent decades, with global goat milk output surpassing 18–20 million ton</w:t>
      </w:r>
      <w:r>
        <w:rPr>
          <w:highlight w:val="yellow"/>
        </w:rPr>
        <w:t>ne</w:t>
      </w:r>
      <w:r>
        <w:t>s annually (FAO, 2022). Globally, dairy goats contribute significantly to total small ruminant milk production, with Asia leading production regions by producing over 10 million ton</w:t>
      </w:r>
      <w:r>
        <w:rPr>
          <w:highlight w:val="yellow"/>
        </w:rPr>
        <w:t>ne</w:t>
      </w:r>
      <w:r>
        <w:t>s of goat milk per year (FAO, 2022; Devendra, 2013).</w:t>
      </w:r>
    </w:p>
    <w:p w14:paraId="27B6D629" w14:textId="77777777" w:rsidR="005379D3" w:rsidRDefault="005379D3" w:rsidP="005379D3">
      <w:pPr>
        <w:pStyle w:val="NormalWeb"/>
        <w:spacing w:line="360" w:lineRule="auto"/>
        <w:jc w:val="both"/>
      </w:pPr>
      <w:r>
        <w:t>At the national level, India stands as one of the world's leading producers of goat milk, generating over 6 million ton</w:t>
      </w:r>
      <w:r>
        <w:rPr>
          <w:highlight w:val="yellow"/>
        </w:rPr>
        <w:t>ne</w:t>
      </w:r>
      <w:r>
        <w:t xml:space="preserve">s annually (FAO, 2022; DAHD, 2019). As reported in the official 20th Livestock Census by the Ministry of Fisheries, Animal Husbandry and Dairying, Government of India, the country's total goat population reached 148.88 million heads, marking a 10.14% growth compared </w:t>
      </w:r>
      <w:r>
        <w:rPr>
          <w:highlight w:val="yellow"/>
        </w:rPr>
        <w:t>wi</w:t>
      </w:r>
      <w:r>
        <w:t>t</w:t>
      </w:r>
      <w:r>
        <w:rPr>
          <w:highlight w:val="yellow"/>
        </w:rPr>
        <w:t>h</w:t>
      </w:r>
      <w:r>
        <w:t xml:space="preserve"> the preceding 19th census period and accounting for over a quarter of the national livestock inventory (DAHD, 2019). This rapid expansion highlights the resilience of caprine species and their critical economic importance for smallholder farmers, landless labo</w:t>
      </w:r>
      <w:r>
        <w:rPr>
          <w:highlight w:val="yellow"/>
        </w:rPr>
        <w:t>u</w:t>
      </w:r>
      <w:r>
        <w:t>rers, and marginal agricultural households (Silanikove, 2000; DAHD, 2019).</w:t>
      </w:r>
    </w:p>
    <w:p w14:paraId="2C429DA4" w14:textId="77777777" w:rsidR="003E7C90" w:rsidRPr="009310A4" w:rsidRDefault="005379D3">
      <w:pPr>
        <w:pStyle w:val="NormalWeb"/>
        <w:spacing w:line="360" w:lineRule="auto"/>
        <w:jc w:val="both"/>
      </w:pPr>
      <w:r>
        <w:t xml:space="preserve">Despite the sector's rapid growth and substantial contribution to global and regional dairy outputs, caprine milk quality and udder health remain highly vulnerable to housing conditions, management practices, and environmental pathogens (Devendra, 2013; Bergonier </w:t>
      </w:r>
      <w:r>
        <w:rPr>
          <w:i/>
          <w:iCs/>
        </w:rPr>
        <w:t>et al</w:t>
      </w:r>
      <w:r>
        <w:t>., 2003). Intramammary infections and poor milking hygiene directly impact milk safety, shelf life, and yield, triggering inflammatory responses characteri</w:t>
      </w:r>
      <w:r>
        <w:rPr>
          <w:highlight w:val="yellow"/>
        </w:rPr>
        <w:t>s</w:t>
      </w:r>
      <w:r>
        <w:t xml:space="preserve">ed by elevated Somatic Cell Counts (SCC) (Devendra, 2013; Raynal-Ljutovac </w:t>
      </w:r>
      <w:r>
        <w:rPr>
          <w:i/>
          <w:iCs/>
        </w:rPr>
        <w:t>et al</w:t>
      </w:r>
      <w:r>
        <w:t xml:space="preserve">., 2007). High SCC levels serve as the standard biomarker and primary diagnostic indicator of subclinical mastitis and compromised milk quality (Devendra, 2013; Raynal-Ljutovac </w:t>
      </w:r>
      <w:r>
        <w:rPr>
          <w:i/>
          <w:iCs/>
        </w:rPr>
        <w:t>et al</w:t>
      </w:r>
      <w:r>
        <w:t xml:space="preserve">., 2007). Variations in housing and management systems—such as semi-intensive farm housing versus traditional free-grazing field conditions—greatly influence animal exposure to environmental pathogens, physical activity, baseline immunity, and overall milking sanitation (Devendra, 2013; Bergonier et al., 2003; Zobel et al., 2019). Therefore, evaluating how </w:t>
      </w:r>
      <w:r>
        <w:lastRenderedPageBreak/>
        <w:t>locali</w:t>
      </w:r>
      <w:r>
        <w:rPr>
          <w:highlight w:val="yellow"/>
        </w:rPr>
        <w:t>s</w:t>
      </w:r>
      <w:r>
        <w:t>ed milking hygiene routines and rearing environments affect somatic cell dynamics is critical to optimi</w:t>
      </w:r>
      <w:r>
        <w:rPr>
          <w:highlight w:val="yellow"/>
        </w:rPr>
        <w:t>s</w:t>
      </w:r>
      <w:r>
        <w:t xml:space="preserve">ing caprine milk production and safeguarding smallholder dairy economics (Devendra, 2013; Bergonier </w:t>
      </w:r>
      <w:r>
        <w:rPr>
          <w:i/>
          <w:iCs/>
        </w:rPr>
        <w:t>et al</w:t>
      </w:r>
      <w:r>
        <w:t>., 2003)</w:t>
      </w:r>
      <w:r>
        <w:rPr>
          <w:highlight w:val="yellow"/>
        </w:rPr>
        <w:t>.</w:t>
      </w:r>
      <w:r w:rsidR="009310A4">
        <w:t xml:space="preserve"> </w:t>
      </w:r>
      <w:r w:rsidRPr="009310A4">
        <w:rPr>
          <w:bCs/>
          <w:highlight w:val="yellow"/>
        </w:rPr>
        <w:t>Recent evidence indicates that interpretation of caprine SCC should consider both intramammary infection and non-infectious factors such as parity, season, lactation stage, and milk yield (Smistad et al., 2024). Pathogen-focused investigations likewise support the combined use of SCC and microbiological findings when evaluating udder health in goats (Gancárová et al., 2025). In addition, teat-disinfection approaches have been evaluated in goats with subclinical mastitis using SCC and standard plate count as response indicators, reinforcing the practical relevance of milking hygiene to udder-health assessment (Singh et al., 2024). Hand-milking research in dairy cattle has also shown that pre-milking handling conditions can alter bacterial counts in raw milk, providing supporting evidence for careful hygiene during manual milking (Kumari et al., 2025).</w:t>
      </w:r>
    </w:p>
    <w:p w14:paraId="12A65FA4" w14:textId="77777777" w:rsidR="003E7C90" w:rsidRPr="009310A4" w:rsidRDefault="00000000">
      <w:pPr>
        <w:pStyle w:val="NormalWeb"/>
        <w:spacing w:line="360" w:lineRule="auto"/>
        <w:jc w:val="both"/>
        <w:rPr>
          <w:bCs/>
        </w:rPr>
      </w:pPr>
      <w:r w:rsidRPr="009310A4">
        <w:rPr>
          <w:bCs/>
          <w:highlight w:val="yellow"/>
        </w:rPr>
        <w:t>Research gap: However, within the context addressed by the present study, direct comparative evidence on how routine milking hygiene practices correspond with SCC under semi-intensive farm and free-grazing field conditions is limited. Specifically, the combined relevance of udder washing, utensil sanitation, handler cleanliness, and shed drainage to SCC differences between these management settings requires focused evaluation.</w:t>
      </w:r>
    </w:p>
    <w:p w14:paraId="13AFDFDC" w14:textId="77777777" w:rsidR="003E7C90" w:rsidRPr="009310A4" w:rsidRDefault="00000000">
      <w:pPr>
        <w:pStyle w:val="NormalWeb"/>
        <w:spacing w:line="360" w:lineRule="auto"/>
        <w:jc w:val="both"/>
        <w:rPr>
          <w:bCs/>
        </w:rPr>
      </w:pPr>
      <w:r w:rsidRPr="009310A4">
        <w:rPr>
          <w:bCs/>
          <w:highlight w:val="yellow"/>
        </w:rPr>
        <w:t>Objective: The objective of the present study was to assess milking hygiene practices and compare somatic cell counts in goats maintained under semi-intensive farm and free-grazing field conditions.</w:t>
      </w:r>
    </w:p>
    <w:p w14:paraId="5D2BC71F" w14:textId="77777777" w:rsidR="004E0936" w:rsidRDefault="0094784A" w:rsidP="002F4C1B">
      <w:pPr>
        <w:spacing w:before="100" w:beforeAutospacing="1" w:after="100" w:afterAutospacing="1"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 Material</w:t>
      </w:r>
      <w:r>
        <w:rPr>
          <w:rFonts w:ascii="Times New Roman" w:hAnsi="Times New Roman" w:cs="Times New Roman"/>
          <w:b/>
          <w:bCs/>
          <w:color w:val="000000" w:themeColor="text1"/>
          <w:sz w:val="24"/>
          <w:szCs w:val="24"/>
          <w:highlight w:val="yellow"/>
        </w:rPr>
        <w:t>s and</w:t>
      </w:r>
      <w:r>
        <w:rPr>
          <w:rFonts w:ascii="Times New Roman" w:hAnsi="Times New Roman" w:cs="Times New Roman"/>
          <w:b/>
          <w:bCs/>
          <w:color w:val="000000" w:themeColor="text1"/>
          <w:sz w:val="24"/>
          <w:szCs w:val="24"/>
        </w:rPr>
        <w:t xml:space="preserve"> Method</w:t>
      </w:r>
      <w:r>
        <w:rPr>
          <w:rFonts w:ascii="Times New Roman" w:hAnsi="Times New Roman" w:cs="Times New Roman"/>
          <w:b/>
          <w:bCs/>
          <w:color w:val="000000" w:themeColor="text1"/>
          <w:sz w:val="24"/>
          <w:szCs w:val="24"/>
          <w:highlight w:val="yellow"/>
        </w:rPr>
        <w:t>s</w:t>
      </w:r>
    </w:p>
    <w:p w14:paraId="7382E60C" w14:textId="77777777" w:rsidR="00116CA1" w:rsidRPr="0094784A" w:rsidRDefault="00116CA1" w:rsidP="0094784A">
      <w:pPr>
        <w:pStyle w:val="NoSpacing"/>
        <w:rPr>
          <w:rFonts w:ascii="Times New Roman" w:hAnsi="Times New Roman" w:cs="Times New Roman"/>
          <w:b/>
          <w:bCs/>
          <w:sz w:val="24"/>
          <w:szCs w:val="22"/>
        </w:rPr>
      </w:pPr>
      <w:r w:rsidRPr="0094784A">
        <w:rPr>
          <w:rFonts w:ascii="Times New Roman" w:hAnsi="Times New Roman" w:cs="Times New Roman"/>
          <w:b/>
          <w:bCs/>
          <w:sz w:val="24"/>
          <w:szCs w:val="22"/>
        </w:rPr>
        <w:t>Study Location</w:t>
      </w:r>
    </w:p>
    <w:p w14:paraId="7FC048E0" w14:textId="77777777" w:rsidR="00116CA1" w:rsidRPr="007B61C1" w:rsidRDefault="00116CA1" w:rsidP="007B61C1">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present study was conducted at</w:t>
      </w:r>
      <w:r>
        <w:rPr>
          <w:rFonts w:ascii="Times New Roman" w:hAnsi="Times New Roman" w:cs="Times New Roman"/>
          <w:color w:val="000000" w:themeColor="text1"/>
          <w:sz w:val="24"/>
          <w:szCs w:val="24"/>
          <w:highlight w:val="yellow"/>
        </w:rPr>
        <w:t xml:space="preserve"> the</w:t>
      </w:r>
      <w:r>
        <w:rPr>
          <w:rFonts w:ascii="Times New Roman" w:hAnsi="Times New Roman" w:cs="Times New Roman"/>
          <w:color w:val="000000" w:themeColor="text1"/>
          <w:sz w:val="24"/>
          <w:szCs w:val="24"/>
        </w:rPr>
        <w:t xml:space="preserve"> ICAR-National Dairy Research Institute</w:t>
      </w:r>
      <w:r>
        <w:rPr>
          <w:rFonts w:ascii="Times New Roman" w:hAnsi="Times New Roman" w:cs="Times New Roman"/>
          <w:color w:val="000000" w:themeColor="text1"/>
          <w:sz w:val="24"/>
          <w:szCs w:val="24"/>
          <w:highlight w:val="yellow"/>
        </w:rPr>
        <w:t xml:space="preserve"> (NDRI)</w:t>
      </w:r>
      <w:r>
        <w:rPr>
          <w:rFonts w:ascii="Times New Roman" w:hAnsi="Times New Roman" w:cs="Times New Roman"/>
          <w:color w:val="000000" w:themeColor="text1"/>
          <w:sz w:val="24"/>
          <w:szCs w:val="24"/>
        </w:rPr>
        <w:t>, Karnal; Taraori near Karnal</w:t>
      </w:r>
      <w:r>
        <w:rPr>
          <w:rFonts w:ascii="Times New Roman" w:hAnsi="Times New Roman" w:cs="Times New Roman"/>
          <w:color w:val="000000" w:themeColor="text1"/>
          <w:sz w:val="24"/>
          <w:szCs w:val="24"/>
          <w:highlight w:val="yellow"/>
        </w:rPr>
        <w:t>,</w:t>
      </w:r>
      <w:r>
        <w:rPr>
          <w:rFonts w:ascii="Times New Roman" w:hAnsi="Times New Roman" w:cs="Times New Roman"/>
          <w:color w:val="000000" w:themeColor="text1"/>
          <w:sz w:val="24"/>
          <w:szCs w:val="24"/>
        </w:rPr>
        <w:t xml:space="preserve"> Haryana</w:t>
      </w:r>
      <w:r>
        <w:rPr>
          <w:rFonts w:ascii="Times New Roman" w:hAnsi="Times New Roman" w:cs="Times New Roman"/>
          <w:color w:val="000000" w:themeColor="text1"/>
          <w:sz w:val="24"/>
          <w:szCs w:val="24"/>
          <w:highlight w:val="yellow"/>
        </w:rPr>
        <w:t>;</w:t>
      </w:r>
      <w:r>
        <w:rPr>
          <w:rFonts w:ascii="Times New Roman" w:hAnsi="Times New Roman" w:cs="Times New Roman"/>
          <w:color w:val="000000" w:themeColor="text1"/>
          <w:sz w:val="24"/>
          <w:szCs w:val="24"/>
        </w:rPr>
        <w:t xml:space="preserve"> and Uchana near Karnal</w:t>
      </w:r>
      <w:r>
        <w:rPr>
          <w:rFonts w:ascii="Times New Roman" w:hAnsi="Times New Roman" w:cs="Times New Roman"/>
          <w:color w:val="000000" w:themeColor="text1"/>
          <w:sz w:val="24"/>
          <w:szCs w:val="24"/>
          <w:highlight w:val="yellow"/>
        </w:rPr>
        <w:t>,</w:t>
      </w:r>
      <w:r>
        <w:rPr>
          <w:rFonts w:ascii="Times New Roman" w:hAnsi="Times New Roman" w:cs="Times New Roman"/>
          <w:color w:val="000000" w:themeColor="text1"/>
          <w:sz w:val="24"/>
          <w:szCs w:val="24"/>
        </w:rPr>
        <w:t xml:space="preserve"> Haryana. The study on Murrah buffaloes was conducted at </w:t>
      </w:r>
      <w:r>
        <w:rPr>
          <w:rFonts w:ascii="Times New Roman" w:hAnsi="Times New Roman" w:cs="Times New Roman"/>
          <w:color w:val="000000" w:themeColor="text1"/>
          <w:sz w:val="24"/>
          <w:szCs w:val="24"/>
          <w:highlight w:val="yellow"/>
        </w:rPr>
        <w:t xml:space="preserve">the </w:t>
      </w:r>
      <w:r>
        <w:rPr>
          <w:rFonts w:ascii="Times New Roman" w:hAnsi="Times New Roman" w:cs="Times New Roman"/>
          <w:color w:val="000000" w:themeColor="text1"/>
          <w:sz w:val="24"/>
          <w:szCs w:val="24"/>
        </w:rPr>
        <w:t>NDRI dairy farm and adjoining villages (Taraori</w:t>
      </w:r>
      <w:r>
        <w:rPr>
          <w:rFonts w:ascii="Times New Roman" w:hAnsi="Times New Roman" w:cs="Times New Roman"/>
          <w:color w:val="000000" w:themeColor="text1"/>
          <w:sz w:val="24"/>
          <w:szCs w:val="24"/>
          <w:highlight w:val="yellow"/>
        </w:rPr>
        <w:t xml:space="preserve"> and</w:t>
      </w:r>
      <w:r>
        <w:rPr>
          <w:rFonts w:ascii="Times New Roman" w:hAnsi="Times New Roman" w:cs="Times New Roman"/>
          <w:color w:val="000000" w:themeColor="text1"/>
          <w:sz w:val="24"/>
          <w:szCs w:val="24"/>
        </w:rPr>
        <w:t xml:space="preserve"> Uchana) </w:t>
      </w:r>
      <w:r>
        <w:rPr>
          <w:rFonts w:ascii="Times New Roman" w:hAnsi="Times New Roman" w:cs="Times New Roman"/>
          <w:color w:val="000000" w:themeColor="text1"/>
          <w:sz w:val="24"/>
          <w:szCs w:val="24"/>
          <w:highlight w:val="yellow"/>
        </w:rPr>
        <w:t>in</w:t>
      </w:r>
      <w:r>
        <w:rPr>
          <w:rFonts w:ascii="Times New Roman" w:hAnsi="Times New Roman" w:cs="Times New Roman"/>
          <w:color w:val="000000" w:themeColor="text1"/>
          <w:sz w:val="24"/>
          <w:szCs w:val="24"/>
        </w:rPr>
        <w:t xml:space="preserve"> Karnal</w:t>
      </w:r>
      <w:r>
        <w:rPr>
          <w:rFonts w:ascii="Times New Roman" w:hAnsi="Times New Roman" w:cs="Times New Roman"/>
          <w:color w:val="000000" w:themeColor="text1"/>
          <w:sz w:val="24"/>
          <w:szCs w:val="24"/>
          <w:highlight w:val="yellow"/>
        </w:rPr>
        <w:t>,</w:t>
      </w:r>
      <w:r>
        <w:rPr>
          <w:rFonts w:ascii="Times New Roman" w:hAnsi="Times New Roman" w:cs="Times New Roman"/>
          <w:color w:val="000000" w:themeColor="text1"/>
          <w:sz w:val="24"/>
          <w:szCs w:val="24"/>
        </w:rPr>
        <w:t xml:space="preserve"> Haryana. NDRI</w:t>
      </w:r>
      <w:r>
        <w:rPr>
          <w:rFonts w:ascii="Times New Roman" w:hAnsi="Times New Roman" w:cs="Times New Roman"/>
          <w:color w:val="000000" w:themeColor="text1"/>
          <w:sz w:val="24"/>
          <w:szCs w:val="24"/>
          <w:highlight w:val="yellow"/>
        </w:rPr>
        <w:t xml:space="preserve"> is</w:t>
      </w:r>
      <w:r>
        <w:rPr>
          <w:rFonts w:ascii="Times New Roman" w:hAnsi="Times New Roman" w:cs="Times New Roman"/>
          <w:color w:val="000000" w:themeColor="text1"/>
          <w:sz w:val="24"/>
          <w:szCs w:val="24"/>
        </w:rPr>
        <w:t xml:space="preserve"> located on the northern outskirts of Karnal city in Haryana. The geographical </w:t>
      </w:r>
      <w:r>
        <w:rPr>
          <w:rFonts w:ascii="Times New Roman" w:hAnsi="Times New Roman" w:cs="Times New Roman"/>
          <w:color w:val="000000" w:themeColor="text1"/>
          <w:sz w:val="24"/>
          <w:szCs w:val="24"/>
          <w:highlight w:val="yellow"/>
        </w:rPr>
        <w:t>coordin</w:t>
      </w:r>
      <w:r>
        <w:rPr>
          <w:rFonts w:ascii="Times New Roman" w:hAnsi="Times New Roman" w:cs="Times New Roman"/>
          <w:color w:val="000000" w:themeColor="text1"/>
          <w:sz w:val="24"/>
          <w:szCs w:val="24"/>
        </w:rPr>
        <w:t>ates of Karnal city are 29.43</w:t>
      </w:r>
      <w:r>
        <w:rPr>
          <w:rFonts w:ascii="Times New Roman" w:hAnsi="Times New Roman" w:cs="Times New Roman"/>
          <w:color w:val="000000" w:themeColor="text1"/>
          <w:sz w:val="24"/>
          <w:szCs w:val="24"/>
          <w:highlight w:val="yellow"/>
        </w:rPr>
        <w:t>°</w:t>
      </w:r>
      <w:r>
        <w:rPr>
          <w:rFonts w:ascii="Times New Roman" w:hAnsi="Times New Roman" w:cs="Times New Roman"/>
          <w:color w:val="000000" w:themeColor="text1"/>
          <w:sz w:val="24"/>
          <w:szCs w:val="24"/>
        </w:rPr>
        <w:t xml:space="preserve"> N latitude</w:t>
      </w:r>
      <w:r>
        <w:rPr>
          <w:rFonts w:ascii="Times New Roman" w:hAnsi="Times New Roman" w:cs="Times New Roman"/>
          <w:color w:val="000000" w:themeColor="text1"/>
          <w:sz w:val="24"/>
          <w:szCs w:val="24"/>
          <w:highlight w:val="yellow"/>
        </w:rPr>
        <w:t xml:space="preserve"> and</w:t>
      </w:r>
      <w:r>
        <w:rPr>
          <w:rFonts w:ascii="Times New Roman" w:hAnsi="Times New Roman" w:cs="Times New Roman"/>
          <w:color w:val="000000" w:themeColor="text1"/>
          <w:sz w:val="24"/>
          <w:szCs w:val="24"/>
        </w:rPr>
        <w:t xml:space="preserve"> 77.2</w:t>
      </w:r>
      <w:r>
        <w:rPr>
          <w:rFonts w:ascii="Times New Roman" w:hAnsi="Times New Roman" w:cs="Times New Roman"/>
          <w:color w:val="000000" w:themeColor="text1"/>
          <w:sz w:val="24"/>
          <w:szCs w:val="24"/>
          <w:highlight w:val="yellow"/>
        </w:rPr>
        <w:t>°</w:t>
      </w:r>
      <w:r>
        <w:rPr>
          <w:rFonts w:ascii="Times New Roman" w:hAnsi="Times New Roman" w:cs="Times New Roman"/>
          <w:color w:val="000000" w:themeColor="text1"/>
          <w:sz w:val="24"/>
          <w:szCs w:val="24"/>
        </w:rPr>
        <w:t xml:space="preserve"> E longitude</w:t>
      </w:r>
      <w:r>
        <w:rPr>
          <w:rFonts w:ascii="Times New Roman" w:hAnsi="Times New Roman" w:cs="Times New Roman"/>
          <w:color w:val="000000" w:themeColor="text1"/>
          <w:sz w:val="24"/>
          <w:szCs w:val="24"/>
          <w:highlight w:val="yellow"/>
        </w:rPr>
        <w:t>, at</w:t>
      </w:r>
      <w:r>
        <w:rPr>
          <w:rFonts w:ascii="Times New Roman" w:hAnsi="Times New Roman" w:cs="Times New Roman"/>
          <w:color w:val="000000" w:themeColor="text1"/>
          <w:sz w:val="24"/>
          <w:szCs w:val="24"/>
        </w:rPr>
        <w:t xml:space="preserve"> 250 m above m</w:t>
      </w:r>
      <w:r>
        <w:rPr>
          <w:rFonts w:ascii="Times New Roman" w:hAnsi="Times New Roman" w:cs="Times New Roman"/>
          <w:color w:val="000000" w:themeColor="text1"/>
          <w:sz w:val="24"/>
          <w:szCs w:val="24"/>
          <w:highlight w:val="yellow"/>
        </w:rPr>
        <w:t xml:space="preserve">ean </w:t>
      </w:r>
      <w:r>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highlight w:val="yellow"/>
        </w:rPr>
        <w:t xml:space="preserve">ea </w:t>
      </w:r>
      <w:r>
        <w:rPr>
          <w:rFonts w:ascii="Times New Roman" w:hAnsi="Times New Roman" w:cs="Times New Roman"/>
          <w:color w:val="000000" w:themeColor="text1"/>
          <w:sz w:val="24"/>
          <w:szCs w:val="24"/>
        </w:rPr>
        <w:lastRenderedPageBreak/>
        <w:t>l</w:t>
      </w:r>
      <w:r>
        <w:rPr>
          <w:rFonts w:ascii="Times New Roman" w:hAnsi="Times New Roman" w:cs="Times New Roman"/>
          <w:color w:val="000000" w:themeColor="text1"/>
          <w:sz w:val="24"/>
          <w:szCs w:val="24"/>
          <w:highlight w:val="yellow"/>
        </w:rPr>
        <w:t>evel (MSL)</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highlight w:val="yellow"/>
        </w:rPr>
        <w:t>The m</w:t>
      </w:r>
      <w:r>
        <w:rPr>
          <w:rFonts w:ascii="Times New Roman" w:hAnsi="Times New Roman" w:cs="Times New Roman"/>
          <w:color w:val="000000" w:themeColor="text1"/>
          <w:sz w:val="24"/>
          <w:szCs w:val="24"/>
        </w:rPr>
        <w:t>inimum and maximum ambient temperature</w:t>
      </w:r>
      <w:r>
        <w:rPr>
          <w:rFonts w:ascii="Times New Roman" w:hAnsi="Times New Roman" w:cs="Times New Roman"/>
          <w:color w:val="000000" w:themeColor="text1"/>
          <w:sz w:val="24"/>
          <w:szCs w:val="24"/>
          <w:highlight w:val="yellow"/>
        </w:rPr>
        <w:t>s</w:t>
      </w:r>
      <w:r>
        <w:rPr>
          <w:rFonts w:ascii="Times New Roman" w:hAnsi="Times New Roman" w:cs="Times New Roman"/>
          <w:color w:val="000000" w:themeColor="text1"/>
          <w:sz w:val="24"/>
          <w:szCs w:val="24"/>
        </w:rPr>
        <w:t xml:space="preserve"> range from near freezing in winter to 45</w:t>
      </w:r>
      <w:r>
        <w:rPr>
          <w:rFonts w:ascii="Times New Roman" w:hAnsi="Times New Roman" w:cs="Times New Roman"/>
          <w:color w:val="000000" w:themeColor="text1"/>
          <w:sz w:val="24"/>
          <w:szCs w:val="24"/>
          <w:highlight w:val="yellow"/>
        </w:rPr>
        <w:t xml:space="preserve"> </w:t>
      </w:r>
      <w:r>
        <w:rPr>
          <w:rFonts w:ascii="Times New Roman" w:hAnsi="Times New Roman" w:cs="Times New Roman"/>
          <w:color w:val="000000" w:themeColor="text1"/>
          <w:sz w:val="24"/>
          <w:szCs w:val="24"/>
        </w:rPr>
        <w:t>°C in summer. The annual rainfall is about 700 mm.</w:t>
      </w:r>
    </w:p>
    <w:p w14:paraId="0EB8B695" w14:textId="77777777" w:rsidR="007B61C1" w:rsidRPr="007B61C1" w:rsidRDefault="007B61C1" w:rsidP="007B61C1">
      <w:pPr>
        <w:pStyle w:val="NormalWeb"/>
        <w:spacing w:line="360" w:lineRule="auto"/>
        <w:jc w:val="both"/>
        <w:rPr>
          <w:color w:val="000000" w:themeColor="text1"/>
        </w:rPr>
      </w:pPr>
      <w:r>
        <w:rPr>
          <w:color w:val="000000" w:themeColor="text1"/>
        </w:rPr>
        <w:t>Goats were evaluated and categori</w:t>
      </w:r>
      <w:r>
        <w:rPr>
          <w:color w:val="000000" w:themeColor="text1"/>
          <w:highlight w:val="yellow"/>
        </w:rPr>
        <w:t>s</w:t>
      </w:r>
      <w:r>
        <w:rPr>
          <w:color w:val="000000" w:themeColor="text1"/>
        </w:rPr>
        <w:t>ed into two distinct management groups (</w:t>
      </w:r>
      <w:r>
        <w:rPr>
          <w:rStyle w:val="math-inline"/>
          <w:rFonts w:eastAsia="Calibri"/>
          <w:color w:val="000000" w:themeColor="text1"/>
        </w:rPr>
        <w:t>n = 56</w:t>
      </w:r>
      <w:r>
        <w:rPr>
          <w:color w:val="000000" w:themeColor="text1"/>
        </w:rPr>
        <w:t xml:space="preserve"> per group): Farm Conditions (</w:t>
      </w:r>
      <w:r>
        <w:rPr>
          <w:rStyle w:val="math-inline"/>
          <w:rFonts w:eastAsia="Calibri"/>
          <w:color w:val="000000" w:themeColor="text1"/>
        </w:rPr>
        <w:t>n = 56</w:t>
      </w:r>
      <w:r>
        <w:rPr>
          <w:color w:val="000000" w:themeColor="text1"/>
        </w:rPr>
        <w:t>)</w:t>
      </w:r>
      <w:r>
        <w:rPr>
          <w:color w:val="000000" w:themeColor="text1"/>
          <w:highlight w:val="yellow"/>
        </w:rPr>
        <w:t xml:space="preserve"> </w:t>
      </w:r>
      <w:r>
        <w:rPr>
          <w:color w:val="000000" w:themeColor="text1"/>
        </w:rPr>
        <w:t xml:space="preserve">- </w:t>
      </w:r>
      <w:r>
        <w:rPr>
          <w:color w:val="000000" w:themeColor="text1"/>
          <w:highlight w:val="yellow"/>
        </w:rPr>
        <w:t>g</w:t>
      </w:r>
      <w:r>
        <w:rPr>
          <w:color w:val="000000" w:themeColor="text1"/>
        </w:rPr>
        <w:t>oats reared under semi-intensive farm conditions at NDRI</w:t>
      </w:r>
      <w:r>
        <w:rPr>
          <w:color w:val="000000" w:themeColor="text1"/>
          <w:highlight w:val="yellow"/>
        </w:rPr>
        <w:t xml:space="preserve"> and</w:t>
      </w:r>
      <w:r>
        <w:rPr>
          <w:color w:val="000000" w:themeColor="text1"/>
        </w:rPr>
        <w:t xml:space="preserve"> maintained under standardi</w:t>
      </w:r>
      <w:r>
        <w:rPr>
          <w:color w:val="000000" w:themeColor="text1"/>
          <w:highlight w:val="yellow"/>
        </w:rPr>
        <w:t>s</w:t>
      </w:r>
      <w:r>
        <w:rPr>
          <w:color w:val="000000" w:themeColor="text1"/>
        </w:rPr>
        <w:t>ed feeding, housing, and machine/hand</w:t>
      </w:r>
      <w:r>
        <w:rPr>
          <w:color w:val="000000" w:themeColor="text1"/>
          <w:highlight w:val="yellow"/>
        </w:rPr>
        <w:t>-</w:t>
      </w:r>
      <w:r>
        <w:rPr>
          <w:color w:val="000000" w:themeColor="text1"/>
        </w:rPr>
        <w:t>milking routines.</w:t>
      </w:r>
    </w:p>
    <w:p w14:paraId="5F4139AF" w14:textId="77777777" w:rsidR="00116CA1" w:rsidRPr="007B61C1" w:rsidRDefault="00116CA1" w:rsidP="007B61C1">
      <w:pPr>
        <w:pStyle w:val="NormalWeb"/>
        <w:spacing w:line="360" w:lineRule="auto"/>
        <w:jc w:val="both"/>
        <w:rPr>
          <w:color w:val="000000" w:themeColor="text1"/>
        </w:rPr>
      </w:pPr>
      <w:r>
        <w:rPr>
          <w:color w:val="000000" w:themeColor="text1"/>
        </w:rPr>
        <w:t>Field Conditions (</w:t>
      </w:r>
      <w:r>
        <w:rPr>
          <w:rStyle w:val="math-inline"/>
          <w:rFonts w:eastAsia="Calibri"/>
          <w:color w:val="000000" w:themeColor="text1"/>
        </w:rPr>
        <w:t>n = 56</w:t>
      </w:r>
      <w:r>
        <w:rPr>
          <w:color w:val="000000" w:themeColor="text1"/>
        </w:rPr>
        <w:t>)</w:t>
      </w:r>
      <w:r>
        <w:rPr>
          <w:color w:val="000000" w:themeColor="text1"/>
          <w:highlight w:val="yellow"/>
        </w:rPr>
        <w:t xml:space="preserve"> </w:t>
      </w:r>
      <w:r>
        <w:rPr>
          <w:color w:val="000000" w:themeColor="text1"/>
        </w:rPr>
        <w:t xml:space="preserve">- </w:t>
      </w:r>
      <w:r>
        <w:rPr>
          <w:color w:val="000000" w:themeColor="text1"/>
          <w:highlight w:val="yellow"/>
        </w:rPr>
        <w:t>g</w:t>
      </w:r>
      <w:r>
        <w:rPr>
          <w:color w:val="000000" w:themeColor="text1"/>
        </w:rPr>
        <w:t>oats reared under conventional free-grazing field systems in nearby rural villages.</w:t>
      </w:r>
    </w:p>
    <w:p w14:paraId="644EDA52" w14:textId="77777777" w:rsidR="00116CA1" w:rsidRPr="007B61C1" w:rsidRDefault="00116CA1" w:rsidP="007B61C1">
      <w:pPr>
        <w:pStyle w:val="Heading4"/>
        <w:spacing w:line="360" w:lineRule="auto"/>
        <w:jc w:val="both"/>
        <w:rPr>
          <w:rFonts w:ascii="Times New Roman" w:hAnsi="Times New Roman" w:cs="Times New Roman"/>
          <w:i w:val="0"/>
          <w:iCs w:val="0"/>
          <w:color w:val="000000" w:themeColor="text1"/>
          <w:sz w:val="24"/>
          <w:szCs w:val="24"/>
        </w:rPr>
      </w:pPr>
      <w:r w:rsidRPr="007B61C1">
        <w:rPr>
          <w:rFonts w:ascii="Times New Roman" w:hAnsi="Times New Roman" w:cs="Times New Roman"/>
          <w:i w:val="0"/>
          <w:iCs w:val="0"/>
          <w:color w:val="000000" w:themeColor="text1"/>
          <w:sz w:val="24"/>
          <w:szCs w:val="24"/>
        </w:rPr>
        <w:t>Field Survey and Hygiene Data Collection</w:t>
      </w:r>
    </w:p>
    <w:p w14:paraId="401A5D45" w14:textId="77777777" w:rsidR="00116CA1" w:rsidRPr="007B61C1" w:rsidRDefault="00116CA1" w:rsidP="007B61C1">
      <w:pPr>
        <w:pStyle w:val="NormalWeb"/>
        <w:spacing w:line="360" w:lineRule="auto"/>
        <w:jc w:val="both"/>
        <w:rPr>
          <w:color w:val="000000" w:themeColor="text1"/>
        </w:rPr>
      </w:pPr>
      <w:r>
        <w:rPr>
          <w:color w:val="000000" w:themeColor="text1"/>
        </w:rPr>
        <w:t>Field-reared goat</w:t>
      </w:r>
      <w:r>
        <w:rPr>
          <w:color w:val="000000" w:themeColor="text1"/>
          <w:highlight w:val="yellow"/>
        </w:rPr>
        <w:t>s</w:t>
      </w:r>
      <w:r>
        <w:rPr>
          <w:color w:val="000000" w:themeColor="text1"/>
        </w:rPr>
        <w:t xml:space="preserve"> were housed under conventional or loose housing systems, stall-fed or grazed on limited green fodder, an</w:t>
      </w:r>
      <w:r>
        <w:rPr>
          <w:color w:val="000000" w:themeColor="text1"/>
          <w:highlight w:val="yellow"/>
        </w:rPr>
        <w:t>d provide</w:t>
      </w:r>
      <w:r>
        <w:rPr>
          <w:color w:val="000000" w:themeColor="text1"/>
        </w:rPr>
        <w:t>d limited concentrate mixtures. Milking was performed entirely by hand using knuckling or full-hand methods.</w:t>
      </w:r>
    </w:p>
    <w:p w14:paraId="4E7905F8" w14:textId="77777777" w:rsidR="00116CA1" w:rsidRPr="007B61C1" w:rsidRDefault="00116CA1" w:rsidP="007B61C1">
      <w:pPr>
        <w:pStyle w:val="NormalWeb"/>
        <w:spacing w:line="360" w:lineRule="auto"/>
        <w:jc w:val="both"/>
        <w:rPr>
          <w:color w:val="000000" w:themeColor="text1"/>
        </w:rPr>
      </w:pPr>
      <w:r>
        <w:rPr>
          <w:color w:val="000000" w:themeColor="text1"/>
        </w:rPr>
        <w:t>To evaluate field management and hygiene, a structured proforma was administered to animal owners across field units (</w:t>
      </w:r>
      <w:r>
        <w:rPr>
          <w:rStyle w:val="math-inline"/>
          <w:color w:val="000000" w:themeColor="text1"/>
        </w:rPr>
        <w:t>n = 56</w:t>
      </w:r>
      <w:r>
        <w:rPr>
          <w:color w:val="000000" w:themeColor="text1"/>
        </w:rPr>
        <w:t>). The questionnaire recorded key variables</w:t>
      </w:r>
      <w:r>
        <w:rPr>
          <w:color w:val="000000" w:themeColor="text1"/>
          <w:highlight w:val="yellow"/>
        </w:rPr>
        <w:t>,</w:t>
      </w:r>
      <w:r>
        <w:rPr>
          <w:color w:val="000000" w:themeColor="text1"/>
        </w:rPr>
        <w:t xml:space="preserve"> including </w:t>
      </w:r>
      <w:r>
        <w:rPr>
          <w:color w:val="000000" w:themeColor="text1"/>
          <w:highlight w:val="yellow"/>
        </w:rPr>
        <w:t>w</w:t>
      </w:r>
      <w:r>
        <w:rPr>
          <w:color w:val="000000" w:themeColor="text1"/>
        </w:rPr>
        <w:t>ashing of</w:t>
      </w:r>
      <w:r>
        <w:rPr>
          <w:color w:val="000000" w:themeColor="text1"/>
          <w:highlight w:val="yellow"/>
        </w:rPr>
        <w:t xml:space="preserve"> the</w:t>
      </w:r>
      <w:r>
        <w:rPr>
          <w:color w:val="000000" w:themeColor="text1"/>
        </w:rPr>
        <w:t xml:space="preserve"> udder before milking</w:t>
      </w:r>
      <w:r>
        <w:rPr>
          <w:b/>
          <w:bCs/>
          <w:color w:val="000000" w:themeColor="text1"/>
        </w:rPr>
        <w:t xml:space="preserve">, </w:t>
      </w:r>
      <w:r>
        <w:rPr>
          <w:color w:val="000000" w:themeColor="text1"/>
          <w:highlight w:val="yellow"/>
        </w:rPr>
        <w:t>w</w:t>
      </w:r>
      <w:r>
        <w:rPr>
          <w:color w:val="000000" w:themeColor="text1"/>
        </w:rPr>
        <w:t xml:space="preserve">ashing of utensils, </w:t>
      </w:r>
      <w:r>
        <w:rPr>
          <w:color w:val="000000" w:themeColor="text1"/>
          <w:highlight w:val="yellow"/>
        </w:rPr>
        <w:t>c</w:t>
      </w:r>
      <w:r>
        <w:rPr>
          <w:color w:val="000000" w:themeColor="text1"/>
        </w:rPr>
        <w:t>leanliness of</w:t>
      </w:r>
      <w:r>
        <w:rPr>
          <w:color w:val="000000" w:themeColor="text1"/>
          <w:highlight w:val="yellow"/>
        </w:rPr>
        <w:t xml:space="preserve"> the</w:t>
      </w:r>
      <w:r>
        <w:rPr>
          <w:color w:val="000000" w:themeColor="text1"/>
        </w:rPr>
        <w:t xml:space="preserve"> handler/milker</w:t>
      </w:r>
      <w:r>
        <w:rPr>
          <w:b/>
          <w:bCs/>
          <w:color w:val="000000" w:themeColor="text1"/>
        </w:rPr>
        <w:t xml:space="preserve">, </w:t>
      </w:r>
      <w:r>
        <w:rPr>
          <w:color w:val="000000" w:themeColor="text1"/>
          <w:highlight w:val="yellow"/>
        </w:rPr>
        <w:t>and d</w:t>
      </w:r>
      <w:r>
        <w:rPr>
          <w:color w:val="000000" w:themeColor="text1"/>
        </w:rPr>
        <w:t>rainage system.</w:t>
      </w:r>
    </w:p>
    <w:p w14:paraId="13E6D622" w14:textId="77777777" w:rsidR="00116CA1" w:rsidRPr="00D63FB5" w:rsidRDefault="00116CA1" w:rsidP="00116CA1">
      <w:pPr>
        <w:pStyle w:val="ListParagraph"/>
        <w:tabs>
          <w:tab w:val="left" w:pos="720"/>
        </w:tabs>
        <w:spacing w:before="120" w:after="120" w:line="360" w:lineRule="auto"/>
        <w:ind w:left="0"/>
        <w:contextualSpacing w:val="0"/>
        <w:jc w:val="both"/>
        <w:rPr>
          <w:rFonts w:ascii="Times New Roman" w:hAnsi="Times New Roman" w:cs="Times New Roman"/>
        </w:rPr>
      </w:pPr>
      <w:r w:rsidRPr="00D63FB5">
        <w:rPr>
          <w:rFonts w:ascii="Times New Roman" w:hAnsi="Times New Roman" w:cs="Times New Roman"/>
          <w:b/>
          <w:bCs/>
        </w:rPr>
        <w:t>Collection of milk samples</w:t>
      </w:r>
    </w:p>
    <w:p w14:paraId="19B1A46E" w14:textId="77777777" w:rsidR="00116CA1" w:rsidRPr="00D63FB5" w:rsidRDefault="00116CA1" w:rsidP="00116CA1">
      <w:pPr>
        <w:tabs>
          <w:tab w:val="left" w:pos="720"/>
        </w:tabs>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Milk samples (50 m</w:t>
      </w:r>
      <w:r>
        <w:rPr>
          <w:rFonts w:ascii="Times New Roman" w:hAnsi="Times New Roman" w:cs="Times New Roman"/>
          <w:sz w:val="24"/>
          <w:szCs w:val="24"/>
          <w:highlight w:val="yellow"/>
        </w:rPr>
        <w:t>L</w:t>
      </w:r>
      <w:r>
        <w:rPr>
          <w:rFonts w:ascii="Times New Roman" w:hAnsi="Times New Roman" w:cs="Times New Roman"/>
          <w:sz w:val="24"/>
          <w:szCs w:val="24"/>
        </w:rPr>
        <w:t xml:space="preserve">) were collected from the milk pooled from all quarters. Samples were collected aseptically in </w:t>
      </w:r>
      <w:r>
        <w:rPr>
          <w:rFonts w:ascii="Times New Roman" w:hAnsi="Times New Roman" w:cs="Times New Roman"/>
          <w:sz w:val="24"/>
          <w:szCs w:val="24"/>
          <w:highlight w:val="yellow"/>
        </w:rPr>
        <w:t>50 mL F</w:t>
      </w:r>
      <w:r>
        <w:rPr>
          <w:rFonts w:ascii="Times New Roman" w:hAnsi="Times New Roman" w:cs="Times New Roman"/>
          <w:sz w:val="24"/>
          <w:szCs w:val="24"/>
        </w:rPr>
        <w:t>alcon tubes for the estimation of SCC and other parameters from individual goat</w:t>
      </w:r>
      <w:r>
        <w:rPr>
          <w:rFonts w:ascii="Times New Roman" w:hAnsi="Times New Roman" w:cs="Times New Roman"/>
          <w:sz w:val="24"/>
          <w:szCs w:val="24"/>
          <w:highlight w:val="yellow"/>
        </w:rPr>
        <w:t>s</w:t>
      </w:r>
      <w:r>
        <w:rPr>
          <w:rFonts w:ascii="Times New Roman" w:hAnsi="Times New Roman" w:cs="Times New Roman"/>
          <w:sz w:val="24"/>
          <w:szCs w:val="24"/>
        </w:rPr>
        <w:t>. The samples were brought to the laboratory immediately after collection and analysed.</w:t>
      </w:r>
    </w:p>
    <w:p w14:paraId="4EFDCDC7" w14:textId="77777777" w:rsidR="00116CA1" w:rsidRDefault="00116CA1" w:rsidP="00116CA1">
      <w:pPr>
        <w:spacing w:before="100" w:beforeAutospacing="1" w:after="100" w:afterAutospacing="1" w:line="360" w:lineRule="auto"/>
        <w:jc w:val="both"/>
        <w:rPr>
          <w:rFonts w:ascii="Times New Roman" w:hAnsi="Times New Roman" w:cs="Times New Roman"/>
          <w:b/>
          <w:bCs/>
          <w:sz w:val="24"/>
          <w:szCs w:val="24"/>
        </w:rPr>
      </w:pPr>
      <w:r w:rsidRPr="00D63FB5">
        <w:rPr>
          <w:rFonts w:ascii="Times New Roman" w:hAnsi="Times New Roman" w:cs="Times New Roman"/>
          <w:b/>
          <w:bCs/>
          <w:sz w:val="24"/>
          <w:szCs w:val="24"/>
        </w:rPr>
        <w:t>Test Performed in Laboratory</w:t>
      </w:r>
    </w:p>
    <w:p w14:paraId="79CC1F82" w14:textId="77777777" w:rsidR="00116CA1" w:rsidRPr="00D63FB5" w:rsidRDefault="00116CA1" w:rsidP="00116CA1">
      <w:pPr>
        <w:tabs>
          <w:tab w:val="left" w:pos="720"/>
        </w:tabs>
        <w:spacing w:before="120" w:after="120" w:line="360" w:lineRule="auto"/>
        <w:jc w:val="both"/>
        <w:rPr>
          <w:rFonts w:ascii="Times New Roman" w:hAnsi="Times New Roman" w:cs="Times New Roman"/>
          <w:sz w:val="24"/>
          <w:szCs w:val="24"/>
          <w:lang w:eastAsia="en-IN"/>
        </w:rPr>
      </w:pPr>
      <w:r>
        <w:rPr>
          <w:rFonts w:ascii="Times New Roman" w:hAnsi="Times New Roman" w:cs="Times New Roman"/>
          <w:sz w:val="24"/>
          <w:szCs w:val="24"/>
          <w:lang w:eastAsia="en-IN"/>
        </w:rPr>
        <w:t>Somatic cell count (SCC) of milk sample</w:t>
      </w:r>
      <w:r>
        <w:rPr>
          <w:rFonts w:ascii="Times New Roman" w:hAnsi="Times New Roman" w:cs="Times New Roman"/>
          <w:b/>
          <w:bCs/>
          <w:sz w:val="24"/>
          <w:szCs w:val="24"/>
          <w:highlight w:val="yellow"/>
          <w:lang w:eastAsia="en-IN"/>
        </w:rPr>
        <w:t>s</w:t>
      </w:r>
      <w:r>
        <w:rPr>
          <w:rFonts w:ascii="Times New Roman" w:hAnsi="Times New Roman" w:cs="Times New Roman"/>
          <w:b/>
          <w:bCs/>
          <w:sz w:val="24"/>
          <w:szCs w:val="24"/>
          <w:lang w:eastAsia="en-IN"/>
        </w:rPr>
        <w:t>:</w:t>
      </w:r>
      <w:r>
        <w:rPr>
          <w:rFonts w:ascii="Times New Roman" w:hAnsi="Times New Roman" w:cs="Times New Roman"/>
          <w:sz w:val="24"/>
          <w:szCs w:val="24"/>
          <w:lang w:eastAsia="en-IN"/>
        </w:rPr>
        <w:t xml:space="preserve"> Milk SCC w</w:t>
      </w:r>
      <w:r>
        <w:rPr>
          <w:rFonts w:ascii="Times New Roman" w:hAnsi="Times New Roman" w:cs="Times New Roman"/>
          <w:sz w:val="24"/>
          <w:szCs w:val="24"/>
          <w:highlight w:val="yellow"/>
          <w:lang w:eastAsia="en-IN"/>
        </w:rPr>
        <w:t>as</w:t>
      </w:r>
      <w:r>
        <w:rPr>
          <w:rFonts w:ascii="Times New Roman" w:hAnsi="Times New Roman" w:cs="Times New Roman"/>
          <w:sz w:val="24"/>
          <w:szCs w:val="24"/>
          <w:lang w:eastAsia="en-IN"/>
        </w:rPr>
        <w:t xml:space="preserve"> estimated </w:t>
      </w:r>
      <w:r>
        <w:rPr>
          <w:rFonts w:ascii="Times New Roman" w:hAnsi="Times New Roman" w:cs="Times New Roman"/>
          <w:sz w:val="24"/>
          <w:szCs w:val="24"/>
          <w:highlight w:val="yellow"/>
          <w:lang w:eastAsia="en-IN"/>
        </w:rPr>
        <w:t>using the</w:t>
      </w:r>
      <w:r>
        <w:rPr>
          <w:rFonts w:ascii="Times New Roman" w:hAnsi="Times New Roman" w:cs="Times New Roman"/>
          <w:sz w:val="24"/>
          <w:szCs w:val="24"/>
          <w:lang w:eastAsia="en-IN"/>
        </w:rPr>
        <w:t xml:space="preserve"> Lactoscan SCC </w:t>
      </w:r>
      <w:r>
        <w:rPr>
          <w:rFonts w:ascii="Times New Roman" w:hAnsi="Times New Roman" w:cs="Times New Roman"/>
          <w:sz w:val="24"/>
          <w:szCs w:val="24"/>
          <w:highlight w:val="yellow"/>
          <w:lang w:eastAsia="en-IN"/>
        </w:rPr>
        <w:t>K</w:t>
      </w:r>
      <w:r>
        <w:rPr>
          <w:rFonts w:ascii="Times New Roman" w:hAnsi="Times New Roman" w:cs="Times New Roman"/>
          <w:sz w:val="24"/>
          <w:szCs w:val="24"/>
          <w:lang w:eastAsia="en-IN"/>
        </w:rPr>
        <w:t>it 4 (manufactured by Milkotronic Ltd.)</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consisting of</w:t>
      </w:r>
      <w:r>
        <w:rPr>
          <w:rFonts w:ascii="Times New Roman" w:hAnsi="Times New Roman" w:cs="Times New Roman"/>
          <w:sz w:val="24"/>
          <w:szCs w:val="24"/>
          <w:highlight w:val="yellow"/>
          <w:lang w:eastAsia="en-IN"/>
        </w:rPr>
        <w:t xml:space="preserve"> a</w:t>
      </w:r>
      <w:r>
        <w:rPr>
          <w:rFonts w:ascii="Times New Roman" w:hAnsi="Times New Roman" w:cs="Times New Roman"/>
          <w:sz w:val="24"/>
          <w:szCs w:val="24"/>
          <w:lang w:eastAsia="en-IN"/>
        </w:rPr>
        <w:t xml:space="preserve"> </w:t>
      </w:r>
      <w:r>
        <w:rPr>
          <w:rFonts w:ascii="Times New Roman" w:eastAsia="Times New Roman" w:hAnsi="Times New Roman" w:cs="Times New Roman"/>
          <w:sz w:val="24"/>
          <w:szCs w:val="24"/>
          <w:lang w:eastAsia="en-IN"/>
        </w:rPr>
        <w:t xml:space="preserve">Lactochip, Sofia </w:t>
      </w:r>
      <w:r>
        <w:rPr>
          <w:rFonts w:ascii="Times New Roman" w:eastAsia="Times New Roman" w:hAnsi="Times New Roman" w:cs="Times New Roman"/>
          <w:sz w:val="24"/>
          <w:szCs w:val="24"/>
          <w:highlight w:val="yellow"/>
          <w:lang w:eastAsia="en-IN"/>
        </w:rPr>
        <w:t>G</w:t>
      </w:r>
      <w:r>
        <w:rPr>
          <w:rFonts w:ascii="Times New Roman" w:eastAsia="Times New Roman" w:hAnsi="Times New Roman" w:cs="Times New Roman"/>
          <w:sz w:val="24"/>
          <w:szCs w:val="24"/>
          <w:lang w:eastAsia="en-IN"/>
        </w:rPr>
        <w:t>reen ly</w:t>
      </w:r>
      <w:r>
        <w:rPr>
          <w:rFonts w:ascii="Times New Roman" w:eastAsia="Times New Roman" w:hAnsi="Times New Roman" w:cs="Times New Roman"/>
          <w:sz w:val="24"/>
          <w:szCs w:val="24"/>
          <w:highlight w:val="yellow"/>
          <w:lang w:eastAsia="en-IN"/>
        </w:rPr>
        <w:t>o</w:t>
      </w:r>
      <w:r>
        <w:rPr>
          <w:rFonts w:ascii="Times New Roman" w:eastAsia="Times New Roman" w:hAnsi="Times New Roman" w:cs="Times New Roman"/>
          <w:sz w:val="24"/>
          <w:szCs w:val="24"/>
          <w:lang w:eastAsia="en-IN"/>
        </w:rPr>
        <w:t>ph</w:t>
      </w:r>
      <w:r>
        <w:rPr>
          <w:rFonts w:ascii="Times New Roman" w:eastAsia="Times New Roman" w:hAnsi="Times New Roman" w:cs="Times New Roman"/>
          <w:sz w:val="24"/>
          <w:szCs w:val="24"/>
          <w:highlight w:val="yellow"/>
          <w:lang w:eastAsia="en-IN"/>
        </w:rPr>
        <w:t>i</w:t>
      </w:r>
      <w:r>
        <w:rPr>
          <w:rFonts w:ascii="Times New Roman" w:eastAsia="Times New Roman" w:hAnsi="Times New Roman" w:cs="Times New Roman"/>
          <w:sz w:val="24"/>
          <w:szCs w:val="24"/>
          <w:lang w:eastAsia="en-IN"/>
        </w:rPr>
        <w:t>li</w:t>
      </w:r>
      <w:r>
        <w:rPr>
          <w:rFonts w:ascii="Times New Roman" w:eastAsia="Times New Roman" w:hAnsi="Times New Roman" w:cs="Times New Roman"/>
          <w:sz w:val="24"/>
          <w:szCs w:val="24"/>
          <w:highlight w:val="yellow"/>
          <w:lang w:eastAsia="en-IN"/>
        </w:rPr>
        <w:t>s</w:t>
      </w:r>
      <w:r>
        <w:rPr>
          <w:rFonts w:ascii="Times New Roman" w:eastAsia="Times New Roman" w:hAnsi="Times New Roman" w:cs="Times New Roman"/>
          <w:sz w:val="24"/>
          <w:szCs w:val="24"/>
          <w:lang w:eastAsia="en-IN"/>
        </w:rPr>
        <w:t>ed dye,</w:t>
      </w:r>
      <w:r>
        <w:rPr>
          <w:rFonts w:ascii="Times New Roman" w:eastAsia="Times New Roman" w:hAnsi="Times New Roman" w:cs="Times New Roman"/>
          <w:sz w:val="24"/>
          <w:szCs w:val="24"/>
          <w:highlight w:val="yellow"/>
          <w:lang w:eastAsia="en-IN"/>
        </w:rPr>
        <w:t xml:space="preserve"> and an a</w:t>
      </w:r>
      <w:r>
        <w:rPr>
          <w:rFonts w:ascii="Times New Roman" w:eastAsia="Times New Roman" w:hAnsi="Times New Roman" w:cs="Times New Roman"/>
          <w:sz w:val="24"/>
          <w:szCs w:val="24"/>
          <w:lang w:eastAsia="en-IN"/>
        </w:rPr>
        <w:t>utomatic pipette tip.</w:t>
      </w:r>
    </w:p>
    <w:p w14:paraId="26E1C4BA" w14:textId="77777777" w:rsidR="00116CA1" w:rsidRPr="0094784A" w:rsidRDefault="00116CA1" w:rsidP="0094784A">
      <w:pPr>
        <w:tabs>
          <w:tab w:val="left" w:pos="720"/>
        </w:tabs>
        <w:spacing w:before="120" w:after="120" w:line="360" w:lineRule="auto"/>
        <w:jc w:val="both"/>
        <w:rPr>
          <w:rFonts w:ascii="Times New Roman" w:hAnsi="Times New Roman" w:cs="Times New Roman"/>
          <w:sz w:val="24"/>
          <w:szCs w:val="24"/>
          <w:lang w:eastAsia="en-IN"/>
        </w:rPr>
      </w:pPr>
      <w:r>
        <w:rPr>
          <w:rFonts w:ascii="Times New Roman" w:hAnsi="Times New Roman" w:cs="Times New Roman"/>
          <w:sz w:val="24"/>
          <w:szCs w:val="24"/>
          <w:highlight w:val="yellow"/>
          <w:lang w:eastAsia="en-IN"/>
        </w:rPr>
        <w:lastRenderedPageBreak/>
        <w:t xml:space="preserve">A </w:t>
      </w:r>
      <w:r>
        <w:rPr>
          <w:rFonts w:ascii="Times New Roman" w:hAnsi="Times New Roman" w:cs="Times New Roman"/>
          <w:sz w:val="24"/>
          <w:szCs w:val="24"/>
          <w:lang w:eastAsia="en-IN"/>
        </w:rPr>
        <w:t>100 µ</w:t>
      </w:r>
      <w:r>
        <w:rPr>
          <w:rFonts w:ascii="Times New Roman" w:hAnsi="Times New Roman" w:cs="Times New Roman"/>
          <w:sz w:val="24"/>
          <w:szCs w:val="24"/>
          <w:highlight w:val="yellow"/>
          <w:lang w:eastAsia="en-IN"/>
        </w:rPr>
        <w:t>L</w:t>
      </w:r>
      <w:r>
        <w:rPr>
          <w:rFonts w:ascii="Times New Roman" w:hAnsi="Times New Roman" w:cs="Times New Roman"/>
          <w:sz w:val="24"/>
          <w:szCs w:val="24"/>
          <w:lang w:eastAsia="en-IN"/>
        </w:rPr>
        <w:t xml:space="preserve"> milk sample w</w:t>
      </w:r>
      <w:r>
        <w:rPr>
          <w:rFonts w:ascii="Times New Roman" w:hAnsi="Times New Roman" w:cs="Times New Roman"/>
          <w:sz w:val="24"/>
          <w:szCs w:val="24"/>
          <w:highlight w:val="yellow"/>
          <w:lang w:eastAsia="en-IN"/>
        </w:rPr>
        <w:t>as</w:t>
      </w:r>
      <w:r>
        <w:rPr>
          <w:rFonts w:ascii="Times New Roman" w:hAnsi="Times New Roman" w:cs="Times New Roman"/>
          <w:sz w:val="24"/>
          <w:szCs w:val="24"/>
          <w:lang w:eastAsia="en-IN"/>
        </w:rPr>
        <w:t xml:space="preserve"> taken in an Eppendorf tube (coated with Sofia </w:t>
      </w:r>
      <w:r>
        <w:rPr>
          <w:rFonts w:ascii="Times New Roman" w:hAnsi="Times New Roman" w:cs="Times New Roman"/>
          <w:sz w:val="24"/>
          <w:szCs w:val="24"/>
          <w:highlight w:val="yellow"/>
          <w:lang w:eastAsia="en-IN"/>
        </w:rPr>
        <w:t>G</w:t>
      </w:r>
      <w:r>
        <w:rPr>
          <w:rFonts w:ascii="Times New Roman" w:hAnsi="Times New Roman" w:cs="Times New Roman"/>
          <w:sz w:val="24"/>
          <w:szCs w:val="24"/>
          <w:lang w:eastAsia="en-IN"/>
        </w:rPr>
        <w:t>reen lyophili</w:t>
      </w:r>
      <w:r>
        <w:rPr>
          <w:rFonts w:ascii="Times New Roman" w:hAnsi="Times New Roman" w:cs="Times New Roman"/>
          <w:sz w:val="24"/>
          <w:szCs w:val="24"/>
          <w:highlight w:val="yellow"/>
          <w:lang w:eastAsia="en-IN"/>
        </w:rPr>
        <w:t>s</w:t>
      </w:r>
      <w:r>
        <w:rPr>
          <w:rFonts w:ascii="Times New Roman" w:hAnsi="Times New Roman" w:cs="Times New Roman"/>
          <w:sz w:val="24"/>
          <w:szCs w:val="24"/>
          <w:lang w:eastAsia="en-IN"/>
        </w:rPr>
        <w:t>ed dye) provided with the kit and vortexed 10</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15 times. </w:t>
      </w:r>
      <w:r>
        <w:rPr>
          <w:rFonts w:ascii="Times New Roman" w:hAnsi="Times New Roman" w:cs="Times New Roman"/>
          <w:sz w:val="24"/>
          <w:szCs w:val="24"/>
          <w:highlight w:val="yellow"/>
          <w:lang w:eastAsia="en-IN"/>
        </w:rPr>
        <w:t>It was k</w:t>
      </w:r>
      <w:r>
        <w:rPr>
          <w:rFonts w:ascii="Times New Roman" w:hAnsi="Times New Roman" w:cs="Times New Roman"/>
          <w:sz w:val="24"/>
          <w:szCs w:val="24"/>
          <w:lang w:eastAsia="en-IN"/>
        </w:rPr>
        <w:t xml:space="preserve">ept for 2 minutes and </w:t>
      </w:r>
      <w:r>
        <w:rPr>
          <w:rFonts w:ascii="Times New Roman" w:hAnsi="Times New Roman" w:cs="Times New Roman"/>
          <w:sz w:val="24"/>
          <w:szCs w:val="24"/>
          <w:highlight w:val="yellow"/>
          <w:lang w:eastAsia="en-IN"/>
        </w:rPr>
        <w:t>the</w:t>
      </w:r>
      <w:r>
        <w:rPr>
          <w:rFonts w:ascii="Times New Roman" w:hAnsi="Times New Roman" w:cs="Times New Roman"/>
          <w:sz w:val="24"/>
          <w:szCs w:val="24"/>
          <w:lang w:eastAsia="en-IN"/>
        </w:rPr>
        <w:t xml:space="preserve">n vortexed </w:t>
      </w:r>
      <w:r>
        <w:rPr>
          <w:rFonts w:ascii="Times New Roman" w:hAnsi="Times New Roman" w:cs="Times New Roman"/>
          <w:sz w:val="24"/>
          <w:szCs w:val="24"/>
          <w:highlight w:val="yellow"/>
          <w:lang w:eastAsia="en-IN"/>
        </w:rPr>
        <w:t>again</w:t>
      </w:r>
      <w:r>
        <w:rPr>
          <w:rFonts w:ascii="Times New Roman" w:hAnsi="Times New Roman" w:cs="Times New Roman"/>
          <w:sz w:val="24"/>
          <w:szCs w:val="24"/>
          <w:lang w:eastAsia="en-IN"/>
        </w:rPr>
        <w:t xml:space="preserve"> 10</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15 times. </w:t>
      </w:r>
      <w:r>
        <w:rPr>
          <w:rFonts w:ascii="Times New Roman" w:hAnsi="Times New Roman" w:cs="Times New Roman"/>
          <w:sz w:val="24"/>
          <w:szCs w:val="24"/>
          <w:highlight w:val="yellow"/>
          <w:lang w:eastAsia="en-IN"/>
        </w:rPr>
        <w:t>Therea</w:t>
      </w:r>
      <w:r>
        <w:rPr>
          <w:rFonts w:ascii="Times New Roman" w:hAnsi="Times New Roman" w:cs="Times New Roman"/>
          <w:sz w:val="24"/>
          <w:szCs w:val="24"/>
          <w:lang w:eastAsia="en-IN"/>
        </w:rPr>
        <w:t>fter</w:t>
      </w:r>
      <w:r>
        <w:rPr>
          <w:rFonts w:ascii="Times New Roman" w:hAnsi="Times New Roman" w:cs="Times New Roman"/>
          <w:sz w:val="24"/>
          <w:szCs w:val="24"/>
          <w:highlight w:val="yellow"/>
          <w:lang w:eastAsia="en-IN"/>
        </w:rPr>
        <w:t>,</w:t>
      </w:r>
      <w:r>
        <w:rPr>
          <w:rFonts w:ascii="Times New Roman" w:hAnsi="Times New Roman" w:cs="Times New Roman"/>
          <w:sz w:val="24"/>
          <w:szCs w:val="24"/>
          <w:lang w:eastAsia="en-IN"/>
        </w:rPr>
        <w:t xml:space="preserve"> 8.5 µL of</w:t>
      </w:r>
      <w:r>
        <w:rPr>
          <w:rFonts w:ascii="Times New Roman" w:hAnsi="Times New Roman" w:cs="Times New Roman"/>
          <w:sz w:val="24"/>
          <w:szCs w:val="24"/>
          <w:highlight w:val="yellow"/>
          <w:lang w:eastAsia="en-IN"/>
        </w:rPr>
        <w:t xml:space="preserve"> the</w:t>
      </w:r>
      <w:r>
        <w:rPr>
          <w:rFonts w:ascii="Times New Roman" w:hAnsi="Times New Roman" w:cs="Times New Roman"/>
          <w:sz w:val="24"/>
          <w:szCs w:val="24"/>
          <w:lang w:eastAsia="en-IN"/>
        </w:rPr>
        <w:t xml:space="preserve"> dyed sample was used </w:t>
      </w:r>
      <w:r>
        <w:rPr>
          <w:rFonts w:ascii="Times New Roman" w:hAnsi="Times New Roman" w:cs="Times New Roman"/>
          <w:sz w:val="24"/>
          <w:szCs w:val="24"/>
          <w:highlight w:val="yellow"/>
          <w:lang w:eastAsia="en-IN"/>
        </w:rPr>
        <w:t>t</w:t>
      </w:r>
      <w:r>
        <w:rPr>
          <w:rFonts w:ascii="Times New Roman" w:hAnsi="Times New Roman" w:cs="Times New Roman"/>
          <w:sz w:val="24"/>
          <w:szCs w:val="24"/>
          <w:lang w:eastAsia="en-IN"/>
        </w:rPr>
        <w:t>o charg</w:t>
      </w:r>
      <w:r>
        <w:rPr>
          <w:rFonts w:ascii="Times New Roman" w:hAnsi="Times New Roman" w:cs="Times New Roman"/>
          <w:sz w:val="24"/>
          <w:szCs w:val="24"/>
          <w:highlight w:val="yellow"/>
          <w:lang w:eastAsia="en-IN"/>
        </w:rPr>
        <w:t>e</w:t>
      </w:r>
      <w:r>
        <w:rPr>
          <w:rFonts w:ascii="Times New Roman" w:hAnsi="Times New Roman" w:cs="Times New Roman"/>
          <w:sz w:val="24"/>
          <w:szCs w:val="24"/>
          <w:lang w:eastAsia="en-IN"/>
        </w:rPr>
        <w:t xml:space="preserve"> the </w:t>
      </w:r>
      <w:r>
        <w:rPr>
          <w:rFonts w:ascii="Times New Roman" w:hAnsi="Times New Roman" w:cs="Times New Roman"/>
          <w:sz w:val="24"/>
          <w:szCs w:val="24"/>
          <w:highlight w:val="yellow"/>
          <w:lang w:eastAsia="en-IN"/>
        </w:rPr>
        <w:t>L</w:t>
      </w:r>
      <w:r>
        <w:rPr>
          <w:rFonts w:ascii="Times New Roman" w:hAnsi="Times New Roman" w:cs="Times New Roman"/>
          <w:sz w:val="24"/>
          <w:szCs w:val="24"/>
          <w:lang w:eastAsia="en-IN"/>
        </w:rPr>
        <w:t xml:space="preserve">actochip (cassette). </w:t>
      </w:r>
      <w:r>
        <w:rPr>
          <w:rFonts w:ascii="Times New Roman" w:hAnsi="Times New Roman" w:cs="Times New Roman"/>
          <w:sz w:val="24"/>
          <w:szCs w:val="24"/>
          <w:highlight w:val="yellow"/>
          <w:lang w:eastAsia="en-IN"/>
        </w:rPr>
        <w:t>The s</w:t>
      </w:r>
      <w:r>
        <w:rPr>
          <w:rFonts w:ascii="Times New Roman" w:hAnsi="Times New Roman" w:cs="Times New Roman"/>
          <w:sz w:val="24"/>
          <w:szCs w:val="24"/>
          <w:lang w:eastAsia="en-IN"/>
        </w:rPr>
        <w:t>omatic cell count (SCC) (×10</w:t>
      </w:r>
      <w:r>
        <w:rPr>
          <w:rFonts w:ascii="Times New Roman" w:hAnsi="Times New Roman" w:cs="Times New Roman"/>
          <w:sz w:val="24"/>
          <w:szCs w:val="24"/>
          <w:highlight w:val="yellow"/>
          <w:vertAlign w:val="superscript"/>
          <w:lang w:eastAsia="en-IN"/>
        </w:rPr>
        <w:t>³</w:t>
      </w:r>
      <w:r>
        <w:rPr>
          <w:rFonts w:ascii="Times New Roman" w:hAnsi="Times New Roman" w:cs="Times New Roman"/>
          <w:sz w:val="24"/>
          <w:szCs w:val="24"/>
          <w:lang w:eastAsia="en-IN"/>
        </w:rPr>
        <w:t xml:space="preserve"> cells/m</w:t>
      </w:r>
      <w:r>
        <w:rPr>
          <w:rFonts w:ascii="Times New Roman" w:hAnsi="Times New Roman" w:cs="Times New Roman"/>
          <w:sz w:val="24"/>
          <w:szCs w:val="24"/>
          <w:highlight w:val="yellow"/>
          <w:lang w:eastAsia="en-IN"/>
        </w:rPr>
        <w:t>L</w:t>
      </w:r>
      <w:r>
        <w:rPr>
          <w:rFonts w:ascii="Times New Roman" w:hAnsi="Times New Roman" w:cs="Times New Roman"/>
          <w:sz w:val="24"/>
          <w:szCs w:val="24"/>
          <w:lang w:eastAsia="en-IN"/>
        </w:rPr>
        <w:t xml:space="preserve">) displayed by the somatic cell counter was </w:t>
      </w:r>
      <w:r>
        <w:rPr>
          <w:rFonts w:ascii="Times New Roman" w:hAnsi="Times New Roman" w:cs="Times New Roman"/>
          <w:sz w:val="24"/>
          <w:szCs w:val="24"/>
          <w:highlight w:val="yellow"/>
          <w:lang w:eastAsia="en-IN"/>
        </w:rPr>
        <w:t>rec</w:t>
      </w:r>
      <w:r>
        <w:rPr>
          <w:rFonts w:ascii="Times New Roman" w:hAnsi="Times New Roman" w:cs="Times New Roman"/>
          <w:sz w:val="24"/>
          <w:szCs w:val="24"/>
          <w:lang w:eastAsia="en-IN"/>
        </w:rPr>
        <w:t>o</w:t>
      </w:r>
      <w:r>
        <w:rPr>
          <w:rFonts w:ascii="Times New Roman" w:hAnsi="Times New Roman" w:cs="Times New Roman"/>
          <w:sz w:val="24"/>
          <w:szCs w:val="24"/>
          <w:highlight w:val="yellow"/>
          <w:lang w:eastAsia="en-IN"/>
        </w:rPr>
        <w:t>rd</w:t>
      </w:r>
      <w:r>
        <w:rPr>
          <w:rFonts w:ascii="Times New Roman" w:hAnsi="Times New Roman" w:cs="Times New Roman"/>
          <w:sz w:val="24"/>
          <w:szCs w:val="24"/>
          <w:lang w:eastAsia="en-IN"/>
        </w:rPr>
        <w:t>ed.</w:t>
      </w:r>
    </w:p>
    <w:p w14:paraId="3E44C8D8" w14:textId="77777777" w:rsidR="004E0936" w:rsidRPr="002F4C1B" w:rsidRDefault="004E0936" w:rsidP="002F4C1B">
      <w:pPr>
        <w:pStyle w:val="Header"/>
        <w:tabs>
          <w:tab w:val="left" w:pos="720"/>
        </w:tabs>
        <w:spacing w:before="120" w:after="120" w:line="360" w:lineRule="auto"/>
        <w:jc w:val="both"/>
        <w:rPr>
          <w:rFonts w:ascii="Times New Roman" w:hAnsi="Times New Roman" w:cs="Times New Roman"/>
          <w:b/>
          <w:bCs/>
          <w:color w:val="000000" w:themeColor="text1"/>
          <w:sz w:val="24"/>
          <w:szCs w:val="24"/>
        </w:rPr>
      </w:pPr>
      <w:r w:rsidRPr="002F4C1B">
        <w:rPr>
          <w:rFonts w:ascii="Times New Roman" w:hAnsi="Times New Roman" w:cs="Times New Roman"/>
          <w:b/>
          <w:bCs/>
          <w:color w:val="000000" w:themeColor="text1"/>
          <w:sz w:val="24"/>
          <w:szCs w:val="24"/>
        </w:rPr>
        <w:t xml:space="preserve">Statistical analysis </w:t>
      </w:r>
    </w:p>
    <w:p w14:paraId="6FD9E5ED" w14:textId="77777777" w:rsidR="002D6CD8" w:rsidRPr="002F4C1B" w:rsidRDefault="004E0936" w:rsidP="0094784A">
      <w:pPr>
        <w:pStyle w:val="Header"/>
        <w:tabs>
          <w:tab w:val="left" w:pos="720"/>
        </w:tabs>
        <w:spacing w:before="120" w:after="120" w:line="360" w:lineRule="auto"/>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data w</w:t>
      </w:r>
      <w:r>
        <w:rPr>
          <w:rFonts w:ascii="Times New Roman" w:hAnsi="Times New Roman" w:cs="Times New Roman"/>
          <w:color w:val="000000" w:themeColor="text1"/>
          <w:sz w:val="24"/>
          <w:szCs w:val="24"/>
          <w:highlight w:val="yellow"/>
        </w:rPr>
        <w:t>ere</w:t>
      </w:r>
      <w:r>
        <w:rPr>
          <w:rFonts w:ascii="Times New Roman" w:hAnsi="Times New Roman" w:cs="Times New Roman"/>
          <w:color w:val="000000" w:themeColor="text1"/>
          <w:sz w:val="24"/>
          <w:szCs w:val="24"/>
        </w:rPr>
        <w:t xml:space="preserve"> analy</w:t>
      </w:r>
      <w:r>
        <w:rPr>
          <w:rFonts w:ascii="Times New Roman" w:hAnsi="Times New Roman" w:cs="Times New Roman"/>
          <w:color w:val="000000" w:themeColor="text1"/>
          <w:sz w:val="24"/>
          <w:szCs w:val="24"/>
          <w:highlight w:val="yellow"/>
        </w:rPr>
        <w:t>s</w:t>
      </w:r>
      <w:r>
        <w:rPr>
          <w:rFonts w:ascii="Times New Roman" w:hAnsi="Times New Roman" w:cs="Times New Roman"/>
          <w:color w:val="000000" w:themeColor="text1"/>
          <w:sz w:val="24"/>
          <w:szCs w:val="24"/>
        </w:rPr>
        <w:t xml:space="preserve">ed for mean </w:t>
      </w:r>
      <w:r>
        <w:rPr>
          <w:rFonts w:ascii="Times New Roman" w:hAnsi="Times New Roman" w:cs="Times New Roman"/>
          <w:color w:val="000000" w:themeColor="text1"/>
          <w:sz w:val="24"/>
          <w:szCs w:val="24"/>
          <w:highlight w:val="yellow"/>
        </w:rPr>
        <w:t xml:space="preserve">and </w:t>
      </w:r>
      <w:r>
        <w:rPr>
          <w:rFonts w:ascii="Times New Roman" w:hAnsi="Times New Roman" w:cs="Times New Roman"/>
          <w:color w:val="000000" w:themeColor="text1"/>
          <w:sz w:val="24"/>
          <w:szCs w:val="24"/>
        </w:rPr>
        <w:t xml:space="preserve">SE. </w:t>
      </w:r>
      <w:r>
        <w:rPr>
          <w:rFonts w:ascii="Times New Roman" w:hAnsi="Times New Roman" w:cs="Times New Roman"/>
          <w:color w:val="000000" w:themeColor="text1"/>
          <w:sz w:val="24"/>
          <w:szCs w:val="24"/>
          <w:highlight w:val="yellow"/>
        </w:rPr>
        <w:t>O</w:t>
      </w:r>
      <w:r>
        <w:rPr>
          <w:rFonts w:ascii="Times New Roman" w:hAnsi="Times New Roman" w:cs="Times New Roman"/>
          <w:color w:val="000000" w:themeColor="text1"/>
          <w:sz w:val="24"/>
          <w:szCs w:val="24"/>
        </w:rPr>
        <w:t xml:space="preserve">ne-way ANOVA (Tukey’s multiple comparison test) </w:t>
      </w:r>
      <w:r>
        <w:rPr>
          <w:rFonts w:ascii="Times New Roman" w:hAnsi="Times New Roman" w:cs="Times New Roman"/>
          <w:color w:val="000000" w:themeColor="text1"/>
          <w:sz w:val="24"/>
          <w:szCs w:val="24"/>
          <w:highlight w:val="yellow"/>
        </w:rPr>
        <w:t xml:space="preserve">and a t-test </w:t>
      </w:r>
      <w:r>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highlight w:val="yellow"/>
        </w:rPr>
        <w:t>ere</w:t>
      </w:r>
      <w:r>
        <w:rPr>
          <w:rFonts w:ascii="Times New Roman" w:hAnsi="Times New Roman" w:cs="Times New Roman"/>
          <w:color w:val="000000" w:themeColor="text1"/>
          <w:sz w:val="24"/>
          <w:szCs w:val="24"/>
        </w:rPr>
        <w:t xml:space="preserve"> used for data analysis. GraphPad Prism (version 9.4.1) and SPSS software (version 26.0) w</w:t>
      </w:r>
      <w:r>
        <w:rPr>
          <w:rFonts w:ascii="Times New Roman" w:hAnsi="Times New Roman" w:cs="Times New Roman"/>
          <w:color w:val="000000" w:themeColor="text1"/>
          <w:sz w:val="24"/>
          <w:szCs w:val="24"/>
          <w:highlight w:val="yellow"/>
        </w:rPr>
        <w:t>ere</w:t>
      </w:r>
      <w:r>
        <w:rPr>
          <w:rFonts w:ascii="Times New Roman" w:hAnsi="Times New Roman" w:cs="Times New Roman"/>
          <w:color w:val="000000" w:themeColor="text1"/>
          <w:sz w:val="24"/>
          <w:szCs w:val="24"/>
        </w:rPr>
        <w:t xml:space="preserve"> used for statistical analysis.</w:t>
      </w:r>
    </w:p>
    <w:p w14:paraId="15569EAD" w14:textId="77777777" w:rsidR="00CB7A50" w:rsidRPr="0094784A" w:rsidRDefault="0094784A" w:rsidP="0094784A">
      <w:p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3. </w:t>
      </w:r>
      <w:r w:rsidR="00CB7A50" w:rsidRPr="002F4C1B">
        <w:rPr>
          <w:rFonts w:ascii="Times New Roman" w:hAnsi="Times New Roman" w:cs="Times New Roman"/>
          <w:b/>
          <w:bCs/>
          <w:color w:val="000000" w:themeColor="text1"/>
          <w:sz w:val="24"/>
          <w:szCs w:val="24"/>
        </w:rPr>
        <w:t>Results</w:t>
      </w:r>
      <w:r w:rsidR="00325000">
        <w:rPr>
          <w:rFonts w:ascii="Times New Roman" w:hAnsi="Times New Roman" w:cs="Times New Roman"/>
          <w:b/>
          <w:bCs/>
          <w:color w:val="000000" w:themeColor="text1"/>
          <w:sz w:val="24"/>
          <w:szCs w:val="24"/>
        </w:rPr>
        <w:t xml:space="preserve"> &amp; </w:t>
      </w:r>
      <w:r w:rsidR="00325000" w:rsidRPr="00325000">
        <w:rPr>
          <w:rFonts w:ascii="Times New Roman" w:hAnsi="Times New Roman" w:cs="Times New Roman"/>
          <w:b/>
          <w:bCs/>
          <w:color w:val="000000" w:themeColor="text1"/>
          <w:sz w:val="24"/>
          <w:szCs w:val="24"/>
        </w:rPr>
        <w:t>Discussion</w:t>
      </w:r>
    </w:p>
    <w:p w14:paraId="371203C7" w14:textId="77777777" w:rsidR="00CB7A50" w:rsidRPr="002F4C1B" w:rsidRDefault="00CB7A50" w:rsidP="002F4C1B">
      <w:pPr>
        <w:spacing w:before="120" w:after="120" w:line="360" w:lineRule="auto"/>
        <w:jc w:val="both"/>
        <w:rPr>
          <w:rFonts w:ascii="Times New Roman" w:eastAsia="Times New Roman" w:hAnsi="Times New Roman" w:cs="Times New Roman"/>
          <w:sz w:val="24"/>
          <w:szCs w:val="24"/>
          <w:lang w:eastAsia="en-IN"/>
        </w:rPr>
      </w:pPr>
      <w:r w:rsidRPr="002F4C1B">
        <w:rPr>
          <w:rFonts w:ascii="Times New Roman" w:eastAsia="Times New Roman" w:hAnsi="Times New Roman" w:cs="Times New Roman"/>
          <w:b/>
          <w:bCs/>
          <w:sz w:val="24"/>
          <w:szCs w:val="24"/>
          <w:lang w:eastAsia="en-IN"/>
        </w:rPr>
        <w:t xml:space="preserve">Table </w:t>
      </w:r>
      <w:r w:rsidR="002F4C1B" w:rsidRPr="002F4C1B">
        <w:rPr>
          <w:rFonts w:ascii="Times New Roman" w:hAnsi="Times New Roman" w:cs="Times New Roman"/>
          <w:b/>
          <w:bCs/>
          <w:sz w:val="24"/>
          <w:szCs w:val="24"/>
        </w:rPr>
        <w:t>1</w:t>
      </w:r>
      <w:r w:rsidRPr="002F4C1B">
        <w:rPr>
          <w:rFonts w:ascii="Times New Roman" w:eastAsia="Times New Roman" w:hAnsi="Times New Roman" w:cs="Times New Roman"/>
          <w:b/>
          <w:bCs/>
          <w:sz w:val="24"/>
          <w:szCs w:val="24"/>
          <w:lang w:eastAsia="en-IN"/>
        </w:rPr>
        <w:t xml:space="preserve">: </w:t>
      </w:r>
      <w:r w:rsidRPr="002F4C1B">
        <w:rPr>
          <w:rFonts w:ascii="Times New Roman" w:eastAsia="Times New Roman" w:hAnsi="Times New Roman" w:cs="Times New Roman"/>
          <w:sz w:val="24"/>
          <w:szCs w:val="24"/>
          <w:lang w:eastAsia="en-IN"/>
        </w:rPr>
        <w:t>Managemental practices recorded in Goats kept under field conditions</w:t>
      </w:r>
    </w:p>
    <w:tbl>
      <w:tblPr>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
        <w:gridCol w:w="3510"/>
        <w:gridCol w:w="1694"/>
        <w:gridCol w:w="1276"/>
        <w:gridCol w:w="990"/>
      </w:tblGrid>
      <w:tr w:rsidR="00CB7A50" w:rsidRPr="002F4C1B" w14:paraId="46169119" w14:textId="77777777" w:rsidTr="00B23229">
        <w:trPr>
          <w:trHeight w:val="935"/>
        </w:trPr>
        <w:tc>
          <w:tcPr>
            <w:tcW w:w="918" w:type="dxa"/>
            <w:vAlign w:val="center"/>
          </w:tcPr>
          <w:p w14:paraId="4927B439"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b/>
                <w:bCs/>
              </w:rPr>
            </w:pPr>
            <w:r w:rsidRPr="002F4C1B">
              <w:rPr>
                <w:rFonts w:ascii="Times New Roman" w:hAnsi="Times New Roman" w:cs="Times New Roman"/>
                <w:b/>
                <w:bCs/>
              </w:rPr>
              <w:t>Sr. no.</w:t>
            </w:r>
          </w:p>
        </w:tc>
        <w:tc>
          <w:tcPr>
            <w:tcW w:w="3510" w:type="dxa"/>
            <w:vAlign w:val="center"/>
          </w:tcPr>
          <w:p w14:paraId="1339BAC3"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b/>
                <w:bCs/>
              </w:rPr>
            </w:pPr>
            <w:r w:rsidRPr="002F4C1B">
              <w:rPr>
                <w:rFonts w:ascii="Times New Roman" w:hAnsi="Times New Roman" w:cs="Times New Roman"/>
                <w:b/>
                <w:bCs/>
              </w:rPr>
              <w:t>Management practices</w:t>
            </w:r>
          </w:p>
        </w:tc>
        <w:tc>
          <w:tcPr>
            <w:tcW w:w="1694" w:type="dxa"/>
            <w:vAlign w:val="center"/>
          </w:tcPr>
          <w:p w14:paraId="28BE8C54"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b/>
                <w:bCs/>
              </w:rPr>
            </w:pPr>
            <w:r w:rsidRPr="002F4C1B">
              <w:rPr>
                <w:rFonts w:ascii="Times New Roman" w:hAnsi="Times New Roman" w:cs="Times New Roman"/>
                <w:b/>
                <w:bCs/>
              </w:rPr>
              <w:t>Observations (n)</w:t>
            </w:r>
          </w:p>
        </w:tc>
        <w:tc>
          <w:tcPr>
            <w:tcW w:w="1276" w:type="dxa"/>
            <w:vAlign w:val="center"/>
          </w:tcPr>
          <w:p w14:paraId="311A42EA"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b/>
                <w:bCs/>
              </w:rPr>
            </w:pPr>
            <w:r w:rsidRPr="002F4C1B">
              <w:rPr>
                <w:rFonts w:ascii="Times New Roman" w:hAnsi="Times New Roman" w:cs="Times New Roman"/>
                <w:b/>
                <w:bCs/>
              </w:rPr>
              <w:t>Response</w:t>
            </w:r>
          </w:p>
        </w:tc>
        <w:tc>
          <w:tcPr>
            <w:tcW w:w="990" w:type="dxa"/>
            <w:vAlign w:val="center"/>
          </w:tcPr>
          <w:p w14:paraId="5785E106"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b/>
                <w:bCs/>
              </w:rPr>
            </w:pPr>
            <w:r w:rsidRPr="002F4C1B">
              <w:rPr>
                <w:rFonts w:ascii="Times New Roman" w:hAnsi="Times New Roman" w:cs="Times New Roman"/>
                <w:b/>
                <w:bCs/>
              </w:rPr>
              <w:t>%</w:t>
            </w:r>
          </w:p>
        </w:tc>
      </w:tr>
      <w:tr w:rsidR="00CB7A50" w:rsidRPr="002F4C1B" w14:paraId="1637D2F3" w14:textId="77777777" w:rsidTr="00B23229">
        <w:trPr>
          <w:trHeight w:val="470"/>
        </w:trPr>
        <w:tc>
          <w:tcPr>
            <w:tcW w:w="918" w:type="dxa"/>
            <w:vMerge w:val="restart"/>
            <w:vAlign w:val="center"/>
          </w:tcPr>
          <w:p w14:paraId="6AC957D4" w14:textId="77777777" w:rsidR="00CB7A50" w:rsidRPr="002F4C1B" w:rsidRDefault="00CB7A50" w:rsidP="002F4C1B">
            <w:pPr>
              <w:pStyle w:val="ListParagraph"/>
              <w:numPr>
                <w:ilvl w:val="0"/>
                <w:numId w:val="1"/>
              </w:numPr>
              <w:spacing w:before="120" w:after="120" w:line="360" w:lineRule="auto"/>
              <w:contextualSpacing w:val="0"/>
              <w:jc w:val="both"/>
              <w:rPr>
                <w:rFonts w:ascii="Times New Roman" w:hAnsi="Times New Roman" w:cs="Times New Roman"/>
              </w:rPr>
            </w:pPr>
          </w:p>
        </w:tc>
        <w:tc>
          <w:tcPr>
            <w:tcW w:w="3510" w:type="dxa"/>
            <w:vMerge w:val="restart"/>
            <w:vAlign w:val="center"/>
          </w:tcPr>
          <w:p w14:paraId="493B417F" w14:textId="77777777" w:rsidR="00CB7A50" w:rsidRPr="002F4C1B" w:rsidRDefault="00CB7A50" w:rsidP="002F4C1B">
            <w:pPr>
              <w:spacing w:before="120" w:after="120" w:line="360" w:lineRule="auto"/>
              <w:jc w:val="both"/>
              <w:rPr>
                <w:rFonts w:ascii="Times New Roman" w:hAnsi="Times New Roman" w:cs="Times New Roman"/>
                <w:sz w:val="24"/>
                <w:szCs w:val="24"/>
              </w:rPr>
            </w:pPr>
            <w:r w:rsidRPr="002F4C1B">
              <w:rPr>
                <w:rFonts w:ascii="Times New Roman" w:hAnsi="Times New Roman" w:cs="Times New Roman"/>
                <w:sz w:val="24"/>
                <w:szCs w:val="24"/>
              </w:rPr>
              <w:t>Washing of udder before milking</w:t>
            </w:r>
          </w:p>
        </w:tc>
        <w:tc>
          <w:tcPr>
            <w:tcW w:w="1694" w:type="dxa"/>
            <w:vMerge w:val="restart"/>
            <w:vAlign w:val="center"/>
          </w:tcPr>
          <w:p w14:paraId="014C8B1E"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56</w:t>
            </w:r>
          </w:p>
        </w:tc>
        <w:tc>
          <w:tcPr>
            <w:tcW w:w="1276" w:type="dxa"/>
            <w:vAlign w:val="center"/>
          </w:tcPr>
          <w:p w14:paraId="7081B98A"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Yes-54</w:t>
            </w:r>
          </w:p>
        </w:tc>
        <w:tc>
          <w:tcPr>
            <w:tcW w:w="990" w:type="dxa"/>
            <w:vAlign w:val="center"/>
          </w:tcPr>
          <w:p w14:paraId="3BB7D374"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96.42%</w:t>
            </w:r>
          </w:p>
        </w:tc>
      </w:tr>
      <w:tr w:rsidR="00CB7A50" w:rsidRPr="002F4C1B" w14:paraId="500ED1E8" w14:textId="77777777" w:rsidTr="00B23229">
        <w:trPr>
          <w:trHeight w:val="469"/>
        </w:trPr>
        <w:tc>
          <w:tcPr>
            <w:tcW w:w="918" w:type="dxa"/>
            <w:vMerge/>
            <w:vAlign w:val="center"/>
          </w:tcPr>
          <w:p w14:paraId="76A46487"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3510" w:type="dxa"/>
            <w:vMerge/>
            <w:vAlign w:val="center"/>
          </w:tcPr>
          <w:p w14:paraId="1BB18E59" w14:textId="77777777" w:rsidR="00CB7A50" w:rsidRPr="002F4C1B" w:rsidRDefault="00CB7A50" w:rsidP="002F4C1B">
            <w:pPr>
              <w:spacing w:before="120" w:after="120" w:line="360" w:lineRule="auto"/>
              <w:jc w:val="both"/>
              <w:rPr>
                <w:rFonts w:ascii="Times New Roman" w:hAnsi="Times New Roman" w:cs="Times New Roman"/>
                <w:sz w:val="24"/>
                <w:szCs w:val="24"/>
              </w:rPr>
            </w:pPr>
          </w:p>
        </w:tc>
        <w:tc>
          <w:tcPr>
            <w:tcW w:w="1694" w:type="dxa"/>
            <w:vMerge/>
            <w:vAlign w:val="center"/>
          </w:tcPr>
          <w:p w14:paraId="05AEB730"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1276" w:type="dxa"/>
            <w:vAlign w:val="center"/>
          </w:tcPr>
          <w:p w14:paraId="1AB67186"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No-2</w:t>
            </w:r>
          </w:p>
        </w:tc>
        <w:tc>
          <w:tcPr>
            <w:tcW w:w="990" w:type="dxa"/>
            <w:vAlign w:val="center"/>
          </w:tcPr>
          <w:p w14:paraId="642DE749"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3.57%</w:t>
            </w:r>
          </w:p>
        </w:tc>
      </w:tr>
      <w:tr w:rsidR="00CB7A50" w:rsidRPr="002F4C1B" w14:paraId="274B7914" w14:textId="77777777" w:rsidTr="00B23229">
        <w:trPr>
          <w:trHeight w:val="470"/>
        </w:trPr>
        <w:tc>
          <w:tcPr>
            <w:tcW w:w="918" w:type="dxa"/>
            <w:vMerge w:val="restart"/>
            <w:vAlign w:val="center"/>
          </w:tcPr>
          <w:p w14:paraId="63978AD2" w14:textId="77777777" w:rsidR="00CB7A50" w:rsidRPr="002F4C1B" w:rsidRDefault="00CB7A50" w:rsidP="002F4C1B">
            <w:pPr>
              <w:pStyle w:val="ListParagraph"/>
              <w:numPr>
                <w:ilvl w:val="0"/>
                <w:numId w:val="1"/>
              </w:numPr>
              <w:spacing w:before="120" w:after="120" w:line="360" w:lineRule="auto"/>
              <w:contextualSpacing w:val="0"/>
              <w:jc w:val="both"/>
              <w:rPr>
                <w:rFonts w:ascii="Times New Roman" w:hAnsi="Times New Roman" w:cs="Times New Roman"/>
              </w:rPr>
            </w:pPr>
          </w:p>
        </w:tc>
        <w:tc>
          <w:tcPr>
            <w:tcW w:w="3510" w:type="dxa"/>
            <w:vMerge w:val="restart"/>
            <w:vAlign w:val="center"/>
          </w:tcPr>
          <w:p w14:paraId="47B57673" w14:textId="77777777" w:rsidR="00CB7A50" w:rsidRPr="002F4C1B" w:rsidRDefault="00CB7A50" w:rsidP="002F4C1B">
            <w:pPr>
              <w:spacing w:before="120" w:after="120" w:line="360" w:lineRule="auto"/>
              <w:jc w:val="both"/>
              <w:rPr>
                <w:rFonts w:ascii="Times New Roman" w:hAnsi="Times New Roman" w:cs="Times New Roman"/>
                <w:sz w:val="24"/>
                <w:szCs w:val="24"/>
              </w:rPr>
            </w:pPr>
            <w:r w:rsidRPr="002F4C1B">
              <w:rPr>
                <w:rFonts w:ascii="Times New Roman" w:hAnsi="Times New Roman" w:cs="Times New Roman"/>
                <w:sz w:val="24"/>
                <w:szCs w:val="24"/>
              </w:rPr>
              <w:t>Washing of utensils</w:t>
            </w:r>
          </w:p>
        </w:tc>
        <w:tc>
          <w:tcPr>
            <w:tcW w:w="1694" w:type="dxa"/>
            <w:vMerge w:val="restart"/>
            <w:vAlign w:val="center"/>
          </w:tcPr>
          <w:p w14:paraId="178E03A7"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56</w:t>
            </w:r>
          </w:p>
        </w:tc>
        <w:tc>
          <w:tcPr>
            <w:tcW w:w="1276" w:type="dxa"/>
            <w:vAlign w:val="center"/>
          </w:tcPr>
          <w:p w14:paraId="3E2EEA65"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Yes-56</w:t>
            </w:r>
          </w:p>
        </w:tc>
        <w:tc>
          <w:tcPr>
            <w:tcW w:w="990" w:type="dxa"/>
            <w:vAlign w:val="center"/>
          </w:tcPr>
          <w:p w14:paraId="28E2FE88"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100%</w:t>
            </w:r>
          </w:p>
        </w:tc>
      </w:tr>
      <w:tr w:rsidR="00CB7A50" w:rsidRPr="002F4C1B" w14:paraId="4D1B06A3" w14:textId="77777777" w:rsidTr="00B23229">
        <w:trPr>
          <w:trHeight w:val="469"/>
        </w:trPr>
        <w:tc>
          <w:tcPr>
            <w:tcW w:w="918" w:type="dxa"/>
            <w:vMerge/>
            <w:vAlign w:val="center"/>
          </w:tcPr>
          <w:p w14:paraId="1570CDA8"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3510" w:type="dxa"/>
            <w:vMerge/>
            <w:vAlign w:val="center"/>
          </w:tcPr>
          <w:p w14:paraId="238E7442" w14:textId="77777777" w:rsidR="00CB7A50" w:rsidRPr="002F4C1B" w:rsidRDefault="00CB7A50" w:rsidP="002F4C1B">
            <w:pPr>
              <w:spacing w:before="120" w:after="120" w:line="360" w:lineRule="auto"/>
              <w:jc w:val="both"/>
              <w:rPr>
                <w:rFonts w:ascii="Times New Roman" w:hAnsi="Times New Roman" w:cs="Times New Roman"/>
                <w:sz w:val="24"/>
                <w:szCs w:val="24"/>
              </w:rPr>
            </w:pPr>
          </w:p>
        </w:tc>
        <w:tc>
          <w:tcPr>
            <w:tcW w:w="1694" w:type="dxa"/>
            <w:vMerge/>
            <w:vAlign w:val="center"/>
          </w:tcPr>
          <w:p w14:paraId="2B0ED3BB"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1276" w:type="dxa"/>
            <w:vAlign w:val="center"/>
          </w:tcPr>
          <w:p w14:paraId="72DD78E8"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No-0</w:t>
            </w:r>
          </w:p>
        </w:tc>
        <w:tc>
          <w:tcPr>
            <w:tcW w:w="990" w:type="dxa"/>
            <w:vAlign w:val="center"/>
          </w:tcPr>
          <w:p w14:paraId="35746387"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0%</w:t>
            </w:r>
          </w:p>
        </w:tc>
      </w:tr>
      <w:tr w:rsidR="00CB7A50" w:rsidRPr="002F4C1B" w14:paraId="266BFA28" w14:textId="77777777" w:rsidTr="00B23229">
        <w:trPr>
          <w:trHeight w:val="470"/>
        </w:trPr>
        <w:tc>
          <w:tcPr>
            <w:tcW w:w="918" w:type="dxa"/>
            <w:vMerge w:val="restart"/>
            <w:vAlign w:val="center"/>
          </w:tcPr>
          <w:p w14:paraId="20DA77D4" w14:textId="77777777" w:rsidR="00CB7A50" w:rsidRPr="002F4C1B" w:rsidRDefault="00CB7A50" w:rsidP="002F4C1B">
            <w:pPr>
              <w:pStyle w:val="ListParagraph"/>
              <w:numPr>
                <w:ilvl w:val="0"/>
                <w:numId w:val="1"/>
              </w:numPr>
              <w:spacing w:before="120" w:after="120" w:line="360" w:lineRule="auto"/>
              <w:contextualSpacing w:val="0"/>
              <w:jc w:val="both"/>
              <w:rPr>
                <w:rFonts w:ascii="Times New Roman" w:hAnsi="Times New Roman" w:cs="Times New Roman"/>
              </w:rPr>
            </w:pPr>
          </w:p>
        </w:tc>
        <w:tc>
          <w:tcPr>
            <w:tcW w:w="3510" w:type="dxa"/>
            <w:vMerge w:val="restart"/>
            <w:vAlign w:val="center"/>
          </w:tcPr>
          <w:p w14:paraId="7833C6F8" w14:textId="77777777" w:rsidR="00CB7A50" w:rsidRPr="002F4C1B" w:rsidRDefault="00CB7A50" w:rsidP="002F4C1B">
            <w:pPr>
              <w:spacing w:before="120" w:after="120" w:line="360" w:lineRule="auto"/>
              <w:jc w:val="both"/>
              <w:rPr>
                <w:rFonts w:ascii="Times New Roman" w:hAnsi="Times New Roman" w:cs="Times New Roman"/>
                <w:sz w:val="24"/>
                <w:szCs w:val="24"/>
              </w:rPr>
            </w:pPr>
            <w:r w:rsidRPr="002F4C1B">
              <w:rPr>
                <w:rFonts w:ascii="Times New Roman" w:hAnsi="Times New Roman" w:cs="Times New Roman"/>
                <w:sz w:val="24"/>
                <w:szCs w:val="24"/>
              </w:rPr>
              <w:t>Cleanliness of handler/milker</w:t>
            </w:r>
          </w:p>
        </w:tc>
        <w:tc>
          <w:tcPr>
            <w:tcW w:w="1694" w:type="dxa"/>
            <w:vMerge w:val="restart"/>
            <w:vAlign w:val="center"/>
          </w:tcPr>
          <w:p w14:paraId="756518D1"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56</w:t>
            </w:r>
          </w:p>
        </w:tc>
        <w:tc>
          <w:tcPr>
            <w:tcW w:w="1276" w:type="dxa"/>
            <w:vAlign w:val="center"/>
          </w:tcPr>
          <w:p w14:paraId="42760C87"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Yes- 25</w:t>
            </w:r>
          </w:p>
        </w:tc>
        <w:tc>
          <w:tcPr>
            <w:tcW w:w="990" w:type="dxa"/>
            <w:vAlign w:val="center"/>
          </w:tcPr>
          <w:p w14:paraId="45CB6199"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44.64</w:t>
            </w:r>
          </w:p>
        </w:tc>
      </w:tr>
      <w:tr w:rsidR="00CB7A50" w:rsidRPr="002F4C1B" w14:paraId="2DFE2160" w14:textId="77777777" w:rsidTr="00B23229">
        <w:trPr>
          <w:trHeight w:val="469"/>
        </w:trPr>
        <w:tc>
          <w:tcPr>
            <w:tcW w:w="918" w:type="dxa"/>
            <w:vMerge/>
            <w:vAlign w:val="center"/>
          </w:tcPr>
          <w:p w14:paraId="1768A6A0"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3510" w:type="dxa"/>
            <w:vMerge/>
            <w:vAlign w:val="center"/>
          </w:tcPr>
          <w:p w14:paraId="24CD16A7" w14:textId="77777777" w:rsidR="00CB7A50" w:rsidRPr="002F4C1B" w:rsidRDefault="00CB7A50" w:rsidP="002F4C1B">
            <w:pPr>
              <w:spacing w:before="120" w:after="120" w:line="360" w:lineRule="auto"/>
              <w:jc w:val="both"/>
              <w:rPr>
                <w:rFonts w:ascii="Times New Roman" w:hAnsi="Times New Roman" w:cs="Times New Roman"/>
                <w:sz w:val="24"/>
                <w:szCs w:val="24"/>
              </w:rPr>
            </w:pPr>
          </w:p>
        </w:tc>
        <w:tc>
          <w:tcPr>
            <w:tcW w:w="1694" w:type="dxa"/>
            <w:vMerge/>
            <w:vAlign w:val="center"/>
          </w:tcPr>
          <w:p w14:paraId="6AEAC5EE"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1276" w:type="dxa"/>
            <w:vAlign w:val="center"/>
          </w:tcPr>
          <w:p w14:paraId="4BB81D51"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No-31</w:t>
            </w:r>
          </w:p>
        </w:tc>
        <w:tc>
          <w:tcPr>
            <w:tcW w:w="990" w:type="dxa"/>
            <w:vAlign w:val="center"/>
          </w:tcPr>
          <w:p w14:paraId="71498EF4"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55.35</w:t>
            </w:r>
          </w:p>
        </w:tc>
      </w:tr>
      <w:tr w:rsidR="00CB7A50" w:rsidRPr="002F4C1B" w14:paraId="6F4E0DE0" w14:textId="77777777" w:rsidTr="00B23229">
        <w:trPr>
          <w:trHeight w:val="470"/>
        </w:trPr>
        <w:tc>
          <w:tcPr>
            <w:tcW w:w="918" w:type="dxa"/>
            <w:vMerge w:val="restart"/>
            <w:vAlign w:val="center"/>
          </w:tcPr>
          <w:p w14:paraId="095327BC" w14:textId="77777777" w:rsidR="00CB7A50" w:rsidRPr="002F4C1B" w:rsidRDefault="00CB7A50" w:rsidP="002F4C1B">
            <w:pPr>
              <w:pStyle w:val="ListParagraph"/>
              <w:numPr>
                <w:ilvl w:val="0"/>
                <w:numId w:val="1"/>
              </w:numPr>
              <w:spacing w:before="120" w:after="120" w:line="360" w:lineRule="auto"/>
              <w:contextualSpacing w:val="0"/>
              <w:jc w:val="both"/>
              <w:rPr>
                <w:rFonts w:ascii="Times New Roman" w:hAnsi="Times New Roman" w:cs="Times New Roman"/>
              </w:rPr>
            </w:pPr>
          </w:p>
        </w:tc>
        <w:tc>
          <w:tcPr>
            <w:tcW w:w="3510" w:type="dxa"/>
            <w:vMerge w:val="restart"/>
            <w:vAlign w:val="center"/>
          </w:tcPr>
          <w:p w14:paraId="56281231" w14:textId="77777777" w:rsidR="00CB7A50" w:rsidRPr="002F4C1B" w:rsidRDefault="00CB7A50" w:rsidP="002F4C1B">
            <w:pPr>
              <w:spacing w:before="120" w:after="120" w:line="360" w:lineRule="auto"/>
              <w:jc w:val="both"/>
              <w:rPr>
                <w:rFonts w:ascii="Times New Roman" w:hAnsi="Times New Roman" w:cs="Times New Roman"/>
                <w:sz w:val="24"/>
                <w:szCs w:val="24"/>
              </w:rPr>
            </w:pPr>
            <w:r w:rsidRPr="002F4C1B">
              <w:rPr>
                <w:rFonts w:ascii="Times New Roman" w:hAnsi="Times New Roman" w:cs="Times New Roman"/>
                <w:sz w:val="24"/>
                <w:szCs w:val="24"/>
              </w:rPr>
              <w:t>Drainage system</w:t>
            </w:r>
          </w:p>
        </w:tc>
        <w:tc>
          <w:tcPr>
            <w:tcW w:w="1694" w:type="dxa"/>
            <w:vMerge w:val="restart"/>
            <w:vAlign w:val="center"/>
          </w:tcPr>
          <w:p w14:paraId="5A4EB2CC"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56</w:t>
            </w:r>
          </w:p>
        </w:tc>
        <w:tc>
          <w:tcPr>
            <w:tcW w:w="1276" w:type="dxa"/>
            <w:vAlign w:val="center"/>
          </w:tcPr>
          <w:p w14:paraId="182E2383"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Present-6</w:t>
            </w:r>
          </w:p>
        </w:tc>
        <w:tc>
          <w:tcPr>
            <w:tcW w:w="990" w:type="dxa"/>
            <w:vAlign w:val="center"/>
          </w:tcPr>
          <w:p w14:paraId="3D15258B"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10.71</w:t>
            </w:r>
          </w:p>
        </w:tc>
      </w:tr>
      <w:tr w:rsidR="00CB7A50" w:rsidRPr="002F4C1B" w14:paraId="5455EB2C" w14:textId="77777777" w:rsidTr="00B23229">
        <w:trPr>
          <w:trHeight w:val="469"/>
        </w:trPr>
        <w:tc>
          <w:tcPr>
            <w:tcW w:w="918" w:type="dxa"/>
            <w:vMerge/>
            <w:vAlign w:val="center"/>
          </w:tcPr>
          <w:p w14:paraId="2077360D"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3510" w:type="dxa"/>
            <w:vMerge/>
            <w:vAlign w:val="center"/>
          </w:tcPr>
          <w:p w14:paraId="186144F3" w14:textId="77777777" w:rsidR="00CB7A50" w:rsidRPr="002F4C1B" w:rsidRDefault="00CB7A50" w:rsidP="002F4C1B">
            <w:pPr>
              <w:spacing w:before="120" w:after="120" w:line="360" w:lineRule="auto"/>
              <w:jc w:val="both"/>
              <w:rPr>
                <w:rFonts w:ascii="Times New Roman" w:hAnsi="Times New Roman" w:cs="Times New Roman"/>
                <w:sz w:val="24"/>
                <w:szCs w:val="24"/>
              </w:rPr>
            </w:pPr>
          </w:p>
        </w:tc>
        <w:tc>
          <w:tcPr>
            <w:tcW w:w="1694" w:type="dxa"/>
            <w:vMerge/>
            <w:vAlign w:val="center"/>
          </w:tcPr>
          <w:p w14:paraId="669EE8E7"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p>
        </w:tc>
        <w:tc>
          <w:tcPr>
            <w:tcW w:w="1276" w:type="dxa"/>
            <w:vAlign w:val="center"/>
          </w:tcPr>
          <w:p w14:paraId="7959E2D2"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Absent-50</w:t>
            </w:r>
          </w:p>
        </w:tc>
        <w:tc>
          <w:tcPr>
            <w:tcW w:w="990" w:type="dxa"/>
            <w:vAlign w:val="center"/>
          </w:tcPr>
          <w:p w14:paraId="085F8AA1" w14:textId="77777777" w:rsidR="00CB7A50" w:rsidRPr="002F4C1B" w:rsidRDefault="00CB7A50" w:rsidP="002F4C1B">
            <w:pPr>
              <w:pStyle w:val="ListParagraph"/>
              <w:spacing w:before="120" w:after="120" w:line="360" w:lineRule="auto"/>
              <w:ind w:left="0"/>
              <w:contextualSpacing w:val="0"/>
              <w:jc w:val="both"/>
              <w:rPr>
                <w:rFonts w:ascii="Times New Roman" w:hAnsi="Times New Roman" w:cs="Times New Roman"/>
              </w:rPr>
            </w:pPr>
            <w:r w:rsidRPr="002F4C1B">
              <w:rPr>
                <w:rFonts w:ascii="Times New Roman" w:hAnsi="Times New Roman" w:cs="Times New Roman"/>
              </w:rPr>
              <w:t>89.28</w:t>
            </w:r>
          </w:p>
        </w:tc>
      </w:tr>
    </w:tbl>
    <w:p w14:paraId="7F2BE906" w14:textId="77777777" w:rsidR="00CB7A50" w:rsidRPr="002F4C1B" w:rsidRDefault="00CB7A50" w:rsidP="002F4C1B">
      <w:pPr>
        <w:spacing w:before="120" w:after="120" w:line="360" w:lineRule="auto"/>
        <w:ind w:firstLine="567"/>
        <w:jc w:val="both"/>
        <w:rPr>
          <w:rFonts w:ascii="Times New Roman" w:hAnsi="Times New Roman" w:cs="Times New Roman"/>
          <w:sz w:val="24"/>
          <w:szCs w:val="24"/>
        </w:rPr>
      </w:pPr>
    </w:p>
    <w:p w14:paraId="5297768D" w14:textId="77777777" w:rsidR="00CB7A50" w:rsidRPr="002F4C1B" w:rsidRDefault="00CB7A50" w:rsidP="002F4C1B">
      <w:pPr>
        <w:spacing w:before="120" w:after="12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overall mean </w:t>
      </w:r>
      <w:r>
        <w:rPr>
          <w:rFonts w:ascii="Times New Roman" w:hAnsi="Times New Roman" w:cs="Times New Roman"/>
          <w:sz w:val="24"/>
          <w:szCs w:val="24"/>
          <w:highlight w:val="yellow"/>
        </w:rPr>
        <w:t xml:space="preserve">SCC </w:t>
      </w:r>
      <w:r>
        <w:rPr>
          <w:rFonts w:ascii="Times New Roman" w:hAnsi="Times New Roman" w:cs="Times New Roman"/>
          <w:sz w:val="24"/>
          <w:szCs w:val="24"/>
        </w:rPr>
        <w:t xml:space="preserve">values </w:t>
      </w:r>
      <w:r>
        <w:rPr>
          <w:rFonts w:ascii="Times New Roman" w:hAnsi="Times New Roman" w:cs="Times New Roman"/>
          <w:sz w:val="24"/>
          <w:szCs w:val="24"/>
          <w:highlight w:val="yellow"/>
        </w:rPr>
        <w:t>unde</w:t>
      </w:r>
      <w:r>
        <w:rPr>
          <w:rFonts w:ascii="Times New Roman" w:hAnsi="Times New Roman" w:cs="Times New Roman"/>
          <w:sz w:val="24"/>
          <w:szCs w:val="24"/>
        </w:rPr>
        <w:t>r farm and field condition</w:t>
      </w:r>
      <w:r>
        <w:rPr>
          <w:rFonts w:ascii="Times New Roman" w:hAnsi="Times New Roman" w:cs="Times New Roman"/>
          <w:sz w:val="24"/>
          <w:szCs w:val="24"/>
          <w:highlight w:val="yellow"/>
        </w:rPr>
        <w:t>s</w:t>
      </w:r>
      <w:r>
        <w:rPr>
          <w:rFonts w:ascii="Times New Roman" w:hAnsi="Times New Roman" w:cs="Times New Roman"/>
          <w:sz w:val="24"/>
          <w:szCs w:val="24"/>
        </w:rPr>
        <w:t xml:space="preserve"> were 4.62</w:t>
      </w:r>
      <w:r>
        <w:rPr>
          <w:rFonts w:ascii="Times New Roman" w:hAnsi="Times New Roman" w:cs="Times New Roman"/>
          <w:sz w:val="24"/>
          <w:szCs w:val="24"/>
          <w:highlight w:val="yellow"/>
        </w:rPr>
        <w:t xml:space="preserve"> </w:t>
      </w:r>
      <w:r>
        <w:rPr>
          <w:rFonts w:ascii="Times New Roman" w:hAnsi="Times New Roman" w:cs="Times New Roman"/>
          <w:sz w:val="24"/>
          <w:szCs w:val="24"/>
        </w:rPr>
        <w:t>±</w:t>
      </w:r>
      <w:r>
        <w:rPr>
          <w:rFonts w:ascii="Times New Roman" w:hAnsi="Times New Roman" w:cs="Times New Roman"/>
          <w:sz w:val="24"/>
          <w:szCs w:val="24"/>
          <w:highlight w:val="yellow"/>
        </w:rPr>
        <w:t xml:space="preserve"> </w:t>
      </w:r>
      <w:r>
        <w:rPr>
          <w:rFonts w:ascii="Times New Roman" w:hAnsi="Times New Roman" w:cs="Times New Roman"/>
          <w:sz w:val="24"/>
          <w:szCs w:val="24"/>
        </w:rPr>
        <w:t>0.05 and 4.27</w:t>
      </w:r>
      <w:r>
        <w:rPr>
          <w:rFonts w:ascii="Times New Roman" w:hAnsi="Times New Roman" w:cs="Times New Roman"/>
          <w:sz w:val="24"/>
          <w:szCs w:val="24"/>
          <w:highlight w:val="yellow"/>
        </w:rPr>
        <w:t xml:space="preserve"> </w:t>
      </w:r>
      <w:r>
        <w:rPr>
          <w:rFonts w:ascii="Times New Roman" w:hAnsi="Times New Roman" w:cs="Times New Roman"/>
          <w:sz w:val="24"/>
          <w:szCs w:val="24"/>
        </w:rPr>
        <w:t>±</w:t>
      </w:r>
      <w:r>
        <w:rPr>
          <w:rFonts w:ascii="Times New Roman" w:hAnsi="Times New Roman" w:cs="Times New Roman"/>
          <w:sz w:val="24"/>
          <w:szCs w:val="24"/>
          <w:highlight w:val="yellow"/>
        </w:rPr>
        <w:t xml:space="preserve"> </w:t>
      </w:r>
      <w:r>
        <w:rPr>
          <w:rFonts w:ascii="Times New Roman" w:hAnsi="Times New Roman" w:cs="Times New Roman"/>
          <w:sz w:val="24"/>
          <w:szCs w:val="24"/>
        </w:rPr>
        <w:t>0.02</w:t>
      </w:r>
      <w:r>
        <w:rPr>
          <w:rFonts w:ascii="Times New Roman" w:hAnsi="Times New Roman" w:cs="Times New Roman"/>
          <w:sz w:val="24"/>
          <w:szCs w:val="24"/>
          <w:highlight w:val="yellow"/>
        </w:rPr>
        <w:t>,</w:t>
      </w:r>
      <w:r>
        <w:rPr>
          <w:rFonts w:ascii="Times New Roman" w:hAnsi="Times New Roman" w:cs="Times New Roman"/>
          <w:sz w:val="24"/>
          <w:szCs w:val="24"/>
        </w:rPr>
        <w:t xml:space="preserve"> respectively. The overall mean SCC w</w:t>
      </w:r>
      <w:r>
        <w:rPr>
          <w:rFonts w:ascii="Times New Roman" w:hAnsi="Times New Roman" w:cs="Times New Roman"/>
          <w:sz w:val="24"/>
          <w:szCs w:val="24"/>
          <w:highlight w:val="yellow"/>
        </w:rPr>
        <w:t>as</w:t>
      </w:r>
      <w:r>
        <w:rPr>
          <w:rFonts w:ascii="Times New Roman" w:hAnsi="Times New Roman" w:cs="Times New Roman"/>
          <w:sz w:val="24"/>
          <w:szCs w:val="24"/>
        </w:rPr>
        <w:t xml:space="preserve"> higher </w:t>
      </w:r>
      <w:r>
        <w:rPr>
          <w:rFonts w:ascii="Times New Roman" w:hAnsi="Times New Roman" w:cs="Times New Roman"/>
          <w:sz w:val="24"/>
          <w:szCs w:val="24"/>
          <w:highlight w:val="yellow"/>
        </w:rPr>
        <w:t>u</w:t>
      </w:r>
      <w:r>
        <w:rPr>
          <w:rFonts w:ascii="Times New Roman" w:hAnsi="Times New Roman" w:cs="Times New Roman"/>
          <w:sz w:val="24"/>
          <w:szCs w:val="24"/>
        </w:rPr>
        <w:t>n</w:t>
      </w:r>
      <w:r>
        <w:rPr>
          <w:rFonts w:ascii="Times New Roman" w:hAnsi="Times New Roman" w:cs="Times New Roman"/>
          <w:sz w:val="24"/>
          <w:szCs w:val="24"/>
          <w:highlight w:val="yellow"/>
        </w:rPr>
        <w:t>der</w:t>
      </w:r>
      <w:r>
        <w:rPr>
          <w:rFonts w:ascii="Times New Roman" w:hAnsi="Times New Roman" w:cs="Times New Roman"/>
          <w:sz w:val="24"/>
          <w:szCs w:val="24"/>
        </w:rPr>
        <w:t xml:space="preserve"> farm than field condition</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bCs/>
          <w:sz w:val="24"/>
          <w:szCs w:val="24"/>
        </w:rPr>
        <w:t>Table</w:t>
      </w:r>
      <w:r>
        <w:rPr>
          <w:rFonts w:ascii="Times New Roman" w:hAnsi="Times New Roman" w:cs="Times New Roman"/>
          <w:b/>
          <w:bCs/>
          <w:sz w:val="24"/>
          <w:szCs w:val="24"/>
        </w:rPr>
        <w:t xml:space="preserve"> </w:t>
      </w:r>
      <w:r>
        <w:rPr>
          <w:rFonts w:ascii="Times New Roman" w:hAnsi="Times New Roman" w:cs="Times New Roman"/>
          <w:sz w:val="24"/>
          <w:szCs w:val="24"/>
        </w:rPr>
        <w:lastRenderedPageBreak/>
        <w:t>4.2.5</w:t>
      </w:r>
      <w:r>
        <w:rPr>
          <w:rFonts w:ascii="Times New Roman" w:hAnsi="Times New Roman" w:cs="Times New Roman"/>
          <w:bCs/>
          <w:sz w:val="24"/>
          <w:szCs w:val="24"/>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The</w:t>
      </w:r>
      <w:r>
        <w:rPr>
          <w:rFonts w:ascii="Times New Roman" w:hAnsi="Times New Roman" w:cs="Times New Roman"/>
          <w:sz w:val="24"/>
          <w:szCs w:val="24"/>
        </w:rPr>
        <w:t xml:space="preserve"> </w:t>
      </w:r>
      <w:r>
        <w:rPr>
          <w:rFonts w:ascii="Times New Roman" w:hAnsi="Times New Roman" w:cs="Times New Roman"/>
          <w:sz w:val="24"/>
          <w:szCs w:val="24"/>
          <w:highlight w:val="yellow"/>
        </w:rPr>
        <w:t>l</w:t>
      </w:r>
      <w:r>
        <w:rPr>
          <w:rFonts w:ascii="Times New Roman" w:hAnsi="Times New Roman" w:cs="Times New Roman"/>
          <w:sz w:val="24"/>
          <w:szCs w:val="24"/>
        </w:rPr>
        <w:t>ower</w:t>
      </w:r>
      <w:r>
        <w:rPr>
          <w:rFonts w:ascii="Times New Roman" w:hAnsi="Times New Roman" w:cs="Times New Roman"/>
          <w:sz w:val="24"/>
          <w:szCs w:val="24"/>
          <w:highlight w:val="yellow"/>
        </w:rPr>
        <w:t xml:space="preserve"> SCC</w:t>
      </w:r>
      <w:r>
        <w:rPr>
          <w:rFonts w:ascii="Times New Roman" w:hAnsi="Times New Roman" w:cs="Times New Roman"/>
          <w:sz w:val="24"/>
          <w:szCs w:val="24"/>
        </w:rPr>
        <w:t xml:space="preserve"> value </w:t>
      </w:r>
      <w:r>
        <w:rPr>
          <w:rFonts w:ascii="Times New Roman" w:hAnsi="Times New Roman" w:cs="Times New Roman"/>
          <w:sz w:val="24"/>
          <w:szCs w:val="24"/>
          <w:highlight w:val="yellow"/>
        </w:rPr>
        <w:t>u</w:t>
      </w:r>
      <w:r>
        <w:rPr>
          <w:rFonts w:ascii="Times New Roman" w:hAnsi="Times New Roman" w:cs="Times New Roman"/>
          <w:sz w:val="24"/>
          <w:szCs w:val="24"/>
        </w:rPr>
        <w:t>n</w:t>
      </w:r>
      <w:r>
        <w:rPr>
          <w:rFonts w:ascii="Times New Roman" w:hAnsi="Times New Roman" w:cs="Times New Roman"/>
          <w:sz w:val="24"/>
          <w:szCs w:val="24"/>
          <w:highlight w:val="yellow"/>
        </w:rPr>
        <w:t>der</w:t>
      </w:r>
      <w:r>
        <w:rPr>
          <w:rFonts w:ascii="Times New Roman" w:hAnsi="Times New Roman" w:cs="Times New Roman"/>
          <w:sz w:val="24"/>
          <w:szCs w:val="24"/>
        </w:rPr>
        <w:t xml:space="preserve"> field</w:t>
      </w:r>
      <w:r>
        <w:rPr>
          <w:rFonts w:ascii="Times New Roman" w:hAnsi="Times New Roman" w:cs="Times New Roman"/>
          <w:sz w:val="24"/>
          <w:szCs w:val="24"/>
          <w:highlight w:val="yellow"/>
        </w:rPr>
        <w:t xml:space="preserve"> conditions</w:t>
      </w:r>
      <w:r>
        <w:rPr>
          <w:rFonts w:ascii="Times New Roman" w:hAnsi="Times New Roman" w:cs="Times New Roman"/>
          <w:sz w:val="24"/>
          <w:szCs w:val="24"/>
        </w:rPr>
        <w:t xml:space="preserve"> can be explained by good feeding </w:t>
      </w:r>
      <w:r>
        <w:rPr>
          <w:rFonts w:ascii="Times New Roman" w:hAnsi="Times New Roman" w:cs="Times New Roman"/>
          <w:sz w:val="24"/>
          <w:szCs w:val="24"/>
          <w:highlight w:val="yellow"/>
        </w:rPr>
        <w:t xml:space="preserve">and </w:t>
      </w:r>
      <w:r>
        <w:rPr>
          <w:rFonts w:ascii="Times New Roman" w:hAnsi="Times New Roman" w:cs="Times New Roman"/>
          <w:sz w:val="24"/>
          <w:szCs w:val="24"/>
        </w:rPr>
        <w:t>management practices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as</w:t>
      </w:r>
      <w:r>
        <w:rPr>
          <w:rFonts w:ascii="Times New Roman" w:hAnsi="Times New Roman" w:cs="Times New Roman"/>
          <w:sz w:val="24"/>
          <w:szCs w:val="24"/>
        </w:rPr>
        <w:t xml:space="preserve"> fi</w:t>
      </w:r>
      <w:r>
        <w:rPr>
          <w:rFonts w:ascii="Times New Roman" w:hAnsi="Times New Roman" w:cs="Times New Roman"/>
          <w:sz w:val="24"/>
          <w:szCs w:val="24"/>
          <w:highlight w:val="yellow"/>
        </w:rPr>
        <w:t>e</w:t>
      </w:r>
      <w:r>
        <w:rPr>
          <w:rFonts w:ascii="Times New Roman" w:hAnsi="Times New Roman" w:cs="Times New Roman"/>
          <w:sz w:val="24"/>
          <w:szCs w:val="24"/>
        </w:rPr>
        <w:t>ld goats are allowed to graze freely</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wh</w:t>
      </w:r>
      <w:r>
        <w:rPr>
          <w:rFonts w:ascii="Times New Roman" w:hAnsi="Times New Roman" w:cs="Times New Roman"/>
          <w:sz w:val="24"/>
          <w:szCs w:val="24"/>
        </w:rPr>
        <w:t>i</w:t>
      </w:r>
      <w:r>
        <w:rPr>
          <w:rFonts w:ascii="Times New Roman" w:hAnsi="Times New Roman" w:cs="Times New Roman"/>
          <w:sz w:val="24"/>
          <w:szCs w:val="24"/>
          <w:highlight w:val="yellow"/>
        </w:rPr>
        <w:t>ch</w:t>
      </w:r>
      <w:r>
        <w:rPr>
          <w:rFonts w:ascii="Times New Roman" w:hAnsi="Times New Roman" w:cs="Times New Roman"/>
          <w:sz w:val="24"/>
          <w:szCs w:val="24"/>
        </w:rPr>
        <w:t xml:space="preserve"> is expected to have</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positive impact on their immunity. </w:t>
      </w:r>
      <w:r>
        <w:rPr>
          <w:rFonts w:ascii="Times New Roman" w:hAnsi="Times New Roman" w:cs="Times New Roman"/>
          <w:sz w:val="24"/>
          <w:szCs w:val="24"/>
          <w:highlight w:val="yellow"/>
        </w:rPr>
        <w:t>Regarding o</w:t>
      </w:r>
      <w:r>
        <w:rPr>
          <w:rFonts w:ascii="Times New Roman" w:hAnsi="Times New Roman" w:cs="Times New Roman"/>
          <w:sz w:val="24"/>
          <w:szCs w:val="24"/>
        </w:rPr>
        <w:t xml:space="preserve">ther management practices, 96.42% of respondents washed </w:t>
      </w:r>
      <w:r>
        <w:rPr>
          <w:rFonts w:ascii="Times New Roman" w:hAnsi="Times New Roman" w:cs="Times New Roman"/>
          <w:sz w:val="24"/>
          <w:szCs w:val="24"/>
          <w:highlight w:val="yellow"/>
        </w:rPr>
        <w:t xml:space="preserve">the </w:t>
      </w:r>
      <w:r>
        <w:rPr>
          <w:rFonts w:ascii="Times New Roman" w:hAnsi="Times New Roman" w:cs="Times New Roman"/>
          <w:sz w:val="24"/>
          <w:szCs w:val="24"/>
        </w:rPr>
        <w:t>animal</w:t>
      </w:r>
      <w:r>
        <w:rPr>
          <w:rFonts w:ascii="Times New Roman" w:hAnsi="Times New Roman" w:cs="Times New Roman"/>
          <w:sz w:val="24"/>
          <w:szCs w:val="24"/>
          <w:highlight w:val="yellow"/>
        </w:rPr>
        <w:t>s</w:t>
      </w:r>
      <w:r>
        <w:rPr>
          <w:rFonts w:ascii="Times New Roman" w:hAnsi="Times New Roman" w:cs="Times New Roman"/>
          <w:sz w:val="24"/>
          <w:szCs w:val="24"/>
        </w:rPr>
        <w:t>’ udder</w:t>
      </w:r>
      <w:r>
        <w:rPr>
          <w:rFonts w:ascii="Times New Roman" w:hAnsi="Times New Roman" w:cs="Times New Roman"/>
          <w:sz w:val="24"/>
          <w:szCs w:val="24"/>
          <w:highlight w:val="yellow"/>
        </w:rPr>
        <w:t>s</w:t>
      </w:r>
      <w:r>
        <w:rPr>
          <w:rFonts w:ascii="Times New Roman" w:hAnsi="Times New Roman" w:cs="Times New Roman"/>
          <w:sz w:val="24"/>
          <w:szCs w:val="24"/>
        </w:rPr>
        <w:t xml:space="preserve"> before milking</w:t>
      </w:r>
      <w:r>
        <w:rPr>
          <w:rFonts w:ascii="Times New Roman" w:hAnsi="Times New Roman" w:cs="Times New Roman"/>
          <w:sz w:val="24"/>
          <w:szCs w:val="24"/>
          <w:highlight w:val="yellow"/>
        </w:rPr>
        <w:t>,</w:t>
      </w:r>
      <w:r>
        <w:rPr>
          <w:rFonts w:ascii="Times New Roman" w:hAnsi="Times New Roman" w:cs="Times New Roman"/>
          <w:sz w:val="24"/>
          <w:szCs w:val="24"/>
        </w:rPr>
        <w:t xml:space="preserve"> and all farmers washed the utensils before milking. </w:t>
      </w:r>
      <w:r>
        <w:rPr>
          <w:rFonts w:ascii="Times New Roman" w:hAnsi="Times New Roman" w:cs="Times New Roman"/>
          <w:sz w:val="24"/>
          <w:szCs w:val="24"/>
          <w:highlight w:val="yellow"/>
        </w:rPr>
        <w:t>Regardi</w:t>
      </w:r>
      <w:r>
        <w:rPr>
          <w:rFonts w:ascii="Times New Roman" w:hAnsi="Times New Roman" w:cs="Times New Roman"/>
          <w:sz w:val="24"/>
          <w:szCs w:val="24"/>
        </w:rPr>
        <w:t xml:space="preserve">ng milker/handler </w:t>
      </w:r>
      <w:r>
        <w:rPr>
          <w:rFonts w:ascii="Times New Roman" w:hAnsi="Times New Roman" w:cs="Times New Roman"/>
          <w:sz w:val="24"/>
          <w:szCs w:val="24"/>
          <w:highlight w:val="yellow"/>
        </w:rPr>
        <w:t xml:space="preserve">hygiene, </w:t>
      </w:r>
      <w:r>
        <w:rPr>
          <w:rFonts w:ascii="Times New Roman" w:hAnsi="Times New Roman" w:cs="Times New Roman"/>
          <w:sz w:val="24"/>
          <w:szCs w:val="24"/>
        </w:rPr>
        <w:t>all respondents washed their hands before milking</w:t>
      </w:r>
      <w:r>
        <w:rPr>
          <w:rFonts w:ascii="Times New Roman" w:hAnsi="Times New Roman" w:cs="Times New Roman"/>
          <w:sz w:val="24"/>
          <w:szCs w:val="24"/>
          <w:highlight w:val="yellow"/>
        </w:rPr>
        <w:t>,</w:t>
      </w:r>
      <w:r>
        <w:rPr>
          <w:rFonts w:ascii="Times New Roman" w:hAnsi="Times New Roman" w:cs="Times New Roman"/>
          <w:sz w:val="24"/>
          <w:szCs w:val="24"/>
        </w:rPr>
        <w:t xml:space="preserve"> but 55.35% wore dusty, old</w:t>
      </w:r>
      <w:r>
        <w:rPr>
          <w:rFonts w:ascii="Times New Roman" w:hAnsi="Times New Roman" w:cs="Times New Roman"/>
          <w:sz w:val="24"/>
          <w:szCs w:val="24"/>
          <w:highlight w:val="yellow"/>
        </w:rPr>
        <w:t>,</w:t>
      </w:r>
      <w:r>
        <w:rPr>
          <w:rFonts w:ascii="Times New Roman" w:hAnsi="Times New Roman" w:cs="Times New Roman"/>
          <w:sz w:val="24"/>
          <w:szCs w:val="24"/>
        </w:rPr>
        <w:t xml:space="preserve"> unclean clothes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w</w:t>
      </w:r>
      <w:r>
        <w:rPr>
          <w:rFonts w:ascii="Times New Roman" w:hAnsi="Times New Roman" w:cs="Times New Roman"/>
          <w:sz w:val="24"/>
          <w:szCs w:val="24"/>
        </w:rPr>
        <w:t xml:space="preserve">hile 44.64% </w:t>
      </w:r>
      <w:r>
        <w:rPr>
          <w:rFonts w:ascii="Times New Roman" w:hAnsi="Times New Roman" w:cs="Times New Roman"/>
          <w:sz w:val="24"/>
          <w:szCs w:val="24"/>
          <w:highlight w:val="yellow"/>
        </w:rPr>
        <w:t>maintain</w:t>
      </w:r>
      <w:r>
        <w:rPr>
          <w:rFonts w:ascii="Times New Roman" w:hAnsi="Times New Roman" w:cs="Times New Roman"/>
          <w:sz w:val="24"/>
          <w:szCs w:val="24"/>
        </w:rPr>
        <w:t>e</w:t>
      </w:r>
      <w:r>
        <w:rPr>
          <w:rFonts w:ascii="Times New Roman" w:hAnsi="Times New Roman" w:cs="Times New Roman"/>
          <w:sz w:val="24"/>
          <w:szCs w:val="24"/>
          <w:highlight w:val="yellow"/>
        </w:rPr>
        <w:t>d</w:t>
      </w:r>
      <w:r>
        <w:rPr>
          <w:rFonts w:ascii="Times New Roman" w:hAnsi="Times New Roman" w:cs="Times New Roman"/>
          <w:sz w:val="24"/>
          <w:szCs w:val="24"/>
        </w:rPr>
        <w:t xml:space="preserve"> proper hygien</w:t>
      </w:r>
      <w:r>
        <w:rPr>
          <w:rFonts w:ascii="Times New Roman" w:hAnsi="Times New Roman" w:cs="Times New Roman"/>
          <w:sz w:val="24"/>
          <w:szCs w:val="24"/>
          <w:highlight w:val="yellow"/>
        </w:rPr>
        <w:t>e</w:t>
      </w:r>
      <w:r>
        <w:rPr>
          <w:rFonts w:ascii="Times New Roman" w:hAnsi="Times New Roman" w:cs="Times New Roman"/>
          <w:sz w:val="24"/>
          <w:szCs w:val="24"/>
        </w:rPr>
        <w:t>.</w:t>
      </w:r>
      <w:r>
        <w:rPr>
          <w:rFonts w:ascii="Times New Roman" w:hAnsi="Times New Roman" w:cs="Times New Roman"/>
          <w:sz w:val="24"/>
          <w:szCs w:val="24"/>
          <w:highlight w:val="yellow"/>
        </w:rPr>
        <w:t xml:space="preserve"> A total of </w:t>
      </w:r>
      <w:r>
        <w:rPr>
          <w:rFonts w:ascii="Times New Roman" w:hAnsi="Times New Roman" w:cs="Times New Roman"/>
          <w:sz w:val="24"/>
          <w:szCs w:val="24"/>
        </w:rPr>
        <w:t>10.71% of farmers regularly cleaned their shed</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o</w:t>
      </w:r>
      <w:r>
        <w:rPr>
          <w:rFonts w:ascii="Times New Roman" w:hAnsi="Times New Roman" w:cs="Times New Roman"/>
          <w:sz w:val="24"/>
          <w:szCs w:val="24"/>
        </w:rPr>
        <w:t>f urine and dung</w:t>
      </w:r>
      <w:r>
        <w:rPr>
          <w:rFonts w:ascii="Times New Roman" w:hAnsi="Times New Roman" w:cs="Times New Roman"/>
          <w:sz w:val="24"/>
          <w:szCs w:val="24"/>
          <w:highlight w:val="yellow"/>
        </w:rPr>
        <w:t>,</w:t>
      </w:r>
      <w:r>
        <w:rPr>
          <w:rFonts w:ascii="Times New Roman" w:hAnsi="Times New Roman" w:cs="Times New Roman"/>
          <w:sz w:val="24"/>
          <w:szCs w:val="24"/>
        </w:rPr>
        <w:t xml:space="preserve"> while 89.28% did not clean their shed</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O</w:t>
      </w:r>
      <w:r>
        <w:rPr>
          <w:rFonts w:ascii="Times New Roman" w:hAnsi="Times New Roman" w:cs="Times New Roman"/>
          <w:sz w:val="24"/>
          <w:szCs w:val="24"/>
        </w:rPr>
        <w:t>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farm</w:t>
      </w:r>
      <w:r>
        <w:rPr>
          <w:rFonts w:ascii="Times New Roman" w:hAnsi="Times New Roman" w:cs="Times New Roman"/>
          <w:sz w:val="24"/>
          <w:szCs w:val="24"/>
          <w:highlight w:val="yellow"/>
        </w:rPr>
        <w:t>,</w:t>
      </w:r>
      <w:r>
        <w:rPr>
          <w:rFonts w:ascii="Times New Roman" w:hAnsi="Times New Roman" w:cs="Times New Roman"/>
          <w:sz w:val="24"/>
          <w:szCs w:val="24"/>
        </w:rPr>
        <w:t xml:space="preserve"> all goats were housed in</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semi-intensive system and were fed in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shed.</w:t>
      </w:r>
    </w:p>
    <w:p w14:paraId="17ABE44E" w14:textId="77777777" w:rsidR="00CB7A50" w:rsidRPr="002F4C1B" w:rsidRDefault="00CB7A50" w:rsidP="002F4C1B">
      <w:pPr>
        <w:spacing w:before="120" w:after="120" w:line="360" w:lineRule="auto"/>
        <w:ind w:firstLine="567"/>
        <w:jc w:val="both"/>
        <w:rPr>
          <w:rFonts w:ascii="Times New Roman" w:hAnsi="Times New Roman" w:cs="Times New Roman"/>
          <w:sz w:val="24"/>
          <w:szCs w:val="24"/>
        </w:rPr>
      </w:pPr>
      <w:r w:rsidRPr="002F4C1B">
        <w:rPr>
          <w:rFonts w:ascii="Times New Roman" w:hAnsi="Times New Roman" w:cs="Times New Roman"/>
          <w:b/>
          <w:noProof/>
          <w:sz w:val="24"/>
          <w:szCs w:val="24"/>
        </w:rPr>
        <w:drawing>
          <wp:inline distT="0" distB="0" distL="0" distR="0" wp14:anchorId="47667394" wp14:editId="406CBDAC">
            <wp:extent cx="2520315" cy="3061335"/>
            <wp:effectExtent l="38100" t="19050" r="13335" b="24765"/>
            <wp:docPr id="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srcRect/>
                    <a:stretch>
                      <a:fillRect/>
                    </a:stretch>
                  </pic:blipFill>
                  <pic:spPr bwMode="auto">
                    <a:xfrm>
                      <a:off x="0" y="0"/>
                      <a:ext cx="2520315" cy="3061335"/>
                    </a:xfrm>
                    <a:prstGeom prst="rect">
                      <a:avLst/>
                    </a:prstGeom>
                    <a:noFill/>
                    <a:ln w="9525" cmpd="sng">
                      <a:solidFill>
                        <a:srgbClr val="000000"/>
                      </a:solidFill>
                      <a:miter lim="800000"/>
                      <a:headEnd/>
                      <a:tailEnd/>
                    </a:ln>
                    <a:effectLst/>
                  </pic:spPr>
                </pic:pic>
              </a:graphicData>
            </a:graphic>
          </wp:inline>
        </w:drawing>
      </w:r>
      <w:r w:rsidRPr="002F4C1B">
        <w:rPr>
          <w:rFonts w:ascii="Times New Roman" w:hAnsi="Times New Roman" w:cs="Times New Roman"/>
          <w:noProof/>
          <w:sz w:val="24"/>
          <w:szCs w:val="24"/>
        </w:rPr>
        <w:drawing>
          <wp:inline distT="0" distB="0" distL="0" distR="0" wp14:anchorId="26B53F36" wp14:editId="1246B849">
            <wp:extent cx="2536190" cy="3108960"/>
            <wp:effectExtent l="19050" t="19050" r="16510" b="15240"/>
            <wp:docPr id="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srcRect/>
                    <a:stretch>
                      <a:fillRect/>
                    </a:stretch>
                  </pic:blipFill>
                  <pic:spPr bwMode="auto">
                    <a:xfrm>
                      <a:off x="0" y="0"/>
                      <a:ext cx="2536190" cy="3108960"/>
                    </a:xfrm>
                    <a:prstGeom prst="rect">
                      <a:avLst/>
                    </a:prstGeom>
                    <a:noFill/>
                    <a:ln w="9525" cmpd="sng">
                      <a:solidFill>
                        <a:srgbClr val="000000"/>
                      </a:solidFill>
                      <a:miter lim="800000"/>
                      <a:headEnd/>
                      <a:tailEnd/>
                    </a:ln>
                    <a:effectLst/>
                  </pic:spPr>
                </pic:pic>
              </a:graphicData>
            </a:graphic>
          </wp:inline>
        </w:drawing>
      </w:r>
    </w:p>
    <w:p w14:paraId="38623916" w14:textId="77777777" w:rsidR="00CB7A50" w:rsidRDefault="00CB7A50" w:rsidP="002F4C1B">
      <w:pPr>
        <w:tabs>
          <w:tab w:val="left" w:pos="5190"/>
        </w:tabs>
        <w:spacing w:before="120" w:after="120" w:line="360" w:lineRule="auto"/>
        <w:jc w:val="both"/>
        <w:rPr>
          <w:rFonts w:ascii="Times New Roman" w:hAnsi="Times New Roman" w:cs="Times New Roman"/>
          <w:sz w:val="24"/>
          <w:szCs w:val="24"/>
        </w:rPr>
      </w:pPr>
      <w:r w:rsidRPr="002F4C1B">
        <w:rPr>
          <w:rFonts w:ascii="Times New Roman" w:eastAsia="Times New Roman" w:hAnsi="Times New Roman" w:cs="Times New Roman"/>
          <w:b/>
          <w:bCs/>
          <w:sz w:val="24"/>
          <w:szCs w:val="24"/>
          <w:lang w:eastAsia="en-IN"/>
        </w:rPr>
        <w:t xml:space="preserve">Fig </w:t>
      </w:r>
      <w:r w:rsidR="002F4C1B" w:rsidRPr="002F4C1B">
        <w:rPr>
          <w:rFonts w:ascii="Times New Roman" w:hAnsi="Times New Roman" w:cs="Times New Roman"/>
          <w:b/>
          <w:bCs/>
          <w:sz w:val="24"/>
          <w:szCs w:val="24"/>
        </w:rPr>
        <w:t>1</w:t>
      </w:r>
      <w:r w:rsidRPr="002F4C1B">
        <w:rPr>
          <w:rFonts w:ascii="Times New Roman" w:eastAsia="Times New Roman" w:hAnsi="Times New Roman" w:cs="Times New Roman"/>
          <w:b/>
          <w:bCs/>
          <w:sz w:val="24"/>
          <w:szCs w:val="24"/>
          <w:lang w:eastAsia="en-IN"/>
        </w:rPr>
        <w:t xml:space="preserve">: </w:t>
      </w:r>
      <w:r w:rsidRPr="002F4C1B">
        <w:rPr>
          <w:rFonts w:ascii="Times New Roman" w:hAnsi="Times New Roman" w:cs="Times New Roman"/>
          <w:sz w:val="24"/>
          <w:szCs w:val="24"/>
        </w:rPr>
        <w:t>Washing of udder before milking</w:t>
      </w:r>
      <w:r w:rsidRPr="002F4C1B">
        <w:rPr>
          <w:rFonts w:ascii="Times New Roman" w:eastAsia="Times New Roman" w:hAnsi="Times New Roman" w:cs="Times New Roman"/>
          <w:b/>
          <w:bCs/>
          <w:sz w:val="24"/>
          <w:szCs w:val="24"/>
          <w:lang w:eastAsia="en-IN"/>
        </w:rPr>
        <w:t xml:space="preserve">        </w:t>
      </w:r>
      <w:r w:rsidR="00AA4F23" w:rsidRPr="002F4C1B">
        <w:rPr>
          <w:rFonts w:ascii="Times New Roman" w:eastAsia="Times New Roman" w:hAnsi="Times New Roman" w:cs="Times New Roman"/>
          <w:b/>
          <w:bCs/>
          <w:sz w:val="24"/>
          <w:szCs w:val="24"/>
          <w:lang w:eastAsia="en-IN"/>
        </w:rPr>
        <w:t xml:space="preserve">     </w:t>
      </w:r>
      <w:r w:rsidRPr="002F4C1B">
        <w:rPr>
          <w:rFonts w:ascii="Times New Roman" w:eastAsia="Times New Roman" w:hAnsi="Times New Roman" w:cs="Times New Roman"/>
          <w:b/>
          <w:bCs/>
          <w:sz w:val="24"/>
          <w:szCs w:val="24"/>
          <w:lang w:eastAsia="en-IN"/>
        </w:rPr>
        <w:t xml:space="preserve">Fig </w:t>
      </w:r>
      <w:r w:rsidR="002F4C1B" w:rsidRPr="002F4C1B">
        <w:rPr>
          <w:rFonts w:ascii="Times New Roman" w:hAnsi="Times New Roman" w:cs="Times New Roman"/>
          <w:b/>
          <w:bCs/>
          <w:sz w:val="24"/>
          <w:szCs w:val="24"/>
        </w:rPr>
        <w:t>2</w:t>
      </w:r>
      <w:r w:rsidRPr="002F4C1B">
        <w:rPr>
          <w:rFonts w:ascii="Times New Roman" w:eastAsia="Times New Roman" w:hAnsi="Times New Roman" w:cs="Times New Roman"/>
          <w:b/>
          <w:bCs/>
          <w:sz w:val="24"/>
          <w:szCs w:val="24"/>
          <w:lang w:eastAsia="en-IN"/>
        </w:rPr>
        <w:t xml:space="preserve">: </w:t>
      </w:r>
      <w:r w:rsidRPr="002F4C1B">
        <w:rPr>
          <w:rFonts w:ascii="Times New Roman" w:hAnsi="Times New Roman" w:cs="Times New Roman"/>
          <w:sz w:val="24"/>
          <w:szCs w:val="24"/>
        </w:rPr>
        <w:t>Washing of utensils</w:t>
      </w:r>
    </w:p>
    <w:p w14:paraId="2B34D60A" w14:textId="77777777" w:rsidR="00E37CAB" w:rsidRPr="002F4C1B" w:rsidRDefault="00E37CAB" w:rsidP="002F4C1B">
      <w:pPr>
        <w:tabs>
          <w:tab w:val="left" w:pos="5190"/>
        </w:tabs>
        <w:spacing w:before="120" w:after="120" w:line="360" w:lineRule="auto"/>
        <w:jc w:val="both"/>
        <w:rPr>
          <w:rFonts w:ascii="Times New Roman" w:hAnsi="Times New Roman" w:cs="Times New Roman"/>
          <w:sz w:val="24"/>
          <w:szCs w:val="24"/>
        </w:rPr>
      </w:pPr>
    </w:p>
    <w:p w14:paraId="2503F754" w14:textId="77777777" w:rsidR="00CB7A50" w:rsidRPr="002F4C1B" w:rsidRDefault="00CB7A50" w:rsidP="002F4C1B">
      <w:pPr>
        <w:spacing w:before="120" w:after="120" w:line="360" w:lineRule="auto"/>
        <w:jc w:val="both"/>
        <w:rPr>
          <w:rFonts w:ascii="Times New Roman" w:hAnsi="Times New Roman" w:cs="Times New Roman"/>
          <w:sz w:val="24"/>
          <w:szCs w:val="24"/>
        </w:rPr>
      </w:pPr>
      <w:r w:rsidRPr="002F4C1B">
        <w:rPr>
          <w:rFonts w:ascii="Times New Roman" w:hAnsi="Times New Roman" w:cs="Times New Roman"/>
          <w:noProof/>
          <w:sz w:val="24"/>
          <w:szCs w:val="24"/>
        </w:rPr>
        <w:lastRenderedPageBreak/>
        <w:drawing>
          <wp:inline distT="0" distB="0" distL="0" distR="0" wp14:anchorId="3E188ECD" wp14:editId="4F2B36D9">
            <wp:extent cx="2433320" cy="2966085"/>
            <wp:effectExtent l="19050" t="19050" r="24130" b="24765"/>
            <wp:docPr id="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srcRect/>
                    <a:stretch>
                      <a:fillRect/>
                    </a:stretch>
                  </pic:blipFill>
                  <pic:spPr bwMode="auto">
                    <a:xfrm>
                      <a:off x="0" y="0"/>
                      <a:ext cx="2433320" cy="2966085"/>
                    </a:xfrm>
                    <a:prstGeom prst="rect">
                      <a:avLst/>
                    </a:prstGeom>
                    <a:noFill/>
                    <a:ln w="9525" cmpd="sng">
                      <a:solidFill>
                        <a:srgbClr val="000000"/>
                      </a:solidFill>
                      <a:miter lim="800000"/>
                      <a:headEnd/>
                      <a:tailEnd/>
                    </a:ln>
                    <a:effectLst/>
                  </pic:spPr>
                </pic:pic>
              </a:graphicData>
            </a:graphic>
          </wp:inline>
        </w:drawing>
      </w:r>
      <w:r w:rsidRPr="002F4C1B">
        <w:rPr>
          <w:rFonts w:ascii="Times New Roman" w:hAnsi="Times New Roman" w:cs="Times New Roman"/>
          <w:noProof/>
          <w:sz w:val="24"/>
          <w:szCs w:val="24"/>
        </w:rPr>
        <w:drawing>
          <wp:inline distT="0" distB="0" distL="0" distR="0" wp14:anchorId="47E3FDA5" wp14:editId="1086827A">
            <wp:extent cx="2512695" cy="2950210"/>
            <wp:effectExtent l="38100" t="19050" r="20955" b="21590"/>
            <wp:docPr id="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srcRect/>
                    <a:stretch>
                      <a:fillRect/>
                    </a:stretch>
                  </pic:blipFill>
                  <pic:spPr bwMode="auto">
                    <a:xfrm>
                      <a:off x="0" y="0"/>
                      <a:ext cx="2512695" cy="2950210"/>
                    </a:xfrm>
                    <a:prstGeom prst="rect">
                      <a:avLst/>
                    </a:prstGeom>
                    <a:noFill/>
                    <a:ln w="9525" cmpd="sng">
                      <a:solidFill>
                        <a:srgbClr val="000000"/>
                      </a:solidFill>
                      <a:miter lim="800000"/>
                      <a:headEnd/>
                      <a:tailEnd/>
                    </a:ln>
                    <a:effectLst/>
                  </pic:spPr>
                </pic:pic>
              </a:graphicData>
            </a:graphic>
          </wp:inline>
        </w:drawing>
      </w:r>
    </w:p>
    <w:p w14:paraId="2434261D" w14:textId="77777777" w:rsidR="0094784A" w:rsidRDefault="00CB7A50" w:rsidP="002F4C1B">
      <w:pPr>
        <w:spacing w:before="120" w:after="120" w:line="360" w:lineRule="auto"/>
        <w:jc w:val="both"/>
        <w:rPr>
          <w:rFonts w:ascii="Times New Roman" w:hAnsi="Times New Roman" w:cs="Times New Roman"/>
          <w:sz w:val="24"/>
          <w:szCs w:val="24"/>
        </w:rPr>
      </w:pPr>
      <w:r w:rsidRPr="002F4C1B">
        <w:rPr>
          <w:rFonts w:ascii="Times New Roman" w:eastAsia="Times New Roman" w:hAnsi="Times New Roman" w:cs="Times New Roman"/>
          <w:b/>
          <w:bCs/>
          <w:sz w:val="24"/>
          <w:szCs w:val="24"/>
          <w:lang w:eastAsia="en-IN"/>
        </w:rPr>
        <w:t xml:space="preserve">Fig </w:t>
      </w:r>
      <w:r w:rsidR="002F4C1B" w:rsidRPr="002F4C1B">
        <w:rPr>
          <w:rFonts w:ascii="Times New Roman" w:hAnsi="Times New Roman" w:cs="Times New Roman"/>
          <w:b/>
          <w:bCs/>
          <w:sz w:val="24"/>
          <w:szCs w:val="24"/>
        </w:rPr>
        <w:t>3</w:t>
      </w:r>
      <w:r w:rsidRPr="002F4C1B">
        <w:rPr>
          <w:rFonts w:ascii="Times New Roman" w:eastAsia="Times New Roman" w:hAnsi="Times New Roman" w:cs="Times New Roman"/>
          <w:b/>
          <w:bCs/>
          <w:sz w:val="24"/>
          <w:szCs w:val="24"/>
          <w:lang w:eastAsia="en-IN"/>
        </w:rPr>
        <w:t xml:space="preserve">: </w:t>
      </w:r>
      <w:r w:rsidRPr="002F4C1B">
        <w:rPr>
          <w:rFonts w:ascii="Times New Roman" w:hAnsi="Times New Roman" w:cs="Times New Roman"/>
          <w:sz w:val="24"/>
          <w:szCs w:val="24"/>
        </w:rPr>
        <w:t xml:space="preserve">Cleanliness of handler/milker     </w:t>
      </w:r>
      <w:r w:rsidRPr="002F4C1B">
        <w:rPr>
          <w:rFonts w:ascii="Times New Roman" w:eastAsia="Times New Roman" w:hAnsi="Times New Roman" w:cs="Times New Roman"/>
          <w:b/>
          <w:bCs/>
          <w:sz w:val="24"/>
          <w:szCs w:val="24"/>
          <w:lang w:eastAsia="en-IN"/>
        </w:rPr>
        <w:t xml:space="preserve">Fig </w:t>
      </w:r>
      <w:r w:rsidR="002F4C1B" w:rsidRPr="002F4C1B">
        <w:rPr>
          <w:rFonts w:ascii="Times New Roman" w:hAnsi="Times New Roman" w:cs="Times New Roman"/>
          <w:b/>
          <w:bCs/>
          <w:sz w:val="24"/>
          <w:szCs w:val="24"/>
        </w:rPr>
        <w:t>4</w:t>
      </w:r>
      <w:r w:rsidRPr="002F4C1B">
        <w:rPr>
          <w:rFonts w:ascii="Times New Roman" w:eastAsia="Times New Roman" w:hAnsi="Times New Roman" w:cs="Times New Roman"/>
          <w:b/>
          <w:bCs/>
          <w:sz w:val="24"/>
          <w:szCs w:val="24"/>
          <w:lang w:eastAsia="en-IN"/>
        </w:rPr>
        <w:t xml:space="preserve">: </w:t>
      </w:r>
      <w:r w:rsidRPr="002F4C1B">
        <w:rPr>
          <w:rFonts w:ascii="Times New Roman" w:hAnsi="Times New Roman" w:cs="Times New Roman"/>
          <w:sz w:val="24"/>
          <w:szCs w:val="24"/>
        </w:rPr>
        <w:t>Drainage system</w:t>
      </w:r>
    </w:p>
    <w:p w14:paraId="7FA6DCC8" w14:textId="77777777" w:rsidR="002F4C1B" w:rsidRPr="0094784A" w:rsidRDefault="00846B80" w:rsidP="002F4C1B">
      <w:pPr>
        <w:spacing w:before="120" w:after="120" w:line="360" w:lineRule="auto"/>
        <w:jc w:val="both"/>
        <w:rPr>
          <w:rFonts w:ascii="Times New Roman" w:hAnsi="Times New Roman" w:cs="Times New Roman"/>
          <w:sz w:val="24"/>
          <w:szCs w:val="24"/>
        </w:rPr>
      </w:pPr>
      <w:r w:rsidRPr="002F4C1B">
        <w:rPr>
          <w:rFonts w:ascii="Times New Roman" w:hAnsi="Times New Roman" w:cs="Times New Roman"/>
          <w:b/>
          <w:sz w:val="24"/>
          <w:szCs w:val="24"/>
        </w:rPr>
        <w:t xml:space="preserve"> </w:t>
      </w:r>
    </w:p>
    <w:p w14:paraId="3F70D1FA" w14:textId="77777777" w:rsidR="009D79F9" w:rsidRPr="002F4C1B" w:rsidRDefault="009D79F9" w:rsidP="002F4C1B">
      <w:pPr>
        <w:spacing w:before="120" w:after="120" w:line="360" w:lineRule="auto"/>
        <w:jc w:val="both"/>
        <w:rPr>
          <w:rFonts w:ascii="Times New Roman" w:hAnsi="Times New Roman" w:cs="Times New Roman"/>
          <w:b/>
          <w:sz w:val="24"/>
          <w:szCs w:val="24"/>
        </w:rPr>
      </w:pPr>
      <w:r w:rsidRPr="002F4C1B">
        <w:rPr>
          <w:rFonts w:ascii="Times New Roman" w:hAnsi="Times New Roman" w:cs="Times New Roman"/>
          <w:b/>
          <w:sz w:val="24"/>
          <w:szCs w:val="24"/>
        </w:rPr>
        <w:t>Table</w:t>
      </w:r>
      <w:r w:rsidR="002F4C1B" w:rsidRPr="002F4C1B">
        <w:rPr>
          <w:rFonts w:ascii="Times New Roman" w:hAnsi="Times New Roman" w:cs="Times New Roman"/>
          <w:b/>
          <w:sz w:val="24"/>
          <w:szCs w:val="24"/>
        </w:rPr>
        <w:t xml:space="preserve"> 2</w:t>
      </w:r>
      <w:r w:rsidRPr="002F4C1B">
        <w:rPr>
          <w:rFonts w:ascii="Times New Roman" w:hAnsi="Times New Roman" w:cs="Times New Roman"/>
          <w:b/>
          <w:sz w:val="24"/>
          <w:szCs w:val="24"/>
        </w:rPr>
        <w:t>: Comparison of SCC between Farm and Field Conditions in Goats</w:t>
      </w:r>
    </w:p>
    <w:tbl>
      <w:tblPr>
        <w:tblStyle w:val="TableGrid"/>
        <w:tblpPr w:leftFromText="180" w:rightFromText="180" w:vertAnchor="text" w:tblpY="377"/>
        <w:tblW w:w="9577" w:type="dxa"/>
        <w:tblLook w:val="04A0" w:firstRow="1" w:lastRow="0" w:firstColumn="1" w:lastColumn="0" w:noHBand="0" w:noVBand="1"/>
      </w:tblPr>
      <w:tblGrid>
        <w:gridCol w:w="1484"/>
        <w:gridCol w:w="1234"/>
        <w:gridCol w:w="1234"/>
        <w:gridCol w:w="1234"/>
        <w:gridCol w:w="1234"/>
        <w:gridCol w:w="1234"/>
        <w:gridCol w:w="1923"/>
      </w:tblGrid>
      <w:tr w:rsidR="002F4C1B" w:rsidRPr="002F4C1B" w14:paraId="1FDEA206" w14:textId="77777777" w:rsidTr="002F4C1B">
        <w:tc>
          <w:tcPr>
            <w:tcW w:w="1484" w:type="dxa"/>
            <w:vAlign w:val="center"/>
          </w:tcPr>
          <w:p w14:paraId="66343E42"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b/>
                <w:sz w:val="24"/>
                <w:szCs w:val="24"/>
              </w:rPr>
              <w:t>Parameter</w:t>
            </w:r>
          </w:p>
        </w:tc>
        <w:tc>
          <w:tcPr>
            <w:tcW w:w="1234" w:type="dxa"/>
            <w:vAlign w:val="center"/>
          </w:tcPr>
          <w:p w14:paraId="7D454D07"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b/>
                <w:sz w:val="24"/>
                <w:szCs w:val="24"/>
              </w:rPr>
              <w:t>Farm condition</w:t>
            </w:r>
            <w:r w:rsidRPr="002F4C1B">
              <w:rPr>
                <w:rFonts w:ascii="Times New Roman" w:hAnsi="Times New Roman" w:cs="Times New Roman"/>
                <w:b/>
                <w:sz w:val="24"/>
                <w:szCs w:val="24"/>
              </w:rPr>
              <w:br/>
              <w:t>(n=56)</w:t>
            </w:r>
          </w:p>
        </w:tc>
        <w:tc>
          <w:tcPr>
            <w:tcW w:w="1234" w:type="dxa"/>
            <w:vAlign w:val="center"/>
          </w:tcPr>
          <w:p w14:paraId="66A90AB0"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b/>
                <w:sz w:val="24"/>
                <w:szCs w:val="24"/>
              </w:rPr>
              <w:t>Field condition</w:t>
            </w:r>
            <w:r w:rsidRPr="002F4C1B">
              <w:rPr>
                <w:rFonts w:ascii="Times New Roman" w:hAnsi="Times New Roman" w:cs="Times New Roman"/>
                <w:b/>
                <w:sz w:val="24"/>
                <w:szCs w:val="24"/>
              </w:rPr>
              <w:br/>
              <w:t>(n=56)</w:t>
            </w:r>
          </w:p>
        </w:tc>
        <w:tc>
          <w:tcPr>
            <w:tcW w:w="1234" w:type="dxa"/>
            <w:vAlign w:val="center"/>
          </w:tcPr>
          <w:p w14:paraId="7E0BF998"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b/>
                <w:sz w:val="24"/>
                <w:szCs w:val="24"/>
              </w:rPr>
              <w:t>t-value</w:t>
            </w:r>
          </w:p>
        </w:tc>
        <w:tc>
          <w:tcPr>
            <w:tcW w:w="1234" w:type="dxa"/>
            <w:vAlign w:val="center"/>
          </w:tcPr>
          <w:p w14:paraId="2C733F7F" w14:textId="77777777" w:rsidR="002F4C1B" w:rsidRPr="002F4C1B" w:rsidRDefault="002F4C1B" w:rsidP="002F4C1B">
            <w:pPr>
              <w:spacing w:line="360" w:lineRule="auto"/>
              <w:jc w:val="both"/>
              <w:rPr>
                <w:rFonts w:ascii="Times New Roman" w:hAnsi="Times New Roman" w:cs="Times New Roman"/>
                <w:sz w:val="24"/>
                <w:szCs w:val="24"/>
              </w:rPr>
            </w:pPr>
            <w:proofErr w:type="spellStart"/>
            <w:r w:rsidRPr="002F4C1B">
              <w:rPr>
                <w:rFonts w:ascii="Times New Roman" w:hAnsi="Times New Roman" w:cs="Times New Roman"/>
                <w:b/>
                <w:sz w:val="24"/>
                <w:szCs w:val="24"/>
              </w:rPr>
              <w:t>df</w:t>
            </w:r>
            <w:proofErr w:type="spellEnd"/>
          </w:p>
        </w:tc>
        <w:tc>
          <w:tcPr>
            <w:tcW w:w="1234" w:type="dxa"/>
            <w:vAlign w:val="center"/>
          </w:tcPr>
          <w:p w14:paraId="5C57A79A"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b/>
                <w:sz w:val="24"/>
                <w:szCs w:val="24"/>
              </w:rPr>
              <w:t>P-value</w:t>
            </w:r>
          </w:p>
        </w:tc>
        <w:tc>
          <w:tcPr>
            <w:tcW w:w="1923" w:type="dxa"/>
            <w:vAlign w:val="center"/>
          </w:tcPr>
          <w:p w14:paraId="29C5AF31"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b/>
                <w:sz w:val="24"/>
                <w:szCs w:val="24"/>
              </w:rPr>
              <w:t>Significance</w:t>
            </w:r>
          </w:p>
        </w:tc>
      </w:tr>
      <w:tr w:rsidR="002F4C1B" w:rsidRPr="002F4C1B" w14:paraId="306C18F9" w14:textId="77777777" w:rsidTr="002F4C1B">
        <w:tc>
          <w:tcPr>
            <w:tcW w:w="1484" w:type="dxa"/>
            <w:vAlign w:val="center"/>
          </w:tcPr>
          <w:p w14:paraId="3AFA9500"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SCC (×10</w:t>
            </w:r>
            <w:r w:rsidRPr="002F4C1B">
              <w:rPr>
                <w:rFonts w:ascii="Times New Roman" w:cs="Times New Roman"/>
                <w:sz w:val="24"/>
                <w:szCs w:val="24"/>
              </w:rPr>
              <w:t>⁵</w:t>
            </w:r>
            <w:r w:rsidRPr="002F4C1B">
              <w:rPr>
                <w:rFonts w:ascii="Times New Roman" w:hAnsi="Times New Roman" w:cs="Times New Roman"/>
                <w:sz w:val="24"/>
                <w:szCs w:val="24"/>
              </w:rPr>
              <w:t xml:space="preserve"> cells/mL)</w:t>
            </w:r>
          </w:p>
        </w:tc>
        <w:tc>
          <w:tcPr>
            <w:tcW w:w="1234" w:type="dxa"/>
            <w:vAlign w:val="center"/>
          </w:tcPr>
          <w:p w14:paraId="3A32EC27"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4.62 ± 0.05</w:t>
            </w:r>
          </w:p>
        </w:tc>
        <w:tc>
          <w:tcPr>
            <w:tcW w:w="1234" w:type="dxa"/>
            <w:vAlign w:val="center"/>
          </w:tcPr>
          <w:p w14:paraId="4E9A7520"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4.27 ± 0.02</w:t>
            </w:r>
          </w:p>
        </w:tc>
        <w:tc>
          <w:tcPr>
            <w:tcW w:w="1234" w:type="dxa"/>
            <w:vAlign w:val="center"/>
          </w:tcPr>
          <w:p w14:paraId="168C281E"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6.499</w:t>
            </w:r>
          </w:p>
        </w:tc>
        <w:tc>
          <w:tcPr>
            <w:tcW w:w="1234" w:type="dxa"/>
            <w:vAlign w:val="center"/>
          </w:tcPr>
          <w:p w14:paraId="19EBB20F"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110</w:t>
            </w:r>
          </w:p>
        </w:tc>
        <w:tc>
          <w:tcPr>
            <w:tcW w:w="1234" w:type="dxa"/>
            <w:vAlign w:val="center"/>
          </w:tcPr>
          <w:p w14:paraId="021AB4E8"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&lt;0.001</w:t>
            </w:r>
          </w:p>
        </w:tc>
        <w:tc>
          <w:tcPr>
            <w:tcW w:w="1923" w:type="dxa"/>
            <w:vAlign w:val="center"/>
          </w:tcPr>
          <w:p w14:paraId="559AD862" w14:textId="77777777" w:rsidR="002F4C1B" w:rsidRPr="002F4C1B" w:rsidRDefault="002F4C1B" w:rsidP="002F4C1B">
            <w:pPr>
              <w:spacing w:line="360" w:lineRule="auto"/>
              <w:jc w:val="both"/>
              <w:rPr>
                <w:rFonts w:ascii="Times New Roman" w:hAnsi="Times New Roman" w:cs="Times New Roman"/>
                <w:sz w:val="24"/>
                <w:szCs w:val="24"/>
              </w:rPr>
            </w:pPr>
            <w:r w:rsidRPr="002F4C1B">
              <w:rPr>
                <w:rFonts w:ascii="Times New Roman" w:hAnsi="Times New Roman" w:cs="Times New Roman"/>
                <w:sz w:val="24"/>
                <w:szCs w:val="24"/>
              </w:rPr>
              <w:t>Significant</w:t>
            </w:r>
          </w:p>
        </w:tc>
      </w:tr>
    </w:tbl>
    <w:p w14:paraId="3E06CC1E" w14:textId="77777777" w:rsidR="002D6CD8" w:rsidRPr="002F4C1B" w:rsidRDefault="002D6CD8" w:rsidP="002F4C1B">
      <w:pPr>
        <w:spacing w:line="360" w:lineRule="auto"/>
        <w:jc w:val="both"/>
        <w:rPr>
          <w:rFonts w:ascii="Times New Roman" w:hAnsi="Times New Roman" w:cs="Times New Roman"/>
          <w:sz w:val="24"/>
          <w:szCs w:val="24"/>
        </w:rPr>
      </w:pPr>
    </w:p>
    <w:p w14:paraId="25D17590" w14:textId="77777777" w:rsidR="0094784A" w:rsidRDefault="0094784A" w:rsidP="002F4C1B">
      <w:pPr>
        <w:spacing w:line="360" w:lineRule="auto"/>
        <w:jc w:val="both"/>
        <w:rPr>
          <w:rFonts w:ascii="Times New Roman" w:hAnsi="Times New Roman" w:cs="Times New Roman"/>
          <w:b/>
          <w:color w:val="000000" w:themeColor="text1"/>
          <w:sz w:val="24"/>
          <w:szCs w:val="24"/>
        </w:rPr>
      </w:pPr>
    </w:p>
    <w:p w14:paraId="6F97E6E8" w14:textId="77777777" w:rsidR="00F0664C" w:rsidRPr="002F4C1B" w:rsidRDefault="00F0664C" w:rsidP="0094784A">
      <w:pPr>
        <w:spacing w:after="0" w:line="360" w:lineRule="auto"/>
        <w:jc w:val="both"/>
        <w:rPr>
          <w:rFonts w:ascii="Times New Roman" w:hAnsi="Times New Roman" w:cs="Times New Roman"/>
          <w:b/>
          <w:color w:val="000000" w:themeColor="text1"/>
          <w:sz w:val="24"/>
          <w:szCs w:val="24"/>
        </w:rPr>
      </w:pPr>
    </w:p>
    <w:p w14:paraId="31824B11" w14:textId="77777777" w:rsidR="000F2A29" w:rsidRPr="002F4C1B" w:rsidRDefault="000F2A29" w:rsidP="0094784A">
      <w:pPr>
        <w:pStyle w:val="NormalWeb"/>
        <w:spacing w:after="0" w:afterAutospacing="0" w:line="360" w:lineRule="auto"/>
        <w:jc w:val="both"/>
      </w:pPr>
      <w:r>
        <w:t>The findings of this study provide critical insights into how management</w:t>
      </w:r>
      <w:r>
        <w:rPr>
          <w:highlight w:val="yellow"/>
        </w:rPr>
        <w:t xml:space="preserve"> </w:t>
      </w:r>
      <w:r>
        <w:t>a</w:t>
      </w:r>
      <w:r>
        <w:rPr>
          <w:highlight w:val="yellow"/>
        </w:rPr>
        <w:t>nd</w:t>
      </w:r>
      <w:r>
        <w:t xml:space="preserve"> housing frameworks and milking hygiene practices shape somatic cell counts (SCC) and udder health dynamics in dairy goats. In field conditions, a surprisingly high level of adherence to fundamental sanitation routines was documented: </w:t>
      </w:r>
      <w:r>
        <w:rPr>
          <w:rStyle w:val="math-inline"/>
        </w:rPr>
        <w:t>100.00%</w:t>
      </w:r>
      <w:r>
        <w:t xml:space="preserve"> of respondents washed milk collection utensils prior to use, and </w:t>
      </w:r>
      <w:r>
        <w:rPr>
          <w:rStyle w:val="math-inline"/>
        </w:rPr>
        <w:t>96.42%</w:t>
      </w:r>
      <w:r>
        <w:t xml:space="preserve"> performed pre-milking udder washing. Pre-milking udder washing and utensil decontamination are widely recogni</w:t>
      </w:r>
      <w:r>
        <w:rPr>
          <w:highlight w:val="yellow"/>
        </w:rPr>
        <w:t>s</w:t>
      </w:r>
      <w:r>
        <w:t xml:space="preserve">ed as primary preventative measures that reduce teat skin </w:t>
      </w:r>
      <w:r>
        <w:lastRenderedPageBreak/>
        <w:t>microbial loads, suppress biofilm formation on milking equipment, and block teat canal coloni</w:t>
      </w:r>
      <w:r>
        <w:rPr>
          <w:highlight w:val="yellow"/>
        </w:rPr>
        <w:t>s</w:t>
      </w:r>
      <w:r>
        <w:t xml:space="preserve">ation (Paape </w:t>
      </w:r>
      <w:r>
        <w:rPr>
          <w:i/>
          <w:iCs/>
        </w:rPr>
        <w:t>et al</w:t>
      </w:r>
      <w:r>
        <w:t xml:space="preserve">., 2001; Contreras </w:t>
      </w:r>
      <w:r>
        <w:rPr>
          <w:i/>
          <w:iCs/>
        </w:rPr>
        <w:t>et al</w:t>
      </w:r>
      <w:r>
        <w:t xml:space="preserve">., 2007; Gökdai </w:t>
      </w:r>
      <w:r>
        <w:rPr>
          <w:i/>
          <w:iCs/>
        </w:rPr>
        <w:t>et al</w:t>
      </w:r>
      <w:r>
        <w:t xml:space="preserve">., 2020; Salaberry </w:t>
      </w:r>
      <w:r>
        <w:rPr>
          <w:i/>
          <w:iCs/>
        </w:rPr>
        <w:t>et al</w:t>
      </w:r>
      <w:r>
        <w:t xml:space="preserve">., 2015; Lopes </w:t>
      </w:r>
      <w:r>
        <w:rPr>
          <w:i/>
          <w:iCs/>
        </w:rPr>
        <w:t>et al</w:t>
      </w:r>
      <w:r>
        <w:t xml:space="preserve">., 2021). By effectively stripping away environmental soil, dried manure, and transient skin flora before cup attachment or hand milking, these hygiene practices substantially lower the risk of ascending intramammary infections and prevent cross-contamination across animals (Contreras </w:t>
      </w:r>
      <w:r>
        <w:rPr>
          <w:i/>
          <w:iCs/>
        </w:rPr>
        <w:t>et al</w:t>
      </w:r>
      <w:r>
        <w:t xml:space="preserve">., 2007; Lopes </w:t>
      </w:r>
      <w:r>
        <w:rPr>
          <w:i/>
          <w:iCs/>
        </w:rPr>
        <w:t>et al</w:t>
      </w:r>
      <w:r>
        <w:t xml:space="preserve">., 2021; Gökdai </w:t>
      </w:r>
      <w:r>
        <w:rPr>
          <w:i/>
          <w:iCs/>
        </w:rPr>
        <w:t>et al</w:t>
      </w:r>
      <w:r>
        <w:t xml:space="preserve">., 2020; Smistad </w:t>
      </w:r>
      <w:r>
        <w:rPr>
          <w:i/>
          <w:iCs/>
        </w:rPr>
        <w:t>et al</w:t>
      </w:r>
      <w:r>
        <w:t>., 2024).</w:t>
      </w:r>
    </w:p>
    <w:p w14:paraId="6E869D85" w14:textId="77777777" w:rsidR="000F2A29" w:rsidRPr="002F4C1B" w:rsidRDefault="000F2A29" w:rsidP="002F4C1B">
      <w:pPr>
        <w:pStyle w:val="NormalWeb"/>
        <w:spacing w:line="360" w:lineRule="auto"/>
        <w:jc w:val="both"/>
      </w:pPr>
      <w:r>
        <w:t>Despite strong adherence to udder and utensil cleaning, significant deficiencies in handler hygiene and housing infrastructure were identified across field setups. More than half of field milkers (</w:t>
      </w:r>
      <w:r>
        <w:rPr>
          <w:rStyle w:val="math-inline"/>
        </w:rPr>
        <w:t>55.35%</w:t>
      </w:r>
      <w:r>
        <w:t xml:space="preserve">) wore dusty, unwashed, or old clothing during milking, even though handwashing was performed. Furthermore, </w:t>
      </w:r>
      <w:r>
        <w:rPr>
          <w:rStyle w:val="math-inline"/>
        </w:rPr>
        <w:t>89.28%</w:t>
      </w:r>
      <w:r>
        <w:t xml:space="preserve"> of field facilities completely lacked functional shed drainage systems for urine and dung disposal. Soiled clothing, inadequate milker hygiene, and unmanaged excretory accumulation create persistent environmental reservoirs for major environmental and contagious mastitis pathogens, including </w:t>
      </w:r>
      <w:r>
        <w:rPr>
          <w:i/>
          <w:iCs/>
        </w:rPr>
        <w:t>Staphylococcus aureus</w:t>
      </w:r>
      <w:r>
        <w:t xml:space="preserve">, </w:t>
      </w:r>
      <w:r>
        <w:rPr>
          <w:i/>
          <w:iCs/>
        </w:rPr>
        <w:t>Streptococcus uberis</w:t>
      </w:r>
      <w:r>
        <w:t xml:space="preserve">, </w:t>
      </w:r>
      <w:r>
        <w:rPr>
          <w:i/>
          <w:iCs/>
        </w:rPr>
        <w:t>Pseudomonas</w:t>
      </w:r>
      <w:r>
        <w:t xml:space="preserve"> spp., </w:t>
      </w:r>
      <w:r>
        <w:rPr>
          <w:i/>
          <w:iCs/>
        </w:rPr>
        <w:t>Klebsiella</w:t>
      </w:r>
      <w:r>
        <w:t xml:space="preserve"> spp., and </w:t>
      </w:r>
      <w:r>
        <w:rPr>
          <w:i/>
          <w:iCs/>
        </w:rPr>
        <w:t>Escherichia coli</w:t>
      </w:r>
      <w:r>
        <w:t xml:space="preserve"> (Bergonier </w:t>
      </w:r>
      <w:r>
        <w:rPr>
          <w:i/>
          <w:iCs/>
        </w:rPr>
        <w:t>et al</w:t>
      </w:r>
      <w:r>
        <w:t xml:space="preserve">., 2003; Virdis </w:t>
      </w:r>
      <w:r>
        <w:rPr>
          <w:i/>
          <w:iCs/>
        </w:rPr>
        <w:t>et al</w:t>
      </w:r>
      <w:r>
        <w:t xml:space="preserve">., 2010; Lopes </w:t>
      </w:r>
      <w:r>
        <w:rPr>
          <w:i/>
          <w:iCs/>
        </w:rPr>
        <w:t>et al</w:t>
      </w:r>
      <w:r>
        <w:t xml:space="preserve">., 2021; Gökdai </w:t>
      </w:r>
      <w:r>
        <w:rPr>
          <w:i/>
          <w:iCs/>
        </w:rPr>
        <w:t>et al</w:t>
      </w:r>
      <w:r>
        <w:t xml:space="preserve">., 2020; Salaberry </w:t>
      </w:r>
      <w:r>
        <w:rPr>
          <w:i/>
          <w:iCs/>
        </w:rPr>
        <w:t>et al</w:t>
      </w:r>
      <w:r>
        <w:t>., 2015). During milking, contaminated clothing, airborne dust, and undrained floor slush can readily transfer bacteria to the milker's hands, teat ends, or milking pails, neutrali</w:t>
      </w:r>
      <w:r>
        <w:rPr>
          <w:highlight w:val="yellow"/>
        </w:rPr>
        <w:t>s</w:t>
      </w:r>
      <w:r>
        <w:t>ing part of the benefits achieved by washing udders and utensils (Bergonier et al., 2003; Zigo et al., 2021; Gökdai et al., 2020).</w:t>
      </w:r>
    </w:p>
    <w:p w14:paraId="3D55E90F" w14:textId="77777777" w:rsidR="000F2A29" w:rsidRPr="002F4C1B" w:rsidRDefault="000F2A29" w:rsidP="002F4C1B">
      <w:pPr>
        <w:pStyle w:val="NormalWeb"/>
        <w:spacing w:line="360" w:lineRule="auto"/>
        <w:jc w:val="both"/>
      </w:pPr>
      <w:r>
        <w:t xml:space="preserve">Despite these infrastructural limitations, field-reared goats exhibited significantly lower mean SCC levels </w:t>
      </w:r>
      <w:r>
        <w:rPr>
          <w:highlight w:val="yellow"/>
        </w:rPr>
        <w:t xml:space="preserve">of </w:t>
      </w:r>
      <w:r>
        <w:t>4.27 ± 0.02</w:t>
      </w:r>
      <w:r>
        <w:rPr>
          <w:rStyle w:val="math-inline"/>
        </w:rPr>
        <w:t xml:space="preserve"> lakh cells/mL</w:t>
      </w:r>
      <w:r>
        <w:t xml:space="preserve"> than farm-reared goats</w:t>
      </w:r>
      <w:r>
        <w:rPr>
          <w:highlight w:val="yellow"/>
        </w:rPr>
        <w:t>, with</w:t>
      </w:r>
      <w:r>
        <w:t xml:space="preserve"> 4.62 ± 0.05</w:t>
      </w:r>
      <w:r>
        <w:rPr>
          <w:rStyle w:val="math-inline"/>
        </w:rPr>
        <w:t xml:space="preserve"> lakh cells/mL</w:t>
      </w:r>
      <w:r>
        <w:t xml:space="preserve"> (</w:t>
      </w:r>
      <w:r>
        <w:rPr>
          <w:rStyle w:val="math-inline"/>
        </w:rPr>
        <w:t>t = 6.499</w:t>
      </w:r>
      <w:r>
        <w:t xml:space="preserve">, </w:t>
      </w:r>
      <w:r>
        <w:rPr>
          <w:rStyle w:val="math-inline"/>
        </w:rPr>
        <w:t>df = 110</w:t>
      </w:r>
      <w:r>
        <w:t xml:space="preserve">, </w:t>
      </w:r>
      <w:r>
        <w:rPr>
          <w:rStyle w:val="math-inline"/>
        </w:rPr>
        <w:t>P &lt; 0.001</w:t>
      </w:r>
      <w:r>
        <w:t>). This marked physiological variance is primarily driven by the fundamental nutritional, behavio</w:t>
      </w:r>
      <w:r>
        <w:rPr>
          <w:highlight w:val="yellow"/>
        </w:rPr>
        <w:t>u</w:t>
      </w:r>
      <w:r>
        <w:t xml:space="preserve">ral, and environmental differences between extensive free-grazing field systems and semi-intensive farm housing. Goats under field management are allowed to graze freely across open pastures and browse diverse natural vegetation. Open grazing encourages continuous physical movement, reduces social overcrowding, and lowers environmental pathogen build-up, all of which directly support immune homeostasis and neutrophil functionality (Silanikove, 2000; Zobel </w:t>
      </w:r>
      <w:r>
        <w:rPr>
          <w:i/>
          <w:iCs/>
        </w:rPr>
        <w:t>et al</w:t>
      </w:r>
      <w:r>
        <w:t xml:space="preserve">., 2019; Smistad </w:t>
      </w:r>
      <w:r>
        <w:rPr>
          <w:i/>
          <w:iCs/>
        </w:rPr>
        <w:t>et al</w:t>
      </w:r>
      <w:r>
        <w:t xml:space="preserve">., 2024). Additionally, foraging on diverse wild shrubs and herbs exposes goats to secondary plant metabolites and bioactive phytochemicals (e.g., polyphenols, tannins, essential oils, and flavonoids) that possess </w:t>
      </w:r>
      <w:r>
        <w:lastRenderedPageBreak/>
        <w:t xml:space="preserve">natural antimicrobial, antioxidant, and immunostimulatory properties (Hoste </w:t>
      </w:r>
      <w:r>
        <w:rPr>
          <w:i/>
          <w:iCs/>
        </w:rPr>
        <w:t>et al</w:t>
      </w:r>
      <w:r>
        <w:t xml:space="preserve">., 2008; Nudda </w:t>
      </w:r>
      <w:r>
        <w:rPr>
          <w:i/>
          <w:iCs/>
        </w:rPr>
        <w:t>et al</w:t>
      </w:r>
      <w:r>
        <w:t xml:space="preserve">., 2023; Vacca </w:t>
      </w:r>
      <w:r>
        <w:rPr>
          <w:i/>
          <w:iCs/>
        </w:rPr>
        <w:t>et al</w:t>
      </w:r>
      <w:r>
        <w:t xml:space="preserve">., 2010; Zigo </w:t>
      </w:r>
      <w:r>
        <w:rPr>
          <w:i/>
          <w:iCs/>
        </w:rPr>
        <w:t>et al.</w:t>
      </w:r>
      <w:r>
        <w:t>, 2021).</w:t>
      </w:r>
    </w:p>
    <w:p w14:paraId="23DAB41A" w14:textId="77777777" w:rsidR="000F2A29" w:rsidRPr="002F4C1B" w:rsidRDefault="000F2A29" w:rsidP="002F4C1B">
      <w:pPr>
        <w:pStyle w:val="NormalWeb"/>
        <w:spacing w:line="360" w:lineRule="auto"/>
        <w:jc w:val="both"/>
      </w:pPr>
      <w:r>
        <w:t xml:space="preserve">Conversely, the elevated SCC recorded in semi-intensive farm goats </w:t>
      </w:r>
      <w:r>
        <w:rPr>
          <w:highlight w:val="yellow"/>
        </w:rPr>
        <w:t>(</w:t>
      </w:r>
      <w:r>
        <w:t>4.62 ± 0.05</w:t>
      </w:r>
      <w:r>
        <w:rPr>
          <w:rStyle w:val="math-inline"/>
        </w:rPr>
        <w:t xml:space="preserve"> lakh cells/mL</w:t>
      </w:r>
      <w:r>
        <w:rPr>
          <w:highlight w:val="yellow"/>
        </w:rPr>
        <w:t>)</w:t>
      </w:r>
      <w:r>
        <w:t xml:space="preserve"> illustrates the physiological strain associated with confined housing set</w:t>
      </w:r>
      <w:r>
        <w:rPr>
          <w:highlight w:val="yellow"/>
        </w:rPr>
        <w:t>ting</w:t>
      </w:r>
      <w:r>
        <w:t xml:space="preserve">s. Semi-intensive farm systems house goats at higher stocking densities and rely on stall-feeding within enclosed sheds. Enclosed confinement, coupled with deep bedding or continuous indoor manure accumulation, creates humid microclimates that foster rapid bacterial proliferation and increase environmental pathogen pressure (Zobel </w:t>
      </w:r>
      <w:r>
        <w:rPr>
          <w:i/>
          <w:iCs/>
        </w:rPr>
        <w:t>et al</w:t>
      </w:r>
      <w:r>
        <w:t xml:space="preserve">., 2019; Moroni </w:t>
      </w:r>
      <w:r>
        <w:rPr>
          <w:i/>
          <w:iCs/>
        </w:rPr>
        <w:t>et al</w:t>
      </w:r>
      <w:r>
        <w:t xml:space="preserve">., 2005; Mehdid </w:t>
      </w:r>
      <w:r>
        <w:rPr>
          <w:i/>
          <w:iCs/>
        </w:rPr>
        <w:t>et al</w:t>
      </w:r>
      <w:r>
        <w:t xml:space="preserve">., 2019; Sierra García </w:t>
      </w:r>
      <w:r>
        <w:rPr>
          <w:i/>
          <w:iCs/>
        </w:rPr>
        <w:t>et al</w:t>
      </w:r>
      <w:r>
        <w:t>., 2024). Even when routine shed cleaning is attempted, high housing density accelerates teat contact with bedding materials contaminated by f</w:t>
      </w:r>
      <w:r>
        <w:rPr>
          <w:highlight w:val="yellow"/>
        </w:rPr>
        <w:t>a</w:t>
      </w:r>
      <w:r>
        <w:t xml:space="preserve">ecal and environmental microorganisms (Moroni </w:t>
      </w:r>
      <w:r>
        <w:rPr>
          <w:i/>
          <w:iCs/>
        </w:rPr>
        <w:t>et al</w:t>
      </w:r>
      <w:r>
        <w:t xml:space="preserve">., 2005; Lopes </w:t>
      </w:r>
      <w:r>
        <w:rPr>
          <w:i/>
          <w:iCs/>
        </w:rPr>
        <w:t>et al</w:t>
      </w:r>
      <w:r>
        <w:t xml:space="preserve">., 2021; Zobel </w:t>
      </w:r>
      <w:r>
        <w:rPr>
          <w:i/>
          <w:iCs/>
        </w:rPr>
        <w:t>et al</w:t>
      </w:r>
      <w:r>
        <w:t xml:space="preserve">., 2019; Sierra García </w:t>
      </w:r>
      <w:r>
        <w:rPr>
          <w:i/>
          <w:iCs/>
        </w:rPr>
        <w:t>et al</w:t>
      </w:r>
      <w:r>
        <w:t>., 2024). Furthermore, restricted physical movement and confinement-induced stress can elevate systemic glucocorticoids (cortisol), subtly suppressing locali</w:t>
      </w:r>
      <w:r>
        <w:rPr>
          <w:highlight w:val="yellow"/>
        </w:rPr>
        <w:t>s</w:t>
      </w:r>
      <w:r>
        <w:t xml:space="preserve">ed udder immunity and increasing baseline physiological cell shedding into milk (Raynal-Ljutovac </w:t>
      </w:r>
      <w:r>
        <w:rPr>
          <w:i/>
          <w:iCs/>
        </w:rPr>
        <w:t>et al</w:t>
      </w:r>
      <w:r>
        <w:t xml:space="preserve">., 2007; Zobel </w:t>
      </w:r>
      <w:r>
        <w:rPr>
          <w:i/>
          <w:iCs/>
        </w:rPr>
        <w:t>et al</w:t>
      </w:r>
      <w:r>
        <w:t xml:space="preserve">., 2019; Mehdid </w:t>
      </w:r>
      <w:r>
        <w:rPr>
          <w:i/>
          <w:iCs/>
        </w:rPr>
        <w:t>et al</w:t>
      </w:r>
      <w:r>
        <w:t xml:space="preserve">., 2019; Sierra García </w:t>
      </w:r>
      <w:r>
        <w:rPr>
          <w:i/>
          <w:iCs/>
        </w:rPr>
        <w:t>et al</w:t>
      </w:r>
      <w:r>
        <w:t>., 2024).</w:t>
      </w:r>
    </w:p>
    <w:p w14:paraId="183C0025" w14:textId="77777777" w:rsidR="000F2A29" w:rsidRPr="002F4C1B" w:rsidRDefault="000F2A29" w:rsidP="002F4C1B">
      <w:pPr>
        <w:pStyle w:val="NormalWeb"/>
        <w:spacing w:line="360" w:lineRule="auto"/>
        <w:jc w:val="both"/>
      </w:pPr>
      <w:r>
        <w:t>Taken together, these results demonstrate that while open grazing and rigorous pre-milking utensil and udder hygiene allow field farmers to maintain lower baseline SCC levels, the field production model is not without vulnerabilities. Targeted extension program</w:t>
      </w:r>
      <w:r>
        <w:rPr>
          <w:highlight w:val="yellow"/>
        </w:rPr>
        <w:t>me</w:t>
      </w:r>
      <w:r>
        <w:t>s focusing on personal milker hygiene—such as wearing clean protective aprons or speciali</w:t>
      </w:r>
      <w:r>
        <w:rPr>
          <w:highlight w:val="yellow"/>
        </w:rPr>
        <w:t>s</w:t>
      </w:r>
      <w:r>
        <w:t xml:space="preserve">ed milking attire—alongside simple shed drainage improvements could eliminate remaining bacterial reservoirs (Contreras </w:t>
      </w:r>
      <w:r>
        <w:rPr>
          <w:i/>
          <w:iCs/>
        </w:rPr>
        <w:t>et al</w:t>
      </w:r>
      <w:r>
        <w:t xml:space="preserve">., 2007; Zigo </w:t>
      </w:r>
      <w:r>
        <w:rPr>
          <w:i/>
          <w:iCs/>
        </w:rPr>
        <w:t>et al</w:t>
      </w:r>
      <w:r>
        <w:t xml:space="preserve">., 2021; Gökdai </w:t>
      </w:r>
      <w:r>
        <w:rPr>
          <w:i/>
          <w:iCs/>
        </w:rPr>
        <w:t>et al</w:t>
      </w:r>
      <w:r>
        <w:t xml:space="preserve">., 2020; Lopes </w:t>
      </w:r>
      <w:r>
        <w:rPr>
          <w:i/>
          <w:iCs/>
        </w:rPr>
        <w:t>et al</w:t>
      </w:r>
      <w:r>
        <w:t>., 2021). Implementing these low-cost infrastructural and behavio</w:t>
      </w:r>
      <w:r>
        <w:rPr>
          <w:highlight w:val="yellow"/>
        </w:rPr>
        <w:t>u</w:t>
      </w:r>
      <w:r>
        <w:t>ral adjustments will safeguard caprine udder health, prevent subclinical mastitis, and enhance raw milk quality in smallholder dairy ecosystems.</w:t>
      </w:r>
    </w:p>
    <w:p w14:paraId="50DE55D8" w14:textId="77777777" w:rsidR="00F0664C" w:rsidRPr="002F4C1B" w:rsidRDefault="0094784A" w:rsidP="002F4C1B">
      <w:p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5.  </w:t>
      </w:r>
      <w:r w:rsidR="00F0664C" w:rsidRPr="002F4C1B">
        <w:rPr>
          <w:rFonts w:ascii="Times New Roman" w:hAnsi="Times New Roman" w:cs="Times New Roman"/>
          <w:b/>
          <w:bCs/>
          <w:color w:val="000000" w:themeColor="text1"/>
          <w:sz w:val="24"/>
          <w:szCs w:val="24"/>
        </w:rPr>
        <w:t xml:space="preserve">Conclusion </w:t>
      </w:r>
    </w:p>
    <w:p w14:paraId="7C902777" w14:textId="77777777" w:rsidR="002D6CD8" w:rsidRDefault="002D6CD8" w:rsidP="002F4C1B">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T</w:t>
      </w:r>
      <w:r>
        <w:rPr>
          <w:rFonts w:ascii="Times New Roman" w:hAnsi="Times New Roman" w:cs="Times New Roman"/>
          <w:sz w:val="24"/>
          <w:szCs w:val="24"/>
        </w:rPr>
        <w:t xml:space="preserve">his study demonstrates that management systems and milking hygiene practices significantly influence somatic cell count (SCC) and udder health status in goats. Goats managed under free-grazing field conditions exhibited significantly lower SCC </w:t>
      </w:r>
      <w:r>
        <w:rPr>
          <w:rFonts w:ascii="Times New Roman" w:hAnsi="Times New Roman" w:cs="Times New Roman"/>
          <w:sz w:val="24"/>
          <w:szCs w:val="24"/>
          <w:highlight w:val="yellow"/>
        </w:rPr>
        <w:t>(</w:t>
      </w:r>
      <w:r>
        <w:rPr>
          <w:rFonts w:ascii="Times New Roman" w:hAnsi="Times New Roman" w:cs="Times New Roman"/>
          <w:sz w:val="24"/>
          <w:szCs w:val="24"/>
        </w:rPr>
        <w:t>4.27 ± 0.02</w:t>
      </w:r>
      <w:r>
        <w:rPr>
          <w:rStyle w:val="math-inline"/>
          <w:rFonts w:ascii="Times New Roman" w:hAnsi="Times New Roman" w:cs="Times New Roman"/>
          <w:sz w:val="24"/>
          <w:szCs w:val="24"/>
        </w:rPr>
        <w:t xml:space="preserve"> lakh cells/mL</w:t>
      </w:r>
      <w:r>
        <w:rPr>
          <w:rFonts w:ascii="Times New Roman" w:hAnsi="Times New Roman" w:cs="Times New Roman"/>
          <w:sz w:val="24"/>
          <w:szCs w:val="24"/>
          <w:highlight w:val="yellow"/>
        </w:rPr>
        <w:t>)</w:t>
      </w:r>
      <w:r>
        <w:rPr>
          <w:rFonts w:ascii="Times New Roman" w:hAnsi="Times New Roman" w:cs="Times New Roman"/>
          <w:sz w:val="24"/>
          <w:szCs w:val="24"/>
        </w:rPr>
        <w:t xml:space="preserve"> compared </w:t>
      </w:r>
      <w:r>
        <w:rPr>
          <w:rFonts w:ascii="Times New Roman" w:hAnsi="Times New Roman" w:cs="Times New Roman"/>
          <w:sz w:val="24"/>
          <w:szCs w:val="24"/>
          <w:highlight w:val="yellow"/>
        </w:rPr>
        <w:t>wi</w:t>
      </w:r>
      <w:r>
        <w:rPr>
          <w:rFonts w:ascii="Times New Roman" w:hAnsi="Times New Roman" w:cs="Times New Roman"/>
          <w:sz w:val="24"/>
          <w:szCs w:val="24"/>
        </w:rPr>
        <w:t>t</w:t>
      </w:r>
      <w:r>
        <w:rPr>
          <w:rFonts w:ascii="Times New Roman" w:hAnsi="Times New Roman" w:cs="Times New Roman"/>
          <w:sz w:val="24"/>
          <w:szCs w:val="24"/>
          <w:highlight w:val="yellow"/>
        </w:rPr>
        <w:t>h</w:t>
      </w:r>
      <w:r>
        <w:rPr>
          <w:rFonts w:ascii="Times New Roman" w:hAnsi="Times New Roman" w:cs="Times New Roman"/>
          <w:sz w:val="24"/>
          <w:szCs w:val="24"/>
        </w:rPr>
        <w:t xml:space="preserve"> those housed in semi-intensive farm systems </w:t>
      </w:r>
      <w:r>
        <w:rPr>
          <w:rFonts w:ascii="Times New Roman" w:hAnsi="Times New Roman" w:cs="Times New Roman"/>
          <w:sz w:val="24"/>
          <w:szCs w:val="24"/>
          <w:highlight w:val="yellow"/>
        </w:rPr>
        <w:t>(</w:t>
      </w:r>
      <w:r>
        <w:rPr>
          <w:rFonts w:ascii="Times New Roman" w:hAnsi="Times New Roman" w:cs="Times New Roman"/>
          <w:sz w:val="24"/>
          <w:szCs w:val="24"/>
        </w:rPr>
        <w:t>4.62 ± 0.05</w:t>
      </w:r>
      <w:r>
        <w:rPr>
          <w:rStyle w:val="math-inline"/>
          <w:rFonts w:ascii="Times New Roman" w:hAnsi="Times New Roman" w:cs="Times New Roman"/>
          <w:sz w:val="24"/>
          <w:szCs w:val="24"/>
        </w:rPr>
        <w:t xml:space="preserve"> lakh cells/mL</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Style w:val="math-inline"/>
          <w:rFonts w:ascii="Times New Roman" w:hAnsi="Times New Roman" w:cs="Times New Roman"/>
          <w:sz w:val="24"/>
          <w:szCs w:val="24"/>
        </w:rPr>
        <w:t>P &lt; 0.001</w:t>
      </w:r>
      <w:r>
        <w:rPr>
          <w:rFonts w:ascii="Times New Roman" w:hAnsi="Times New Roman" w:cs="Times New Roman"/>
          <w:sz w:val="24"/>
          <w:szCs w:val="24"/>
        </w:rPr>
        <w:t xml:space="preserve">). The lower cell counts observed in field settings are primarily attributed to the beneficial effects of free </w:t>
      </w:r>
      <w:r>
        <w:rPr>
          <w:rFonts w:ascii="Times New Roman" w:hAnsi="Times New Roman" w:cs="Times New Roman"/>
          <w:sz w:val="24"/>
          <w:szCs w:val="24"/>
        </w:rPr>
        <w:lastRenderedPageBreak/>
        <w:t>grazing, which enhances physical exercise and natural immunity, combined with high compliance in pre-milking udder washing (</w:t>
      </w:r>
      <w:r>
        <w:rPr>
          <w:rStyle w:val="math-inline"/>
          <w:rFonts w:ascii="Times New Roman" w:hAnsi="Times New Roman" w:cs="Times New Roman"/>
          <w:sz w:val="24"/>
          <w:szCs w:val="24"/>
        </w:rPr>
        <w:t>96.42%</w:t>
      </w:r>
      <w:r>
        <w:rPr>
          <w:rFonts w:ascii="Times New Roman" w:hAnsi="Times New Roman" w:cs="Times New Roman"/>
          <w:sz w:val="24"/>
          <w:szCs w:val="24"/>
        </w:rPr>
        <w:t>) and utensil sanitation (</w:t>
      </w:r>
      <w:r>
        <w:rPr>
          <w:rStyle w:val="math-inline"/>
          <w:rFonts w:ascii="Times New Roman" w:hAnsi="Times New Roman" w:cs="Times New Roman"/>
          <w:sz w:val="24"/>
          <w:szCs w:val="24"/>
        </w:rPr>
        <w:t>100.00%</w:t>
      </w:r>
      <w:r>
        <w:rPr>
          <w:rFonts w:ascii="Times New Roman" w:hAnsi="Times New Roman" w:cs="Times New Roman"/>
          <w:sz w:val="24"/>
          <w:szCs w:val="24"/>
        </w:rPr>
        <w:t>). Conversely, semi-intensive farm housing exposes goats to higher stocking densities and confined shed feeding, increasing locali</w:t>
      </w:r>
      <w:r>
        <w:rPr>
          <w:rFonts w:ascii="Times New Roman" w:hAnsi="Times New Roman" w:cs="Times New Roman"/>
          <w:sz w:val="24"/>
          <w:szCs w:val="24"/>
          <w:highlight w:val="yellow"/>
        </w:rPr>
        <w:t>s</w:t>
      </w:r>
      <w:r>
        <w:rPr>
          <w:rFonts w:ascii="Times New Roman" w:hAnsi="Times New Roman" w:cs="Times New Roman"/>
          <w:sz w:val="24"/>
          <w:szCs w:val="24"/>
        </w:rPr>
        <w:t>ed pathogen exposure. Despite the overall lower SCC in field goats, key sanitation bottlenecks were identified, including poor handler attire (</w:t>
      </w:r>
      <w:r>
        <w:rPr>
          <w:rStyle w:val="math-inline"/>
          <w:rFonts w:ascii="Times New Roman" w:hAnsi="Times New Roman" w:cs="Times New Roman"/>
          <w:sz w:val="24"/>
          <w:szCs w:val="24"/>
        </w:rPr>
        <w:t>55.35%</w:t>
      </w:r>
      <w:r>
        <w:rPr>
          <w:rFonts w:ascii="Times New Roman" w:hAnsi="Times New Roman" w:cs="Times New Roman"/>
          <w:sz w:val="24"/>
          <w:szCs w:val="24"/>
        </w:rPr>
        <w:t xml:space="preserve"> unhygienic) and a widespread lack of shed drainage infrastructure (</w:t>
      </w:r>
      <w:r>
        <w:rPr>
          <w:rStyle w:val="math-inline"/>
          <w:rFonts w:ascii="Times New Roman" w:hAnsi="Times New Roman" w:cs="Times New Roman"/>
          <w:sz w:val="24"/>
          <w:szCs w:val="24"/>
        </w:rPr>
        <w:t>89.28%</w:t>
      </w:r>
      <w:r>
        <w:rPr>
          <w:rFonts w:ascii="Times New Roman" w:hAnsi="Times New Roman" w:cs="Times New Roman"/>
          <w:sz w:val="24"/>
          <w:szCs w:val="24"/>
        </w:rPr>
        <w:t xml:space="preserve"> absent). Implementing targeted extension program</w:t>
      </w:r>
      <w:r>
        <w:rPr>
          <w:rFonts w:ascii="Times New Roman" w:hAnsi="Times New Roman" w:cs="Times New Roman"/>
          <w:sz w:val="24"/>
          <w:szCs w:val="24"/>
          <w:highlight w:val="yellow"/>
        </w:rPr>
        <w:t>me</w:t>
      </w:r>
      <w:r>
        <w:rPr>
          <w:rFonts w:ascii="Times New Roman" w:hAnsi="Times New Roman" w:cs="Times New Roman"/>
          <w:sz w:val="24"/>
          <w:szCs w:val="24"/>
        </w:rPr>
        <w:t>s focused on personal milker hygiene and proper drainage systems will further eliminate environmental contamination risks, optimi</w:t>
      </w:r>
      <w:r>
        <w:rPr>
          <w:rFonts w:ascii="Times New Roman" w:hAnsi="Times New Roman" w:cs="Times New Roman"/>
          <w:sz w:val="24"/>
          <w:szCs w:val="24"/>
          <w:highlight w:val="yellow"/>
        </w:rPr>
        <w:t>s</w:t>
      </w:r>
      <w:r>
        <w:rPr>
          <w:rFonts w:ascii="Times New Roman" w:hAnsi="Times New Roman" w:cs="Times New Roman"/>
          <w:sz w:val="24"/>
          <w:szCs w:val="24"/>
        </w:rPr>
        <w:t>ing milk quality and safeguarding udder health across smallholder caprine production systems.</w:t>
      </w:r>
      <w:r w:rsidR="009310A4">
        <w:rPr>
          <w:rFonts w:ascii="Times New Roman" w:hAnsi="Times New Roman" w:cs="Times New Roman"/>
          <w:sz w:val="24"/>
          <w:szCs w:val="24"/>
        </w:rPr>
        <w:t xml:space="preserve"> </w:t>
      </w:r>
    </w:p>
    <w:p w14:paraId="414704EE" w14:textId="77777777" w:rsidR="009310A4" w:rsidRDefault="009310A4" w:rsidP="002F4C1B">
      <w:pPr>
        <w:spacing w:line="360" w:lineRule="auto"/>
        <w:jc w:val="both"/>
        <w:rPr>
          <w:rFonts w:ascii="Times New Roman" w:hAnsi="Times New Roman" w:cs="Times New Roman"/>
          <w:sz w:val="24"/>
          <w:szCs w:val="24"/>
        </w:rPr>
      </w:pPr>
    </w:p>
    <w:p w14:paraId="5C94EC4F" w14:textId="77777777" w:rsidR="009310A4" w:rsidRPr="009310A4" w:rsidRDefault="009310A4" w:rsidP="009310A4">
      <w:pPr>
        <w:pStyle w:val="ListParagraph"/>
        <w:numPr>
          <w:ilvl w:val="0"/>
          <w:numId w:val="7"/>
        </w:numPr>
        <w:spacing w:before="100" w:beforeAutospacing="1" w:after="100" w:afterAutospacing="1"/>
        <w:outlineLvl w:val="2"/>
        <w:rPr>
          <w:rFonts w:ascii="Times New Roman" w:eastAsia="Times New Roman" w:hAnsi="Times New Roman" w:cs="Times New Roman"/>
          <w:b/>
          <w:bCs/>
          <w:sz w:val="27"/>
          <w:szCs w:val="27"/>
        </w:rPr>
      </w:pPr>
      <w:r w:rsidRPr="009310A4">
        <w:rPr>
          <w:rFonts w:ascii="Times New Roman" w:eastAsia="Times New Roman" w:hAnsi="Times New Roman" w:cs="Times New Roman"/>
          <w:b/>
          <w:bCs/>
          <w:sz w:val="27"/>
          <w:szCs w:val="27"/>
        </w:rPr>
        <w:t>Limitation</w:t>
      </w:r>
    </w:p>
    <w:p w14:paraId="583A8856" w14:textId="77777777" w:rsidR="009310A4" w:rsidRPr="009310A4" w:rsidRDefault="009310A4" w:rsidP="009310A4">
      <w:pPr>
        <w:spacing w:before="100" w:beforeAutospacing="1" w:after="100" w:afterAutospacing="1" w:line="240" w:lineRule="auto"/>
        <w:rPr>
          <w:rFonts w:ascii="Times New Roman" w:eastAsia="Times New Roman" w:hAnsi="Times New Roman" w:cs="Times New Roman"/>
          <w:sz w:val="24"/>
          <w:szCs w:val="24"/>
          <w:lang w:bidi="ar-SA"/>
        </w:rPr>
      </w:pPr>
      <w:r w:rsidRPr="009310A4">
        <w:rPr>
          <w:rFonts w:ascii="Times New Roman" w:eastAsia="Times New Roman" w:hAnsi="Times New Roman" w:cs="Times New Roman"/>
          <w:sz w:val="24"/>
          <w:szCs w:val="24"/>
          <w:lang w:bidi="ar-SA"/>
        </w:rPr>
        <w:t>The study compared goats under field and farm conditions using the available management and hygiene observations together with SCC measurements. The design does not establish causality between individual hygiene practices and SCC. The field survey focused on selected variables—udder washing, utensil washing, handler cleanliness, and drainage—and did not evaluate all factors that may influence caprine SCC. The findings should therefore be interpreted within the studied management settings and sample size.</w:t>
      </w:r>
    </w:p>
    <w:p w14:paraId="588D2BD3" w14:textId="77777777" w:rsidR="009310A4" w:rsidRDefault="009310A4" w:rsidP="002F4C1B">
      <w:pPr>
        <w:spacing w:line="360" w:lineRule="auto"/>
        <w:jc w:val="both"/>
        <w:rPr>
          <w:rFonts w:ascii="Times New Roman" w:hAnsi="Times New Roman" w:cs="Times New Roman"/>
          <w:sz w:val="24"/>
          <w:szCs w:val="24"/>
        </w:rPr>
      </w:pPr>
    </w:p>
    <w:p w14:paraId="3AD71CA9" w14:textId="77777777" w:rsidR="0094784A" w:rsidRPr="00297755" w:rsidRDefault="0094784A" w:rsidP="0094784A">
      <w:pPr>
        <w:spacing w:line="360" w:lineRule="auto"/>
        <w:jc w:val="both"/>
        <w:rPr>
          <w:rFonts w:ascii="Times New Roman" w:hAnsi="Times New Roman" w:cs="Times New Roman"/>
          <w:sz w:val="24"/>
          <w:szCs w:val="24"/>
        </w:rPr>
      </w:pPr>
      <w:r>
        <w:rPr>
          <w:rFonts w:ascii="Times New Roman" w:hAnsi="Times New Roman" w:cs="Times New Roman"/>
          <w:sz w:val="24"/>
          <w:szCs w:val="24"/>
        </w:rPr>
        <w:t>7</w:t>
      </w:r>
      <w:r w:rsidRPr="00297755">
        <w:rPr>
          <w:rFonts w:ascii="Times New Roman" w:hAnsi="Times New Roman" w:cs="Times New Roman"/>
          <w:sz w:val="24"/>
          <w:szCs w:val="24"/>
        </w:rPr>
        <w:t>.</w:t>
      </w:r>
      <w:r w:rsidRPr="00297755">
        <w:rPr>
          <w:rFonts w:ascii="Times New Roman" w:hAnsi="Times New Roman" w:cs="Times New Roman"/>
          <w:sz w:val="24"/>
          <w:szCs w:val="24"/>
        </w:rPr>
        <w:tab/>
      </w:r>
      <w:r w:rsidRPr="00297755">
        <w:rPr>
          <w:rFonts w:ascii="Times New Roman" w:hAnsi="Times New Roman" w:cs="Times New Roman"/>
          <w:b/>
          <w:bCs/>
          <w:sz w:val="24"/>
          <w:szCs w:val="24"/>
        </w:rPr>
        <w:t>Ethics approval:</w:t>
      </w:r>
    </w:p>
    <w:p w14:paraId="69736585" w14:textId="77777777" w:rsidR="0094784A" w:rsidRPr="00297755" w:rsidRDefault="0094784A" w:rsidP="0094784A">
      <w:pPr>
        <w:spacing w:line="360" w:lineRule="auto"/>
        <w:jc w:val="both"/>
        <w:rPr>
          <w:rFonts w:ascii="Times New Roman" w:hAnsi="Times New Roman" w:cs="Times New Roman"/>
          <w:sz w:val="24"/>
          <w:szCs w:val="24"/>
        </w:rPr>
      </w:pPr>
      <w:r w:rsidRPr="00297755">
        <w:rPr>
          <w:rFonts w:ascii="Times New Roman" w:hAnsi="Times New Roman" w:cs="Times New Roman"/>
          <w:sz w:val="24"/>
          <w:szCs w:val="24"/>
        </w:rPr>
        <w:t xml:space="preserve"> Experimental approval for conducting the present investigations was obtained from the Institutional Animal Ethics Committee according to the Committee for Control and Supervision of Experiments on Animals rules, laid down by the Government of India No. 50-IAEC-23-09 dated: 28.11.2023. </w:t>
      </w:r>
    </w:p>
    <w:p w14:paraId="0B0A8F43" w14:textId="77777777" w:rsidR="00461CF0" w:rsidRPr="00461CF0" w:rsidRDefault="00461CF0" w:rsidP="00461CF0">
      <w:pPr>
        <w:spacing w:after="0" w:line="240" w:lineRule="auto"/>
        <w:rPr>
          <w:rFonts w:ascii="Arial" w:eastAsia="Calibri" w:hAnsi="Arial" w:cs="Arial"/>
          <w:b/>
          <w:sz w:val="20"/>
          <w:lang w:bidi="ar-SA"/>
        </w:rPr>
      </w:pPr>
      <w:r w:rsidRPr="00461CF0">
        <w:rPr>
          <w:rFonts w:ascii="Arial" w:eastAsia="Calibri" w:hAnsi="Arial" w:cs="Arial"/>
          <w:b/>
          <w:sz w:val="20"/>
          <w:lang w:bidi="ar-SA"/>
        </w:rPr>
        <w:t>Declaration of AI Use</w:t>
      </w:r>
    </w:p>
    <w:p w14:paraId="2F26BF0E" w14:textId="77777777" w:rsidR="00461CF0" w:rsidRPr="00461CF0" w:rsidRDefault="00461CF0" w:rsidP="00461CF0">
      <w:pPr>
        <w:spacing w:after="0" w:line="240" w:lineRule="auto"/>
        <w:rPr>
          <w:rFonts w:ascii="Arial" w:eastAsia="Calibri" w:hAnsi="Arial" w:cs="Arial"/>
          <w:sz w:val="20"/>
          <w:lang w:bidi="ar-SA"/>
        </w:rPr>
      </w:pPr>
    </w:p>
    <w:p w14:paraId="7C7C3B06" w14:textId="77777777" w:rsidR="00461CF0" w:rsidRPr="00461CF0" w:rsidRDefault="00461CF0" w:rsidP="00461CF0">
      <w:pPr>
        <w:spacing w:after="0" w:line="240" w:lineRule="auto"/>
        <w:rPr>
          <w:rFonts w:ascii="Arial" w:eastAsia="Calibri" w:hAnsi="Arial" w:cs="Arial"/>
          <w:sz w:val="20"/>
          <w:lang w:bidi="ar-SA"/>
        </w:rPr>
      </w:pPr>
      <w:r w:rsidRPr="00461CF0">
        <w:rPr>
          <w:rFonts w:ascii="Arial" w:eastAsia="Calibri" w:hAnsi="Arial" w:cs="Arial"/>
          <w:sz w:val="20"/>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4F14533" w14:textId="77777777" w:rsidR="00461CF0" w:rsidRPr="00461CF0" w:rsidRDefault="00461CF0" w:rsidP="00461CF0">
      <w:pPr>
        <w:spacing w:after="0" w:line="240" w:lineRule="auto"/>
        <w:jc w:val="both"/>
        <w:rPr>
          <w:rFonts w:ascii="Times New Roman" w:eastAsia="Calibri" w:hAnsi="Times New Roman" w:cs="Times New Roman"/>
          <w:szCs w:val="22"/>
          <w:lang w:bidi="ar-SA"/>
        </w:rPr>
      </w:pPr>
    </w:p>
    <w:p w14:paraId="76F87E48" w14:textId="77777777" w:rsidR="00461CF0" w:rsidRPr="00461CF0" w:rsidRDefault="00461CF0" w:rsidP="00461CF0">
      <w:pPr>
        <w:spacing w:after="0" w:line="240" w:lineRule="auto"/>
        <w:jc w:val="both"/>
        <w:rPr>
          <w:rFonts w:ascii="Times New Roman" w:eastAsia="Calibri" w:hAnsi="Times New Roman" w:cs="Times New Roman"/>
          <w:szCs w:val="22"/>
          <w:lang w:bidi="ar-SA"/>
        </w:rPr>
      </w:pPr>
    </w:p>
    <w:p w14:paraId="3611784F" w14:textId="77777777" w:rsidR="00461CF0" w:rsidRPr="00461CF0" w:rsidRDefault="00461CF0" w:rsidP="00461CF0">
      <w:pPr>
        <w:rPr>
          <w:rFonts w:ascii="Cambria" w:eastAsia="Times New Roman" w:hAnsi="Cambria" w:cs="Arial"/>
          <w:b/>
          <w:bCs/>
          <w:szCs w:val="22"/>
          <w:lang w:val="en-GB" w:eastAsia="en-GB" w:bidi="ar-SA"/>
        </w:rPr>
      </w:pPr>
      <w:r w:rsidRPr="00461CF0">
        <w:rPr>
          <w:rFonts w:ascii="Cambria" w:eastAsia="Times New Roman" w:hAnsi="Cambria" w:cs="Arial"/>
          <w:b/>
          <w:bCs/>
          <w:szCs w:val="22"/>
          <w:lang w:val="en-GB" w:eastAsia="en-GB" w:bidi="ar-SA"/>
        </w:rPr>
        <w:t>COMPETING INTERESTS DISCLAIMER:</w:t>
      </w:r>
    </w:p>
    <w:p w14:paraId="574134C2" w14:textId="77777777" w:rsidR="00461CF0" w:rsidRPr="00461CF0" w:rsidRDefault="00461CF0" w:rsidP="00461CF0">
      <w:pPr>
        <w:rPr>
          <w:rFonts w:ascii="Cambria" w:eastAsia="Times New Roman" w:hAnsi="Cambria" w:cs="Times New Roman"/>
          <w:szCs w:val="22"/>
          <w:lang w:val="en-GB" w:eastAsia="en-GB" w:bidi="ar-SA"/>
        </w:rPr>
      </w:pPr>
      <w:r w:rsidRPr="00461CF0">
        <w:rPr>
          <w:rFonts w:ascii="Cambria" w:eastAsia="Times New Roman" w:hAnsi="Cambria" w:cs="Arial"/>
          <w:szCs w:val="22"/>
          <w:lang w:val="en-GB" w:eastAsia="en-GB" w:bidi="ar-SA"/>
        </w:rPr>
        <w:lastRenderedPageBreak/>
        <w:t>Authors have declared that they have no known competing financial interests OR non-financial interests OR personal relationships that could have appeared to influence the work reported in this paper.</w:t>
      </w:r>
    </w:p>
    <w:p w14:paraId="7B91C9F2" w14:textId="77777777" w:rsidR="00CB7A50" w:rsidRPr="002F4C1B" w:rsidRDefault="00CB7A50" w:rsidP="002F4C1B">
      <w:pPr>
        <w:spacing w:line="360" w:lineRule="auto"/>
        <w:jc w:val="both"/>
        <w:rPr>
          <w:rFonts w:ascii="Times New Roman" w:hAnsi="Times New Roman" w:cs="Times New Roman"/>
          <w:b/>
          <w:bCs/>
          <w:color w:val="000000" w:themeColor="text1"/>
          <w:sz w:val="24"/>
          <w:szCs w:val="24"/>
        </w:rPr>
      </w:pPr>
    </w:p>
    <w:p w14:paraId="22FD3018" w14:textId="77777777" w:rsidR="000F2A29" w:rsidRPr="002F4C1B" w:rsidRDefault="000F2A29" w:rsidP="002F4C1B">
      <w:pPr>
        <w:pStyle w:val="Heading3"/>
        <w:spacing w:line="360" w:lineRule="auto"/>
        <w:jc w:val="both"/>
        <w:rPr>
          <w:sz w:val="24"/>
          <w:szCs w:val="24"/>
        </w:rPr>
      </w:pPr>
      <w:r w:rsidRPr="002F4C1B">
        <w:rPr>
          <w:sz w:val="24"/>
          <w:szCs w:val="24"/>
        </w:rPr>
        <w:t>References</w:t>
      </w:r>
    </w:p>
    <w:p w14:paraId="662AC0D7" w14:textId="77777777" w:rsidR="00842571" w:rsidRDefault="00000000">
      <w:pPr>
        <w:pStyle w:val="NormalWeb"/>
        <w:spacing w:line="360" w:lineRule="auto"/>
        <w:ind w:left="720" w:hanging="720"/>
      </w:pPr>
      <w:r>
        <w:t xml:space="preserve">Bergonier, D., de Crémoux, R., Rupp, R., Lagriffoul, G., &amp; Berthelot, X. (2003). Mastitis of dairy small ruminants. </w:t>
      </w:r>
      <w:r>
        <w:rPr>
          <w:i/>
        </w:rPr>
        <w:t>Veterinary Research, 34</w:t>
      </w:r>
      <w:r>
        <w:t xml:space="preserve">(5), 689–716. </w:t>
      </w:r>
      <w:hyperlink r:id="rId11">
        <w:r>
          <w:rPr>
            <w:rStyle w:val="Hyperlink"/>
          </w:rPr>
          <w:t>https://doi.org/10.1051/vetres:2003030</w:t>
        </w:r>
      </w:hyperlink>
    </w:p>
    <w:p w14:paraId="1134D3D2" w14:textId="77777777" w:rsidR="00842571" w:rsidRDefault="00000000">
      <w:pPr>
        <w:pStyle w:val="NormalWeb"/>
        <w:spacing w:line="360" w:lineRule="auto"/>
        <w:ind w:left="720" w:hanging="720"/>
      </w:pPr>
      <w:r>
        <w:t xml:space="preserve">Contreras, A., Sierra, D., Sánchez, A., Corrales, J. C., Marco, J. C., Paape, M. J., &amp; Gonzalo, C. (2007). Mastitis in small ruminants. </w:t>
      </w:r>
      <w:r>
        <w:rPr>
          <w:i/>
        </w:rPr>
        <w:t>Small Ruminant Research, 68</w:t>
      </w:r>
      <w:r>
        <w:t xml:space="preserve">(1–2), 145–153. </w:t>
      </w:r>
      <w:hyperlink r:id="rId12">
        <w:r>
          <w:rPr>
            <w:rStyle w:val="Hyperlink"/>
          </w:rPr>
          <w:t>https://doi.org/10.1016/j.smallrumres.2006.09.011</w:t>
        </w:r>
      </w:hyperlink>
    </w:p>
    <w:p w14:paraId="32AEDF5B" w14:textId="77777777" w:rsidR="00842571" w:rsidRDefault="00000000">
      <w:pPr>
        <w:pStyle w:val="NormalWeb"/>
        <w:spacing w:line="360" w:lineRule="auto"/>
        <w:ind w:left="720" w:hanging="720"/>
      </w:pPr>
      <w:r>
        <w:t xml:space="preserve">Department of Animal Husbandry and Dairying (DAHD). (2019). </w:t>
      </w:r>
      <w:r>
        <w:rPr>
          <w:i/>
        </w:rPr>
        <w:t>20th livestock census</w:t>
      </w:r>
      <w:r>
        <w:t xml:space="preserve">. Ministry of Fisheries, Animal Husbandry and Dairying, Government of India. </w:t>
      </w:r>
      <w:hyperlink r:id="rId13">
        <w:r>
          <w:rPr>
            <w:rStyle w:val="Hyperlink"/>
          </w:rPr>
          <w:t>https://dahd.gov.in/en/node/3282</w:t>
        </w:r>
      </w:hyperlink>
    </w:p>
    <w:p w14:paraId="79BB6525" w14:textId="77777777" w:rsidR="00842571" w:rsidRDefault="00000000">
      <w:pPr>
        <w:pStyle w:val="NormalWeb"/>
        <w:spacing w:line="360" w:lineRule="auto"/>
        <w:ind w:left="720" w:hanging="720"/>
      </w:pPr>
      <w:r>
        <w:t xml:space="preserve">Devendra, C. (2013). Investments on pro-poor development projects on goats: Ensuring success for improved livelihoods. </w:t>
      </w:r>
      <w:r>
        <w:rPr>
          <w:i/>
        </w:rPr>
        <w:t>Asian-Australasian Journal of Animal Sciences, 26</w:t>
      </w:r>
      <w:r>
        <w:t xml:space="preserve">(1), 1–18. </w:t>
      </w:r>
      <w:hyperlink r:id="rId14">
        <w:r>
          <w:rPr>
            <w:rStyle w:val="Hyperlink"/>
          </w:rPr>
          <w:t>https://doi.org/10.5713/ajas.2013.r.01</w:t>
        </w:r>
      </w:hyperlink>
    </w:p>
    <w:p w14:paraId="25243A66" w14:textId="77777777" w:rsidR="00842571" w:rsidRDefault="00000000">
      <w:pPr>
        <w:pStyle w:val="NormalWeb"/>
        <w:spacing w:line="360" w:lineRule="auto"/>
        <w:ind w:left="720" w:hanging="720"/>
      </w:pPr>
      <w:r>
        <w:t xml:space="preserve">Food and Agriculture Organization of the United Nations (FAO). (2022). </w:t>
      </w:r>
      <w:r>
        <w:rPr>
          <w:i/>
        </w:rPr>
        <w:t>FAOSTAT: Production: Crops and livestock products</w:t>
      </w:r>
      <w:r>
        <w:t xml:space="preserve"> [Data set]. FAO. </w:t>
      </w:r>
      <w:hyperlink r:id="rId15" w:anchor="data/QCL">
        <w:r>
          <w:rPr>
            <w:rStyle w:val="Hyperlink"/>
          </w:rPr>
          <w:t>https://www.fao.org/faostat/en/#data/QCL</w:t>
        </w:r>
      </w:hyperlink>
    </w:p>
    <w:p w14:paraId="79E11B91" w14:textId="77777777" w:rsidR="00842571" w:rsidRDefault="00000000">
      <w:pPr>
        <w:pStyle w:val="NormalWeb"/>
        <w:spacing w:line="360" w:lineRule="auto"/>
        <w:ind w:left="720" w:hanging="720"/>
      </w:pPr>
      <w:r>
        <w:t xml:space="preserve">Gancárová, B., Tvarožková, K., Oravcová, M., Uhrinčať, M., Mačuhová, L., Vašíček, D., Černek, Ľ., &amp; Tančin, V. (2025). Somatic cell count and presence of microbial pathogens in milk of goats in Slovakia. </w:t>
      </w:r>
      <w:r>
        <w:rPr>
          <w:i/>
        </w:rPr>
        <w:t>Journal of Dairy Research, 92</w:t>
      </w:r>
      <w:r>
        <w:t xml:space="preserve">(1), 78–80. </w:t>
      </w:r>
      <w:hyperlink r:id="rId16">
        <w:r>
          <w:rPr>
            <w:rStyle w:val="Hyperlink"/>
          </w:rPr>
          <w:t>https://doi.org/10.1017/S0022029925000354</w:t>
        </w:r>
      </w:hyperlink>
    </w:p>
    <w:p w14:paraId="4BEB7293" w14:textId="77777777" w:rsidR="00842571" w:rsidRDefault="00000000">
      <w:pPr>
        <w:pStyle w:val="NormalWeb"/>
        <w:spacing w:line="360" w:lineRule="auto"/>
        <w:ind w:left="720" w:hanging="720"/>
      </w:pPr>
      <w:r>
        <w:t xml:space="preserve">Gökdai, A., Sakarya, E., Contiero, B., &amp; Gottardo, F. (2020). Milking characteristics, hygiene and management practices in Saanen goat farms: A case of Canakkale province, Turkey. </w:t>
      </w:r>
      <w:r>
        <w:rPr>
          <w:i/>
        </w:rPr>
        <w:lastRenderedPageBreak/>
        <w:t>Italian Journal of Animal Science, 19</w:t>
      </w:r>
      <w:r>
        <w:t xml:space="preserve">(1), 213–221. </w:t>
      </w:r>
      <w:hyperlink r:id="rId17">
        <w:r>
          <w:rPr>
            <w:rStyle w:val="Hyperlink"/>
          </w:rPr>
          <w:t>https://doi.org/10.1080/1828051X.2020.1718006</w:t>
        </w:r>
      </w:hyperlink>
    </w:p>
    <w:p w14:paraId="229756A2" w14:textId="3ABFB2E1" w:rsidR="00842571" w:rsidRDefault="00000000">
      <w:pPr>
        <w:pStyle w:val="NormalWeb"/>
        <w:spacing w:line="360" w:lineRule="auto"/>
        <w:ind w:left="720" w:hanging="720"/>
      </w:pPr>
      <w:r>
        <w:t xml:space="preserve">Hoste, H., Torres-Acosta, J. F. J., Alonso-Díaz, M. A., Brunet, S., Sandoval-Castro, C. A., &amp; Houzangbe-Adote, S. (2008). Identification and validation of bioactive plants for the control of gastrointestinal nematodes in small ruminants. </w:t>
      </w:r>
      <w:r>
        <w:rPr>
          <w:i/>
        </w:rPr>
        <w:t>Tropical Biomedicine, 25</w:t>
      </w:r>
      <w:r>
        <w:t xml:space="preserve">(1 Suppl.), 56–72. </w:t>
      </w:r>
    </w:p>
    <w:p w14:paraId="22E3478A" w14:textId="77777777" w:rsidR="00842571" w:rsidRDefault="00000000">
      <w:pPr>
        <w:pStyle w:val="NormalWeb"/>
        <w:spacing w:line="360" w:lineRule="auto"/>
        <w:ind w:left="720" w:hanging="720"/>
      </w:pPr>
      <w:r>
        <w:t xml:space="preserve">Kumari, N., Ugale, G., Neeraj, &amp; Pandey, R. (2025). Effect of different pre-hand milking treatments: Dry hand, tap water, mustard oil, coconut oil on viable count of different physiological groups of bacteria in raw milk of cross-bred cows. </w:t>
      </w:r>
      <w:r>
        <w:rPr>
          <w:i/>
        </w:rPr>
        <w:t>Journal of Biology and Nature, 17</w:t>
      </w:r>
      <w:r>
        <w:t xml:space="preserve">(2), 341–346. </w:t>
      </w:r>
      <w:hyperlink r:id="rId18">
        <w:r>
          <w:rPr>
            <w:rStyle w:val="Hyperlink"/>
          </w:rPr>
          <w:t>https://doi.org/10.56557/joban/2025/v17i29669</w:t>
        </w:r>
      </w:hyperlink>
    </w:p>
    <w:p w14:paraId="043C45F0" w14:textId="77777777" w:rsidR="00842571" w:rsidRDefault="00000000">
      <w:pPr>
        <w:pStyle w:val="NormalWeb"/>
        <w:spacing w:line="360" w:lineRule="auto"/>
        <w:ind w:left="720" w:hanging="720"/>
      </w:pPr>
      <w:r>
        <w:t xml:space="preserve">Lopes, W. D., Monte, D. F. M., de Leon, C. M. G. C., Moura, J. F. P., Silva, N. M. V., Queiroga, R. C. R. E., Gonzaga Neto, S., Givisiez, P. E. N., Pereira, W. E., &amp; Oliveira, C. J. B. (2021). Logistic regression model reveals major factors associated with total bacteria and somatic cell counts in goat bulk milk. </w:t>
      </w:r>
      <w:r>
        <w:rPr>
          <w:i/>
        </w:rPr>
        <w:t>Small Ruminant Research, 198</w:t>
      </w:r>
      <w:r>
        <w:t xml:space="preserve">, 106360. </w:t>
      </w:r>
      <w:hyperlink r:id="rId19">
        <w:r>
          <w:rPr>
            <w:rStyle w:val="Hyperlink"/>
          </w:rPr>
          <w:t>https://doi.org/10.1016/j.smallrumres.2021.106360</w:t>
        </w:r>
      </w:hyperlink>
    </w:p>
    <w:p w14:paraId="1753C2A2" w14:textId="77777777" w:rsidR="00842571" w:rsidRDefault="00000000">
      <w:pPr>
        <w:pStyle w:val="NormalWeb"/>
        <w:spacing w:line="360" w:lineRule="auto"/>
        <w:ind w:left="720" w:hanging="720"/>
      </w:pPr>
      <w:r>
        <w:t xml:space="preserve">Mehdid, A., Martí-De Olives, A., Fernández, N., Rodríguez, M., &amp; Peris, C. (2019). Effect of stress on somatic cell count and milk yield and composition in goats. </w:t>
      </w:r>
      <w:r>
        <w:rPr>
          <w:i/>
        </w:rPr>
        <w:t>Research in Veterinary Science, 125</w:t>
      </w:r>
      <w:r>
        <w:t xml:space="preserve">, 61–70. </w:t>
      </w:r>
      <w:hyperlink r:id="rId20">
        <w:r>
          <w:rPr>
            <w:rStyle w:val="Hyperlink"/>
          </w:rPr>
          <w:t>https://doi.org/10.1016/j.rvsc.2019.05.015</w:t>
        </w:r>
      </w:hyperlink>
    </w:p>
    <w:p w14:paraId="035E8E68" w14:textId="77777777" w:rsidR="00842571" w:rsidRDefault="00000000">
      <w:pPr>
        <w:pStyle w:val="NormalWeb"/>
        <w:spacing w:line="360" w:lineRule="auto"/>
        <w:ind w:left="720" w:hanging="720"/>
      </w:pPr>
      <w:r>
        <w:t xml:space="preserve">Moroni, P., Pisoni, G., Ruffo, G., &amp; Boettcher, P. J. (2005). Risk factors for intramammary infections and relationship with somatic-cell counts in Italian dairy goats. </w:t>
      </w:r>
      <w:r>
        <w:rPr>
          <w:i/>
        </w:rPr>
        <w:t>Preventive Veterinary Medicine, 69</w:t>
      </w:r>
      <w:r>
        <w:t xml:space="preserve">(3–4), 163–173. </w:t>
      </w:r>
      <w:hyperlink r:id="rId21">
        <w:r>
          <w:rPr>
            <w:rStyle w:val="Hyperlink"/>
          </w:rPr>
          <w:t>https://doi.org/10.1016/j.prevetmed.2004.10.013</w:t>
        </w:r>
      </w:hyperlink>
    </w:p>
    <w:p w14:paraId="5D89DF2E" w14:textId="77777777" w:rsidR="00842571" w:rsidRDefault="00000000">
      <w:pPr>
        <w:pStyle w:val="NormalWeb"/>
        <w:spacing w:line="360" w:lineRule="auto"/>
        <w:ind w:left="720" w:hanging="720"/>
      </w:pPr>
      <w:r>
        <w:t xml:space="preserve">Nudda, A., Carta, S., Battacone, G., &amp; Pulina, G. (2023). Feeding and nutritional factors that affect somatic cell counts in milk of sheep and goats. </w:t>
      </w:r>
      <w:r>
        <w:rPr>
          <w:i/>
        </w:rPr>
        <w:t>Veterinary Sciences, 10</w:t>
      </w:r>
      <w:r>
        <w:t xml:space="preserve">(7), 454. </w:t>
      </w:r>
      <w:hyperlink r:id="rId22">
        <w:r>
          <w:rPr>
            <w:rStyle w:val="Hyperlink"/>
          </w:rPr>
          <w:t>https://doi.org/10.3390/vetsci10070454</w:t>
        </w:r>
      </w:hyperlink>
    </w:p>
    <w:p w14:paraId="0D43D8C8" w14:textId="77777777" w:rsidR="00842571" w:rsidRPr="00305BD9" w:rsidRDefault="00000000">
      <w:pPr>
        <w:pStyle w:val="NormalWeb"/>
        <w:spacing w:line="360" w:lineRule="auto"/>
        <w:ind w:left="720" w:hanging="720"/>
        <w:rPr>
          <w:lang w:val="nl-BE"/>
        </w:rPr>
      </w:pPr>
      <w:r>
        <w:lastRenderedPageBreak/>
        <w:t xml:space="preserve">Paape, M. J., Poutrel, B., Contreras, A., Marco, J. C., &amp; Capuco, A. V. (2001). Milk somatic cells and lactation in small ruminants. </w:t>
      </w:r>
      <w:r>
        <w:rPr>
          <w:i/>
        </w:rPr>
        <w:t>Journal of Dairy Science, 84</w:t>
      </w:r>
      <w:r>
        <w:t xml:space="preserve">(Suppl.), E237–E244. </w:t>
      </w:r>
      <w:hyperlink r:id="rId23">
        <w:r w:rsidRPr="00305BD9">
          <w:rPr>
            <w:rStyle w:val="Hyperlink"/>
            <w:lang w:val="nl-BE"/>
          </w:rPr>
          <w:t>https://doi.org/10.3168/jds.S0022-0302(01)70223-8</w:t>
        </w:r>
      </w:hyperlink>
    </w:p>
    <w:p w14:paraId="7EE027CD" w14:textId="77777777" w:rsidR="00842571" w:rsidRDefault="00000000">
      <w:pPr>
        <w:pStyle w:val="NormalWeb"/>
        <w:spacing w:line="360" w:lineRule="auto"/>
        <w:ind w:left="720" w:hanging="720"/>
      </w:pPr>
      <w:r w:rsidRPr="00305BD9">
        <w:rPr>
          <w:lang w:val="nl-BE"/>
        </w:rPr>
        <w:t xml:space="preserve">Raynal-Ljutovac, K., Pirisi, A., de Crémoux, R., &amp; Gonzalo, C. (2007). </w:t>
      </w:r>
      <w:r>
        <w:t xml:space="preserve">Somatic cells of goat and sheep milk: Analytical, sanitary, productive and technological aspects. </w:t>
      </w:r>
      <w:r>
        <w:rPr>
          <w:i/>
        </w:rPr>
        <w:t>Small Ruminant Research, 68</w:t>
      </w:r>
      <w:r>
        <w:t xml:space="preserve">(1–2), 126–144. </w:t>
      </w:r>
      <w:hyperlink r:id="rId24">
        <w:r>
          <w:rPr>
            <w:rStyle w:val="Hyperlink"/>
          </w:rPr>
          <w:t>https://doi.org/10.1016/j.smallrumres.2006.09.012</w:t>
        </w:r>
      </w:hyperlink>
    </w:p>
    <w:p w14:paraId="7863D7AF" w14:textId="77777777" w:rsidR="00842571" w:rsidRDefault="00000000">
      <w:pPr>
        <w:pStyle w:val="NormalWeb"/>
        <w:spacing w:line="360" w:lineRule="auto"/>
        <w:ind w:left="720" w:hanging="720"/>
      </w:pPr>
      <w:r>
        <w:t xml:space="preserve">Salaberry, S. R. S., Saidenberg, A. B. S., Zuniga, E., Melville, P. A., Santos, F. G. B., Guimarães, E. C., Gregori, F., &amp; Benites, N. R. (2015). Virulence factors genes of Staphylococcus spp. isolated from caprine subclinical mastitis. </w:t>
      </w:r>
      <w:r>
        <w:rPr>
          <w:i/>
        </w:rPr>
        <w:t>Microbial Pathogenesis, 85</w:t>
      </w:r>
      <w:r>
        <w:t xml:space="preserve">, 35–39. </w:t>
      </w:r>
      <w:hyperlink r:id="rId25">
        <w:r>
          <w:rPr>
            <w:rStyle w:val="Hyperlink"/>
          </w:rPr>
          <w:t>https://doi.org/10.1016/j.micpath.2015.05.007</w:t>
        </w:r>
      </w:hyperlink>
    </w:p>
    <w:p w14:paraId="29564A4A" w14:textId="77777777" w:rsidR="00842571" w:rsidRDefault="00000000">
      <w:pPr>
        <w:pStyle w:val="NormalWeb"/>
        <w:spacing w:line="360" w:lineRule="auto"/>
        <w:ind w:left="720" w:hanging="720"/>
      </w:pPr>
      <w:r>
        <w:t xml:space="preserve">Sierra García, M., Domínguez Hernández, Y. M., De la Peña Moctezuma, A., Terrazas García, A. M., Perera Marín, J. G., Rodríguez Cortez, A. D., &amp; Candanosa Aranda, I. E. (2024). Relationship between chronic diseases, hair cortisol concentration and welfare of housed dairy goats. </w:t>
      </w:r>
      <w:r>
        <w:rPr>
          <w:i/>
        </w:rPr>
        <w:t>Austral Journal of Veterinary Sciences, 56</w:t>
      </w:r>
      <w:r>
        <w:t xml:space="preserve">(3), 105–114. </w:t>
      </w:r>
      <w:hyperlink r:id="rId26">
        <w:r>
          <w:rPr>
            <w:rStyle w:val="Hyperlink"/>
          </w:rPr>
          <w:t>https://doi.org/10.4206/ajvs.563.02</w:t>
        </w:r>
      </w:hyperlink>
    </w:p>
    <w:p w14:paraId="6E6CBA25" w14:textId="77777777" w:rsidR="00842571" w:rsidRDefault="00000000">
      <w:pPr>
        <w:pStyle w:val="NormalWeb"/>
        <w:spacing w:line="360" w:lineRule="auto"/>
        <w:ind w:left="720" w:hanging="720"/>
      </w:pPr>
      <w:r>
        <w:t xml:space="preserve">Silanikove, N. (2000). The physiological basis of adaptation in goats to harsh environments. </w:t>
      </w:r>
      <w:r>
        <w:rPr>
          <w:i/>
        </w:rPr>
        <w:t>Small Ruminant Research, 35</w:t>
      </w:r>
      <w:r>
        <w:t xml:space="preserve">(3), 181–193. </w:t>
      </w:r>
      <w:hyperlink r:id="rId27">
        <w:r>
          <w:rPr>
            <w:rStyle w:val="Hyperlink"/>
          </w:rPr>
          <w:t>https://doi.org/10.1016/S0921-4488(99)00096-6</w:t>
        </w:r>
      </w:hyperlink>
    </w:p>
    <w:p w14:paraId="5C2DFF4C" w14:textId="77777777" w:rsidR="00842571" w:rsidRDefault="00000000">
      <w:pPr>
        <w:pStyle w:val="NormalWeb"/>
        <w:spacing w:line="360" w:lineRule="auto"/>
        <w:ind w:left="720" w:hanging="720"/>
      </w:pPr>
      <w:r>
        <w:t xml:space="preserve">Singh, M., Tiwari, A., Gupta, D. K., Patel, M., Nayak, A., Pradhan, S., Singh, B., &amp; Pratap, A. (2024). Therapeutic efficacy of eucalyptus oil as teat dip in subclinical mastitis in goats. </w:t>
      </w:r>
      <w:r>
        <w:rPr>
          <w:i/>
        </w:rPr>
        <w:t>Journal of Advances in Biology &amp; Biotechnology, 27</w:t>
      </w:r>
      <w:r>
        <w:t xml:space="preserve">(10), 1566–1577. </w:t>
      </w:r>
      <w:hyperlink r:id="rId28">
        <w:r>
          <w:rPr>
            <w:rStyle w:val="Hyperlink"/>
          </w:rPr>
          <w:t>https://doi.org/10.9734/jabb/2024/v27i101581</w:t>
        </w:r>
      </w:hyperlink>
    </w:p>
    <w:p w14:paraId="6BA7E923" w14:textId="77777777" w:rsidR="00842571" w:rsidRDefault="00000000">
      <w:pPr>
        <w:pStyle w:val="NormalWeb"/>
        <w:spacing w:line="360" w:lineRule="auto"/>
        <w:ind w:left="720" w:hanging="720"/>
      </w:pPr>
      <w:r w:rsidRPr="00305BD9">
        <w:rPr>
          <w:lang w:val="nl-BE"/>
        </w:rPr>
        <w:t xml:space="preserve">Smistad, M., Inglingstad, R. A., Sølverød, L., Skeie, S., &amp; Hansen, B. G. (2024). </w:t>
      </w:r>
      <w:r>
        <w:t xml:space="preserve">Somatic cell count in dairy goats I: Association with infectious and non-infectious factors. </w:t>
      </w:r>
      <w:r>
        <w:rPr>
          <w:i/>
        </w:rPr>
        <w:t>BMC Veterinary Research, 20</w:t>
      </w:r>
      <w:r>
        <w:t xml:space="preserve">, 509. </w:t>
      </w:r>
      <w:hyperlink r:id="rId29">
        <w:r>
          <w:rPr>
            <w:rStyle w:val="Hyperlink"/>
          </w:rPr>
          <w:t>https://doi.org/10.1186/s12917-024-04348-6</w:t>
        </w:r>
      </w:hyperlink>
    </w:p>
    <w:p w14:paraId="23A7DE73" w14:textId="77777777" w:rsidR="00842571" w:rsidRDefault="00000000">
      <w:pPr>
        <w:pStyle w:val="NormalWeb"/>
        <w:spacing w:line="360" w:lineRule="auto"/>
        <w:ind w:left="720" w:hanging="720"/>
      </w:pPr>
      <w:r>
        <w:lastRenderedPageBreak/>
        <w:t xml:space="preserve">Vacca, G. M., Dettori, M. L., Carcangiu, V., Rocchigiani, A. M., &amp; Pazzola, M. (2010). Relationships between milk characteristics and somatic cell score in milk from primiparous browsing goats. </w:t>
      </w:r>
      <w:r>
        <w:rPr>
          <w:i/>
        </w:rPr>
        <w:t>Animal Science Journal, 81</w:t>
      </w:r>
      <w:r>
        <w:t xml:space="preserve">(5), 594–599. </w:t>
      </w:r>
      <w:hyperlink r:id="rId30">
        <w:r>
          <w:rPr>
            <w:rStyle w:val="Hyperlink"/>
          </w:rPr>
          <w:t>https://doi.org/10.1111/j.1740-0929.2010.00774.x</w:t>
        </w:r>
      </w:hyperlink>
    </w:p>
    <w:p w14:paraId="7A0DA9A1" w14:textId="77777777" w:rsidR="00842571" w:rsidRDefault="00000000">
      <w:pPr>
        <w:pStyle w:val="NormalWeb"/>
        <w:spacing w:line="360" w:lineRule="auto"/>
        <w:ind w:left="720" w:hanging="720"/>
      </w:pPr>
      <w:r>
        <w:t xml:space="preserve">Virdis, S., Scarano, C., Cossu, F., Spanu, V., Spanu, C., &amp; De Santis, E. P. L. (2010). Antibiotic resistance in Staphylococcus aureus and coagulase-negative staphylococci isolated from goats with subclinical mastitis. </w:t>
      </w:r>
      <w:r>
        <w:rPr>
          <w:i/>
        </w:rPr>
        <w:t>Veterinary Medicine International, 2010</w:t>
      </w:r>
      <w:r>
        <w:t xml:space="preserve">, 517060. </w:t>
      </w:r>
      <w:hyperlink r:id="rId31">
        <w:r>
          <w:rPr>
            <w:rStyle w:val="Hyperlink"/>
          </w:rPr>
          <w:t>https://doi.org/10.4061/2010/517060</w:t>
        </w:r>
      </w:hyperlink>
    </w:p>
    <w:p w14:paraId="79318D1B" w14:textId="77777777" w:rsidR="00842571" w:rsidRDefault="00000000">
      <w:pPr>
        <w:pStyle w:val="NormalWeb"/>
        <w:spacing w:line="360" w:lineRule="auto"/>
        <w:ind w:left="720" w:hanging="720"/>
      </w:pPr>
      <w:r>
        <w:t xml:space="preserve">Zigo, F., Vasil', M., Ondrašovičová, S., Výrostková, J., Bujok, J., &amp; Pecka-Kiełb, E. (2021). Maintaining optimal mammary gland health and prevention of mastitis. </w:t>
      </w:r>
      <w:r>
        <w:rPr>
          <w:i/>
        </w:rPr>
        <w:t>Frontiers in Veterinary Science, 8</w:t>
      </w:r>
      <w:r>
        <w:t xml:space="preserve">, 607311. </w:t>
      </w:r>
      <w:hyperlink r:id="rId32">
        <w:r>
          <w:rPr>
            <w:rStyle w:val="Hyperlink"/>
          </w:rPr>
          <w:t>https://doi.org/10.3389/fvets.2021.607311</w:t>
        </w:r>
      </w:hyperlink>
    </w:p>
    <w:p w14:paraId="7CFF3C51" w14:textId="77777777" w:rsidR="00842571" w:rsidRDefault="00000000">
      <w:pPr>
        <w:pStyle w:val="NormalWeb"/>
        <w:spacing w:line="360" w:lineRule="auto"/>
        <w:ind w:left="720" w:hanging="720"/>
      </w:pPr>
      <w:r>
        <w:t xml:space="preserve">Zobel, G., Neave, H. W., &amp; Webster, J. (2019). Understanding natural behavior to improve dairy goat (Capra hircus) management systems. </w:t>
      </w:r>
      <w:r>
        <w:rPr>
          <w:i/>
        </w:rPr>
        <w:t>Translational Animal Science, 3</w:t>
      </w:r>
      <w:r>
        <w:t xml:space="preserve">(1), 212–224. </w:t>
      </w:r>
      <w:hyperlink r:id="rId33">
        <w:r>
          <w:rPr>
            <w:rStyle w:val="Hyperlink"/>
          </w:rPr>
          <w:t>https://doi.org/10.1093/tas/txy145</w:t>
        </w:r>
      </w:hyperlink>
    </w:p>
    <w:sectPr w:rsidR="00842571" w:rsidSect="005850EE">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43D3B" w14:textId="77777777" w:rsidR="00DB56D1" w:rsidRDefault="00DB56D1" w:rsidP="00916F0C">
      <w:pPr>
        <w:spacing w:after="0" w:line="240" w:lineRule="auto"/>
      </w:pPr>
      <w:r>
        <w:separator/>
      </w:r>
    </w:p>
  </w:endnote>
  <w:endnote w:type="continuationSeparator" w:id="0">
    <w:p w14:paraId="2A7A738A" w14:textId="77777777" w:rsidR="00DB56D1" w:rsidRDefault="00DB56D1" w:rsidP="00916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BD94" w14:textId="77777777" w:rsidR="00916F0C" w:rsidRDefault="00916F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8D1B" w14:textId="77777777" w:rsidR="00916F0C" w:rsidRDefault="00916F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956BE" w14:textId="77777777" w:rsidR="00916F0C" w:rsidRDefault="00916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5DC05" w14:textId="77777777" w:rsidR="00DB56D1" w:rsidRDefault="00DB56D1" w:rsidP="00916F0C">
      <w:pPr>
        <w:spacing w:after="0" w:line="240" w:lineRule="auto"/>
      </w:pPr>
      <w:r>
        <w:separator/>
      </w:r>
    </w:p>
  </w:footnote>
  <w:footnote w:type="continuationSeparator" w:id="0">
    <w:p w14:paraId="43396379" w14:textId="77777777" w:rsidR="00DB56D1" w:rsidRDefault="00DB56D1" w:rsidP="00916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1FD6" w14:textId="77777777" w:rsidR="00916F0C" w:rsidRDefault="00000000">
    <w:pPr>
      <w:pStyle w:val="Header"/>
    </w:pPr>
    <w:r>
      <w:rPr>
        <w:noProof/>
      </w:rPr>
      <w:pict w14:anchorId="3E317E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3610"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336D8" w14:textId="77777777" w:rsidR="00916F0C" w:rsidRDefault="00000000">
    <w:pPr>
      <w:pStyle w:val="Header"/>
    </w:pPr>
    <w:r>
      <w:rPr>
        <w:noProof/>
      </w:rPr>
      <w:pict w14:anchorId="3B7484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3611"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0CDF2" w14:textId="77777777" w:rsidR="00916F0C" w:rsidRDefault="00000000">
    <w:pPr>
      <w:pStyle w:val="Header"/>
    </w:pPr>
    <w:r>
      <w:rPr>
        <w:noProof/>
      </w:rPr>
      <w:pict w14:anchorId="588146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13609"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A76E3"/>
    <w:multiLevelType w:val="multilevel"/>
    <w:tmpl w:val="7D941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AD2BE6"/>
    <w:multiLevelType w:val="hybridMultilevel"/>
    <w:tmpl w:val="1EF85C98"/>
    <w:lvl w:ilvl="0" w:tplc="FB40672A">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1C83810"/>
    <w:multiLevelType w:val="hybridMultilevel"/>
    <w:tmpl w:val="DD0A75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E610B11"/>
    <w:multiLevelType w:val="multilevel"/>
    <w:tmpl w:val="6674F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B60D43"/>
    <w:multiLevelType w:val="multilevel"/>
    <w:tmpl w:val="0E9CE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010FFF"/>
    <w:multiLevelType w:val="multilevel"/>
    <w:tmpl w:val="C8BEB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F02E86"/>
    <w:multiLevelType w:val="multilevel"/>
    <w:tmpl w:val="F8764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1180627">
    <w:abstractNumId w:val="2"/>
  </w:num>
  <w:num w:numId="2" w16cid:durableId="1224605716">
    <w:abstractNumId w:val="0"/>
  </w:num>
  <w:num w:numId="3" w16cid:durableId="1917665737">
    <w:abstractNumId w:val="6"/>
  </w:num>
  <w:num w:numId="4" w16cid:durableId="1230457243">
    <w:abstractNumId w:val="5"/>
  </w:num>
  <w:num w:numId="5" w16cid:durableId="989749029">
    <w:abstractNumId w:val="4"/>
  </w:num>
  <w:num w:numId="6" w16cid:durableId="1889486894">
    <w:abstractNumId w:val="3"/>
  </w:num>
  <w:num w:numId="7" w16cid:durableId="63262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783"/>
    <w:rsid w:val="00061E95"/>
    <w:rsid w:val="000B1823"/>
    <w:rsid w:val="000F2A29"/>
    <w:rsid w:val="00116CA1"/>
    <w:rsid w:val="001339A0"/>
    <w:rsid w:val="0017169A"/>
    <w:rsid w:val="002216DA"/>
    <w:rsid w:val="0025078B"/>
    <w:rsid w:val="00266CE3"/>
    <w:rsid w:val="002D6CD8"/>
    <w:rsid w:val="002E0CB6"/>
    <w:rsid w:val="002E7834"/>
    <w:rsid w:val="002F4C1B"/>
    <w:rsid w:val="00305BD9"/>
    <w:rsid w:val="00325000"/>
    <w:rsid w:val="003B33EF"/>
    <w:rsid w:val="003C5362"/>
    <w:rsid w:val="003E5D78"/>
    <w:rsid w:val="003E7C90"/>
    <w:rsid w:val="00461CF0"/>
    <w:rsid w:val="004E0936"/>
    <w:rsid w:val="005379D3"/>
    <w:rsid w:val="00557E57"/>
    <w:rsid w:val="005850EE"/>
    <w:rsid w:val="005E46C1"/>
    <w:rsid w:val="007764A0"/>
    <w:rsid w:val="00787A4C"/>
    <w:rsid w:val="007B61C1"/>
    <w:rsid w:val="00832F8A"/>
    <w:rsid w:val="00842571"/>
    <w:rsid w:val="00846B80"/>
    <w:rsid w:val="008E04C8"/>
    <w:rsid w:val="00916F0C"/>
    <w:rsid w:val="009310A4"/>
    <w:rsid w:val="0094784A"/>
    <w:rsid w:val="009D5E7E"/>
    <w:rsid w:val="009D79F9"/>
    <w:rsid w:val="00A42623"/>
    <w:rsid w:val="00A66E07"/>
    <w:rsid w:val="00AA29D1"/>
    <w:rsid w:val="00AA4F23"/>
    <w:rsid w:val="00B92A2D"/>
    <w:rsid w:val="00CB72A6"/>
    <w:rsid w:val="00CB7A50"/>
    <w:rsid w:val="00CC62E7"/>
    <w:rsid w:val="00CD512C"/>
    <w:rsid w:val="00D7334E"/>
    <w:rsid w:val="00DA6225"/>
    <w:rsid w:val="00DB56D1"/>
    <w:rsid w:val="00DC3F2C"/>
    <w:rsid w:val="00E1114D"/>
    <w:rsid w:val="00E37CAB"/>
    <w:rsid w:val="00E76A68"/>
    <w:rsid w:val="00F0664C"/>
    <w:rsid w:val="00F42D50"/>
    <w:rsid w:val="00FB4783"/>
    <w:rsid w:val="00FC612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52C55"/>
  <w15:docId w15:val="{EB0440D8-4EC3-4435-94D7-6F12CCA9A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783"/>
  </w:style>
  <w:style w:type="paragraph" w:styleId="Heading2">
    <w:name w:val="heading 2"/>
    <w:basedOn w:val="Normal"/>
    <w:next w:val="Normal"/>
    <w:link w:val="Heading2Char"/>
    <w:uiPriority w:val="9"/>
    <w:semiHidden/>
    <w:unhideWhenUsed/>
    <w:qFormat/>
    <w:rsid w:val="000F2A29"/>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link w:val="Heading3Char"/>
    <w:uiPriority w:val="9"/>
    <w:qFormat/>
    <w:rsid w:val="001339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16CA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936"/>
    <w:pPr>
      <w:tabs>
        <w:tab w:val="center" w:pos="4680"/>
        <w:tab w:val="right" w:pos="9360"/>
      </w:tabs>
      <w:spacing w:after="0" w:line="240" w:lineRule="auto"/>
    </w:pPr>
    <w:rPr>
      <w:rFonts w:ascii="Calibri" w:eastAsia="Calibri" w:hAnsi="Calibri" w:cs="Mangal"/>
    </w:rPr>
  </w:style>
  <w:style w:type="character" w:customStyle="1" w:styleId="HeaderChar">
    <w:name w:val="Header Char"/>
    <w:basedOn w:val="DefaultParagraphFont"/>
    <w:link w:val="Header"/>
    <w:uiPriority w:val="99"/>
    <w:rsid w:val="004E0936"/>
    <w:rPr>
      <w:rFonts w:ascii="Calibri" w:eastAsia="Calibri" w:hAnsi="Calibri" w:cs="Mangal"/>
    </w:rPr>
  </w:style>
  <w:style w:type="paragraph" w:styleId="NormalWeb">
    <w:name w:val="Normal (Web)"/>
    <w:basedOn w:val="Normal"/>
    <w:uiPriority w:val="99"/>
    <w:unhideWhenUsed/>
    <w:rsid w:val="00832F8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B7A50"/>
    <w:pPr>
      <w:spacing w:after="0" w:line="240" w:lineRule="auto"/>
      <w:ind w:left="720"/>
      <w:contextualSpacing/>
    </w:pPr>
    <w:rPr>
      <w:rFonts w:ascii="Calibri" w:eastAsia="Calibri" w:hAnsi="Calibri" w:cs="Mangal"/>
      <w:sz w:val="24"/>
      <w:szCs w:val="24"/>
      <w:lang w:bidi="ar-SA"/>
    </w:rPr>
  </w:style>
  <w:style w:type="paragraph" w:styleId="BalloonText">
    <w:name w:val="Balloon Text"/>
    <w:basedOn w:val="Normal"/>
    <w:link w:val="BalloonTextChar"/>
    <w:uiPriority w:val="99"/>
    <w:semiHidden/>
    <w:unhideWhenUsed/>
    <w:rsid w:val="00CB7A50"/>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CB7A50"/>
    <w:rPr>
      <w:rFonts w:ascii="Tahoma" w:hAnsi="Tahoma" w:cs="Mangal"/>
      <w:sz w:val="16"/>
      <w:szCs w:val="14"/>
    </w:rPr>
  </w:style>
  <w:style w:type="table" w:styleId="TableGrid">
    <w:name w:val="Table Grid"/>
    <w:basedOn w:val="TableNormal"/>
    <w:uiPriority w:val="59"/>
    <w:rsid w:val="009D79F9"/>
    <w:pPr>
      <w:spacing w:after="0" w:line="240" w:lineRule="auto"/>
    </w:pPr>
    <w:rPr>
      <w:rFonts w:eastAsiaTheme="minorEastAsia"/>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th-inline">
    <w:name w:val="math-inline"/>
    <w:basedOn w:val="DefaultParagraphFont"/>
    <w:rsid w:val="00846B80"/>
  </w:style>
  <w:style w:type="character" w:customStyle="1" w:styleId="mord">
    <w:name w:val="mord"/>
    <w:basedOn w:val="DefaultParagraphFont"/>
    <w:rsid w:val="00E76A68"/>
  </w:style>
  <w:style w:type="character" w:customStyle="1" w:styleId="mrel">
    <w:name w:val="mrel"/>
    <w:basedOn w:val="DefaultParagraphFont"/>
    <w:rsid w:val="00E76A68"/>
  </w:style>
  <w:style w:type="character" w:customStyle="1" w:styleId="mbin">
    <w:name w:val="mbin"/>
    <w:basedOn w:val="DefaultParagraphFont"/>
    <w:rsid w:val="00E76A68"/>
  </w:style>
  <w:style w:type="character" w:customStyle="1" w:styleId="source-title">
    <w:name w:val="source-title"/>
    <w:basedOn w:val="DefaultParagraphFont"/>
    <w:rsid w:val="00E76A68"/>
  </w:style>
  <w:style w:type="character" w:customStyle="1" w:styleId="source-count">
    <w:name w:val="source-count"/>
    <w:basedOn w:val="DefaultParagraphFont"/>
    <w:rsid w:val="00E76A68"/>
  </w:style>
  <w:style w:type="character" w:customStyle="1" w:styleId="Heading3Char">
    <w:name w:val="Heading 3 Char"/>
    <w:basedOn w:val="DefaultParagraphFont"/>
    <w:link w:val="Heading3"/>
    <w:uiPriority w:val="9"/>
    <w:rsid w:val="001339A0"/>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0F2A29"/>
    <w:rPr>
      <w:rFonts w:asciiTheme="majorHAnsi" w:eastAsiaTheme="majorEastAsia" w:hAnsiTheme="majorHAnsi" w:cstheme="majorBidi"/>
      <w:b/>
      <w:bCs/>
      <w:color w:val="4F81BD" w:themeColor="accent1"/>
      <w:sz w:val="26"/>
      <w:szCs w:val="23"/>
    </w:rPr>
  </w:style>
  <w:style w:type="character" w:customStyle="1" w:styleId="Heading4Char">
    <w:name w:val="Heading 4 Char"/>
    <w:basedOn w:val="DefaultParagraphFont"/>
    <w:link w:val="Heading4"/>
    <w:uiPriority w:val="9"/>
    <w:semiHidden/>
    <w:rsid w:val="00116CA1"/>
    <w:rPr>
      <w:rFonts w:asciiTheme="majorHAnsi" w:eastAsiaTheme="majorEastAsia" w:hAnsiTheme="majorHAnsi" w:cstheme="majorBidi"/>
      <w:b/>
      <w:bCs/>
      <w:i/>
      <w:iCs/>
      <w:color w:val="4F81BD" w:themeColor="accent1"/>
    </w:rPr>
  </w:style>
  <w:style w:type="paragraph" w:styleId="NoSpacing">
    <w:name w:val="No Spacing"/>
    <w:uiPriority w:val="1"/>
    <w:qFormat/>
    <w:rsid w:val="0094784A"/>
    <w:pPr>
      <w:spacing w:after="0" w:line="240" w:lineRule="auto"/>
    </w:pPr>
  </w:style>
  <w:style w:type="character" w:styleId="Hyperlink">
    <w:name w:val="Hyperlink"/>
    <w:basedOn w:val="DefaultParagraphFont"/>
    <w:uiPriority w:val="99"/>
    <w:unhideWhenUsed/>
    <w:rsid w:val="00325000"/>
    <w:rPr>
      <w:color w:val="0000FF" w:themeColor="hyperlink"/>
      <w:u w:val="single"/>
    </w:rPr>
  </w:style>
  <w:style w:type="character" w:styleId="UnresolvedMention">
    <w:name w:val="Unresolved Mention"/>
    <w:basedOn w:val="DefaultParagraphFont"/>
    <w:uiPriority w:val="99"/>
    <w:semiHidden/>
    <w:unhideWhenUsed/>
    <w:rsid w:val="00325000"/>
    <w:rPr>
      <w:color w:val="605E5C"/>
      <w:shd w:val="clear" w:color="auto" w:fill="E1DFDD"/>
    </w:rPr>
  </w:style>
  <w:style w:type="paragraph" w:styleId="Footer">
    <w:name w:val="footer"/>
    <w:basedOn w:val="Normal"/>
    <w:link w:val="FooterChar"/>
    <w:uiPriority w:val="99"/>
    <w:unhideWhenUsed/>
    <w:rsid w:val="00916F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231425">
      <w:bodyDiv w:val="1"/>
      <w:marLeft w:val="0"/>
      <w:marRight w:val="0"/>
      <w:marTop w:val="0"/>
      <w:marBottom w:val="0"/>
      <w:divBdr>
        <w:top w:val="none" w:sz="0" w:space="0" w:color="auto"/>
        <w:left w:val="none" w:sz="0" w:space="0" w:color="auto"/>
        <w:bottom w:val="none" w:sz="0" w:space="0" w:color="auto"/>
        <w:right w:val="none" w:sz="0" w:space="0" w:color="auto"/>
      </w:divBdr>
    </w:div>
    <w:div w:id="612902578">
      <w:bodyDiv w:val="1"/>
      <w:marLeft w:val="0"/>
      <w:marRight w:val="0"/>
      <w:marTop w:val="0"/>
      <w:marBottom w:val="0"/>
      <w:divBdr>
        <w:top w:val="none" w:sz="0" w:space="0" w:color="auto"/>
        <w:left w:val="none" w:sz="0" w:space="0" w:color="auto"/>
        <w:bottom w:val="none" w:sz="0" w:space="0" w:color="auto"/>
        <w:right w:val="none" w:sz="0" w:space="0" w:color="auto"/>
      </w:divBdr>
    </w:div>
    <w:div w:id="811562351">
      <w:bodyDiv w:val="1"/>
      <w:marLeft w:val="0"/>
      <w:marRight w:val="0"/>
      <w:marTop w:val="0"/>
      <w:marBottom w:val="0"/>
      <w:divBdr>
        <w:top w:val="none" w:sz="0" w:space="0" w:color="auto"/>
        <w:left w:val="none" w:sz="0" w:space="0" w:color="auto"/>
        <w:bottom w:val="none" w:sz="0" w:space="0" w:color="auto"/>
        <w:right w:val="none" w:sz="0" w:space="0" w:color="auto"/>
      </w:divBdr>
    </w:div>
    <w:div w:id="865559384">
      <w:bodyDiv w:val="1"/>
      <w:marLeft w:val="0"/>
      <w:marRight w:val="0"/>
      <w:marTop w:val="0"/>
      <w:marBottom w:val="0"/>
      <w:divBdr>
        <w:top w:val="none" w:sz="0" w:space="0" w:color="auto"/>
        <w:left w:val="none" w:sz="0" w:space="0" w:color="auto"/>
        <w:bottom w:val="none" w:sz="0" w:space="0" w:color="auto"/>
        <w:right w:val="none" w:sz="0" w:space="0" w:color="auto"/>
      </w:divBdr>
    </w:div>
    <w:div w:id="1101415188">
      <w:bodyDiv w:val="1"/>
      <w:marLeft w:val="0"/>
      <w:marRight w:val="0"/>
      <w:marTop w:val="0"/>
      <w:marBottom w:val="0"/>
      <w:divBdr>
        <w:top w:val="none" w:sz="0" w:space="0" w:color="auto"/>
        <w:left w:val="none" w:sz="0" w:space="0" w:color="auto"/>
        <w:bottom w:val="none" w:sz="0" w:space="0" w:color="auto"/>
        <w:right w:val="none" w:sz="0" w:space="0" w:color="auto"/>
      </w:divBdr>
    </w:div>
    <w:div w:id="1746996638">
      <w:bodyDiv w:val="1"/>
      <w:marLeft w:val="0"/>
      <w:marRight w:val="0"/>
      <w:marTop w:val="0"/>
      <w:marBottom w:val="0"/>
      <w:divBdr>
        <w:top w:val="none" w:sz="0" w:space="0" w:color="auto"/>
        <w:left w:val="none" w:sz="0" w:space="0" w:color="auto"/>
        <w:bottom w:val="none" w:sz="0" w:space="0" w:color="auto"/>
        <w:right w:val="none" w:sz="0" w:space="0" w:color="auto"/>
      </w:divBdr>
    </w:div>
    <w:div w:id="1761179278">
      <w:bodyDiv w:val="1"/>
      <w:marLeft w:val="0"/>
      <w:marRight w:val="0"/>
      <w:marTop w:val="0"/>
      <w:marBottom w:val="0"/>
      <w:divBdr>
        <w:top w:val="none" w:sz="0" w:space="0" w:color="auto"/>
        <w:left w:val="none" w:sz="0" w:space="0" w:color="auto"/>
        <w:bottom w:val="none" w:sz="0" w:space="0" w:color="auto"/>
        <w:right w:val="none" w:sz="0" w:space="0" w:color="auto"/>
      </w:divBdr>
      <w:divsChild>
        <w:div w:id="200047731">
          <w:marLeft w:val="0"/>
          <w:marRight w:val="0"/>
          <w:marTop w:val="0"/>
          <w:marBottom w:val="0"/>
          <w:divBdr>
            <w:top w:val="none" w:sz="0" w:space="0" w:color="auto"/>
            <w:left w:val="none" w:sz="0" w:space="0" w:color="auto"/>
            <w:bottom w:val="none" w:sz="0" w:space="0" w:color="auto"/>
            <w:right w:val="none" w:sz="0" w:space="0" w:color="auto"/>
          </w:divBdr>
          <w:divsChild>
            <w:div w:id="1240675515">
              <w:marLeft w:val="0"/>
              <w:marRight w:val="0"/>
              <w:marTop w:val="0"/>
              <w:marBottom w:val="0"/>
              <w:divBdr>
                <w:top w:val="none" w:sz="0" w:space="0" w:color="auto"/>
                <w:left w:val="none" w:sz="0" w:space="0" w:color="auto"/>
                <w:bottom w:val="none" w:sz="0" w:space="0" w:color="auto"/>
                <w:right w:val="none" w:sz="0" w:space="0" w:color="auto"/>
              </w:divBdr>
              <w:divsChild>
                <w:div w:id="1088036808">
                  <w:marLeft w:val="0"/>
                  <w:marRight w:val="0"/>
                  <w:marTop w:val="0"/>
                  <w:marBottom w:val="0"/>
                  <w:divBdr>
                    <w:top w:val="none" w:sz="0" w:space="0" w:color="auto"/>
                    <w:left w:val="none" w:sz="0" w:space="0" w:color="auto"/>
                    <w:bottom w:val="none" w:sz="0" w:space="0" w:color="auto"/>
                    <w:right w:val="none" w:sz="0" w:space="0" w:color="auto"/>
                  </w:divBdr>
                  <w:divsChild>
                    <w:div w:id="177833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602254">
      <w:bodyDiv w:val="1"/>
      <w:marLeft w:val="0"/>
      <w:marRight w:val="0"/>
      <w:marTop w:val="0"/>
      <w:marBottom w:val="0"/>
      <w:divBdr>
        <w:top w:val="none" w:sz="0" w:space="0" w:color="auto"/>
        <w:left w:val="none" w:sz="0" w:space="0" w:color="auto"/>
        <w:bottom w:val="none" w:sz="0" w:space="0" w:color="auto"/>
        <w:right w:val="none" w:sz="0" w:space="0" w:color="auto"/>
      </w:divBdr>
    </w:div>
    <w:div w:id="2012565824">
      <w:bodyDiv w:val="1"/>
      <w:marLeft w:val="0"/>
      <w:marRight w:val="0"/>
      <w:marTop w:val="0"/>
      <w:marBottom w:val="0"/>
      <w:divBdr>
        <w:top w:val="none" w:sz="0" w:space="0" w:color="auto"/>
        <w:left w:val="none" w:sz="0" w:space="0" w:color="auto"/>
        <w:bottom w:val="none" w:sz="0" w:space="0" w:color="auto"/>
        <w:right w:val="none" w:sz="0" w:space="0" w:color="auto"/>
      </w:divBdr>
    </w:div>
    <w:div w:id="203411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ahd.gov.in/en/node/3282" TargetMode="External"/><Relationship Id="rId18" Type="http://schemas.openxmlformats.org/officeDocument/2006/relationships/hyperlink" Target="https://doi.org/10.56557/joban/2025/v17i29669" TargetMode="External"/><Relationship Id="rId26" Type="http://schemas.openxmlformats.org/officeDocument/2006/relationships/hyperlink" Target="https://doi.org/10.4206/ajvs.563.02" TargetMode="External"/><Relationship Id="rId39" Type="http://schemas.openxmlformats.org/officeDocument/2006/relationships/footer" Target="footer3.xml"/><Relationship Id="rId21" Type="http://schemas.openxmlformats.org/officeDocument/2006/relationships/hyperlink" Target="https://doi.org/10.1016/j.prevetmed.2004.10.013" TargetMode="External"/><Relationship Id="rId34"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017/S0022029925000354" TargetMode="External"/><Relationship Id="rId20" Type="http://schemas.openxmlformats.org/officeDocument/2006/relationships/hyperlink" Target="https://doi.org/10.1016/j.rvsc.2019.05.015" TargetMode="External"/><Relationship Id="rId29" Type="http://schemas.openxmlformats.org/officeDocument/2006/relationships/hyperlink" Target="https://doi.org/10.1186/s12917-024-04348-6"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51/vetres:2003030" TargetMode="External"/><Relationship Id="rId24" Type="http://schemas.openxmlformats.org/officeDocument/2006/relationships/hyperlink" Target="https://doi.org/10.1016/j.smallrumres.2006.09.012" TargetMode="External"/><Relationship Id="rId32" Type="http://schemas.openxmlformats.org/officeDocument/2006/relationships/hyperlink" Target="https://doi.org/10.3389/fvets.2021.607311"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fao.org/faostat/en/" TargetMode="External"/><Relationship Id="rId23" Type="http://schemas.openxmlformats.org/officeDocument/2006/relationships/hyperlink" Target="https://doi.org/10.3168/jds.S0022-0302(01)70223-8" TargetMode="External"/><Relationship Id="rId28" Type="http://schemas.openxmlformats.org/officeDocument/2006/relationships/hyperlink" Target="https://doi.org/10.9734/jabb/2024/v27i101581" TargetMode="External"/><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s://doi.org/10.1016/j.smallrumres.2021.106360" TargetMode="External"/><Relationship Id="rId31" Type="http://schemas.openxmlformats.org/officeDocument/2006/relationships/hyperlink" Target="https://doi.org/10.4061/2010/51706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5713/ajas.2013.r.01" TargetMode="External"/><Relationship Id="rId22" Type="http://schemas.openxmlformats.org/officeDocument/2006/relationships/hyperlink" Target="https://doi.org/10.3390/vetsci10070454" TargetMode="External"/><Relationship Id="rId27" Type="http://schemas.openxmlformats.org/officeDocument/2006/relationships/hyperlink" Target="https://doi.org/10.1016/S0921-4488(99)00096-6" TargetMode="External"/><Relationship Id="rId30" Type="http://schemas.openxmlformats.org/officeDocument/2006/relationships/hyperlink" Target="https://doi.org/10.1111/j.1740-0929.2010.00774.x" TargetMode="External"/><Relationship Id="rId35" Type="http://schemas.openxmlformats.org/officeDocument/2006/relationships/header" Target="head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doi.org/10.1016/j.smallrumres.2006.09.011" TargetMode="External"/><Relationship Id="rId17" Type="http://schemas.openxmlformats.org/officeDocument/2006/relationships/hyperlink" Target="https://doi.org/10.1080/1828051X.2020.1718006" TargetMode="External"/><Relationship Id="rId25" Type="http://schemas.openxmlformats.org/officeDocument/2006/relationships/hyperlink" Target="https://doi.org/10.1016/j.micpath.2015.05.007" TargetMode="External"/><Relationship Id="rId33" Type="http://schemas.openxmlformats.org/officeDocument/2006/relationships/hyperlink" Target="https://doi.org/10.1093/tas/txy145"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14</Pages>
  <Words>4011</Words>
  <Characters>22863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dc:creator>
  <cp:lastModifiedBy>Editor-90</cp:lastModifiedBy>
  <cp:revision>11</cp:revision>
  <dcterms:created xsi:type="dcterms:W3CDTF">2026-09-24T09:31:00Z</dcterms:created>
  <dcterms:modified xsi:type="dcterms:W3CDTF">2026-09-29T06:12:00Z</dcterms:modified>
</cp:coreProperties>
</file>