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ED4F4" w14:textId="77777777" w:rsidR="00DF534E" w:rsidRPr="00DF534E" w:rsidRDefault="00DF534E" w:rsidP="00DF534E">
      <w:pPr>
        <w:spacing w:after="0"/>
        <w:rPr>
          <w:rFonts w:ascii="Times New Roman" w:hAnsi="Times New Roman" w:cs="Times New Roman"/>
          <w:b/>
          <w:sz w:val="32"/>
          <w:szCs w:val="24"/>
          <w:u w:val="single"/>
          <w:lang w:val="en-IN"/>
        </w:rPr>
      </w:pPr>
      <w:r w:rsidRPr="00DF534E">
        <w:rPr>
          <w:rFonts w:ascii="Times New Roman" w:hAnsi="Times New Roman" w:cs="Times New Roman"/>
          <w:b/>
          <w:sz w:val="32"/>
          <w:szCs w:val="24"/>
          <w:u w:val="single"/>
          <w:lang w:val="en-IN"/>
        </w:rPr>
        <w:t>Original Research Article</w:t>
      </w:r>
    </w:p>
    <w:p w14:paraId="3E0C8615" w14:textId="77777777" w:rsidR="00907B7E" w:rsidRDefault="00C71DCC" w:rsidP="00907B7E">
      <w:pPr>
        <w:spacing w:after="0"/>
        <w:jc w:val="center"/>
        <w:rPr>
          <w:rFonts w:ascii="Times New Roman" w:hAnsi="Times New Roman" w:cs="Times New Roman"/>
          <w:b/>
          <w:sz w:val="32"/>
          <w:szCs w:val="24"/>
          <w:lang w:val="en-IN"/>
        </w:rPr>
      </w:pPr>
      <w:r w:rsidRPr="003D503B">
        <w:rPr>
          <w:rFonts w:ascii="Times New Roman" w:hAnsi="Times New Roman" w:cs="Times New Roman"/>
          <w:b/>
          <w:sz w:val="32"/>
          <w:szCs w:val="24"/>
          <w:lang w:val="en-IN"/>
        </w:rPr>
        <w:t>Gill, liver, Kidney histopathological changes in Rohu (</w:t>
      </w:r>
      <w:proofErr w:type="spellStart"/>
      <w:r w:rsidRPr="003D503B">
        <w:rPr>
          <w:rFonts w:ascii="Times New Roman" w:hAnsi="Times New Roman" w:cs="Times New Roman"/>
          <w:b/>
          <w:i/>
          <w:sz w:val="32"/>
          <w:szCs w:val="24"/>
          <w:lang w:val="en-IN"/>
        </w:rPr>
        <w:t>Labeo</w:t>
      </w:r>
      <w:proofErr w:type="spellEnd"/>
      <w:r w:rsidRPr="003D503B">
        <w:rPr>
          <w:rFonts w:ascii="Times New Roman" w:hAnsi="Times New Roman" w:cs="Times New Roman"/>
          <w:b/>
          <w:i/>
          <w:sz w:val="32"/>
          <w:szCs w:val="24"/>
          <w:lang w:val="en-IN"/>
        </w:rPr>
        <w:t xml:space="preserve"> </w:t>
      </w:r>
      <w:proofErr w:type="spellStart"/>
      <w:r w:rsidRPr="003D503B">
        <w:rPr>
          <w:rFonts w:ascii="Times New Roman" w:hAnsi="Times New Roman" w:cs="Times New Roman"/>
          <w:b/>
          <w:i/>
          <w:sz w:val="32"/>
          <w:szCs w:val="24"/>
          <w:lang w:val="en-IN"/>
        </w:rPr>
        <w:t>rohita</w:t>
      </w:r>
      <w:proofErr w:type="spellEnd"/>
      <w:r w:rsidRPr="003D503B">
        <w:rPr>
          <w:rFonts w:ascii="Times New Roman" w:hAnsi="Times New Roman" w:cs="Times New Roman"/>
          <w:b/>
          <w:sz w:val="32"/>
          <w:szCs w:val="24"/>
          <w:lang w:val="en-IN"/>
        </w:rPr>
        <w:t xml:space="preserve">) fingerlings reared in filtered and </w:t>
      </w:r>
      <w:r w:rsidR="00757073" w:rsidRPr="003D503B">
        <w:rPr>
          <w:rFonts w:ascii="Times New Roman" w:hAnsi="Times New Roman" w:cs="Times New Roman"/>
          <w:b/>
          <w:sz w:val="32"/>
          <w:szCs w:val="24"/>
          <w:lang w:val="en-IN"/>
        </w:rPr>
        <w:t>wastewater</w:t>
      </w:r>
      <w:r w:rsidRPr="003D503B">
        <w:rPr>
          <w:rFonts w:ascii="Times New Roman" w:hAnsi="Times New Roman" w:cs="Times New Roman"/>
          <w:b/>
          <w:sz w:val="32"/>
          <w:szCs w:val="24"/>
          <w:lang w:val="en-IN"/>
        </w:rPr>
        <w:t xml:space="preserve"> of RO</w:t>
      </w:r>
    </w:p>
    <w:p w14:paraId="0180ADC6" w14:textId="77777777" w:rsidR="002010B1" w:rsidRDefault="00731269" w:rsidP="00907B7E">
      <w:pPr>
        <w:spacing w:after="0"/>
        <w:jc w:val="center"/>
        <w:rPr>
          <w:rFonts w:ascii="Times New Roman" w:hAnsi="Times New Roman" w:cs="Times New Roman"/>
          <w:b/>
          <w:sz w:val="32"/>
          <w:szCs w:val="24"/>
          <w:lang w:val="en-IN"/>
        </w:rPr>
      </w:pPr>
      <w:r>
        <w:rPr>
          <w:rFonts w:ascii="Times New Roman" w:hAnsi="Times New Roman" w:cs="Times New Roman"/>
          <w:b/>
          <w:sz w:val="32"/>
          <w:szCs w:val="24"/>
          <w:lang w:val="en-IN"/>
        </w:rPr>
        <w:t xml:space="preserve"> </w:t>
      </w:r>
      <w:r w:rsidR="00C71DCC" w:rsidRPr="003D503B">
        <w:rPr>
          <w:rFonts w:ascii="Times New Roman" w:hAnsi="Times New Roman" w:cs="Times New Roman"/>
          <w:b/>
          <w:sz w:val="32"/>
          <w:szCs w:val="24"/>
          <w:lang w:val="en-IN"/>
        </w:rPr>
        <w:t xml:space="preserve">(Reverse Osmosis) system </w:t>
      </w:r>
    </w:p>
    <w:p w14:paraId="409725C0" w14:textId="77777777" w:rsidR="00BE5AFC" w:rsidRDefault="00BE5AFC" w:rsidP="00757073">
      <w:pPr>
        <w:spacing w:after="0"/>
        <w:jc w:val="center"/>
        <w:rPr>
          <w:rFonts w:ascii="Times New Roman" w:hAnsi="Times New Roman" w:cs="Times New Roman"/>
          <w:b/>
          <w:sz w:val="32"/>
          <w:szCs w:val="24"/>
          <w:lang w:val="en-IN"/>
        </w:rPr>
      </w:pPr>
    </w:p>
    <w:p w14:paraId="018FFFA9" w14:textId="77777777" w:rsidR="00A257D9" w:rsidRPr="002010B1" w:rsidRDefault="002010B1" w:rsidP="00907B7E">
      <w:pPr>
        <w:spacing w:after="0" w:line="360" w:lineRule="auto"/>
        <w:jc w:val="both"/>
        <w:rPr>
          <w:rFonts w:ascii="Times New Roman" w:hAnsi="Times New Roman" w:cs="Times New Roman"/>
          <w:b/>
          <w:sz w:val="32"/>
          <w:szCs w:val="24"/>
          <w:lang w:val="en-IN"/>
        </w:rPr>
      </w:pPr>
      <w:r w:rsidRPr="00757073">
        <w:rPr>
          <w:rFonts w:ascii="Times New Roman" w:hAnsi="Times New Roman" w:cs="Times New Roman"/>
          <w:b/>
          <w:sz w:val="24"/>
          <w:szCs w:val="20"/>
          <w:lang w:val="en-IN"/>
        </w:rPr>
        <w:t>Abstract</w:t>
      </w:r>
      <w:r>
        <w:rPr>
          <w:rFonts w:ascii="Times New Roman" w:hAnsi="Times New Roman" w:cs="Times New Roman"/>
          <w:b/>
          <w:sz w:val="32"/>
          <w:szCs w:val="24"/>
          <w:lang w:val="en-IN"/>
        </w:rPr>
        <w:t xml:space="preserve">: </w:t>
      </w:r>
      <w:r w:rsidR="00A257D9" w:rsidRPr="00A257D9">
        <w:rPr>
          <w:rFonts w:ascii="Times New Roman" w:hAnsi="Times New Roman" w:cs="Times New Roman"/>
          <w:sz w:val="24"/>
          <w:szCs w:val="24"/>
        </w:rPr>
        <w:t xml:space="preserve">The increasing discharge of effluent from Reverse Osmosis (RO) systems raises significant environmental concerns regarding its potential toxicity to aquatic ecosystems and suitability for aquaculture. To address this fundamental problem, the present study was designed to </w:t>
      </w:r>
      <w:r w:rsidR="00A257D9" w:rsidRPr="00A257D9">
        <w:rPr>
          <w:rFonts w:ascii="Times New Roman" w:hAnsi="Times New Roman" w:cs="Times New Roman"/>
          <w:sz w:val="24"/>
          <w:szCs w:val="24"/>
          <w:highlight w:val="yellow"/>
        </w:rPr>
        <w:t>analyse the histopathological effects of RO-filtered water and wastewater from a water purifier on the gills, liver, and kidneys of fish.</w:t>
      </w:r>
      <w:r w:rsidR="00A257D9" w:rsidRPr="00A257D9">
        <w:rPr>
          <w:rFonts w:ascii="Times New Roman" w:hAnsi="Times New Roman" w:cs="Times New Roman"/>
          <w:sz w:val="24"/>
          <w:szCs w:val="24"/>
        </w:rPr>
        <w:t xml:space="preserve"> In this investigation, a total of 240 Rohu (</w:t>
      </w:r>
      <w:proofErr w:type="spellStart"/>
      <w:r w:rsidR="00A257D9" w:rsidRPr="00A257D9">
        <w:rPr>
          <w:rFonts w:ascii="Times New Roman" w:hAnsi="Times New Roman" w:cs="Times New Roman"/>
          <w:i/>
          <w:iCs/>
          <w:sz w:val="24"/>
          <w:szCs w:val="24"/>
        </w:rPr>
        <w:t>Labeo</w:t>
      </w:r>
      <w:proofErr w:type="spellEnd"/>
      <w:r w:rsidR="00A257D9" w:rsidRPr="00A257D9">
        <w:rPr>
          <w:rFonts w:ascii="Times New Roman" w:hAnsi="Times New Roman" w:cs="Times New Roman"/>
          <w:i/>
          <w:iCs/>
          <w:sz w:val="24"/>
          <w:szCs w:val="24"/>
        </w:rPr>
        <w:t xml:space="preserve"> </w:t>
      </w:r>
      <w:proofErr w:type="spellStart"/>
      <w:r w:rsidR="00A257D9" w:rsidRPr="00A257D9">
        <w:rPr>
          <w:rFonts w:ascii="Times New Roman" w:hAnsi="Times New Roman" w:cs="Times New Roman"/>
          <w:i/>
          <w:iCs/>
          <w:sz w:val="24"/>
          <w:szCs w:val="24"/>
        </w:rPr>
        <w:t>rohita</w:t>
      </w:r>
      <w:proofErr w:type="spellEnd"/>
      <w:r w:rsidR="00A257D9" w:rsidRPr="00A257D9">
        <w:rPr>
          <w:rFonts w:ascii="Times New Roman" w:hAnsi="Times New Roman" w:cs="Times New Roman"/>
          <w:sz w:val="24"/>
          <w:szCs w:val="24"/>
        </w:rPr>
        <w:t xml:space="preserve">) fingerlings were reared for 45 days across three water treatments: </w:t>
      </w:r>
      <w:r w:rsidR="00A257D9" w:rsidRPr="00A257D9">
        <w:rPr>
          <w:rFonts w:ascii="Times New Roman" w:hAnsi="Times New Roman" w:cs="Times New Roman"/>
          <w:sz w:val="24"/>
          <w:szCs w:val="24"/>
          <w:highlight w:val="yellow"/>
        </w:rPr>
        <w:t>groundwater (control), RO-filtered water, and RO wastewater.</w:t>
      </w:r>
      <w:r w:rsidR="00A257D9" w:rsidRPr="00A257D9">
        <w:rPr>
          <w:rFonts w:ascii="Times New Roman" w:hAnsi="Times New Roman" w:cs="Times New Roman"/>
          <w:sz w:val="24"/>
          <w:szCs w:val="24"/>
        </w:rPr>
        <w:t xml:space="preserve"> The results revealed that the histological appearance of the primary gill lamellae, secondary gill lamellae, and cartilaginous cells (CC) of the gills in the RO-treated groups </w:t>
      </w:r>
      <w:r w:rsidR="00A257D9" w:rsidRPr="00A257D9">
        <w:rPr>
          <w:rFonts w:ascii="Times New Roman" w:hAnsi="Times New Roman" w:cs="Times New Roman"/>
          <w:sz w:val="24"/>
          <w:szCs w:val="24"/>
          <w:highlight w:val="yellow"/>
        </w:rPr>
        <w:t>differed from the normal appearance observed in the control.</w:t>
      </w:r>
      <w:r w:rsidR="00A257D9" w:rsidRPr="00A257D9">
        <w:rPr>
          <w:rFonts w:ascii="Times New Roman" w:hAnsi="Times New Roman" w:cs="Times New Roman"/>
          <w:sz w:val="24"/>
          <w:szCs w:val="24"/>
        </w:rPr>
        <w:t xml:space="preserve"> </w:t>
      </w:r>
      <w:r w:rsidR="00A257D9" w:rsidRPr="00A257D9">
        <w:rPr>
          <w:rFonts w:ascii="Times New Roman" w:hAnsi="Times New Roman" w:cs="Times New Roman"/>
          <w:sz w:val="24"/>
          <w:szCs w:val="24"/>
          <w:highlight w:val="yellow"/>
        </w:rPr>
        <w:t>Whereas the histopathological structures</w:t>
      </w:r>
      <w:r w:rsidR="00A257D9" w:rsidRPr="00A257D9">
        <w:rPr>
          <w:rFonts w:ascii="Times New Roman" w:hAnsi="Times New Roman" w:cs="Times New Roman"/>
          <w:sz w:val="24"/>
          <w:szCs w:val="24"/>
        </w:rPr>
        <w:t xml:space="preserve"> of the liver (hepatocytes and sinusoids) and kidney (glomerulus structure, density of </w:t>
      </w:r>
      <w:r w:rsidR="00A257D9" w:rsidRPr="00A257D9">
        <w:rPr>
          <w:rFonts w:ascii="Times New Roman" w:hAnsi="Times New Roman" w:cs="Times New Roman"/>
          <w:sz w:val="24"/>
          <w:szCs w:val="24"/>
          <w:highlight w:val="yellow"/>
        </w:rPr>
        <w:t>haematopoietic tissue</w:t>
      </w:r>
      <w:r w:rsidR="00A257D9" w:rsidRPr="00A257D9">
        <w:rPr>
          <w:rFonts w:ascii="Times New Roman" w:hAnsi="Times New Roman" w:cs="Times New Roman"/>
          <w:sz w:val="24"/>
          <w:szCs w:val="24"/>
        </w:rPr>
        <w:t xml:space="preserve">, and proximal/distal renal tubules) were normal in the control group, </w:t>
      </w:r>
      <w:r w:rsidR="00A257D9" w:rsidRPr="00A257D9">
        <w:rPr>
          <w:rFonts w:ascii="Times New Roman" w:hAnsi="Times New Roman" w:cs="Times New Roman"/>
          <w:sz w:val="24"/>
          <w:szCs w:val="24"/>
          <w:highlight w:val="yellow"/>
        </w:rPr>
        <w:t>fish exposed to RO-filtered water and RO wastewater</w:t>
      </w:r>
      <w:r w:rsidR="00A257D9" w:rsidRPr="00A257D9">
        <w:rPr>
          <w:rFonts w:ascii="Times New Roman" w:hAnsi="Times New Roman" w:cs="Times New Roman"/>
          <w:sz w:val="24"/>
          <w:szCs w:val="24"/>
        </w:rPr>
        <w:t xml:space="preserve"> exhibited tissue damage, including shrunken glomeruli and degeneration of renal tubules. </w:t>
      </w:r>
      <w:r w:rsidR="00A257D9" w:rsidRPr="00A257D9">
        <w:rPr>
          <w:rFonts w:ascii="Times New Roman" w:hAnsi="Times New Roman" w:cs="Times New Roman"/>
          <w:sz w:val="24"/>
          <w:szCs w:val="24"/>
          <w:highlight w:val="yellow"/>
        </w:rPr>
        <w:t>These findings indicate that RO wastewater and RO-filtered water may be less suitable for fish culture than groundwater under the tested conditions.</w:t>
      </w:r>
    </w:p>
    <w:p w14:paraId="0C4FAB39" w14:textId="77777777" w:rsidR="002010B1" w:rsidRDefault="002010B1" w:rsidP="002010B1">
      <w:r w:rsidRPr="00B3100A">
        <w:rPr>
          <w:rFonts w:ascii="Times New Roman" w:hAnsi="Times New Roman" w:cs="Times New Roman"/>
          <w:b/>
          <w:sz w:val="24"/>
        </w:rPr>
        <w:t>Keywords</w:t>
      </w:r>
      <w:r w:rsidRPr="00B3100A">
        <w:rPr>
          <w:rFonts w:ascii="Times New Roman" w:hAnsi="Times New Roman" w:cs="Times New Roman"/>
          <w:sz w:val="24"/>
        </w:rPr>
        <w:t xml:space="preserve">- </w:t>
      </w:r>
      <w:r w:rsidR="008E31B5">
        <w:rPr>
          <w:rFonts w:ascii="Times New Roman" w:hAnsi="Times New Roman" w:cs="Times New Roman"/>
          <w:sz w:val="24"/>
        </w:rPr>
        <w:t>Gill, Liver, Kidney</w:t>
      </w:r>
      <w:r w:rsidR="008E31B5">
        <w:rPr>
          <w:rFonts w:ascii="Times New Roman" w:hAnsi="Times New Roman" w:cs="Times New Roman"/>
          <w:i/>
          <w:sz w:val="24"/>
        </w:rPr>
        <w:t xml:space="preserve"> </w:t>
      </w:r>
      <w:r w:rsidR="00DE1547">
        <w:rPr>
          <w:rFonts w:ascii="Times New Roman" w:hAnsi="Times New Roman" w:cs="Times New Roman"/>
          <w:i/>
          <w:sz w:val="24"/>
        </w:rPr>
        <w:t xml:space="preserve">L. </w:t>
      </w:r>
      <w:proofErr w:type="spellStart"/>
      <w:r w:rsidR="00DE1547">
        <w:rPr>
          <w:rFonts w:ascii="Times New Roman" w:hAnsi="Times New Roman" w:cs="Times New Roman"/>
          <w:i/>
          <w:sz w:val="24"/>
        </w:rPr>
        <w:t>rohita</w:t>
      </w:r>
      <w:proofErr w:type="spellEnd"/>
      <w:r w:rsidR="00731269">
        <w:rPr>
          <w:rFonts w:ascii="Times New Roman" w:hAnsi="Times New Roman" w:cs="Times New Roman"/>
          <w:sz w:val="24"/>
        </w:rPr>
        <w:t>, Histology</w:t>
      </w:r>
      <w:r w:rsidRPr="00B3100A">
        <w:rPr>
          <w:rFonts w:ascii="Times New Roman" w:hAnsi="Times New Roman" w:cs="Times New Roman"/>
          <w:sz w:val="24"/>
        </w:rPr>
        <w:t>, RO</w:t>
      </w:r>
      <w:r>
        <w:rPr>
          <w:rFonts w:ascii="Times New Roman" w:hAnsi="Times New Roman" w:cs="Times New Roman"/>
          <w:sz w:val="24"/>
        </w:rPr>
        <w:t xml:space="preserve"> filtered water, RO </w:t>
      </w:r>
      <w:r w:rsidR="00757073">
        <w:rPr>
          <w:rFonts w:ascii="Times New Roman" w:hAnsi="Times New Roman" w:cs="Times New Roman"/>
          <w:sz w:val="24"/>
        </w:rPr>
        <w:t>wastewater</w:t>
      </w:r>
      <w:r>
        <w:rPr>
          <w:rFonts w:ascii="Times New Roman" w:hAnsi="Times New Roman" w:cs="Times New Roman"/>
          <w:sz w:val="24"/>
        </w:rPr>
        <w:t>.</w:t>
      </w:r>
    </w:p>
    <w:p w14:paraId="67685F5B" w14:textId="77777777" w:rsidR="00F43B8A" w:rsidRPr="00A257D9" w:rsidRDefault="009A0834" w:rsidP="001F3095">
      <w:pPr>
        <w:spacing w:line="360" w:lineRule="auto"/>
        <w:jc w:val="both"/>
        <w:rPr>
          <w:rFonts w:ascii="Times New Roman" w:hAnsi="Times New Roman" w:cs="Times New Roman"/>
          <w:b/>
          <w:sz w:val="24"/>
          <w:szCs w:val="24"/>
          <w:lang w:val="en-IN"/>
        </w:rPr>
      </w:pPr>
      <w:r w:rsidRPr="003D503B">
        <w:rPr>
          <w:rFonts w:ascii="Times New Roman" w:hAnsi="Times New Roman" w:cs="Times New Roman"/>
          <w:b/>
          <w:sz w:val="24"/>
          <w:szCs w:val="24"/>
          <w:lang w:val="en-IN"/>
        </w:rPr>
        <w:t xml:space="preserve">1. Introduction </w:t>
      </w:r>
      <w:r w:rsidRPr="003D503B">
        <w:rPr>
          <w:rFonts w:ascii="Times New Roman" w:hAnsi="Times New Roman" w:cs="Times New Roman"/>
          <w:color w:val="000000" w:themeColor="text1"/>
          <w:sz w:val="24"/>
          <w:szCs w:val="24"/>
          <w:lang w:val="en-IN"/>
        </w:rPr>
        <w:t xml:space="preserve"> </w:t>
      </w:r>
    </w:p>
    <w:p w14:paraId="2A1F0D80" w14:textId="77777777" w:rsidR="00A257D9" w:rsidRPr="00A257D9" w:rsidRDefault="00A257D9" w:rsidP="00A257D9">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Pr="00A257D9">
        <w:rPr>
          <w:rFonts w:ascii="Times New Roman" w:hAnsi="Times New Roman" w:cs="Times New Roman"/>
          <w:bCs/>
          <w:sz w:val="24"/>
          <w:szCs w:val="24"/>
          <w:highlight w:val="yellow"/>
        </w:rPr>
        <w:t>Fish have the ability to adapt to changes in water quality and are poikilothermic.</w:t>
      </w:r>
      <w:r w:rsidRPr="00A257D9">
        <w:rPr>
          <w:rFonts w:ascii="Times New Roman" w:hAnsi="Times New Roman" w:cs="Times New Roman"/>
          <w:bCs/>
          <w:sz w:val="24"/>
          <w:szCs w:val="24"/>
        </w:rPr>
        <w:t xml:space="preserve"> </w:t>
      </w:r>
      <w:r w:rsidRPr="00A257D9">
        <w:rPr>
          <w:rFonts w:ascii="Times New Roman" w:hAnsi="Times New Roman" w:cs="Times New Roman"/>
          <w:bCs/>
          <w:sz w:val="24"/>
          <w:szCs w:val="24"/>
          <w:highlight w:val="yellow"/>
        </w:rPr>
        <w:t>India is the second-largest producer in the world in terms of total fisheries and aquaculture production.</w:t>
      </w:r>
      <w:r w:rsidRPr="00A257D9">
        <w:rPr>
          <w:rFonts w:ascii="Times New Roman" w:hAnsi="Times New Roman" w:cs="Times New Roman"/>
          <w:bCs/>
          <w:sz w:val="24"/>
          <w:szCs w:val="24"/>
        </w:rPr>
        <w:t xml:space="preserve"> </w:t>
      </w:r>
      <w:r w:rsidRPr="00A257D9">
        <w:rPr>
          <w:rFonts w:ascii="Times New Roman" w:hAnsi="Times New Roman" w:cs="Times New Roman"/>
          <w:bCs/>
          <w:sz w:val="24"/>
          <w:szCs w:val="24"/>
          <w:highlight w:val="yellow"/>
        </w:rPr>
        <w:t xml:space="preserve">According to the Food and Agriculture Organization of the United Nations (FAO, 2019), the year-wise production of </w:t>
      </w:r>
      <w:proofErr w:type="spellStart"/>
      <w:r w:rsidRPr="00A257D9">
        <w:rPr>
          <w:rFonts w:ascii="Times New Roman" w:hAnsi="Times New Roman" w:cs="Times New Roman"/>
          <w:bCs/>
          <w:i/>
          <w:iCs/>
          <w:sz w:val="24"/>
          <w:szCs w:val="24"/>
        </w:rPr>
        <w:t>Labeo</w:t>
      </w:r>
      <w:proofErr w:type="spellEnd"/>
      <w:r w:rsidRPr="00A257D9">
        <w:rPr>
          <w:rFonts w:ascii="Times New Roman" w:hAnsi="Times New Roman" w:cs="Times New Roman"/>
          <w:bCs/>
          <w:i/>
          <w:iCs/>
          <w:sz w:val="24"/>
          <w:szCs w:val="24"/>
        </w:rPr>
        <w:t xml:space="preserve"> </w:t>
      </w:r>
      <w:proofErr w:type="spellStart"/>
      <w:r w:rsidRPr="00A257D9">
        <w:rPr>
          <w:rFonts w:ascii="Times New Roman" w:hAnsi="Times New Roman" w:cs="Times New Roman"/>
          <w:bCs/>
          <w:i/>
          <w:iCs/>
          <w:sz w:val="24"/>
          <w:szCs w:val="24"/>
        </w:rPr>
        <w:t>rohita</w:t>
      </w:r>
      <w:proofErr w:type="spellEnd"/>
      <w:r w:rsidRPr="00A257D9">
        <w:rPr>
          <w:rFonts w:ascii="Times New Roman" w:hAnsi="Times New Roman" w:cs="Times New Roman"/>
          <w:bCs/>
          <w:sz w:val="24"/>
          <w:szCs w:val="24"/>
          <w:highlight w:val="yellow"/>
        </w:rPr>
        <w:t xml:space="preserve"> in 2010, 2015, and 2020 was 1.13, 1.78, and 2.48 million </w:t>
      </w:r>
      <w:proofErr w:type="spellStart"/>
      <w:r w:rsidRPr="00A257D9">
        <w:rPr>
          <w:rFonts w:ascii="Times New Roman" w:hAnsi="Times New Roman" w:cs="Times New Roman"/>
          <w:bCs/>
          <w:sz w:val="24"/>
          <w:szCs w:val="24"/>
        </w:rPr>
        <w:t>tonnes</w:t>
      </w:r>
      <w:proofErr w:type="spellEnd"/>
      <w:r w:rsidRPr="00A257D9">
        <w:rPr>
          <w:rFonts w:ascii="Times New Roman" w:hAnsi="Times New Roman" w:cs="Times New Roman"/>
          <w:bCs/>
          <w:sz w:val="24"/>
          <w:szCs w:val="24"/>
          <w:highlight w:val="yellow"/>
        </w:rPr>
        <w:t>, respectively. Carps and other freshwater fish constitute the majority of aquaculture production, accounting for about 88 per cent of farmed fish</w:t>
      </w:r>
      <w:r w:rsidRPr="00A257D9">
        <w:rPr>
          <w:rFonts w:ascii="Times New Roman" w:hAnsi="Times New Roman" w:cs="Times New Roman"/>
          <w:bCs/>
          <w:sz w:val="24"/>
          <w:szCs w:val="24"/>
        </w:rPr>
        <w:t xml:space="preserve"> (FAO, </w:t>
      </w:r>
      <w:r w:rsidR="00BB56C1" w:rsidRPr="00BB56C1">
        <w:rPr>
          <w:rFonts w:ascii="Times New Roman" w:hAnsi="Times New Roman" w:cs="Times New Roman"/>
          <w:bCs/>
          <w:sz w:val="24"/>
          <w:szCs w:val="24"/>
        </w:rPr>
        <w:t>2019</w:t>
      </w:r>
      <w:r w:rsidRPr="00A257D9">
        <w:rPr>
          <w:rFonts w:ascii="Times New Roman" w:hAnsi="Times New Roman" w:cs="Times New Roman"/>
          <w:bCs/>
          <w:sz w:val="24"/>
          <w:szCs w:val="24"/>
        </w:rPr>
        <w:t xml:space="preserve">). Fish health can therefore serve as a good indicator of the water quality of the aquatic ecosystem (Fazio, 2019). </w:t>
      </w:r>
    </w:p>
    <w:p w14:paraId="0455A4CC" w14:textId="77777777" w:rsidR="00A257D9" w:rsidRPr="009339CC" w:rsidRDefault="00A257D9" w:rsidP="001F3095">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ab/>
      </w:r>
      <w:r w:rsidRPr="00A257D9">
        <w:rPr>
          <w:rFonts w:ascii="Times New Roman" w:hAnsi="Times New Roman" w:cs="Times New Roman"/>
          <w:bCs/>
          <w:sz w:val="24"/>
          <w:szCs w:val="24"/>
        </w:rPr>
        <w:t xml:space="preserve">The rapid proliferation of Reverse Osmosis (RO) water purification systems in domestic and industrial sectors has introduced </w:t>
      </w:r>
      <w:r w:rsidRPr="00A257D9">
        <w:rPr>
          <w:rFonts w:ascii="Times New Roman" w:hAnsi="Times New Roman" w:cs="Times New Roman"/>
          <w:bCs/>
          <w:sz w:val="24"/>
          <w:szCs w:val="24"/>
          <w:highlight w:val="yellow"/>
        </w:rPr>
        <w:t>a significant environmental challenge</w:t>
      </w:r>
      <w:r w:rsidRPr="00A257D9">
        <w:rPr>
          <w:rFonts w:ascii="Times New Roman" w:hAnsi="Times New Roman" w:cs="Times New Roman"/>
          <w:bCs/>
          <w:sz w:val="24"/>
          <w:szCs w:val="24"/>
        </w:rPr>
        <w:t xml:space="preserve">. RO systems generate a substantial volume of wastewater, </w:t>
      </w:r>
      <w:r w:rsidRPr="00A257D9">
        <w:rPr>
          <w:rFonts w:ascii="Times New Roman" w:hAnsi="Times New Roman" w:cs="Times New Roman"/>
          <w:bCs/>
          <w:sz w:val="24"/>
          <w:szCs w:val="24"/>
          <w:highlight w:val="yellow"/>
        </w:rPr>
        <w:t>often characterised by</w:t>
      </w:r>
      <w:r w:rsidRPr="00A257D9">
        <w:rPr>
          <w:rFonts w:ascii="Times New Roman" w:hAnsi="Times New Roman" w:cs="Times New Roman"/>
          <w:bCs/>
          <w:sz w:val="24"/>
          <w:szCs w:val="24"/>
        </w:rPr>
        <w:t xml:space="preserve"> concentrated salts, altered ionic balance, and accumulated impurities. The indiscriminate discharge of this effluent into natural aquatic ecosystems </w:t>
      </w:r>
      <w:r w:rsidRPr="00A257D9">
        <w:rPr>
          <w:rFonts w:ascii="Times New Roman" w:hAnsi="Times New Roman" w:cs="Times New Roman"/>
          <w:bCs/>
          <w:sz w:val="24"/>
          <w:szCs w:val="24"/>
          <w:highlight w:val="yellow"/>
        </w:rPr>
        <w:t>poses a potential threat</w:t>
      </w:r>
      <w:r w:rsidRPr="00A257D9">
        <w:rPr>
          <w:rFonts w:ascii="Times New Roman" w:hAnsi="Times New Roman" w:cs="Times New Roman"/>
          <w:bCs/>
          <w:sz w:val="24"/>
          <w:szCs w:val="24"/>
        </w:rPr>
        <w:t xml:space="preserve"> to aquatic life. Furthermore, a fundamental issue arises in aquaculture: the potential use of </w:t>
      </w:r>
      <w:r w:rsidRPr="00A257D9">
        <w:rPr>
          <w:rFonts w:ascii="Times New Roman" w:hAnsi="Times New Roman" w:cs="Times New Roman"/>
          <w:bCs/>
          <w:sz w:val="24"/>
          <w:szCs w:val="24"/>
          <w:highlight w:val="yellow"/>
        </w:rPr>
        <w:t>RO-filtered water</w:t>
      </w:r>
      <w:r w:rsidRPr="00A257D9">
        <w:rPr>
          <w:rFonts w:ascii="Times New Roman" w:hAnsi="Times New Roman" w:cs="Times New Roman"/>
          <w:bCs/>
          <w:sz w:val="24"/>
          <w:szCs w:val="24"/>
        </w:rPr>
        <w:t xml:space="preserve"> (which is often stripped of essential dissolved minerals) or the unintentional exposure of cultured fish to RO wastewater. Despite the growing footprint of RO technology, </w:t>
      </w:r>
      <w:r w:rsidRPr="00A257D9">
        <w:rPr>
          <w:rFonts w:ascii="Times New Roman" w:hAnsi="Times New Roman" w:cs="Times New Roman"/>
          <w:bCs/>
          <w:sz w:val="24"/>
          <w:szCs w:val="24"/>
          <w:highlight w:val="yellow"/>
        </w:rPr>
        <w:t>there remains a critical knowledge gap regarding how the altered water chemistry of both RO-filtered and reject water affects the vital organs of commercially important freshwater fish at physiological and toxicological levels.</w:t>
      </w:r>
      <w:r>
        <w:rPr>
          <w:rFonts w:ascii="Times New Roman" w:eastAsia="Times New Roman" w:hAnsi="Times New Roman"/>
          <w:b/>
          <w:sz w:val="24"/>
          <w:highlight w:val="yellow"/>
        </w:rPr>
        <w:t xml:space="preserve"> Although evidence from seawater systems is not directly equivalent to freshwater aquaculture, recent studies report ecological and sublethal responses near RO desalination brine discharges, supporting careful assessment of concentrated reject streams before discharge or biological reuse (Grammatiki et al., 2025; Manríquez et al., 2025; Sirota et al., 2024).</w:t>
      </w:r>
    </w:p>
    <w:p w14:paraId="649FC98C" w14:textId="77777777" w:rsidR="001F3095" w:rsidRPr="003D503B" w:rsidRDefault="00F43B8A" w:rsidP="001F3095">
      <w:pPr>
        <w:spacing w:line="360" w:lineRule="auto"/>
        <w:jc w:val="both"/>
        <w:rPr>
          <w:rFonts w:ascii="Times New Roman" w:hAnsi="Times New Roman" w:cs="Times New Roman"/>
          <w:b/>
          <w:sz w:val="24"/>
          <w:szCs w:val="24"/>
          <w:lang w:val="en-IN"/>
        </w:rPr>
      </w:pPr>
      <w:r w:rsidRPr="003D503B">
        <w:rPr>
          <w:rFonts w:ascii="Times New Roman" w:hAnsi="Times New Roman" w:cs="Times New Roman"/>
          <w:b/>
          <w:sz w:val="24"/>
          <w:szCs w:val="24"/>
          <w:lang w:val="en-IN"/>
        </w:rPr>
        <w:tab/>
      </w:r>
      <w:r w:rsidR="009A0834" w:rsidRPr="003D503B">
        <w:rPr>
          <w:rFonts w:ascii="Times New Roman" w:hAnsi="Times New Roman" w:cs="Times New Roman"/>
          <w:color w:val="000000" w:themeColor="text1"/>
          <w:sz w:val="24"/>
          <w:szCs w:val="24"/>
          <w:lang w:val="en-IN"/>
        </w:rPr>
        <w:t xml:space="preserve"> </w:t>
      </w:r>
      <w:r w:rsidR="001F3095" w:rsidRPr="003D503B">
        <w:rPr>
          <w:rFonts w:ascii="Times New Roman" w:hAnsi="Times New Roman" w:cs="Times New Roman"/>
          <w:color w:val="000000" w:themeColor="text1"/>
          <w:sz w:val="24"/>
          <w:szCs w:val="24"/>
          <w:highlight w:val="yellow"/>
          <w:lang w:val="en-IN"/>
        </w:rPr>
        <w:t>Histopathological examination of fish is widely acknowledged as a reliable technique for disease diagnosis</w:t>
      </w:r>
      <w:r w:rsidR="009A0834" w:rsidRPr="003D503B">
        <w:rPr>
          <w:rFonts w:ascii="Times New Roman" w:hAnsi="Times New Roman" w:cs="Times New Roman"/>
          <w:color w:val="000000" w:themeColor="text1"/>
          <w:sz w:val="24"/>
          <w:szCs w:val="24"/>
          <w:lang w:val="en-IN"/>
        </w:rPr>
        <w:t xml:space="preserve"> and for evaluating the acute and long-term effects of toxicant exposure at the cellular level (Hinton </w:t>
      </w:r>
      <w:r w:rsidR="009A0834" w:rsidRPr="003D503B">
        <w:rPr>
          <w:rFonts w:ascii="Times New Roman" w:hAnsi="Times New Roman" w:cs="Times New Roman"/>
          <w:i/>
          <w:color w:val="000000" w:themeColor="text1"/>
          <w:sz w:val="24"/>
          <w:szCs w:val="24"/>
          <w:lang w:val="en-IN"/>
        </w:rPr>
        <w:t>et al</w:t>
      </w:r>
      <w:r w:rsidR="009A0834" w:rsidRPr="003D503B">
        <w:rPr>
          <w:rFonts w:ascii="Times New Roman" w:hAnsi="Times New Roman" w:cs="Times New Roman"/>
          <w:color w:val="000000" w:themeColor="text1"/>
          <w:sz w:val="24"/>
          <w:szCs w:val="24"/>
          <w:lang w:val="en-IN"/>
        </w:rPr>
        <w:t xml:space="preserve">., 2018). </w:t>
      </w:r>
      <w:r w:rsidR="009A0834" w:rsidRPr="003D503B">
        <w:rPr>
          <w:rFonts w:ascii="Times New Roman" w:hAnsi="Times New Roman" w:cs="Times New Roman"/>
          <w:color w:val="000000" w:themeColor="text1"/>
          <w:sz w:val="24"/>
          <w:szCs w:val="24"/>
          <w:highlight w:val="yellow"/>
          <w:lang w:val="en-IN"/>
        </w:rPr>
        <w:t xml:space="preserve">According to Asenuga </w:t>
      </w:r>
      <w:r w:rsidR="009A0834" w:rsidRPr="003D503B">
        <w:rPr>
          <w:rFonts w:ascii="Times New Roman" w:hAnsi="Times New Roman" w:cs="Times New Roman"/>
          <w:i/>
          <w:color w:val="000000" w:themeColor="text1"/>
          <w:sz w:val="24"/>
          <w:szCs w:val="24"/>
          <w:lang w:val="en-IN"/>
        </w:rPr>
        <w:t>et al</w:t>
      </w:r>
      <w:r w:rsidR="009A0834" w:rsidRPr="003D503B">
        <w:rPr>
          <w:rFonts w:ascii="Times New Roman" w:hAnsi="Times New Roman" w:cs="Times New Roman"/>
          <w:color w:val="000000" w:themeColor="text1"/>
          <w:sz w:val="24"/>
          <w:szCs w:val="24"/>
          <w:highlight w:val="yellow"/>
          <w:lang w:val="en-IN"/>
        </w:rPr>
        <w:t>. (2022), histopathology is</w:t>
      </w:r>
      <w:r w:rsidR="009A0834" w:rsidRPr="003D503B">
        <w:rPr>
          <w:rFonts w:ascii="Times New Roman" w:hAnsi="Times New Roman" w:cs="Times New Roman"/>
          <w:color w:val="000000" w:themeColor="text1"/>
          <w:sz w:val="24"/>
          <w:szCs w:val="24"/>
          <w:lang w:val="en-IN"/>
        </w:rPr>
        <w:t xml:space="preserve"> a useful tool for identifying and </w:t>
      </w:r>
      <w:r w:rsidR="009A0834" w:rsidRPr="003D503B">
        <w:rPr>
          <w:rFonts w:ascii="Times New Roman" w:hAnsi="Times New Roman" w:cs="Times New Roman"/>
          <w:color w:val="000000" w:themeColor="text1"/>
          <w:sz w:val="24"/>
          <w:szCs w:val="24"/>
          <w:highlight w:val="yellow"/>
          <w:lang w:val="en-IN"/>
        </w:rPr>
        <w:t>localising</w:t>
      </w:r>
      <w:r w:rsidR="009A0834" w:rsidRPr="003D503B">
        <w:rPr>
          <w:rFonts w:ascii="Times New Roman" w:hAnsi="Times New Roman" w:cs="Times New Roman"/>
          <w:color w:val="000000" w:themeColor="text1"/>
          <w:sz w:val="24"/>
          <w:szCs w:val="24"/>
          <w:lang w:val="en-IN"/>
        </w:rPr>
        <w:t xml:space="preserve"> the toxic effects of </w:t>
      </w:r>
      <w:r w:rsidR="009A0834" w:rsidRPr="003D503B">
        <w:rPr>
          <w:rFonts w:ascii="Times New Roman" w:hAnsi="Times New Roman" w:cs="Times New Roman"/>
          <w:color w:val="000000" w:themeColor="text1"/>
          <w:sz w:val="24"/>
          <w:szCs w:val="24"/>
          <w:highlight w:val="yellow"/>
          <w:lang w:val="en-IN"/>
        </w:rPr>
        <w:t>chemicals; however, these effects are typically not specific to a given class of substances or to individual substances.</w:t>
      </w:r>
      <w:r w:rsidR="009A0834" w:rsidRPr="003D503B">
        <w:rPr>
          <w:rFonts w:ascii="Times New Roman" w:hAnsi="Times New Roman" w:cs="Times New Roman"/>
          <w:color w:val="000000" w:themeColor="text1"/>
          <w:sz w:val="24"/>
          <w:szCs w:val="24"/>
          <w:lang w:val="en-IN"/>
        </w:rPr>
        <w:t xml:space="preserve"> </w:t>
      </w:r>
      <w:r w:rsidR="009A0834" w:rsidRPr="003D503B">
        <w:rPr>
          <w:rFonts w:ascii="Times New Roman" w:hAnsi="Times New Roman" w:cs="Times New Roman"/>
          <w:color w:val="000000" w:themeColor="text1"/>
          <w:sz w:val="24"/>
          <w:szCs w:val="24"/>
          <w:highlight w:val="yellow"/>
          <w:lang w:val="en-IN"/>
        </w:rPr>
        <w:t>Only a few studies have been conducted</w:t>
      </w:r>
      <w:r w:rsidR="009A0834" w:rsidRPr="003D503B">
        <w:rPr>
          <w:rFonts w:ascii="Times New Roman" w:hAnsi="Times New Roman" w:cs="Times New Roman"/>
          <w:color w:val="000000" w:themeColor="text1"/>
          <w:sz w:val="24"/>
          <w:szCs w:val="24"/>
          <w:lang w:val="en-IN"/>
        </w:rPr>
        <w:t xml:space="preserve"> on the histopathological effects of </w:t>
      </w:r>
      <w:r w:rsidR="009A0834" w:rsidRPr="003D503B">
        <w:rPr>
          <w:rFonts w:ascii="Times New Roman" w:hAnsi="Times New Roman" w:cs="Times New Roman"/>
          <w:color w:val="000000" w:themeColor="text1"/>
          <w:sz w:val="24"/>
          <w:szCs w:val="24"/>
          <w:highlight w:val="yellow"/>
          <w:lang w:val="en-IN"/>
        </w:rPr>
        <w:t>sewage-treatment-works effluent</w:t>
      </w:r>
      <w:r w:rsidR="009A0834" w:rsidRPr="003D503B">
        <w:rPr>
          <w:rFonts w:ascii="Times New Roman" w:hAnsi="Times New Roman" w:cs="Times New Roman"/>
          <w:color w:val="000000" w:themeColor="text1"/>
          <w:sz w:val="24"/>
          <w:szCs w:val="24"/>
          <w:lang w:val="en-IN"/>
        </w:rPr>
        <w:t xml:space="preserve"> in freshwater fish (Burkhardt-Holm </w:t>
      </w:r>
      <w:r w:rsidR="009A0834" w:rsidRPr="003D503B">
        <w:rPr>
          <w:rFonts w:ascii="Times New Roman" w:hAnsi="Times New Roman" w:cs="Times New Roman"/>
          <w:i/>
          <w:color w:val="000000" w:themeColor="text1"/>
          <w:sz w:val="24"/>
          <w:szCs w:val="24"/>
          <w:lang w:val="en-IN"/>
        </w:rPr>
        <w:t>et al</w:t>
      </w:r>
      <w:r w:rsidR="009A0834" w:rsidRPr="003D503B">
        <w:rPr>
          <w:rFonts w:ascii="Times New Roman" w:hAnsi="Times New Roman" w:cs="Times New Roman"/>
          <w:color w:val="000000" w:themeColor="text1"/>
          <w:sz w:val="24"/>
          <w:szCs w:val="24"/>
          <w:lang w:val="en-IN"/>
        </w:rPr>
        <w:t xml:space="preserve">., 1997). </w:t>
      </w:r>
      <w:r w:rsidR="009A0834" w:rsidRPr="003D503B">
        <w:rPr>
          <w:rFonts w:ascii="Times New Roman" w:hAnsi="Times New Roman" w:cs="Times New Roman"/>
          <w:color w:val="000000" w:themeColor="text1"/>
          <w:sz w:val="24"/>
          <w:szCs w:val="24"/>
          <w:highlight w:val="yellow"/>
          <w:lang w:val="en-IN"/>
        </w:rPr>
        <w:t>Histological markers are frequently used in fish health studies because they can provide information on</w:t>
      </w:r>
      <w:r w:rsidR="009A0834" w:rsidRPr="003D503B">
        <w:rPr>
          <w:rFonts w:ascii="Times New Roman" w:hAnsi="Times New Roman" w:cs="Times New Roman"/>
          <w:color w:val="000000" w:themeColor="text1"/>
          <w:sz w:val="24"/>
          <w:szCs w:val="24"/>
          <w:lang w:val="en-IN"/>
        </w:rPr>
        <w:t xml:space="preserve"> the long-term and </w:t>
      </w:r>
      <w:r w:rsidR="009A0834" w:rsidRPr="003D503B">
        <w:rPr>
          <w:rFonts w:ascii="Times New Roman" w:hAnsi="Times New Roman" w:cs="Times New Roman"/>
          <w:color w:val="000000" w:themeColor="text1"/>
          <w:sz w:val="24"/>
          <w:szCs w:val="24"/>
          <w:highlight w:val="yellow"/>
          <w:lang w:val="en-IN"/>
        </w:rPr>
        <w:t>sublethal</w:t>
      </w:r>
      <w:r w:rsidR="009A0834" w:rsidRPr="003D503B">
        <w:rPr>
          <w:rFonts w:ascii="Times New Roman" w:hAnsi="Times New Roman" w:cs="Times New Roman"/>
          <w:color w:val="000000" w:themeColor="text1"/>
          <w:sz w:val="24"/>
          <w:szCs w:val="24"/>
          <w:lang w:val="en-IN"/>
        </w:rPr>
        <w:t xml:space="preserve"> effects of xenobiotic compounds on organs as well as the level of stress. As reliable indicators of altered and polluted environm</w:t>
      </w:r>
      <w:r w:rsidR="00BF6D47">
        <w:rPr>
          <w:rFonts w:ascii="Times New Roman" w:hAnsi="Times New Roman" w:cs="Times New Roman"/>
          <w:color w:val="000000" w:themeColor="text1"/>
          <w:sz w:val="24"/>
          <w:szCs w:val="24"/>
          <w:lang w:val="en-IN"/>
        </w:rPr>
        <w:t xml:space="preserve">ents, </w:t>
      </w:r>
      <w:r w:rsidR="00BF6D47">
        <w:rPr>
          <w:rFonts w:ascii="Times New Roman" w:hAnsi="Times New Roman" w:cs="Times New Roman"/>
          <w:color w:val="000000" w:themeColor="text1"/>
          <w:sz w:val="24"/>
          <w:szCs w:val="24"/>
          <w:highlight w:val="yellow"/>
          <w:lang w:val="en-IN"/>
        </w:rPr>
        <w:t>they are frequently used</w:t>
      </w:r>
      <w:r w:rsidR="009A0834" w:rsidRPr="003D503B">
        <w:rPr>
          <w:rFonts w:ascii="Times New Roman" w:hAnsi="Times New Roman" w:cs="Times New Roman"/>
          <w:color w:val="000000" w:themeColor="text1"/>
          <w:sz w:val="24"/>
          <w:szCs w:val="24"/>
          <w:lang w:val="en-IN"/>
        </w:rPr>
        <w:t xml:space="preserve"> in research on polluted aquatic ecosystems. </w:t>
      </w:r>
      <w:r w:rsidR="009A0834" w:rsidRPr="003D503B">
        <w:rPr>
          <w:rFonts w:ascii="Times New Roman" w:hAnsi="Times New Roman" w:cs="Times New Roman"/>
          <w:color w:val="000000" w:themeColor="text1"/>
          <w:sz w:val="24"/>
          <w:szCs w:val="24"/>
          <w:highlight w:val="yellow"/>
          <w:lang w:val="en-IN"/>
        </w:rPr>
        <w:t>The most commonly used histological indicators are the gills, liver, kidney, and skin for assessing fish health status</w:t>
      </w:r>
      <w:r w:rsidR="009A0834" w:rsidRPr="003D503B">
        <w:rPr>
          <w:rFonts w:ascii="Times New Roman" w:hAnsi="Times New Roman" w:cs="Times New Roman"/>
          <w:color w:val="000000" w:themeColor="text1"/>
          <w:sz w:val="24"/>
          <w:szCs w:val="24"/>
          <w:lang w:val="en-IN"/>
        </w:rPr>
        <w:t xml:space="preserve"> (Raskovic </w:t>
      </w:r>
      <w:r w:rsidR="009A0834" w:rsidRPr="003D503B">
        <w:rPr>
          <w:rFonts w:ascii="Times New Roman" w:hAnsi="Times New Roman" w:cs="Times New Roman"/>
          <w:i/>
          <w:color w:val="000000" w:themeColor="text1"/>
          <w:sz w:val="24"/>
          <w:szCs w:val="24"/>
          <w:lang w:val="en-IN"/>
        </w:rPr>
        <w:t>et al</w:t>
      </w:r>
      <w:r w:rsidR="009A0834" w:rsidRPr="003D503B">
        <w:rPr>
          <w:rFonts w:ascii="Times New Roman" w:hAnsi="Times New Roman" w:cs="Times New Roman"/>
          <w:color w:val="000000" w:themeColor="text1"/>
          <w:sz w:val="24"/>
          <w:szCs w:val="24"/>
          <w:lang w:val="en-IN"/>
        </w:rPr>
        <w:t xml:space="preserve">., 2013). </w:t>
      </w:r>
      <w:r w:rsidR="009A0834" w:rsidRPr="003D503B">
        <w:rPr>
          <w:rFonts w:ascii="Times New Roman" w:hAnsi="Times New Roman" w:cs="Times New Roman"/>
          <w:color w:val="000000" w:themeColor="text1"/>
          <w:sz w:val="24"/>
          <w:szCs w:val="24"/>
          <w:highlight w:val="yellow"/>
          <w:lang w:val="en-IN"/>
        </w:rPr>
        <w:t xml:space="preserve">Greater water contamination is associated with more pronounced histopathological changes in </w:t>
      </w:r>
      <w:r w:rsidR="00DE1547">
        <w:rPr>
          <w:rFonts w:ascii="Times New Roman" w:hAnsi="Times New Roman" w:cs="Times New Roman"/>
          <w:i/>
          <w:color w:val="000000" w:themeColor="text1"/>
          <w:sz w:val="24"/>
          <w:szCs w:val="24"/>
          <w:lang w:val="en-IN"/>
        </w:rPr>
        <w:t xml:space="preserve">L. </w:t>
      </w:r>
      <w:proofErr w:type="spellStart"/>
      <w:r w:rsidR="00DE1547">
        <w:rPr>
          <w:rFonts w:ascii="Times New Roman" w:hAnsi="Times New Roman" w:cs="Times New Roman"/>
          <w:i/>
          <w:color w:val="000000" w:themeColor="text1"/>
          <w:sz w:val="24"/>
          <w:szCs w:val="24"/>
          <w:lang w:val="en-IN"/>
        </w:rPr>
        <w:t>rohita</w:t>
      </w:r>
      <w:proofErr w:type="spellEnd"/>
      <w:r w:rsidR="00DE1547">
        <w:rPr>
          <w:rFonts w:ascii="Times New Roman" w:hAnsi="Times New Roman" w:cs="Times New Roman"/>
          <w:i/>
          <w:color w:val="000000" w:themeColor="text1"/>
          <w:sz w:val="24"/>
          <w:szCs w:val="24"/>
          <w:lang w:val="en-IN"/>
        </w:rPr>
        <w:t xml:space="preserve"> </w:t>
      </w:r>
      <w:r w:rsidR="009A0834" w:rsidRPr="003D503B">
        <w:rPr>
          <w:rFonts w:ascii="Times New Roman" w:hAnsi="Times New Roman" w:cs="Times New Roman"/>
          <w:color w:val="000000" w:themeColor="text1"/>
          <w:sz w:val="24"/>
          <w:szCs w:val="24"/>
          <w:lang w:val="en-IN"/>
        </w:rPr>
        <w:t xml:space="preserve">(Sultana </w:t>
      </w:r>
      <w:r w:rsidR="009A0834" w:rsidRPr="003D503B">
        <w:rPr>
          <w:rFonts w:ascii="Times New Roman" w:hAnsi="Times New Roman" w:cs="Times New Roman"/>
          <w:i/>
          <w:color w:val="000000" w:themeColor="text1"/>
          <w:sz w:val="24"/>
          <w:szCs w:val="24"/>
          <w:lang w:val="en-IN"/>
        </w:rPr>
        <w:t>et al</w:t>
      </w:r>
      <w:r w:rsidR="009A0834" w:rsidRPr="003D503B">
        <w:rPr>
          <w:rFonts w:ascii="Times New Roman" w:hAnsi="Times New Roman" w:cs="Times New Roman"/>
          <w:color w:val="000000" w:themeColor="text1"/>
          <w:sz w:val="24"/>
          <w:szCs w:val="24"/>
          <w:lang w:val="en-IN"/>
        </w:rPr>
        <w:t xml:space="preserve">., 2016). </w:t>
      </w:r>
      <w:r>
        <w:rPr>
          <w:rFonts w:ascii="Times New Roman" w:eastAsia="Times New Roman" w:hAnsi="Times New Roman"/>
          <w:b/>
          <w:sz w:val="24"/>
          <w:highlight w:val="yellow"/>
        </w:rPr>
        <w:t xml:space="preserve"> A recent study in </w:t>
      </w:r>
      <w:r>
        <w:rPr>
          <w:rFonts w:ascii="Times New Roman" w:eastAsia="Times New Roman" w:hAnsi="Times New Roman"/>
          <w:b/>
          <w:i/>
          <w:sz w:val="24"/>
          <w:highlight w:val="yellow"/>
        </w:rPr>
        <w:t>L. rohita</w:t>
      </w:r>
      <w:r>
        <w:rPr>
          <w:rFonts w:ascii="Times New Roman" w:eastAsia="Times New Roman" w:hAnsi="Times New Roman"/>
          <w:b/>
          <w:sz w:val="24"/>
          <w:highlight w:val="yellow"/>
        </w:rPr>
        <w:t xml:space="preserve"> also demonstrated that histopathological examination can reveal tissue-level alterations under controlled experimental stress conditions (Ankamma &amp; Viveka Vardhani, 2025).</w:t>
      </w:r>
    </w:p>
    <w:p w14:paraId="6103FCD7" w14:textId="77777777" w:rsidR="001F3095" w:rsidRPr="003D503B" w:rsidRDefault="001F3095" w:rsidP="001F3095">
      <w:pPr>
        <w:spacing w:line="360" w:lineRule="auto"/>
        <w:jc w:val="both"/>
        <w:rPr>
          <w:rFonts w:ascii="Times New Roman" w:hAnsi="Times New Roman" w:cs="Times New Roman"/>
          <w:b/>
          <w:sz w:val="24"/>
          <w:szCs w:val="24"/>
          <w:lang w:val="en-IN"/>
        </w:rPr>
      </w:pPr>
      <w:r w:rsidRPr="003D503B">
        <w:rPr>
          <w:rFonts w:ascii="Times New Roman" w:hAnsi="Times New Roman" w:cs="Times New Roman"/>
          <w:b/>
          <w:sz w:val="24"/>
          <w:szCs w:val="24"/>
          <w:lang w:val="en-IN"/>
        </w:rPr>
        <w:lastRenderedPageBreak/>
        <w:tab/>
      </w:r>
      <w:r w:rsidR="009A0834" w:rsidRPr="003D503B">
        <w:rPr>
          <w:rFonts w:ascii="Times New Roman" w:hAnsi="Times New Roman" w:cs="Times New Roman"/>
          <w:color w:val="000000" w:themeColor="text1"/>
          <w:sz w:val="24"/>
          <w:szCs w:val="24"/>
          <w:highlight w:val="yellow"/>
          <w:lang w:val="en-IN"/>
        </w:rPr>
        <w:t>In fish, the gills are the main organs involved in osmotic regulation, excretion, and respiration.</w:t>
      </w:r>
      <w:r w:rsidR="009A0834" w:rsidRPr="003D503B">
        <w:rPr>
          <w:rFonts w:ascii="Times New Roman" w:hAnsi="Times New Roman" w:cs="Times New Roman"/>
          <w:color w:val="000000" w:themeColor="text1"/>
          <w:sz w:val="24"/>
          <w:szCs w:val="24"/>
          <w:lang w:val="en-IN"/>
        </w:rPr>
        <w:t xml:space="preserve"> </w:t>
      </w:r>
      <w:r w:rsidR="009A0834" w:rsidRPr="003D503B">
        <w:rPr>
          <w:rFonts w:ascii="Times New Roman" w:hAnsi="Times New Roman" w:cs="Times New Roman"/>
          <w:color w:val="000000" w:themeColor="text1"/>
          <w:sz w:val="24"/>
          <w:szCs w:val="24"/>
          <w:highlight w:val="yellow"/>
          <w:lang w:val="en-IN"/>
        </w:rPr>
        <w:t>The gills are located on either side of the head beneath the operculum and consist of finger-like filaments linked to a cartilaginous gill bar.</w:t>
      </w:r>
      <w:r w:rsidR="009A0834" w:rsidRPr="003D503B">
        <w:rPr>
          <w:rFonts w:ascii="Times New Roman" w:hAnsi="Times New Roman" w:cs="Times New Roman"/>
          <w:color w:val="000000" w:themeColor="text1"/>
          <w:sz w:val="24"/>
          <w:szCs w:val="24"/>
          <w:lang w:val="en-IN"/>
        </w:rPr>
        <w:t xml:space="preserve"> </w:t>
      </w:r>
      <w:r w:rsidR="009A0834" w:rsidRPr="003D503B">
        <w:rPr>
          <w:rFonts w:ascii="Times New Roman" w:hAnsi="Times New Roman" w:cs="Times New Roman"/>
          <w:color w:val="000000" w:themeColor="text1"/>
          <w:sz w:val="24"/>
          <w:szCs w:val="24"/>
          <w:highlight w:val="yellow"/>
          <w:lang w:val="en-IN"/>
        </w:rPr>
        <w:t>The lamellae, which protrude from each filament, are composed of numerous delicate leaf-like structures, each containing capillaries and a thin layer of respiratory epithelium</w:t>
      </w:r>
      <w:r w:rsidR="009A0834" w:rsidRPr="003D503B">
        <w:rPr>
          <w:rFonts w:ascii="Times New Roman" w:hAnsi="Times New Roman" w:cs="Times New Roman"/>
          <w:color w:val="000000" w:themeColor="text1"/>
          <w:sz w:val="24"/>
          <w:szCs w:val="24"/>
          <w:lang w:val="en-IN"/>
        </w:rPr>
        <w:t xml:space="preserve"> (</w:t>
      </w:r>
      <w:proofErr w:type="spellStart"/>
      <w:r w:rsidR="009A0834" w:rsidRPr="003D503B">
        <w:rPr>
          <w:rFonts w:ascii="Times New Roman" w:hAnsi="Times New Roman" w:cs="Times New Roman"/>
          <w:color w:val="000000" w:themeColor="text1"/>
          <w:sz w:val="24"/>
          <w:szCs w:val="24"/>
          <w:lang w:val="en-IN"/>
        </w:rPr>
        <w:t>Winkaler</w:t>
      </w:r>
      <w:proofErr w:type="spellEnd"/>
      <w:r w:rsidR="009A0834" w:rsidRPr="003D503B">
        <w:rPr>
          <w:rFonts w:ascii="Times New Roman" w:hAnsi="Times New Roman" w:cs="Times New Roman"/>
          <w:color w:val="000000" w:themeColor="text1"/>
          <w:sz w:val="24"/>
          <w:szCs w:val="24"/>
          <w:lang w:val="en-IN"/>
        </w:rPr>
        <w:t xml:space="preserve"> </w:t>
      </w:r>
      <w:r w:rsidR="009A0834" w:rsidRPr="003D503B">
        <w:rPr>
          <w:rFonts w:ascii="Times New Roman" w:hAnsi="Times New Roman" w:cs="Times New Roman"/>
          <w:i/>
          <w:color w:val="000000" w:themeColor="text1"/>
          <w:sz w:val="24"/>
          <w:szCs w:val="24"/>
          <w:lang w:val="en-IN"/>
        </w:rPr>
        <w:t>et al</w:t>
      </w:r>
      <w:r w:rsidR="009A0834" w:rsidRPr="003D503B">
        <w:rPr>
          <w:rFonts w:ascii="Times New Roman" w:hAnsi="Times New Roman" w:cs="Times New Roman"/>
          <w:color w:val="000000" w:themeColor="text1"/>
          <w:sz w:val="24"/>
          <w:szCs w:val="24"/>
          <w:lang w:val="en-IN"/>
        </w:rPr>
        <w:t xml:space="preserve">., 2001). According to Fanta </w:t>
      </w:r>
      <w:r w:rsidR="009A0834" w:rsidRPr="003D503B">
        <w:rPr>
          <w:rFonts w:ascii="Times New Roman" w:hAnsi="Times New Roman" w:cs="Times New Roman"/>
          <w:i/>
          <w:color w:val="000000" w:themeColor="text1"/>
          <w:sz w:val="24"/>
          <w:szCs w:val="24"/>
          <w:lang w:val="en-IN"/>
        </w:rPr>
        <w:t>et al</w:t>
      </w:r>
      <w:r w:rsidR="009A0834" w:rsidRPr="003D503B">
        <w:rPr>
          <w:rFonts w:ascii="Times New Roman" w:hAnsi="Times New Roman" w:cs="Times New Roman"/>
          <w:color w:val="000000" w:themeColor="text1"/>
          <w:sz w:val="24"/>
          <w:szCs w:val="24"/>
          <w:lang w:val="en-IN"/>
        </w:rPr>
        <w:t xml:space="preserve">. (2003), gills are </w:t>
      </w:r>
      <w:r w:rsidR="009A0834" w:rsidRPr="003D503B">
        <w:rPr>
          <w:rFonts w:ascii="Times New Roman" w:hAnsi="Times New Roman" w:cs="Times New Roman"/>
          <w:color w:val="000000" w:themeColor="text1"/>
          <w:sz w:val="24"/>
          <w:szCs w:val="24"/>
          <w:highlight w:val="yellow"/>
          <w:lang w:val="en-IN"/>
        </w:rPr>
        <w:t>commonly recognised as</w:t>
      </w:r>
      <w:r w:rsidR="009A0834" w:rsidRPr="003D503B">
        <w:rPr>
          <w:rFonts w:ascii="Times New Roman" w:hAnsi="Times New Roman" w:cs="Times New Roman"/>
          <w:color w:val="000000" w:themeColor="text1"/>
          <w:sz w:val="24"/>
          <w:szCs w:val="24"/>
          <w:lang w:val="en-IN"/>
        </w:rPr>
        <w:t xml:space="preserve"> </w:t>
      </w:r>
      <w:r w:rsidR="009A0834" w:rsidRPr="003D503B">
        <w:rPr>
          <w:rFonts w:ascii="Times New Roman" w:hAnsi="Times New Roman" w:cs="Times New Roman"/>
          <w:color w:val="000000" w:themeColor="text1"/>
          <w:sz w:val="24"/>
          <w:szCs w:val="24"/>
          <w:highlight w:val="yellow"/>
          <w:lang w:val="en-IN"/>
        </w:rPr>
        <w:t>a reliable biological marker</w:t>
      </w:r>
      <w:r w:rsidR="009A0834" w:rsidRPr="003D503B">
        <w:rPr>
          <w:rFonts w:ascii="Times New Roman" w:hAnsi="Times New Roman" w:cs="Times New Roman"/>
          <w:color w:val="000000" w:themeColor="text1"/>
          <w:sz w:val="24"/>
          <w:szCs w:val="24"/>
          <w:lang w:val="en-IN"/>
        </w:rPr>
        <w:t xml:space="preserve"> of pollutant levels and thus are useful for </w:t>
      </w:r>
      <w:r w:rsidR="009A0834" w:rsidRPr="003D503B">
        <w:rPr>
          <w:rFonts w:ascii="Times New Roman" w:hAnsi="Times New Roman" w:cs="Times New Roman"/>
          <w:color w:val="000000" w:themeColor="text1"/>
          <w:sz w:val="24"/>
          <w:szCs w:val="24"/>
          <w:highlight w:val="yellow"/>
          <w:lang w:val="en-IN"/>
        </w:rPr>
        <w:t>assessing environmental effects</w:t>
      </w:r>
      <w:r w:rsidR="009A0834" w:rsidRPr="003D503B">
        <w:rPr>
          <w:rFonts w:ascii="Times New Roman" w:hAnsi="Times New Roman" w:cs="Times New Roman"/>
          <w:color w:val="000000" w:themeColor="text1"/>
          <w:sz w:val="24"/>
          <w:szCs w:val="24"/>
          <w:lang w:val="en-IN"/>
        </w:rPr>
        <w:t xml:space="preserve">. </w:t>
      </w:r>
      <w:r w:rsidR="009A0834" w:rsidRPr="003D503B">
        <w:rPr>
          <w:rFonts w:ascii="Times New Roman" w:hAnsi="Times New Roman" w:cs="Times New Roman"/>
          <w:color w:val="000000" w:themeColor="text1"/>
          <w:sz w:val="24"/>
          <w:szCs w:val="24"/>
          <w:highlight w:val="yellow"/>
          <w:lang w:val="en-IN"/>
        </w:rPr>
        <w:t>One of the first signs of ionic toxicity</w:t>
      </w:r>
      <w:r w:rsidR="009A0834" w:rsidRPr="003D503B">
        <w:rPr>
          <w:rFonts w:ascii="Times New Roman" w:hAnsi="Times New Roman" w:cs="Times New Roman"/>
          <w:color w:val="000000" w:themeColor="text1"/>
          <w:sz w:val="24"/>
          <w:szCs w:val="24"/>
          <w:lang w:val="en-IN"/>
        </w:rPr>
        <w:t xml:space="preserve"> is respiratory distress. Since they serve as models for research on their environmental impact, </w:t>
      </w:r>
      <w:r w:rsidR="009A0834" w:rsidRPr="003D503B">
        <w:rPr>
          <w:rFonts w:ascii="Times New Roman" w:hAnsi="Times New Roman" w:cs="Times New Roman"/>
          <w:color w:val="000000" w:themeColor="text1"/>
          <w:sz w:val="24"/>
          <w:szCs w:val="24"/>
          <w:highlight w:val="yellow"/>
          <w:lang w:val="en-IN"/>
        </w:rPr>
        <w:t>gills are typically regarded as good indicators</w:t>
      </w:r>
      <w:r w:rsidR="009A0834" w:rsidRPr="003D503B">
        <w:rPr>
          <w:rFonts w:ascii="Times New Roman" w:hAnsi="Times New Roman" w:cs="Times New Roman"/>
          <w:color w:val="000000" w:themeColor="text1"/>
          <w:sz w:val="24"/>
          <w:szCs w:val="24"/>
          <w:lang w:val="en-IN"/>
        </w:rPr>
        <w:t xml:space="preserve"> of water quality. </w:t>
      </w:r>
      <w:r w:rsidR="009A0834" w:rsidRPr="003D503B">
        <w:rPr>
          <w:rFonts w:ascii="Times New Roman" w:hAnsi="Times New Roman" w:cs="Times New Roman"/>
          <w:color w:val="000000" w:themeColor="text1"/>
          <w:sz w:val="24"/>
          <w:szCs w:val="24"/>
          <w:highlight w:val="yellow"/>
          <w:lang w:val="en-IN"/>
        </w:rPr>
        <w:t>According to Velmurugan et al. (2007), the gills are a major point of entry for aquatic pollutants.</w:t>
      </w:r>
    </w:p>
    <w:p w14:paraId="71079D0B" w14:textId="77777777" w:rsidR="001F3095" w:rsidRPr="003D503B" w:rsidRDefault="001F3095" w:rsidP="001F3095">
      <w:pPr>
        <w:spacing w:line="360" w:lineRule="auto"/>
        <w:jc w:val="both"/>
        <w:rPr>
          <w:rFonts w:ascii="Times New Roman" w:hAnsi="Times New Roman" w:cs="Times New Roman"/>
          <w:b/>
          <w:sz w:val="24"/>
          <w:szCs w:val="24"/>
          <w:lang w:val="en-IN"/>
        </w:rPr>
      </w:pPr>
      <w:r w:rsidRPr="003D503B">
        <w:rPr>
          <w:rFonts w:ascii="Times New Roman" w:hAnsi="Times New Roman" w:cs="Times New Roman"/>
          <w:b/>
          <w:sz w:val="24"/>
          <w:szCs w:val="24"/>
          <w:lang w:val="en-IN"/>
        </w:rPr>
        <w:tab/>
      </w:r>
      <w:r w:rsidR="009A0834" w:rsidRPr="003D503B">
        <w:rPr>
          <w:rFonts w:ascii="Times New Roman" w:hAnsi="Times New Roman" w:cs="Times New Roman"/>
          <w:color w:val="000000" w:themeColor="text1"/>
          <w:sz w:val="24"/>
          <w:szCs w:val="24"/>
          <w:highlight w:val="yellow"/>
          <w:lang w:val="en-IN"/>
        </w:rPr>
        <w:t>The liver is the largest organ outside the gastrointestinal tract.</w:t>
      </w:r>
      <w:r w:rsidR="009A0834" w:rsidRPr="003D503B">
        <w:rPr>
          <w:rFonts w:ascii="Times New Roman" w:hAnsi="Times New Roman" w:cs="Times New Roman"/>
          <w:color w:val="000000" w:themeColor="text1"/>
          <w:sz w:val="24"/>
          <w:szCs w:val="24"/>
          <w:lang w:val="en-IN"/>
        </w:rPr>
        <w:t xml:space="preserve"> The fish liver serves a variety of purposes, </w:t>
      </w:r>
      <w:r w:rsidR="009A0834" w:rsidRPr="003D503B">
        <w:rPr>
          <w:rFonts w:ascii="Times New Roman" w:hAnsi="Times New Roman" w:cs="Times New Roman"/>
          <w:color w:val="000000" w:themeColor="text1"/>
          <w:sz w:val="24"/>
          <w:szCs w:val="24"/>
          <w:highlight w:val="yellow"/>
          <w:lang w:val="en-IN"/>
        </w:rPr>
        <w:t>including cleansing and vitellogenin production, in addition to the storage and digestion of macronutrients (carbohydrates, proteins, and fats).</w:t>
      </w:r>
      <w:r w:rsidR="009A0834" w:rsidRPr="003D503B">
        <w:rPr>
          <w:rFonts w:ascii="Times New Roman" w:hAnsi="Times New Roman" w:cs="Times New Roman"/>
          <w:color w:val="000000" w:themeColor="text1"/>
          <w:sz w:val="24"/>
          <w:szCs w:val="24"/>
          <w:lang w:val="en-IN"/>
        </w:rPr>
        <w:t xml:space="preserve"> </w:t>
      </w:r>
      <w:r w:rsidR="009A0834" w:rsidRPr="003D503B">
        <w:rPr>
          <w:rFonts w:ascii="Times New Roman" w:hAnsi="Times New Roman" w:cs="Times New Roman"/>
          <w:color w:val="000000" w:themeColor="text1"/>
          <w:sz w:val="24"/>
          <w:szCs w:val="24"/>
          <w:highlight w:val="yellow"/>
          <w:lang w:val="en-IN"/>
        </w:rPr>
        <w:t>Nutrients, contaminants, poisons, pathogens, and microbes are among the various biotic and abiotic factors that might affect</w:t>
      </w:r>
      <w:r w:rsidR="009A0834" w:rsidRPr="003D503B">
        <w:rPr>
          <w:rFonts w:ascii="Times New Roman" w:hAnsi="Times New Roman" w:cs="Times New Roman"/>
          <w:color w:val="000000" w:themeColor="text1"/>
          <w:sz w:val="24"/>
          <w:szCs w:val="24"/>
          <w:lang w:val="en-IN"/>
        </w:rPr>
        <w:t xml:space="preserve"> the structure and metabolism of the fish liver. </w:t>
      </w:r>
      <w:r w:rsidR="009A0834" w:rsidRPr="003D503B">
        <w:rPr>
          <w:rFonts w:ascii="Times New Roman" w:hAnsi="Times New Roman" w:cs="Times New Roman"/>
          <w:color w:val="000000" w:themeColor="text1"/>
          <w:sz w:val="24"/>
          <w:szCs w:val="24"/>
          <w:highlight w:val="yellow"/>
          <w:lang w:val="en-IN"/>
        </w:rPr>
        <w:t>In most teleost fish, the liver is divided into lobes within the body cavity and is reddish-brown</w:t>
      </w:r>
      <w:r w:rsidR="009A0834" w:rsidRPr="003D503B">
        <w:rPr>
          <w:rFonts w:ascii="Times New Roman" w:hAnsi="Times New Roman" w:cs="Times New Roman"/>
          <w:color w:val="000000" w:themeColor="text1"/>
          <w:sz w:val="24"/>
          <w:szCs w:val="24"/>
          <w:lang w:val="en-IN"/>
        </w:rPr>
        <w:t xml:space="preserve"> </w:t>
      </w:r>
      <w:r w:rsidR="009A0834" w:rsidRPr="003D503B">
        <w:rPr>
          <w:rFonts w:ascii="Times New Roman" w:hAnsi="Times New Roman" w:cs="Times New Roman"/>
          <w:color w:val="000000" w:themeColor="text1"/>
          <w:sz w:val="24"/>
          <w:szCs w:val="24"/>
          <w:highlight w:val="yellow"/>
          <w:lang w:val="en-IN"/>
        </w:rPr>
        <w:t>(Bruslé &amp; Anadon, 1996)</w:t>
      </w:r>
      <w:r w:rsidR="009A0834" w:rsidRPr="003D503B">
        <w:rPr>
          <w:rFonts w:ascii="Times New Roman" w:hAnsi="Times New Roman" w:cs="Times New Roman"/>
          <w:color w:val="000000" w:themeColor="text1"/>
          <w:sz w:val="24"/>
          <w:szCs w:val="24"/>
          <w:lang w:val="en-IN"/>
        </w:rPr>
        <w:t xml:space="preserve">. In field and experimental research, </w:t>
      </w:r>
      <w:r w:rsidR="009A0834" w:rsidRPr="003D503B">
        <w:rPr>
          <w:rFonts w:ascii="Times New Roman" w:hAnsi="Times New Roman" w:cs="Times New Roman"/>
          <w:color w:val="000000" w:themeColor="text1"/>
          <w:sz w:val="24"/>
          <w:szCs w:val="24"/>
          <w:highlight w:val="yellow"/>
          <w:lang w:val="en-IN"/>
        </w:rPr>
        <w:t>analysing</w:t>
      </w:r>
      <w:r w:rsidR="009A0834" w:rsidRPr="003D503B">
        <w:rPr>
          <w:rFonts w:ascii="Times New Roman" w:hAnsi="Times New Roman" w:cs="Times New Roman"/>
          <w:color w:val="000000" w:themeColor="text1"/>
          <w:sz w:val="24"/>
          <w:szCs w:val="24"/>
          <w:lang w:val="en-IN"/>
        </w:rPr>
        <w:t xml:space="preserve"> histopathological changes in the fish liver is a very precise and reliable method of determining the effects of xenobiotic substances. </w:t>
      </w:r>
    </w:p>
    <w:p w14:paraId="4C20A023" w14:textId="77777777" w:rsidR="001F3095" w:rsidRPr="003D503B" w:rsidRDefault="001F3095" w:rsidP="001F3095">
      <w:pPr>
        <w:spacing w:line="360" w:lineRule="auto"/>
        <w:jc w:val="both"/>
        <w:rPr>
          <w:rFonts w:ascii="Times New Roman" w:hAnsi="Times New Roman" w:cs="Times New Roman"/>
          <w:b/>
          <w:sz w:val="24"/>
          <w:szCs w:val="24"/>
          <w:lang w:val="en-IN"/>
        </w:rPr>
      </w:pPr>
      <w:r w:rsidRPr="003D503B">
        <w:rPr>
          <w:rFonts w:ascii="Times New Roman" w:hAnsi="Times New Roman" w:cs="Times New Roman"/>
          <w:b/>
          <w:sz w:val="24"/>
          <w:szCs w:val="24"/>
          <w:lang w:val="en-IN"/>
        </w:rPr>
        <w:tab/>
      </w:r>
      <w:r w:rsidR="009A0834" w:rsidRPr="003D503B">
        <w:rPr>
          <w:rFonts w:ascii="Times New Roman" w:hAnsi="Times New Roman" w:cs="Times New Roman"/>
          <w:color w:val="000000" w:themeColor="text1"/>
          <w:sz w:val="24"/>
          <w:szCs w:val="24"/>
          <w:lang w:val="en-IN"/>
        </w:rPr>
        <w:t xml:space="preserve">The kidney of fish is a complex collection of tissues made up of four visually and functionally diverse structures that make up the endocrine, reticuloendothelial, haematological and digestive systems. </w:t>
      </w:r>
      <w:r w:rsidR="009A0834" w:rsidRPr="003D503B">
        <w:rPr>
          <w:rFonts w:ascii="Times New Roman" w:hAnsi="Times New Roman" w:cs="Times New Roman"/>
          <w:color w:val="000000" w:themeColor="text1"/>
          <w:sz w:val="24"/>
          <w:szCs w:val="24"/>
          <w:highlight w:val="yellow"/>
          <w:lang w:val="en-IN"/>
        </w:rPr>
        <w:t>The teleost kidney is among the first organs to be affected by water pollutants</w:t>
      </w:r>
      <w:r w:rsidR="009A0834" w:rsidRPr="003D503B">
        <w:rPr>
          <w:rFonts w:ascii="Times New Roman" w:hAnsi="Times New Roman" w:cs="Times New Roman"/>
          <w:color w:val="000000" w:themeColor="text1"/>
          <w:sz w:val="24"/>
          <w:szCs w:val="24"/>
          <w:lang w:val="en-IN"/>
        </w:rPr>
        <w:t xml:space="preserve"> (</w:t>
      </w:r>
      <w:proofErr w:type="spellStart"/>
      <w:r w:rsidR="009A0834" w:rsidRPr="003D503B">
        <w:rPr>
          <w:rFonts w:ascii="Times New Roman" w:hAnsi="Times New Roman" w:cs="Times New Roman"/>
          <w:color w:val="000000" w:themeColor="text1"/>
          <w:sz w:val="24"/>
          <w:szCs w:val="24"/>
          <w:lang w:val="en-IN"/>
        </w:rPr>
        <w:t>Thophon</w:t>
      </w:r>
      <w:proofErr w:type="spellEnd"/>
      <w:r w:rsidR="009A0834" w:rsidRPr="003D503B">
        <w:rPr>
          <w:rFonts w:ascii="Times New Roman" w:hAnsi="Times New Roman" w:cs="Times New Roman"/>
          <w:color w:val="000000" w:themeColor="text1"/>
          <w:sz w:val="24"/>
          <w:szCs w:val="24"/>
          <w:lang w:val="en-IN"/>
        </w:rPr>
        <w:t xml:space="preserve"> </w:t>
      </w:r>
      <w:r w:rsidR="009A0834" w:rsidRPr="003D503B">
        <w:rPr>
          <w:rFonts w:ascii="Times New Roman" w:hAnsi="Times New Roman" w:cs="Times New Roman"/>
          <w:i/>
          <w:color w:val="000000" w:themeColor="text1"/>
          <w:sz w:val="24"/>
          <w:szCs w:val="24"/>
          <w:lang w:val="en-IN"/>
        </w:rPr>
        <w:t>et al</w:t>
      </w:r>
      <w:r w:rsidR="009A0834" w:rsidRPr="003D503B">
        <w:rPr>
          <w:rFonts w:ascii="Times New Roman" w:hAnsi="Times New Roman" w:cs="Times New Roman"/>
          <w:color w:val="000000" w:themeColor="text1"/>
          <w:sz w:val="24"/>
          <w:szCs w:val="24"/>
          <w:lang w:val="en-IN"/>
        </w:rPr>
        <w:t xml:space="preserve">., 2003). </w:t>
      </w:r>
      <w:r w:rsidR="009A0834" w:rsidRPr="003D503B">
        <w:rPr>
          <w:rFonts w:ascii="Times New Roman" w:hAnsi="Times New Roman" w:cs="Times New Roman"/>
          <w:color w:val="000000" w:themeColor="text1"/>
          <w:sz w:val="24"/>
          <w:szCs w:val="24"/>
          <w:highlight w:val="yellow"/>
          <w:lang w:val="en-IN"/>
        </w:rPr>
        <w:t>The fish kidney has several functions, including urine production and filtration of a large quantity of blood, and it is a major route of excretion for various xenobiotics</w:t>
      </w:r>
      <w:r w:rsidR="009A0834" w:rsidRPr="003D503B">
        <w:rPr>
          <w:rFonts w:ascii="Times New Roman" w:hAnsi="Times New Roman" w:cs="Times New Roman"/>
          <w:color w:val="000000" w:themeColor="text1"/>
          <w:sz w:val="24"/>
          <w:szCs w:val="24"/>
          <w:lang w:val="en-IN"/>
        </w:rPr>
        <w:t xml:space="preserve"> </w:t>
      </w:r>
      <w:r w:rsidR="009A0834" w:rsidRPr="003D503B">
        <w:rPr>
          <w:rFonts w:ascii="Times New Roman" w:hAnsi="Times New Roman" w:cs="Times New Roman"/>
          <w:color w:val="000000" w:themeColor="text1"/>
          <w:sz w:val="24"/>
          <w:szCs w:val="24"/>
          <w:highlight w:val="yellow"/>
          <w:lang w:val="en-IN"/>
        </w:rPr>
        <w:t>(Blazer et al., 2000)</w:t>
      </w:r>
      <w:r w:rsidR="009A0834" w:rsidRPr="003D503B">
        <w:rPr>
          <w:rFonts w:ascii="Times New Roman" w:hAnsi="Times New Roman" w:cs="Times New Roman"/>
          <w:color w:val="000000" w:themeColor="text1"/>
          <w:sz w:val="24"/>
          <w:szCs w:val="24"/>
          <w:lang w:val="en-IN"/>
        </w:rPr>
        <w:t xml:space="preserve">. The majority of post-branchial blood is received by the kidney </w:t>
      </w:r>
      <w:r w:rsidR="009A0834" w:rsidRPr="003D503B">
        <w:rPr>
          <w:rFonts w:ascii="Times New Roman" w:hAnsi="Times New Roman" w:cs="Times New Roman"/>
          <w:color w:val="000000" w:themeColor="text1"/>
          <w:sz w:val="24"/>
          <w:szCs w:val="24"/>
          <w:highlight w:val="yellow"/>
          <w:lang w:val="en-IN"/>
        </w:rPr>
        <w:t>and, therefore, renal lesions may be useful indicators</w:t>
      </w:r>
      <w:r w:rsidR="009A0834" w:rsidRPr="003D503B">
        <w:rPr>
          <w:rFonts w:ascii="Times New Roman" w:hAnsi="Times New Roman" w:cs="Times New Roman"/>
          <w:color w:val="000000" w:themeColor="text1"/>
          <w:sz w:val="24"/>
          <w:szCs w:val="24"/>
          <w:lang w:val="en-IN"/>
        </w:rPr>
        <w:t xml:space="preserve"> of environmental pollution. In freshwater teleost fish, the kidney's fundamental role is to remove much of the water entering through the gills. </w:t>
      </w:r>
      <w:r w:rsidR="009A0834" w:rsidRPr="003D503B">
        <w:rPr>
          <w:rFonts w:ascii="Times New Roman" w:hAnsi="Times New Roman" w:cs="Times New Roman"/>
          <w:color w:val="000000" w:themeColor="text1"/>
          <w:sz w:val="24"/>
          <w:szCs w:val="24"/>
          <w:highlight w:val="yellow"/>
          <w:lang w:val="en-IN"/>
        </w:rPr>
        <w:t>The blood-forming (haematopoietic) tissue of teleosts is located in the intertubular tissue of the body kidney and in the lymphoid tissue of the head kidney</w:t>
      </w:r>
      <w:r w:rsidR="009A0834" w:rsidRPr="003D503B">
        <w:rPr>
          <w:rFonts w:ascii="Times New Roman" w:hAnsi="Times New Roman" w:cs="Times New Roman"/>
          <w:color w:val="000000" w:themeColor="text1"/>
          <w:sz w:val="24"/>
          <w:szCs w:val="24"/>
          <w:lang w:val="en-IN"/>
        </w:rPr>
        <w:t xml:space="preserve"> </w:t>
      </w:r>
      <w:r w:rsidR="009A0834" w:rsidRPr="003D503B">
        <w:rPr>
          <w:rFonts w:ascii="Times New Roman" w:hAnsi="Times New Roman" w:cs="Times New Roman"/>
          <w:color w:val="000000" w:themeColor="text1"/>
          <w:sz w:val="24"/>
          <w:szCs w:val="24"/>
          <w:highlight w:val="yellow"/>
          <w:lang w:val="en-IN"/>
        </w:rPr>
        <w:t>(Takashima &amp; Hibiya, 1995)</w:t>
      </w:r>
      <w:r w:rsidR="009A0834" w:rsidRPr="003D503B">
        <w:rPr>
          <w:rFonts w:ascii="Times New Roman" w:hAnsi="Times New Roman" w:cs="Times New Roman"/>
          <w:color w:val="000000" w:themeColor="text1"/>
          <w:sz w:val="24"/>
          <w:szCs w:val="24"/>
          <w:lang w:val="en-IN"/>
        </w:rPr>
        <w:t xml:space="preserve">. The anterior portion of the kidney of teleosts, called the head kidney, is made up of lymphoid tissue and almost entirely consists of immature and mature blood cells. It also </w:t>
      </w:r>
      <w:r w:rsidR="009A0834" w:rsidRPr="003D503B">
        <w:rPr>
          <w:rFonts w:ascii="Times New Roman" w:hAnsi="Times New Roman" w:cs="Times New Roman"/>
          <w:color w:val="000000" w:themeColor="text1"/>
          <w:sz w:val="24"/>
          <w:szCs w:val="24"/>
          <w:lang w:val="en-IN"/>
        </w:rPr>
        <w:lastRenderedPageBreak/>
        <w:t>has very few tubules (</w:t>
      </w:r>
      <w:proofErr w:type="spellStart"/>
      <w:r w:rsidR="009A0834" w:rsidRPr="003D503B">
        <w:rPr>
          <w:rFonts w:ascii="Times New Roman" w:hAnsi="Times New Roman" w:cs="Times New Roman"/>
          <w:color w:val="000000" w:themeColor="text1"/>
          <w:sz w:val="24"/>
          <w:szCs w:val="24"/>
          <w:lang w:val="en-IN"/>
        </w:rPr>
        <w:t>Genten</w:t>
      </w:r>
      <w:proofErr w:type="spellEnd"/>
      <w:r w:rsidR="009A0834" w:rsidRPr="003D503B">
        <w:rPr>
          <w:rFonts w:ascii="Times New Roman" w:hAnsi="Times New Roman" w:cs="Times New Roman"/>
          <w:color w:val="000000" w:themeColor="text1"/>
          <w:sz w:val="24"/>
          <w:szCs w:val="24"/>
          <w:lang w:val="en-IN"/>
        </w:rPr>
        <w:t xml:space="preserve"> </w:t>
      </w:r>
      <w:r w:rsidR="009A0834" w:rsidRPr="003D503B">
        <w:rPr>
          <w:rFonts w:ascii="Times New Roman" w:hAnsi="Times New Roman" w:cs="Times New Roman"/>
          <w:i/>
          <w:color w:val="000000" w:themeColor="text1"/>
          <w:sz w:val="24"/>
          <w:szCs w:val="24"/>
          <w:lang w:val="en-IN"/>
        </w:rPr>
        <w:t>et al</w:t>
      </w:r>
      <w:r w:rsidR="009A0834" w:rsidRPr="003D503B">
        <w:rPr>
          <w:rFonts w:ascii="Times New Roman" w:hAnsi="Times New Roman" w:cs="Times New Roman"/>
          <w:color w:val="000000" w:themeColor="text1"/>
          <w:sz w:val="24"/>
          <w:szCs w:val="24"/>
          <w:lang w:val="en-IN"/>
        </w:rPr>
        <w:t xml:space="preserve">., 2009). </w:t>
      </w:r>
      <w:r w:rsidR="009A0834" w:rsidRPr="003D503B">
        <w:rPr>
          <w:rFonts w:ascii="Times New Roman" w:hAnsi="Times New Roman" w:cs="Times New Roman"/>
          <w:color w:val="000000" w:themeColor="text1"/>
          <w:sz w:val="24"/>
          <w:szCs w:val="24"/>
          <w:highlight w:val="yellow"/>
          <w:lang w:val="en-IN"/>
        </w:rPr>
        <w:t>The haematopoietic tissues surround</w:t>
      </w:r>
      <w:r w:rsidR="009A0834" w:rsidRPr="003D503B">
        <w:rPr>
          <w:rFonts w:ascii="Times New Roman" w:hAnsi="Times New Roman" w:cs="Times New Roman"/>
          <w:color w:val="000000" w:themeColor="text1"/>
          <w:sz w:val="24"/>
          <w:szCs w:val="24"/>
          <w:lang w:val="en-IN"/>
        </w:rPr>
        <w:t xml:space="preserve"> the renal corpuscles and tubules (nephrons) in the posterior kidney (Van Dyk, 2006). </w:t>
      </w:r>
      <w:r w:rsidR="009A0834" w:rsidRPr="003D503B">
        <w:rPr>
          <w:rFonts w:ascii="Times New Roman" w:hAnsi="Times New Roman" w:cs="Times New Roman"/>
          <w:color w:val="000000" w:themeColor="text1"/>
          <w:sz w:val="24"/>
          <w:szCs w:val="24"/>
          <w:highlight w:val="yellow"/>
          <w:lang w:val="en-IN"/>
        </w:rPr>
        <w:t>The glomerulus and surrounding Bowman's capsule make up the renal corpuscle.</w:t>
      </w:r>
    </w:p>
    <w:p w14:paraId="1AAC4359" w14:textId="77777777" w:rsidR="00A257D9" w:rsidRPr="00A257D9" w:rsidRDefault="001F3095" w:rsidP="00A257D9">
      <w:pPr>
        <w:spacing w:line="360" w:lineRule="auto"/>
        <w:jc w:val="both"/>
        <w:rPr>
          <w:rFonts w:ascii="Times New Roman" w:hAnsi="Times New Roman" w:cs="Times New Roman"/>
          <w:bCs/>
          <w:sz w:val="24"/>
          <w:szCs w:val="24"/>
        </w:rPr>
      </w:pPr>
      <w:r w:rsidRPr="003D503B">
        <w:rPr>
          <w:rFonts w:ascii="Times New Roman" w:hAnsi="Times New Roman" w:cs="Times New Roman"/>
          <w:b/>
          <w:sz w:val="24"/>
          <w:szCs w:val="24"/>
          <w:lang w:val="en-IN"/>
        </w:rPr>
        <w:tab/>
      </w:r>
      <w:r w:rsidR="00A257D9" w:rsidRPr="00A257D9">
        <w:rPr>
          <w:rFonts w:ascii="Times New Roman" w:hAnsi="Times New Roman" w:cs="Times New Roman"/>
          <w:bCs/>
          <w:sz w:val="24"/>
          <w:szCs w:val="24"/>
        </w:rPr>
        <w:t xml:space="preserve">Histopathological procedures are </w:t>
      </w:r>
      <w:r w:rsidR="00A257D9" w:rsidRPr="00A257D9">
        <w:rPr>
          <w:rFonts w:ascii="Times New Roman" w:hAnsi="Times New Roman" w:cs="Times New Roman"/>
          <w:bCs/>
          <w:sz w:val="24"/>
          <w:szCs w:val="24"/>
          <w:highlight w:val="yellow"/>
        </w:rPr>
        <w:t>rapid and practical approaches</w:t>
      </w:r>
      <w:r w:rsidR="00A257D9" w:rsidRPr="00A257D9">
        <w:rPr>
          <w:rFonts w:ascii="Times New Roman" w:hAnsi="Times New Roman" w:cs="Times New Roman"/>
          <w:bCs/>
          <w:sz w:val="24"/>
          <w:szCs w:val="24"/>
        </w:rPr>
        <w:t xml:space="preserve"> for evaluating the stress response to xenobiotics and altered water chemistry. Changes in cytology and histopathology offer a clear record of the impacts of stress. Stress-induced persistent or irreversible biochemical and </w:t>
      </w:r>
      <w:r w:rsidR="00A257D9" w:rsidRPr="00A257D9">
        <w:rPr>
          <w:rFonts w:ascii="Times New Roman" w:hAnsi="Times New Roman" w:cs="Times New Roman"/>
          <w:bCs/>
          <w:sz w:val="24"/>
          <w:szCs w:val="24"/>
          <w:highlight w:val="yellow"/>
        </w:rPr>
        <w:t>subcellular</w:t>
      </w:r>
      <w:r w:rsidR="00A257D9" w:rsidRPr="00A257D9">
        <w:rPr>
          <w:rFonts w:ascii="Times New Roman" w:hAnsi="Times New Roman" w:cs="Times New Roman"/>
          <w:bCs/>
          <w:sz w:val="24"/>
          <w:szCs w:val="24"/>
        </w:rPr>
        <w:t xml:space="preserve"> malfunction results in cell damage. Stressed cells frequently go through permanent structural and metabolic changes, which alter the animal's physiology. Even when the toxicant exposure has stopped, several histological alterations continue to exist. To address the fundamental issues regarding RO water disposal and reuse, the current study's objective was to evaluate the severity of histopathological changes in the liver, gill, and kidneys </w:t>
      </w:r>
      <w:r w:rsidR="00A257D9" w:rsidRPr="00A257D9">
        <w:rPr>
          <w:rFonts w:ascii="Times New Roman" w:hAnsi="Times New Roman" w:cs="Times New Roman"/>
          <w:bCs/>
          <w:sz w:val="24"/>
          <w:szCs w:val="24"/>
          <w:highlight w:val="yellow"/>
        </w:rPr>
        <w:t>following exposure to filtered water and wastewater</w:t>
      </w:r>
      <w:r w:rsidR="00A257D9" w:rsidRPr="00A257D9">
        <w:rPr>
          <w:rFonts w:ascii="Times New Roman" w:hAnsi="Times New Roman" w:cs="Times New Roman"/>
          <w:bCs/>
          <w:sz w:val="24"/>
          <w:szCs w:val="24"/>
        </w:rPr>
        <w:t xml:space="preserve"> from a reverse osmosis (RO) system. The liver was chosen for the investigation because it is a key organ in the metabolism and excretion of xenobiotics. </w:t>
      </w:r>
      <w:r w:rsidR="00A257D9" w:rsidRPr="00A257D9">
        <w:rPr>
          <w:rFonts w:ascii="Times New Roman" w:hAnsi="Times New Roman" w:cs="Times New Roman"/>
          <w:bCs/>
          <w:sz w:val="24"/>
          <w:szCs w:val="24"/>
          <w:highlight w:val="yellow"/>
        </w:rPr>
        <w:t>As the primary respiratory organs of fish, the gills are targets for numerous aquatic contaminants and are among the organs most directly affected because of their close contact with the aquatic environment.</w:t>
      </w:r>
      <w:r w:rsidR="00A257D9" w:rsidRPr="00A257D9">
        <w:rPr>
          <w:rFonts w:ascii="Times New Roman" w:hAnsi="Times New Roman" w:cs="Times New Roman"/>
          <w:bCs/>
          <w:sz w:val="24"/>
          <w:szCs w:val="24"/>
        </w:rPr>
        <w:t xml:space="preserve"> The gills have been extensively employed as a </w:t>
      </w:r>
      <w:r w:rsidR="00A257D9" w:rsidRPr="00A257D9">
        <w:rPr>
          <w:rFonts w:ascii="Times New Roman" w:hAnsi="Times New Roman" w:cs="Times New Roman"/>
          <w:bCs/>
          <w:sz w:val="24"/>
          <w:szCs w:val="24"/>
          <w:highlight w:val="yellow"/>
        </w:rPr>
        <w:t>bioindicator</w:t>
      </w:r>
      <w:r w:rsidR="00A257D9" w:rsidRPr="00A257D9">
        <w:rPr>
          <w:rFonts w:ascii="Times New Roman" w:hAnsi="Times New Roman" w:cs="Times New Roman"/>
          <w:bCs/>
          <w:sz w:val="24"/>
          <w:szCs w:val="24"/>
        </w:rPr>
        <w:t xml:space="preserve"> not only to identify ion toxicity but also for studies of many other contaminants </w:t>
      </w:r>
      <w:r w:rsidR="00A257D9" w:rsidRPr="00A257D9">
        <w:rPr>
          <w:rFonts w:ascii="Times New Roman" w:hAnsi="Times New Roman" w:cs="Times New Roman"/>
          <w:bCs/>
          <w:sz w:val="24"/>
          <w:szCs w:val="24"/>
          <w:highlight w:val="yellow"/>
        </w:rPr>
        <w:t>(Parashar &amp; Banerjee, 2002)</w:t>
      </w:r>
      <w:r w:rsidR="00A257D9" w:rsidRPr="00A257D9">
        <w:rPr>
          <w:rFonts w:ascii="Times New Roman" w:hAnsi="Times New Roman" w:cs="Times New Roman"/>
          <w:bCs/>
          <w:sz w:val="24"/>
          <w:szCs w:val="24"/>
        </w:rPr>
        <w:t xml:space="preserve">. As the essential organ for detoxification and elimination of hazardous compounds circulating in the bloodstream, </w:t>
      </w:r>
      <w:r w:rsidR="00A257D9" w:rsidRPr="00A257D9">
        <w:rPr>
          <w:rFonts w:ascii="Times New Roman" w:hAnsi="Times New Roman" w:cs="Times New Roman"/>
          <w:bCs/>
          <w:sz w:val="24"/>
          <w:szCs w:val="24"/>
          <w:highlight w:val="yellow"/>
        </w:rPr>
        <w:t>the kidney was also selected for the study</w:t>
      </w:r>
      <w:r w:rsidR="00A257D9" w:rsidRPr="00A257D9">
        <w:rPr>
          <w:rFonts w:ascii="Times New Roman" w:hAnsi="Times New Roman" w:cs="Times New Roman"/>
          <w:bCs/>
          <w:sz w:val="24"/>
          <w:szCs w:val="24"/>
        </w:rPr>
        <w:t xml:space="preserve"> </w:t>
      </w:r>
      <w:r w:rsidR="00A257D9" w:rsidRPr="00A257D9">
        <w:rPr>
          <w:rFonts w:ascii="Times New Roman" w:hAnsi="Times New Roman" w:cs="Times New Roman"/>
          <w:bCs/>
          <w:sz w:val="24"/>
          <w:szCs w:val="24"/>
          <w:highlight w:val="yellow"/>
        </w:rPr>
        <w:t>(Klaverkamp et al., 1984)</w:t>
      </w:r>
      <w:r w:rsidR="00A257D9" w:rsidRPr="00A257D9">
        <w:rPr>
          <w:rFonts w:ascii="Times New Roman" w:hAnsi="Times New Roman" w:cs="Times New Roman"/>
          <w:bCs/>
          <w:sz w:val="24"/>
          <w:szCs w:val="24"/>
        </w:rPr>
        <w:t xml:space="preserve">. </w:t>
      </w:r>
    </w:p>
    <w:p w14:paraId="5DA05EA2" w14:textId="77777777" w:rsidR="00A257D9" w:rsidRPr="00A257D9" w:rsidRDefault="00A257D9" w:rsidP="00683560">
      <w:pPr>
        <w:spacing w:line="360" w:lineRule="auto"/>
        <w:jc w:val="both"/>
        <w:rPr>
          <w:rFonts w:ascii="Times New Roman" w:hAnsi="Times New Roman" w:cs="Times New Roman"/>
          <w:bCs/>
          <w:sz w:val="24"/>
          <w:szCs w:val="24"/>
        </w:rPr>
      </w:pPr>
      <w:r>
        <w:rPr>
          <w:rFonts w:ascii="Times New Roman" w:hAnsi="Times New Roman" w:cs="Times New Roman"/>
          <w:bCs/>
          <w:i/>
          <w:iCs/>
          <w:sz w:val="24"/>
          <w:szCs w:val="24"/>
        </w:rPr>
        <w:tab/>
      </w:r>
      <w:r w:rsidRPr="00A257D9">
        <w:rPr>
          <w:rFonts w:ascii="Times New Roman" w:hAnsi="Times New Roman" w:cs="Times New Roman"/>
          <w:bCs/>
          <w:i/>
          <w:iCs/>
          <w:sz w:val="24"/>
          <w:szCs w:val="24"/>
        </w:rPr>
        <w:t xml:space="preserve">L. </w:t>
      </w:r>
      <w:proofErr w:type="spellStart"/>
      <w:r w:rsidRPr="00A257D9">
        <w:rPr>
          <w:rFonts w:ascii="Times New Roman" w:hAnsi="Times New Roman" w:cs="Times New Roman"/>
          <w:bCs/>
          <w:i/>
          <w:iCs/>
          <w:sz w:val="24"/>
          <w:szCs w:val="24"/>
        </w:rPr>
        <w:t>rohita</w:t>
      </w:r>
      <w:proofErr w:type="spellEnd"/>
      <w:r w:rsidRPr="00A257D9">
        <w:rPr>
          <w:rFonts w:ascii="Times New Roman" w:hAnsi="Times New Roman" w:cs="Times New Roman"/>
          <w:bCs/>
          <w:sz w:val="24"/>
          <w:szCs w:val="24"/>
          <w:highlight w:val="yellow"/>
        </w:rPr>
        <w:t xml:space="preserve"> (Rohu) was selected as the experimental fish species in the present study because of its rapid growth, high sustainability, tolerance of high stocking densities, and ability to survive in oxygen-depleted water.</w:t>
      </w:r>
      <w:r w:rsidRPr="00A257D9">
        <w:rPr>
          <w:rFonts w:ascii="Times New Roman" w:hAnsi="Times New Roman" w:cs="Times New Roman"/>
          <w:bCs/>
          <w:sz w:val="24"/>
          <w:szCs w:val="24"/>
        </w:rPr>
        <w:t xml:space="preserve"> </w:t>
      </w:r>
      <w:r w:rsidRPr="00A257D9">
        <w:rPr>
          <w:rFonts w:ascii="Times New Roman" w:hAnsi="Times New Roman" w:cs="Times New Roman"/>
          <w:bCs/>
          <w:sz w:val="24"/>
          <w:szCs w:val="24"/>
          <w:highlight w:val="yellow"/>
        </w:rPr>
        <w:t xml:space="preserve">Therefore, </w:t>
      </w:r>
      <w:r w:rsidRPr="00A257D9">
        <w:rPr>
          <w:rFonts w:ascii="Times New Roman" w:hAnsi="Times New Roman" w:cs="Times New Roman"/>
          <w:bCs/>
          <w:i/>
          <w:iCs/>
          <w:sz w:val="24"/>
          <w:szCs w:val="24"/>
        </w:rPr>
        <w:t xml:space="preserve">L. </w:t>
      </w:r>
      <w:proofErr w:type="spellStart"/>
      <w:r w:rsidRPr="00A257D9">
        <w:rPr>
          <w:rFonts w:ascii="Times New Roman" w:hAnsi="Times New Roman" w:cs="Times New Roman"/>
          <w:bCs/>
          <w:i/>
          <w:iCs/>
          <w:sz w:val="24"/>
          <w:szCs w:val="24"/>
        </w:rPr>
        <w:t>rohita</w:t>
      </w:r>
      <w:proofErr w:type="spellEnd"/>
      <w:r w:rsidRPr="00A257D9">
        <w:rPr>
          <w:rFonts w:ascii="Times New Roman" w:hAnsi="Times New Roman" w:cs="Times New Roman"/>
          <w:bCs/>
          <w:sz w:val="24"/>
          <w:szCs w:val="24"/>
          <w:highlight w:val="yellow"/>
        </w:rPr>
        <w:t>, an economically important fish species that constitutes about 35% of total Indian major carp (IMC) production in India, was chosen for the present study.</w:t>
      </w:r>
      <w:r w:rsidRPr="00A257D9">
        <w:rPr>
          <w:rFonts w:ascii="Times New Roman" w:hAnsi="Times New Roman" w:cs="Times New Roman"/>
          <w:bCs/>
          <w:sz w:val="24"/>
          <w:szCs w:val="24"/>
        </w:rPr>
        <w:t xml:space="preserve"> </w:t>
      </w:r>
      <w:r w:rsidRPr="00A257D9">
        <w:rPr>
          <w:rFonts w:ascii="Times New Roman" w:hAnsi="Times New Roman" w:cs="Times New Roman"/>
          <w:bCs/>
          <w:sz w:val="24"/>
          <w:szCs w:val="24"/>
          <w:highlight w:val="yellow"/>
        </w:rPr>
        <w:t>The study aimed</w:t>
      </w:r>
      <w:r w:rsidRPr="00A257D9">
        <w:rPr>
          <w:rFonts w:ascii="Times New Roman" w:hAnsi="Times New Roman" w:cs="Times New Roman"/>
          <w:bCs/>
          <w:sz w:val="24"/>
          <w:szCs w:val="24"/>
        </w:rPr>
        <w:t xml:space="preserve"> to evaluate </w:t>
      </w:r>
      <w:r w:rsidRPr="00A257D9">
        <w:rPr>
          <w:rFonts w:ascii="Times New Roman" w:hAnsi="Times New Roman" w:cs="Times New Roman"/>
          <w:bCs/>
          <w:sz w:val="24"/>
          <w:szCs w:val="24"/>
          <w:highlight w:val="yellow"/>
        </w:rPr>
        <w:t xml:space="preserve">whether RO-filtered water and RO wastewater provide viable or toxic rearing environments by examining their histopathological effects in the gill, liver, and kidney of </w:t>
      </w:r>
      <w:r w:rsidRPr="00A257D9">
        <w:rPr>
          <w:rFonts w:ascii="Times New Roman" w:hAnsi="Times New Roman" w:cs="Times New Roman"/>
          <w:bCs/>
          <w:i/>
          <w:iCs/>
          <w:sz w:val="24"/>
          <w:szCs w:val="24"/>
        </w:rPr>
        <w:t xml:space="preserve">L. </w:t>
      </w:r>
      <w:proofErr w:type="spellStart"/>
      <w:r w:rsidRPr="00A257D9">
        <w:rPr>
          <w:rFonts w:ascii="Times New Roman" w:hAnsi="Times New Roman" w:cs="Times New Roman"/>
          <w:bCs/>
          <w:i/>
          <w:iCs/>
          <w:sz w:val="24"/>
          <w:szCs w:val="24"/>
        </w:rPr>
        <w:t>rohita</w:t>
      </w:r>
      <w:proofErr w:type="spellEnd"/>
      <w:r w:rsidRPr="00A257D9">
        <w:rPr>
          <w:rFonts w:ascii="Times New Roman" w:hAnsi="Times New Roman" w:cs="Times New Roman"/>
          <w:bCs/>
          <w:sz w:val="24"/>
          <w:szCs w:val="24"/>
        </w:rPr>
        <w:t xml:space="preserve"> fingerlings.</w:t>
      </w:r>
    </w:p>
    <w:p w14:paraId="6C5B5A9E" w14:textId="77777777" w:rsidR="00D20988" w:rsidRPr="003D503B" w:rsidRDefault="00D20988" w:rsidP="001F3095">
      <w:pPr>
        <w:pStyle w:val="ListParagraph"/>
        <w:tabs>
          <w:tab w:val="left" w:pos="142"/>
        </w:tabs>
        <w:spacing w:line="360" w:lineRule="auto"/>
        <w:ind w:left="142"/>
        <w:jc w:val="both"/>
        <w:rPr>
          <w:rFonts w:ascii="Times New Roman" w:hAnsi="Times New Roman" w:cs="Times New Roman"/>
          <w:b/>
          <w:color w:val="000000" w:themeColor="text1"/>
          <w:sz w:val="24"/>
          <w:szCs w:val="24"/>
          <w:lang w:val="en-IN"/>
        </w:rPr>
      </w:pPr>
      <w:r w:rsidRPr="003D503B">
        <w:rPr>
          <w:rFonts w:ascii="Times New Roman" w:hAnsi="Times New Roman" w:cs="Times New Roman"/>
          <w:b/>
          <w:color w:val="000000" w:themeColor="text1"/>
          <w:sz w:val="24"/>
          <w:szCs w:val="24"/>
          <w:lang w:val="en-IN"/>
        </w:rPr>
        <w:t>2. Materials and methods</w:t>
      </w:r>
    </w:p>
    <w:p w14:paraId="07B06393" w14:textId="77777777" w:rsidR="009A0834" w:rsidRPr="003D503B" w:rsidRDefault="00D20988" w:rsidP="001F3095">
      <w:pPr>
        <w:pStyle w:val="ListParagraph"/>
        <w:tabs>
          <w:tab w:val="left" w:pos="142"/>
        </w:tabs>
        <w:spacing w:line="360" w:lineRule="auto"/>
        <w:ind w:left="142"/>
        <w:jc w:val="both"/>
        <w:rPr>
          <w:rFonts w:ascii="Times New Roman" w:hAnsi="Times New Roman" w:cs="Times New Roman"/>
          <w:b/>
          <w:color w:val="000000" w:themeColor="text1"/>
          <w:sz w:val="24"/>
          <w:szCs w:val="24"/>
          <w:lang w:val="en-IN"/>
        </w:rPr>
      </w:pPr>
      <w:r w:rsidRPr="003D503B">
        <w:rPr>
          <w:rFonts w:ascii="Times New Roman" w:hAnsi="Times New Roman" w:cs="Times New Roman"/>
          <w:b/>
          <w:sz w:val="24"/>
          <w:szCs w:val="24"/>
          <w:lang w:val="en-IN"/>
        </w:rPr>
        <w:t>2</w:t>
      </w:r>
      <w:r w:rsidR="009A0834" w:rsidRPr="003D503B">
        <w:rPr>
          <w:rFonts w:ascii="Times New Roman" w:hAnsi="Times New Roman" w:cs="Times New Roman"/>
          <w:b/>
          <w:sz w:val="24"/>
          <w:szCs w:val="24"/>
          <w:lang w:val="en-IN"/>
        </w:rPr>
        <w:t xml:space="preserve">.1 Fish collection </w:t>
      </w:r>
    </w:p>
    <w:p w14:paraId="14E8C1C4" w14:textId="77777777" w:rsidR="009339CC" w:rsidRDefault="009339CC" w:rsidP="001F3095">
      <w:pPr>
        <w:spacing w:line="360" w:lineRule="auto"/>
        <w:ind w:left="567" w:hanging="425"/>
        <w:jc w:val="both"/>
        <w:rPr>
          <w:rFonts w:ascii="Times New Roman" w:hAnsi="Times New Roman" w:cs="Times New Roman"/>
          <w:sz w:val="24"/>
          <w:szCs w:val="24"/>
        </w:rPr>
      </w:pPr>
      <w:r w:rsidRPr="009339CC">
        <w:rPr>
          <w:rFonts w:ascii="Times New Roman" w:hAnsi="Times New Roman" w:cs="Times New Roman"/>
          <w:i/>
          <w:iCs/>
          <w:sz w:val="24"/>
          <w:szCs w:val="24"/>
        </w:rPr>
        <w:lastRenderedPageBreak/>
        <w:t xml:space="preserve">L. </w:t>
      </w:r>
      <w:proofErr w:type="spellStart"/>
      <w:r w:rsidRPr="009339CC">
        <w:rPr>
          <w:rFonts w:ascii="Times New Roman" w:hAnsi="Times New Roman" w:cs="Times New Roman"/>
          <w:i/>
          <w:iCs/>
          <w:sz w:val="24"/>
          <w:szCs w:val="24"/>
        </w:rPr>
        <w:t>rohita</w:t>
      </w:r>
      <w:proofErr w:type="spellEnd"/>
      <w:r w:rsidRPr="009339CC">
        <w:rPr>
          <w:rFonts w:ascii="Times New Roman" w:hAnsi="Times New Roman" w:cs="Times New Roman"/>
          <w:sz w:val="24"/>
          <w:szCs w:val="24"/>
        </w:rPr>
        <w:t xml:space="preserve"> fingerlings were collected from Baba Matasya Hatchery, </w:t>
      </w:r>
      <w:proofErr w:type="spellStart"/>
      <w:r w:rsidRPr="009339CC">
        <w:rPr>
          <w:rFonts w:ascii="Times New Roman" w:hAnsi="Times New Roman" w:cs="Times New Roman"/>
          <w:sz w:val="24"/>
          <w:szCs w:val="24"/>
        </w:rPr>
        <w:t>Mutlupur</w:t>
      </w:r>
      <w:proofErr w:type="spellEnd"/>
      <w:r w:rsidRPr="009339CC">
        <w:rPr>
          <w:rFonts w:ascii="Times New Roman" w:hAnsi="Times New Roman" w:cs="Times New Roman"/>
          <w:sz w:val="24"/>
          <w:szCs w:val="24"/>
        </w:rPr>
        <w:t xml:space="preserve">, Bandra, Muzaffarpur, </w:t>
      </w:r>
      <w:r w:rsidRPr="009339CC">
        <w:rPr>
          <w:rFonts w:ascii="Times New Roman" w:hAnsi="Times New Roman" w:cs="Times New Roman"/>
          <w:sz w:val="24"/>
          <w:szCs w:val="24"/>
          <w:highlight w:val="yellow"/>
        </w:rPr>
        <w:t>Bihar, located at</w:t>
      </w:r>
      <w:r w:rsidRPr="009339CC">
        <w:rPr>
          <w:rFonts w:ascii="Times New Roman" w:hAnsi="Times New Roman" w:cs="Times New Roman"/>
          <w:sz w:val="24"/>
          <w:szCs w:val="24"/>
        </w:rPr>
        <w:t xml:space="preserve"> 26°01’31°N and 85°36’40°E. </w:t>
      </w:r>
      <w:r w:rsidRPr="009339CC">
        <w:rPr>
          <w:rFonts w:ascii="Times New Roman" w:hAnsi="Times New Roman" w:cs="Times New Roman"/>
          <w:sz w:val="24"/>
          <w:szCs w:val="24"/>
          <w:highlight w:val="yellow"/>
        </w:rPr>
        <w:t>A total of 300 fish were caught from the nursery pond using a dragnet.</w:t>
      </w:r>
      <w:r w:rsidRPr="009339CC">
        <w:rPr>
          <w:rFonts w:ascii="Times New Roman" w:hAnsi="Times New Roman" w:cs="Times New Roman"/>
          <w:sz w:val="24"/>
          <w:szCs w:val="24"/>
        </w:rPr>
        <w:t xml:space="preserve"> </w:t>
      </w:r>
      <w:r w:rsidRPr="009339CC">
        <w:rPr>
          <w:rFonts w:ascii="Times New Roman" w:hAnsi="Times New Roman" w:cs="Times New Roman"/>
          <w:b/>
          <w:bCs/>
          <w:sz w:val="24"/>
          <w:szCs w:val="24"/>
        </w:rPr>
        <w:t>From this initial catch, to ensure consistency across experimental groups, 240 fingerlings of uniform size and weight were selected for the trial.</w:t>
      </w:r>
      <w:r w:rsidRPr="009339CC">
        <w:rPr>
          <w:rFonts w:ascii="Times New Roman" w:hAnsi="Times New Roman" w:cs="Times New Roman"/>
          <w:sz w:val="24"/>
          <w:szCs w:val="24"/>
        </w:rPr>
        <w:t xml:space="preserve"> </w:t>
      </w:r>
      <w:r w:rsidRPr="009339CC">
        <w:rPr>
          <w:rFonts w:ascii="Times New Roman" w:hAnsi="Times New Roman" w:cs="Times New Roman"/>
          <w:sz w:val="24"/>
          <w:szCs w:val="24"/>
          <w:highlight w:val="yellow"/>
        </w:rPr>
        <w:t>The recorded mean body weight of these samples was 6.0 ± 2.0 g, and the mean length was 9.0 ± 2.0 cm.</w:t>
      </w:r>
      <w:r w:rsidRPr="009339CC">
        <w:rPr>
          <w:rFonts w:ascii="Times New Roman" w:hAnsi="Times New Roman" w:cs="Times New Roman"/>
          <w:sz w:val="24"/>
          <w:szCs w:val="24"/>
        </w:rPr>
        <w:t xml:space="preserve"> </w:t>
      </w:r>
      <w:r w:rsidRPr="009339CC">
        <w:rPr>
          <w:rFonts w:ascii="Times New Roman" w:hAnsi="Times New Roman" w:cs="Times New Roman"/>
          <w:sz w:val="24"/>
          <w:szCs w:val="24"/>
          <w:highlight w:val="yellow"/>
        </w:rPr>
        <w:t>The fish were transported in large aerated plastic bags to the hatchery complex of the College of Fisheries, Dholi, Dr. Rajendra Prasad Central Agriculture University, Pusa, Samastipur, Bihar.</w:t>
      </w:r>
      <w:r w:rsidRPr="009339CC">
        <w:rPr>
          <w:rFonts w:ascii="Times New Roman" w:hAnsi="Times New Roman" w:cs="Times New Roman"/>
          <w:sz w:val="24"/>
          <w:szCs w:val="24"/>
        </w:rPr>
        <w:t xml:space="preserve"> </w:t>
      </w:r>
      <w:r w:rsidRPr="009339CC">
        <w:rPr>
          <w:rFonts w:ascii="Times New Roman" w:hAnsi="Times New Roman" w:cs="Times New Roman"/>
          <w:sz w:val="24"/>
          <w:szCs w:val="24"/>
          <w:highlight w:val="yellow"/>
        </w:rPr>
        <w:t>The College of Fisheries, Dholi, is located at 25.99° latitude and 85.59° longitude, at an elevation of 54.51 ± 32 m, with an accuracy of 4.9 m.</w:t>
      </w:r>
      <w:r w:rsidRPr="009339CC">
        <w:rPr>
          <w:rFonts w:ascii="Times New Roman" w:hAnsi="Times New Roman" w:cs="Times New Roman"/>
          <w:sz w:val="24"/>
          <w:szCs w:val="24"/>
        </w:rPr>
        <w:t xml:space="preserve"> </w:t>
      </w:r>
      <w:r w:rsidRPr="009339CC">
        <w:rPr>
          <w:rFonts w:ascii="Times New Roman" w:hAnsi="Times New Roman" w:cs="Times New Roman"/>
          <w:sz w:val="24"/>
          <w:szCs w:val="24"/>
          <w:highlight w:val="yellow"/>
        </w:rPr>
        <w:t>The transported fish were treated with KMnO</w:t>
      </w:r>
      <w:r w:rsidRPr="009339CC">
        <w:rPr>
          <w:rFonts w:ascii="Times New Roman" w:hAnsi="Times New Roman" w:cs="Times New Roman"/>
          <w:sz w:val="24"/>
          <w:szCs w:val="24"/>
          <w:highlight w:val="yellow"/>
          <w:vertAlign w:val="subscript"/>
        </w:rPr>
        <w:t>4</w:t>
      </w:r>
      <w:r w:rsidRPr="009339CC">
        <w:rPr>
          <w:rFonts w:ascii="Times New Roman" w:hAnsi="Times New Roman" w:cs="Times New Roman"/>
          <w:sz w:val="24"/>
          <w:szCs w:val="24"/>
          <w:highlight w:val="yellow"/>
        </w:rPr>
        <w:t>. Before treatment, the plastic bags were kept in the tanks for temperature acclimatisation; the fish were then allowed to acclimatise for 5 days in disinfected cement tanks filled with tap water.</w:t>
      </w:r>
      <w:r w:rsidRPr="009339CC">
        <w:rPr>
          <w:rFonts w:ascii="Times New Roman" w:hAnsi="Times New Roman" w:cs="Times New Roman"/>
          <w:sz w:val="24"/>
          <w:szCs w:val="24"/>
        </w:rPr>
        <w:t xml:space="preserve"> The fish were monitored every day. No symptoms of illness were observed during the study period. </w:t>
      </w:r>
      <w:r w:rsidRPr="009339CC">
        <w:rPr>
          <w:rFonts w:ascii="Times New Roman" w:hAnsi="Times New Roman" w:cs="Times New Roman"/>
          <w:sz w:val="24"/>
          <w:szCs w:val="24"/>
          <w:highlight w:val="yellow"/>
        </w:rPr>
        <w:t>Before the trial was established, signs of sickness and infection were assessed (Obiekezie et al., 1988), and only healthy fish were considered suitable for the experiment.</w:t>
      </w:r>
      <w:r w:rsidRPr="009339CC">
        <w:rPr>
          <w:rFonts w:ascii="Times New Roman" w:hAnsi="Times New Roman" w:cs="Times New Roman"/>
          <w:sz w:val="24"/>
          <w:szCs w:val="24"/>
        </w:rPr>
        <w:t xml:space="preserve"> </w:t>
      </w:r>
    </w:p>
    <w:p w14:paraId="405E3AFE" w14:textId="77777777" w:rsidR="00A85FD7" w:rsidRPr="003D503B" w:rsidRDefault="00C71DCC" w:rsidP="001F3095">
      <w:pPr>
        <w:spacing w:line="360" w:lineRule="auto"/>
        <w:ind w:left="567" w:hanging="425"/>
        <w:jc w:val="both"/>
        <w:rPr>
          <w:rFonts w:ascii="Times New Roman" w:hAnsi="Times New Roman" w:cs="Times New Roman"/>
          <w:sz w:val="24"/>
          <w:szCs w:val="24"/>
          <w:lang w:val="en-IN"/>
        </w:rPr>
      </w:pPr>
      <w:r w:rsidRPr="003D503B">
        <w:rPr>
          <w:rFonts w:ascii="Times New Roman" w:hAnsi="Times New Roman" w:cs="Times New Roman"/>
          <w:b/>
          <w:sz w:val="24"/>
          <w:szCs w:val="24"/>
          <w:lang w:val="en-IN"/>
        </w:rPr>
        <w:t>2.2</w:t>
      </w:r>
      <w:r w:rsidR="009A0834" w:rsidRPr="003D503B">
        <w:rPr>
          <w:rFonts w:ascii="Times New Roman" w:hAnsi="Times New Roman" w:cs="Times New Roman"/>
          <w:b/>
          <w:sz w:val="24"/>
          <w:szCs w:val="24"/>
          <w:lang w:val="en-IN"/>
        </w:rPr>
        <w:t xml:space="preserve"> Experimental design</w:t>
      </w:r>
    </w:p>
    <w:p w14:paraId="7A0A045A" w14:textId="77777777" w:rsidR="009A0834" w:rsidRPr="003D503B" w:rsidRDefault="009A0834" w:rsidP="00683560">
      <w:pPr>
        <w:spacing w:line="360" w:lineRule="auto"/>
        <w:ind w:left="142" w:firstLine="709"/>
        <w:jc w:val="both"/>
        <w:rPr>
          <w:rFonts w:ascii="Times New Roman" w:hAnsi="Times New Roman" w:cs="Times New Roman"/>
          <w:b/>
          <w:sz w:val="24"/>
          <w:szCs w:val="24"/>
          <w:lang w:val="en-IN"/>
        </w:rPr>
      </w:pPr>
      <w:r w:rsidRPr="003D503B">
        <w:rPr>
          <w:rFonts w:ascii="Times New Roman" w:hAnsi="Times New Roman" w:cs="Times New Roman"/>
          <w:sz w:val="24"/>
          <w:szCs w:val="24"/>
          <w:highlight w:val="yellow"/>
          <w:lang w:val="en-IN"/>
        </w:rPr>
        <w:t xml:space="preserve">The experiment consisted of three groups, each with four replicates, </w:t>
      </w:r>
      <w:r w:rsidRPr="003D503B">
        <w:rPr>
          <w:rFonts w:ascii="Times New Roman" w:hAnsi="Times New Roman" w:cs="Times New Roman"/>
          <w:i/>
          <w:sz w:val="24"/>
          <w:szCs w:val="24"/>
          <w:lang w:val="en-IN"/>
        </w:rPr>
        <w:t>i.e</w:t>
      </w:r>
      <w:r w:rsidRPr="003D503B">
        <w:rPr>
          <w:rFonts w:ascii="Times New Roman" w:hAnsi="Times New Roman" w:cs="Times New Roman"/>
          <w:sz w:val="24"/>
          <w:szCs w:val="24"/>
          <w:highlight w:val="yellow"/>
          <w:lang w:val="en-IN"/>
        </w:rPr>
        <w:t>., T</w:t>
      </w:r>
      <w:r w:rsidRPr="003D503B">
        <w:rPr>
          <w:rFonts w:ascii="Times New Roman" w:hAnsi="Times New Roman" w:cs="Times New Roman"/>
          <w:sz w:val="24"/>
          <w:szCs w:val="24"/>
          <w:vertAlign w:val="subscript"/>
          <w:lang w:val="en-IN"/>
        </w:rPr>
        <w:t>1</w:t>
      </w:r>
      <w:r w:rsidR="00BF6D47">
        <w:rPr>
          <w:rFonts w:ascii="Times New Roman" w:hAnsi="Times New Roman" w:cs="Times New Roman"/>
          <w:sz w:val="24"/>
          <w:szCs w:val="24"/>
          <w:highlight w:val="yellow"/>
          <w:lang w:val="en-IN"/>
        </w:rPr>
        <w:t xml:space="preserve"> (control; groundwater), T</w:t>
      </w:r>
      <w:r w:rsidRPr="003D503B">
        <w:rPr>
          <w:rFonts w:ascii="Times New Roman" w:hAnsi="Times New Roman" w:cs="Times New Roman"/>
          <w:sz w:val="24"/>
          <w:szCs w:val="24"/>
          <w:vertAlign w:val="subscript"/>
          <w:lang w:val="en-IN"/>
        </w:rPr>
        <w:t xml:space="preserve">2 </w:t>
      </w:r>
      <w:r w:rsidRPr="003D503B">
        <w:rPr>
          <w:rFonts w:ascii="Times New Roman" w:hAnsi="Times New Roman" w:cs="Times New Roman"/>
          <w:sz w:val="24"/>
          <w:szCs w:val="24"/>
          <w:highlight w:val="yellow"/>
          <w:lang w:val="en-IN"/>
        </w:rPr>
        <w:t>(RO-filtered water), and T</w:t>
      </w:r>
      <w:r w:rsidRPr="003D503B">
        <w:rPr>
          <w:rFonts w:ascii="Times New Roman" w:hAnsi="Times New Roman" w:cs="Times New Roman"/>
          <w:sz w:val="24"/>
          <w:szCs w:val="24"/>
          <w:vertAlign w:val="subscript"/>
          <w:lang w:val="en-IN"/>
        </w:rPr>
        <w:t xml:space="preserve">3 </w:t>
      </w:r>
      <w:r w:rsidRPr="003D503B">
        <w:rPr>
          <w:rFonts w:ascii="Times New Roman" w:hAnsi="Times New Roman" w:cs="Times New Roman"/>
          <w:sz w:val="24"/>
          <w:szCs w:val="24"/>
          <w:highlight w:val="yellow"/>
          <w:lang w:val="en-IN"/>
        </w:rPr>
        <w:t>(RO wastewater). Twelve rectangular plastic tanks, each with a capacity of 150 L, were arranged to provide four replicates per treatment (</w:t>
      </w:r>
      <w:r w:rsidRPr="003D503B">
        <w:rPr>
          <w:rFonts w:ascii="Times New Roman" w:hAnsi="Times New Roman" w:cs="Times New Roman"/>
          <w:i/>
          <w:sz w:val="24"/>
          <w:szCs w:val="24"/>
          <w:lang w:val="en-IN"/>
        </w:rPr>
        <w:t>i.e</w:t>
      </w:r>
      <w:r w:rsidRPr="003D503B">
        <w:rPr>
          <w:rFonts w:ascii="Times New Roman" w:hAnsi="Times New Roman" w:cs="Times New Roman"/>
          <w:sz w:val="24"/>
          <w:szCs w:val="24"/>
          <w:highlight w:val="yellow"/>
          <w:lang w:val="en-IN"/>
        </w:rPr>
        <w:t>., 3T x 4R = 12), and each replicate contained 20 Rohu fingerlings (</w:t>
      </w:r>
      <w:proofErr w:type="spellStart"/>
      <w:r w:rsidRPr="003D503B">
        <w:rPr>
          <w:rFonts w:ascii="Times New Roman" w:hAnsi="Times New Roman" w:cs="Times New Roman"/>
          <w:i/>
          <w:sz w:val="24"/>
          <w:szCs w:val="24"/>
          <w:lang w:val="en-IN"/>
        </w:rPr>
        <w:t>Labeo</w:t>
      </w:r>
      <w:proofErr w:type="spellEnd"/>
      <w:r w:rsidRPr="003D503B">
        <w:rPr>
          <w:rFonts w:ascii="Times New Roman" w:hAnsi="Times New Roman" w:cs="Times New Roman"/>
          <w:i/>
          <w:sz w:val="24"/>
          <w:szCs w:val="24"/>
          <w:lang w:val="en-IN"/>
        </w:rPr>
        <w:t xml:space="preserve"> </w:t>
      </w:r>
      <w:proofErr w:type="spellStart"/>
      <w:r w:rsidRPr="003D503B">
        <w:rPr>
          <w:rFonts w:ascii="Times New Roman" w:hAnsi="Times New Roman" w:cs="Times New Roman"/>
          <w:i/>
          <w:sz w:val="24"/>
          <w:szCs w:val="24"/>
          <w:lang w:val="en-IN"/>
        </w:rPr>
        <w:t>rohita</w:t>
      </w:r>
      <w:proofErr w:type="spellEnd"/>
      <w:r w:rsidRPr="003D503B">
        <w:rPr>
          <w:rFonts w:ascii="Times New Roman" w:hAnsi="Times New Roman" w:cs="Times New Roman"/>
          <w:sz w:val="24"/>
          <w:szCs w:val="24"/>
          <w:highlight w:val="yellow"/>
          <w:lang w:val="en-IN"/>
        </w:rPr>
        <w:t>). The tanks were covered with perforated lids</w:t>
      </w:r>
      <w:r w:rsidRPr="003D503B">
        <w:rPr>
          <w:rFonts w:ascii="Times New Roman" w:hAnsi="Times New Roman" w:cs="Times New Roman"/>
          <w:b/>
          <w:sz w:val="24"/>
          <w:szCs w:val="24"/>
          <w:lang w:val="en-IN"/>
        </w:rPr>
        <w:t xml:space="preserve">. </w:t>
      </w:r>
      <w:r w:rsidRPr="003D503B">
        <w:rPr>
          <w:rFonts w:ascii="Times New Roman" w:hAnsi="Times New Roman" w:cs="Times New Roman"/>
          <w:sz w:val="24"/>
          <w:szCs w:val="24"/>
          <w:highlight w:val="yellow"/>
          <w:lang w:val="en-IN"/>
        </w:rPr>
        <w:t>Histopathological analyses of the liver, kidney, and gill were performed at 15-day intervals</w:t>
      </w:r>
      <w:r w:rsidR="00A85FD7" w:rsidRPr="003D503B">
        <w:rPr>
          <w:rFonts w:ascii="Times New Roman" w:hAnsi="Times New Roman" w:cs="Times New Roman"/>
          <w:sz w:val="24"/>
          <w:szCs w:val="24"/>
          <w:highlight w:val="yellow"/>
          <w:lang w:val="en-IN"/>
        </w:rPr>
        <w:t xml:space="preserve"> (day 0, days 15, 30, and 45</w:t>
      </w:r>
      <w:r w:rsidRPr="003D503B">
        <w:rPr>
          <w:rFonts w:ascii="Times New Roman" w:hAnsi="Times New Roman" w:cs="Times New Roman"/>
          <w:sz w:val="24"/>
          <w:szCs w:val="24"/>
          <w:lang w:val="en-IN"/>
        </w:rPr>
        <w:t>).</w:t>
      </w:r>
      <w:r w:rsidRPr="003D503B">
        <w:rPr>
          <w:rFonts w:ascii="Times New Roman" w:hAnsi="Times New Roman" w:cs="Times New Roman"/>
          <w:b/>
          <w:sz w:val="24"/>
          <w:szCs w:val="24"/>
          <w:lang w:val="en-IN"/>
        </w:rPr>
        <w:t xml:space="preserve"> </w:t>
      </w:r>
      <w:r w:rsidR="00A85FD7" w:rsidRPr="003D503B">
        <w:rPr>
          <w:rFonts w:ascii="Times New Roman" w:hAnsi="Times New Roman" w:cs="Times New Roman"/>
          <w:sz w:val="24"/>
          <w:szCs w:val="24"/>
          <w:highlight w:val="yellow"/>
          <w:lang w:val="en-IN"/>
        </w:rPr>
        <w:t>RO water and RO wastewater were collected from a commercial water purifier manufactured by Aemric, an ISO 9001:2008-certified company.</w:t>
      </w:r>
      <w:r w:rsidR="00683560" w:rsidRPr="003D503B">
        <w:rPr>
          <w:rFonts w:ascii="Times New Roman" w:hAnsi="Times New Roman" w:cs="Times New Roman"/>
          <w:b/>
          <w:sz w:val="24"/>
          <w:szCs w:val="24"/>
          <w:lang w:val="en-IN"/>
        </w:rPr>
        <w:t xml:space="preserve"> </w:t>
      </w:r>
      <w:r w:rsidR="00757073" w:rsidRPr="003D503B">
        <w:rPr>
          <w:rFonts w:ascii="Times New Roman" w:hAnsi="Times New Roman" w:cs="Times New Roman"/>
          <w:sz w:val="24"/>
          <w:szCs w:val="24"/>
          <w:highlight w:val="yellow"/>
        </w:rPr>
        <w:t>During the experiment,</w:t>
      </w:r>
      <w:r w:rsidRPr="003D503B">
        <w:rPr>
          <w:rFonts w:ascii="Times New Roman" w:hAnsi="Times New Roman" w:cs="Times New Roman"/>
          <w:sz w:val="24"/>
          <w:szCs w:val="24"/>
          <w:lang w:val="en-IN"/>
        </w:rPr>
        <w:t xml:space="preserve"> the </w:t>
      </w:r>
      <w:r w:rsidRPr="003D503B">
        <w:rPr>
          <w:rFonts w:ascii="Times New Roman" w:hAnsi="Times New Roman" w:cs="Times New Roman"/>
          <w:sz w:val="24"/>
          <w:szCs w:val="24"/>
          <w:highlight w:val="yellow"/>
          <w:lang w:val="en-IN"/>
        </w:rPr>
        <w:t>physicochemical parameters of the water in the experimental tanks—temperature, pH, dissolved oxygen, alkalinity, free carbon dioxide, ammonia, nitrite, and total hardness—were assessed.</w:t>
      </w:r>
    </w:p>
    <w:p w14:paraId="6D55E7FB" w14:textId="77777777" w:rsidR="009A0834" w:rsidRPr="003D503B" w:rsidRDefault="009A0834" w:rsidP="001F3095">
      <w:pPr>
        <w:pStyle w:val="ListParagraph"/>
        <w:spacing w:line="360" w:lineRule="auto"/>
        <w:ind w:left="142" w:hanging="142"/>
        <w:jc w:val="both"/>
        <w:rPr>
          <w:rFonts w:ascii="Times New Roman" w:hAnsi="Times New Roman" w:cs="Times New Roman"/>
          <w:sz w:val="24"/>
          <w:szCs w:val="24"/>
        </w:rPr>
      </w:pPr>
      <w:r w:rsidRPr="003D503B">
        <w:rPr>
          <w:rFonts w:ascii="Times New Roman" w:hAnsi="Times New Roman" w:cs="Times New Roman"/>
          <w:b/>
          <w:sz w:val="24"/>
          <w:szCs w:val="24"/>
        </w:rPr>
        <w:tab/>
      </w:r>
      <w:r w:rsidRPr="003D503B">
        <w:rPr>
          <w:rFonts w:ascii="Times New Roman" w:hAnsi="Times New Roman" w:cs="Times New Roman"/>
          <w:b/>
          <w:sz w:val="24"/>
          <w:szCs w:val="24"/>
        </w:rPr>
        <w:tab/>
      </w:r>
      <w:r w:rsidRPr="003D503B">
        <w:rPr>
          <w:rFonts w:ascii="Times New Roman" w:hAnsi="Times New Roman" w:cs="Times New Roman"/>
          <w:sz w:val="24"/>
          <w:szCs w:val="24"/>
          <w:highlight w:val="yellow"/>
        </w:rPr>
        <w:t>Liver, kidney, and gill tissues were aseptically removed and placed in Davidson’s alcohol-formalin-acetic acid fixative.</w:t>
      </w:r>
      <w:r w:rsidRPr="003D503B">
        <w:rPr>
          <w:rFonts w:ascii="Times New Roman" w:hAnsi="Times New Roman" w:cs="Times New Roman"/>
          <w:sz w:val="24"/>
          <w:szCs w:val="24"/>
        </w:rPr>
        <w:t xml:space="preserve"> </w:t>
      </w:r>
      <w:r w:rsidRPr="003D503B">
        <w:rPr>
          <w:rFonts w:ascii="Times New Roman" w:hAnsi="Times New Roman" w:cs="Times New Roman"/>
          <w:sz w:val="24"/>
          <w:szCs w:val="24"/>
          <w:highlight w:val="yellow"/>
        </w:rPr>
        <w:t>The following steps were performed to prepare the tissue slides</w:t>
      </w:r>
      <w:r w:rsidRPr="003D503B">
        <w:rPr>
          <w:rFonts w:ascii="Times New Roman" w:hAnsi="Times New Roman" w:cs="Times New Roman"/>
          <w:sz w:val="24"/>
          <w:szCs w:val="24"/>
        </w:rPr>
        <w:t xml:space="preserve"> </w:t>
      </w:r>
      <w:r w:rsidR="00CB102D" w:rsidRPr="003D503B">
        <w:rPr>
          <w:rFonts w:ascii="Times New Roman" w:hAnsi="Times New Roman" w:cs="Times New Roman"/>
          <w:sz w:val="24"/>
          <w:szCs w:val="24"/>
        </w:rPr>
        <w:fldChar w:fldCharType="begin"/>
      </w:r>
      <w:r w:rsidRPr="003D503B">
        <w:rPr>
          <w:rFonts w:ascii="Times New Roman" w:hAnsi="Times New Roman" w:cs="Times New Roman"/>
          <w:sz w:val="24"/>
          <w:szCs w:val="24"/>
        </w:rPr>
        <w:instrText xml:space="preserve"> ADDIN ZOTERO_ITEM CSL_CITATION {"citationID":"z4gxK4zc","properties":{"formattedCitation":"(Roberts, 2012)","plainCitation":"(Roberts, 2012)","noteIndex":0},"citationItems":[{"id":62,"uris":["http://zotero.org/users/local/ETBuCB0u/items/FC98489U"],"uri":["http://zotero.org/users/local/ETBuCB0u/items/FC98489U"],"itemData":{"id":62,"type":"book","publisher":"John Wiley &amp; Sons","source":"Google Scholar","title":"Fish pathology","author":[{"family":"Roberts","given":"Ronald J."}],"issued":{"date-parts":[["2012"]]}}}],"schema":"https://github.com/citation-style-language/schema/raw/master/csl-citation.json"} </w:instrText>
      </w:r>
      <w:r w:rsidR="00CB102D" w:rsidRPr="003D503B">
        <w:rPr>
          <w:rFonts w:ascii="Times New Roman" w:hAnsi="Times New Roman" w:cs="Times New Roman"/>
          <w:sz w:val="24"/>
          <w:szCs w:val="24"/>
        </w:rPr>
        <w:fldChar w:fldCharType="separate"/>
      </w:r>
      <w:r w:rsidRPr="003D503B">
        <w:rPr>
          <w:rFonts w:ascii="Times New Roman" w:hAnsi="Times New Roman" w:cs="Times New Roman"/>
          <w:sz w:val="24"/>
          <w:szCs w:val="24"/>
        </w:rPr>
        <w:t>(Roberts, 2012)</w:t>
      </w:r>
      <w:r w:rsidR="00CB102D" w:rsidRPr="003D503B">
        <w:rPr>
          <w:rFonts w:ascii="Times New Roman" w:hAnsi="Times New Roman" w:cs="Times New Roman"/>
          <w:sz w:val="24"/>
          <w:szCs w:val="24"/>
          <w:lang w:val="en-IN"/>
        </w:rPr>
        <w:fldChar w:fldCharType="end"/>
      </w:r>
      <w:r w:rsidRPr="003D503B">
        <w:rPr>
          <w:rFonts w:ascii="Times New Roman" w:hAnsi="Times New Roman" w:cs="Times New Roman"/>
          <w:sz w:val="24"/>
          <w:szCs w:val="24"/>
        </w:rPr>
        <w:t>.</w:t>
      </w:r>
      <w:r w:rsidR="00F71518" w:rsidRPr="003D503B">
        <w:rPr>
          <w:rFonts w:ascii="Times New Roman" w:hAnsi="Times New Roman" w:cs="Times New Roman"/>
          <w:b/>
          <w:sz w:val="24"/>
          <w:szCs w:val="24"/>
        </w:rPr>
        <w:t xml:space="preserve"> </w:t>
      </w:r>
      <w:r w:rsidRPr="003D503B">
        <w:rPr>
          <w:rFonts w:ascii="Times New Roman" w:hAnsi="Times New Roman" w:cs="Times New Roman"/>
          <w:sz w:val="24"/>
          <w:szCs w:val="24"/>
          <w:highlight w:val="yellow"/>
        </w:rPr>
        <w:t xml:space="preserve">The tissues were placed in a volume of fixative at least 20 times the </w:t>
      </w:r>
      <w:r w:rsidRPr="003D503B">
        <w:rPr>
          <w:rFonts w:ascii="Times New Roman" w:hAnsi="Times New Roman" w:cs="Times New Roman"/>
          <w:sz w:val="24"/>
          <w:szCs w:val="24"/>
          <w:highlight w:val="yellow"/>
        </w:rPr>
        <w:lastRenderedPageBreak/>
        <w:t>tissue volume.</w:t>
      </w:r>
      <w:r w:rsidR="00F71518" w:rsidRPr="003D503B">
        <w:rPr>
          <w:rFonts w:ascii="Times New Roman" w:hAnsi="Times New Roman" w:cs="Times New Roman"/>
          <w:sz w:val="24"/>
          <w:szCs w:val="24"/>
        </w:rPr>
        <w:t xml:space="preserve"> </w:t>
      </w:r>
      <w:r w:rsidRPr="003D503B">
        <w:rPr>
          <w:rFonts w:ascii="Times New Roman" w:hAnsi="Times New Roman" w:cs="Times New Roman"/>
          <w:sz w:val="24"/>
          <w:szCs w:val="24"/>
          <w:highlight w:val="yellow"/>
        </w:rPr>
        <w:t>The tissues were dehydrated in graded alcohol, and blocks were prepared after impregnation with molten wax.</w:t>
      </w:r>
      <w:r w:rsidR="008D00FD" w:rsidRPr="003D503B">
        <w:rPr>
          <w:rFonts w:ascii="Times New Roman" w:hAnsi="Times New Roman" w:cs="Times New Roman"/>
          <w:sz w:val="24"/>
          <w:szCs w:val="24"/>
        </w:rPr>
        <w:t xml:space="preserve"> </w:t>
      </w:r>
      <w:r w:rsidR="00F71518" w:rsidRPr="003D503B">
        <w:rPr>
          <w:rFonts w:ascii="Times New Roman" w:hAnsi="Times New Roman" w:cs="Times New Roman"/>
          <w:sz w:val="24"/>
          <w:szCs w:val="24"/>
          <w:highlight w:val="yellow"/>
        </w:rPr>
        <w:t>The alcohol present in the tissues was cleared using three changes of xylene; paraffin wax was melted at 60 °C overnight to ensure proper infiltration and blocking of the tissues.</w:t>
      </w:r>
      <w:bookmarkStart w:id="0" w:name="_Toc81341513"/>
      <w:bookmarkEnd w:id="0"/>
      <w:r w:rsidR="00F71518" w:rsidRPr="003D503B">
        <w:rPr>
          <w:rFonts w:ascii="Times New Roman" w:hAnsi="Times New Roman" w:cs="Times New Roman"/>
          <w:sz w:val="24"/>
          <w:szCs w:val="24"/>
        </w:rPr>
        <w:t xml:space="preserve"> </w:t>
      </w:r>
      <w:r w:rsidRPr="003D503B">
        <w:rPr>
          <w:rFonts w:ascii="Times New Roman" w:hAnsi="Times New Roman" w:cs="Times New Roman"/>
          <w:sz w:val="24"/>
          <w:szCs w:val="24"/>
          <w:highlight w:val="yellow"/>
        </w:rPr>
        <w:t>Blocks were prepared using paper boats.</w:t>
      </w:r>
      <w:r w:rsidRPr="003D503B">
        <w:rPr>
          <w:rFonts w:ascii="Times New Roman" w:hAnsi="Times New Roman" w:cs="Times New Roman"/>
          <w:sz w:val="24"/>
          <w:szCs w:val="24"/>
        </w:rPr>
        <w:t xml:space="preserve"> </w:t>
      </w:r>
      <w:r w:rsidRPr="003D503B">
        <w:rPr>
          <w:rFonts w:ascii="Times New Roman" w:hAnsi="Times New Roman" w:cs="Times New Roman"/>
          <w:sz w:val="24"/>
          <w:szCs w:val="24"/>
          <w:highlight w:val="yellow"/>
        </w:rPr>
        <w:t>Sections of 5 μm thickness were cut using a semi-automatic rotary microtome (Omega-India), and the ribbons were prepared and expanded in warm water maintained at 45 °C to spread evenly.</w:t>
      </w:r>
      <w:r w:rsidRPr="003D503B">
        <w:rPr>
          <w:rFonts w:ascii="Times New Roman" w:hAnsi="Times New Roman" w:cs="Times New Roman"/>
          <w:sz w:val="24"/>
          <w:szCs w:val="24"/>
        </w:rPr>
        <w:t xml:space="preserve"> </w:t>
      </w:r>
      <w:r w:rsidRPr="003D503B">
        <w:rPr>
          <w:rFonts w:ascii="Times New Roman" w:hAnsi="Times New Roman" w:cs="Times New Roman"/>
          <w:sz w:val="24"/>
          <w:szCs w:val="24"/>
          <w:highlight w:val="yellow"/>
        </w:rPr>
        <w:t>For staining, Harris alum haematoxylin and eosin yellowish were used.</w:t>
      </w:r>
      <w:r w:rsidR="00F71518" w:rsidRPr="003D503B">
        <w:rPr>
          <w:rFonts w:ascii="Times New Roman" w:hAnsi="Times New Roman" w:cs="Times New Roman"/>
          <w:sz w:val="24"/>
          <w:szCs w:val="24"/>
        </w:rPr>
        <w:t xml:space="preserve"> </w:t>
      </w:r>
      <w:r w:rsidRPr="003D503B">
        <w:rPr>
          <w:rFonts w:ascii="Times New Roman" w:hAnsi="Times New Roman" w:cs="Times New Roman"/>
          <w:sz w:val="24"/>
          <w:szCs w:val="24"/>
          <w:highlight w:val="yellow"/>
        </w:rPr>
        <w:t>The slides were then examined under a microscope</w:t>
      </w:r>
      <w:r w:rsidRPr="003D503B">
        <w:rPr>
          <w:rFonts w:ascii="Times New Roman" w:hAnsi="Times New Roman" w:cs="Times New Roman"/>
          <w:sz w:val="24"/>
          <w:szCs w:val="24"/>
        </w:rPr>
        <w:t xml:space="preserve"> (Olympus Corporation, Model No.-CX31RTSF) </w:t>
      </w:r>
      <w:r w:rsidRPr="003D503B">
        <w:rPr>
          <w:rFonts w:ascii="Times New Roman" w:hAnsi="Times New Roman" w:cs="Times New Roman"/>
          <w:sz w:val="24"/>
          <w:szCs w:val="24"/>
          <w:highlight w:val="yellow"/>
        </w:rPr>
        <w:t>to assess changes at the tissue level.</w:t>
      </w:r>
    </w:p>
    <w:p w14:paraId="13B1689F" w14:textId="77777777" w:rsidR="009A0834" w:rsidRPr="003D503B" w:rsidRDefault="000E6DC6" w:rsidP="000E5CE3">
      <w:pPr>
        <w:tabs>
          <w:tab w:val="left" w:pos="284"/>
        </w:tabs>
        <w:spacing w:line="360" w:lineRule="auto"/>
        <w:ind w:left="142"/>
        <w:rPr>
          <w:rFonts w:ascii="Times New Roman" w:eastAsia="Times New Roman" w:hAnsi="Times New Roman" w:cs="Times New Roman"/>
          <w:b/>
          <w:sz w:val="24"/>
          <w:szCs w:val="24"/>
          <w:lang w:val="en-IN"/>
        </w:rPr>
      </w:pPr>
      <w:r w:rsidRPr="003D503B">
        <w:rPr>
          <w:rFonts w:ascii="Times New Roman" w:eastAsia="Times New Roman" w:hAnsi="Times New Roman" w:cs="Times New Roman"/>
          <w:b/>
          <w:sz w:val="24"/>
          <w:szCs w:val="24"/>
          <w:lang w:val="en-IN"/>
        </w:rPr>
        <w:t xml:space="preserve">3. </w:t>
      </w:r>
      <w:r w:rsidR="00F71518" w:rsidRPr="003D503B">
        <w:rPr>
          <w:rFonts w:ascii="Times New Roman" w:eastAsia="Times New Roman" w:hAnsi="Times New Roman" w:cs="Times New Roman"/>
          <w:b/>
          <w:sz w:val="24"/>
          <w:szCs w:val="24"/>
          <w:lang w:val="en-IN"/>
        </w:rPr>
        <w:t xml:space="preserve">Results </w:t>
      </w:r>
      <w:r w:rsidR="00BE5AFC">
        <w:rPr>
          <w:rFonts w:ascii="Times New Roman" w:eastAsia="Times New Roman" w:hAnsi="Times New Roman" w:cs="Times New Roman"/>
          <w:b/>
          <w:sz w:val="24"/>
          <w:szCs w:val="24"/>
          <w:lang w:val="en-IN"/>
        </w:rPr>
        <w:t xml:space="preserve">&amp; </w:t>
      </w:r>
      <w:r w:rsidR="00BE5AFC" w:rsidRPr="00BE5AFC">
        <w:rPr>
          <w:rFonts w:ascii="Times New Roman" w:eastAsia="Times New Roman" w:hAnsi="Times New Roman" w:cs="Times New Roman"/>
          <w:b/>
          <w:sz w:val="24"/>
          <w:szCs w:val="24"/>
          <w:lang w:val="en-IN"/>
        </w:rPr>
        <w:t>Discussion</w:t>
      </w:r>
    </w:p>
    <w:p w14:paraId="1807468C" w14:textId="77777777" w:rsidR="002D7B1A" w:rsidRPr="002D7B1A" w:rsidRDefault="002D7B1A" w:rsidP="002D7B1A">
      <w:pPr>
        <w:tabs>
          <w:tab w:val="left" w:pos="142"/>
        </w:tabs>
        <w:spacing w:line="360" w:lineRule="auto"/>
        <w:ind w:left="142"/>
        <w:jc w:val="both"/>
        <w:rPr>
          <w:rFonts w:ascii="Times New Roman" w:eastAsia="Times New Roman" w:hAnsi="Times New Roman" w:cs="Times New Roman"/>
          <w:b/>
          <w:sz w:val="24"/>
          <w:szCs w:val="24"/>
        </w:rPr>
      </w:pPr>
      <w:r w:rsidRPr="002D7B1A">
        <w:rPr>
          <w:rFonts w:ascii="Times New Roman" w:eastAsia="Times New Roman" w:hAnsi="Times New Roman" w:cs="Times New Roman"/>
          <w:b/>
          <w:sz w:val="24"/>
          <w:szCs w:val="24"/>
        </w:rPr>
        <w:t xml:space="preserve"> </w:t>
      </w:r>
      <w:r w:rsidRPr="002D7B1A">
        <w:rPr>
          <w:rFonts w:ascii="Times New Roman" w:eastAsia="Times New Roman" w:hAnsi="Times New Roman" w:cs="Times New Roman"/>
          <w:b/>
          <w:bCs/>
          <w:sz w:val="24"/>
          <w:szCs w:val="24"/>
        </w:rPr>
        <w:t xml:space="preserve">3.1 Histopathological observation of </w:t>
      </w:r>
      <w:r w:rsidRPr="002D7B1A">
        <w:rPr>
          <w:rFonts w:ascii="Times New Roman" w:eastAsia="Times New Roman" w:hAnsi="Times New Roman" w:cs="Times New Roman"/>
          <w:b/>
          <w:bCs/>
          <w:i/>
          <w:iCs/>
          <w:sz w:val="24"/>
          <w:szCs w:val="24"/>
        </w:rPr>
        <w:t xml:space="preserve">L. </w:t>
      </w:r>
      <w:proofErr w:type="spellStart"/>
      <w:r w:rsidRPr="002D7B1A">
        <w:rPr>
          <w:rFonts w:ascii="Times New Roman" w:eastAsia="Times New Roman" w:hAnsi="Times New Roman" w:cs="Times New Roman"/>
          <w:b/>
          <w:bCs/>
          <w:i/>
          <w:iCs/>
          <w:sz w:val="24"/>
          <w:szCs w:val="24"/>
        </w:rPr>
        <w:t>rohita</w:t>
      </w:r>
      <w:proofErr w:type="spellEnd"/>
      <w:r w:rsidRPr="002D7B1A">
        <w:rPr>
          <w:rFonts w:ascii="Times New Roman" w:eastAsia="Times New Roman" w:hAnsi="Times New Roman" w:cs="Times New Roman"/>
          <w:b/>
          <w:bCs/>
          <w:sz w:val="24"/>
          <w:szCs w:val="24"/>
        </w:rPr>
        <w:t xml:space="preserve"> fingerlings</w:t>
      </w:r>
    </w:p>
    <w:p w14:paraId="6A2A37D5" w14:textId="77777777" w:rsidR="002D7B1A" w:rsidRPr="002D7B1A" w:rsidRDefault="002D7B1A" w:rsidP="002D7B1A">
      <w:pPr>
        <w:tabs>
          <w:tab w:val="left" w:pos="142"/>
        </w:tabs>
        <w:spacing w:line="360" w:lineRule="auto"/>
        <w:ind w:left="142"/>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r>
      <w:r w:rsidRPr="002D7B1A">
        <w:rPr>
          <w:rFonts w:ascii="Times New Roman" w:eastAsia="Times New Roman" w:hAnsi="Times New Roman" w:cs="Times New Roman"/>
          <w:bCs/>
          <w:sz w:val="24"/>
          <w:szCs w:val="24"/>
        </w:rPr>
        <w:t xml:space="preserve">To clearly evaluate the impact of altered water chemistry, </w:t>
      </w:r>
      <w:r w:rsidRPr="002D7B1A">
        <w:rPr>
          <w:rFonts w:ascii="Times New Roman" w:eastAsia="Times New Roman" w:hAnsi="Times New Roman" w:cs="Times New Roman"/>
          <w:bCs/>
          <w:sz w:val="24"/>
          <w:szCs w:val="24"/>
          <w:highlight w:val="yellow"/>
        </w:rPr>
        <w:t>histopathological observations of the gills, liver, and kidney</w:t>
      </w:r>
      <w:r w:rsidRPr="002D7B1A">
        <w:rPr>
          <w:rFonts w:ascii="Times New Roman" w:eastAsia="Times New Roman" w:hAnsi="Times New Roman" w:cs="Times New Roman"/>
          <w:bCs/>
          <w:sz w:val="24"/>
          <w:szCs w:val="24"/>
        </w:rPr>
        <w:t xml:space="preserve"> were systematically recorded for each treatment group (T1, T2, and T3) over the 45-day experimental period.</w:t>
      </w:r>
    </w:p>
    <w:p w14:paraId="70ACD173" w14:textId="77777777" w:rsidR="002D7B1A" w:rsidRPr="002D7B1A" w:rsidRDefault="002D7B1A" w:rsidP="002D7B1A">
      <w:pPr>
        <w:tabs>
          <w:tab w:val="left" w:pos="142"/>
        </w:tabs>
        <w:spacing w:line="360" w:lineRule="auto"/>
        <w:ind w:left="142"/>
        <w:jc w:val="both"/>
        <w:rPr>
          <w:rFonts w:ascii="Times New Roman" w:eastAsia="Times New Roman" w:hAnsi="Times New Roman" w:cs="Times New Roman"/>
          <w:bCs/>
          <w:sz w:val="24"/>
          <w:szCs w:val="24"/>
        </w:rPr>
      </w:pPr>
      <w:r w:rsidRPr="002D7B1A">
        <w:rPr>
          <w:rFonts w:ascii="Times New Roman" w:eastAsia="Times New Roman" w:hAnsi="Times New Roman" w:cs="Times New Roman"/>
          <w:b/>
          <w:bCs/>
          <w:sz w:val="24"/>
          <w:szCs w:val="24"/>
        </w:rPr>
        <w:t>3.1.1 Treatment 1 (T1) - Control Group (Groundwater)</w:t>
      </w:r>
      <w:r w:rsidRPr="002D7B1A">
        <w:rPr>
          <w:rFonts w:ascii="Times New Roman" w:eastAsia="Times New Roman" w:hAnsi="Times New Roman" w:cs="Times New Roman"/>
          <w:b/>
          <w:sz w:val="24"/>
          <w:szCs w:val="24"/>
        </w:rPr>
        <w:t xml:space="preserve"> </w:t>
      </w:r>
      <w:r w:rsidRPr="002D7B1A">
        <w:rPr>
          <w:rFonts w:ascii="Times New Roman" w:eastAsia="Times New Roman" w:hAnsi="Times New Roman" w:cs="Times New Roman"/>
          <w:bCs/>
          <w:sz w:val="24"/>
          <w:szCs w:val="24"/>
          <w:highlight w:val="yellow"/>
        </w:rPr>
        <w:t>The fish reared</w:t>
      </w:r>
      <w:r w:rsidRPr="002D7B1A">
        <w:rPr>
          <w:rFonts w:ascii="Times New Roman" w:eastAsia="Times New Roman" w:hAnsi="Times New Roman" w:cs="Times New Roman"/>
          <w:bCs/>
          <w:sz w:val="24"/>
          <w:szCs w:val="24"/>
        </w:rPr>
        <w:t xml:space="preserve"> in the control groundwater exhibited normal, healthy histological architecture across all tested variables at day 0 and throughout the study period. </w:t>
      </w:r>
    </w:p>
    <w:p w14:paraId="30EC1846" w14:textId="77777777" w:rsidR="002D7B1A" w:rsidRPr="002D7B1A" w:rsidRDefault="002D7B1A" w:rsidP="002D7B1A">
      <w:pPr>
        <w:numPr>
          <w:ilvl w:val="0"/>
          <w:numId w:val="10"/>
        </w:numPr>
        <w:tabs>
          <w:tab w:val="left" w:pos="142"/>
        </w:tabs>
        <w:spacing w:line="360" w:lineRule="auto"/>
        <w:jc w:val="both"/>
        <w:rPr>
          <w:rFonts w:ascii="Times New Roman" w:eastAsia="Times New Roman" w:hAnsi="Times New Roman" w:cs="Times New Roman"/>
          <w:bCs/>
          <w:sz w:val="24"/>
          <w:szCs w:val="24"/>
        </w:rPr>
      </w:pPr>
      <w:r w:rsidRPr="002D7B1A">
        <w:rPr>
          <w:rFonts w:ascii="Times New Roman" w:eastAsia="Times New Roman" w:hAnsi="Times New Roman" w:cs="Times New Roman"/>
          <w:b/>
          <w:bCs/>
          <w:sz w:val="24"/>
          <w:szCs w:val="24"/>
        </w:rPr>
        <w:t>Gills:</w:t>
      </w:r>
      <w:r w:rsidRPr="002D7B1A">
        <w:rPr>
          <w:rFonts w:ascii="Times New Roman" w:eastAsia="Times New Roman" w:hAnsi="Times New Roman" w:cs="Times New Roman"/>
          <w:b/>
          <w:sz w:val="24"/>
          <w:szCs w:val="24"/>
        </w:rPr>
        <w:t xml:space="preserve"> </w:t>
      </w:r>
      <w:r w:rsidRPr="002D7B1A">
        <w:rPr>
          <w:rFonts w:ascii="Times New Roman" w:eastAsia="Times New Roman" w:hAnsi="Times New Roman" w:cs="Times New Roman"/>
          <w:bCs/>
          <w:sz w:val="24"/>
          <w:szCs w:val="24"/>
        </w:rPr>
        <w:t xml:space="preserve">Showed a normal structure consisting of normal primary gill lamella (PGL) and secondary gill lamella (SGL) alongside normal cartilaginous cells (CC) (Fig-1a; Fig-2e). </w:t>
      </w:r>
    </w:p>
    <w:p w14:paraId="6C6BF3B1" w14:textId="77777777" w:rsidR="002D7B1A" w:rsidRPr="002D7B1A" w:rsidRDefault="002D7B1A" w:rsidP="002D7B1A">
      <w:pPr>
        <w:numPr>
          <w:ilvl w:val="0"/>
          <w:numId w:val="10"/>
        </w:numPr>
        <w:tabs>
          <w:tab w:val="left" w:pos="142"/>
        </w:tabs>
        <w:spacing w:line="360" w:lineRule="auto"/>
        <w:jc w:val="both"/>
        <w:rPr>
          <w:rFonts w:ascii="Times New Roman" w:eastAsia="Times New Roman" w:hAnsi="Times New Roman" w:cs="Times New Roman"/>
          <w:b/>
          <w:sz w:val="24"/>
          <w:szCs w:val="24"/>
        </w:rPr>
      </w:pPr>
      <w:r w:rsidRPr="002D7B1A">
        <w:rPr>
          <w:rFonts w:ascii="Times New Roman" w:eastAsia="Times New Roman" w:hAnsi="Times New Roman" w:cs="Times New Roman"/>
          <w:b/>
          <w:bCs/>
          <w:sz w:val="24"/>
          <w:szCs w:val="24"/>
        </w:rPr>
        <w:t>Liver:</w:t>
      </w:r>
      <w:r w:rsidRPr="002D7B1A">
        <w:rPr>
          <w:rFonts w:ascii="Times New Roman" w:eastAsia="Times New Roman" w:hAnsi="Times New Roman" w:cs="Times New Roman"/>
          <w:b/>
          <w:sz w:val="24"/>
          <w:szCs w:val="24"/>
        </w:rPr>
        <w:t xml:space="preserve"> </w:t>
      </w:r>
      <w:r w:rsidRPr="002D7B1A">
        <w:rPr>
          <w:rFonts w:ascii="Times New Roman" w:eastAsia="Times New Roman" w:hAnsi="Times New Roman" w:cs="Times New Roman"/>
          <w:bCs/>
          <w:sz w:val="24"/>
          <w:szCs w:val="24"/>
        </w:rPr>
        <w:t>Displayed normal architecture of liver tissue with hepatocytes arranged in a standard cord-like fashion (Fig-3i; Fig-4v). Sinusoidal spaces appeared normal, emerging from blood sinuses and containing regular blood cells and Kupffer's cells. Hepatocytes maintained a normal polygonal shape, featuring abundant eosinophilic cytoplasm and a dark basophilic centrally rounded vesicular nucleus.</w:t>
      </w:r>
      <w:r w:rsidRPr="002D7B1A">
        <w:rPr>
          <w:rFonts w:ascii="Times New Roman" w:eastAsia="Times New Roman" w:hAnsi="Times New Roman" w:cs="Times New Roman"/>
          <w:b/>
          <w:sz w:val="24"/>
          <w:szCs w:val="24"/>
        </w:rPr>
        <w:t xml:space="preserve"> </w:t>
      </w:r>
    </w:p>
    <w:p w14:paraId="0470CB56" w14:textId="77777777" w:rsidR="002D7B1A" w:rsidRPr="002D7B1A" w:rsidRDefault="002D7B1A" w:rsidP="002D7B1A">
      <w:pPr>
        <w:numPr>
          <w:ilvl w:val="0"/>
          <w:numId w:val="10"/>
        </w:numPr>
        <w:tabs>
          <w:tab w:val="left" w:pos="142"/>
        </w:tabs>
        <w:spacing w:line="360" w:lineRule="auto"/>
        <w:jc w:val="both"/>
        <w:rPr>
          <w:rFonts w:ascii="Times New Roman" w:eastAsia="Times New Roman" w:hAnsi="Times New Roman" w:cs="Times New Roman"/>
          <w:bCs/>
          <w:sz w:val="24"/>
          <w:szCs w:val="24"/>
        </w:rPr>
      </w:pPr>
      <w:r w:rsidRPr="002D7B1A">
        <w:rPr>
          <w:rFonts w:ascii="Times New Roman" w:eastAsia="Times New Roman" w:hAnsi="Times New Roman" w:cs="Times New Roman"/>
          <w:b/>
          <w:bCs/>
          <w:sz w:val="24"/>
          <w:szCs w:val="24"/>
        </w:rPr>
        <w:t>Kidney:</w:t>
      </w:r>
      <w:r w:rsidRPr="002D7B1A">
        <w:rPr>
          <w:rFonts w:ascii="Times New Roman" w:eastAsia="Times New Roman" w:hAnsi="Times New Roman" w:cs="Times New Roman"/>
          <w:b/>
          <w:sz w:val="24"/>
          <w:szCs w:val="24"/>
        </w:rPr>
        <w:t xml:space="preserve"> </w:t>
      </w:r>
      <w:r w:rsidRPr="002D7B1A">
        <w:rPr>
          <w:rFonts w:ascii="Times New Roman" w:eastAsia="Times New Roman" w:hAnsi="Times New Roman" w:cs="Times New Roman"/>
          <w:bCs/>
          <w:sz w:val="24"/>
          <w:szCs w:val="24"/>
        </w:rPr>
        <w:t xml:space="preserve">Maintained </w:t>
      </w:r>
      <w:r w:rsidRPr="002D7B1A">
        <w:rPr>
          <w:rFonts w:ascii="Times New Roman" w:eastAsia="Times New Roman" w:hAnsi="Times New Roman" w:cs="Times New Roman"/>
          <w:bCs/>
          <w:sz w:val="24"/>
          <w:szCs w:val="24"/>
          <w:highlight w:val="yellow"/>
        </w:rPr>
        <w:t>normal glomerular (G) and renal tubule (RT) structures</w:t>
      </w:r>
      <w:r w:rsidRPr="002D7B1A">
        <w:rPr>
          <w:rFonts w:ascii="Times New Roman" w:eastAsia="Times New Roman" w:hAnsi="Times New Roman" w:cs="Times New Roman"/>
          <w:bCs/>
          <w:sz w:val="24"/>
          <w:szCs w:val="24"/>
        </w:rPr>
        <w:t xml:space="preserve">, with no marked histological </w:t>
      </w:r>
      <w:r w:rsidRPr="002D7B1A">
        <w:rPr>
          <w:rFonts w:ascii="Times New Roman" w:eastAsia="Times New Roman" w:hAnsi="Times New Roman" w:cs="Times New Roman"/>
          <w:bCs/>
          <w:sz w:val="24"/>
          <w:szCs w:val="24"/>
          <w:highlight w:val="yellow"/>
        </w:rPr>
        <w:t>changes observed</w:t>
      </w:r>
      <w:r w:rsidRPr="002D7B1A">
        <w:rPr>
          <w:rFonts w:ascii="Times New Roman" w:eastAsia="Times New Roman" w:hAnsi="Times New Roman" w:cs="Times New Roman"/>
          <w:bCs/>
          <w:sz w:val="24"/>
          <w:szCs w:val="24"/>
        </w:rPr>
        <w:t xml:space="preserve"> in the specimens (Fig-5A; Fig-6E). </w:t>
      </w:r>
    </w:p>
    <w:p w14:paraId="7635436F" w14:textId="77777777" w:rsidR="002D7B1A" w:rsidRPr="002D7B1A" w:rsidRDefault="002D7B1A" w:rsidP="002D7B1A">
      <w:pPr>
        <w:tabs>
          <w:tab w:val="left" w:pos="142"/>
        </w:tabs>
        <w:spacing w:line="360" w:lineRule="auto"/>
        <w:ind w:left="142"/>
        <w:jc w:val="both"/>
        <w:rPr>
          <w:rFonts w:ascii="Times New Roman" w:eastAsia="Times New Roman" w:hAnsi="Times New Roman" w:cs="Times New Roman"/>
          <w:bCs/>
          <w:sz w:val="24"/>
          <w:szCs w:val="24"/>
        </w:rPr>
      </w:pPr>
      <w:r w:rsidRPr="002D7B1A">
        <w:rPr>
          <w:rFonts w:ascii="Times New Roman" w:eastAsia="Times New Roman" w:hAnsi="Times New Roman" w:cs="Times New Roman"/>
          <w:b/>
          <w:bCs/>
          <w:sz w:val="24"/>
          <w:szCs w:val="24"/>
        </w:rPr>
        <w:lastRenderedPageBreak/>
        <w:t>3.1.2 Treatment 2 (T2) - RO Filtered Water</w:t>
      </w:r>
      <w:r w:rsidRPr="002D7B1A">
        <w:rPr>
          <w:rFonts w:ascii="Times New Roman" w:eastAsia="Times New Roman" w:hAnsi="Times New Roman" w:cs="Times New Roman"/>
          <w:b/>
          <w:sz w:val="24"/>
          <w:szCs w:val="24"/>
        </w:rPr>
        <w:t xml:space="preserve"> </w:t>
      </w:r>
      <w:r w:rsidRPr="002D7B1A">
        <w:rPr>
          <w:rFonts w:ascii="Times New Roman" w:eastAsia="Times New Roman" w:hAnsi="Times New Roman" w:cs="Times New Roman"/>
          <w:bCs/>
          <w:sz w:val="24"/>
          <w:szCs w:val="24"/>
          <w:highlight w:val="yellow"/>
        </w:rPr>
        <w:t>Fish reared in RO-filtered water</w:t>
      </w:r>
      <w:r w:rsidRPr="002D7B1A">
        <w:rPr>
          <w:rFonts w:ascii="Times New Roman" w:eastAsia="Times New Roman" w:hAnsi="Times New Roman" w:cs="Times New Roman"/>
          <w:bCs/>
          <w:sz w:val="24"/>
          <w:szCs w:val="24"/>
        </w:rPr>
        <w:t xml:space="preserve"> displayed progressive histopathological alterations in the gills and kidneys, while the liver remained largely unaffected. </w:t>
      </w:r>
    </w:p>
    <w:p w14:paraId="7468E511" w14:textId="77777777" w:rsidR="002D7B1A" w:rsidRPr="002D7B1A" w:rsidRDefault="002D7B1A" w:rsidP="002D7B1A">
      <w:pPr>
        <w:numPr>
          <w:ilvl w:val="0"/>
          <w:numId w:val="11"/>
        </w:numPr>
        <w:tabs>
          <w:tab w:val="left" w:pos="142"/>
        </w:tabs>
        <w:spacing w:line="360" w:lineRule="auto"/>
        <w:jc w:val="both"/>
        <w:rPr>
          <w:rFonts w:ascii="Times New Roman" w:eastAsia="Times New Roman" w:hAnsi="Times New Roman" w:cs="Times New Roman"/>
          <w:b/>
          <w:sz w:val="24"/>
          <w:szCs w:val="24"/>
        </w:rPr>
      </w:pPr>
      <w:r w:rsidRPr="002D7B1A">
        <w:rPr>
          <w:rFonts w:ascii="Times New Roman" w:eastAsia="Times New Roman" w:hAnsi="Times New Roman" w:cs="Times New Roman"/>
          <w:b/>
          <w:bCs/>
          <w:sz w:val="24"/>
          <w:szCs w:val="24"/>
        </w:rPr>
        <w:t>Gills</w:t>
      </w:r>
      <w:r>
        <w:rPr>
          <w:rFonts w:ascii="Times New Roman" w:eastAsia="Times New Roman" w:hAnsi="Times New Roman" w:cs="Times New Roman"/>
          <w:b/>
          <w:bCs/>
          <w:sz w:val="24"/>
          <w:szCs w:val="24"/>
        </w:rPr>
        <w:t xml:space="preserve"> </w:t>
      </w:r>
      <w:r w:rsidRPr="002D7B1A">
        <w:rPr>
          <w:rFonts w:ascii="Times New Roman" w:eastAsia="Times New Roman" w:hAnsi="Times New Roman" w:cs="Times New Roman"/>
          <w:b/>
          <w:bCs/>
          <w:sz w:val="24"/>
          <w:szCs w:val="24"/>
          <w:highlight w:val="yellow"/>
        </w:rPr>
        <w:t>(Fig-1):</w:t>
      </w:r>
    </w:p>
    <w:p w14:paraId="7728C52B" w14:textId="77777777" w:rsidR="002D7B1A" w:rsidRPr="002D7B1A" w:rsidRDefault="002D7B1A" w:rsidP="002D7B1A">
      <w:pPr>
        <w:numPr>
          <w:ilvl w:val="1"/>
          <w:numId w:val="11"/>
        </w:numPr>
        <w:tabs>
          <w:tab w:val="left" w:pos="142"/>
        </w:tabs>
        <w:spacing w:line="360" w:lineRule="auto"/>
        <w:ind w:left="1440"/>
        <w:jc w:val="both"/>
        <w:rPr>
          <w:rFonts w:ascii="Times New Roman" w:eastAsia="Times New Roman" w:hAnsi="Times New Roman" w:cs="Times New Roman"/>
          <w:bCs/>
          <w:sz w:val="24"/>
          <w:szCs w:val="24"/>
        </w:rPr>
      </w:pPr>
      <w:r w:rsidRPr="002D7B1A">
        <w:rPr>
          <w:rFonts w:ascii="Times New Roman" w:eastAsia="Times New Roman" w:hAnsi="Times New Roman" w:cs="Times New Roman"/>
          <w:bCs/>
          <w:i/>
          <w:iCs/>
          <w:sz w:val="24"/>
          <w:szCs w:val="24"/>
        </w:rPr>
        <w:t>15 Days:</w:t>
      </w:r>
      <w:r w:rsidRPr="002D7B1A">
        <w:rPr>
          <w:rFonts w:ascii="Times New Roman" w:eastAsia="Times New Roman" w:hAnsi="Times New Roman" w:cs="Times New Roman"/>
          <w:bCs/>
          <w:sz w:val="24"/>
          <w:szCs w:val="24"/>
        </w:rPr>
        <w:t xml:space="preserve"> Displayed knob-like swelling in the PGL, minor swelling in the CC, and initial fusion of the secondary gill lamellae (Fig-1b). </w:t>
      </w:r>
    </w:p>
    <w:p w14:paraId="7220F688" w14:textId="77777777" w:rsidR="002D7B1A" w:rsidRPr="002D7B1A" w:rsidRDefault="002D7B1A" w:rsidP="002D7B1A">
      <w:pPr>
        <w:numPr>
          <w:ilvl w:val="1"/>
          <w:numId w:val="11"/>
        </w:numPr>
        <w:tabs>
          <w:tab w:val="left" w:pos="142"/>
        </w:tabs>
        <w:spacing w:line="360" w:lineRule="auto"/>
        <w:ind w:left="1440"/>
        <w:jc w:val="both"/>
        <w:rPr>
          <w:rFonts w:ascii="Times New Roman" w:eastAsia="Times New Roman" w:hAnsi="Times New Roman" w:cs="Times New Roman"/>
          <w:bCs/>
          <w:sz w:val="24"/>
          <w:szCs w:val="24"/>
        </w:rPr>
      </w:pPr>
      <w:r w:rsidRPr="002D7B1A">
        <w:rPr>
          <w:rFonts w:ascii="Times New Roman" w:eastAsia="Times New Roman" w:hAnsi="Times New Roman" w:cs="Times New Roman"/>
          <w:bCs/>
          <w:i/>
          <w:iCs/>
          <w:sz w:val="24"/>
          <w:szCs w:val="24"/>
        </w:rPr>
        <w:t>30 Days:</w:t>
      </w:r>
      <w:r w:rsidRPr="002D7B1A">
        <w:rPr>
          <w:rFonts w:ascii="Times New Roman" w:eastAsia="Times New Roman" w:hAnsi="Times New Roman" w:cs="Times New Roman"/>
          <w:bCs/>
          <w:sz w:val="24"/>
          <w:szCs w:val="24"/>
        </w:rPr>
        <w:t xml:space="preserve"> Revealed degenerated SGL and CC. Pathologies included the dilation of primary and secondary gill lamellae, loss of architecture, </w:t>
      </w:r>
      <w:r w:rsidRPr="002D7B1A">
        <w:rPr>
          <w:rFonts w:ascii="Times New Roman" w:eastAsia="Times New Roman" w:hAnsi="Times New Roman" w:cs="Times New Roman"/>
          <w:bCs/>
          <w:sz w:val="24"/>
          <w:szCs w:val="24"/>
          <w:highlight w:val="yellow"/>
        </w:rPr>
        <w:t>severe disorganisation</w:t>
      </w:r>
      <w:r w:rsidRPr="002D7B1A">
        <w:rPr>
          <w:rFonts w:ascii="Times New Roman" w:eastAsia="Times New Roman" w:hAnsi="Times New Roman" w:cs="Times New Roman"/>
          <w:bCs/>
          <w:sz w:val="24"/>
          <w:szCs w:val="24"/>
        </w:rPr>
        <w:t xml:space="preserve">, and prominent knob-like structures </w:t>
      </w:r>
      <w:r w:rsidRPr="002D7B1A">
        <w:rPr>
          <w:rFonts w:ascii="Times New Roman" w:eastAsia="Times New Roman" w:hAnsi="Times New Roman" w:cs="Times New Roman"/>
          <w:bCs/>
          <w:sz w:val="24"/>
          <w:szCs w:val="24"/>
          <w:highlight w:val="yellow"/>
        </w:rPr>
        <w:t>at the ends of the gill lamellae</w:t>
      </w:r>
      <w:r w:rsidRPr="002D7B1A">
        <w:rPr>
          <w:rFonts w:ascii="Times New Roman" w:eastAsia="Times New Roman" w:hAnsi="Times New Roman" w:cs="Times New Roman"/>
          <w:bCs/>
          <w:sz w:val="24"/>
          <w:szCs w:val="24"/>
        </w:rPr>
        <w:t xml:space="preserve"> (Fig-1c). </w:t>
      </w:r>
    </w:p>
    <w:p w14:paraId="759EBF9B" w14:textId="77777777" w:rsidR="002D7B1A" w:rsidRPr="002D7B1A" w:rsidRDefault="002D7B1A" w:rsidP="002D7B1A">
      <w:pPr>
        <w:numPr>
          <w:ilvl w:val="1"/>
          <w:numId w:val="11"/>
        </w:numPr>
        <w:tabs>
          <w:tab w:val="left" w:pos="142"/>
          <w:tab w:val="num" w:pos="1440"/>
        </w:tabs>
        <w:spacing w:line="360" w:lineRule="auto"/>
        <w:jc w:val="both"/>
        <w:rPr>
          <w:rFonts w:ascii="Times New Roman" w:eastAsia="Times New Roman" w:hAnsi="Times New Roman" w:cs="Times New Roman"/>
          <w:bCs/>
          <w:sz w:val="24"/>
          <w:szCs w:val="24"/>
        </w:rPr>
      </w:pPr>
      <w:r w:rsidRPr="002D7B1A">
        <w:rPr>
          <w:rFonts w:ascii="Times New Roman" w:eastAsia="Times New Roman" w:hAnsi="Times New Roman" w:cs="Times New Roman"/>
          <w:bCs/>
          <w:i/>
          <w:iCs/>
          <w:sz w:val="24"/>
          <w:szCs w:val="24"/>
        </w:rPr>
        <w:t>45 Days:</w:t>
      </w:r>
      <w:r w:rsidRPr="002D7B1A">
        <w:rPr>
          <w:rFonts w:ascii="Times New Roman" w:eastAsia="Times New Roman" w:hAnsi="Times New Roman" w:cs="Times New Roman"/>
          <w:bCs/>
          <w:sz w:val="24"/>
          <w:szCs w:val="24"/>
        </w:rPr>
        <w:t xml:space="preserve"> Continued to show degenerated SGL and enlarged CC (Fig-1d). Observations included dilation of lamellae, loss of architecture, clubbing of the gill lamella, and highly prominent knob-like structures at the lamella ends. </w:t>
      </w:r>
    </w:p>
    <w:p w14:paraId="6629956B" w14:textId="77777777" w:rsidR="002D7B1A" w:rsidRPr="002D7B1A" w:rsidRDefault="002D7B1A" w:rsidP="002D7B1A">
      <w:pPr>
        <w:numPr>
          <w:ilvl w:val="0"/>
          <w:numId w:val="11"/>
        </w:numPr>
        <w:tabs>
          <w:tab w:val="left" w:pos="142"/>
        </w:tabs>
        <w:spacing w:line="360" w:lineRule="auto"/>
        <w:jc w:val="both"/>
        <w:rPr>
          <w:rFonts w:ascii="Times New Roman" w:eastAsia="Times New Roman" w:hAnsi="Times New Roman" w:cs="Times New Roman"/>
          <w:b/>
          <w:sz w:val="24"/>
          <w:szCs w:val="24"/>
        </w:rPr>
      </w:pPr>
      <w:r w:rsidRPr="002D7B1A">
        <w:rPr>
          <w:rFonts w:ascii="Times New Roman" w:eastAsia="Times New Roman" w:hAnsi="Times New Roman" w:cs="Times New Roman"/>
          <w:b/>
          <w:bCs/>
          <w:sz w:val="24"/>
          <w:szCs w:val="24"/>
        </w:rPr>
        <w:t>Liver (Fig-3):</w:t>
      </w:r>
    </w:p>
    <w:p w14:paraId="64560A4D" w14:textId="77777777" w:rsidR="002D7B1A" w:rsidRPr="002D7B1A" w:rsidRDefault="002D7B1A" w:rsidP="002D7B1A">
      <w:pPr>
        <w:numPr>
          <w:ilvl w:val="1"/>
          <w:numId w:val="11"/>
        </w:numPr>
        <w:tabs>
          <w:tab w:val="left" w:pos="142"/>
          <w:tab w:val="num" w:pos="1440"/>
        </w:tabs>
        <w:spacing w:line="360" w:lineRule="auto"/>
        <w:jc w:val="both"/>
        <w:rPr>
          <w:rFonts w:ascii="Times New Roman" w:eastAsia="Times New Roman" w:hAnsi="Times New Roman" w:cs="Times New Roman"/>
          <w:b/>
          <w:sz w:val="24"/>
          <w:szCs w:val="24"/>
        </w:rPr>
      </w:pPr>
      <w:r w:rsidRPr="002D7B1A">
        <w:rPr>
          <w:rFonts w:ascii="Times New Roman" w:eastAsia="Times New Roman" w:hAnsi="Times New Roman" w:cs="Times New Roman"/>
          <w:bCs/>
          <w:i/>
          <w:iCs/>
          <w:sz w:val="24"/>
          <w:szCs w:val="24"/>
        </w:rPr>
        <w:t>15, 30, and 45 Days:</w:t>
      </w:r>
      <w:r w:rsidRPr="002D7B1A">
        <w:rPr>
          <w:rFonts w:ascii="Times New Roman" w:eastAsia="Times New Roman" w:hAnsi="Times New Roman" w:cs="Times New Roman"/>
          <w:bCs/>
          <w:sz w:val="24"/>
          <w:szCs w:val="24"/>
        </w:rPr>
        <w:t xml:space="preserve"> Showed no signs of necrosis or inflammation (Fig-3ii, iii, iv). Hepatic parenchymal cells appeared almost normal with only minor features of degeneration (such as vacuolation at 45 days) and </w:t>
      </w:r>
      <w:r w:rsidRPr="002D7B1A">
        <w:rPr>
          <w:rFonts w:ascii="Times New Roman" w:eastAsia="Times New Roman" w:hAnsi="Times New Roman" w:cs="Times New Roman"/>
          <w:bCs/>
          <w:sz w:val="24"/>
          <w:szCs w:val="24"/>
          <w:highlight w:val="yellow"/>
        </w:rPr>
        <w:t>prominent dense nuclei positioned towards the sinusoids</w:t>
      </w:r>
      <w:r w:rsidRPr="002D7B1A">
        <w:rPr>
          <w:rFonts w:ascii="Times New Roman" w:eastAsia="Times New Roman" w:hAnsi="Times New Roman" w:cs="Times New Roman"/>
          <w:bCs/>
          <w:sz w:val="24"/>
          <w:szCs w:val="24"/>
        </w:rPr>
        <w:t>. Sinusoidal spaces remained visible</w:t>
      </w:r>
      <w:r w:rsidRPr="002D7B1A">
        <w:rPr>
          <w:rFonts w:ascii="Times New Roman" w:eastAsia="Times New Roman" w:hAnsi="Times New Roman" w:cs="Times New Roman"/>
          <w:b/>
          <w:sz w:val="24"/>
          <w:szCs w:val="24"/>
        </w:rPr>
        <w:t xml:space="preserve">. </w:t>
      </w:r>
    </w:p>
    <w:p w14:paraId="53D62368" w14:textId="77777777" w:rsidR="002D7B1A" w:rsidRPr="002D7B1A" w:rsidRDefault="002D7B1A" w:rsidP="002D7B1A">
      <w:pPr>
        <w:numPr>
          <w:ilvl w:val="0"/>
          <w:numId w:val="11"/>
        </w:numPr>
        <w:tabs>
          <w:tab w:val="left" w:pos="142"/>
        </w:tabs>
        <w:spacing w:line="360" w:lineRule="auto"/>
        <w:jc w:val="both"/>
        <w:rPr>
          <w:rFonts w:ascii="Times New Roman" w:eastAsia="Times New Roman" w:hAnsi="Times New Roman" w:cs="Times New Roman"/>
          <w:b/>
          <w:sz w:val="24"/>
          <w:szCs w:val="24"/>
        </w:rPr>
      </w:pPr>
      <w:r w:rsidRPr="002D7B1A">
        <w:rPr>
          <w:rFonts w:ascii="Times New Roman" w:eastAsia="Times New Roman" w:hAnsi="Times New Roman" w:cs="Times New Roman"/>
          <w:b/>
          <w:bCs/>
          <w:sz w:val="24"/>
          <w:szCs w:val="24"/>
        </w:rPr>
        <w:t>Kidney (Fig-5):</w:t>
      </w:r>
    </w:p>
    <w:p w14:paraId="59193B26" w14:textId="77777777" w:rsidR="002D7B1A" w:rsidRPr="002D7B1A" w:rsidRDefault="002D7B1A" w:rsidP="002D7B1A">
      <w:pPr>
        <w:numPr>
          <w:ilvl w:val="1"/>
          <w:numId w:val="11"/>
        </w:numPr>
        <w:tabs>
          <w:tab w:val="left" w:pos="142"/>
          <w:tab w:val="num" w:pos="1440"/>
        </w:tabs>
        <w:spacing w:line="360" w:lineRule="auto"/>
        <w:jc w:val="both"/>
        <w:rPr>
          <w:rFonts w:ascii="Times New Roman" w:eastAsia="Times New Roman" w:hAnsi="Times New Roman" w:cs="Times New Roman"/>
          <w:bCs/>
          <w:sz w:val="24"/>
          <w:szCs w:val="24"/>
        </w:rPr>
      </w:pPr>
      <w:r w:rsidRPr="002D7B1A">
        <w:rPr>
          <w:rFonts w:ascii="Times New Roman" w:eastAsia="Times New Roman" w:hAnsi="Times New Roman" w:cs="Times New Roman"/>
          <w:bCs/>
          <w:i/>
          <w:iCs/>
          <w:sz w:val="24"/>
          <w:szCs w:val="24"/>
        </w:rPr>
        <w:t>15 Days:</w:t>
      </w:r>
      <w:r w:rsidRPr="002D7B1A">
        <w:rPr>
          <w:rFonts w:ascii="Times New Roman" w:eastAsia="Times New Roman" w:hAnsi="Times New Roman" w:cs="Times New Roman"/>
          <w:bCs/>
          <w:sz w:val="24"/>
          <w:szCs w:val="24"/>
        </w:rPr>
        <w:t xml:space="preserve"> Exhibited a notably shrunken </w:t>
      </w:r>
      <w:r w:rsidRPr="002D7B1A">
        <w:rPr>
          <w:rFonts w:ascii="Times New Roman" w:eastAsia="Times New Roman" w:hAnsi="Times New Roman" w:cs="Times New Roman"/>
          <w:bCs/>
          <w:sz w:val="24"/>
          <w:szCs w:val="24"/>
          <w:highlight w:val="yellow"/>
        </w:rPr>
        <w:t>glomerulus (G)</w:t>
      </w:r>
      <w:r w:rsidRPr="002D7B1A">
        <w:rPr>
          <w:rFonts w:ascii="Times New Roman" w:eastAsia="Times New Roman" w:hAnsi="Times New Roman" w:cs="Times New Roman"/>
          <w:bCs/>
          <w:sz w:val="24"/>
          <w:szCs w:val="24"/>
        </w:rPr>
        <w:t xml:space="preserve"> and vacuolated blood cells within the glomerular tuft (Fig-5B). </w:t>
      </w:r>
    </w:p>
    <w:p w14:paraId="37FF1000" w14:textId="77777777" w:rsidR="002D7B1A" w:rsidRPr="002D7B1A" w:rsidRDefault="002D7B1A" w:rsidP="002D7B1A">
      <w:pPr>
        <w:numPr>
          <w:ilvl w:val="1"/>
          <w:numId w:val="11"/>
        </w:numPr>
        <w:tabs>
          <w:tab w:val="left" w:pos="142"/>
          <w:tab w:val="num" w:pos="1440"/>
        </w:tabs>
        <w:spacing w:line="360" w:lineRule="auto"/>
        <w:jc w:val="both"/>
        <w:rPr>
          <w:rFonts w:ascii="Times New Roman" w:eastAsia="Times New Roman" w:hAnsi="Times New Roman" w:cs="Times New Roman"/>
          <w:bCs/>
          <w:sz w:val="24"/>
          <w:szCs w:val="24"/>
        </w:rPr>
      </w:pPr>
      <w:r w:rsidRPr="002D7B1A">
        <w:rPr>
          <w:rFonts w:ascii="Times New Roman" w:eastAsia="Times New Roman" w:hAnsi="Times New Roman" w:cs="Times New Roman"/>
          <w:bCs/>
          <w:i/>
          <w:iCs/>
          <w:sz w:val="24"/>
          <w:szCs w:val="24"/>
        </w:rPr>
        <w:t>30 Days:</w:t>
      </w:r>
      <w:r w:rsidRPr="002D7B1A">
        <w:rPr>
          <w:rFonts w:ascii="Times New Roman" w:eastAsia="Times New Roman" w:hAnsi="Times New Roman" w:cs="Times New Roman"/>
          <w:bCs/>
          <w:sz w:val="24"/>
          <w:szCs w:val="24"/>
        </w:rPr>
        <w:t xml:space="preserve"> Displayed no dilation in the lumina of renal tubules; however, renal tubules began to fragment and suffer necrosis at this stage (Fig-5C). </w:t>
      </w:r>
    </w:p>
    <w:p w14:paraId="4F1598C1" w14:textId="77777777" w:rsidR="002D7B1A" w:rsidRPr="002D7B1A" w:rsidRDefault="002D7B1A" w:rsidP="002D7B1A">
      <w:pPr>
        <w:numPr>
          <w:ilvl w:val="1"/>
          <w:numId w:val="11"/>
        </w:numPr>
        <w:tabs>
          <w:tab w:val="left" w:pos="142"/>
          <w:tab w:val="num" w:pos="1440"/>
        </w:tabs>
        <w:spacing w:line="360" w:lineRule="auto"/>
        <w:jc w:val="both"/>
        <w:rPr>
          <w:rFonts w:ascii="Times New Roman" w:eastAsia="Times New Roman" w:hAnsi="Times New Roman" w:cs="Times New Roman"/>
          <w:bCs/>
          <w:sz w:val="24"/>
          <w:szCs w:val="24"/>
        </w:rPr>
      </w:pPr>
      <w:r w:rsidRPr="002D7B1A">
        <w:rPr>
          <w:rFonts w:ascii="Times New Roman" w:eastAsia="Times New Roman" w:hAnsi="Times New Roman" w:cs="Times New Roman"/>
          <w:bCs/>
          <w:i/>
          <w:iCs/>
          <w:sz w:val="24"/>
          <w:szCs w:val="24"/>
        </w:rPr>
        <w:t>45 Days:</w:t>
      </w:r>
      <w:r w:rsidRPr="002D7B1A">
        <w:rPr>
          <w:rFonts w:ascii="Times New Roman" w:eastAsia="Times New Roman" w:hAnsi="Times New Roman" w:cs="Times New Roman"/>
          <w:bCs/>
          <w:sz w:val="24"/>
          <w:szCs w:val="24"/>
        </w:rPr>
        <w:t xml:space="preserve"> Showed a severely degenerated and shrunken </w:t>
      </w:r>
      <w:r w:rsidRPr="002D7B1A">
        <w:rPr>
          <w:rFonts w:ascii="Times New Roman" w:eastAsia="Times New Roman" w:hAnsi="Times New Roman" w:cs="Times New Roman"/>
          <w:bCs/>
          <w:sz w:val="24"/>
          <w:szCs w:val="24"/>
          <w:highlight w:val="yellow"/>
        </w:rPr>
        <w:t>glomerulus (G)</w:t>
      </w:r>
      <w:r w:rsidRPr="002D7B1A">
        <w:rPr>
          <w:rFonts w:ascii="Times New Roman" w:eastAsia="Times New Roman" w:hAnsi="Times New Roman" w:cs="Times New Roman"/>
          <w:bCs/>
          <w:sz w:val="24"/>
          <w:szCs w:val="24"/>
        </w:rPr>
        <w:t xml:space="preserve">, vacuolated blood cells, and </w:t>
      </w:r>
      <w:r w:rsidRPr="002D7B1A">
        <w:rPr>
          <w:rFonts w:ascii="Times New Roman" w:eastAsia="Times New Roman" w:hAnsi="Times New Roman" w:cs="Times New Roman"/>
          <w:bCs/>
          <w:sz w:val="24"/>
          <w:szCs w:val="24"/>
          <w:highlight w:val="yellow"/>
        </w:rPr>
        <w:t>the formation of large spaces</w:t>
      </w:r>
      <w:r w:rsidRPr="002D7B1A">
        <w:rPr>
          <w:rFonts w:ascii="Times New Roman" w:eastAsia="Times New Roman" w:hAnsi="Times New Roman" w:cs="Times New Roman"/>
          <w:bCs/>
          <w:sz w:val="24"/>
          <w:szCs w:val="24"/>
        </w:rPr>
        <w:t xml:space="preserve"> within the matrix tissue (Fig-5D). </w:t>
      </w:r>
    </w:p>
    <w:p w14:paraId="0A920C44" w14:textId="77777777" w:rsidR="002D7B1A" w:rsidRPr="002D7B1A" w:rsidRDefault="002D7B1A" w:rsidP="002D7B1A">
      <w:pPr>
        <w:tabs>
          <w:tab w:val="left" w:pos="142"/>
        </w:tabs>
        <w:spacing w:line="360" w:lineRule="auto"/>
        <w:ind w:left="142"/>
        <w:jc w:val="both"/>
        <w:rPr>
          <w:rFonts w:ascii="Times New Roman" w:eastAsia="Times New Roman" w:hAnsi="Times New Roman" w:cs="Times New Roman"/>
          <w:bCs/>
          <w:sz w:val="24"/>
          <w:szCs w:val="24"/>
        </w:rPr>
      </w:pPr>
      <w:r w:rsidRPr="002D7B1A">
        <w:rPr>
          <w:rFonts w:ascii="Times New Roman" w:eastAsia="Times New Roman" w:hAnsi="Times New Roman" w:cs="Times New Roman"/>
          <w:b/>
          <w:bCs/>
          <w:sz w:val="24"/>
          <w:szCs w:val="24"/>
        </w:rPr>
        <w:t>3.1.3 Treatment 3 (T3) - RO Wastewater</w:t>
      </w:r>
      <w:r w:rsidRPr="002D7B1A">
        <w:rPr>
          <w:rFonts w:ascii="Times New Roman" w:eastAsia="Times New Roman" w:hAnsi="Times New Roman" w:cs="Times New Roman"/>
          <w:b/>
          <w:sz w:val="24"/>
          <w:szCs w:val="24"/>
        </w:rPr>
        <w:t xml:space="preserve"> </w:t>
      </w:r>
      <w:r w:rsidRPr="002D7B1A">
        <w:rPr>
          <w:rFonts w:ascii="Times New Roman" w:eastAsia="Times New Roman" w:hAnsi="Times New Roman" w:cs="Times New Roman"/>
          <w:bCs/>
          <w:sz w:val="24"/>
          <w:szCs w:val="24"/>
          <w:highlight w:val="yellow"/>
        </w:rPr>
        <w:t>Fish exposed</w:t>
      </w:r>
      <w:r w:rsidRPr="002D7B1A">
        <w:rPr>
          <w:rFonts w:ascii="Times New Roman" w:eastAsia="Times New Roman" w:hAnsi="Times New Roman" w:cs="Times New Roman"/>
          <w:bCs/>
          <w:sz w:val="24"/>
          <w:szCs w:val="24"/>
        </w:rPr>
        <w:t xml:space="preserve"> to RO wastewater exhibited the most severe, progressive </w:t>
      </w:r>
      <w:r w:rsidRPr="002D7B1A">
        <w:rPr>
          <w:rFonts w:ascii="Times New Roman" w:eastAsia="Times New Roman" w:hAnsi="Times New Roman" w:cs="Times New Roman"/>
          <w:bCs/>
          <w:sz w:val="24"/>
          <w:szCs w:val="24"/>
          <w:highlight w:val="yellow"/>
        </w:rPr>
        <w:t>histopathological alterations across all evaluated organs</w:t>
      </w:r>
      <w:r w:rsidRPr="002D7B1A">
        <w:rPr>
          <w:rFonts w:ascii="Times New Roman" w:eastAsia="Times New Roman" w:hAnsi="Times New Roman" w:cs="Times New Roman"/>
          <w:bCs/>
          <w:sz w:val="24"/>
          <w:szCs w:val="24"/>
        </w:rPr>
        <w:t xml:space="preserve">. </w:t>
      </w:r>
    </w:p>
    <w:p w14:paraId="1FED529D" w14:textId="77777777" w:rsidR="002D7B1A" w:rsidRPr="002D7B1A" w:rsidRDefault="002D7B1A" w:rsidP="002D7B1A">
      <w:pPr>
        <w:numPr>
          <w:ilvl w:val="0"/>
          <w:numId w:val="12"/>
        </w:numPr>
        <w:tabs>
          <w:tab w:val="left" w:pos="142"/>
        </w:tabs>
        <w:spacing w:line="360" w:lineRule="auto"/>
        <w:jc w:val="both"/>
        <w:rPr>
          <w:rFonts w:ascii="Times New Roman" w:eastAsia="Times New Roman" w:hAnsi="Times New Roman" w:cs="Times New Roman"/>
          <w:b/>
          <w:sz w:val="24"/>
          <w:szCs w:val="24"/>
        </w:rPr>
      </w:pPr>
      <w:r w:rsidRPr="002D7B1A">
        <w:rPr>
          <w:rFonts w:ascii="Times New Roman" w:eastAsia="Times New Roman" w:hAnsi="Times New Roman" w:cs="Times New Roman"/>
          <w:b/>
          <w:bCs/>
          <w:sz w:val="24"/>
          <w:szCs w:val="24"/>
        </w:rPr>
        <w:lastRenderedPageBreak/>
        <w:t>Gills (Fig-2):</w:t>
      </w:r>
    </w:p>
    <w:p w14:paraId="6E871691" w14:textId="77777777" w:rsidR="002D7B1A" w:rsidRPr="002D7B1A" w:rsidRDefault="002D7B1A" w:rsidP="002D7B1A">
      <w:pPr>
        <w:numPr>
          <w:ilvl w:val="1"/>
          <w:numId w:val="12"/>
        </w:numPr>
        <w:tabs>
          <w:tab w:val="left" w:pos="142"/>
          <w:tab w:val="num" w:pos="1440"/>
        </w:tabs>
        <w:spacing w:line="360" w:lineRule="auto"/>
        <w:jc w:val="both"/>
        <w:rPr>
          <w:rFonts w:ascii="Times New Roman" w:eastAsia="Times New Roman" w:hAnsi="Times New Roman" w:cs="Times New Roman"/>
          <w:bCs/>
          <w:sz w:val="24"/>
          <w:szCs w:val="24"/>
        </w:rPr>
      </w:pPr>
      <w:r w:rsidRPr="002D7B1A">
        <w:rPr>
          <w:rFonts w:ascii="Times New Roman" w:eastAsia="Times New Roman" w:hAnsi="Times New Roman" w:cs="Times New Roman"/>
          <w:bCs/>
          <w:i/>
          <w:iCs/>
          <w:sz w:val="24"/>
          <w:szCs w:val="24"/>
        </w:rPr>
        <w:t>15 &amp; 30 Days:</w:t>
      </w:r>
      <w:r w:rsidRPr="002D7B1A">
        <w:rPr>
          <w:rFonts w:ascii="Times New Roman" w:eastAsia="Times New Roman" w:hAnsi="Times New Roman" w:cs="Times New Roman"/>
          <w:bCs/>
          <w:sz w:val="24"/>
          <w:szCs w:val="24"/>
        </w:rPr>
        <w:t xml:space="preserve"> PGL and SGL were clearly degenerated, and fusion of lamellae was observed (Fig-2f, g). </w:t>
      </w:r>
      <w:r w:rsidRPr="002D7B1A">
        <w:rPr>
          <w:rFonts w:ascii="Times New Roman" w:eastAsia="Times New Roman" w:hAnsi="Times New Roman" w:cs="Times New Roman"/>
          <w:bCs/>
          <w:sz w:val="24"/>
          <w:szCs w:val="24"/>
          <w:highlight w:val="yellow"/>
        </w:rPr>
        <w:t>Cartilaginous cells were disorganised.</w:t>
      </w:r>
      <w:r w:rsidRPr="002D7B1A">
        <w:rPr>
          <w:rFonts w:ascii="Times New Roman" w:eastAsia="Times New Roman" w:hAnsi="Times New Roman" w:cs="Times New Roman"/>
          <w:bCs/>
          <w:sz w:val="24"/>
          <w:szCs w:val="24"/>
        </w:rPr>
        <w:t xml:space="preserve"> Observations included dilation of the primary and secondary gill lamellae alongside a distinct loss of gill architecture. </w:t>
      </w:r>
    </w:p>
    <w:p w14:paraId="4F79A818" w14:textId="77777777" w:rsidR="002D7B1A" w:rsidRPr="002D7B1A" w:rsidRDefault="002D7B1A" w:rsidP="002D7B1A">
      <w:pPr>
        <w:numPr>
          <w:ilvl w:val="1"/>
          <w:numId w:val="12"/>
        </w:numPr>
        <w:tabs>
          <w:tab w:val="left" w:pos="142"/>
          <w:tab w:val="num" w:pos="1440"/>
        </w:tabs>
        <w:spacing w:line="360" w:lineRule="auto"/>
        <w:jc w:val="both"/>
        <w:rPr>
          <w:rFonts w:ascii="Times New Roman" w:eastAsia="Times New Roman" w:hAnsi="Times New Roman" w:cs="Times New Roman"/>
          <w:bCs/>
          <w:sz w:val="24"/>
          <w:szCs w:val="24"/>
        </w:rPr>
      </w:pPr>
      <w:r w:rsidRPr="002D7B1A">
        <w:rPr>
          <w:rFonts w:ascii="Times New Roman" w:eastAsia="Times New Roman" w:hAnsi="Times New Roman" w:cs="Times New Roman"/>
          <w:bCs/>
          <w:i/>
          <w:iCs/>
          <w:sz w:val="24"/>
          <w:szCs w:val="24"/>
        </w:rPr>
        <w:t>45 Days:</w:t>
      </w:r>
      <w:r w:rsidRPr="002D7B1A">
        <w:rPr>
          <w:rFonts w:ascii="Times New Roman" w:eastAsia="Times New Roman" w:hAnsi="Times New Roman" w:cs="Times New Roman"/>
          <w:bCs/>
          <w:sz w:val="24"/>
          <w:szCs w:val="24"/>
        </w:rPr>
        <w:t xml:space="preserve"> Showed severe degeneration of PGL and SGL, with enlarged and </w:t>
      </w:r>
      <w:r w:rsidRPr="002D7B1A">
        <w:rPr>
          <w:rFonts w:ascii="Times New Roman" w:eastAsia="Times New Roman" w:hAnsi="Times New Roman" w:cs="Times New Roman"/>
          <w:bCs/>
          <w:sz w:val="24"/>
          <w:szCs w:val="24"/>
          <w:highlight w:val="yellow"/>
        </w:rPr>
        <w:t>disorganised cartilaginous cells</w:t>
      </w:r>
      <w:r w:rsidRPr="002D7B1A">
        <w:rPr>
          <w:rFonts w:ascii="Times New Roman" w:eastAsia="Times New Roman" w:hAnsi="Times New Roman" w:cs="Times New Roman"/>
          <w:bCs/>
          <w:sz w:val="24"/>
          <w:szCs w:val="24"/>
        </w:rPr>
        <w:t xml:space="preserve"> (Fig-2h). Pronounced clubbing and fusion of both primary and secondary gill lamellae and structural loss of the PGL were recorded. </w:t>
      </w:r>
    </w:p>
    <w:p w14:paraId="09327E75" w14:textId="77777777" w:rsidR="002D7B1A" w:rsidRPr="002D7B1A" w:rsidRDefault="002D7B1A" w:rsidP="002D7B1A">
      <w:pPr>
        <w:numPr>
          <w:ilvl w:val="0"/>
          <w:numId w:val="12"/>
        </w:numPr>
        <w:tabs>
          <w:tab w:val="left" w:pos="142"/>
        </w:tabs>
        <w:spacing w:line="360" w:lineRule="auto"/>
        <w:jc w:val="both"/>
        <w:rPr>
          <w:rFonts w:ascii="Times New Roman" w:eastAsia="Times New Roman" w:hAnsi="Times New Roman" w:cs="Times New Roman"/>
          <w:b/>
          <w:sz w:val="24"/>
          <w:szCs w:val="24"/>
        </w:rPr>
      </w:pPr>
      <w:r w:rsidRPr="002D7B1A">
        <w:rPr>
          <w:rFonts w:ascii="Times New Roman" w:eastAsia="Times New Roman" w:hAnsi="Times New Roman" w:cs="Times New Roman"/>
          <w:b/>
          <w:bCs/>
          <w:sz w:val="24"/>
          <w:szCs w:val="24"/>
        </w:rPr>
        <w:t>Liver (Fig-4):</w:t>
      </w:r>
    </w:p>
    <w:p w14:paraId="712A0AE5" w14:textId="77777777" w:rsidR="002D7B1A" w:rsidRPr="002D7B1A" w:rsidRDefault="002D7B1A" w:rsidP="002D7B1A">
      <w:pPr>
        <w:numPr>
          <w:ilvl w:val="1"/>
          <w:numId w:val="12"/>
        </w:numPr>
        <w:tabs>
          <w:tab w:val="left" w:pos="142"/>
          <w:tab w:val="num" w:pos="1440"/>
        </w:tabs>
        <w:spacing w:line="360" w:lineRule="auto"/>
        <w:jc w:val="both"/>
        <w:rPr>
          <w:rFonts w:ascii="Times New Roman" w:eastAsia="Times New Roman" w:hAnsi="Times New Roman" w:cs="Times New Roman"/>
          <w:bCs/>
          <w:sz w:val="24"/>
          <w:szCs w:val="24"/>
        </w:rPr>
      </w:pPr>
      <w:r w:rsidRPr="002D7B1A">
        <w:rPr>
          <w:rFonts w:ascii="Times New Roman" w:eastAsia="Times New Roman" w:hAnsi="Times New Roman" w:cs="Times New Roman"/>
          <w:bCs/>
          <w:i/>
          <w:iCs/>
          <w:sz w:val="24"/>
          <w:szCs w:val="24"/>
        </w:rPr>
        <w:t>15 &amp; 30 Days:</w:t>
      </w:r>
      <w:r w:rsidRPr="002D7B1A">
        <w:rPr>
          <w:rFonts w:ascii="Times New Roman" w:eastAsia="Times New Roman" w:hAnsi="Times New Roman" w:cs="Times New Roman"/>
          <w:bCs/>
          <w:sz w:val="24"/>
          <w:szCs w:val="24"/>
        </w:rPr>
        <w:t xml:space="preserve"> Exhibited degeneration of liver parenchyma accompanied by small fat globules. Nuclei were pushed towards the sinusoids, exhibiting necrotized condensation of chromatin. Instances of pyknosis in hepatocyte nuclei (Fig-4vi, vii) and scattered necrotic patches of parenchymal cells were observed. </w:t>
      </w:r>
    </w:p>
    <w:p w14:paraId="74F0DC76" w14:textId="77777777" w:rsidR="002D7B1A" w:rsidRPr="002D7B1A" w:rsidRDefault="002D7B1A" w:rsidP="002D7B1A">
      <w:pPr>
        <w:numPr>
          <w:ilvl w:val="1"/>
          <w:numId w:val="12"/>
        </w:numPr>
        <w:tabs>
          <w:tab w:val="left" w:pos="142"/>
          <w:tab w:val="num" w:pos="1440"/>
        </w:tabs>
        <w:spacing w:line="360" w:lineRule="auto"/>
        <w:jc w:val="both"/>
        <w:rPr>
          <w:rFonts w:ascii="Times New Roman" w:eastAsia="Times New Roman" w:hAnsi="Times New Roman" w:cs="Times New Roman"/>
          <w:bCs/>
          <w:sz w:val="24"/>
          <w:szCs w:val="24"/>
        </w:rPr>
      </w:pPr>
      <w:r w:rsidRPr="002D7B1A">
        <w:rPr>
          <w:rFonts w:ascii="Times New Roman" w:eastAsia="Times New Roman" w:hAnsi="Times New Roman" w:cs="Times New Roman"/>
          <w:bCs/>
          <w:i/>
          <w:iCs/>
          <w:sz w:val="24"/>
          <w:szCs w:val="24"/>
        </w:rPr>
        <w:t>45 Days:</w:t>
      </w:r>
      <w:r w:rsidRPr="002D7B1A">
        <w:rPr>
          <w:rFonts w:ascii="Times New Roman" w:eastAsia="Times New Roman" w:hAnsi="Times New Roman" w:cs="Times New Roman"/>
          <w:bCs/>
          <w:sz w:val="24"/>
          <w:szCs w:val="24"/>
        </w:rPr>
        <w:t xml:space="preserve"> Demonstrated a slight return to normal architecture with intact hepatocytes and normal sinusoidal spaces, though hepatic parenchymal cells still showed minor degeneration and </w:t>
      </w:r>
      <w:r w:rsidRPr="002D7B1A">
        <w:rPr>
          <w:rFonts w:ascii="Times New Roman" w:eastAsia="Times New Roman" w:hAnsi="Times New Roman" w:cs="Times New Roman"/>
          <w:bCs/>
          <w:sz w:val="24"/>
          <w:szCs w:val="24"/>
          <w:highlight w:val="yellow"/>
        </w:rPr>
        <w:t>dense nuclei positioned towards the sinusoids</w:t>
      </w:r>
      <w:r w:rsidRPr="002D7B1A">
        <w:rPr>
          <w:rFonts w:ascii="Times New Roman" w:eastAsia="Times New Roman" w:hAnsi="Times New Roman" w:cs="Times New Roman"/>
          <w:bCs/>
          <w:sz w:val="24"/>
          <w:szCs w:val="24"/>
        </w:rPr>
        <w:t xml:space="preserve"> (Fig-4viii). </w:t>
      </w:r>
    </w:p>
    <w:p w14:paraId="5746A303" w14:textId="77777777" w:rsidR="002D7B1A" w:rsidRPr="002D7B1A" w:rsidRDefault="002D7B1A" w:rsidP="002D7B1A">
      <w:pPr>
        <w:numPr>
          <w:ilvl w:val="0"/>
          <w:numId w:val="12"/>
        </w:numPr>
        <w:tabs>
          <w:tab w:val="left" w:pos="142"/>
        </w:tabs>
        <w:spacing w:line="360" w:lineRule="auto"/>
        <w:jc w:val="both"/>
        <w:rPr>
          <w:rFonts w:ascii="Times New Roman" w:eastAsia="Times New Roman" w:hAnsi="Times New Roman" w:cs="Times New Roman"/>
          <w:b/>
          <w:sz w:val="24"/>
          <w:szCs w:val="24"/>
        </w:rPr>
      </w:pPr>
      <w:r w:rsidRPr="002D7B1A">
        <w:rPr>
          <w:rFonts w:ascii="Times New Roman" w:eastAsia="Times New Roman" w:hAnsi="Times New Roman" w:cs="Times New Roman"/>
          <w:b/>
          <w:bCs/>
          <w:sz w:val="24"/>
          <w:szCs w:val="24"/>
        </w:rPr>
        <w:t>Kidney (Fig-6):</w:t>
      </w:r>
    </w:p>
    <w:p w14:paraId="4BE88594" w14:textId="77777777" w:rsidR="002D7B1A" w:rsidRPr="002D7B1A" w:rsidRDefault="002D7B1A" w:rsidP="002D7B1A">
      <w:pPr>
        <w:numPr>
          <w:ilvl w:val="1"/>
          <w:numId w:val="12"/>
        </w:numPr>
        <w:tabs>
          <w:tab w:val="left" w:pos="142"/>
          <w:tab w:val="num" w:pos="1440"/>
        </w:tabs>
        <w:spacing w:line="360" w:lineRule="auto"/>
        <w:jc w:val="both"/>
        <w:rPr>
          <w:rFonts w:ascii="Times New Roman" w:eastAsia="Times New Roman" w:hAnsi="Times New Roman" w:cs="Times New Roman"/>
          <w:bCs/>
          <w:sz w:val="24"/>
          <w:szCs w:val="24"/>
        </w:rPr>
      </w:pPr>
      <w:r w:rsidRPr="002D7B1A">
        <w:rPr>
          <w:rFonts w:ascii="Times New Roman" w:eastAsia="Times New Roman" w:hAnsi="Times New Roman" w:cs="Times New Roman"/>
          <w:bCs/>
          <w:i/>
          <w:iCs/>
          <w:sz w:val="24"/>
          <w:szCs w:val="24"/>
        </w:rPr>
        <w:t>15 &amp; 30 Days:</w:t>
      </w:r>
      <w:r w:rsidRPr="002D7B1A">
        <w:rPr>
          <w:rFonts w:ascii="Times New Roman" w:eastAsia="Times New Roman" w:hAnsi="Times New Roman" w:cs="Times New Roman"/>
          <w:bCs/>
          <w:sz w:val="24"/>
          <w:szCs w:val="24"/>
        </w:rPr>
        <w:t xml:space="preserve"> Showed </w:t>
      </w:r>
      <w:r w:rsidRPr="002D7B1A">
        <w:rPr>
          <w:rFonts w:ascii="Times New Roman" w:eastAsia="Times New Roman" w:hAnsi="Times New Roman" w:cs="Times New Roman"/>
          <w:bCs/>
          <w:sz w:val="24"/>
          <w:szCs w:val="24"/>
          <w:highlight w:val="yellow"/>
        </w:rPr>
        <w:t>a shrunken glomerulus (G)</w:t>
      </w:r>
      <w:r w:rsidRPr="002D7B1A">
        <w:rPr>
          <w:rFonts w:ascii="Times New Roman" w:eastAsia="Times New Roman" w:hAnsi="Times New Roman" w:cs="Times New Roman"/>
          <w:bCs/>
          <w:sz w:val="24"/>
          <w:szCs w:val="24"/>
        </w:rPr>
        <w:t xml:space="preserve">, vacuolated blood cells in the glomerular tuft, and large spaces in the matrix tissue (Fig-6F). Additionally, no dilation of the kidney tubule lumina or </w:t>
      </w:r>
      <w:r w:rsidRPr="002D7B1A">
        <w:rPr>
          <w:rFonts w:ascii="Times New Roman" w:eastAsia="Times New Roman" w:hAnsi="Times New Roman" w:cs="Times New Roman"/>
          <w:bCs/>
          <w:sz w:val="24"/>
          <w:szCs w:val="24"/>
          <w:highlight w:val="yellow"/>
        </w:rPr>
        <w:t>Bowman's space</w:t>
      </w:r>
      <w:r w:rsidRPr="002D7B1A">
        <w:rPr>
          <w:rFonts w:ascii="Times New Roman" w:eastAsia="Times New Roman" w:hAnsi="Times New Roman" w:cs="Times New Roman"/>
          <w:bCs/>
          <w:sz w:val="24"/>
          <w:szCs w:val="24"/>
        </w:rPr>
        <w:t xml:space="preserve"> was initially seen at 30 days, but renal tubules were fragmenting and undergoing necrosis (Fig-6G). </w:t>
      </w:r>
    </w:p>
    <w:p w14:paraId="3259504A" w14:textId="77777777" w:rsidR="002D7B1A" w:rsidRPr="002D7B1A" w:rsidRDefault="002D7B1A" w:rsidP="002D7B1A">
      <w:pPr>
        <w:numPr>
          <w:ilvl w:val="1"/>
          <w:numId w:val="12"/>
        </w:numPr>
        <w:tabs>
          <w:tab w:val="left" w:pos="142"/>
          <w:tab w:val="num" w:pos="1440"/>
        </w:tabs>
        <w:spacing w:line="360" w:lineRule="auto"/>
        <w:jc w:val="both"/>
        <w:rPr>
          <w:rFonts w:ascii="Times New Roman" w:eastAsia="Times New Roman" w:hAnsi="Times New Roman" w:cs="Times New Roman"/>
          <w:bCs/>
          <w:sz w:val="24"/>
          <w:szCs w:val="24"/>
        </w:rPr>
      </w:pPr>
      <w:r w:rsidRPr="002D7B1A">
        <w:rPr>
          <w:rFonts w:ascii="Times New Roman" w:eastAsia="Times New Roman" w:hAnsi="Times New Roman" w:cs="Times New Roman"/>
          <w:bCs/>
          <w:i/>
          <w:iCs/>
          <w:sz w:val="24"/>
          <w:szCs w:val="24"/>
        </w:rPr>
        <w:t>45 Days:</w:t>
      </w:r>
      <w:r w:rsidRPr="002D7B1A">
        <w:rPr>
          <w:rFonts w:ascii="Times New Roman" w:eastAsia="Times New Roman" w:hAnsi="Times New Roman" w:cs="Times New Roman"/>
          <w:bCs/>
          <w:sz w:val="24"/>
          <w:szCs w:val="24"/>
        </w:rPr>
        <w:t xml:space="preserve"> Continued to exhibit </w:t>
      </w:r>
      <w:r w:rsidRPr="002D7B1A">
        <w:rPr>
          <w:rFonts w:ascii="Times New Roman" w:eastAsia="Times New Roman" w:hAnsi="Times New Roman" w:cs="Times New Roman"/>
          <w:bCs/>
          <w:sz w:val="24"/>
          <w:szCs w:val="24"/>
          <w:highlight w:val="yellow"/>
        </w:rPr>
        <w:t>a markedly shrunken and degenerated glomerulus (SDG)</w:t>
      </w:r>
      <w:r w:rsidRPr="002D7B1A">
        <w:rPr>
          <w:rFonts w:ascii="Times New Roman" w:eastAsia="Times New Roman" w:hAnsi="Times New Roman" w:cs="Times New Roman"/>
          <w:bCs/>
          <w:sz w:val="24"/>
          <w:szCs w:val="24"/>
        </w:rPr>
        <w:t xml:space="preserve"> and vacuolated blood cells in the tuft, alongside large matrix spaces and degenerated tissue (Fig-6H). Dilation of the tubular lumina, tubular fragmentation, and severe necrosis were prominent. </w:t>
      </w:r>
    </w:p>
    <w:p w14:paraId="2769F256" w14:textId="77777777" w:rsidR="00EF1468" w:rsidRPr="003D503B" w:rsidRDefault="00EF1468" w:rsidP="00D314B2">
      <w:pPr>
        <w:spacing w:after="160" w:line="360" w:lineRule="auto"/>
        <w:ind w:left="142"/>
        <w:jc w:val="both"/>
        <w:rPr>
          <w:rFonts w:ascii="Times New Roman" w:eastAsia="Calibri" w:hAnsi="Times New Roman" w:cs="Times New Roman"/>
          <w:sz w:val="24"/>
          <w:szCs w:val="24"/>
          <w:lang w:bidi="hi-IN"/>
        </w:rPr>
      </w:pPr>
      <w:r w:rsidRPr="003D503B">
        <w:rPr>
          <w:rFonts w:ascii="Times New Roman" w:eastAsia="Calibri" w:hAnsi="Times New Roman" w:cs="Times New Roman"/>
          <w:noProof/>
          <w:sz w:val="24"/>
          <w:szCs w:val="24"/>
        </w:rPr>
        <w:lastRenderedPageBreak/>
        <w:drawing>
          <wp:inline distT="0" distB="0" distL="0" distR="0" wp14:anchorId="0E8392D9" wp14:editId="68A54EBE">
            <wp:extent cx="5724525" cy="4591865"/>
            <wp:effectExtent l="19050" t="0" r="9525" b="0"/>
            <wp:docPr id="41" name="Picture 1" descr="C:\Users\Lenovo\Desktop\RO WATER GIL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RO WATER GILL.tif"/>
                    <pic:cNvPicPr>
                      <a:picLocks noChangeAspect="1" noChangeArrowheads="1"/>
                    </pic:cNvPicPr>
                  </pic:nvPicPr>
                  <pic:blipFill>
                    <a:blip r:embed="rId8" cstate="print"/>
                    <a:srcRect/>
                    <a:stretch>
                      <a:fillRect/>
                    </a:stretch>
                  </pic:blipFill>
                  <pic:spPr bwMode="auto">
                    <a:xfrm>
                      <a:off x="0" y="0"/>
                      <a:ext cx="5734442" cy="4599820"/>
                    </a:xfrm>
                    <a:prstGeom prst="rect">
                      <a:avLst/>
                    </a:prstGeom>
                    <a:noFill/>
                    <a:ln w="9525">
                      <a:noFill/>
                      <a:miter lim="800000"/>
                      <a:headEnd/>
                      <a:tailEnd/>
                    </a:ln>
                  </pic:spPr>
                </pic:pic>
              </a:graphicData>
            </a:graphic>
          </wp:inline>
        </w:drawing>
      </w:r>
    </w:p>
    <w:p w14:paraId="2682A3B6" w14:textId="77777777" w:rsidR="00EF1468" w:rsidRPr="003D503B" w:rsidRDefault="00EF1468" w:rsidP="000E6DC6">
      <w:pPr>
        <w:tabs>
          <w:tab w:val="left" w:pos="284"/>
        </w:tabs>
        <w:spacing w:after="160" w:line="240" w:lineRule="auto"/>
        <w:ind w:left="284"/>
        <w:jc w:val="both"/>
        <w:rPr>
          <w:rFonts w:ascii="Times New Roman" w:hAnsi="Times New Roman" w:cs="Times New Roman"/>
          <w:color w:val="000000" w:themeColor="text1"/>
          <w:sz w:val="24"/>
          <w:szCs w:val="24"/>
        </w:rPr>
      </w:pPr>
      <w:r w:rsidRPr="003D503B">
        <w:rPr>
          <w:rFonts w:ascii="Times New Roman" w:hAnsi="Times New Roman" w:cs="Times New Roman"/>
          <w:b/>
          <w:color w:val="000000" w:themeColor="text1"/>
          <w:sz w:val="24"/>
          <w:szCs w:val="24"/>
        </w:rPr>
        <w:t>Fig-1.</w:t>
      </w:r>
      <w:r w:rsidRPr="003D503B">
        <w:rPr>
          <w:rFonts w:ascii="Times New Roman" w:hAnsi="Times New Roman" w:cs="Times New Roman"/>
          <w:color w:val="000000" w:themeColor="text1"/>
          <w:sz w:val="24"/>
          <w:szCs w:val="24"/>
        </w:rPr>
        <w:t xml:space="preserve"> Microscopic photographs of histopathological lesions in gill of fish reared in RO water. </w:t>
      </w:r>
      <w:r w:rsidRPr="003D503B">
        <w:rPr>
          <w:rFonts w:ascii="Times New Roman" w:hAnsi="Times New Roman" w:cs="Times New Roman"/>
          <w:b/>
          <w:color w:val="000000" w:themeColor="text1"/>
          <w:sz w:val="24"/>
          <w:szCs w:val="24"/>
        </w:rPr>
        <w:t>(a)</w:t>
      </w:r>
      <w:r w:rsidRPr="003D503B">
        <w:rPr>
          <w:rFonts w:ascii="Times New Roman" w:hAnsi="Times New Roman" w:cs="Times New Roman"/>
          <w:color w:val="000000" w:themeColor="text1"/>
          <w:sz w:val="24"/>
          <w:szCs w:val="24"/>
        </w:rPr>
        <w:t xml:space="preserve"> </w:t>
      </w:r>
      <w:proofErr w:type="gramStart"/>
      <w:r w:rsidRPr="003D503B">
        <w:rPr>
          <w:rFonts w:ascii="Times New Roman" w:hAnsi="Times New Roman" w:cs="Times New Roman"/>
          <w:color w:val="000000" w:themeColor="text1"/>
          <w:sz w:val="24"/>
          <w:szCs w:val="24"/>
        </w:rPr>
        <w:t>0 day</w:t>
      </w:r>
      <w:proofErr w:type="gramEnd"/>
      <w:r w:rsidRPr="003D503B">
        <w:rPr>
          <w:rFonts w:ascii="Times New Roman" w:hAnsi="Times New Roman" w:cs="Times New Roman"/>
          <w:color w:val="000000" w:themeColor="text1"/>
          <w:sz w:val="24"/>
          <w:szCs w:val="24"/>
        </w:rPr>
        <w:t xml:space="preserve"> gill with normal structure of PGL (Primary Gill Lamellae), SGL (Secondary Gill Lamellae), CC (Cartilaginous Cell) </w:t>
      </w:r>
      <w:r w:rsidRPr="003D503B">
        <w:rPr>
          <w:rFonts w:ascii="Times New Roman" w:hAnsi="Times New Roman" w:cs="Times New Roman"/>
          <w:b/>
          <w:color w:val="000000" w:themeColor="text1"/>
          <w:sz w:val="24"/>
          <w:szCs w:val="24"/>
        </w:rPr>
        <w:t>(b)</w:t>
      </w:r>
      <w:r w:rsidRPr="003D503B">
        <w:rPr>
          <w:rFonts w:ascii="Times New Roman" w:hAnsi="Times New Roman" w:cs="Times New Roman"/>
          <w:color w:val="000000" w:themeColor="text1"/>
          <w:sz w:val="24"/>
          <w:szCs w:val="24"/>
        </w:rPr>
        <w:t xml:space="preserve"> 15 days gill with SPL (Swelling in primary Gill Lamellae), SCC (Swelling of Cartilaginous Cell), FSGL (Fusion of Secondary Gill Lamellae) </w:t>
      </w:r>
      <w:r w:rsidRPr="003D503B">
        <w:rPr>
          <w:rFonts w:ascii="Times New Roman" w:hAnsi="Times New Roman" w:cs="Times New Roman"/>
          <w:b/>
          <w:color w:val="000000" w:themeColor="text1"/>
          <w:sz w:val="24"/>
          <w:szCs w:val="24"/>
        </w:rPr>
        <w:t>(c)</w:t>
      </w:r>
      <w:r w:rsidRPr="003D503B">
        <w:rPr>
          <w:rFonts w:ascii="Times New Roman" w:hAnsi="Times New Roman" w:cs="Times New Roman"/>
          <w:color w:val="000000" w:themeColor="text1"/>
          <w:sz w:val="24"/>
          <w:szCs w:val="24"/>
        </w:rPr>
        <w:t xml:space="preserve"> 30 days gill with KPGL (Knob like structure of Primary Gill Lamellae) (</w:t>
      </w:r>
      <w:r w:rsidRPr="003D503B">
        <w:rPr>
          <w:rFonts w:ascii="Times New Roman" w:hAnsi="Times New Roman" w:cs="Times New Roman"/>
          <w:b/>
          <w:color w:val="000000" w:themeColor="text1"/>
          <w:sz w:val="24"/>
          <w:szCs w:val="24"/>
        </w:rPr>
        <w:t>d</w:t>
      </w:r>
      <w:r w:rsidRPr="003D503B">
        <w:rPr>
          <w:rFonts w:ascii="Times New Roman" w:hAnsi="Times New Roman" w:cs="Times New Roman"/>
          <w:color w:val="000000" w:themeColor="text1"/>
          <w:sz w:val="24"/>
          <w:szCs w:val="24"/>
        </w:rPr>
        <w:t xml:space="preserve">) 45 days gill </w:t>
      </w:r>
      <w:r w:rsidRPr="003D503B">
        <w:rPr>
          <w:rFonts w:ascii="Times New Roman" w:hAnsi="Times New Roman" w:cs="Times New Roman"/>
          <w:noProof/>
          <w:color w:val="000000" w:themeColor="text1"/>
          <w:sz w:val="24"/>
          <w:szCs w:val="24"/>
        </w:rPr>
        <w:drawing>
          <wp:inline distT="0" distB="0" distL="0" distR="0" wp14:anchorId="28CACCE8" wp14:editId="072399C1">
            <wp:extent cx="127599" cy="86264"/>
            <wp:effectExtent l="19050" t="0" r="5751" b="0"/>
            <wp:docPr id="47"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285752" cy="214314"/>
                      <a:chOff x="5572132" y="5072074"/>
                      <a:chExt cx="285752" cy="214314"/>
                    </a:xfrm>
                  </a:grpSpPr>
                  <a:sp>
                    <a:nvSpPr>
                      <a:cNvPr id="47" name="5-Point Star 46"/>
                      <a:cNvSpPr/>
                    </a:nvSpPr>
                    <a:spPr>
                      <a:xfrm>
                        <a:off x="5572132" y="5072074"/>
                        <a:ext cx="285752" cy="214314"/>
                      </a:xfrm>
                      <a:prstGeom prst="star5">
                        <a:avLst/>
                      </a:prstGeom>
                      <a:solidFill>
                        <a:sysClr val="windowText" lastClr="000000"/>
                      </a:solidFill>
                      <a:ln w="25400" cap="flat" cmpd="sng" algn="ctr">
                        <a:solidFill>
                          <a:sysClr val="windowText" lastClr="000000">
                            <a:shade val="50000"/>
                          </a:sysClr>
                        </a:solidFill>
                        <a:prstDash val="solid"/>
                      </a:ln>
                      <a:effectLst/>
                    </a:spPr>
                    <a:txSp>
                      <a:txBody>
                        <a:bodyPr rtlCol="0" anchor="ctr"/>
                        <a:lstStyle>
                          <a:defPPr>
                            <a:defRPr lang="en-US"/>
                          </a:defPPr>
                          <a:lvl1pPr marL="0" algn="l" defTabSz="914400" rtl="0" eaLnBrk="1" latinLnBrk="0" hangingPunct="1">
                            <a:defRPr sz="1800" kern="1200">
                              <a:solidFill>
                                <a:sysClr val="window" lastClr="FFFFFF"/>
                              </a:solidFill>
                              <a:latin typeface="Calibri"/>
                            </a:defRPr>
                          </a:lvl1pPr>
                          <a:lvl2pPr marL="457200" algn="l" defTabSz="914400" rtl="0" eaLnBrk="1" latinLnBrk="0" hangingPunct="1">
                            <a:defRPr sz="1800" kern="1200">
                              <a:solidFill>
                                <a:sysClr val="window" lastClr="FFFFFF"/>
                              </a:solidFill>
                              <a:latin typeface="Calibri"/>
                            </a:defRPr>
                          </a:lvl2pPr>
                          <a:lvl3pPr marL="914400" algn="l" defTabSz="914400" rtl="0" eaLnBrk="1" latinLnBrk="0" hangingPunct="1">
                            <a:defRPr sz="1800" kern="1200">
                              <a:solidFill>
                                <a:sysClr val="window" lastClr="FFFFFF"/>
                              </a:solidFill>
                              <a:latin typeface="Calibri"/>
                            </a:defRPr>
                          </a:lvl3pPr>
                          <a:lvl4pPr marL="1371600" algn="l" defTabSz="914400" rtl="0" eaLnBrk="1" latinLnBrk="0" hangingPunct="1">
                            <a:defRPr sz="1800" kern="1200">
                              <a:solidFill>
                                <a:sysClr val="window" lastClr="FFFFFF"/>
                              </a:solidFill>
                              <a:latin typeface="Calibri"/>
                            </a:defRPr>
                          </a:lvl4pPr>
                          <a:lvl5pPr marL="1828800" algn="l" defTabSz="914400" rtl="0" eaLnBrk="1" latinLnBrk="0" hangingPunct="1">
                            <a:defRPr sz="1800" kern="1200">
                              <a:solidFill>
                                <a:sysClr val="window" lastClr="FFFFFF"/>
                              </a:solidFill>
                              <a:latin typeface="Calibri"/>
                            </a:defRPr>
                          </a:lvl5pPr>
                          <a:lvl6pPr marL="2286000" algn="l" defTabSz="914400" rtl="0" eaLnBrk="1" latinLnBrk="0" hangingPunct="1">
                            <a:defRPr sz="1800" kern="1200">
                              <a:solidFill>
                                <a:sysClr val="window" lastClr="FFFFFF"/>
                              </a:solidFill>
                              <a:latin typeface="Calibri"/>
                            </a:defRPr>
                          </a:lvl6pPr>
                          <a:lvl7pPr marL="2743200" algn="l" defTabSz="914400" rtl="0" eaLnBrk="1" latinLnBrk="0" hangingPunct="1">
                            <a:defRPr sz="1800" kern="1200">
                              <a:solidFill>
                                <a:sysClr val="window" lastClr="FFFFFF"/>
                              </a:solidFill>
                              <a:latin typeface="Calibri"/>
                            </a:defRPr>
                          </a:lvl7pPr>
                          <a:lvl8pPr marL="3200400" algn="l" defTabSz="914400" rtl="0" eaLnBrk="1" latinLnBrk="0" hangingPunct="1">
                            <a:defRPr sz="1800" kern="1200">
                              <a:solidFill>
                                <a:sysClr val="window" lastClr="FFFFFF"/>
                              </a:solidFill>
                              <a:latin typeface="Calibri"/>
                            </a:defRPr>
                          </a:lvl8pPr>
                          <a:lvl9pPr marL="3657600" algn="l" defTabSz="914400" rtl="0" eaLnBrk="1" latinLnBrk="0" hangingPunct="1">
                            <a:defRPr sz="1800" kern="1200">
                              <a:solidFill>
                                <a:sysClr val="window" lastClr="FFFFFF"/>
                              </a:solidFill>
                              <a:latin typeface="Calibri"/>
                            </a:defRPr>
                          </a:lvl9pPr>
                        </a:lstStyle>
                        <a:p>
                          <a:pPr algn="ctr"/>
                          <a:endParaRPr lang="en-US"/>
                        </a:p>
                      </a:txBody>
                      <a:useSpRect/>
                    </a:txSp>
                    <a:style>
                      <a:lnRef idx="2">
                        <a:schemeClr val="dk1">
                          <a:shade val="50000"/>
                        </a:schemeClr>
                      </a:lnRef>
                      <a:fillRef idx="1">
                        <a:schemeClr val="dk1"/>
                      </a:fillRef>
                      <a:effectRef idx="0">
                        <a:schemeClr val="dk1"/>
                      </a:effectRef>
                      <a:fontRef idx="minor">
                        <a:schemeClr val="lt1"/>
                      </a:fontRef>
                    </a:style>
                  </a:sp>
                </lc:lockedCanvas>
              </a:graphicData>
            </a:graphic>
          </wp:inline>
        </w:drawing>
      </w:r>
      <w:r w:rsidRPr="003D503B">
        <w:rPr>
          <w:rFonts w:ascii="Times New Roman" w:hAnsi="Times New Roman" w:cs="Times New Roman"/>
          <w:color w:val="000000" w:themeColor="text1"/>
          <w:sz w:val="24"/>
          <w:szCs w:val="24"/>
        </w:rPr>
        <w:t xml:space="preserve"> (clubbing of gill lamellae) and ECC (Enlargement of Cartilaginous Cells). (Magnification: a, c =10x and b, d = 40)</w:t>
      </w:r>
    </w:p>
    <w:p w14:paraId="7CCF481E" w14:textId="77777777" w:rsidR="00EF1468" w:rsidRPr="003D503B" w:rsidRDefault="00EF1468" w:rsidP="001F3095">
      <w:pPr>
        <w:tabs>
          <w:tab w:val="left" w:pos="284"/>
        </w:tabs>
        <w:spacing w:after="160" w:line="360" w:lineRule="auto"/>
        <w:ind w:left="284"/>
        <w:jc w:val="both"/>
        <w:rPr>
          <w:rFonts w:ascii="Times New Roman" w:eastAsia="Calibri" w:hAnsi="Times New Roman" w:cs="Times New Roman"/>
          <w:b/>
          <w:sz w:val="24"/>
          <w:szCs w:val="24"/>
          <w:lang w:bidi="hi-IN"/>
        </w:rPr>
      </w:pPr>
    </w:p>
    <w:p w14:paraId="370EA048" w14:textId="77777777" w:rsidR="00D314B2" w:rsidRPr="003D503B" w:rsidRDefault="00EF1468" w:rsidP="00D314B2">
      <w:pPr>
        <w:keepNext/>
        <w:tabs>
          <w:tab w:val="left" w:pos="284"/>
        </w:tabs>
        <w:spacing w:after="0" w:line="360" w:lineRule="auto"/>
        <w:ind w:left="284"/>
        <w:jc w:val="both"/>
        <w:rPr>
          <w:rFonts w:ascii="Times New Roman" w:hAnsi="Times New Roman" w:cs="Times New Roman"/>
          <w:color w:val="000000" w:themeColor="text1"/>
          <w:sz w:val="24"/>
          <w:szCs w:val="24"/>
        </w:rPr>
      </w:pPr>
      <w:r w:rsidRPr="003D503B">
        <w:rPr>
          <w:rFonts w:ascii="Times New Roman" w:eastAsia="Times New Roman" w:hAnsi="Times New Roman" w:cs="Times New Roman"/>
          <w:b/>
          <w:bCs/>
          <w:noProof/>
          <w:sz w:val="24"/>
          <w:szCs w:val="24"/>
        </w:rPr>
        <w:lastRenderedPageBreak/>
        <w:drawing>
          <wp:inline distT="0" distB="0" distL="0" distR="0" wp14:anchorId="7BCE40CD" wp14:editId="3298E173">
            <wp:extent cx="5775695" cy="5241851"/>
            <wp:effectExtent l="19050" t="0" r="0" b="0"/>
            <wp:docPr id="29" name="Object 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501090" cy="7220035"/>
                      <a:chOff x="0" y="-2"/>
                      <a:chExt cx="8501090" cy="7220035"/>
                    </a:xfrm>
                  </a:grpSpPr>
                  <a:grpSp>
                    <a:nvGrpSpPr>
                      <a:cNvPr id="126" name="Group 125"/>
                      <a:cNvGrpSpPr/>
                    </a:nvGrpSpPr>
                    <a:grpSpPr>
                      <a:xfrm>
                        <a:off x="0" y="-2"/>
                        <a:ext cx="8501090" cy="7220035"/>
                        <a:chOff x="0" y="-2"/>
                        <a:chExt cx="8501090" cy="7220035"/>
                      </a:xfrm>
                    </a:grpSpPr>
                    <a:pic>
                      <a:nvPicPr>
                        <a:cNvPr id="80" name="Content Placeholder 4" descr="D:\histology photos\40X 15 DAYS WASTE Gill.bmp"/>
                        <a:cNvPicPr>
                          <a:picLocks/>
                        </a:cNvPicPr>
                      </a:nvPicPr>
                      <a:blipFill>
                        <a:blip r:embed="rId9" cstate="print"/>
                        <a:srcRect/>
                        <a:stretch>
                          <a:fillRect/>
                        </a:stretch>
                      </a:blipFill>
                      <a:spPr bwMode="auto">
                        <a:xfrm rot="10800000">
                          <a:off x="4357684" y="-2"/>
                          <a:ext cx="4143405" cy="350043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pic>
                      <a:nvPicPr>
                        <a:cNvPr id="81" name="Picture 80" descr="D:\histology photos\40X 30 Days Waste Gills.bmp"/>
                        <a:cNvPicPr>
                          <a:picLocks noChangeAspect="1"/>
                        </a:cNvPicPr>
                      </a:nvPicPr>
                      <a:blipFill>
                        <a:blip r:embed="rId10" cstate="print"/>
                        <a:srcRect l="16623"/>
                        <a:stretch>
                          <a:fillRect/>
                        </a:stretch>
                      </a:blipFill>
                      <a:spPr bwMode="auto">
                        <a:xfrm rot="5400000" flipV="1">
                          <a:off x="321468" y="3393286"/>
                          <a:ext cx="3500437" cy="414337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pic>
                      <a:nvPicPr>
                        <a:cNvPr id="82" name="Picture 81" descr="D:\lavksuh\1G.jpg"/>
                        <a:cNvPicPr/>
                      </a:nvPicPr>
                      <a:blipFill>
                        <a:blip r:embed="rId11" cstate="print"/>
                        <a:srcRect l="45713" t="43609" r="33987" b="26662"/>
                        <a:stretch>
                          <a:fillRect/>
                        </a:stretch>
                      </a:blipFill>
                      <a:spPr bwMode="auto">
                        <a:xfrm>
                          <a:off x="0" y="0"/>
                          <a:ext cx="4143372" cy="350043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pic>
                      <a:nvPicPr>
                        <a:cNvPr id="83" name="Picture 82" descr="D:\histology photos\40x 45 DAYS wASTE Gills.bmp"/>
                        <a:cNvPicPr>
                          <a:picLocks noChangeAspect="1"/>
                        </a:cNvPicPr>
                      </a:nvPicPr>
                      <a:blipFill>
                        <a:blip r:embed="rId12" cstate="print"/>
                        <a:srcRect/>
                        <a:stretch>
                          <a:fillRect/>
                        </a:stretch>
                      </a:blipFill>
                      <a:spPr bwMode="auto">
                        <a:xfrm>
                          <a:off x="4357686" y="3714752"/>
                          <a:ext cx="4143404" cy="350528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sp>
                      <a:nvSpPr>
                        <a:cNvPr id="84" name="TextBox 83"/>
                        <a:cNvSpPr txBox="1"/>
                      </a:nvSpPr>
                      <a:spPr>
                        <a:xfrm>
                          <a:off x="0" y="0"/>
                          <a:ext cx="285720" cy="369332"/>
                        </a:xfrm>
                        <a:prstGeom prst="rect">
                          <a:avLst/>
                        </a:prstGeom>
                        <a:ln/>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b="1" dirty="0"/>
                              <a:t>e</a:t>
                            </a:r>
                            <a:endParaRPr lang="en-US" b="1" dirty="0"/>
                          </a:p>
                        </a:txBody>
                        <a:useSpRect/>
                      </a:txSp>
                      <a:style>
                        <a:lnRef idx="2">
                          <a:schemeClr val="dk1"/>
                        </a:lnRef>
                        <a:fillRef idx="1">
                          <a:schemeClr val="lt1"/>
                        </a:fillRef>
                        <a:effectRef idx="0">
                          <a:schemeClr val="dk1"/>
                        </a:effectRef>
                        <a:fontRef idx="minor">
                          <a:schemeClr val="dk1"/>
                        </a:fontRef>
                      </a:style>
                    </a:sp>
                    <a:sp>
                      <a:nvSpPr>
                        <a:cNvPr id="85" name="TextBox 84"/>
                        <a:cNvSpPr txBox="1"/>
                      </a:nvSpPr>
                      <a:spPr>
                        <a:xfrm>
                          <a:off x="4357686" y="3714752"/>
                          <a:ext cx="285720" cy="369332"/>
                        </a:xfrm>
                        <a:prstGeom prst="rect">
                          <a:avLst/>
                        </a:prstGeom>
                        <a:ln/>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b="1" dirty="0" smtClean="0"/>
                              <a:t>h</a:t>
                            </a:r>
                            <a:endParaRPr lang="en-US" b="1" dirty="0"/>
                          </a:p>
                        </a:txBody>
                        <a:useSpRect/>
                      </a:txSp>
                      <a:style>
                        <a:lnRef idx="2">
                          <a:schemeClr val="dk1"/>
                        </a:lnRef>
                        <a:fillRef idx="1">
                          <a:schemeClr val="lt1"/>
                        </a:fillRef>
                        <a:effectRef idx="0">
                          <a:schemeClr val="dk1"/>
                        </a:effectRef>
                        <a:fontRef idx="minor">
                          <a:schemeClr val="dk1"/>
                        </a:fontRef>
                      </a:style>
                    </a:sp>
                    <a:sp>
                      <a:nvSpPr>
                        <a:cNvPr id="86" name="TextBox 85"/>
                        <a:cNvSpPr txBox="1"/>
                      </a:nvSpPr>
                      <a:spPr>
                        <a:xfrm>
                          <a:off x="0" y="3714752"/>
                          <a:ext cx="285720" cy="369332"/>
                        </a:xfrm>
                        <a:prstGeom prst="rect">
                          <a:avLst/>
                        </a:prstGeom>
                        <a:ln/>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b="1" dirty="0" smtClean="0"/>
                              <a:t>g</a:t>
                            </a:r>
                            <a:endParaRPr lang="en-US" b="1" dirty="0"/>
                          </a:p>
                        </a:txBody>
                        <a:useSpRect/>
                      </a:txSp>
                      <a:style>
                        <a:lnRef idx="2">
                          <a:schemeClr val="dk1"/>
                        </a:lnRef>
                        <a:fillRef idx="1">
                          <a:schemeClr val="lt1"/>
                        </a:fillRef>
                        <a:effectRef idx="0">
                          <a:schemeClr val="dk1"/>
                        </a:effectRef>
                        <a:fontRef idx="minor">
                          <a:schemeClr val="dk1"/>
                        </a:fontRef>
                      </a:style>
                    </a:sp>
                    <a:sp>
                      <a:nvSpPr>
                        <a:cNvPr id="87" name="TextBox 86"/>
                        <a:cNvSpPr txBox="1"/>
                      </a:nvSpPr>
                      <a:spPr>
                        <a:xfrm>
                          <a:off x="4357686" y="0"/>
                          <a:ext cx="285720" cy="369332"/>
                        </a:xfrm>
                        <a:prstGeom prst="rect">
                          <a:avLst/>
                        </a:prstGeom>
                        <a:ln/>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b="1" dirty="0" smtClean="0"/>
                              <a:t>f</a:t>
                            </a:r>
                            <a:endParaRPr lang="en-US" b="1" dirty="0"/>
                          </a:p>
                        </a:txBody>
                        <a:useSpRect/>
                      </a:txSp>
                      <a:style>
                        <a:lnRef idx="2">
                          <a:schemeClr val="dk1"/>
                        </a:lnRef>
                        <a:fillRef idx="1">
                          <a:schemeClr val="lt1"/>
                        </a:fillRef>
                        <a:effectRef idx="0">
                          <a:schemeClr val="dk1"/>
                        </a:effectRef>
                        <a:fontRef idx="minor">
                          <a:schemeClr val="dk1"/>
                        </a:fontRef>
                      </a:style>
                    </a:sp>
                    <a:cxnSp>
                      <a:nvCxnSpPr>
                        <a:cNvPr id="88" name="Straight Arrow Connector 87"/>
                        <a:cNvCxnSpPr/>
                      </a:nvCxnSpPr>
                      <a:spPr>
                        <a:xfrm rot="10800000" flipV="1">
                          <a:off x="1000100" y="857232"/>
                          <a:ext cx="357189" cy="270021"/>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89" name="Straight Arrow Connector 88"/>
                        <a:cNvCxnSpPr/>
                      </a:nvCxnSpPr>
                      <a:spPr>
                        <a:xfrm rot="10800000" flipV="1">
                          <a:off x="2500298" y="857232"/>
                          <a:ext cx="357189" cy="270021"/>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90" name="Straight Arrow Connector 89"/>
                        <a:cNvCxnSpPr/>
                      </a:nvCxnSpPr>
                      <a:spPr>
                        <a:xfrm>
                          <a:off x="2786050" y="2071678"/>
                          <a:ext cx="428629" cy="270021"/>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91" name="Straight Arrow Connector 90"/>
                        <a:cNvCxnSpPr/>
                      </a:nvCxnSpPr>
                      <a:spPr>
                        <a:xfrm rot="10800000" flipV="1">
                          <a:off x="6715142" y="357165"/>
                          <a:ext cx="785817" cy="341459"/>
                        </a:xfrm>
                        <a:prstGeom prst="straightConnector1">
                          <a:avLst/>
                        </a:prstGeom>
                        <a:ln>
                          <a:tailEnd type="arrow"/>
                        </a:ln>
                      </a:spPr>
                      <a:style>
                        <a:lnRef idx="3">
                          <a:schemeClr val="accent6"/>
                        </a:lnRef>
                        <a:fillRef idx="0">
                          <a:schemeClr val="accent6"/>
                        </a:fillRef>
                        <a:effectRef idx="2">
                          <a:schemeClr val="accent6"/>
                        </a:effectRef>
                        <a:fontRef idx="minor">
                          <a:schemeClr val="tx1"/>
                        </a:fontRef>
                      </a:style>
                    </a:cxnSp>
                    <a:cxnSp>
                      <a:nvCxnSpPr>
                        <a:cNvPr id="92" name="Straight Arrow Connector 91"/>
                        <a:cNvCxnSpPr/>
                      </a:nvCxnSpPr>
                      <a:spPr>
                        <a:xfrm rot="10800000" flipV="1">
                          <a:off x="785788" y="4714883"/>
                          <a:ext cx="785817" cy="341459"/>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93" name="Straight Arrow Connector 92"/>
                        <a:cNvCxnSpPr/>
                      </a:nvCxnSpPr>
                      <a:spPr>
                        <a:xfrm flipV="1">
                          <a:off x="4786314" y="4770591"/>
                          <a:ext cx="1143009" cy="15731"/>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94" name="Straight Arrow Connector 93"/>
                        <a:cNvCxnSpPr/>
                      </a:nvCxnSpPr>
                      <a:spPr>
                        <a:xfrm rot="5400000">
                          <a:off x="5250676" y="6393664"/>
                          <a:ext cx="642917" cy="285755"/>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97" name="Straight Arrow Connector 96"/>
                        <a:cNvCxnSpPr/>
                      </a:nvCxnSpPr>
                      <a:spPr>
                        <a:xfrm rot="16200000" flipH="1">
                          <a:off x="6929454" y="2214553"/>
                          <a:ext cx="928695" cy="71438"/>
                        </a:xfrm>
                        <a:prstGeom prst="straightConnector1">
                          <a:avLst/>
                        </a:prstGeom>
                        <a:ln>
                          <a:tailEnd type="arrow"/>
                        </a:ln>
                      </a:spPr>
                      <a:style>
                        <a:lnRef idx="3">
                          <a:schemeClr val="accent6"/>
                        </a:lnRef>
                        <a:fillRef idx="0">
                          <a:schemeClr val="accent6"/>
                        </a:fillRef>
                        <a:effectRef idx="2">
                          <a:schemeClr val="accent6"/>
                        </a:effectRef>
                        <a:fontRef idx="minor">
                          <a:schemeClr val="tx1"/>
                        </a:fontRef>
                      </a:style>
                    </a:cxnSp>
                    <a:cxnSp>
                      <a:nvCxnSpPr>
                        <a:cNvPr id="98" name="Straight Arrow Connector 97"/>
                        <a:cNvCxnSpPr/>
                      </a:nvCxnSpPr>
                      <a:spPr>
                        <a:xfrm rot="16200000" flipH="1">
                          <a:off x="5294246" y="1563746"/>
                          <a:ext cx="1198715" cy="357191"/>
                        </a:xfrm>
                        <a:prstGeom prst="straightConnector1">
                          <a:avLst/>
                        </a:prstGeom>
                        <a:ln>
                          <a:tailEnd type="arrow"/>
                        </a:ln>
                      </a:spPr>
                      <a:style>
                        <a:lnRef idx="3">
                          <a:schemeClr val="accent6"/>
                        </a:lnRef>
                        <a:fillRef idx="0">
                          <a:schemeClr val="accent6"/>
                        </a:fillRef>
                        <a:effectRef idx="2">
                          <a:schemeClr val="accent6"/>
                        </a:effectRef>
                        <a:fontRef idx="minor">
                          <a:schemeClr val="tx1"/>
                        </a:fontRef>
                      </a:style>
                    </a:cxnSp>
                    <a:sp>
                      <a:nvSpPr>
                        <a:cNvPr id="101" name="TextBox 100"/>
                        <a:cNvSpPr txBox="1"/>
                      </a:nvSpPr>
                      <a:spPr>
                        <a:xfrm>
                          <a:off x="1285852" y="642918"/>
                          <a:ext cx="571504"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PGL</a:t>
                            </a:r>
                            <a:endParaRPr lang="en-US" b="1" dirty="0"/>
                          </a:p>
                        </a:txBody>
                        <a:useSpRect/>
                      </a:txSp>
                    </a:sp>
                    <a:sp>
                      <a:nvSpPr>
                        <a:cNvPr id="105" name="TextBox 104"/>
                        <a:cNvSpPr txBox="1"/>
                      </a:nvSpPr>
                      <a:spPr>
                        <a:xfrm>
                          <a:off x="2786050" y="642918"/>
                          <a:ext cx="571504"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a:t>S</a:t>
                            </a:r>
                            <a:r>
                              <a:rPr lang="en-IN" b="1" dirty="0" smtClean="0"/>
                              <a:t>GL</a:t>
                            </a:r>
                            <a:endParaRPr lang="en-US" b="1" dirty="0"/>
                          </a:p>
                        </a:txBody>
                        <a:useSpRect/>
                      </a:txSp>
                    </a:sp>
                    <a:sp>
                      <a:nvSpPr>
                        <a:cNvPr id="106" name="TextBox 105"/>
                        <a:cNvSpPr txBox="1"/>
                      </a:nvSpPr>
                      <a:spPr>
                        <a:xfrm>
                          <a:off x="2428860" y="1785926"/>
                          <a:ext cx="571504"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CC</a:t>
                            </a:r>
                            <a:endParaRPr lang="en-US" b="1" dirty="0"/>
                          </a:p>
                        </a:txBody>
                        <a:useSpRect/>
                      </a:txSp>
                    </a:sp>
                    <a:sp>
                      <a:nvSpPr>
                        <a:cNvPr id="107" name="TextBox 106"/>
                        <a:cNvSpPr txBox="1"/>
                      </a:nvSpPr>
                      <a:spPr>
                        <a:xfrm>
                          <a:off x="5357818" y="785794"/>
                          <a:ext cx="571504"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a:t>D</a:t>
                            </a:r>
                            <a:r>
                              <a:rPr lang="en-IN" b="1" dirty="0" smtClean="0"/>
                              <a:t>CC</a:t>
                            </a:r>
                            <a:endParaRPr lang="en-US" b="1" dirty="0"/>
                          </a:p>
                        </a:txBody>
                        <a:useSpRect/>
                      </a:txSp>
                    </a:sp>
                    <a:sp>
                      <a:nvSpPr>
                        <a:cNvPr id="108" name="TextBox 107"/>
                        <a:cNvSpPr txBox="1"/>
                      </a:nvSpPr>
                      <a:spPr>
                        <a:xfrm>
                          <a:off x="6858016" y="1357298"/>
                          <a:ext cx="857256" cy="646331"/>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DPGL&amp;SGL</a:t>
                            </a:r>
                            <a:endParaRPr lang="en-US" b="1" dirty="0"/>
                          </a:p>
                        </a:txBody>
                        <a:useSpRect/>
                      </a:txSp>
                    </a:sp>
                    <a:sp>
                      <a:nvSpPr>
                        <a:cNvPr id="109" name="TextBox 108"/>
                        <a:cNvSpPr txBox="1"/>
                      </a:nvSpPr>
                      <a:spPr>
                        <a:xfrm>
                          <a:off x="7429520" y="130710"/>
                          <a:ext cx="571504"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L A</a:t>
                            </a:r>
                            <a:endParaRPr lang="en-US" b="1" dirty="0"/>
                          </a:p>
                        </a:txBody>
                        <a:useSpRect/>
                      </a:txSp>
                    </a:sp>
                    <a:sp>
                      <a:nvSpPr>
                        <a:cNvPr id="120" name="TextBox 119"/>
                        <a:cNvSpPr txBox="1"/>
                      </a:nvSpPr>
                      <a:spPr>
                        <a:xfrm>
                          <a:off x="5500694" y="5857892"/>
                          <a:ext cx="785818"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ECC</a:t>
                            </a:r>
                            <a:endParaRPr lang="en-US" b="1" dirty="0"/>
                          </a:p>
                        </a:txBody>
                        <a:useSpRect/>
                      </a:txSp>
                    </a:sp>
                    <a:sp>
                      <a:nvSpPr>
                        <a:cNvPr id="121" name="TextBox 120"/>
                        <a:cNvSpPr txBox="1"/>
                      </a:nvSpPr>
                      <a:spPr>
                        <a:xfrm>
                          <a:off x="4357686" y="4643446"/>
                          <a:ext cx="785818"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LA</a:t>
                            </a:r>
                            <a:endParaRPr lang="en-US" b="1" dirty="0"/>
                          </a:p>
                        </a:txBody>
                        <a:useSpRect/>
                      </a:txSp>
                    </a:sp>
                    <a:cxnSp>
                      <a:nvCxnSpPr>
                        <a:cNvPr id="122" name="Straight Arrow Connector 121"/>
                        <a:cNvCxnSpPr/>
                      </a:nvCxnSpPr>
                      <a:spPr>
                        <a:xfrm flipV="1">
                          <a:off x="6858016" y="3929066"/>
                          <a:ext cx="1285884" cy="372922"/>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sp>
                      <a:nvSpPr>
                        <a:cNvPr id="123" name="TextBox 122"/>
                        <a:cNvSpPr txBox="1"/>
                      </a:nvSpPr>
                      <a:spPr>
                        <a:xfrm>
                          <a:off x="6500826" y="4071942"/>
                          <a:ext cx="428628"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FL</a:t>
                            </a:r>
                            <a:endParaRPr lang="en-US" b="1" dirty="0"/>
                          </a:p>
                        </a:txBody>
                        <a:useSpRect/>
                      </a:txSp>
                    </a:sp>
                    <a:sp>
                      <a:nvSpPr>
                        <a:cNvPr id="125" name="TextBox 124"/>
                        <a:cNvSpPr txBox="1"/>
                      </a:nvSpPr>
                      <a:spPr>
                        <a:xfrm>
                          <a:off x="1428728" y="4429132"/>
                          <a:ext cx="785818"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DCC</a:t>
                            </a:r>
                            <a:endParaRPr lang="en-US" b="1" dirty="0"/>
                          </a:p>
                        </a:txBody>
                        <a:useSpRect/>
                      </a:txSp>
                    </a:sp>
                  </a:grpSp>
                </lc:lockedCanvas>
              </a:graphicData>
            </a:graphic>
          </wp:inline>
        </w:drawing>
      </w:r>
      <w:r w:rsidRPr="003D503B">
        <w:rPr>
          <w:rFonts w:ascii="Times New Roman" w:hAnsi="Times New Roman" w:cs="Times New Roman"/>
          <w:color w:val="000000" w:themeColor="text1"/>
          <w:sz w:val="24"/>
          <w:szCs w:val="24"/>
        </w:rPr>
        <w:tab/>
      </w:r>
    </w:p>
    <w:p w14:paraId="4727CDE3" w14:textId="77777777" w:rsidR="00EF1468" w:rsidRPr="003D503B" w:rsidRDefault="00EF1468" w:rsidP="006A6139">
      <w:pPr>
        <w:keepNext/>
        <w:tabs>
          <w:tab w:val="left" w:pos="284"/>
        </w:tabs>
        <w:spacing w:after="0" w:line="240" w:lineRule="auto"/>
        <w:ind w:left="284"/>
        <w:jc w:val="both"/>
        <w:rPr>
          <w:rFonts w:ascii="Times New Roman" w:hAnsi="Times New Roman" w:cs="Times New Roman"/>
          <w:color w:val="000000" w:themeColor="text1"/>
          <w:sz w:val="24"/>
          <w:szCs w:val="24"/>
        </w:rPr>
      </w:pPr>
      <w:r w:rsidRPr="003D503B">
        <w:rPr>
          <w:rFonts w:ascii="Times New Roman" w:hAnsi="Times New Roman" w:cs="Times New Roman"/>
          <w:b/>
          <w:color w:val="000000" w:themeColor="text1"/>
          <w:sz w:val="24"/>
          <w:szCs w:val="24"/>
        </w:rPr>
        <w:t>Fig-2</w:t>
      </w:r>
      <w:r w:rsidRPr="003D503B">
        <w:rPr>
          <w:rFonts w:ascii="Times New Roman" w:hAnsi="Times New Roman" w:cs="Times New Roman"/>
          <w:color w:val="000000" w:themeColor="text1"/>
          <w:sz w:val="24"/>
          <w:szCs w:val="24"/>
        </w:rPr>
        <w:t xml:space="preserve">. Microscopic photographs of histopathological lesions in gill of fishes reared in RO waste water. (e) 0 day gill with normal structure of PGL (Primary Gill Lamellae), SGL (Secondary Gill Lamellae), CC (Cartilaginous Cell) (f) 15 days gill with DPGL &amp; SGL (Degeneration of Primary Gill Lamellae &amp; Secondary Gill Lamellae), DCC (Degeneration of Cartilaginous Cell), FL (Fusion of Lamellae) (g) 30 days gill showed same structure as 15 days (h) 45 days </w:t>
      </w:r>
      <w:r w:rsidR="00757073" w:rsidRPr="003D503B">
        <w:rPr>
          <w:rFonts w:ascii="Times New Roman" w:hAnsi="Times New Roman" w:cs="Times New Roman"/>
          <w:color w:val="000000" w:themeColor="text1"/>
          <w:sz w:val="24"/>
          <w:szCs w:val="24"/>
        </w:rPr>
        <w:t>gill FL</w:t>
      </w:r>
      <w:r w:rsidRPr="003D503B">
        <w:rPr>
          <w:rFonts w:ascii="Times New Roman" w:hAnsi="Times New Roman" w:cs="Times New Roman"/>
          <w:color w:val="000000" w:themeColor="text1"/>
          <w:sz w:val="24"/>
          <w:szCs w:val="24"/>
        </w:rPr>
        <w:t xml:space="preserve"> (Fusion of gill Lamellae) and ECC (Enlargement of Cartilaginous Cells), LA (Loss of Architecture). (Magnification: e =10x and f, g, h = 40x)</w:t>
      </w:r>
      <w:r w:rsidR="00D314B2" w:rsidRPr="003D503B">
        <w:rPr>
          <w:rFonts w:ascii="Times New Roman" w:hAnsi="Times New Roman" w:cs="Times New Roman"/>
          <w:color w:val="000000" w:themeColor="text1"/>
          <w:sz w:val="24"/>
          <w:szCs w:val="24"/>
        </w:rPr>
        <w:t>.</w:t>
      </w:r>
    </w:p>
    <w:p w14:paraId="5D124E3C" w14:textId="77777777" w:rsidR="00EF1468" w:rsidRPr="003D503B" w:rsidRDefault="00EF1468" w:rsidP="001F3095">
      <w:pPr>
        <w:tabs>
          <w:tab w:val="left" w:pos="142"/>
        </w:tabs>
        <w:spacing w:after="0" w:line="360" w:lineRule="auto"/>
        <w:ind w:left="142" w:firstLine="142"/>
        <w:jc w:val="both"/>
        <w:rPr>
          <w:rFonts w:ascii="Times New Roman" w:eastAsia="Times New Roman" w:hAnsi="Times New Roman" w:cs="Times New Roman"/>
          <w:b/>
          <w:sz w:val="24"/>
          <w:szCs w:val="24"/>
        </w:rPr>
      </w:pPr>
    </w:p>
    <w:p w14:paraId="22504CA9" w14:textId="77777777" w:rsidR="00EF1468" w:rsidRPr="003D503B" w:rsidRDefault="00EF1468" w:rsidP="001F3095">
      <w:pPr>
        <w:keepNext/>
        <w:tabs>
          <w:tab w:val="left" w:pos="142"/>
        </w:tabs>
        <w:spacing w:after="160" w:line="360" w:lineRule="auto"/>
        <w:ind w:left="142" w:firstLine="142"/>
        <w:jc w:val="both"/>
        <w:rPr>
          <w:rFonts w:ascii="Times New Roman" w:hAnsi="Times New Roman" w:cs="Times New Roman"/>
          <w:color w:val="000000" w:themeColor="text1"/>
          <w:sz w:val="24"/>
          <w:szCs w:val="24"/>
        </w:rPr>
      </w:pPr>
      <w:r w:rsidRPr="003D503B">
        <w:rPr>
          <w:rFonts w:ascii="Times New Roman" w:eastAsia="Calibri" w:hAnsi="Times New Roman" w:cs="Times New Roman"/>
          <w:noProof/>
          <w:sz w:val="24"/>
          <w:szCs w:val="24"/>
        </w:rPr>
        <w:lastRenderedPageBreak/>
        <w:drawing>
          <wp:inline distT="0" distB="0" distL="0" distR="0" wp14:anchorId="2E0DBEB0" wp14:editId="60592B78">
            <wp:extent cx="5775695" cy="4752753"/>
            <wp:effectExtent l="19050" t="0" r="0" b="0"/>
            <wp:docPr id="42" name="Object 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144033" cy="6891062"/>
                      <a:chOff x="-1" y="-33061"/>
                      <a:chExt cx="9144033" cy="6891062"/>
                    </a:xfrm>
                  </a:grpSpPr>
                  <a:grpSp>
                    <a:nvGrpSpPr>
                      <a:cNvPr id="35" name="Group 34"/>
                      <a:cNvGrpSpPr/>
                    </a:nvGrpSpPr>
                    <a:grpSpPr>
                      <a:xfrm>
                        <a:off x="-1" y="-33061"/>
                        <a:ext cx="9144033" cy="6891062"/>
                        <a:chOff x="-1" y="-33061"/>
                        <a:chExt cx="9144033" cy="6891062"/>
                      </a:xfrm>
                    </a:grpSpPr>
                    <a:pic>
                      <a:nvPicPr>
                        <a:cNvPr id="10" name="Picture 9" descr="D:\histology photos\Liver 45 Days Control 40X.bmp"/>
                        <a:cNvPicPr/>
                      </a:nvPicPr>
                      <a:blipFill>
                        <a:blip r:embed="rId13" cstate="print"/>
                        <a:srcRect/>
                        <a:stretch>
                          <a:fillRect/>
                        </a:stretch>
                      </a:blipFill>
                      <a:spPr bwMode="auto">
                        <a:xfrm>
                          <a:off x="1" y="3500438"/>
                          <a:ext cx="4500561" cy="335756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pic>
                      <a:nvPicPr>
                        <a:cNvPr id="2" name="Picture 1" descr="D:\lavksuh\8L.jpg"/>
                        <a:cNvPicPr>
                          <a:picLocks noChangeAspect="1"/>
                        </a:cNvPicPr>
                      </a:nvPicPr>
                      <a:blipFill>
                        <a:blip r:embed="rId14" cstate="print"/>
                        <a:srcRect l="13511" t="9276" r="35207" b="22406"/>
                        <a:stretch>
                          <a:fillRect/>
                        </a:stretch>
                      </a:blipFill>
                      <a:spPr bwMode="auto">
                        <a:xfrm>
                          <a:off x="0" y="0"/>
                          <a:ext cx="4500562" cy="332754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pic>
                      <a:nvPicPr>
                        <a:cNvPr id="3" name="Picture 2" descr="D:\histology photos\LIVER 45DAYS 40X RO.bmp"/>
                        <a:cNvPicPr>
                          <a:picLocks noChangeAspect="1"/>
                        </a:cNvPicPr>
                      </a:nvPicPr>
                      <a:blipFill>
                        <a:blip r:embed="rId15" cstate="print"/>
                        <a:srcRect/>
                        <a:stretch>
                          <a:fillRect/>
                        </a:stretch>
                      </a:blipFill>
                      <a:spPr bwMode="auto">
                        <a:xfrm>
                          <a:off x="4643470" y="0"/>
                          <a:ext cx="4500562" cy="33260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pic>
                      <a:nvPicPr>
                        <a:cNvPr id="5" name="Picture 4" descr="D:\histology photos\40X Liver RO 15 DAYS.bmp"/>
                        <a:cNvPicPr>
                          <a:picLocks noChangeAspect="1"/>
                        </a:cNvPicPr>
                      </a:nvPicPr>
                      <a:blipFill>
                        <a:blip r:embed="rId16" cstate="print"/>
                        <a:srcRect/>
                        <a:stretch>
                          <a:fillRect/>
                        </a:stretch>
                      </a:blipFill>
                      <a:spPr bwMode="auto">
                        <a:xfrm>
                          <a:off x="4643438" y="3517745"/>
                          <a:ext cx="4500562" cy="33402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sp>
                      <a:nvSpPr>
                        <a:cNvPr id="6" name="TextBox 5"/>
                        <a:cNvSpPr txBox="1"/>
                      </a:nvSpPr>
                      <a:spPr>
                        <a:xfrm>
                          <a:off x="-1" y="1"/>
                          <a:ext cx="435509" cy="461665"/>
                        </a:xfrm>
                        <a:prstGeom prst="rect">
                          <a:avLst/>
                        </a:prstGeom>
                        <a:solidFill>
                          <a:sysClr val="window" lastClr="FFFFFF"/>
                        </a:solidFill>
                        <a:ln w="25400" cap="flat" cmpd="sng" algn="ctr">
                          <a:solidFill>
                            <a:sysClr val="windowText" lastClr="000000"/>
                          </a:solidFill>
                          <a:prstDash val="solid"/>
                        </a:ln>
                        <a:effectLst/>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r>
                              <a:rPr lang="en-IN" sz="2400" b="1" dirty="0" err="1" smtClean="0"/>
                              <a:t>i</a:t>
                            </a:r>
                            <a:endParaRPr lang="en-US" sz="2400" b="1" dirty="0"/>
                          </a:p>
                        </a:txBody>
                        <a:useSpRect/>
                      </a:txSp>
                      <a:style>
                        <a:lnRef idx="2">
                          <a:schemeClr val="dk1"/>
                        </a:lnRef>
                        <a:fillRef idx="1">
                          <a:schemeClr val="lt1"/>
                        </a:fillRef>
                        <a:effectRef idx="0">
                          <a:schemeClr val="dk1"/>
                        </a:effectRef>
                        <a:fontRef idx="minor">
                          <a:schemeClr val="dk1"/>
                        </a:fontRef>
                      </a:style>
                    </a:sp>
                    <a:sp>
                      <a:nvSpPr>
                        <a:cNvPr id="7" name="TextBox 6"/>
                        <a:cNvSpPr txBox="1"/>
                      </a:nvSpPr>
                      <a:spPr>
                        <a:xfrm>
                          <a:off x="4643437" y="3500438"/>
                          <a:ext cx="435541" cy="461665"/>
                        </a:xfrm>
                        <a:prstGeom prst="rect">
                          <a:avLst/>
                        </a:prstGeom>
                        <a:solidFill>
                          <a:sysClr val="window" lastClr="FFFFFF"/>
                        </a:solidFill>
                        <a:ln w="25400" cap="flat" cmpd="sng" algn="ctr">
                          <a:solidFill>
                            <a:sysClr val="windowText" lastClr="000000"/>
                          </a:solidFill>
                          <a:prstDash val="solid"/>
                        </a:ln>
                        <a:effectLst/>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r>
                              <a:rPr lang="en-IN" sz="2400" b="1" dirty="0" smtClean="0"/>
                              <a:t>iv</a:t>
                            </a:r>
                            <a:endParaRPr lang="en-US" sz="2400" b="1" dirty="0"/>
                          </a:p>
                        </a:txBody>
                        <a:useSpRect/>
                      </a:txSp>
                      <a:style>
                        <a:lnRef idx="2">
                          <a:schemeClr val="dk1"/>
                        </a:lnRef>
                        <a:fillRef idx="1">
                          <a:schemeClr val="lt1"/>
                        </a:fillRef>
                        <a:effectRef idx="0">
                          <a:schemeClr val="dk1"/>
                        </a:effectRef>
                        <a:fontRef idx="minor">
                          <a:schemeClr val="dk1"/>
                        </a:fontRef>
                      </a:style>
                    </a:sp>
                    <a:sp>
                      <a:nvSpPr>
                        <a:cNvPr id="8" name="TextBox 7"/>
                        <a:cNvSpPr txBox="1"/>
                      </a:nvSpPr>
                      <a:spPr>
                        <a:xfrm>
                          <a:off x="-1" y="3500438"/>
                          <a:ext cx="435509" cy="461665"/>
                        </a:xfrm>
                        <a:prstGeom prst="rect">
                          <a:avLst/>
                        </a:prstGeom>
                        <a:solidFill>
                          <a:sysClr val="window" lastClr="FFFFFF"/>
                        </a:solidFill>
                        <a:ln w="25400" cap="flat" cmpd="sng" algn="ctr">
                          <a:solidFill>
                            <a:sysClr val="windowText" lastClr="000000"/>
                          </a:solidFill>
                          <a:prstDash val="solid"/>
                        </a:ln>
                        <a:effectLst/>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r>
                              <a:rPr lang="en-IN" sz="2400" b="1" dirty="0" smtClean="0"/>
                              <a:t>iii</a:t>
                            </a:r>
                            <a:endParaRPr lang="en-US" sz="2400" b="1" dirty="0"/>
                          </a:p>
                        </a:txBody>
                        <a:useSpRect/>
                      </a:txSp>
                      <a:style>
                        <a:lnRef idx="2">
                          <a:schemeClr val="dk1"/>
                        </a:lnRef>
                        <a:fillRef idx="1">
                          <a:schemeClr val="lt1"/>
                        </a:fillRef>
                        <a:effectRef idx="0">
                          <a:schemeClr val="dk1"/>
                        </a:effectRef>
                        <a:fontRef idx="minor">
                          <a:schemeClr val="dk1"/>
                        </a:fontRef>
                      </a:style>
                    </a:sp>
                    <a:sp>
                      <a:nvSpPr>
                        <a:cNvPr id="9" name="TextBox 8"/>
                        <a:cNvSpPr txBox="1"/>
                      </a:nvSpPr>
                      <a:spPr>
                        <a:xfrm>
                          <a:off x="4643437" y="-33061"/>
                          <a:ext cx="435541" cy="461665"/>
                        </a:xfrm>
                        <a:prstGeom prst="rect">
                          <a:avLst/>
                        </a:prstGeom>
                        <a:solidFill>
                          <a:sysClr val="window" lastClr="FFFFFF"/>
                        </a:solidFill>
                        <a:ln w="25400" cap="flat" cmpd="sng" algn="ctr">
                          <a:solidFill>
                            <a:sysClr val="windowText" lastClr="000000"/>
                          </a:solidFill>
                          <a:prstDash val="solid"/>
                        </a:ln>
                        <a:effectLst/>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r>
                              <a:rPr lang="en-IN" sz="2400" b="1" dirty="0" smtClean="0"/>
                              <a:t>ii</a:t>
                            </a:r>
                            <a:endParaRPr lang="en-US" sz="2400" b="1" dirty="0"/>
                          </a:p>
                        </a:txBody>
                        <a:useSpRect/>
                      </a:txSp>
                      <a:style>
                        <a:lnRef idx="2">
                          <a:schemeClr val="dk1"/>
                        </a:lnRef>
                        <a:fillRef idx="1">
                          <a:schemeClr val="lt1"/>
                        </a:fillRef>
                        <a:effectRef idx="0">
                          <a:schemeClr val="dk1"/>
                        </a:effectRef>
                        <a:fontRef idx="minor">
                          <a:schemeClr val="dk1"/>
                        </a:fontRef>
                      </a:style>
                    </a:sp>
                    <a:cxnSp>
                      <a:nvCxnSpPr>
                        <a:cNvPr id="12" name="Straight Arrow Connector 11"/>
                        <a:cNvCxnSpPr/>
                      </a:nvCxnSpPr>
                      <a:spPr>
                        <a:xfrm rot="5400000" flipH="1" flipV="1">
                          <a:off x="7179487" y="4822041"/>
                          <a:ext cx="428628" cy="357190"/>
                        </a:xfrm>
                        <a:prstGeom prst="straightConnector1">
                          <a:avLst/>
                        </a:prstGeom>
                        <a:noFill/>
                        <a:ln w="28575" cap="flat" cmpd="sng" algn="ctr">
                          <a:solidFill>
                            <a:sysClr val="windowText" lastClr="000000"/>
                          </a:solidFill>
                          <a:prstDash val="solid"/>
                          <a:tailEnd type="arrow"/>
                        </a:ln>
                        <a:effectLst>
                          <a:outerShdw blurRad="40000" dist="23000" dir="5400000" rotWithShape="0">
                            <a:srgbClr val="000000">
                              <a:alpha val="35000"/>
                            </a:srgbClr>
                          </a:outerShdw>
                        </a:effectLst>
                      </a:spPr>
                      <a:style>
                        <a:lnRef idx="3">
                          <a:schemeClr val="dk1"/>
                        </a:lnRef>
                        <a:fillRef idx="0">
                          <a:schemeClr val="dk1"/>
                        </a:fillRef>
                        <a:effectRef idx="2">
                          <a:schemeClr val="dk1"/>
                        </a:effectRef>
                        <a:fontRef idx="minor">
                          <a:schemeClr val="tx1"/>
                        </a:fontRef>
                      </a:style>
                    </a:cxnSp>
                    <a:cxnSp>
                      <a:nvCxnSpPr>
                        <a:cNvPr id="20" name="Straight Arrow Connector 19"/>
                        <a:cNvCxnSpPr/>
                      </a:nvCxnSpPr>
                      <a:spPr>
                        <a:xfrm rot="5400000">
                          <a:off x="6044902" y="1598908"/>
                          <a:ext cx="357190" cy="71438"/>
                        </a:xfrm>
                        <a:prstGeom prst="straightConnector1">
                          <a:avLst/>
                        </a:prstGeom>
                        <a:noFill/>
                        <a:ln w="28575" cap="flat" cmpd="sng" algn="ctr">
                          <a:solidFill>
                            <a:sysClr val="windowText" lastClr="000000"/>
                          </a:solidFill>
                          <a:prstDash val="solid"/>
                          <a:tailEnd type="arrow"/>
                        </a:ln>
                        <a:effectLst>
                          <a:outerShdw blurRad="40000" dist="20000" dir="5400000" rotWithShape="0">
                            <a:srgbClr val="000000">
                              <a:alpha val="38000"/>
                            </a:srgbClr>
                          </a:outerShdw>
                        </a:effectLst>
                      </a:spPr>
                      <a:style>
                        <a:lnRef idx="2">
                          <a:schemeClr val="dk1"/>
                        </a:lnRef>
                        <a:fillRef idx="0">
                          <a:schemeClr val="dk1"/>
                        </a:fillRef>
                        <a:effectRef idx="1">
                          <a:schemeClr val="dk1"/>
                        </a:effectRef>
                        <a:fontRef idx="minor">
                          <a:schemeClr val="tx1"/>
                        </a:fontRef>
                      </a:style>
                    </a:cxnSp>
                    <a:cxnSp>
                      <a:nvCxnSpPr>
                        <a:cNvPr id="24" name="Straight Arrow Connector 23"/>
                        <a:cNvCxnSpPr/>
                      </a:nvCxnSpPr>
                      <a:spPr>
                        <a:xfrm rot="10800000">
                          <a:off x="6749260" y="2371078"/>
                          <a:ext cx="428628" cy="214314"/>
                        </a:xfrm>
                        <a:prstGeom prst="straightConnector1">
                          <a:avLst/>
                        </a:prstGeom>
                        <a:noFill/>
                        <a:ln w="28575" cap="flat" cmpd="sng" algn="ctr">
                          <a:solidFill>
                            <a:sysClr val="windowText" lastClr="000000"/>
                          </a:solidFill>
                          <a:prstDash val="solid"/>
                          <a:tailEnd type="arrow"/>
                        </a:ln>
                        <a:effectLst>
                          <a:outerShdw blurRad="40000" dist="20000" dir="5400000" rotWithShape="0">
                            <a:srgbClr val="000000">
                              <a:alpha val="38000"/>
                            </a:srgbClr>
                          </a:outerShdw>
                        </a:effectLst>
                      </a:spPr>
                      <a:style>
                        <a:lnRef idx="2">
                          <a:schemeClr val="dk1"/>
                        </a:lnRef>
                        <a:fillRef idx="0">
                          <a:schemeClr val="dk1"/>
                        </a:fillRef>
                        <a:effectRef idx="1">
                          <a:schemeClr val="dk1"/>
                        </a:effectRef>
                        <a:fontRef idx="minor">
                          <a:schemeClr val="tx1"/>
                        </a:fontRef>
                      </a:style>
                    </a:cxnSp>
                    <a:sp>
                      <a:nvSpPr>
                        <a:cNvPr id="26" name="TextBox 25"/>
                        <a:cNvSpPr txBox="1"/>
                      </a:nvSpPr>
                      <a:spPr>
                        <a:xfrm>
                          <a:off x="6143636" y="1142984"/>
                          <a:ext cx="571504"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r>
                              <a:rPr lang="en-IN" b="1" dirty="0" smtClean="0"/>
                              <a:t>HC</a:t>
                            </a:r>
                            <a:endParaRPr lang="en-US" b="1" dirty="0"/>
                          </a:p>
                        </a:txBody>
                        <a:useSpRect/>
                      </a:txSp>
                    </a:sp>
                    <a:sp>
                      <a:nvSpPr>
                        <a:cNvPr id="27" name="TextBox 26"/>
                        <a:cNvSpPr txBox="1"/>
                      </a:nvSpPr>
                      <a:spPr>
                        <a:xfrm>
                          <a:off x="7143768" y="2428868"/>
                          <a:ext cx="428628"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r>
                              <a:rPr lang="en-IN" b="1" dirty="0"/>
                              <a:t>S</a:t>
                            </a:r>
                            <a:endParaRPr lang="en-US" b="1" dirty="0"/>
                          </a:p>
                        </a:txBody>
                        <a:useSpRect/>
                      </a:txSp>
                    </a:sp>
                    <a:sp>
                      <a:nvSpPr>
                        <a:cNvPr id="29" name="TextBox 28"/>
                        <a:cNvSpPr txBox="1"/>
                      </a:nvSpPr>
                      <a:spPr>
                        <a:xfrm>
                          <a:off x="7000892" y="5143512"/>
                          <a:ext cx="35719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r>
                              <a:rPr lang="en-IN" b="1" dirty="0" smtClean="0"/>
                              <a:t>V</a:t>
                            </a:r>
                            <a:endParaRPr lang="en-US" b="1" dirty="0"/>
                          </a:p>
                        </a:txBody>
                        <a:useSpRect/>
                      </a:txSp>
                    </a:sp>
                    <a:cxnSp>
                      <a:nvCxnSpPr>
                        <a:cNvPr id="30" name="Straight Arrow Connector 29"/>
                        <a:cNvCxnSpPr/>
                      </a:nvCxnSpPr>
                      <a:spPr>
                        <a:xfrm rot="10800000" flipV="1">
                          <a:off x="1420777" y="4929198"/>
                          <a:ext cx="714380" cy="357190"/>
                        </a:xfrm>
                        <a:prstGeom prst="straightConnector1">
                          <a:avLst/>
                        </a:prstGeom>
                        <a:noFill/>
                        <a:ln w="28575" cap="flat" cmpd="sng" algn="ctr">
                          <a:solidFill>
                            <a:sysClr val="windowText" lastClr="000000"/>
                          </a:solidFill>
                          <a:prstDash val="solid"/>
                          <a:tailEnd type="arrow"/>
                        </a:ln>
                        <a:effectLst>
                          <a:outerShdw blurRad="40000" dist="23000" dir="5400000" rotWithShape="0">
                            <a:srgbClr val="000000">
                              <a:alpha val="35000"/>
                            </a:srgbClr>
                          </a:outerShdw>
                        </a:effectLst>
                      </a:spPr>
                      <a:style>
                        <a:lnRef idx="3">
                          <a:schemeClr val="dk1"/>
                        </a:lnRef>
                        <a:fillRef idx="0">
                          <a:schemeClr val="dk1"/>
                        </a:fillRef>
                        <a:effectRef idx="2">
                          <a:schemeClr val="dk1"/>
                        </a:effectRef>
                        <a:fontRef idx="minor">
                          <a:schemeClr val="tx1"/>
                        </a:fontRef>
                      </a:style>
                    </a:cxnSp>
                    <a:sp>
                      <a:nvSpPr>
                        <a:cNvPr id="32" name="TextBox 31"/>
                        <a:cNvSpPr txBox="1"/>
                      </a:nvSpPr>
                      <a:spPr>
                        <a:xfrm>
                          <a:off x="2071670" y="4714884"/>
                          <a:ext cx="571504"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r>
                              <a:rPr lang="en-IN" b="1" dirty="0" smtClean="0"/>
                              <a:t>HC</a:t>
                            </a:r>
                            <a:endParaRPr lang="en-US" b="1" dirty="0"/>
                          </a:p>
                        </a:txBody>
                        <a:useSpRect/>
                      </a:txSp>
                    </a:sp>
                    <a:cxnSp>
                      <a:nvCxnSpPr>
                        <a:cNvPr id="33" name="Straight Arrow Connector 32"/>
                        <a:cNvCxnSpPr/>
                      </a:nvCxnSpPr>
                      <a:spPr>
                        <a:xfrm rot="5400000">
                          <a:off x="2214546" y="1571612"/>
                          <a:ext cx="357190" cy="71438"/>
                        </a:xfrm>
                        <a:prstGeom prst="straightConnector1">
                          <a:avLst/>
                        </a:prstGeom>
                        <a:noFill/>
                        <a:ln w="28575" cap="flat" cmpd="sng" algn="ctr">
                          <a:solidFill>
                            <a:sysClr val="windowText" lastClr="000000"/>
                          </a:solidFill>
                          <a:prstDash val="solid"/>
                          <a:tailEnd type="arrow"/>
                        </a:ln>
                        <a:effectLst>
                          <a:outerShdw blurRad="40000" dist="20000" dir="5400000" rotWithShape="0">
                            <a:srgbClr val="000000">
                              <a:alpha val="38000"/>
                            </a:srgbClr>
                          </a:outerShdw>
                        </a:effectLst>
                      </a:spPr>
                      <a:style>
                        <a:lnRef idx="2">
                          <a:schemeClr val="dk1"/>
                        </a:lnRef>
                        <a:fillRef idx="0">
                          <a:schemeClr val="dk1"/>
                        </a:fillRef>
                        <a:effectRef idx="1">
                          <a:schemeClr val="dk1"/>
                        </a:effectRef>
                        <a:fontRef idx="minor">
                          <a:schemeClr val="tx1"/>
                        </a:fontRef>
                      </a:style>
                    </a:cxnSp>
                    <a:sp>
                      <a:nvSpPr>
                        <a:cNvPr id="34" name="TextBox 33"/>
                        <a:cNvSpPr txBox="1"/>
                      </a:nvSpPr>
                      <a:spPr>
                        <a:xfrm>
                          <a:off x="2285984" y="1142984"/>
                          <a:ext cx="571504"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r>
                              <a:rPr lang="en-IN" b="1" dirty="0" smtClean="0"/>
                              <a:t>HC</a:t>
                            </a:r>
                            <a:endParaRPr lang="en-US" b="1" dirty="0"/>
                          </a:p>
                        </a:txBody>
                        <a:useSpRect/>
                      </a:txSp>
                    </a:sp>
                  </a:grpSp>
                </lc:lockedCanvas>
              </a:graphicData>
            </a:graphic>
          </wp:inline>
        </w:drawing>
      </w:r>
    </w:p>
    <w:p w14:paraId="7D99A258" w14:textId="77777777" w:rsidR="00EF1468" w:rsidRPr="003D503B" w:rsidRDefault="00EF1468" w:rsidP="00D314B2">
      <w:pPr>
        <w:keepNext/>
        <w:tabs>
          <w:tab w:val="left" w:pos="284"/>
        </w:tabs>
        <w:spacing w:after="160" w:line="240" w:lineRule="auto"/>
        <w:ind w:left="284"/>
        <w:jc w:val="both"/>
        <w:rPr>
          <w:rFonts w:ascii="Times New Roman" w:hAnsi="Times New Roman" w:cs="Times New Roman"/>
          <w:sz w:val="24"/>
          <w:szCs w:val="24"/>
        </w:rPr>
      </w:pPr>
      <w:r w:rsidRPr="003D503B">
        <w:rPr>
          <w:rFonts w:ascii="Times New Roman" w:hAnsi="Times New Roman" w:cs="Times New Roman"/>
          <w:b/>
          <w:color w:val="000000" w:themeColor="text1"/>
          <w:sz w:val="24"/>
          <w:szCs w:val="24"/>
        </w:rPr>
        <w:t>Fig-3</w:t>
      </w:r>
      <w:r w:rsidRPr="003D503B">
        <w:rPr>
          <w:rFonts w:ascii="Times New Roman" w:hAnsi="Times New Roman" w:cs="Times New Roman"/>
          <w:color w:val="000000" w:themeColor="text1"/>
          <w:sz w:val="24"/>
          <w:szCs w:val="24"/>
        </w:rPr>
        <w:t>. Microscopic photographs of liver of fishes reared in RO water. (</w:t>
      </w:r>
      <w:proofErr w:type="spellStart"/>
      <w:r w:rsidRPr="003D503B">
        <w:rPr>
          <w:rFonts w:ascii="Times New Roman" w:hAnsi="Times New Roman" w:cs="Times New Roman"/>
          <w:color w:val="000000" w:themeColor="text1"/>
          <w:sz w:val="24"/>
          <w:szCs w:val="24"/>
        </w:rPr>
        <w:t>i</w:t>
      </w:r>
      <w:proofErr w:type="spellEnd"/>
      <w:r w:rsidRPr="003D503B">
        <w:rPr>
          <w:rFonts w:ascii="Times New Roman" w:hAnsi="Times New Roman" w:cs="Times New Roman"/>
          <w:color w:val="000000" w:themeColor="text1"/>
          <w:sz w:val="24"/>
          <w:szCs w:val="24"/>
        </w:rPr>
        <w:t xml:space="preserve">) </w:t>
      </w:r>
      <w:proofErr w:type="gramStart"/>
      <w:r w:rsidRPr="003D503B">
        <w:rPr>
          <w:rFonts w:ascii="Times New Roman" w:hAnsi="Times New Roman" w:cs="Times New Roman"/>
          <w:color w:val="000000" w:themeColor="text1"/>
          <w:sz w:val="24"/>
          <w:szCs w:val="24"/>
        </w:rPr>
        <w:t>0 day</w:t>
      </w:r>
      <w:proofErr w:type="gramEnd"/>
      <w:r w:rsidRPr="003D503B">
        <w:rPr>
          <w:rFonts w:ascii="Times New Roman" w:hAnsi="Times New Roman" w:cs="Times New Roman"/>
          <w:color w:val="000000" w:themeColor="text1"/>
          <w:sz w:val="24"/>
          <w:szCs w:val="24"/>
        </w:rPr>
        <w:t xml:space="preserve"> liver with normal architecture and normal Hepatic Cell (HC), (ii) 15 days liver showed no necrosis and with normal Sinusoids (S) (iii) 30 days liver showed same structure as 15 days (iv) 45 days liver showed normal appearance and had Vacuolation (V). (Magnification: </w:t>
      </w:r>
      <w:proofErr w:type="spellStart"/>
      <w:r w:rsidRPr="003D503B">
        <w:rPr>
          <w:rFonts w:ascii="Times New Roman" w:hAnsi="Times New Roman" w:cs="Times New Roman"/>
          <w:color w:val="000000" w:themeColor="text1"/>
          <w:sz w:val="24"/>
          <w:szCs w:val="24"/>
        </w:rPr>
        <w:t>i</w:t>
      </w:r>
      <w:proofErr w:type="spellEnd"/>
      <w:r w:rsidRPr="003D503B">
        <w:rPr>
          <w:rFonts w:ascii="Times New Roman" w:hAnsi="Times New Roman" w:cs="Times New Roman"/>
          <w:color w:val="000000" w:themeColor="text1"/>
          <w:sz w:val="24"/>
          <w:szCs w:val="24"/>
        </w:rPr>
        <w:t xml:space="preserve"> =10x and ii, iii, iv = 40x)</w:t>
      </w:r>
      <w:r w:rsidR="00D314B2" w:rsidRPr="003D503B">
        <w:rPr>
          <w:rFonts w:ascii="Times New Roman" w:hAnsi="Times New Roman" w:cs="Times New Roman"/>
          <w:color w:val="000000" w:themeColor="text1"/>
          <w:sz w:val="24"/>
          <w:szCs w:val="24"/>
        </w:rPr>
        <w:t>.</w:t>
      </w:r>
    </w:p>
    <w:p w14:paraId="09F5F798" w14:textId="77777777" w:rsidR="00EF1468" w:rsidRPr="003D503B" w:rsidRDefault="00EF1468" w:rsidP="001F3095">
      <w:pPr>
        <w:tabs>
          <w:tab w:val="left" w:pos="284"/>
        </w:tabs>
        <w:spacing w:after="160" w:line="360" w:lineRule="auto"/>
        <w:ind w:left="284"/>
        <w:jc w:val="both"/>
        <w:rPr>
          <w:rFonts w:ascii="Times New Roman" w:eastAsia="Calibri" w:hAnsi="Times New Roman" w:cs="Times New Roman"/>
          <w:i/>
          <w:sz w:val="24"/>
          <w:szCs w:val="24"/>
          <w:lang w:bidi="hi-IN"/>
        </w:rPr>
      </w:pPr>
      <w:r w:rsidRPr="003D503B">
        <w:rPr>
          <w:rFonts w:ascii="Times New Roman" w:eastAsia="Calibri" w:hAnsi="Times New Roman" w:cs="Times New Roman"/>
          <w:sz w:val="24"/>
          <w:szCs w:val="24"/>
          <w:lang w:bidi="hi-IN"/>
        </w:rPr>
        <w:tab/>
      </w:r>
    </w:p>
    <w:p w14:paraId="3C282BCE" w14:textId="77777777" w:rsidR="00EF1468" w:rsidRPr="003D503B" w:rsidRDefault="00EF1468" w:rsidP="001F3095">
      <w:pPr>
        <w:keepNext/>
        <w:tabs>
          <w:tab w:val="left" w:pos="142"/>
        </w:tabs>
        <w:spacing w:after="160" w:line="360" w:lineRule="auto"/>
        <w:ind w:left="142" w:firstLine="142"/>
        <w:jc w:val="both"/>
        <w:rPr>
          <w:rFonts w:ascii="Times New Roman" w:hAnsi="Times New Roman" w:cs="Times New Roman"/>
          <w:sz w:val="24"/>
          <w:szCs w:val="24"/>
        </w:rPr>
      </w:pPr>
      <w:r w:rsidRPr="003D503B">
        <w:rPr>
          <w:rFonts w:ascii="Times New Roman" w:eastAsia="Times New Roman" w:hAnsi="Times New Roman" w:cs="Times New Roman"/>
          <w:b/>
          <w:noProof/>
          <w:sz w:val="24"/>
          <w:szCs w:val="24"/>
        </w:rPr>
        <w:lastRenderedPageBreak/>
        <w:drawing>
          <wp:inline distT="0" distB="0" distL="0" distR="0" wp14:anchorId="57E58A03" wp14:editId="1BEC72C1">
            <wp:extent cx="5775695" cy="4635795"/>
            <wp:effectExtent l="19050" t="0" r="0" b="0"/>
            <wp:docPr id="43" name="Object 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144000" cy="6858000"/>
                      <a:chOff x="0" y="0"/>
                      <a:chExt cx="9144000" cy="6858000"/>
                    </a:xfrm>
                  </a:grpSpPr>
                  <a:grpSp>
                    <a:nvGrpSpPr>
                      <a:cNvPr id="19" name="Group 18"/>
                      <a:cNvGrpSpPr/>
                    </a:nvGrpSpPr>
                    <a:grpSpPr>
                      <a:xfrm>
                        <a:off x="0" y="0"/>
                        <a:ext cx="9144000" cy="6858000"/>
                        <a:chOff x="0" y="0"/>
                        <a:chExt cx="9144000" cy="6858000"/>
                      </a:xfrm>
                    </a:grpSpPr>
                    <a:pic>
                      <a:nvPicPr>
                        <a:cNvPr id="2" name="Picture 1" descr="D:\lavksuh\8L.jpg"/>
                        <a:cNvPicPr/>
                      </a:nvPicPr>
                      <a:blipFill>
                        <a:blip r:embed="rId14" cstate="print"/>
                        <a:srcRect l="13511" t="9276" r="35207" b="22406"/>
                        <a:stretch>
                          <a:fillRect/>
                        </a:stretch>
                      </a:blipFill>
                      <a:spPr bwMode="auto">
                        <a:xfrm>
                          <a:off x="0" y="0"/>
                          <a:ext cx="4476750" cy="336332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pic>
                      <a:nvPicPr>
                        <a:cNvPr id="3" name="Picture 2" descr="D:\histology photos\40X 30Days Waste Liver.bmp"/>
                        <a:cNvPicPr>
                          <a:picLocks noChangeAspect="1"/>
                        </a:cNvPicPr>
                      </a:nvPicPr>
                      <a:blipFill>
                        <a:blip r:embed="rId17" cstate="print"/>
                        <a:srcRect b="15036"/>
                        <a:stretch>
                          <a:fillRect/>
                        </a:stretch>
                      </a:blipFill>
                      <a:spPr bwMode="auto">
                        <a:xfrm>
                          <a:off x="4643438" y="0"/>
                          <a:ext cx="4500562" cy="335758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pic>
                      <a:nvPicPr>
                        <a:cNvPr id="4" name="Picture 3" descr="D:\histology photos\40x 15 DAYS WASTE LIVER.bmp"/>
                        <a:cNvPicPr>
                          <a:picLocks noChangeAspect="1"/>
                        </a:cNvPicPr>
                      </a:nvPicPr>
                      <a:blipFill>
                        <a:blip r:embed="rId18" cstate="print"/>
                        <a:srcRect/>
                        <a:stretch>
                          <a:fillRect/>
                        </a:stretch>
                      </a:blipFill>
                      <a:spPr bwMode="auto">
                        <a:xfrm>
                          <a:off x="0" y="3504773"/>
                          <a:ext cx="4500562" cy="335322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pic>
                      <a:nvPicPr>
                        <a:cNvPr id="5" name="Picture 4" descr="D:\histology photos\40X 45 DAYS WASTE LIVER.bmp"/>
                        <a:cNvPicPr>
                          <a:picLocks noChangeAspect="1"/>
                        </a:cNvPicPr>
                      </a:nvPicPr>
                      <a:blipFill>
                        <a:blip r:embed="rId19" cstate="print"/>
                        <a:srcRect/>
                        <a:stretch>
                          <a:fillRect/>
                        </a:stretch>
                      </a:blipFill>
                      <a:spPr bwMode="auto">
                        <a:xfrm>
                          <a:off x="4643438" y="3500438"/>
                          <a:ext cx="4500562" cy="335756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sp>
                      <a:nvSpPr>
                        <a:cNvPr id="6" name="TextBox 5"/>
                        <a:cNvSpPr txBox="1"/>
                      </a:nvSpPr>
                      <a:spPr>
                        <a:xfrm>
                          <a:off x="4643438" y="3500438"/>
                          <a:ext cx="571504" cy="461665"/>
                        </a:xfrm>
                        <a:prstGeom prst="rect">
                          <a:avLst/>
                        </a:prstGeom>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sz="2400" b="1" dirty="0" smtClean="0"/>
                              <a:t>viii</a:t>
                            </a:r>
                            <a:endParaRPr lang="en-US" sz="2400" b="1" dirty="0"/>
                          </a:p>
                        </a:txBody>
                        <a:useSpRect/>
                      </a:txSp>
                      <a:style>
                        <a:lnRef idx="2">
                          <a:schemeClr val="dk1"/>
                        </a:lnRef>
                        <a:fillRef idx="1">
                          <a:schemeClr val="lt1"/>
                        </a:fillRef>
                        <a:effectRef idx="0">
                          <a:schemeClr val="dk1"/>
                        </a:effectRef>
                        <a:fontRef idx="minor">
                          <a:schemeClr val="dk1"/>
                        </a:fontRef>
                      </a:style>
                    </a:sp>
                    <a:sp>
                      <a:nvSpPr>
                        <a:cNvPr id="7" name="TextBox 6"/>
                        <a:cNvSpPr txBox="1"/>
                      </a:nvSpPr>
                      <a:spPr>
                        <a:xfrm>
                          <a:off x="0" y="3500438"/>
                          <a:ext cx="500034" cy="461665"/>
                        </a:xfrm>
                        <a:prstGeom prst="rect">
                          <a:avLst/>
                        </a:prstGeom>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sz="2400" b="1" dirty="0" smtClean="0"/>
                              <a:t>vii</a:t>
                            </a:r>
                            <a:endParaRPr lang="en-US" sz="2400" b="1" dirty="0"/>
                          </a:p>
                        </a:txBody>
                        <a:useSpRect/>
                      </a:txSp>
                      <a:style>
                        <a:lnRef idx="2">
                          <a:schemeClr val="dk1"/>
                        </a:lnRef>
                        <a:fillRef idx="1">
                          <a:schemeClr val="lt1"/>
                        </a:fillRef>
                        <a:effectRef idx="0">
                          <a:schemeClr val="dk1"/>
                        </a:effectRef>
                        <a:fontRef idx="minor">
                          <a:schemeClr val="dk1"/>
                        </a:fontRef>
                      </a:style>
                    </a:sp>
                    <a:sp>
                      <a:nvSpPr>
                        <a:cNvPr id="8" name="TextBox 7"/>
                        <a:cNvSpPr txBox="1"/>
                      </a:nvSpPr>
                      <a:spPr>
                        <a:xfrm>
                          <a:off x="0" y="0"/>
                          <a:ext cx="428628" cy="461665"/>
                        </a:xfrm>
                        <a:prstGeom prst="rect">
                          <a:avLst/>
                        </a:prstGeom>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sz="2400" b="1" dirty="0" smtClean="0"/>
                              <a:t>v</a:t>
                            </a:r>
                            <a:endParaRPr lang="en-US" sz="2400" b="1" dirty="0"/>
                          </a:p>
                        </a:txBody>
                        <a:useSpRect/>
                      </a:txSp>
                      <a:style>
                        <a:lnRef idx="2">
                          <a:schemeClr val="dk1"/>
                        </a:lnRef>
                        <a:fillRef idx="1">
                          <a:schemeClr val="lt1"/>
                        </a:fillRef>
                        <a:effectRef idx="0">
                          <a:schemeClr val="dk1"/>
                        </a:effectRef>
                        <a:fontRef idx="minor">
                          <a:schemeClr val="dk1"/>
                        </a:fontRef>
                      </a:style>
                    </a:sp>
                    <a:sp>
                      <a:nvSpPr>
                        <a:cNvPr id="9" name="TextBox 8"/>
                        <a:cNvSpPr txBox="1"/>
                      </a:nvSpPr>
                      <a:spPr>
                        <a:xfrm>
                          <a:off x="4643438" y="0"/>
                          <a:ext cx="428628" cy="461665"/>
                        </a:xfrm>
                        <a:prstGeom prst="rect">
                          <a:avLst/>
                        </a:prstGeom>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sz="2400" b="1" dirty="0" smtClean="0"/>
                              <a:t>vi</a:t>
                            </a:r>
                            <a:endParaRPr lang="en-US" sz="2400" b="1" dirty="0"/>
                          </a:p>
                        </a:txBody>
                        <a:useSpRect/>
                      </a:txSp>
                      <a:style>
                        <a:lnRef idx="2">
                          <a:schemeClr val="dk1"/>
                        </a:lnRef>
                        <a:fillRef idx="1">
                          <a:schemeClr val="lt1"/>
                        </a:fillRef>
                        <a:effectRef idx="0">
                          <a:schemeClr val="dk1"/>
                        </a:effectRef>
                        <a:fontRef idx="minor">
                          <a:schemeClr val="dk1"/>
                        </a:fontRef>
                      </a:style>
                    </a:sp>
                    <a:cxnSp>
                      <a:nvCxnSpPr>
                        <a:cNvPr id="10" name="Straight Arrow Connector 9"/>
                        <a:cNvCxnSpPr/>
                      </a:nvCxnSpPr>
                      <a:spPr>
                        <a:xfrm rot="5400000">
                          <a:off x="6929454" y="1785926"/>
                          <a:ext cx="357190" cy="71438"/>
                        </a:xfrm>
                        <a:prstGeom prst="straightConnector1">
                          <a:avLst/>
                        </a:prstGeom>
                        <a:ln w="28575">
                          <a:tailEnd type="arrow"/>
                        </a:ln>
                      </a:spPr>
                      <a:style>
                        <a:lnRef idx="2">
                          <a:schemeClr val="dk1"/>
                        </a:lnRef>
                        <a:fillRef idx="0">
                          <a:schemeClr val="dk1"/>
                        </a:fillRef>
                        <a:effectRef idx="1">
                          <a:schemeClr val="dk1"/>
                        </a:effectRef>
                        <a:fontRef idx="minor">
                          <a:schemeClr val="tx1"/>
                        </a:fontRef>
                      </a:style>
                    </a:cxnSp>
                    <a:sp>
                      <a:nvSpPr>
                        <a:cNvPr id="11" name="TextBox 10"/>
                        <a:cNvSpPr txBox="1"/>
                      </a:nvSpPr>
                      <a:spPr>
                        <a:xfrm>
                          <a:off x="7000892" y="1357298"/>
                          <a:ext cx="500066"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P</a:t>
                            </a:r>
                            <a:endParaRPr lang="en-US" b="1" dirty="0"/>
                          </a:p>
                        </a:txBody>
                        <a:useSpRect/>
                      </a:txSp>
                    </a:sp>
                    <a:cxnSp>
                      <a:nvCxnSpPr>
                        <a:cNvPr id="12" name="Straight Arrow Connector 11"/>
                        <a:cNvCxnSpPr/>
                      </a:nvCxnSpPr>
                      <a:spPr>
                        <a:xfrm flipV="1">
                          <a:off x="2714612" y="4786322"/>
                          <a:ext cx="500066" cy="71438"/>
                        </a:xfrm>
                        <a:prstGeom prst="straightConnector1">
                          <a:avLst/>
                        </a:prstGeom>
                        <a:ln w="28575">
                          <a:tailEnd type="arrow"/>
                        </a:ln>
                      </a:spPr>
                      <a:style>
                        <a:lnRef idx="2">
                          <a:schemeClr val="dk1"/>
                        </a:lnRef>
                        <a:fillRef idx="0">
                          <a:schemeClr val="dk1"/>
                        </a:fillRef>
                        <a:effectRef idx="1">
                          <a:schemeClr val="dk1"/>
                        </a:effectRef>
                        <a:fontRef idx="minor">
                          <a:schemeClr val="tx1"/>
                        </a:fontRef>
                      </a:style>
                    </a:cxnSp>
                    <a:sp>
                      <a:nvSpPr>
                        <a:cNvPr id="15" name="TextBox 14"/>
                        <a:cNvSpPr txBox="1"/>
                      </a:nvSpPr>
                      <a:spPr>
                        <a:xfrm>
                          <a:off x="2285984" y="4714884"/>
                          <a:ext cx="642942"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N</a:t>
                            </a:r>
                            <a:endParaRPr lang="en-US" b="1" dirty="0"/>
                          </a:p>
                        </a:txBody>
                        <a:useSpRect/>
                      </a:txSp>
                    </a:sp>
                    <a:cxnSp>
                      <a:nvCxnSpPr>
                        <a:cNvPr id="16" name="Straight Arrow Connector 15"/>
                        <a:cNvCxnSpPr/>
                      </a:nvCxnSpPr>
                      <a:spPr>
                        <a:xfrm rot="5400000">
                          <a:off x="6965173" y="5607859"/>
                          <a:ext cx="571504" cy="214314"/>
                        </a:xfrm>
                        <a:prstGeom prst="straightConnector1">
                          <a:avLst/>
                        </a:prstGeom>
                        <a:ln w="28575">
                          <a:tailEnd type="arrow"/>
                        </a:ln>
                      </a:spPr>
                      <a:style>
                        <a:lnRef idx="2">
                          <a:schemeClr val="dk1"/>
                        </a:lnRef>
                        <a:fillRef idx="0">
                          <a:schemeClr val="dk1"/>
                        </a:fillRef>
                        <a:effectRef idx="1">
                          <a:schemeClr val="dk1"/>
                        </a:effectRef>
                        <a:fontRef idx="minor">
                          <a:schemeClr val="tx1"/>
                        </a:fontRef>
                      </a:style>
                    </a:cxnSp>
                    <a:sp>
                      <a:nvSpPr>
                        <a:cNvPr id="18" name="TextBox 17"/>
                        <a:cNvSpPr txBox="1"/>
                      </a:nvSpPr>
                      <a:spPr>
                        <a:xfrm>
                          <a:off x="7286644" y="5214950"/>
                          <a:ext cx="500066"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S</a:t>
                            </a:r>
                            <a:endParaRPr lang="en-US" b="1" dirty="0"/>
                          </a:p>
                        </a:txBody>
                        <a:useSpRect/>
                      </a:txSp>
                    </a:sp>
                  </a:grpSp>
                </lc:lockedCanvas>
              </a:graphicData>
            </a:graphic>
          </wp:inline>
        </w:drawing>
      </w:r>
    </w:p>
    <w:p w14:paraId="6C255068" w14:textId="77777777" w:rsidR="003661BC" w:rsidRPr="003D503B" w:rsidRDefault="00EF1468" w:rsidP="003661BC">
      <w:pPr>
        <w:pStyle w:val="Caption"/>
        <w:tabs>
          <w:tab w:val="left" w:pos="284"/>
        </w:tabs>
        <w:ind w:left="284"/>
        <w:jc w:val="both"/>
        <w:rPr>
          <w:rFonts w:ascii="Times New Roman" w:eastAsia="Calibri" w:hAnsi="Times New Roman" w:cs="Times New Roman"/>
          <w:sz w:val="24"/>
          <w:szCs w:val="24"/>
          <w:lang w:bidi="hi-IN"/>
        </w:rPr>
      </w:pPr>
      <w:r w:rsidRPr="003D503B">
        <w:rPr>
          <w:rFonts w:ascii="Times New Roman" w:hAnsi="Times New Roman" w:cs="Times New Roman"/>
          <w:color w:val="000000" w:themeColor="text1"/>
          <w:sz w:val="24"/>
          <w:szCs w:val="24"/>
        </w:rPr>
        <w:t xml:space="preserve">Fig-4. </w:t>
      </w:r>
      <w:r w:rsidRPr="003D503B">
        <w:rPr>
          <w:rFonts w:ascii="Times New Roman" w:hAnsi="Times New Roman" w:cs="Times New Roman"/>
          <w:b w:val="0"/>
          <w:color w:val="000000" w:themeColor="text1"/>
          <w:sz w:val="24"/>
          <w:szCs w:val="24"/>
        </w:rPr>
        <w:t xml:space="preserve">Microscopic photographs of liver of fishes reared in RO waste water. </w:t>
      </w:r>
      <w:r w:rsidRPr="003D503B">
        <w:rPr>
          <w:rFonts w:ascii="Times New Roman" w:hAnsi="Times New Roman" w:cs="Times New Roman"/>
          <w:color w:val="000000" w:themeColor="text1"/>
          <w:sz w:val="24"/>
          <w:szCs w:val="24"/>
        </w:rPr>
        <w:t>(v)</w:t>
      </w:r>
      <w:r w:rsidRPr="003D503B">
        <w:rPr>
          <w:rFonts w:ascii="Times New Roman" w:hAnsi="Times New Roman" w:cs="Times New Roman"/>
          <w:b w:val="0"/>
          <w:color w:val="000000" w:themeColor="text1"/>
          <w:sz w:val="24"/>
          <w:szCs w:val="24"/>
        </w:rPr>
        <w:t xml:space="preserve"> </w:t>
      </w:r>
      <w:proofErr w:type="gramStart"/>
      <w:r w:rsidRPr="003D503B">
        <w:rPr>
          <w:rFonts w:ascii="Times New Roman" w:hAnsi="Times New Roman" w:cs="Times New Roman"/>
          <w:b w:val="0"/>
          <w:color w:val="000000" w:themeColor="text1"/>
          <w:sz w:val="24"/>
          <w:szCs w:val="24"/>
        </w:rPr>
        <w:t>0 day</w:t>
      </w:r>
      <w:proofErr w:type="gramEnd"/>
      <w:r w:rsidRPr="003D503B">
        <w:rPr>
          <w:rFonts w:ascii="Times New Roman" w:hAnsi="Times New Roman" w:cs="Times New Roman"/>
          <w:b w:val="0"/>
          <w:color w:val="000000" w:themeColor="text1"/>
          <w:sz w:val="24"/>
          <w:szCs w:val="24"/>
        </w:rPr>
        <w:t xml:space="preserve"> liver with normal architecture and normal hepatic cell </w:t>
      </w:r>
      <w:r w:rsidRPr="003D503B">
        <w:rPr>
          <w:rFonts w:ascii="Times New Roman" w:hAnsi="Times New Roman" w:cs="Times New Roman"/>
          <w:color w:val="000000" w:themeColor="text1"/>
          <w:sz w:val="24"/>
          <w:szCs w:val="24"/>
        </w:rPr>
        <w:t>(vi)</w:t>
      </w:r>
      <w:r w:rsidRPr="003D503B">
        <w:rPr>
          <w:rFonts w:ascii="Times New Roman" w:hAnsi="Times New Roman" w:cs="Times New Roman"/>
          <w:b w:val="0"/>
          <w:color w:val="000000" w:themeColor="text1"/>
          <w:sz w:val="24"/>
          <w:szCs w:val="24"/>
        </w:rPr>
        <w:t xml:space="preserve"> 15 days liver showed signed of Pyknosis (P) </w:t>
      </w:r>
      <w:r w:rsidRPr="003D503B">
        <w:rPr>
          <w:rFonts w:ascii="Times New Roman" w:hAnsi="Times New Roman" w:cs="Times New Roman"/>
          <w:color w:val="000000" w:themeColor="text1"/>
          <w:sz w:val="24"/>
          <w:szCs w:val="24"/>
        </w:rPr>
        <w:t>(vii)</w:t>
      </w:r>
      <w:r w:rsidRPr="003D503B">
        <w:rPr>
          <w:rFonts w:ascii="Times New Roman" w:hAnsi="Times New Roman" w:cs="Times New Roman"/>
          <w:b w:val="0"/>
          <w:color w:val="000000" w:themeColor="text1"/>
          <w:sz w:val="24"/>
          <w:szCs w:val="24"/>
        </w:rPr>
        <w:t xml:space="preserve"> 30 days liver showed signs of pyknosis and Necrosis (N) </w:t>
      </w:r>
      <w:r w:rsidRPr="003D503B">
        <w:rPr>
          <w:rFonts w:ascii="Times New Roman" w:hAnsi="Times New Roman" w:cs="Times New Roman"/>
          <w:color w:val="000000" w:themeColor="text1"/>
          <w:sz w:val="24"/>
          <w:szCs w:val="24"/>
        </w:rPr>
        <w:t>(viii)</w:t>
      </w:r>
      <w:r w:rsidRPr="003D503B">
        <w:rPr>
          <w:rFonts w:ascii="Times New Roman" w:hAnsi="Times New Roman" w:cs="Times New Roman"/>
          <w:b w:val="0"/>
          <w:color w:val="000000" w:themeColor="text1"/>
          <w:sz w:val="24"/>
          <w:szCs w:val="24"/>
        </w:rPr>
        <w:t xml:space="preserve"> 45 days liver showed normal sinusoid with dense nuclei towards them (Magnification: v =10x and vi, vii, viii = </w:t>
      </w:r>
    </w:p>
    <w:p w14:paraId="6E8A8610" w14:textId="77777777" w:rsidR="00EF1468" w:rsidRPr="003D503B" w:rsidRDefault="00EF1468" w:rsidP="001F3095">
      <w:pPr>
        <w:tabs>
          <w:tab w:val="left" w:pos="284"/>
        </w:tabs>
        <w:spacing w:after="160" w:line="360" w:lineRule="auto"/>
        <w:ind w:left="284"/>
        <w:jc w:val="both"/>
        <w:rPr>
          <w:rFonts w:ascii="Times New Roman" w:eastAsia="Calibri" w:hAnsi="Times New Roman" w:cs="Times New Roman"/>
          <w:sz w:val="24"/>
          <w:szCs w:val="24"/>
          <w:lang w:bidi="hi-IN"/>
        </w:rPr>
      </w:pPr>
      <w:r w:rsidRPr="003D503B">
        <w:rPr>
          <w:rFonts w:ascii="Times New Roman" w:eastAsia="Calibri" w:hAnsi="Times New Roman" w:cs="Times New Roman"/>
          <w:sz w:val="24"/>
          <w:szCs w:val="24"/>
          <w:lang w:bidi="hi-IN"/>
        </w:rPr>
        <w:t xml:space="preserve">and suffer necrosis at this stage. </w:t>
      </w:r>
    </w:p>
    <w:p w14:paraId="5345FD63" w14:textId="77777777" w:rsidR="00EF1468" w:rsidRPr="003D503B" w:rsidRDefault="00EF1468" w:rsidP="001F3095">
      <w:pPr>
        <w:keepNext/>
        <w:tabs>
          <w:tab w:val="left" w:pos="142"/>
        </w:tabs>
        <w:spacing w:after="160" w:line="360" w:lineRule="auto"/>
        <w:ind w:left="142" w:firstLine="142"/>
        <w:jc w:val="both"/>
        <w:rPr>
          <w:rFonts w:ascii="Times New Roman" w:hAnsi="Times New Roman" w:cs="Times New Roman"/>
          <w:color w:val="000000" w:themeColor="text1"/>
          <w:sz w:val="24"/>
          <w:szCs w:val="24"/>
        </w:rPr>
      </w:pPr>
      <w:r w:rsidRPr="003D503B">
        <w:rPr>
          <w:rFonts w:ascii="Times New Roman" w:eastAsia="Calibri" w:hAnsi="Times New Roman" w:cs="Times New Roman"/>
          <w:b/>
          <w:bCs/>
          <w:noProof/>
          <w:sz w:val="24"/>
          <w:szCs w:val="24"/>
        </w:rPr>
        <w:lastRenderedPageBreak/>
        <w:drawing>
          <wp:inline distT="0" distB="0" distL="0" distR="0" wp14:anchorId="58FB0B89" wp14:editId="31F6742B">
            <wp:extent cx="5781249" cy="4817660"/>
            <wp:effectExtent l="19050" t="0" r="0" b="0"/>
            <wp:docPr id="10"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001124" cy="6858024"/>
                      <a:chOff x="0" y="0"/>
                      <a:chExt cx="9001124" cy="6858024"/>
                    </a:xfrm>
                  </a:grpSpPr>
                  <a:grpSp>
                    <a:nvGrpSpPr>
                      <a:cNvPr id="22" name="Group 21"/>
                      <a:cNvGrpSpPr/>
                    </a:nvGrpSpPr>
                    <a:grpSpPr>
                      <a:xfrm>
                        <a:off x="0" y="0"/>
                        <a:ext cx="9001124" cy="6858024"/>
                        <a:chOff x="0" y="0"/>
                        <a:chExt cx="9001124" cy="6858024"/>
                      </a:xfrm>
                    </a:grpSpPr>
                    <a:pic>
                      <a:nvPicPr>
                        <a:cNvPr id="2" name="Picture 1" descr="D:\histology photos\KIDNEY C14.bmp"/>
                        <a:cNvPicPr>
                          <a:picLocks noChangeAspect="1"/>
                        </a:cNvPicPr>
                      </a:nvPicPr>
                      <a:blipFill>
                        <a:blip r:embed="rId20" cstate="print"/>
                        <a:srcRect r="16074"/>
                        <a:stretch>
                          <a:fillRect/>
                        </a:stretch>
                      </a:blipFill>
                      <a:spPr bwMode="auto">
                        <a:xfrm>
                          <a:off x="0" y="0"/>
                          <a:ext cx="4429124" cy="335650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pic>
                      <a:nvPicPr>
                        <a:cNvPr id="3" name="Picture 2" descr="D:\histology photos\40X Kidney RO 15 DAYS.bmp"/>
                        <a:cNvPicPr>
                          <a:picLocks noChangeAspect="1"/>
                        </a:cNvPicPr>
                      </a:nvPicPr>
                      <a:blipFill>
                        <a:blip r:embed="rId21" cstate="print"/>
                        <a:srcRect/>
                        <a:stretch>
                          <a:fillRect/>
                        </a:stretch>
                      </a:blipFill>
                      <a:spPr bwMode="auto">
                        <a:xfrm>
                          <a:off x="4572000" y="0"/>
                          <a:ext cx="4429124" cy="335756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pic>
                      <a:nvPicPr>
                        <a:cNvPr id="4" name="Picture 3" descr="D:\histology photos\40X RO 30 Days kidney.bmp"/>
                        <a:cNvPicPr>
                          <a:picLocks noChangeAspect="1"/>
                        </a:cNvPicPr>
                      </a:nvPicPr>
                      <a:blipFill>
                        <a:blip r:embed="rId22" cstate="print"/>
                        <a:srcRect/>
                        <a:stretch>
                          <a:fillRect/>
                        </a:stretch>
                      </a:blipFill>
                      <a:spPr bwMode="auto">
                        <a:xfrm>
                          <a:off x="0" y="3533800"/>
                          <a:ext cx="4429124" cy="33242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pic>
                      <a:nvPicPr>
                        <a:cNvPr id="5" name="Picture 4" descr="D:\lavksuh\5K.jpg"/>
                        <a:cNvPicPr>
                          <a:picLocks noChangeAspect="1"/>
                        </a:cNvPicPr>
                      </a:nvPicPr>
                      <a:blipFill>
                        <a:blip r:embed="rId23" cstate="print"/>
                        <a:srcRect l="11064" t="7320" r="41976" b="37281"/>
                        <a:stretch>
                          <a:fillRect/>
                        </a:stretch>
                      </a:blipFill>
                      <a:spPr bwMode="auto">
                        <a:xfrm>
                          <a:off x="4587857" y="3536158"/>
                          <a:ext cx="4412771" cy="332186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sp>
                      <a:nvSpPr>
                        <a:cNvPr id="6" name="TextBox 5"/>
                        <a:cNvSpPr txBox="1"/>
                      </a:nvSpPr>
                      <a:spPr>
                        <a:xfrm>
                          <a:off x="0" y="0"/>
                          <a:ext cx="357158" cy="369332"/>
                        </a:xfrm>
                        <a:prstGeom prst="rect">
                          <a:avLst/>
                        </a:prstGeom>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b="1" dirty="0" smtClean="0"/>
                              <a:t>A</a:t>
                            </a:r>
                            <a:endParaRPr lang="en-US" b="1" dirty="0"/>
                          </a:p>
                        </a:txBody>
                        <a:useSpRect/>
                      </a:txSp>
                      <a:style>
                        <a:lnRef idx="2">
                          <a:schemeClr val="dk1"/>
                        </a:lnRef>
                        <a:fillRef idx="1">
                          <a:schemeClr val="lt1"/>
                        </a:fillRef>
                        <a:effectRef idx="0">
                          <a:schemeClr val="dk1"/>
                        </a:effectRef>
                        <a:fontRef idx="minor">
                          <a:schemeClr val="dk1"/>
                        </a:fontRef>
                      </a:style>
                    </a:sp>
                    <a:sp>
                      <a:nvSpPr>
                        <a:cNvPr id="7" name="TextBox 6"/>
                        <a:cNvSpPr txBox="1"/>
                      </a:nvSpPr>
                      <a:spPr>
                        <a:xfrm>
                          <a:off x="4572000" y="3500438"/>
                          <a:ext cx="357158" cy="369332"/>
                        </a:xfrm>
                        <a:prstGeom prst="rect">
                          <a:avLst/>
                        </a:prstGeom>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b="1" dirty="0"/>
                              <a:t>D</a:t>
                            </a:r>
                            <a:endParaRPr lang="en-US" b="1" dirty="0"/>
                          </a:p>
                        </a:txBody>
                        <a:useSpRect/>
                      </a:txSp>
                      <a:style>
                        <a:lnRef idx="2">
                          <a:schemeClr val="dk1"/>
                        </a:lnRef>
                        <a:fillRef idx="1">
                          <a:schemeClr val="lt1"/>
                        </a:fillRef>
                        <a:effectRef idx="0">
                          <a:schemeClr val="dk1"/>
                        </a:effectRef>
                        <a:fontRef idx="minor">
                          <a:schemeClr val="dk1"/>
                        </a:fontRef>
                      </a:style>
                    </a:sp>
                    <a:sp>
                      <a:nvSpPr>
                        <a:cNvPr id="8" name="TextBox 7"/>
                        <a:cNvSpPr txBox="1"/>
                      </a:nvSpPr>
                      <a:spPr>
                        <a:xfrm>
                          <a:off x="0" y="3500438"/>
                          <a:ext cx="357158" cy="369332"/>
                        </a:xfrm>
                        <a:prstGeom prst="rect">
                          <a:avLst/>
                        </a:prstGeom>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b="1" dirty="0"/>
                              <a:t>C</a:t>
                            </a:r>
                            <a:endParaRPr lang="en-US" b="1" dirty="0"/>
                          </a:p>
                        </a:txBody>
                        <a:useSpRect/>
                      </a:txSp>
                      <a:style>
                        <a:lnRef idx="2">
                          <a:schemeClr val="dk1"/>
                        </a:lnRef>
                        <a:fillRef idx="1">
                          <a:schemeClr val="lt1"/>
                        </a:fillRef>
                        <a:effectRef idx="0">
                          <a:schemeClr val="dk1"/>
                        </a:effectRef>
                        <a:fontRef idx="minor">
                          <a:schemeClr val="dk1"/>
                        </a:fontRef>
                      </a:style>
                    </a:sp>
                    <a:sp>
                      <a:nvSpPr>
                        <a:cNvPr id="9" name="TextBox 8"/>
                        <a:cNvSpPr txBox="1"/>
                      </a:nvSpPr>
                      <a:spPr>
                        <a:xfrm>
                          <a:off x="4500562" y="0"/>
                          <a:ext cx="357158" cy="369332"/>
                        </a:xfrm>
                        <a:prstGeom prst="rect">
                          <a:avLst/>
                        </a:prstGeom>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b="1" dirty="0"/>
                              <a:t>B</a:t>
                            </a:r>
                            <a:endParaRPr lang="en-US" b="1" dirty="0"/>
                          </a:p>
                        </a:txBody>
                        <a:useSpRect/>
                      </a:txSp>
                      <a:style>
                        <a:lnRef idx="2">
                          <a:schemeClr val="dk1"/>
                        </a:lnRef>
                        <a:fillRef idx="1">
                          <a:schemeClr val="lt1"/>
                        </a:fillRef>
                        <a:effectRef idx="0">
                          <a:schemeClr val="dk1"/>
                        </a:effectRef>
                        <a:fontRef idx="minor">
                          <a:schemeClr val="dk1"/>
                        </a:fontRef>
                      </a:style>
                    </a:sp>
                    <a:cxnSp>
                      <a:nvCxnSpPr>
                        <a:cNvPr id="11" name="Straight Arrow Connector 10"/>
                        <a:cNvCxnSpPr>
                          <a:stCxn id="18" idx="1"/>
                        </a:cNvCxnSpPr>
                      </a:nvCxnSpPr>
                      <a:spPr>
                        <a:xfrm rot="10800000" flipV="1">
                          <a:off x="4857753" y="5608510"/>
                          <a:ext cx="293483" cy="178738"/>
                        </a:xfrm>
                        <a:prstGeom prst="straightConnector1">
                          <a:avLst/>
                        </a:prstGeom>
                        <a:ln w="28575">
                          <a:tailEnd type="arrow"/>
                        </a:ln>
                      </a:spPr>
                      <a:style>
                        <a:lnRef idx="1">
                          <a:schemeClr val="dk1"/>
                        </a:lnRef>
                        <a:fillRef idx="0">
                          <a:schemeClr val="dk1"/>
                        </a:fillRef>
                        <a:effectRef idx="0">
                          <a:schemeClr val="dk1"/>
                        </a:effectRef>
                        <a:fontRef idx="minor">
                          <a:schemeClr val="tx1"/>
                        </a:fontRef>
                      </a:style>
                    </a:cxnSp>
                    <a:cxnSp>
                      <a:nvCxnSpPr>
                        <a:cNvPr id="13" name="Straight Arrow Connector 12"/>
                        <a:cNvCxnSpPr>
                          <a:stCxn id="17" idx="1"/>
                        </a:cNvCxnSpPr>
                      </a:nvCxnSpPr>
                      <a:spPr>
                        <a:xfrm rot="10800000">
                          <a:off x="1071538" y="4787116"/>
                          <a:ext cx="357190" cy="40996"/>
                        </a:xfrm>
                        <a:prstGeom prst="straightConnector1">
                          <a:avLst/>
                        </a:prstGeom>
                        <a:ln w="28575">
                          <a:tailEnd type="arrow"/>
                        </a:ln>
                      </a:spPr>
                      <a:style>
                        <a:lnRef idx="1">
                          <a:schemeClr val="dk1"/>
                        </a:lnRef>
                        <a:fillRef idx="0">
                          <a:schemeClr val="dk1"/>
                        </a:fillRef>
                        <a:effectRef idx="0">
                          <a:schemeClr val="dk1"/>
                        </a:effectRef>
                        <a:fontRef idx="minor">
                          <a:schemeClr val="tx1"/>
                        </a:fontRef>
                      </a:style>
                    </a:cxnSp>
                    <a:cxnSp>
                      <a:nvCxnSpPr>
                        <a:cNvPr id="14" name="Straight Arrow Connector 13"/>
                        <a:cNvCxnSpPr>
                          <a:stCxn id="17" idx="1"/>
                        </a:cNvCxnSpPr>
                      </a:nvCxnSpPr>
                      <a:spPr>
                        <a:xfrm rot="10800000" flipH="1" flipV="1">
                          <a:off x="1428728" y="4828112"/>
                          <a:ext cx="142876" cy="387632"/>
                        </a:xfrm>
                        <a:prstGeom prst="straightConnector1">
                          <a:avLst/>
                        </a:prstGeom>
                        <a:ln w="28575">
                          <a:tailEnd type="arrow"/>
                        </a:ln>
                      </a:spPr>
                      <a:style>
                        <a:lnRef idx="1">
                          <a:schemeClr val="dk1"/>
                        </a:lnRef>
                        <a:fillRef idx="0">
                          <a:schemeClr val="dk1"/>
                        </a:fillRef>
                        <a:effectRef idx="0">
                          <a:schemeClr val="dk1"/>
                        </a:effectRef>
                        <a:fontRef idx="minor">
                          <a:schemeClr val="tx1"/>
                        </a:fontRef>
                      </a:style>
                    </a:cxnSp>
                    <a:sp>
                      <a:nvSpPr>
                        <a:cNvPr id="17" name="TextBox 16"/>
                        <a:cNvSpPr txBox="1"/>
                      </a:nvSpPr>
                      <a:spPr>
                        <a:xfrm>
                          <a:off x="1428728" y="4643446"/>
                          <a:ext cx="642942"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RT</a:t>
                            </a:r>
                            <a:endParaRPr lang="en-US" b="1" dirty="0"/>
                          </a:p>
                        </a:txBody>
                        <a:useSpRect/>
                      </a:txSp>
                    </a:sp>
                    <a:sp>
                      <a:nvSpPr>
                        <a:cNvPr id="18" name="TextBox 17"/>
                        <a:cNvSpPr txBox="1"/>
                      </a:nvSpPr>
                      <a:spPr>
                        <a:xfrm rot="20798524">
                          <a:off x="5143504" y="5357826"/>
                          <a:ext cx="571504"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DG</a:t>
                            </a:r>
                            <a:endParaRPr lang="en-US" b="1" dirty="0"/>
                          </a:p>
                        </a:txBody>
                        <a:useSpRect/>
                      </a:txSp>
                    </a:sp>
                    <a:cxnSp>
                      <a:nvCxnSpPr>
                        <a:cNvPr id="19" name="Straight Arrow Connector 18"/>
                        <a:cNvCxnSpPr/>
                      </a:nvCxnSpPr>
                      <a:spPr>
                        <a:xfrm rot="5400000">
                          <a:off x="1249736" y="1179100"/>
                          <a:ext cx="500860" cy="428628"/>
                        </a:xfrm>
                        <a:prstGeom prst="straightConnector1">
                          <a:avLst/>
                        </a:prstGeom>
                        <a:ln w="28575">
                          <a:tailEnd type="arrow"/>
                        </a:ln>
                      </a:spPr>
                      <a:style>
                        <a:lnRef idx="1">
                          <a:schemeClr val="dk1"/>
                        </a:lnRef>
                        <a:fillRef idx="0">
                          <a:schemeClr val="dk1"/>
                        </a:fillRef>
                        <a:effectRef idx="0">
                          <a:schemeClr val="dk1"/>
                        </a:effectRef>
                        <a:fontRef idx="minor">
                          <a:schemeClr val="tx1"/>
                        </a:fontRef>
                      </a:style>
                    </a:cxnSp>
                    <a:cxnSp>
                      <a:nvCxnSpPr>
                        <a:cNvPr id="20" name="Straight Arrow Connector 19"/>
                        <a:cNvCxnSpPr/>
                      </a:nvCxnSpPr>
                      <a:spPr>
                        <a:xfrm rot="10800000" flipV="1">
                          <a:off x="5929322" y="2714620"/>
                          <a:ext cx="428628" cy="794"/>
                        </a:xfrm>
                        <a:prstGeom prst="straightConnector1">
                          <a:avLst/>
                        </a:prstGeom>
                        <a:ln>
                          <a:tailEnd type="arrow"/>
                        </a:ln>
                      </a:spPr>
                      <a:style>
                        <a:lnRef idx="1">
                          <a:schemeClr val="dk1"/>
                        </a:lnRef>
                        <a:fillRef idx="0">
                          <a:schemeClr val="dk1"/>
                        </a:fillRef>
                        <a:effectRef idx="0">
                          <a:schemeClr val="dk1"/>
                        </a:effectRef>
                        <a:fontRef idx="minor">
                          <a:schemeClr val="tx1"/>
                        </a:fontRef>
                      </a:style>
                    </a:cxnSp>
                    <a:cxnSp>
                      <a:nvCxnSpPr>
                        <a:cNvPr id="21" name="Straight Arrow Connector 20"/>
                        <a:cNvCxnSpPr/>
                      </a:nvCxnSpPr>
                      <a:spPr>
                        <a:xfrm rot="10800000">
                          <a:off x="8072462" y="2001034"/>
                          <a:ext cx="357190" cy="356396"/>
                        </a:xfrm>
                        <a:prstGeom prst="straightConnector1">
                          <a:avLst/>
                        </a:prstGeom>
                        <a:ln w="28575">
                          <a:tailEnd type="arrow"/>
                        </a:ln>
                      </a:spPr>
                      <a:style>
                        <a:lnRef idx="1">
                          <a:schemeClr val="dk1"/>
                        </a:lnRef>
                        <a:fillRef idx="0">
                          <a:schemeClr val="dk1"/>
                        </a:fillRef>
                        <a:effectRef idx="0">
                          <a:schemeClr val="dk1"/>
                        </a:effectRef>
                        <a:fontRef idx="minor">
                          <a:schemeClr val="tx1"/>
                        </a:fontRef>
                      </a:style>
                    </a:cxnSp>
                    <a:sp>
                      <a:nvSpPr>
                        <a:cNvPr id="23" name="TextBox 22"/>
                        <a:cNvSpPr txBox="1"/>
                      </a:nvSpPr>
                      <a:spPr>
                        <a:xfrm>
                          <a:off x="1643042" y="928670"/>
                          <a:ext cx="500066"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RT</a:t>
                            </a:r>
                            <a:endParaRPr lang="en-US" b="1" dirty="0"/>
                          </a:p>
                        </a:txBody>
                        <a:useSpRect/>
                      </a:txSp>
                    </a:sp>
                    <a:cxnSp>
                      <a:nvCxnSpPr>
                        <a:cNvPr id="25" name="Straight Arrow Connector 24"/>
                        <a:cNvCxnSpPr/>
                      </a:nvCxnSpPr>
                      <a:spPr>
                        <a:xfrm rot="10800000">
                          <a:off x="7286644" y="2143116"/>
                          <a:ext cx="1143008" cy="214314"/>
                        </a:xfrm>
                        <a:prstGeom prst="straightConnector1">
                          <a:avLst/>
                        </a:prstGeom>
                        <a:ln w="28575">
                          <a:tailEnd type="arrow"/>
                        </a:ln>
                      </a:spPr>
                      <a:style>
                        <a:lnRef idx="1">
                          <a:schemeClr val="dk1"/>
                        </a:lnRef>
                        <a:fillRef idx="0">
                          <a:schemeClr val="dk1"/>
                        </a:fillRef>
                        <a:effectRef idx="0">
                          <a:schemeClr val="dk1"/>
                        </a:effectRef>
                        <a:fontRef idx="minor">
                          <a:schemeClr val="tx1"/>
                        </a:fontRef>
                      </a:style>
                    </a:cxnSp>
                    <a:sp>
                      <a:nvSpPr>
                        <a:cNvPr id="32" name="TextBox 31"/>
                        <a:cNvSpPr txBox="1"/>
                      </a:nvSpPr>
                      <a:spPr>
                        <a:xfrm>
                          <a:off x="8429652" y="2143116"/>
                          <a:ext cx="285752"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G</a:t>
                            </a:r>
                            <a:endParaRPr lang="en-US" b="1" dirty="0"/>
                          </a:p>
                        </a:txBody>
                        <a:useSpRect/>
                      </a:txSp>
                    </a:sp>
                  </a:grpSp>
                </lc:lockedCanvas>
              </a:graphicData>
            </a:graphic>
          </wp:inline>
        </w:drawing>
      </w:r>
    </w:p>
    <w:p w14:paraId="3F169642" w14:textId="77777777" w:rsidR="00EF1468" w:rsidRPr="003D503B" w:rsidRDefault="00EF1468" w:rsidP="006A6139">
      <w:pPr>
        <w:keepNext/>
        <w:tabs>
          <w:tab w:val="left" w:pos="284"/>
        </w:tabs>
        <w:spacing w:after="160" w:line="240" w:lineRule="auto"/>
        <w:ind w:left="284"/>
        <w:jc w:val="both"/>
        <w:rPr>
          <w:rFonts w:ascii="Times New Roman" w:hAnsi="Times New Roman" w:cs="Times New Roman"/>
          <w:sz w:val="24"/>
          <w:szCs w:val="24"/>
        </w:rPr>
      </w:pPr>
      <w:r w:rsidRPr="003D503B">
        <w:rPr>
          <w:rFonts w:ascii="Times New Roman" w:hAnsi="Times New Roman" w:cs="Times New Roman"/>
          <w:b/>
          <w:color w:val="000000" w:themeColor="text1"/>
          <w:sz w:val="24"/>
          <w:szCs w:val="24"/>
        </w:rPr>
        <w:t>Fig-5.</w:t>
      </w:r>
      <w:r w:rsidRPr="003D503B">
        <w:rPr>
          <w:rFonts w:ascii="Times New Roman" w:hAnsi="Times New Roman" w:cs="Times New Roman"/>
          <w:sz w:val="24"/>
          <w:szCs w:val="24"/>
        </w:rPr>
        <w:t xml:space="preserve"> </w:t>
      </w:r>
      <w:r w:rsidRPr="003D503B">
        <w:rPr>
          <w:rFonts w:ascii="Times New Roman" w:hAnsi="Times New Roman" w:cs="Times New Roman"/>
          <w:color w:val="000000" w:themeColor="text1"/>
          <w:sz w:val="24"/>
          <w:szCs w:val="24"/>
        </w:rPr>
        <w:t xml:space="preserve">Microscopic photographs of histopathological lesions in RO water reared fish’s kidney (A) </w:t>
      </w:r>
      <w:proofErr w:type="gramStart"/>
      <w:r w:rsidRPr="003D503B">
        <w:rPr>
          <w:rFonts w:ascii="Times New Roman" w:hAnsi="Times New Roman" w:cs="Times New Roman"/>
          <w:color w:val="000000" w:themeColor="text1"/>
          <w:sz w:val="24"/>
          <w:szCs w:val="24"/>
        </w:rPr>
        <w:t>0 day</w:t>
      </w:r>
      <w:proofErr w:type="gramEnd"/>
      <w:r w:rsidRPr="003D503B">
        <w:rPr>
          <w:rFonts w:ascii="Times New Roman" w:hAnsi="Times New Roman" w:cs="Times New Roman"/>
          <w:color w:val="000000" w:themeColor="text1"/>
          <w:sz w:val="24"/>
          <w:szCs w:val="24"/>
        </w:rPr>
        <w:t xml:space="preserve"> kidney with normal structure of</w:t>
      </w:r>
      <w:r w:rsidRPr="003D503B">
        <w:rPr>
          <w:rFonts w:ascii="Times New Roman" w:hAnsi="Times New Roman" w:cs="Times New Roman"/>
          <w:sz w:val="24"/>
          <w:szCs w:val="24"/>
        </w:rPr>
        <w:t xml:space="preserve"> </w:t>
      </w:r>
      <w:r w:rsidRPr="003D503B">
        <w:rPr>
          <w:rFonts w:ascii="Times New Roman" w:hAnsi="Times New Roman" w:cs="Times New Roman"/>
          <w:color w:val="000000" w:themeColor="text1"/>
          <w:sz w:val="24"/>
          <w:szCs w:val="24"/>
        </w:rPr>
        <w:t xml:space="preserve">glomerulus and Renal Tubules (RT) (B) 15 days kidney showed shrunken Glomerular structure (G) (C) 30 days kidney showed no dilation of the lumina of Renal Tubules (RT) (D) 45 days kidney showed noted </w:t>
      </w:r>
      <w:proofErr w:type="spellStart"/>
      <w:r w:rsidRPr="003D503B">
        <w:rPr>
          <w:rFonts w:ascii="Times New Roman" w:hAnsi="Times New Roman" w:cs="Times New Roman"/>
          <w:color w:val="000000" w:themeColor="text1"/>
          <w:sz w:val="24"/>
          <w:szCs w:val="24"/>
        </w:rPr>
        <w:t>Degenration</w:t>
      </w:r>
      <w:proofErr w:type="spellEnd"/>
      <w:r w:rsidRPr="003D503B">
        <w:rPr>
          <w:rFonts w:ascii="Times New Roman" w:hAnsi="Times New Roman" w:cs="Times New Roman"/>
          <w:color w:val="000000" w:themeColor="text1"/>
          <w:sz w:val="24"/>
          <w:szCs w:val="24"/>
        </w:rPr>
        <w:t xml:space="preserve"> of Glomeruli (DG) and vacuolated blood cells</w:t>
      </w:r>
      <w:r w:rsidRPr="003D503B">
        <w:rPr>
          <w:rFonts w:ascii="Times New Roman" w:hAnsi="Times New Roman" w:cs="Times New Roman"/>
          <w:sz w:val="24"/>
          <w:szCs w:val="24"/>
        </w:rPr>
        <w:t>.</w:t>
      </w:r>
      <w:r w:rsidRPr="003D503B">
        <w:rPr>
          <w:rFonts w:ascii="Times New Roman" w:hAnsi="Times New Roman" w:cs="Times New Roman"/>
          <w:color w:val="000000" w:themeColor="text1"/>
          <w:sz w:val="24"/>
          <w:szCs w:val="24"/>
        </w:rPr>
        <w:t xml:space="preserve"> (Magnification: A, B, C, D = 40x)</w:t>
      </w:r>
    </w:p>
    <w:p w14:paraId="608F2CE7" w14:textId="77777777" w:rsidR="00EF1468" w:rsidRPr="003D503B" w:rsidRDefault="00EF1468" w:rsidP="001F3095">
      <w:pPr>
        <w:tabs>
          <w:tab w:val="left" w:pos="284"/>
        </w:tabs>
        <w:spacing w:after="160" w:line="360" w:lineRule="auto"/>
        <w:ind w:left="284"/>
        <w:jc w:val="both"/>
        <w:rPr>
          <w:rFonts w:ascii="Times New Roman" w:eastAsia="Calibri" w:hAnsi="Times New Roman" w:cs="Times New Roman"/>
          <w:sz w:val="24"/>
          <w:szCs w:val="24"/>
          <w:lang w:bidi="hi-IN"/>
        </w:rPr>
      </w:pPr>
      <w:r w:rsidRPr="003D503B">
        <w:rPr>
          <w:rFonts w:ascii="Times New Roman" w:eastAsia="Calibri" w:hAnsi="Times New Roman" w:cs="Times New Roman"/>
          <w:sz w:val="24"/>
          <w:szCs w:val="24"/>
          <w:lang w:bidi="hi-IN"/>
        </w:rPr>
        <w:tab/>
        <w:t xml:space="preserve"> </w:t>
      </w:r>
    </w:p>
    <w:p w14:paraId="6FBA8C55" w14:textId="77777777" w:rsidR="00EF1468" w:rsidRPr="003D503B" w:rsidRDefault="00EF1468" w:rsidP="001F3095">
      <w:pPr>
        <w:tabs>
          <w:tab w:val="left" w:pos="142"/>
        </w:tabs>
        <w:spacing w:after="0" w:line="360" w:lineRule="auto"/>
        <w:ind w:left="142" w:firstLine="142"/>
        <w:jc w:val="both"/>
        <w:rPr>
          <w:rFonts w:ascii="Times New Roman" w:eastAsia="Times New Roman" w:hAnsi="Times New Roman" w:cs="Times New Roman"/>
          <w:sz w:val="24"/>
          <w:szCs w:val="24"/>
        </w:rPr>
      </w:pPr>
    </w:p>
    <w:p w14:paraId="62A680BA" w14:textId="77777777" w:rsidR="00EF1468" w:rsidRPr="003D503B" w:rsidRDefault="00EF1468" w:rsidP="001F3095">
      <w:pPr>
        <w:keepNext/>
        <w:tabs>
          <w:tab w:val="left" w:pos="142"/>
        </w:tabs>
        <w:spacing w:line="360" w:lineRule="auto"/>
        <w:ind w:left="142" w:firstLine="142"/>
        <w:rPr>
          <w:rFonts w:ascii="Times New Roman" w:hAnsi="Times New Roman" w:cs="Times New Roman"/>
          <w:sz w:val="24"/>
          <w:szCs w:val="24"/>
        </w:rPr>
      </w:pPr>
      <w:r w:rsidRPr="003D503B">
        <w:rPr>
          <w:rFonts w:ascii="Times New Roman" w:eastAsia="Times New Roman" w:hAnsi="Times New Roman" w:cs="Times New Roman"/>
          <w:b/>
          <w:noProof/>
          <w:color w:val="000000"/>
          <w:sz w:val="24"/>
          <w:szCs w:val="24"/>
        </w:rPr>
        <w:lastRenderedPageBreak/>
        <w:drawing>
          <wp:inline distT="0" distB="0" distL="0" distR="0" wp14:anchorId="56D35097" wp14:editId="03C788D3">
            <wp:extent cx="5777865" cy="4752541"/>
            <wp:effectExtent l="19050" t="0" r="0" b="0"/>
            <wp:docPr id="28"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858281" cy="7286651"/>
                      <a:chOff x="-1" y="0"/>
                      <a:chExt cx="8858281" cy="7286651"/>
                    </a:xfrm>
                  </a:grpSpPr>
                  <a:grpSp>
                    <a:nvGrpSpPr>
                      <a:cNvPr id="24" name="Group 23"/>
                      <a:cNvGrpSpPr/>
                    </a:nvGrpSpPr>
                    <a:grpSpPr>
                      <a:xfrm>
                        <a:off x="-1" y="0"/>
                        <a:ext cx="8858281" cy="7286651"/>
                        <a:chOff x="-1" y="0"/>
                        <a:chExt cx="8858281" cy="7286651"/>
                      </a:xfrm>
                    </a:grpSpPr>
                    <a:pic>
                      <a:nvPicPr>
                        <a:cNvPr id="2" name="Picture 1" descr="D:\histology photos\KIDNEY C14.bmp"/>
                        <a:cNvPicPr>
                          <a:picLocks noChangeAspect="1"/>
                        </a:cNvPicPr>
                      </a:nvPicPr>
                      <a:blipFill>
                        <a:blip r:embed="rId20" cstate="print"/>
                        <a:srcRect r="22406"/>
                        <a:stretch>
                          <a:fillRect/>
                        </a:stretch>
                      </a:blipFill>
                      <a:spPr bwMode="auto">
                        <a:xfrm>
                          <a:off x="-1" y="0"/>
                          <a:ext cx="4357687" cy="357187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pic>
                      <a:nvPicPr>
                        <a:cNvPr id="3" name="Picture 2" descr="D:\lavksuh\3K.jpg"/>
                        <a:cNvPicPr>
                          <a:picLocks noChangeAspect="1"/>
                        </a:cNvPicPr>
                      </a:nvPicPr>
                      <a:blipFill>
                        <a:blip r:embed="rId24" cstate="print"/>
                        <a:srcRect l="24926" t="5273" r="31598" b="22582"/>
                        <a:stretch>
                          <a:fillRect/>
                        </a:stretch>
                      </a:blipFill>
                      <a:spPr bwMode="auto">
                        <a:xfrm>
                          <a:off x="4500562" y="0"/>
                          <a:ext cx="4357686" cy="357187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pic>
                      <a:nvPicPr>
                        <a:cNvPr id="4" name="Picture 3" descr="D:\lavksuh\7K.jpg"/>
                        <a:cNvPicPr>
                          <a:picLocks noChangeAspect="1"/>
                        </a:cNvPicPr>
                      </a:nvPicPr>
                      <a:blipFill>
                        <a:blip r:embed="rId25" cstate="print"/>
                        <a:srcRect l="16498" t="17461" r="44129" b="8057"/>
                        <a:stretch>
                          <a:fillRect/>
                        </a:stretch>
                      </a:blipFill>
                      <a:spPr bwMode="auto">
                        <a:xfrm>
                          <a:off x="1" y="3714752"/>
                          <a:ext cx="4357686" cy="357187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pic>
                      <a:nvPicPr>
                        <a:cNvPr id="5" name="Picture 4" descr="D:\histology photos\40X 45 DAYS WASTE KIDNEY.bmp"/>
                        <a:cNvPicPr>
                          <a:picLocks noChangeAspect="1"/>
                        </a:cNvPicPr>
                      </a:nvPicPr>
                      <a:blipFill>
                        <a:blip r:embed="rId26" cstate="print"/>
                        <a:srcRect l="7197"/>
                        <a:stretch>
                          <a:fillRect/>
                        </a:stretch>
                      </a:blipFill>
                      <a:spPr bwMode="auto">
                        <a:xfrm>
                          <a:off x="4500562" y="3714752"/>
                          <a:ext cx="4357718" cy="357189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sp>
                      <a:nvSpPr>
                        <a:cNvPr id="6" name="TextBox 5"/>
                        <a:cNvSpPr txBox="1"/>
                      </a:nvSpPr>
                      <a:spPr>
                        <a:xfrm>
                          <a:off x="0" y="0"/>
                          <a:ext cx="357158" cy="369332"/>
                        </a:xfrm>
                        <a:prstGeom prst="rect">
                          <a:avLst/>
                        </a:prstGeom>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b="1" dirty="0"/>
                              <a:t>E</a:t>
                            </a:r>
                            <a:endParaRPr lang="en-US" b="1" dirty="0"/>
                          </a:p>
                        </a:txBody>
                        <a:useSpRect/>
                      </a:txSp>
                      <a:style>
                        <a:lnRef idx="2">
                          <a:schemeClr val="dk1"/>
                        </a:lnRef>
                        <a:fillRef idx="1">
                          <a:schemeClr val="lt1"/>
                        </a:fillRef>
                        <a:effectRef idx="0">
                          <a:schemeClr val="dk1"/>
                        </a:effectRef>
                        <a:fontRef idx="minor">
                          <a:schemeClr val="dk1"/>
                        </a:fontRef>
                      </a:style>
                    </a:sp>
                    <a:sp>
                      <a:nvSpPr>
                        <a:cNvPr id="7" name="TextBox 6"/>
                        <a:cNvSpPr txBox="1"/>
                      </a:nvSpPr>
                      <a:spPr>
                        <a:xfrm>
                          <a:off x="4500562" y="3714752"/>
                          <a:ext cx="357158" cy="369332"/>
                        </a:xfrm>
                        <a:prstGeom prst="rect">
                          <a:avLst/>
                        </a:prstGeom>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b="1" dirty="0"/>
                              <a:t>H</a:t>
                            </a:r>
                            <a:endParaRPr lang="en-US" b="1" dirty="0"/>
                          </a:p>
                        </a:txBody>
                        <a:useSpRect/>
                      </a:txSp>
                      <a:style>
                        <a:lnRef idx="2">
                          <a:schemeClr val="dk1"/>
                        </a:lnRef>
                        <a:fillRef idx="1">
                          <a:schemeClr val="lt1"/>
                        </a:fillRef>
                        <a:effectRef idx="0">
                          <a:schemeClr val="dk1"/>
                        </a:effectRef>
                        <a:fontRef idx="minor">
                          <a:schemeClr val="dk1"/>
                        </a:fontRef>
                      </a:style>
                    </a:sp>
                    <a:sp>
                      <a:nvSpPr>
                        <a:cNvPr id="8" name="TextBox 7"/>
                        <a:cNvSpPr txBox="1"/>
                      </a:nvSpPr>
                      <a:spPr>
                        <a:xfrm>
                          <a:off x="0" y="3714752"/>
                          <a:ext cx="357158" cy="369332"/>
                        </a:xfrm>
                        <a:prstGeom prst="rect">
                          <a:avLst/>
                        </a:prstGeom>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b="1" dirty="0"/>
                              <a:t>G</a:t>
                            </a:r>
                            <a:endParaRPr lang="en-US" b="1" dirty="0"/>
                          </a:p>
                        </a:txBody>
                        <a:useSpRect/>
                      </a:txSp>
                      <a:style>
                        <a:lnRef idx="2">
                          <a:schemeClr val="dk1"/>
                        </a:lnRef>
                        <a:fillRef idx="1">
                          <a:schemeClr val="lt1"/>
                        </a:fillRef>
                        <a:effectRef idx="0">
                          <a:schemeClr val="dk1"/>
                        </a:effectRef>
                        <a:fontRef idx="minor">
                          <a:schemeClr val="dk1"/>
                        </a:fontRef>
                      </a:style>
                    </a:sp>
                    <a:sp>
                      <a:nvSpPr>
                        <a:cNvPr id="9" name="TextBox 8"/>
                        <a:cNvSpPr txBox="1"/>
                      </a:nvSpPr>
                      <a:spPr>
                        <a:xfrm>
                          <a:off x="4500562" y="0"/>
                          <a:ext cx="357158" cy="369332"/>
                        </a:xfrm>
                        <a:prstGeom prst="rect">
                          <a:avLst/>
                        </a:prstGeom>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b="1" dirty="0"/>
                              <a:t>F</a:t>
                            </a:r>
                            <a:endParaRPr lang="en-US" b="1" dirty="0"/>
                          </a:p>
                        </a:txBody>
                        <a:useSpRect/>
                      </a:txSp>
                      <a:style>
                        <a:lnRef idx="2">
                          <a:schemeClr val="dk1"/>
                        </a:lnRef>
                        <a:fillRef idx="1">
                          <a:schemeClr val="lt1"/>
                        </a:fillRef>
                        <a:effectRef idx="0">
                          <a:schemeClr val="dk1"/>
                        </a:effectRef>
                        <a:fontRef idx="minor">
                          <a:schemeClr val="dk1"/>
                        </a:fontRef>
                      </a:style>
                    </a:sp>
                    <a:cxnSp>
                      <a:nvCxnSpPr>
                        <a:cNvPr id="11" name="Straight Arrow Connector 10"/>
                        <a:cNvCxnSpPr/>
                      </a:nvCxnSpPr>
                      <a:spPr>
                        <a:xfrm rot="16200000" flipH="1">
                          <a:off x="1357302" y="6429384"/>
                          <a:ext cx="785794" cy="71438"/>
                        </a:xfrm>
                        <a:prstGeom prst="straightConnector1">
                          <a:avLst/>
                        </a:prstGeom>
                        <a:ln w="28575">
                          <a:tailEnd type="arrow"/>
                        </a:ln>
                      </a:spPr>
                      <a:style>
                        <a:lnRef idx="1">
                          <a:schemeClr val="dk1"/>
                        </a:lnRef>
                        <a:fillRef idx="0">
                          <a:schemeClr val="dk1"/>
                        </a:fillRef>
                        <a:effectRef idx="0">
                          <a:schemeClr val="dk1"/>
                        </a:effectRef>
                        <a:fontRef idx="minor">
                          <a:schemeClr val="tx1"/>
                        </a:fontRef>
                      </a:style>
                    </a:cxnSp>
                    <a:cxnSp>
                      <a:nvCxnSpPr>
                        <a:cNvPr id="14" name="Straight Arrow Connector 13"/>
                        <a:cNvCxnSpPr/>
                      </a:nvCxnSpPr>
                      <a:spPr>
                        <a:xfrm rot="5400000">
                          <a:off x="1816887" y="6388927"/>
                          <a:ext cx="652442" cy="571504"/>
                        </a:xfrm>
                        <a:prstGeom prst="straightConnector1">
                          <a:avLst/>
                        </a:prstGeom>
                        <a:ln w="28575">
                          <a:tailEnd type="arrow"/>
                        </a:ln>
                      </a:spPr>
                      <a:style>
                        <a:lnRef idx="1">
                          <a:schemeClr val="dk1"/>
                        </a:lnRef>
                        <a:fillRef idx="0">
                          <a:schemeClr val="dk1"/>
                        </a:fillRef>
                        <a:effectRef idx="0">
                          <a:schemeClr val="dk1"/>
                        </a:effectRef>
                        <a:fontRef idx="minor">
                          <a:schemeClr val="tx1"/>
                        </a:fontRef>
                      </a:style>
                    </a:cxnSp>
                    <a:sp>
                      <a:nvSpPr>
                        <a:cNvPr id="20" name="TextBox 19"/>
                        <a:cNvSpPr txBox="1"/>
                      </a:nvSpPr>
                      <a:spPr>
                        <a:xfrm>
                          <a:off x="2357422" y="6143644"/>
                          <a:ext cx="1000132"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G</a:t>
                            </a:r>
                            <a:endParaRPr lang="en-US" b="1" dirty="0"/>
                          </a:p>
                        </a:txBody>
                        <a:useSpRect/>
                      </a:txSp>
                    </a:sp>
                    <a:sp>
                      <a:nvSpPr>
                        <a:cNvPr id="21" name="TextBox 20"/>
                        <a:cNvSpPr txBox="1"/>
                      </a:nvSpPr>
                      <a:spPr>
                        <a:xfrm>
                          <a:off x="1428728" y="5715016"/>
                          <a:ext cx="1000132"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BS</a:t>
                            </a:r>
                            <a:endParaRPr lang="en-US" b="1" dirty="0"/>
                          </a:p>
                        </a:txBody>
                        <a:useSpRect/>
                      </a:txSp>
                    </a:sp>
                    <a:cxnSp>
                      <a:nvCxnSpPr>
                        <a:cNvPr id="22" name="Straight Arrow Connector 21"/>
                        <a:cNvCxnSpPr/>
                      </a:nvCxnSpPr>
                      <a:spPr>
                        <a:xfrm rot="5400000">
                          <a:off x="6638952" y="1076296"/>
                          <a:ext cx="438128" cy="285752"/>
                        </a:xfrm>
                        <a:prstGeom prst="straightConnector1">
                          <a:avLst/>
                        </a:prstGeom>
                        <a:ln w="28575">
                          <a:tailEnd type="arrow"/>
                        </a:ln>
                      </a:spPr>
                      <a:style>
                        <a:lnRef idx="1">
                          <a:schemeClr val="dk1"/>
                        </a:lnRef>
                        <a:fillRef idx="0">
                          <a:schemeClr val="dk1"/>
                        </a:fillRef>
                        <a:effectRef idx="0">
                          <a:schemeClr val="dk1"/>
                        </a:effectRef>
                        <a:fontRef idx="minor">
                          <a:schemeClr val="tx1"/>
                        </a:fontRef>
                      </a:style>
                    </a:cxnSp>
                    <a:cxnSp>
                      <a:nvCxnSpPr>
                        <a:cNvPr id="23" name="Straight Arrow Connector 22"/>
                        <a:cNvCxnSpPr/>
                      </a:nvCxnSpPr>
                      <a:spPr>
                        <a:xfrm>
                          <a:off x="7439044" y="938194"/>
                          <a:ext cx="490542" cy="61914"/>
                        </a:xfrm>
                        <a:prstGeom prst="straightConnector1">
                          <a:avLst/>
                        </a:prstGeom>
                        <a:ln w="28575">
                          <a:tailEnd type="arrow"/>
                        </a:ln>
                      </a:spPr>
                      <a:style>
                        <a:lnRef idx="1">
                          <a:schemeClr val="dk1"/>
                        </a:lnRef>
                        <a:fillRef idx="0">
                          <a:schemeClr val="dk1"/>
                        </a:fillRef>
                        <a:effectRef idx="0">
                          <a:schemeClr val="dk1"/>
                        </a:effectRef>
                        <a:fontRef idx="minor">
                          <a:schemeClr val="tx1"/>
                        </a:fontRef>
                      </a:style>
                    </a:cxnSp>
                    <a:sp>
                      <a:nvSpPr>
                        <a:cNvPr id="26" name="TextBox 25"/>
                        <a:cNvSpPr txBox="1"/>
                      </a:nvSpPr>
                      <a:spPr>
                        <a:xfrm>
                          <a:off x="7000892" y="785794"/>
                          <a:ext cx="642942"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RT</a:t>
                            </a:r>
                            <a:endParaRPr lang="en-US" b="1" dirty="0"/>
                          </a:p>
                        </a:txBody>
                        <a:useSpRect/>
                      </a:txSp>
                    </a:sp>
                    <a:cxnSp>
                      <a:nvCxnSpPr>
                        <a:cNvPr id="27" name="Straight Arrow Connector 26"/>
                        <a:cNvCxnSpPr>
                          <a:stCxn id="32" idx="1"/>
                        </a:cNvCxnSpPr>
                      </a:nvCxnSpPr>
                      <a:spPr>
                        <a:xfrm rot="10800000" flipV="1">
                          <a:off x="6143636" y="5445783"/>
                          <a:ext cx="357190" cy="778798"/>
                        </a:xfrm>
                        <a:prstGeom prst="straightConnector1">
                          <a:avLst/>
                        </a:prstGeom>
                        <a:ln>
                          <a:tailEnd type="arrow"/>
                        </a:ln>
                      </a:spPr>
                      <a:style>
                        <a:lnRef idx="3">
                          <a:schemeClr val="accent6"/>
                        </a:lnRef>
                        <a:fillRef idx="0">
                          <a:schemeClr val="accent6"/>
                        </a:fillRef>
                        <a:effectRef idx="2">
                          <a:schemeClr val="accent6"/>
                        </a:effectRef>
                        <a:fontRef idx="minor">
                          <a:schemeClr val="tx1"/>
                        </a:fontRef>
                      </a:style>
                    </a:cxnSp>
                    <a:cxnSp>
                      <a:nvCxnSpPr>
                        <a:cNvPr id="29" name="Straight Arrow Connector 28"/>
                        <a:cNvCxnSpPr/>
                      </a:nvCxnSpPr>
                      <a:spPr>
                        <a:xfrm flipV="1">
                          <a:off x="7143768" y="5286388"/>
                          <a:ext cx="1000132" cy="71438"/>
                        </a:xfrm>
                        <a:prstGeom prst="straightConnector1">
                          <a:avLst/>
                        </a:prstGeom>
                        <a:ln>
                          <a:tailEnd type="arrow"/>
                        </a:ln>
                      </a:spPr>
                      <a:style>
                        <a:lnRef idx="3">
                          <a:schemeClr val="accent6"/>
                        </a:lnRef>
                        <a:fillRef idx="0">
                          <a:schemeClr val="accent6"/>
                        </a:fillRef>
                        <a:effectRef idx="2">
                          <a:schemeClr val="accent6"/>
                        </a:effectRef>
                        <a:fontRef idx="minor">
                          <a:schemeClr val="tx1"/>
                        </a:fontRef>
                      </a:style>
                    </a:cxnSp>
                    <a:sp>
                      <a:nvSpPr>
                        <a:cNvPr id="32" name="TextBox 31"/>
                        <a:cNvSpPr txBox="1"/>
                      </a:nvSpPr>
                      <a:spPr>
                        <a:xfrm>
                          <a:off x="6500826" y="5214950"/>
                          <a:ext cx="785818" cy="461665"/>
                        </a:xfrm>
                        <a:prstGeom prst="rect">
                          <a:avLst/>
                        </a:prstGeom>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sz="2400" b="1" dirty="0" smtClean="0">
                                <a:solidFill>
                                  <a:schemeClr val="tx1"/>
                                </a:solidFill>
                              </a:rPr>
                              <a:t>SDG</a:t>
                            </a:r>
                            <a:endParaRPr lang="en-US" sz="2400" b="1" dirty="0">
                              <a:ln w="12700">
                                <a:solidFill>
                                  <a:schemeClr val="tx2">
                                    <a:satMod val="155000"/>
                                  </a:schemeClr>
                                </a:solidFill>
                                <a:prstDash val="solid"/>
                              </a:ln>
                              <a:solidFill>
                                <a:schemeClr val="tx1"/>
                              </a:solidFill>
                              <a:effectLst>
                                <a:outerShdw blurRad="41275" dist="20320" dir="1800000" algn="tl" rotWithShape="0">
                                  <a:srgbClr val="000000">
                                    <a:alpha val="40000"/>
                                  </a:srgbClr>
                                </a:outerShdw>
                              </a:effectLst>
                            </a:endParaRPr>
                          </a:p>
                        </a:txBody>
                        <a:useSpRect/>
                      </a:txSp>
                      <a:style>
                        <a:lnRef idx="2">
                          <a:schemeClr val="accent2"/>
                        </a:lnRef>
                        <a:fillRef idx="1">
                          <a:schemeClr val="lt1"/>
                        </a:fillRef>
                        <a:effectRef idx="0">
                          <a:schemeClr val="accent2"/>
                        </a:effectRef>
                        <a:fontRef idx="minor">
                          <a:schemeClr val="dk1"/>
                        </a:fontRef>
                      </a:style>
                    </a:sp>
                    <a:cxnSp>
                      <a:nvCxnSpPr>
                        <a:cNvPr id="34" name="Straight Arrow Connector 33"/>
                        <a:cNvCxnSpPr/>
                      </a:nvCxnSpPr>
                      <a:spPr>
                        <a:xfrm rot="5400000">
                          <a:off x="1888325" y="1183453"/>
                          <a:ext cx="652442" cy="571504"/>
                        </a:xfrm>
                        <a:prstGeom prst="straightConnector1">
                          <a:avLst/>
                        </a:prstGeom>
                        <a:ln w="28575">
                          <a:tailEnd type="arrow"/>
                        </a:ln>
                      </a:spPr>
                      <a:style>
                        <a:lnRef idx="1">
                          <a:schemeClr val="dk1"/>
                        </a:lnRef>
                        <a:fillRef idx="0">
                          <a:schemeClr val="dk1"/>
                        </a:fillRef>
                        <a:effectRef idx="0">
                          <a:schemeClr val="dk1"/>
                        </a:effectRef>
                        <a:fontRef idx="minor">
                          <a:schemeClr val="tx1"/>
                        </a:fontRef>
                      </a:style>
                    </a:cxnSp>
                    <a:sp>
                      <a:nvSpPr>
                        <a:cNvPr id="38" name="TextBox 37"/>
                        <a:cNvSpPr txBox="1"/>
                      </a:nvSpPr>
                      <a:spPr>
                        <a:xfrm>
                          <a:off x="2571736" y="785794"/>
                          <a:ext cx="500066"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RT</a:t>
                            </a:r>
                            <a:endParaRPr lang="en-US" b="1" dirty="0"/>
                          </a:p>
                        </a:txBody>
                        <a:useSpRect/>
                      </a:txSp>
                    </a:sp>
                  </a:grpSp>
                </lc:lockedCanvas>
              </a:graphicData>
            </a:graphic>
          </wp:inline>
        </w:drawing>
      </w:r>
    </w:p>
    <w:p w14:paraId="28A5567C" w14:textId="77777777" w:rsidR="000E6DC6" w:rsidRDefault="00EF1468" w:rsidP="003661BC">
      <w:pPr>
        <w:pStyle w:val="Caption"/>
        <w:tabs>
          <w:tab w:val="left" w:pos="284"/>
        </w:tabs>
        <w:ind w:left="284"/>
        <w:jc w:val="both"/>
        <w:rPr>
          <w:rFonts w:ascii="Times New Roman" w:hAnsi="Times New Roman" w:cs="Times New Roman"/>
          <w:b w:val="0"/>
          <w:color w:val="000000" w:themeColor="text1"/>
          <w:sz w:val="24"/>
          <w:szCs w:val="24"/>
        </w:rPr>
      </w:pPr>
      <w:r w:rsidRPr="003D503B">
        <w:rPr>
          <w:rFonts w:ascii="Times New Roman" w:hAnsi="Times New Roman" w:cs="Times New Roman"/>
          <w:color w:val="000000" w:themeColor="text1"/>
          <w:sz w:val="24"/>
          <w:szCs w:val="24"/>
        </w:rPr>
        <w:t>Fig</w:t>
      </w:r>
      <w:r w:rsidRPr="003D503B">
        <w:rPr>
          <w:rFonts w:ascii="Times New Roman" w:hAnsi="Times New Roman" w:cs="Times New Roman"/>
          <w:b w:val="0"/>
          <w:color w:val="000000" w:themeColor="text1"/>
          <w:sz w:val="24"/>
          <w:szCs w:val="24"/>
        </w:rPr>
        <w:t>-</w:t>
      </w:r>
      <w:r w:rsidRPr="003D503B">
        <w:rPr>
          <w:rFonts w:ascii="Times New Roman" w:hAnsi="Times New Roman" w:cs="Times New Roman"/>
          <w:color w:val="000000" w:themeColor="text1"/>
          <w:sz w:val="24"/>
          <w:szCs w:val="24"/>
        </w:rPr>
        <w:t>6</w:t>
      </w:r>
      <w:r w:rsidRPr="003D503B">
        <w:rPr>
          <w:rFonts w:ascii="Times New Roman" w:hAnsi="Times New Roman" w:cs="Times New Roman"/>
          <w:b w:val="0"/>
          <w:color w:val="000000" w:themeColor="text1"/>
          <w:sz w:val="24"/>
          <w:szCs w:val="24"/>
        </w:rPr>
        <w:t xml:space="preserve">. Microscopic photographs of histopathological lesions in RO waste water reared fish’s kidney </w:t>
      </w:r>
      <w:r w:rsidRPr="003D503B">
        <w:rPr>
          <w:rFonts w:ascii="Times New Roman" w:hAnsi="Times New Roman" w:cs="Times New Roman"/>
          <w:color w:val="000000" w:themeColor="text1"/>
          <w:sz w:val="24"/>
          <w:szCs w:val="24"/>
        </w:rPr>
        <w:t>(E)</w:t>
      </w:r>
      <w:r w:rsidRPr="003D503B">
        <w:rPr>
          <w:rFonts w:ascii="Times New Roman" w:hAnsi="Times New Roman" w:cs="Times New Roman"/>
          <w:b w:val="0"/>
          <w:color w:val="000000" w:themeColor="text1"/>
          <w:sz w:val="24"/>
          <w:szCs w:val="24"/>
        </w:rPr>
        <w:t xml:space="preserve"> </w:t>
      </w:r>
      <w:proofErr w:type="gramStart"/>
      <w:r w:rsidRPr="003D503B">
        <w:rPr>
          <w:rFonts w:ascii="Times New Roman" w:hAnsi="Times New Roman" w:cs="Times New Roman"/>
          <w:b w:val="0"/>
          <w:color w:val="000000" w:themeColor="text1"/>
          <w:sz w:val="24"/>
          <w:szCs w:val="24"/>
        </w:rPr>
        <w:t>0 day</w:t>
      </w:r>
      <w:proofErr w:type="gramEnd"/>
      <w:r w:rsidRPr="003D503B">
        <w:rPr>
          <w:rFonts w:ascii="Times New Roman" w:hAnsi="Times New Roman" w:cs="Times New Roman"/>
          <w:b w:val="0"/>
          <w:color w:val="000000" w:themeColor="text1"/>
          <w:sz w:val="24"/>
          <w:szCs w:val="24"/>
        </w:rPr>
        <w:t xml:space="preserve"> kidney with normal structure of glomerulus and Renal Tubules (RT) </w:t>
      </w:r>
      <w:r w:rsidRPr="003D503B">
        <w:rPr>
          <w:rFonts w:ascii="Times New Roman" w:hAnsi="Times New Roman" w:cs="Times New Roman"/>
          <w:color w:val="000000" w:themeColor="text1"/>
          <w:sz w:val="24"/>
          <w:szCs w:val="24"/>
        </w:rPr>
        <w:t>(F)</w:t>
      </w:r>
      <w:r w:rsidRPr="003D503B">
        <w:rPr>
          <w:rFonts w:ascii="Times New Roman" w:hAnsi="Times New Roman" w:cs="Times New Roman"/>
          <w:b w:val="0"/>
          <w:color w:val="000000" w:themeColor="text1"/>
          <w:sz w:val="24"/>
          <w:szCs w:val="24"/>
        </w:rPr>
        <w:t xml:space="preserve"> 15 days kidney showed shrunken Glomerular structure (G) and Renal Tubules (RT) </w:t>
      </w:r>
      <w:r w:rsidRPr="003D503B">
        <w:rPr>
          <w:rFonts w:ascii="Times New Roman" w:hAnsi="Times New Roman" w:cs="Times New Roman"/>
          <w:color w:val="000000" w:themeColor="text1"/>
          <w:sz w:val="24"/>
          <w:szCs w:val="24"/>
        </w:rPr>
        <w:t>(G)</w:t>
      </w:r>
      <w:r w:rsidRPr="003D503B">
        <w:rPr>
          <w:rFonts w:ascii="Times New Roman" w:hAnsi="Times New Roman" w:cs="Times New Roman"/>
          <w:b w:val="0"/>
          <w:color w:val="000000" w:themeColor="text1"/>
          <w:sz w:val="24"/>
          <w:szCs w:val="24"/>
        </w:rPr>
        <w:t xml:space="preserve"> 30 days kidney showed no dilation of the lumina of Renal Tubules (RT) and Bowman’s Space (BS) </w:t>
      </w:r>
      <w:r w:rsidRPr="003D503B">
        <w:rPr>
          <w:rFonts w:ascii="Times New Roman" w:hAnsi="Times New Roman" w:cs="Times New Roman"/>
          <w:color w:val="000000" w:themeColor="text1"/>
          <w:sz w:val="24"/>
          <w:szCs w:val="24"/>
        </w:rPr>
        <w:t>(H)</w:t>
      </w:r>
      <w:r w:rsidRPr="003D503B">
        <w:rPr>
          <w:rFonts w:ascii="Times New Roman" w:hAnsi="Times New Roman" w:cs="Times New Roman"/>
          <w:b w:val="0"/>
          <w:color w:val="000000" w:themeColor="text1"/>
          <w:sz w:val="24"/>
          <w:szCs w:val="24"/>
        </w:rPr>
        <w:t xml:space="preserve"> 45 days kidney showed noted Shrunken and Degenerated Glomerulus (SDG) and vacuolated blood cells. (Magnification: E, F, G, H = 40x)</w:t>
      </w:r>
      <w:r w:rsidR="005A1EF1" w:rsidRPr="003D503B">
        <w:rPr>
          <w:rFonts w:ascii="Times New Roman" w:hAnsi="Times New Roman" w:cs="Times New Roman"/>
          <w:b w:val="0"/>
          <w:color w:val="000000" w:themeColor="text1"/>
          <w:sz w:val="24"/>
          <w:szCs w:val="24"/>
        </w:rPr>
        <w:t>.</w:t>
      </w:r>
    </w:p>
    <w:p w14:paraId="69F390A3" w14:textId="77777777" w:rsidR="003661BC" w:rsidRPr="003661BC" w:rsidRDefault="003661BC" w:rsidP="003661BC">
      <w:pPr>
        <w:tabs>
          <w:tab w:val="left" w:pos="142"/>
        </w:tabs>
        <w:spacing w:line="360" w:lineRule="auto"/>
        <w:ind w:left="142"/>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ab/>
      </w:r>
      <w:r w:rsidRPr="003661BC">
        <w:rPr>
          <w:rFonts w:ascii="Times New Roman" w:eastAsia="Times New Roman" w:hAnsi="Times New Roman" w:cs="Times New Roman"/>
          <w:bCs/>
          <w:sz w:val="24"/>
          <w:szCs w:val="24"/>
          <w:highlight w:val="yellow"/>
        </w:rPr>
        <w:t xml:space="preserve">According to Nero et al. (2006), fish exposed to oil-sands process-affected water containing naphthenic acids, ions, and polycyclic aromatic hydrocarbons showed similar histopathological changes in the gills, including clubbing and fusion of the SGL (secondary gill lamellae), due to proliferation of epithelial cells at the base and tip of the SGL. Bernet et al. (2004) reported that brown trout reared in river water mixed with treated sewage exhibited gill hypertrophy and hyperplasia of epithelial cells. Kaur and Dua (2014) reported similar findings during the rearing of </w:t>
      </w:r>
      <w:r w:rsidRPr="003661BC">
        <w:rPr>
          <w:rFonts w:ascii="Times New Roman" w:eastAsia="Times New Roman" w:hAnsi="Times New Roman" w:cs="Times New Roman"/>
          <w:bCs/>
          <w:i/>
          <w:iCs/>
          <w:sz w:val="24"/>
          <w:szCs w:val="24"/>
        </w:rPr>
        <w:t>Channa punctatus</w:t>
      </w:r>
      <w:r w:rsidRPr="003661BC">
        <w:rPr>
          <w:rFonts w:ascii="Times New Roman" w:eastAsia="Times New Roman" w:hAnsi="Times New Roman" w:cs="Times New Roman"/>
          <w:bCs/>
          <w:sz w:val="24"/>
          <w:szCs w:val="24"/>
          <w:highlight w:val="yellow"/>
        </w:rPr>
        <w:t xml:space="preserve"> in wastewater from industrial drains and domestic sewage. Histopathological analysis of specimens on days 15 and 30 showed signs of single-cell </w:t>
      </w:r>
      <w:r w:rsidRPr="003661BC">
        <w:rPr>
          <w:rFonts w:ascii="Times New Roman" w:eastAsia="Times New Roman" w:hAnsi="Times New Roman" w:cs="Times New Roman"/>
          <w:bCs/>
          <w:sz w:val="24"/>
          <w:szCs w:val="24"/>
          <w:highlight w:val="yellow"/>
        </w:rPr>
        <w:lastRenderedPageBreak/>
        <w:t xml:space="preserve">necrosis, pyknotic nuclei, and dilation of hepatic sinusoids in the day-15 specimens. In the day-30 specimens, vacuolation and melano-macrophages were observed. Instances of necrotic hepatocytes and increases in the number and size of Kupffer cells were also observed in brown trout reared in treated wastewater (Bernet et al., 2004). Similar results were reported by Nero et al. (2006) when fish were exposed to oil-sands process-affected water containing naphthenic acids, ions, and polycyclic aromatic hydrocarbons; liver changes included mild hepatocyte vacuolation and the presence of lymphocytes and macrophages. Kaur and Dua (2014) observed histological alterations in wastewater-reared </w:t>
      </w:r>
      <w:r w:rsidRPr="003661BC">
        <w:rPr>
          <w:rFonts w:ascii="Times New Roman" w:eastAsia="Times New Roman" w:hAnsi="Times New Roman" w:cs="Times New Roman"/>
          <w:bCs/>
          <w:i/>
          <w:iCs/>
          <w:sz w:val="24"/>
          <w:szCs w:val="24"/>
        </w:rPr>
        <w:t>Channa punctatus</w:t>
      </w:r>
      <w:r w:rsidRPr="003661BC">
        <w:rPr>
          <w:rFonts w:ascii="Times New Roman" w:eastAsia="Times New Roman" w:hAnsi="Times New Roman" w:cs="Times New Roman"/>
          <w:bCs/>
          <w:sz w:val="24"/>
          <w:szCs w:val="24"/>
          <w:highlight w:val="yellow"/>
        </w:rPr>
        <w:t>. The day-15 specimens showed damaged tubules and expansion of Bowman’s capsular space. The day-30 specimens showed glomerular contraction, with hypertrophy of cells lining the tubular lumen. Pyknotic nuclei were also observed in the haematopoietic tissue. According to Bernet et al. (2004), brown trout reared in treated wastewater had deposits in the tubules and interstitial tissue, thickening of Bowman’s capsule, and tubular proliferation.</w:t>
      </w:r>
      <w:r w:rsidRPr="003661BC">
        <w:rPr>
          <w:rFonts w:ascii="Times New Roman" w:eastAsia="Times New Roman" w:hAnsi="Times New Roman" w:cs="Times New Roman"/>
          <w:bCs/>
          <w:sz w:val="24"/>
          <w:szCs w:val="24"/>
        </w:rPr>
        <w:t xml:space="preserve"> </w:t>
      </w:r>
    </w:p>
    <w:p w14:paraId="4000A2E5" w14:textId="77777777" w:rsidR="001F4DFD" w:rsidRDefault="001F4DFD" w:rsidP="003D503B">
      <w:pPr>
        <w:tabs>
          <w:tab w:val="left" w:pos="284"/>
        </w:tabs>
        <w:spacing w:line="360" w:lineRule="auto"/>
        <w:ind w:left="142"/>
        <w:jc w:val="both"/>
        <w:rPr>
          <w:rFonts w:ascii="Times New Roman" w:eastAsia="Calibri" w:hAnsi="Times New Roman" w:cs="Times New Roman"/>
          <w:b/>
          <w:sz w:val="24"/>
          <w:szCs w:val="24"/>
          <w:lang w:bidi="hi-IN"/>
        </w:rPr>
      </w:pPr>
      <w:r>
        <w:rPr>
          <w:rFonts w:ascii="Times New Roman" w:eastAsia="Calibri" w:hAnsi="Times New Roman" w:cs="Times New Roman"/>
          <w:b/>
          <w:sz w:val="24"/>
          <w:szCs w:val="24"/>
          <w:lang w:bidi="hi-IN"/>
        </w:rPr>
        <w:t xml:space="preserve">5. </w:t>
      </w:r>
      <w:r w:rsidRPr="001F4DFD">
        <w:rPr>
          <w:rFonts w:ascii="Times New Roman" w:eastAsia="Calibri" w:hAnsi="Times New Roman" w:cs="Times New Roman"/>
          <w:b/>
          <w:sz w:val="24"/>
          <w:szCs w:val="24"/>
          <w:lang w:bidi="hi-IN"/>
        </w:rPr>
        <w:t xml:space="preserve">Conclusion </w:t>
      </w:r>
    </w:p>
    <w:p w14:paraId="7375F152" w14:textId="77777777" w:rsidR="003661BC" w:rsidRDefault="007D7A71" w:rsidP="003661BC">
      <w:pPr>
        <w:tabs>
          <w:tab w:val="left" w:pos="284"/>
        </w:tabs>
        <w:spacing w:after="0" w:line="360" w:lineRule="auto"/>
        <w:ind w:left="284" w:hanging="360"/>
        <w:contextualSpacing/>
        <w:jc w:val="both"/>
        <w:rPr>
          <w:rFonts w:ascii="Times New Roman" w:hAnsi="Times New Roman" w:cs="Times New Roman"/>
          <w:bCs/>
          <w:sz w:val="24"/>
        </w:rPr>
      </w:pPr>
      <w:r>
        <w:rPr>
          <w:rFonts w:ascii="Times New Roman" w:hAnsi="Times New Roman" w:cs="Times New Roman"/>
          <w:bCs/>
          <w:sz w:val="24"/>
          <w:lang w:val="en-IN"/>
        </w:rPr>
        <w:tab/>
      </w:r>
      <w:r>
        <w:rPr>
          <w:rFonts w:ascii="Times New Roman" w:hAnsi="Times New Roman" w:cs="Times New Roman"/>
          <w:bCs/>
          <w:sz w:val="24"/>
          <w:lang w:val="en-IN"/>
        </w:rPr>
        <w:tab/>
      </w:r>
      <w:r w:rsidR="003661BC" w:rsidRPr="003661BC">
        <w:rPr>
          <w:rFonts w:ascii="Times New Roman" w:hAnsi="Times New Roman" w:cs="Times New Roman"/>
          <w:bCs/>
          <w:sz w:val="24"/>
        </w:rPr>
        <w:t xml:space="preserve">The histopathological analysis revealed that the </w:t>
      </w:r>
      <w:r w:rsidR="003661BC" w:rsidRPr="003661BC">
        <w:rPr>
          <w:rFonts w:ascii="Times New Roman" w:hAnsi="Times New Roman" w:cs="Times New Roman"/>
          <w:bCs/>
          <w:sz w:val="24"/>
          <w:highlight w:val="yellow"/>
        </w:rPr>
        <w:t>gill tissues of fish</w:t>
      </w:r>
      <w:r w:rsidR="003661BC" w:rsidRPr="003661BC">
        <w:rPr>
          <w:rFonts w:ascii="Times New Roman" w:hAnsi="Times New Roman" w:cs="Times New Roman"/>
          <w:bCs/>
          <w:sz w:val="24"/>
        </w:rPr>
        <w:t xml:space="preserve"> reared in RO water developed prominent knob-like structures at the ends of the gill lamellae. Furthermore, </w:t>
      </w:r>
      <w:r w:rsidR="003661BC" w:rsidRPr="003661BC">
        <w:rPr>
          <w:rFonts w:ascii="Times New Roman" w:hAnsi="Times New Roman" w:cs="Times New Roman"/>
          <w:bCs/>
          <w:sz w:val="24"/>
          <w:highlight w:val="yellow"/>
        </w:rPr>
        <w:t>fish reared</w:t>
      </w:r>
      <w:r w:rsidR="003661BC" w:rsidRPr="003661BC">
        <w:rPr>
          <w:rFonts w:ascii="Times New Roman" w:hAnsi="Times New Roman" w:cs="Times New Roman"/>
          <w:bCs/>
          <w:sz w:val="24"/>
        </w:rPr>
        <w:t xml:space="preserve"> in RO wastewater exhibited </w:t>
      </w:r>
      <w:r w:rsidR="003661BC" w:rsidRPr="003661BC">
        <w:rPr>
          <w:rFonts w:ascii="Times New Roman" w:hAnsi="Times New Roman" w:cs="Times New Roman"/>
          <w:bCs/>
          <w:sz w:val="24"/>
          <w:highlight w:val="yellow"/>
        </w:rPr>
        <w:t>disorganised cartilaginous cells</w:t>
      </w:r>
      <w:r w:rsidR="003661BC" w:rsidRPr="003661BC">
        <w:rPr>
          <w:rFonts w:ascii="Times New Roman" w:hAnsi="Times New Roman" w:cs="Times New Roman"/>
          <w:bCs/>
          <w:sz w:val="24"/>
        </w:rPr>
        <w:t xml:space="preserve">, severe clubbing of the primary and secondary gill lamellae, and a complete loss of architecture in both the PGL and SGL. In the liver, the hepatocytes and sinusoids maintained a normal, healthy architecture in the control group compared to the cellular alterations observed in the RO and wastewater groups. Similarly, kidney structures—including the glomerulus, </w:t>
      </w:r>
      <w:r w:rsidR="003661BC" w:rsidRPr="003661BC">
        <w:rPr>
          <w:rFonts w:ascii="Times New Roman" w:hAnsi="Times New Roman" w:cs="Times New Roman"/>
          <w:bCs/>
          <w:sz w:val="24"/>
          <w:highlight w:val="yellow"/>
        </w:rPr>
        <w:t>haematopoietic tissue density</w:t>
      </w:r>
      <w:r w:rsidR="003661BC" w:rsidRPr="003661BC">
        <w:rPr>
          <w:rFonts w:ascii="Times New Roman" w:hAnsi="Times New Roman" w:cs="Times New Roman"/>
          <w:bCs/>
          <w:sz w:val="24"/>
        </w:rPr>
        <w:t>, and proximal and distal renal tubules—</w:t>
      </w:r>
      <w:r w:rsidR="003661BC" w:rsidRPr="003661BC">
        <w:rPr>
          <w:rFonts w:ascii="Times New Roman" w:hAnsi="Times New Roman" w:cs="Times New Roman"/>
          <w:bCs/>
          <w:sz w:val="24"/>
          <w:highlight w:val="yellow"/>
        </w:rPr>
        <w:t>were normal</w:t>
      </w:r>
      <w:r w:rsidR="003661BC" w:rsidRPr="003661BC">
        <w:rPr>
          <w:rFonts w:ascii="Times New Roman" w:hAnsi="Times New Roman" w:cs="Times New Roman"/>
          <w:bCs/>
          <w:sz w:val="24"/>
        </w:rPr>
        <w:t xml:space="preserve"> in the control group. In contrast, </w:t>
      </w:r>
      <w:r w:rsidR="003661BC" w:rsidRPr="003661BC">
        <w:rPr>
          <w:rFonts w:ascii="Times New Roman" w:hAnsi="Times New Roman" w:cs="Times New Roman"/>
          <w:bCs/>
          <w:sz w:val="24"/>
          <w:highlight w:val="yellow"/>
        </w:rPr>
        <w:t>fish exposed</w:t>
      </w:r>
      <w:r w:rsidR="003661BC" w:rsidRPr="003661BC">
        <w:rPr>
          <w:rFonts w:ascii="Times New Roman" w:hAnsi="Times New Roman" w:cs="Times New Roman"/>
          <w:bCs/>
          <w:sz w:val="24"/>
        </w:rPr>
        <w:t xml:space="preserve"> to both RO water and wastewater exhibited severely shrunken glomeruli and marked degeneration of the renal tubules.</w:t>
      </w:r>
    </w:p>
    <w:p w14:paraId="0EB7D798" w14:textId="77777777" w:rsidR="003661BC" w:rsidRPr="003661BC" w:rsidRDefault="003661BC" w:rsidP="003661BC">
      <w:pPr>
        <w:tabs>
          <w:tab w:val="left" w:pos="284"/>
        </w:tabs>
        <w:spacing w:after="0" w:line="360" w:lineRule="auto"/>
        <w:ind w:left="284" w:hanging="360"/>
        <w:contextualSpacing/>
        <w:jc w:val="both"/>
        <w:rPr>
          <w:rFonts w:ascii="Times New Roman" w:hAnsi="Times New Roman" w:cs="Times New Roman"/>
          <w:sz w:val="24"/>
        </w:rPr>
      </w:pPr>
      <w:r>
        <w:rPr>
          <w:rFonts w:ascii="Times New Roman" w:hAnsi="Times New Roman" w:cs="Times New Roman"/>
          <w:bCs/>
          <w:sz w:val="24"/>
        </w:rPr>
        <w:tab/>
      </w:r>
      <w:r>
        <w:rPr>
          <w:rFonts w:ascii="Times New Roman" w:hAnsi="Times New Roman" w:cs="Times New Roman"/>
          <w:bCs/>
          <w:sz w:val="24"/>
        </w:rPr>
        <w:tab/>
      </w:r>
      <w:r w:rsidRPr="003661BC">
        <w:rPr>
          <w:rFonts w:ascii="Times New Roman" w:hAnsi="Times New Roman" w:cs="Times New Roman"/>
          <w:sz w:val="24"/>
          <w:highlight w:val="yellow"/>
        </w:rPr>
        <w:t xml:space="preserve">Overall, these findings indicate that exposure to RO-filtered water and RO wastewater under the tested conditions was associated with histopathological alterations in the examined organs. Their use or discharge should therefore be considered cautiously in aquaculture, with appropriate water-quality management to reduce potential adverse effects on commercially important freshwater species such as </w:t>
      </w:r>
      <w:proofErr w:type="spellStart"/>
      <w:r w:rsidRPr="003661BC">
        <w:rPr>
          <w:rFonts w:ascii="Times New Roman" w:hAnsi="Times New Roman" w:cs="Times New Roman"/>
          <w:i/>
          <w:iCs/>
          <w:sz w:val="24"/>
        </w:rPr>
        <w:t>Labeo</w:t>
      </w:r>
      <w:proofErr w:type="spellEnd"/>
      <w:r w:rsidRPr="003661BC">
        <w:rPr>
          <w:rFonts w:ascii="Times New Roman" w:hAnsi="Times New Roman" w:cs="Times New Roman"/>
          <w:i/>
          <w:iCs/>
          <w:sz w:val="24"/>
        </w:rPr>
        <w:t xml:space="preserve"> </w:t>
      </w:r>
      <w:proofErr w:type="spellStart"/>
      <w:r w:rsidRPr="003661BC">
        <w:rPr>
          <w:rFonts w:ascii="Times New Roman" w:hAnsi="Times New Roman" w:cs="Times New Roman"/>
          <w:i/>
          <w:iCs/>
          <w:sz w:val="24"/>
        </w:rPr>
        <w:t>rohita</w:t>
      </w:r>
      <w:proofErr w:type="spellEnd"/>
      <w:r w:rsidRPr="003661BC">
        <w:rPr>
          <w:rFonts w:ascii="Times New Roman" w:hAnsi="Times New Roman" w:cs="Times New Roman"/>
          <w:sz w:val="24"/>
          <w:highlight w:val="yellow"/>
        </w:rPr>
        <w:t>.</w:t>
      </w:r>
    </w:p>
    <w:p w14:paraId="3DD69EFC" w14:textId="77777777" w:rsidR="00BE5AFC" w:rsidRDefault="00BE5AFC" w:rsidP="007D7A71">
      <w:pPr>
        <w:tabs>
          <w:tab w:val="left" w:pos="284"/>
        </w:tabs>
        <w:spacing w:after="0" w:line="360" w:lineRule="auto"/>
        <w:ind w:left="284" w:hanging="360"/>
        <w:contextualSpacing/>
        <w:jc w:val="both"/>
        <w:rPr>
          <w:rFonts w:ascii="Times New Roman" w:hAnsi="Times New Roman" w:cs="Times New Roman"/>
          <w:sz w:val="24"/>
        </w:rPr>
      </w:pPr>
    </w:p>
    <w:p w14:paraId="06AD0E33" w14:textId="41C01B7F" w:rsidR="00CB53A0" w:rsidRPr="00CB53A0" w:rsidRDefault="00CB53A0" w:rsidP="00CB53A0">
      <w:pPr>
        <w:tabs>
          <w:tab w:val="left" w:pos="284"/>
        </w:tabs>
        <w:spacing w:after="0" w:line="360" w:lineRule="auto"/>
        <w:ind w:left="284" w:hanging="360"/>
        <w:contextualSpacing/>
        <w:jc w:val="both"/>
        <w:rPr>
          <w:rFonts w:ascii="Times New Roman" w:hAnsi="Times New Roman" w:cs="Times New Roman"/>
          <w:b/>
          <w:bCs/>
          <w:sz w:val="24"/>
        </w:rPr>
      </w:pPr>
      <w:r w:rsidRPr="00CB53A0">
        <w:rPr>
          <w:rFonts w:ascii="Times New Roman" w:hAnsi="Times New Roman" w:cs="Times New Roman"/>
          <w:b/>
          <w:bCs/>
          <w:sz w:val="24"/>
        </w:rPr>
        <w:lastRenderedPageBreak/>
        <w:t>Limitation</w:t>
      </w:r>
      <w:r w:rsidRPr="00CB53A0">
        <w:rPr>
          <w:rFonts w:ascii="Times New Roman" w:hAnsi="Times New Roman" w:cs="Times New Roman"/>
          <w:b/>
          <w:bCs/>
          <w:sz w:val="24"/>
        </w:rPr>
        <w:t xml:space="preserve">: </w:t>
      </w:r>
    </w:p>
    <w:p w14:paraId="026C0AB7" w14:textId="380681A3" w:rsidR="00CB53A0" w:rsidRDefault="00CB53A0" w:rsidP="00CB53A0">
      <w:pPr>
        <w:tabs>
          <w:tab w:val="left" w:pos="284"/>
        </w:tabs>
        <w:spacing w:after="0" w:line="360" w:lineRule="auto"/>
        <w:ind w:left="284" w:hanging="360"/>
        <w:contextualSpacing/>
        <w:jc w:val="both"/>
        <w:rPr>
          <w:rFonts w:ascii="Times New Roman" w:hAnsi="Times New Roman" w:cs="Times New Roman"/>
          <w:sz w:val="24"/>
        </w:rPr>
      </w:pPr>
      <w:r w:rsidRPr="00CB53A0">
        <w:rPr>
          <w:rFonts w:ascii="Times New Roman" w:hAnsi="Times New Roman" w:cs="Times New Roman"/>
          <w:sz w:val="24"/>
        </w:rPr>
        <w:t xml:space="preserve">This study was limited to Rohu fingerlings, a 45-day exposure period, and the specific groundwater, RO-filtered water, and RO wastewater conditions tested. Interpretation is therefore restricted to the observed histopathological responses of the gills, liver, and kidneys under this experimental design. The findings should not be </w:t>
      </w:r>
      <w:proofErr w:type="spellStart"/>
      <w:r w:rsidRPr="00CB53A0">
        <w:rPr>
          <w:rFonts w:ascii="Times New Roman" w:hAnsi="Times New Roman" w:cs="Times New Roman"/>
          <w:sz w:val="24"/>
        </w:rPr>
        <w:t>generalised</w:t>
      </w:r>
      <w:proofErr w:type="spellEnd"/>
      <w:r w:rsidRPr="00CB53A0">
        <w:rPr>
          <w:rFonts w:ascii="Times New Roman" w:hAnsi="Times New Roman" w:cs="Times New Roman"/>
          <w:sz w:val="24"/>
        </w:rPr>
        <w:t xml:space="preserve"> to other fish species, life stages, RO systems, or exposure durations without further testing. The study provides tissue-level evidence but does not establish effects beyond the experimental conditions described.</w:t>
      </w:r>
    </w:p>
    <w:p w14:paraId="6D9E0F4C" w14:textId="77777777" w:rsidR="00BE5AFC" w:rsidRPr="00C844D1" w:rsidRDefault="00BE5AFC" w:rsidP="00BE5AFC">
      <w:pPr>
        <w:spacing w:after="0" w:line="240" w:lineRule="auto"/>
        <w:rPr>
          <w:rFonts w:ascii="Arial" w:eastAsia="Calibri" w:hAnsi="Arial" w:cs="Arial"/>
          <w:b/>
          <w:sz w:val="20"/>
          <w:szCs w:val="20"/>
        </w:rPr>
      </w:pPr>
      <w:r w:rsidRPr="00C844D1">
        <w:rPr>
          <w:rFonts w:ascii="Arial" w:eastAsia="Calibri" w:hAnsi="Arial" w:cs="Arial"/>
          <w:b/>
          <w:sz w:val="20"/>
          <w:szCs w:val="20"/>
        </w:rPr>
        <w:t>Declaration of AI Use</w:t>
      </w:r>
    </w:p>
    <w:p w14:paraId="63BDCA12" w14:textId="77777777" w:rsidR="00BE5AFC" w:rsidRPr="00C844D1" w:rsidRDefault="00BE5AFC" w:rsidP="00BE5AFC">
      <w:pPr>
        <w:spacing w:after="0" w:line="240" w:lineRule="auto"/>
        <w:rPr>
          <w:rFonts w:ascii="Arial" w:eastAsia="Calibri" w:hAnsi="Arial" w:cs="Arial"/>
          <w:sz w:val="20"/>
          <w:szCs w:val="20"/>
        </w:rPr>
      </w:pPr>
    </w:p>
    <w:p w14:paraId="02FE114C" w14:textId="77777777" w:rsidR="00BE5AFC" w:rsidRPr="00C844D1" w:rsidRDefault="00BE5AFC" w:rsidP="00BE5AFC">
      <w:pPr>
        <w:spacing w:after="0" w:line="240" w:lineRule="auto"/>
        <w:rPr>
          <w:rFonts w:ascii="Arial" w:eastAsia="Calibri" w:hAnsi="Arial" w:cs="Arial"/>
          <w:sz w:val="20"/>
          <w:szCs w:val="20"/>
        </w:rPr>
      </w:pPr>
      <w:r w:rsidRPr="00C844D1">
        <w:rPr>
          <w:rFonts w:ascii="Arial" w:eastAsia="Calibri"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7EA54A4" w14:textId="77777777" w:rsidR="00BE5AFC" w:rsidRDefault="00BE5AFC" w:rsidP="00BE5AFC">
      <w:pPr>
        <w:spacing w:after="0" w:line="240" w:lineRule="auto"/>
        <w:jc w:val="both"/>
        <w:rPr>
          <w:rFonts w:ascii="Times New Roman" w:eastAsia="Calibri" w:hAnsi="Times New Roman" w:cs="Times New Roman"/>
        </w:rPr>
      </w:pPr>
    </w:p>
    <w:p w14:paraId="23BE1516" w14:textId="77777777" w:rsidR="00BE5AFC" w:rsidRDefault="00BE5AFC" w:rsidP="00BE5AFC">
      <w:pPr>
        <w:spacing w:after="0" w:line="240" w:lineRule="auto"/>
        <w:jc w:val="both"/>
        <w:rPr>
          <w:rFonts w:ascii="Times New Roman" w:eastAsia="Calibri" w:hAnsi="Times New Roman" w:cs="Times New Roman"/>
        </w:rPr>
      </w:pPr>
    </w:p>
    <w:p w14:paraId="4E3BC0FC" w14:textId="77777777" w:rsidR="00BE5AFC" w:rsidRPr="00DA60C2" w:rsidRDefault="00BE5AFC" w:rsidP="00BE5AFC">
      <w:pPr>
        <w:rPr>
          <w:rFonts w:ascii="Cambria" w:eastAsia="Times New Roman" w:hAnsi="Cambria" w:cs="Arial"/>
          <w:b/>
          <w:bCs/>
          <w:lang w:val="en-GB" w:eastAsia="en-GB"/>
        </w:rPr>
      </w:pPr>
      <w:r w:rsidRPr="00DA60C2">
        <w:rPr>
          <w:rFonts w:ascii="Cambria" w:eastAsia="Times New Roman" w:hAnsi="Cambria" w:cs="Arial"/>
          <w:b/>
          <w:bCs/>
          <w:lang w:val="en-GB" w:eastAsia="en-GB"/>
        </w:rPr>
        <w:t>COMPETING INTERESTS DISCLAIMER:</w:t>
      </w:r>
    </w:p>
    <w:p w14:paraId="65677523" w14:textId="77777777" w:rsidR="00BE5AFC" w:rsidRPr="00DA60C2" w:rsidRDefault="00BE5AFC" w:rsidP="00BE5AFC">
      <w:pPr>
        <w:rPr>
          <w:rFonts w:ascii="Cambria" w:eastAsia="Times New Roman" w:hAnsi="Cambria" w:cs="Times New Roman"/>
          <w:lang w:val="en-GB" w:eastAsia="en-GB"/>
        </w:rPr>
      </w:pPr>
      <w:r w:rsidRPr="00DA60C2">
        <w:rPr>
          <w:rFonts w:ascii="Cambria" w:eastAsia="Times New Roman" w:hAnsi="Cambria" w:cs="Arial"/>
          <w:lang w:val="en-GB" w:eastAsia="en-GB"/>
        </w:rPr>
        <w:t>Authors have declared that they have no known competing financial interests OR non-financial interests OR personal relationships that could have appeared to influence the work reported in this paper.</w:t>
      </w:r>
    </w:p>
    <w:p w14:paraId="4D05A7A4" w14:textId="77777777" w:rsidR="00BE5AFC" w:rsidRDefault="00BE5AFC" w:rsidP="007D7A71">
      <w:pPr>
        <w:tabs>
          <w:tab w:val="left" w:pos="284"/>
        </w:tabs>
        <w:spacing w:after="0" w:line="360" w:lineRule="auto"/>
        <w:ind w:left="284" w:hanging="360"/>
        <w:contextualSpacing/>
        <w:jc w:val="both"/>
        <w:rPr>
          <w:rFonts w:ascii="Times New Roman" w:hAnsi="Times New Roman" w:cs="Times New Roman"/>
          <w:sz w:val="24"/>
        </w:rPr>
      </w:pPr>
    </w:p>
    <w:p w14:paraId="6CFD15F1" w14:textId="77777777" w:rsidR="00BE5AFC" w:rsidRPr="001F4DFD" w:rsidRDefault="00BE5AFC" w:rsidP="007D7A71">
      <w:pPr>
        <w:tabs>
          <w:tab w:val="left" w:pos="284"/>
        </w:tabs>
        <w:spacing w:after="0" w:line="360" w:lineRule="auto"/>
        <w:ind w:left="284" w:hanging="360"/>
        <w:contextualSpacing/>
        <w:jc w:val="both"/>
        <w:rPr>
          <w:rFonts w:ascii="Times New Roman" w:eastAsia="Times New Roman" w:hAnsi="Times New Roman" w:cs="Times New Roman"/>
          <w:b/>
          <w:color w:val="000000"/>
          <w:sz w:val="24"/>
          <w:szCs w:val="24"/>
          <w:lang w:val="en-IN"/>
        </w:rPr>
      </w:pPr>
    </w:p>
    <w:p w14:paraId="443FB6D0" w14:textId="77777777" w:rsidR="005A1EF1" w:rsidRPr="000E5CE3" w:rsidRDefault="000E6DC6" w:rsidP="000E5CE3">
      <w:pPr>
        <w:tabs>
          <w:tab w:val="left" w:pos="142"/>
        </w:tabs>
        <w:spacing w:after="160" w:line="360" w:lineRule="auto"/>
        <w:ind w:left="142"/>
        <w:jc w:val="both"/>
        <w:rPr>
          <w:rFonts w:ascii="Times New Roman" w:eastAsia="Calibri" w:hAnsi="Times New Roman" w:cs="Times New Roman"/>
          <w:b/>
          <w:sz w:val="24"/>
          <w:szCs w:val="24"/>
          <w:lang w:bidi="hi-IN"/>
        </w:rPr>
      </w:pPr>
      <w:r w:rsidRPr="003D503B">
        <w:rPr>
          <w:rFonts w:ascii="Times New Roman" w:eastAsia="Calibri" w:hAnsi="Times New Roman" w:cs="Times New Roman"/>
          <w:b/>
          <w:sz w:val="24"/>
          <w:szCs w:val="24"/>
          <w:lang w:bidi="hi-IN"/>
        </w:rPr>
        <w:t>References-</w:t>
      </w:r>
    </w:p>
    <w:p w14:paraId="5B551191" w14:textId="77777777" w:rsidR="00A50AF7" w:rsidRDefault="00000000">
      <w:pPr>
        <w:spacing w:before="100" w:after="100" w:line="240" w:lineRule="auto"/>
        <w:ind w:left="630" w:hanging="630"/>
        <w:jc w:val="both"/>
      </w:pPr>
      <w:r>
        <w:rPr>
          <w:rFonts w:ascii="Times New Roman" w:eastAsia="Times New Roman" w:hAnsi="Times New Roman"/>
          <w:b/>
          <w:sz w:val="24"/>
          <w:highlight w:val="yellow"/>
        </w:rPr>
        <w:t xml:space="preserve">Ankamma, N., &amp; Viveka Vardhani, V. (2025). Histopathological effect of Aqua Fix supplementation on the skeletal muscle and liver of </w:t>
      </w:r>
      <w:r>
        <w:rPr>
          <w:rFonts w:ascii="Times New Roman" w:eastAsia="Times New Roman" w:hAnsi="Times New Roman"/>
          <w:b/>
          <w:i/>
          <w:sz w:val="24"/>
          <w:highlight w:val="yellow"/>
        </w:rPr>
        <w:t>Labeo rohita</w:t>
      </w:r>
      <w:r>
        <w:rPr>
          <w:rFonts w:ascii="Times New Roman" w:eastAsia="Times New Roman" w:hAnsi="Times New Roman"/>
          <w:b/>
          <w:sz w:val="24"/>
          <w:highlight w:val="yellow"/>
        </w:rPr>
        <w:t xml:space="preserve"> (Hamilton, 1822) during immunomodulation and aeromoniasis. </w:t>
      </w:r>
      <w:r>
        <w:rPr>
          <w:rFonts w:ascii="Times New Roman" w:eastAsia="Times New Roman" w:hAnsi="Times New Roman"/>
          <w:b/>
          <w:i/>
          <w:sz w:val="24"/>
          <w:highlight w:val="yellow"/>
        </w:rPr>
        <w:t>Asian Journal of Fisheries and Aquatic Research, 27</w:t>
      </w:r>
      <w:r>
        <w:rPr>
          <w:rFonts w:ascii="Times New Roman" w:eastAsia="Times New Roman" w:hAnsi="Times New Roman"/>
          <w:b/>
          <w:sz w:val="24"/>
          <w:highlight w:val="yellow"/>
        </w:rPr>
        <w:t>(1), 95–102. https://doi.org/10.9734/ajfar/2025/v27i1867</w:t>
      </w:r>
    </w:p>
    <w:p w14:paraId="698FD6DE" w14:textId="77777777" w:rsidR="00BB56C1" w:rsidRPr="00BB56C1" w:rsidRDefault="00BB56C1" w:rsidP="00BB56C1">
      <w:pPr>
        <w:spacing w:before="100" w:beforeAutospacing="1" w:after="100" w:afterAutospacing="1" w:line="240" w:lineRule="auto"/>
        <w:ind w:left="630" w:hanging="630"/>
        <w:jc w:val="both"/>
        <w:rPr>
          <w:rFonts w:ascii="Times New Roman" w:eastAsia="Times New Roman" w:hAnsi="Times New Roman" w:cs="Times New Roman"/>
          <w:sz w:val="24"/>
          <w:szCs w:val="24"/>
        </w:rPr>
      </w:pPr>
      <w:proofErr w:type="spellStart"/>
      <w:r w:rsidRPr="00BB56C1">
        <w:rPr>
          <w:rFonts w:ascii="Times New Roman" w:eastAsia="Times New Roman" w:hAnsi="Times New Roman" w:cs="Times New Roman"/>
          <w:sz w:val="24"/>
          <w:szCs w:val="24"/>
        </w:rPr>
        <w:t>Asenuga</w:t>
      </w:r>
      <w:proofErr w:type="spellEnd"/>
      <w:r w:rsidRPr="00BB56C1">
        <w:rPr>
          <w:rFonts w:ascii="Times New Roman" w:eastAsia="Times New Roman" w:hAnsi="Times New Roman" w:cs="Times New Roman"/>
          <w:sz w:val="24"/>
          <w:szCs w:val="24"/>
        </w:rPr>
        <w:t xml:space="preserve">, E. R., </w:t>
      </w:r>
      <w:proofErr w:type="spellStart"/>
      <w:r w:rsidRPr="00BB56C1">
        <w:rPr>
          <w:rFonts w:ascii="Times New Roman" w:eastAsia="Times New Roman" w:hAnsi="Times New Roman" w:cs="Times New Roman"/>
          <w:sz w:val="24"/>
          <w:szCs w:val="24"/>
        </w:rPr>
        <w:t>Olajuyigbe</w:t>
      </w:r>
      <w:proofErr w:type="spellEnd"/>
      <w:r w:rsidRPr="00BB56C1">
        <w:rPr>
          <w:rFonts w:ascii="Times New Roman" w:eastAsia="Times New Roman" w:hAnsi="Times New Roman" w:cs="Times New Roman"/>
          <w:sz w:val="24"/>
          <w:szCs w:val="24"/>
        </w:rPr>
        <w:t xml:space="preserve">, F. M., </w:t>
      </w:r>
      <w:proofErr w:type="spellStart"/>
      <w:r w:rsidRPr="00BB56C1">
        <w:rPr>
          <w:rFonts w:ascii="Times New Roman" w:eastAsia="Times New Roman" w:hAnsi="Times New Roman" w:cs="Times New Roman"/>
          <w:sz w:val="24"/>
          <w:szCs w:val="24"/>
        </w:rPr>
        <w:t>Akinmoladun</w:t>
      </w:r>
      <w:proofErr w:type="spellEnd"/>
      <w:r w:rsidRPr="00BB56C1">
        <w:rPr>
          <w:rFonts w:ascii="Times New Roman" w:eastAsia="Times New Roman" w:hAnsi="Times New Roman" w:cs="Times New Roman"/>
          <w:sz w:val="24"/>
          <w:szCs w:val="24"/>
        </w:rPr>
        <w:t xml:space="preserve">, A. C., &amp; </w:t>
      </w:r>
      <w:proofErr w:type="spellStart"/>
      <w:r w:rsidRPr="00BB56C1">
        <w:rPr>
          <w:rFonts w:ascii="Times New Roman" w:eastAsia="Times New Roman" w:hAnsi="Times New Roman" w:cs="Times New Roman"/>
          <w:sz w:val="24"/>
          <w:szCs w:val="24"/>
        </w:rPr>
        <w:t>Fasakin</w:t>
      </w:r>
      <w:proofErr w:type="spellEnd"/>
      <w:r w:rsidRPr="00BB56C1">
        <w:rPr>
          <w:rFonts w:ascii="Times New Roman" w:eastAsia="Times New Roman" w:hAnsi="Times New Roman" w:cs="Times New Roman"/>
          <w:sz w:val="24"/>
          <w:szCs w:val="24"/>
        </w:rPr>
        <w:t xml:space="preserve">, E. A. (2022). </w:t>
      </w:r>
      <w:r w:rsidRPr="00BB56C1">
        <w:rPr>
          <w:rFonts w:ascii="Times New Roman" w:eastAsia="Times New Roman" w:hAnsi="Times New Roman" w:cs="Times New Roman"/>
          <w:i/>
          <w:iCs/>
          <w:sz w:val="24"/>
          <w:szCs w:val="24"/>
        </w:rPr>
        <w:t xml:space="preserve">Deeper insights into the biochemical, hematological and histological changes induced by bisphenol A exposure in adult male African catfish (Clarias </w:t>
      </w:r>
      <w:proofErr w:type="spellStart"/>
      <w:r w:rsidRPr="00BB56C1">
        <w:rPr>
          <w:rFonts w:ascii="Times New Roman" w:eastAsia="Times New Roman" w:hAnsi="Times New Roman" w:cs="Times New Roman"/>
          <w:i/>
          <w:iCs/>
          <w:sz w:val="24"/>
          <w:szCs w:val="24"/>
        </w:rPr>
        <w:t>gariepinus</w:t>
      </w:r>
      <w:proofErr w:type="spellEnd"/>
      <w:r w:rsidRPr="00BB56C1">
        <w:rPr>
          <w:rFonts w:ascii="Times New Roman" w:eastAsia="Times New Roman" w:hAnsi="Times New Roman" w:cs="Times New Roman"/>
          <w:i/>
          <w:iCs/>
          <w:sz w:val="24"/>
          <w:szCs w:val="24"/>
        </w:rPr>
        <w:t>)</w:t>
      </w:r>
      <w:r w:rsidRPr="00BB56C1">
        <w:rPr>
          <w:rFonts w:ascii="Times New Roman" w:eastAsia="Times New Roman" w:hAnsi="Times New Roman" w:cs="Times New Roman"/>
          <w:sz w:val="24"/>
          <w:szCs w:val="24"/>
        </w:rPr>
        <w:t xml:space="preserve"> [Preprint]. Research Square. </w:t>
      </w:r>
      <w:hyperlink r:id="rId27" w:history="1">
        <w:r w:rsidRPr="00BB56C1">
          <w:rPr>
            <w:rFonts w:ascii="Times New Roman" w:eastAsia="Times New Roman" w:hAnsi="Times New Roman" w:cs="Times New Roman"/>
            <w:color w:val="0000FF"/>
            <w:sz w:val="24"/>
            <w:szCs w:val="24"/>
            <w:u w:val="single"/>
          </w:rPr>
          <w:t>https://doi.org/10.21203/rs.3.rs-1701247/v1</w:t>
        </w:r>
      </w:hyperlink>
    </w:p>
    <w:p w14:paraId="4E32F1C4" w14:textId="77777777" w:rsidR="00BB56C1" w:rsidRPr="00BB56C1" w:rsidRDefault="00BB56C1" w:rsidP="00BB56C1">
      <w:pPr>
        <w:spacing w:before="100" w:beforeAutospacing="1" w:after="100" w:afterAutospacing="1" w:line="240" w:lineRule="auto"/>
        <w:ind w:left="630" w:hanging="630"/>
        <w:jc w:val="both"/>
        <w:rPr>
          <w:rFonts w:ascii="Times New Roman" w:eastAsia="Times New Roman" w:hAnsi="Times New Roman" w:cs="Times New Roman"/>
          <w:sz w:val="24"/>
          <w:szCs w:val="24"/>
        </w:rPr>
      </w:pPr>
      <w:r w:rsidRPr="00BB56C1">
        <w:rPr>
          <w:rFonts w:ascii="Times New Roman" w:eastAsia="Times New Roman" w:hAnsi="Times New Roman" w:cs="Times New Roman"/>
          <w:sz w:val="24"/>
          <w:szCs w:val="24"/>
        </w:rPr>
        <w:t xml:space="preserve">Bernet, D., Schmidt-Posthaus, H., </w:t>
      </w:r>
      <w:proofErr w:type="spellStart"/>
      <w:r w:rsidRPr="00BB56C1">
        <w:rPr>
          <w:rFonts w:ascii="Times New Roman" w:eastAsia="Times New Roman" w:hAnsi="Times New Roman" w:cs="Times New Roman"/>
          <w:sz w:val="24"/>
          <w:szCs w:val="24"/>
        </w:rPr>
        <w:t>Wahli</w:t>
      </w:r>
      <w:proofErr w:type="spellEnd"/>
      <w:r w:rsidRPr="00BB56C1">
        <w:rPr>
          <w:rFonts w:ascii="Times New Roman" w:eastAsia="Times New Roman" w:hAnsi="Times New Roman" w:cs="Times New Roman"/>
          <w:sz w:val="24"/>
          <w:szCs w:val="24"/>
        </w:rPr>
        <w:t xml:space="preserve">, T., &amp; Burkhardt-Holm, P. (2004). Evaluation of two monitoring approaches to assess effects of waste water disposal on histological alterations in fish. </w:t>
      </w:r>
      <w:proofErr w:type="spellStart"/>
      <w:r w:rsidRPr="00BB56C1">
        <w:rPr>
          <w:rFonts w:ascii="Times New Roman" w:eastAsia="Times New Roman" w:hAnsi="Times New Roman" w:cs="Times New Roman"/>
          <w:i/>
          <w:iCs/>
          <w:sz w:val="24"/>
          <w:szCs w:val="24"/>
        </w:rPr>
        <w:t>Hydrobiologia</w:t>
      </w:r>
      <w:proofErr w:type="spellEnd"/>
      <w:r w:rsidRPr="00BB56C1">
        <w:rPr>
          <w:rFonts w:ascii="Times New Roman" w:eastAsia="Times New Roman" w:hAnsi="Times New Roman" w:cs="Times New Roman"/>
          <w:i/>
          <w:iCs/>
          <w:sz w:val="24"/>
          <w:szCs w:val="24"/>
        </w:rPr>
        <w:t>, 524</w:t>
      </w:r>
      <w:r w:rsidRPr="00BB56C1">
        <w:rPr>
          <w:rFonts w:ascii="Times New Roman" w:eastAsia="Times New Roman" w:hAnsi="Times New Roman" w:cs="Times New Roman"/>
          <w:sz w:val="24"/>
          <w:szCs w:val="24"/>
        </w:rPr>
        <w:t xml:space="preserve">(1), 53–66. </w:t>
      </w:r>
      <w:hyperlink r:id="rId28" w:history="1">
        <w:r w:rsidRPr="00BB56C1">
          <w:rPr>
            <w:rFonts w:ascii="Times New Roman" w:eastAsia="Times New Roman" w:hAnsi="Times New Roman" w:cs="Times New Roman"/>
            <w:color w:val="0000FF"/>
            <w:sz w:val="24"/>
            <w:szCs w:val="24"/>
            <w:u w:val="single"/>
          </w:rPr>
          <w:t>https://doi.org/10.1023/B:HYDR.0000036196.84682.27</w:t>
        </w:r>
      </w:hyperlink>
    </w:p>
    <w:p w14:paraId="1371D45B" w14:textId="77777777" w:rsidR="00BB56C1" w:rsidRPr="00BB56C1" w:rsidRDefault="00BB56C1" w:rsidP="00BB56C1">
      <w:pPr>
        <w:spacing w:before="100" w:beforeAutospacing="1" w:after="100" w:afterAutospacing="1" w:line="240" w:lineRule="auto"/>
        <w:ind w:left="630" w:hanging="630"/>
        <w:jc w:val="both"/>
        <w:rPr>
          <w:rFonts w:ascii="Times New Roman" w:eastAsia="Times New Roman" w:hAnsi="Times New Roman" w:cs="Times New Roman"/>
          <w:sz w:val="24"/>
          <w:szCs w:val="24"/>
        </w:rPr>
      </w:pPr>
      <w:r w:rsidRPr="00BB56C1">
        <w:rPr>
          <w:rFonts w:ascii="Times New Roman" w:eastAsia="Times New Roman" w:hAnsi="Times New Roman" w:cs="Times New Roman"/>
          <w:sz w:val="24"/>
          <w:szCs w:val="24"/>
        </w:rPr>
        <w:t xml:space="preserve">Blazer, V. S., Denslow, N. D., Dethloff, G. M., Gross, T. S., McDonald, K. K., Schmitt, C. J., Tillitt, D. E., &amp; Whyte, J. J. (2000). </w:t>
      </w:r>
      <w:r w:rsidRPr="00BB56C1">
        <w:rPr>
          <w:rFonts w:ascii="Times New Roman" w:eastAsia="Times New Roman" w:hAnsi="Times New Roman" w:cs="Times New Roman"/>
          <w:i/>
          <w:iCs/>
          <w:sz w:val="24"/>
          <w:szCs w:val="24"/>
        </w:rPr>
        <w:t xml:space="preserve">Biomonitoring of environmental status and trends </w:t>
      </w:r>
      <w:r w:rsidRPr="00BB56C1">
        <w:rPr>
          <w:rFonts w:ascii="Times New Roman" w:eastAsia="Times New Roman" w:hAnsi="Times New Roman" w:cs="Times New Roman"/>
          <w:i/>
          <w:iCs/>
          <w:sz w:val="24"/>
          <w:szCs w:val="24"/>
        </w:rPr>
        <w:lastRenderedPageBreak/>
        <w:t>(BEST) program: Selected methods for monitoring chemical contaminants and their effects in aquatic ecosystems</w:t>
      </w:r>
      <w:r w:rsidRPr="00BB56C1">
        <w:rPr>
          <w:rFonts w:ascii="Times New Roman" w:eastAsia="Times New Roman" w:hAnsi="Times New Roman" w:cs="Times New Roman"/>
          <w:sz w:val="24"/>
          <w:szCs w:val="24"/>
        </w:rPr>
        <w:t xml:space="preserve"> (Information and Technology Report 2000-0005). U.S. Geological Survey. </w:t>
      </w:r>
      <w:hyperlink r:id="rId29" w:history="1">
        <w:r w:rsidRPr="00BB56C1">
          <w:rPr>
            <w:rFonts w:ascii="Times New Roman" w:eastAsia="Times New Roman" w:hAnsi="Times New Roman" w:cs="Times New Roman"/>
            <w:color w:val="0000FF"/>
            <w:sz w:val="24"/>
            <w:szCs w:val="24"/>
            <w:u w:val="single"/>
          </w:rPr>
          <w:t>https://pubs.usgs.gov/publication/itr000005</w:t>
        </w:r>
      </w:hyperlink>
    </w:p>
    <w:p w14:paraId="10EC6CF8" w14:textId="77777777" w:rsidR="00BB56C1" w:rsidRPr="00BB56C1" w:rsidRDefault="00BB56C1" w:rsidP="00BB56C1">
      <w:pPr>
        <w:spacing w:before="100" w:beforeAutospacing="1" w:after="100" w:afterAutospacing="1" w:line="240" w:lineRule="auto"/>
        <w:ind w:left="630" w:hanging="630"/>
        <w:jc w:val="both"/>
        <w:rPr>
          <w:rFonts w:ascii="Times New Roman" w:eastAsia="Times New Roman" w:hAnsi="Times New Roman" w:cs="Times New Roman"/>
          <w:sz w:val="24"/>
          <w:szCs w:val="24"/>
          <w:lang w:val="nl-BE"/>
        </w:rPr>
      </w:pPr>
      <w:proofErr w:type="spellStart"/>
      <w:r w:rsidRPr="00BB56C1">
        <w:rPr>
          <w:rFonts w:ascii="Times New Roman" w:eastAsia="Times New Roman" w:hAnsi="Times New Roman" w:cs="Times New Roman"/>
          <w:sz w:val="24"/>
          <w:szCs w:val="24"/>
        </w:rPr>
        <w:t>Bruslé</w:t>
      </w:r>
      <w:proofErr w:type="spellEnd"/>
      <w:r w:rsidRPr="00BB56C1">
        <w:rPr>
          <w:rFonts w:ascii="Times New Roman" w:eastAsia="Times New Roman" w:hAnsi="Times New Roman" w:cs="Times New Roman"/>
          <w:sz w:val="24"/>
          <w:szCs w:val="24"/>
        </w:rPr>
        <w:t xml:space="preserve">, J., &amp; Anadon, G. G. (1996). The structure and function of fish liver. In J. S. D. Munshi &amp; H. M. Dutta (Eds.), </w:t>
      </w:r>
      <w:r w:rsidRPr="00BB56C1">
        <w:rPr>
          <w:rFonts w:ascii="Times New Roman" w:eastAsia="Times New Roman" w:hAnsi="Times New Roman" w:cs="Times New Roman"/>
          <w:i/>
          <w:iCs/>
          <w:sz w:val="24"/>
          <w:szCs w:val="24"/>
        </w:rPr>
        <w:t>Fish morphology: Horizon of new research</w:t>
      </w:r>
      <w:r w:rsidRPr="00BB56C1">
        <w:rPr>
          <w:rFonts w:ascii="Times New Roman" w:eastAsia="Times New Roman" w:hAnsi="Times New Roman" w:cs="Times New Roman"/>
          <w:sz w:val="24"/>
          <w:szCs w:val="24"/>
        </w:rPr>
        <w:t xml:space="preserve"> (pp. 77–93). </w:t>
      </w:r>
      <w:r w:rsidRPr="00BB56C1">
        <w:rPr>
          <w:rFonts w:ascii="Times New Roman" w:eastAsia="Times New Roman" w:hAnsi="Times New Roman" w:cs="Times New Roman"/>
          <w:sz w:val="24"/>
          <w:szCs w:val="24"/>
          <w:lang w:val="nl-BE"/>
        </w:rPr>
        <w:t xml:space="preserve">A. A. Balkema. </w:t>
      </w:r>
      <w:hyperlink r:id="rId30" w:history="1">
        <w:r w:rsidRPr="00BB56C1">
          <w:rPr>
            <w:rFonts w:ascii="Times New Roman" w:eastAsia="Times New Roman" w:hAnsi="Times New Roman" w:cs="Times New Roman"/>
            <w:color w:val="0000FF"/>
            <w:sz w:val="24"/>
            <w:szCs w:val="24"/>
            <w:u w:val="single"/>
            <w:lang w:val="nl-BE"/>
          </w:rPr>
          <w:t>https://doi.org/10.1201/9780203755990-6</w:t>
        </w:r>
      </w:hyperlink>
    </w:p>
    <w:p w14:paraId="591D2BA0" w14:textId="77777777" w:rsidR="00BB56C1" w:rsidRPr="00BB56C1" w:rsidRDefault="00BB56C1" w:rsidP="00BB56C1">
      <w:pPr>
        <w:spacing w:before="100" w:beforeAutospacing="1" w:after="100" w:afterAutospacing="1" w:line="240" w:lineRule="auto"/>
        <w:ind w:left="630" w:hanging="630"/>
        <w:jc w:val="both"/>
        <w:rPr>
          <w:rFonts w:ascii="Times New Roman" w:eastAsia="Times New Roman" w:hAnsi="Times New Roman" w:cs="Times New Roman"/>
          <w:sz w:val="24"/>
          <w:szCs w:val="24"/>
        </w:rPr>
      </w:pPr>
      <w:r w:rsidRPr="00BB56C1">
        <w:rPr>
          <w:rFonts w:ascii="Times New Roman" w:eastAsia="Times New Roman" w:hAnsi="Times New Roman" w:cs="Times New Roman"/>
          <w:sz w:val="24"/>
          <w:szCs w:val="24"/>
          <w:lang w:val="nl-BE"/>
        </w:rPr>
        <w:t xml:space="preserve">Burkhardt-Holm, P., Escher, M., &amp; Meier, W. (1997). </w:t>
      </w:r>
      <w:r w:rsidRPr="00BB56C1">
        <w:rPr>
          <w:rFonts w:ascii="Times New Roman" w:eastAsia="Times New Roman" w:hAnsi="Times New Roman" w:cs="Times New Roman"/>
          <w:sz w:val="24"/>
          <w:szCs w:val="24"/>
        </w:rPr>
        <w:t xml:space="preserve">Waste-water management plant effluents cause cellular alterations in the skin of brown trout. </w:t>
      </w:r>
      <w:r w:rsidRPr="00BB56C1">
        <w:rPr>
          <w:rFonts w:ascii="Times New Roman" w:eastAsia="Times New Roman" w:hAnsi="Times New Roman" w:cs="Times New Roman"/>
          <w:i/>
          <w:iCs/>
          <w:sz w:val="24"/>
          <w:szCs w:val="24"/>
        </w:rPr>
        <w:t>Journal of Fish Biology, 50</w:t>
      </w:r>
      <w:r w:rsidRPr="00BB56C1">
        <w:rPr>
          <w:rFonts w:ascii="Times New Roman" w:eastAsia="Times New Roman" w:hAnsi="Times New Roman" w:cs="Times New Roman"/>
          <w:sz w:val="24"/>
          <w:szCs w:val="24"/>
        </w:rPr>
        <w:t xml:space="preserve">(4), 744–758. </w:t>
      </w:r>
      <w:hyperlink r:id="rId31" w:history="1">
        <w:r w:rsidRPr="00BB56C1">
          <w:rPr>
            <w:rFonts w:ascii="Times New Roman" w:eastAsia="Times New Roman" w:hAnsi="Times New Roman" w:cs="Times New Roman"/>
            <w:color w:val="0000FF"/>
            <w:sz w:val="24"/>
            <w:szCs w:val="24"/>
            <w:u w:val="single"/>
          </w:rPr>
          <w:t>https://doi.org/10.1111/j.1095-8649.1997.tb01969.x</w:t>
        </w:r>
      </w:hyperlink>
    </w:p>
    <w:p w14:paraId="4F1F888B" w14:textId="77777777" w:rsidR="00BB56C1" w:rsidRPr="00BB56C1" w:rsidRDefault="00BB56C1" w:rsidP="00BB56C1">
      <w:pPr>
        <w:spacing w:before="100" w:beforeAutospacing="1" w:after="100" w:afterAutospacing="1" w:line="240" w:lineRule="auto"/>
        <w:ind w:left="630" w:hanging="630"/>
        <w:jc w:val="both"/>
        <w:rPr>
          <w:rFonts w:ascii="Times New Roman" w:eastAsia="Times New Roman" w:hAnsi="Times New Roman" w:cs="Times New Roman"/>
          <w:sz w:val="24"/>
          <w:szCs w:val="24"/>
        </w:rPr>
      </w:pPr>
      <w:r w:rsidRPr="00BB56C1">
        <w:rPr>
          <w:rFonts w:ascii="Times New Roman" w:eastAsia="Times New Roman" w:hAnsi="Times New Roman" w:cs="Times New Roman"/>
          <w:sz w:val="24"/>
          <w:szCs w:val="24"/>
        </w:rPr>
        <w:t xml:space="preserve">Fanta, E., Rios, F. S. A., Romão, S., Vianna, A. C. C., &amp; Freiberger, S. (2003). Histopathology of the fish </w:t>
      </w:r>
      <w:r w:rsidRPr="00BB56C1">
        <w:rPr>
          <w:rFonts w:ascii="Times New Roman" w:eastAsia="Times New Roman" w:hAnsi="Times New Roman" w:cs="Times New Roman"/>
          <w:i/>
          <w:iCs/>
          <w:sz w:val="24"/>
          <w:szCs w:val="24"/>
        </w:rPr>
        <w:t xml:space="preserve">Corydoras </w:t>
      </w:r>
      <w:proofErr w:type="spellStart"/>
      <w:r w:rsidRPr="00BB56C1">
        <w:rPr>
          <w:rFonts w:ascii="Times New Roman" w:eastAsia="Times New Roman" w:hAnsi="Times New Roman" w:cs="Times New Roman"/>
          <w:i/>
          <w:iCs/>
          <w:sz w:val="24"/>
          <w:szCs w:val="24"/>
        </w:rPr>
        <w:t>paleatus</w:t>
      </w:r>
      <w:proofErr w:type="spellEnd"/>
      <w:r w:rsidRPr="00BB56C1">
        <w:rPr>
          <w:rFonts w:ascii="Times New Roman" w:eastAsia="Times New Roman" w:hAnsi="Times New Roman" w:cs="Times New Roman"/>
          <w:sz w:val="24"/>
          <w:szCs w:val="24"/>
        </w:rPr>
        <w:t xml:space="preserve"> contaminated with sublethal levels of organophosphorus in water and food. </w:t>
      </w:r>
      <w:r w:rsidRPr="00BB56C1">
        <w:rPr>
          <w:rFonts w:ascii="Times New Roman" w:eastAsia="Times New Roman" w:hAnsi="Times New Roman" w:cs="Times New Roman"/>
          <w:i/>
          <w:iCs/>
          <w:sz w:val="24"/>
          <w:szCs w:val="24"/>
        </w:rPr>
        <w:t>Ecotoxicology and Environmental Safety, 54</w:t>
      </w:r>
      <w:r w:rsidRPr="00BB56C1">
        <w:rPr>
          <w:rFonts w:ascii="Times New Roman" w:eastAsia="Times New Roman" w:hAnsi="Times New Roman" w:cs="Times New Roman"/>
          <w:sz w:val="24"/>
          <w:szCs w:val="24"/>
        </w:rPr>
        <w:t xml:space="preserve">(2), 119–130. </w:t>
      </w:r>
      <w:hyperlink r:id="rId32" w:history="1">
        <w:r w:rsidRPr="00BB56C1">
          <w:rPr>
            <w:rFonts w:ascii="Times New Roman" w:eastAsia="Times New Roman" w:hAnsi="Times New Roman" w:cs="Times New Roman"/>
            <w:color w:val="0000FF"/>
            <w:sz w:val="24"/>
            <w:szCs w:val="24"/>
            <w:u w:val="single"/>
          </w:rPr>
          <w:t>https://doi.org/10.1016/S0147-6513(02)00044-1</w:t>
        </w:r>
      </w:hyperlink>
    </w:p>
    <w:p w14:paraId="07C61A29" w14:textId="77777777" w:rsidR="00BB56C1" w:rsidRPr="00BB56C1" w:rsidRDefault="00BB56C1" w:rsidP="00BB56C1">
      <w:pPr>
        <w:spacing w:before="100" w:beforeAutospacing="1" w:after="100" w:afterAutospacing="1" w:line="240" w:lineRule="auto"/>
        <w:ind w:left="630" w:hanging="630"/>
        <w:jc w:val="both"/>
        <w:rPr>
          <w:rFonts w:ascii="Times New Roman" w:eastAsia="Times New Roman" w:hAnsi="Times New Roman" w:cs="Times New Roman"/>
          <w:sz w:val="24"/>
          <w:szCs w:val="24"/>
        </w:rPr>
      </w:pPr>
      <w:r w:rsidRPr="00BB56C1">
        <w:rPr>
          <w:rFonts w:ascii="Times New Roman" w:eastAsia="Times New Roman" w:hAnsi="Times New Roman" w:cs="Times New Roman"/>
          <w:sz w:val="24"/>
          <w:szCs w:val="24"/>
        </w:rPr>
        <w:t xml:space="preserve">Food and Agriculture Organization of the United Nations. (2019). </w:t>
      </w:r>
      <w:r w:rsidRPr="00BB56C1">
        <w:rPr>
          <w:rFonts w:ascii="Times New Roman" w:eastAsia="Times New Roman" w:hAnsi="Times New Roman" w:cs="Times New Roman"/>
          <w:i/>
          <w:iCs/>
          <w:sz w:val="24"/>
          <w:szCs w:val="24"/>
        </w:rPr>
        <w:t>Fishery and aquaculture country profiles: India. Country profile fact sheets</w:t>
      </w:r>
      <w:r w:rsidRPr="00BB56C1">
        <w:rPr>
          <w:rFonts w:ascii="Times New Roman" w:eastAsia="Times New Roman" w:hAnsi="Times New Roman" w:cs="Times New Roman"/>
          <w:sz w:val="24"/>
          <w:szCs w:val="24"/>
        </w:rPr>
        <w:t xml:space="preserve">. Fisheries and Aquaculture Department. </w:t>
      </w:r>
      <w:hyperlink r:id="rId33" w:history="1">
        <w:r w:rsidRPr="00BB56C1">
          <w:rPr>
            <w:rFonts w:ascii="Times New Roman" w:eastAsia="Times New Roman" w:hAnsi="Times New Roman" w:cs="Times New Roman"/>
            <w:color w:val="0000FF"/>
            <w:sz w:val="24"/>
            <w:szCs w:val="24"/>
            <w:u w:val="single"/>
          </w:rPr>
          <w:t>https://www.fao.org/fishery/en/facp/ind?lang=en</w:t>
        </w:r>
      </w:hyperlink>
    </w:p>
    <w:p w14:paraId="55E64C51" w14:textId="77777777" w:rsidR="00BB56C1" w:rsidRPr="00BB56C1" w:rsidRDefault="00BB56C1" w:rsidP="00BB56C1">
      <w:pPr>
        <w:spacing w:before="100" w:beforeAutospacing="1" w:after="100" w:afterAutospacing="1" w:line="240" w:lineRule="auto"/>
        <w:ind w:left="630" w:hanging="630"/>
        <w:jc w:val="both"/>
        <w:rPr>
          <w:rFonts w:ascii="Times New Roman" w:eastAsia="Times New Roman" w:hAnsi="Times New Roman" w:cs="Times New Roman"/>
          <w:sz w:val="24"/>
          <w:szCs w:val="24"/>
          <w:lang w:val="nl-BE"/>
        </w:rPr>
      </w:pPr>
      <w:r w:rsidRPr="00BB56C1">
        <w:rPr>
          <w:rFonts w:ascii="Times New Roman" w:eastAsia="Times New Roman" w:hAnsi="Times New Roman" w:cs="Times New Roman"/>
          <w:sz w:val="24"/>
          <w:szCs w:val="24"/>
        </w:rPr>
        <w:t xml:space="preserve">Fazio, F. (2019). Fish hematology analysis as an important tool of aquaculture: A review. </w:t>
      </w:r>
      <w:r w:rsidRPr="00BB56C1">
        <w:rPr>
          <w:rFonts w:ascii="Times New Roman" w:eastAsia="Times New Roman" w:hAnsi="Times New Roman" w:cs="Times New Roman"/>
          <w:i/>
          <w:iCs/>
          <w:sz w:val="24"/>
          <w:szCs w:val="24"/>
          <w:lang w:val="nl-BE"/>
        </w:rPr>
        <w:t>Aquaculture, 500</w:t>
      </w:r>
      <w:r w:rsidRPr="00BB56C1">
        <w:rPr>
          <w:rFonts w:ascii="Times New Roman" w:eastAsia="Times New Roman" w:hAnsi="Times New Roman" w:cs="Times New Roman"/>
          <w:sz w:val="24"/>
          <w:szCs w:val="24"/>
          <w:lang w:val="nl-BE"/>
        </w:rPr>
        <w:t xml:space="preserve">, 237–242. </w:t>
      </w:r>
      <w:hyperlink r:id="rId34" w:history="1">
        <w:r w:rsidRPr="00BB56C1">
          <w:rPr>
            <w:rFonts w:ascii="Times New Roman" w:eastAsia="Times New Roman" w:hAnsi="Times New Roman" w:cs="Times New Roman"/>
            <w:color w:val="0000FF"/>
            <w:sz w:val="24"/>
            <w:szCs w:val="24"/>
            <w:u w:val="single"/>
            <w:lang w:val="nl-BE"/>
          </w:rPr>
          <w:t>https://doi.org/10.1016/j.aquaculture.2018.10.030</w:t>
        </w:r>
      </w:hyperlink>
    </w:p>
    <w:p w14:paraId="7F0AACD1" w14:textId="77777777" w:rsidR="00BB56C1" w:rsidRPr="00BB56C1" w:rsidRDefault="00BB56C1" w:rsidP="00BB56C1">
      <w:pPr>
        <w:spacing w:before="100" w:beforeAutospacing="1" w:after="100" w:afterAutospacing="1" w:line="240" w:lineRule="auto"/>
        <w:ind w:left="630" w:hanging="630"/>
        <w:jc w:val="both"/>
        <w:rPr>
          <w:rFonts w:ascii="Times New Roman" w:eastAsia="Times New Roman" w:hAnsi="Times New Roman" w:cs="Times New Roman"/>
          <w:sz w:val="24"/>
          <w:szCs w:val="24"/>
        </w:rPr>
      </w:pPr>
      <w:r w:rsidRPr="00BB56C1">
        <w:rPr>
          <w:rFonts w:ascii="Times New Roman" w:eastAsia="Times New Roman" w:hAnsi="Times New Roman" w:cs="Times New Roman"/>
          <w:sz w:val="24"/>
          <w:szCs w:val="24"/>
          <w:lang w:val="nl-BE"/>
        </w:rPr>
        <w:t xml:space="preserve">Genten, F., Terwinghe, E., &amp; Danguy, A. (2009). </w:t>
      </w:r>
      <w:r w:rsidRPr="00BB56C1">
        <w:rPr>
          <w:rFonts w:ascii="Times New Roman" w:eastAsia="Times New Roman" w:hAnsi="Times New Roman" w:cs="Times New Roman"/>
          <w:i/>
          <w:iCs/>
          <w:sz w:val="24"/>
          <w:szCs w:val="24"/>
        </w:rPr>
        <w:t>Atlas of fish histology</w:t>
      </w:r>
      <w:r w:rsidRPr="00BB56C1">
        <w:rPr>
          <w:rFonts w:ascii="Times New Roman" w:eastAsia="Times New Roman" w:hAnsi="Times New Roman" w:cs="Times New Roman"/>
          <w:sz w:val="24"/>
          <w:szCs w:val="24"/>
        </w:rPr>
        <w:t xml:space="preserve">. Science Publishers. </w:t>
      </w:r>
      <w:hyperlink r:id="rId35" w:history="1">
        <w:r w:rsidRPr="00BB56C1">
          <w:rPr>
            <w:rFonts w:ascii="Times New Roman" w:eastAsia="Times New Roman" w:hAnsi="Times New Roman" w:cs="Times New Roman"/>
            <w:color w:val="0000FF"/>
            <w:sz w:val="24"/>
            <w:szCs w:val="24"/>
            <w:u w:val="single"/>
          </w:rPr>
          <w:t>https://doi.org/10.1201/9780367803599</w:t>
        </w:r>
      </w:hyperlink>
    </w:p>
    <w:p w14:paraId="5794D59F" w14:textId="77777777" w:rsidR="00A50AF7" w:rsidRDefault="00000000">
      <w:pPr>
        <w:spacing w:before="100" w:after="100" w:line="240" w:lineRule="auto"/>
        <w:ind w:left="630" w:hanging="630"/>
        <w:jc w:val="both"/>
      </w:pPr>
      <w:r>
        <w:rPr>
          <w:rFonts w:ascii="Times New Roman" w:eastAsia="Times New Roman" w:hAnsi="Times New Roman"/>
          <w:b/>
          <w:sz w:val="24"/>
          <w:highlight w:val="yellow"/>
        </w:rPr>
        <w:t xml:space="preserve">Grammatiki, K., de Jonge, N., Nielsen, J. L., García-Gomez, S. C., Avramidi, E., Lymperaki, M. M., Marcou, M., Ioannou, G., Papatheodoulou, M., Dargent, O., Xevgenos, D., Hesselsøe, M., &amp; Küpper, F. C. (2025). eDNA metabarcoding of marine invertebrate communities at RO desalination plant outfalls in Cyprus. </w:t>
      </w:r>
      <w:r>
        <w:rPr>
          <w:rFonts w:ascii="Times New Roman" w:eastAsia="Times New Roman" w:hAnsi="Times New Roman"/>
          <w:b/>
          <w:i/>
          <w:sz w:val="24"/>
          <w:highlight w:val="yellow"/>
        </w:rPr>
        <w:t>Marine Pollution Bulletin, 214</w:t>
      </w:r>
      <w:r>
        <w:rPr>
          <w:rFonts w:ascii="Times New Roman" w:eastAsia="Times New Roman" w:hAnsi="Times New Roman"/>
          <w:b/>
          <w:sz w:val="24"/>
          <w:highlight w:val="yellow"/>
        </w:rPr>
        <w:t>, 117609. https://doi.org/10.1016/j.marpolbul.2025.117609</w:t>
      </w:r>
    </w:p>
    <w:p w14:paraId="03D40CCE" w14:textId="77777777" w:rsidR="00BB56C1" w:rsidRPr="00BB56C1" w:rsidRDefault="00BB56C1" w:rsidP="00BB56C1">
      <w:pPr>
        <w:spacing w:before="100" w:beforeAutospacing="1" w:after="100" w:afterAutospacing="1" w:line="240" w:lineRule="auto"/>
        <w:ind w:left="630" w:hanging="630"/>
        <w:jc w:val="both"/>
        <w:rPr>
          <w:rFonts w:ascii="Times New Roman" w:eastAsia="Times New Roman" w:hAnsi="Times New Roman" w:cs="Times New Roman"/>
          <w:sz w:val="24"/>
          <w:szCs w:val="24"/>
        </w:rPr>
      </w:pPr>
      <w:r w:rsidRPr="00BB56C1">
        <w:rPr>
          <w:rFonts w:ascii="Times New Roman" w:eastAsia="Times New Roman" w:hAnsi="Times New Roman" w:cs="Times New Roman"/>
          <w:sz w:val="24"/>
          <w:szCs w:val="24"/>
        </w:rPr>
        <w:t xml:space="preserve">Hinton, D. E., Baumann, P. C., Gardner, G. R., Hawkins, W. E., Hendricks, J. D., </w:t>
      </w:r>
      <w:proofErr w:type="spellStart"/>
      <w:r w:rsidRPr="00BB56C1">
        <w:rPr>
          <w:rFonts w:ascii="Times New Roman" w:eastAsia="Times New Roman" w:hAnsi="Times New Roman" w:cs="Times New Roman"/>
          <w:sz w:val="24"/>
          <w:szCs w:val="24"/>
        </w:rPr>
        <w:t>Murchelano</w:t>
      </w:r>
      <w:proofErr w:type="spellEnd"/>
      <w:r w:rsidRPr="00BB56C1">
        <w:rPr>
          <w:rFonts w:ascii="Times New Roman" w:eastAsia="Times New Roman" w:hAnsi="Times New Roman" w:cs="Times New Roman"/>
          <w:sz w:val="24"/>
          <w:szCs w:val="24"/>
        </w:rPr>
        <w:t xml:space="preserve">, R. A., &amp; </w:t>
      </w:r>
      <w:proofErr w:type="spellStart"/>
      <w:r w:rsidRPr="00BB56C1">
        <w:rPr>
          <w:rFonts w:ascii="Times New Roman" w:eastAsia="Times New Roman" w:hAnsi="Times New Roman" w:cs="Times New Roman"/>
          <w:sz w:val="24"/>
          <w:szCs w:val="24"/>
        </w:rPr>
        <w:t>Okihiro</w:t>
      </w:r>
      <w:proofErr w:type="spellEnd"/>
      <w:r w:rsidRPr="00BB56C1">
        <w:rPr>
          <w:rFonts w:ascii="Times New Roman" w:eastAsia="Times New Roman" w:hAnsi="Times New Roman" w:cs="Times New Roman"/>
          <w:sz w:val="24"/>
          <w:szCs w:val="24"/>
        </w:rPr>
        <w:t xml:space="preserve">, M. S. (2018). Histopathologic biomarkers. In R. J. Huggett, R. A. Kimerle, P. M. Mehrle, Jr., &amp; H. L. Bergman (Eds.), </w:t>
      </w:r>
      <w:r w:rsidRPr="00BB56C1">
        <w:rPr>
          <w:rFonts w:ascii="Times New Roman" w:eastAsia="Times New Roman" w:hAnsi="Times New Roman" w:cs="Times New Roman"/>
          <w:i/>
          <w:iCs/>
          <w:sz w:val="24"/>
          <w:szCs w:val="24"/>
        </w:rPr>
        <w:t>Biomarkers: Biochemical, physiological, and histological markers of anthropogenic stress</w:t>
      </w:r>
      <w:r w:rsidRPr="00BB56C1">
        <w:rPr>
          <w:rFonts w:ascii="Times New Roman" w:eastAsia="Times New Roman" w:hAnsi="Times New Roman" w:cs="Times New Roman"/>
          <w:sz w:val="24"/>
          <w:szCs w:val="24"/>
        </w:rPr>
        <w:t xml:space="preserve"> (pp. 155–209). CRC Press. </w:t>
      </w:r>
      <w:hyperlink r:id="rId36" w:history="1">
        <w:r w:rsidRPr="00BB56C1">
          <w:rPr>
            <w:rFonts w:ascii="Times New Roman" w:eastAsia="Times New Roman" w:hAnsi="Times New Roman" w:cs="Times New Roman"/>
            <w:color w:val="0000FF"/>
            <w:sz w:val="24"/>
            <w:szCs w:val="24"/>
            <w:u w:val="single"/>
          </w:rPr>
          <w:t>https://doi.org/10.1201/9781351070270</w:t>
        </w:r>
      </w:hyperlink>
    </w:p>
    <w:p w14:paraId="78FBFEB8" w14:textId="77777777" w:rsidR="00BB56C1" w:rsidRPr="00BB56C1" w:rsidRDefault="00BB56C1" w:rsidP="00BB56C1">
      <w:pPr>
        <w:spacing w:before="100" w:beforeAutospacing="1" w:after="100" w:afterAutospacing="1" w:line="240" w:lineRule="auto"/>
        <w:ind w:left="630" w:hanging="630"/>
        <w:jc w:val="both"/>
        <w:rPr>
          <w:rFonts w:ascii="Times New Roman" w:eastAsia="Times New Roman" w:hAnsi="Times New Roman" w:cs="Times New Roman"/>
          <w:sz w:val="24"/>
          <w:szCs w:val="24"/>
        </w:rPr>
      </w:pPr>
      <w:r w:rsidRPr="00BB56C1">
        <w:rPr>
          <w:rFonts w:ascii="Times New Roman" w:eastAsia="Times New Roman" w:hAnsi="Times New Roman" w:cs="Times New Roman"/>
          <w:sz w:val="24"/>
          <w:szCs w:val="24"/>
        </w:rPr>
        <w:t xml:space="preserve">Kaur, R., &amp; Dua, A. (2014). Adverse effects on histology of liver and kidney in fish </w:t>
      </w:r>
      <w:r w:rsidRPr="00BB56C1">
        <w:rPr>
          <w:rFonts w:ascii="Times New Roman" w:eastAsia="Times New Roman" w:hAnsi="Times New Roman" w:cs="Times New Roman"/>
          <w:i/>
          <w:iCs/>
          <w:sz w:val="24"/>
          <w:szCs w:val="24"/>
        </w:rPr>
        <w:t>Channa punctatus</w:t>
      </w:r>
      <w:r w:rsidRPr="00BB56C1">
        <w:rPr>
          <w:rFonts w:ascii="Times New Roman" w:eastAsia="Times New Roman" w:hAnsi="Times New Roman" w:cs="Times New Roman"/>
          <w:sz w:val="24"/>
          <w:szCs w:val="24"/>
        </w:rPr>
        <w:t xml:space="preserve"> exposed to wastewater from Tung </w:t>
      </w:r>
      <w:proofErr w:type="spellStart"/>
      <w:r w:rsidRPr="00BB56C1">
        <w:rPr>
          <w:rFonts w:ascii="Times New Roman" w:eastAsia="Times New Roman" w:hAnsi="Times New Roman" w:cs="Times New Roman"/>
          <w:sz w:val="24"/>
          <w:szCs w:val="24"/>
        </w:rPr>
        <w:t>Dhab</w:t>
      </w:r>
      <w:proofErr w:type="spellEnd"/>
      <w:r w:rsidRPr="00BB56C1">
        <w:rPr>
          <w:rFonts w:ascii="Times New Roman" w:eastAsia="Times New Roman" w:hAnsi="Times New Roman" w:cs="Times New Roman"/>
          <w:sz w:val="24"/>
          <w:szCs w:val="24"/>
        </w:rPr>
        <w:t xml:space="preserve"> drain in Amritsar, India. </w:t>
      </w:r>
      <w:r w:rsidRPr="00BB56C1">
        <w:rPr>
          <w:rFonts w:ascii="Times New Roman" w:eastAsia="Times New Roman" w:hAnsi="Times New Roman" w:cs="Times New Roman"/>
          <w:i/>
          <w:iCs/>
          <w:sz w:val="24"/>
          <w:szCs w:val="24"/>
        </w:rPr>
        <w:t>Journal of Environmental Biology, 35</w:t>
      </w:r>
      <w:r w:rsidRPr="00BB56C1">
        <w:rPr>
          <w:rFonts w:ascii="Times New Roman" w:eastAsia="Times New Roman" w:hAnsi="Times New Roman" w:cs="Times New Roman"/>
          <w:sz w:val="24"/>
          <w:szCs w:val="24"/>
        </w:rPr>
        <w:t xml:space="preserve">(1), 265–272. </w:t>
      </w:r>
      <w:hyperlink r:id="rId37" w:history="1">
        <w:r w:rsidRPr="00BB56C1">
          <w:rPr>
            <w:rFonts w:ascii="Times New Roman" w:eastAsia="Times New Roman" w:hAnsi="Times New Roman" w:cs="Times New Roman"/>
            <w:color w:val="0000FF"/>
            <w:sz w:val="24"/>
            <w:szCs w:val="24"/>
            <w:u w:val="single"/>
          </w:rPr>
          <w:t>https://www.jeb.co.in/index.php?issue=201401_jan14&amp;page=issue_toc</w:t>
        </w:r>
      </w:hyperlink>
    </w:p>
    <w:p w14:paraId="7667C869" w14:textId="77777777" w:rsidR="00BB56C1" w:rsidRPr="00BB56C1" w:rsidRDefault="00BB56C1" w:rsidP="00BB56C1">
      <w:pPr>
        <w:spacing w:before="100" w:beforeAutospacing="1" w:after="100" w:afterAutospacing="1" w:line="240" w:lineRule="auto"/>
        <w:ind w:left="630" w:hanging="630"/>
        <w:jc w:val="both"/>
        <w:rPr>
          <w:rFonts w:ascii="Times New Roman" w:eastAsia="Times New Roman" w:hAnsi="Times New Roman" w:cs="Times New Roman"/>
          <w:sz w:val="24"/>
          <w:szCs w:val="24"/>
        </w:rPr>
      </w:pPr>
      <w:r w:rsidRPr="00BB56C1">
        <w:rPr>
          <w:rFonts w:ascii="Times New Roman" w:eastAsia="Times New Roman" w:hAnsi="Times New Roman" w:cs="Times New Roman"/>
          <w:sz w:val="24"/>
          <w:szCs w:val="24"/>
          <w:lang w:val="nl-BE"/>
        </w:rPr>
        <w:lastRenderedPageBreak/>
        <w:t xml:space="preserve">Klaverkamp, J. F., MacDonald, W. A., Duncan, D. A., &amp; Wagemann, R. (1984). </w:t>
      </w:r>
      <w:r w:rsidRPr="00BB56C1">
        <w:rPr>
          <w:rFonts w:ascii="Times New Roman" w:eastAsia="Times New Roman" w:hAnsi="Times New Roman" w:cs="Times New Roman"/>
          <w:sz w:val="24"/>
          <w:szCs w:val="24"/>
        </w:rPr>
        <w:t xml:space="preserve">Metallothionein and acclimation to heavy metals in fish: A review. In V. W. Cairns, P. V. Hodson, &amp; J. O. </w:t>
      </w:r>
      <w:proofErr w:type="spellStart"/>
      <w:r w:rsidRPr="00BB56C1">
        <w:rPr>
          <w:rFonts w:ascii="Times New Roman" w:eastAsia="Times New Roman" w:hAnsi="Times New Roman" w:cs="Times New Roman"/>
          <w:sz w:val="24"/>
          <w:szCs w:val="24"/>
        </w:rPr>
        <w:t>Nriagu</w:t>
      </w:r>
      <w:proofErr w:type="spellEnd"/>
      <w:r w:rsidRPr="00BB56C1">
        <w:rPr>
          <w:rFonts w:ascii="Times New Roman" w:eastAsia="Times New Roman" w:hAnsi="Times New Roman" w:cs="Times New Roman"/>
          <w:sz w:val="24"/>
          <w:szCs w:val="24"/>
        </w:rPr>
        <w:t xml:space="preserve"> (Eds.), </w:t>
      </w:r>
      <w:r w:rsidRPr="00BB56C1">
        <w:rPr>
          <w:rFonts w:ascii="Times New Roman" w:eastAsia="Times New Roman" w:hAnsi="Times New Roman" w:cs="Times New Roman"/>
          <w:i/>
          <w:iCs/>
          <w:sz w:val="24"/>
          <w:szCs w:val="24"/>
        </w:rPr>
        <w:t>Contaminant effects on fisheries</w:t>
      </w:r>
      <w:r w:rsidRPr="00BB56C1">
        <w:rPr>
          <w:rFonts w:ascii="Times New Roman" w:eastAsia="Times New Roman" w:hAnsi="Times New Roman" w:cs="Times New Roman"/>
          <w:sz w:val="24"/>
          <w:szCs w:val="24"/>
        </w:rPr>
        <w:t xml:space="preserve"> (pp. 99–113). John Wiley &amp; Sons. </w:t>
      </w:r>
    </w:p>
    <w:p w14:paraId="06804FD2" w14:textId="77777777" w:rsidR="00A50AF7" w:rsidRDefault="00000000">
      <w:pPr>
        <w:spacing w:before="100" w:after="100" w:line="240" w:lineRule="auto"/>
        <w:ind w:left="630" w:hanging="630"/>
        <w:jc w:val="both"/>
      </w:pPr>
      <w:r>
        <w:rPr>
          <w:rFonts w:ascii="Times New Roman" w:eastAsia="Times New Roman" w:hAnsi="Times New Roman"/>
          <w:b/>
          <w:sz w:val="24"/>
          <w:highlight w:val="yellow"/>
        </w:rPr>
        <w:t xml:space="preserve">Manríquez, P. H., González, C. P., Abarca, A., Jofré, V., Aguilera, V. M., &amp; Astudillo, O. (2025). Effects of brine discharges on early benthic stages of </w:t>
      </w:r>
      <w:r>
        <w:rPr>
          <w:rFonts w:ascii="Times New Roman" w:eastAsia="Times New Roman" w:hAnsi="Times New Roman"/>
          <w:b/>
          <w:i/>
          <w:sz w:val="24"/>
          <w:highlight w:val="yellow"/>
        </w:rPr>
        <w:t>Concholepas concholepas</w:t>
      </w:r>
      <w:r>
        <w:rPr>
          <w:rFonts w:ascii="Times New Roman" w:eastAsia="Times New Roman" w:hAnsi="Times New Roman"/>
          <w:b/>
          <w:sz w:val="24"/>
          <w:highlight w:val="yellow"/>
        </w:rPr>
        <w:t xml:space="preserve">. </w:t>
      </w:r>
      <w:r>
        <w:rPr>
          <w:rFonts w:ascii="Times New Roman" w:eastAsia="Times New Roman" w:hAnsi="Times New Roman"/>
          <w:b/>
          <w:i/>
          <w:sz w:val="24"/>
          <w:highlight w:val="yellow"/>
        </w:rPr>
        <w:t>Science of the Total Environment, 996</w:t>
      </w:r>
      <w:r>
        <w:rPr>
          <w:rFonts w:ascii="Times New Roman" w:eastAsia="Times New Roman" w:hAnsi="Times New Roman"/>
          <w:b/>
          <w:sz w:val="24"/>
          <w:highlight w:val="yellow"/>
        </w:rPr>
        <w:t>, 180133. https://doi.org/10.1016/j.scitotenv.2025.180133</w:t>
      </w:r>
    </w:p>
    <w:p w14:paraId="0382DF85" w14:textId="77777777" w:rsidR="00BB56C1" w:rsidRPr="00BB56C1" w:rsidRDefault="00BB56C1" w:rsidP="00BB56C1">
      <w:pPr>
        <w:spacing w:before="100" w:beforeAutospacing="1" w:after="100" w:afterAutospacing="1" w:line="240" w:lineRule="auto"/>
        <w:ind w:left="630" w:hanging="630"/>
        <w:jc w:val="both"/>
        <w:rPr>
          <w:rFonts w:ascii="Times New Roman" w:eastAsia="Times New Roman" w:hAnsi="Times New Roman" w:cs="Times New Roman"/>
          <w:sz w:val="24"/>
          <w:szCs w:val="24"/>
        </w:rPr>
      </w:pPr>
      <w:r w:rsidRPr="00BB56C1">
        <w:rPr>
          <w:rFonts w:ascii="Times New Roman" w:eastAsia="Times New Roman" w:hAnsi="Times New Roman" w:cs="Times New Roman"/>
          <w:sz w:val="24"/>
          <w:szCs w:val="24"/>
          <w:lang w:val="nl-BE"/>
        </w:rPr>
        <w:t xml:space="preserve">Nero, V., Farwell, A., Lister, A., Van der Kraak, G., Lee, L. E. J., Van Meer, T., MacKinnon, M. D., &amp; Dixon, D. G. (2006). </w:t>
      </w:r>
      <w:r w:rsidRPr="00BB56C1">
        <w:rPr>
          <w:rFonts w:ascii="Times New Roman" w:eastAsia="Times New Roman" w:hAnsi="Times New Roman" w:cs="Times New Roman"/>
          <w:sz w:val="24"/>
          <w:szCs w:val="24"/>
        </w:rPr>
        <w:t>Gill and liver histopathological changes in yellow perch (</w:t>
      </w:r>
      <w:r w:rsidRPr="00BB56C1">
        <w:rPr>
          <w:rFonts w:ascii="Times New Roman" w:eastAsia="Times New Roman" w:hAnsi="Times New Roman" w:cs="Times New Roman"/>
          <w:i/>
          <w:iCs/>
          <w:sz w:val="24"/>
          <w:szCs w:val="24"/>
        </w:rPr>
        <w:t>Perca flavescens</w:t>
      </w:r>
      <w:r w:rsidRPr="00BB56C1">
        <w:rPr>
          <w:rFonts w:ascii="Times New Roman" w:eastAsia="Times New Roman" w:hAnsi="Times New Roman" w:cs="Times New Roman"/>
          <w:sz w:val="24"/>
          <w:szCs w:val="24"/>
        </w:rPr>
        <w:t>) and goldfish (</w:t>
      </w:r>
      <w:r w:rsidRPr="00BB56C1">
        <w:rPr>
          <w:rFonts w:ascii="Times New Roman" w:eastAsia="Times New Roman" w:hAnsi="Times New Roman" w:cs="Times New Roman"/>
          <w:i/>
          <w:iCs/>
          <w:sz w:val="24"/>
          <w:szCs w:val="24"/>
        </w:rPr>
        <w:t>Carassius auratus</w:t>
      </w:r>
      <w:r w:rsidRPr="00BB56C1">
        <w:rPr>
          <w:rFonts w:ascii="Times New Roman" w:eastAsia="Times New Roman" w:hAnsi="Times New Roman" w:cs="Times New Roman"/>
          <w:sz w:val="24"/>
          <w:szCs w:val="24"/>
        </w:rPr>
        <w:t xml:space="preserve">) exposed to oil sands process-affected water. </w:t>
      </w:r>
      <w:r w:rsidRPr="00BB56C1">
        <w:rPr>
          <w:rFonts w:ascii="Times New Roman" w:eastAsia="Times New Roman" w:hAnsi="Times New Roman" w:cs="Times New Roman"/>
          <w:i/>
          <w:iCs/>
          <w:sz w:val="24"/>
          <w:szCs w:val="24"/>
        </w:rPr>
        <w:t>Ecotoxicology and Environmental Safety, 63</w:t>
      </w:r>
      <w:r w:rsidRPr="00BB56C1">
        <w:rPr>
          <w:rFonts w:ascii="Times New Roman" w:eastAsia="Times New Roman" w:hAnsi="Times New Roman" w:cs="Times New Roman"/>
          <w:sz w:val="24"/>
          <w:szCs w:val="24"/>
        </w:rPr>
        <w:t xml:space="preserve">(3), 365–377. </w:t>
      </w:r>
      <w:hyperlink r:id="rId38" w:history="1">
        <w:r w:rsidRPr="00BB56C1">
          <w:rPr>
            <w:rFonts w:ascii="Times New Roman" w:eastAsia="Times New Roman" w:hAnsi="Times New Roman" w:cs="Times New Roman"/>
            <w:color w:val="0000FF"/>
            <w:sz w:val="24"/>
            <w:szCs w:val="24"/>
            <w:u w:val="single"/>
          </w:rPr>
          <w:t>https://doi.org/10.1016/j.ecoenv.2005.04.014</w:t>
        </w:r>
      </w:hyperlink>
    </w:p>
    <w:p w14:paraId="4EC59595" w14:textId="77777777" w:rsidR="00BB56C1" w:rsidRPr="00BB56C1" w:rsidRDefault="00BB56C1" w:rsidP="00BB56C1">
      <w:pPr>
        <w:spacing w:before="100" w:beforeAutospacing="1" w:after="100" w:afterAutospacing="1" w:line="240" w:lineRule="auto"/>
        <w:ind w:left="630" w:hanging="630"/>
        <w:jc w:val="both"/>
        <w:rPr>
          <w:rFonts w:ascii="Times New Roman" w:eastAsia="Times New Roman" w:hAnsi="Times New Roman" w:cs="Times New Roman"/>
          <w:sz w:val="24"/>
          <w:szCs w:val="24"/>
        </w:rPr>
      </w:pPr>
      <w:r w:rsidRPr="00BB56C1">
        <w:rPr>
          <w:rFonts w:ascii="Times New Roman" w:eastAsia="Times New Roman" w:hAnsi="Times New Roman" w:cs="Times New Roman"/>
          <w:sz w:val="24"/>
          <w:szCs w:val="24"/>
          <w:lang w:val="nl-BE"/>
        </w:rPr>
        <w:t xml:space="preserve">Obiekezie, A. I., Möller, H., &amp; Anders, K. (1988). </w:t>
      </w:r>
      <w:r w:rsidRPr="00BB56C1">
        <w:rPr>
          <w:rFonts w:ascii="Times New Roman" w:eastAsia="Times New Roman" w:hAnsi="Times New Roman" w:cs="Times New Roman"/>
          <w:sz w:val="24"/>
          <w:szCs w:val="24"/>
        </w:rPr>
        <w:t xml:space="preserve">Diseases of the African estuarine catfish </w:t>
      </w:r>
      <w:proofErr w:type="spellStart"/>
      <w:r w:rsidRPr="00BB56C1">
        <w:rPr>
          <w:rFonts w:ascii="Times New Roman" w:eastAsia="Times New Roman" w:hAnsi="Times New Roman" w:cs="Times New Roman"/>
          <w:i/>
          <w:iCs/>
          <w:sz w:val="24"/>
          <w:szCs w:val="24"/>
        </w:rPr>
        <w:t>Chrysichthys</w:t>
      </w:r>
      <w:proofErr w:type="spellEnd"/>
      <w:r w:rsidRPr="00BB56C1">
        <w:rPr>
          <w:rFonts w:ascii="Times New Roman" w:eastAsia="Times New Roman" w:hAnsi="Times New Roman" w:cs="Times New Roman"/>
          <w:i/>
          <w:iCs/>
          <w:sz w:val="24"/>
          <w:szCs w:val="24"/>
        </w:rPr>
        <w:t xml:space="preserve"> </w:t>
      </w:r>
      <w:proofErr w:type="spellStart"/>
      <w:r w:rsidRPr="00BB56C1">
        <w:rPr>
          <w:rFonts w:ascii="Times New Roman" w:eastAsia="Times New Roman" w:hAnsi="Times New Roman" w:cs="Times New Roman"/>
          <w:i/>
          <w:iCs/>
          <w:sz w:val="24"/>
          <w:szCs w:val="24"/>
        </w:rPr>
        <w:t>nigrodigitatus</w:t>
      </w:r>
      <w:proofErr w:type="spellEnd"/>
      <w:r w:rsidRPr="00BB56C1">
        <w:rPr>
          <w:rFonts w:ascii="Times New Roman" w:eastAsia="Times New Roman" w:hAnsi="Times New Roman" w:cs="Times New Roman"/>
          <w:sz w:val="24"/>
          <w:szCs w:val="24"/>
        </w:rPr>
        <w:t xml:space="preserve"> (</w:t>
      </w:r>
      <w:proofErr w:type="spellStart"/>
      <w:r w:rsidRPr="00BB56C1">
        <w:rPr>
          <w:rFonts w:ascii="Times New Roman" w:eastAsia="Times New Roman" w:hAnsi="Times New Roman" w:cs="Times New Roman"/>
          <w:sz w:val="24"/>
          <w:szCs w:val="24"/>
        </w:rPr>
        <w:t>Lacépède</w:t>
      </w:r>
      <w:proofErr w:type="spellEnd"/>
      <w:r w:rsidRPr="00BB56C1">
        <w:rPr>
          <w:rFonts w:ascii="Times New Roman" w:eastAsia="Times New Roman" w:hAnsi="Times New Roman" w:cs="Times New Roman"/>
          <w:sz w:val="24"/>
          <w:szCs w:val="24"/>
        </w:rPr>
        <w:t xml:space="preserve">) from the Cross River estuary, Nigeria. </w:t>
      </w:r>
      <w:r w:rsidRPr="00BB56C1">
        <w:rPr>
          <w:rFonts w:ascii="Times New Roman" w:eastAsia="Times New Roman" w:hAnsi="Times New Roman" w:cs="Times New Roman"/>
          <w:i/>
          <w:iCs/>
          <w:sz w:val="24"/>
          <w:szCs w:val="24"/>
        </w:rPr>
        <w:t>Journal of Fish Biology, 32</w:t>
      </w:r>
      <w:r w:rsidRPr="00BB56C1">
        <w:rPr>
          <w:rFonts w:ascii="Times New Roman" w:eastAsia="Times New Roman" w:hAnsi="Times New Roman" w:cs="Times New Roman"/>
          <w:sz w:val="24"/>
          <w:szCs w:val="24"/>
        </w:rPr>
        <w:t xml:space="preserve">(2), 207–221. </w:t>
      </w:r>
      <w:hyperlink r:id="rId39" w:history="1">
        <w:r w:rsidRPr="00BB56C1">
          <w:rPr>
            <w:rFonts w:ascii="Times New Roman" w:eastAsia="Times New Roman" w:hAnsi="Times New Roman" w:cs="Times New Roman"/>
            <w:color w:val="0000FF"/>
            <w:sz w:val="24"/>
            <w:szCs w:val="24"/>
            <w:u w:val="single"/>
          </w:rPr>
          <w:t>https://doi.org/10.1111/j.1095-8649.1988.tb05354.x</w:t>
        </w:r>
      </w:hyperlink>
    </w:p>
    <w:p w14:paraId="0D084BAD" w14:textId="77777777" w:rsidR="00BB56C1" w:rsidRPr="00BB56C1" w:rsidRDefault="00BB56C1" w:rsidP="00BB56C1">
      <w:pPr>
        <w:spacing w:before="100" w:beforeAutospacing="1" w:after="100" w:afterAutospacing="1" w:line="240" w:lineRule="auto"/>
        <w:ind w:left="630" w:hanging="630"/>
        <w:jc w:val="both"/>
        <w:rPr>
          <w:rFonts w:ascii="Times New Roman" w:eastAsia="Times New Roman" w:hAnsi="Times New Roman" w:cs="Times New Roman"/>
          <w:sz w:val="24"/>
          <w:szCs w:val="24"/>
        </w:rPr>
      </w:pPr>
      <w:r w:rsidRPr="00BB56C1">
        <w:rPr>
          <w:rFonts w:ascii="Times New Roman" w:eastAsia="Times New Roman" w:hAnsi="Times New Roman" w:cs="Times New Roman"/>
          <w:sz w:val="24"/>
          <w:szCs w:val="24"/>
        </w:rPr>
        <w:t xml:space="preserve">Parashar, R. S., &amp; Banerjee, T. K. (2002). Toxic impact of lethal concentration of lead nitrate on the gills of air-breathing catfish </w:t>
      </w:r>
      <w:proofErr w:type="spellStart"/>
      <w:r w:rsidRPr="00BB56C1">
        <w:rPr>
          <w:rFonts w:ascii="Times New Roman" w:eastAsia="Times New Roman" w:hAnsi="Times New Roman" w:cs="Times New Roman"/>
          <w:i/>
          <w:iCs/>
          <w:sz w:val="24"/>
          <w:szCs w:val="24"/>
        </w:rPr>
        <w:t>Heteropneustes</w:t>
      </w:r>
      <w:proofErr w:type="spellEnd"/>
      <w:r w:rsidRPr="00BB56C1">
        <w:rPr>
          <w:rFonts w:ascii="Times New Roman" w:eastAsia="Times New Roman" w:hAnsi="Times New Roman" w:cs="Times New Roman"/>
          <w:i/>
          <w:iCs/>
          <w:sz w:val="24"/>
          <w:szCs w:val="24"/>
        </w:rPr>
        <w:t xml:space="preserve"> </w:t>
      </w:r>
      <w:proofErr w:type="spellStart"/>
      <w:r w:rsidRPr="00BB56C1">
        <w:rPr>
          <w:rFonts w:ascii="Times New Roman" w:eastAsia="Times New Roman" w:hAnsi="Times New Roman" w:cs="Times New Roman"/>
          <w:i/>
          <w:iCs/>
          <w:sz w:val="24"/>
          <w:szCs w:val="24"/>
        </w:rPr>
        <w:t>fossilis</w:t>
      </w:r>
      <w:proofErr w:type="spellEnd"/>
      <w:r w:rsidRPr="00BB56C1">
        <w:rPr>
          <w:rFonts w:ascii="Times New Roman" w:eastAsia="Times New Roman" w:hAnsi="Times New Roman" w:cs="Times New Roman"/>
          <w:sz w:val="24"/>
          <w:szCs w:val="24"/>
        </w:rPr>
        <w:t xml:space="preserve"> (Bloch). </w:t>
      </w:r>
      <w:proofErr w:type="spellStart"/>
      <w:r w:rsidRPr="00BB56C1">
        <w:rPr>
          <w:rFonts w:ascii="Times New Roman" w:eastAsia="Times New Roman" w:hAnsi="Times New Roman" w:cs="Times New Roman"/>
          <w:i/>
          <w:iCs/>
          <w:sz w:val="24"/>
          <w:szCs w:val="24"/>
        </w:rPr>
        <w:t>Veterinarski</w:t>
      </w:r>
      <w:proofErr w:type="spellEnd"/>
      <w:r w:rsidRPr="00BB56C1">
        <w:rPr>
          <w:rFonts w:ascii="Times New Roman" w:eastAsia="Times New Roman" w:hAnsi="Times New Roman" w:cs="Times New Roman"/>
          <w:i/>
          <w:iCs/>
          <w:sz w:val="24"/>
          <w:szCs w:val="24"/>
        </w:rPr>
        <w:t xml:space="preserve"> </w:t>
      </w:r>
      <w:proofErr w:type="spellStart"/>
      <w:r w:rsidRPr="00BB56C1">
        <w:rPr>
          <w:rFonts w:ascii="Times New Roman" w:eastAsia="Times New Roman" w:hAnsi="Times New Roman" w:cs="Times New Roman"/>
          <w:i/>
          <w:iCs/>
          <w:sz w:val="24"/>
          <w:szCs w:val="24"/>
        </w:rPr>
        <w:t>Arhiv</w:t>
      </w:r>
      <w:proofErr w:type="spellEnd"/>
      <w:r w:rsidRPr="00BB56C1">
        <w:rPr>
          <w:rFonts w:ascii="Times New Roman" w:eastAsia="Times New Roman" w:hAnsi="Times New Roman" w:cs="Times New Roman"/>
          <w:i/>
          <w:iCs/>
          <w:sz w:val="24"/>
          <w:szCs w:val="24"/>
        </w:rPr>
        <w:t>, 72</w:t>
      </w:r>
      <w:r w:rsidRPr="00BB56C1">
        <w:rPr>
          <w:rFonts w:ascii="Times New Roman" w:eastAsia="Times New Roman" w:hAnsi="Times New Roman" w:cs="Times New Roman"/>
          <w:sz w:val="24"/>
          <w:szCs w:val="24"/>
        </w:rPr>
        <w:t xml:space="preserve">(3), 167–183. </w:t>
      </w:r>
      <w:hyperlink r:id="rId40" w:history="1">
        <w:r w:rsidRPr="00BB56C1">
          <w:rPr>
            <w:rFonts w:ascii="Times New Roman" w:eastAsia="Times New Roman" w:hAnsi="Times New Roman" w:cs="Times New Roman"/>
            <w:color w:val="0000FF"/>
            <w:sz w:val="24"/>
            <w:szCs w:val="24"/>
            <w:u w:val="single"/>
          </w:rPr>
          <w:t>https://hrcak.srce.hr/en/79901</w:t>
        </w:r>
      </w:hyperlink>
    </w:p>
    <w:p w14:paraId="124BD776" w14:textId="77777777" w:rsidR="00BB56C1" w:rsidRPr="00BB56C1" w:rsidRDefault="00BB56C1" w:rsidP="00BB56C1">
      <w:pPr>
        <w:spacing w:before="100" w:beforeAutospacing="1" w:after="100" w:afterAutospacing="1" w:line="240" w:lineRule="auto"/>
        <w:ind w:left="630" w:hanging="630"/>
        <w:jc w:val="both"/>
        <w:rPr>
          <w:rFonts w:ascii="Times New Roman" w:eastAsia="Times New Roman" w:hAnsi="Times New Roman" w:cs="Times New Roman"/>
          <w:sz w:val="24"/>
          <w:szCs w:val="24"/>
        </w:rPr>
      </w:pPr>
      <w:r w:rsidRPr="00BB56C1">
        <w:rPr>
          <w:rFonts w:ascii="Times New Roman" w:eastAsia="Times New Roman" w:hAnsi="Times New Roman" w:cs="Times New Roman"/>
          <w:sz w:val="24"/>
          <w:szCs w:val="24"/>
        </w:rPr>
        <w:t xml:space="preserve">Raskovic, B., Jaric, I., Koko, V., Spasic, M., </w:t>
      </w:r>
      <w:proofErr w:type="spellStart"/>
      <w:r w:rsidRPr="00BB56C1">
        <w:rPr>
          <w:rFonts w:ascii="Times New Roman" w:eastAsia="Times New Roman" w:hAnsi="Times New Roman" w:cs="Times New Roman"/>
          <w:sz w:val="24"/>
          <w:szCs w:val="24"/>
        </w:rPr>
        <w:t>Dulic</w:t>
      </w:r>
      <w:proofErr w:type="spellEnd"/>
      <w:r w:rsidRPr="00BB56C1">
        <w:rPr>
          <w:rFonts w:ascii="Times New Roman" w:eastAsia="Times New Roman" w:hAnsi="Times New Roman" w:cs="Times New Roman"/>
          <w:sz w:val="24"/>
          <w:szCs w:val="24"/>
        </w:rPr>
        <w:t xml:space="preserve">, Z., Markovic, Z., &amp; </w:t>
      </w:r>
      <w:proofErr w:type="spellStart"/>
      <w:r w:rsidRPr="00BB56C1">
        <w:rPr>
          <w:rFonts w:ascii="Times New Roman" w:eastAsia="Times New Roman" w:hAnsi="Times New Roman" w:cs="Times New Roman"/>
          <w:sz w:val="24"/>
          <w:szCs w:val="24"/>
        </w:rPr>
        <w:t>Poleksic</w:t>
      </w:r>
      <w:proofErr w:type="spellEnd"/>
      <w:r w:rsidRPr="00BB56C1">
        <w:rPr>
          <w:rFonts w:ascii="Times New Roman" w:eastAsia="Times New Roman" w:hAnsi="Times New Roman" w:cs="Times New Roman"/>
          <w:sz w:val="24"/>
          <w:szCs w:val="24"/>
        </w:rPr>
        <w:t>, V. (2013). Histopathological indicators: A useful fish health monitoring tool in common carp (</w:t>
      </w:r>
      <w:r w:rsidRPr="00BB56C1">
        <w:rPr>
          <w:rFonts w:ascii="Times New Roman" w:eastAsia="Times New Roman" w:hAnsi="Times New Roman" w:cs="Times New Roman"/>
          <w:i/>
          <w:iCs/>
          <w:sz w:val="24"/>
          <w:szCs w:val="24"/>
        </w:rPr>
        <w:t>Cyprinus carpio</w:t>
      </w:r>
      <w:r w:rsidRPr="00BB56C1">
        <w:rPr>
          <w:rFonts w:ascii="Times New Roman" w:eastAsia="Times New Roman" w:hAnsi="Times New Roman" w:cs="Times New Roman"/>
          <w:sz w:val="24"/>
          <w:szCs w:val="24"/>
        </w:rPr>
        <w:t xml:space="preserve"> Linnaeus, 1758) culture. </w:t>
      </w:r>
      <w:r w:rsidRPr="00BB56C1">
        <w:rPr>
          <w:rFonts w:ascii="Times New Roman" w:eastAsia="Times New Roman" w:hAnsi="Times New Roman" w:cs="Times New Roman"/>
          <w:i/>
          <w:iCs/>
          <w:sz w:val="24"/>
          <w:szCs w:val="24"/>
        </w:rPr>
        <w:t>Open Life Sciences, 8</w:t>
      </w:r>
      <w:r w:rsidRPr="00BB56C1">
        <w:rPr>
          <w:rFonts w:ascii="Times New Roman" w:eastAsia="Times New Roman" w:hAnsi="Times New Roman" w:cs="Times New Roman"/>
          <w:sz w:val="24"/>
          <w:szCs w:val="24"/>
        </w:rPr>
        <w:t xml:space="preserve">(10), 975–985. </w:t>
      </w:r>
      <w:hyperlink r:id="rId41" w:history="1">
        <w:r w:rsidRPr="00BB56C1">
          <w:rPr>
            <w:rFonts w:ascii="Times New Roman" w:eastAsia="Times New Roman" w:hAnsi="Times New Roman" w:cs="Times New Roman"/>
            <w:color w:val="0000FF"/>
            <w:sz w:val="24"/>
            <w:szCs w:val="24"/>
            <w:u w:val="single"/>
          </w:rPr>
          <w:t>https://doi.org/10.2478/s11535-013-0220-y</w:t>
        </w:r>
      </w:hyperlink>
    </w:p>
    <w:p w14:paraId="02957268" w14:textId="77777777" w:rsidR="00BB56C1" w:rsidRPr="00BB56C1" w:rsidRDefault="00BB56C1" w:rsidP="00BB56C1">
      <w:pPr>
        <w:spacing w:before="100" w:beforeAutospacing="1" w:after="100" w:afterAutospacing="1" w:line="240" w:lineRule="auto"/>
        <w:ind w:left="630" w:hanging="630"/>
        <w:jc w:val="both"/>
        <w:rPr>
          <w:rFonts w:ascii="Times New Roman" w:eastAsia="Times New Roman" w:hAnsi="Times New Roman" w:cs="Times New Roman"/>
          <w:sz w:val="24"/>
          <w:szCs w:val="24"/>
        </w:rPr>
      </w:pPr>
      <w:r w:rsidRPr="00BB56C1">
        <w:rPr>
          <w:rFonts w:ascii="Times New Roman" w:eastAsia="Times New Roman" w:hAnsi="Times New Roman" w:cs="Times New Roman"/>
          <w:sz w:val="24"/>
          <w:szCs w:val="24"/>
        </w:rPr>
        <w:t xml:space="preserve">Roberts, R. J. (Ed.). (2012). </w:t>
      </w:r>
      <w:r w:rsidRPr="00BB56C1">
        <w:rPr>
          <w:rFonts w:ascii="Times New Roman" w:eastAsia="Times New Roman" w:hAnsi="Times New Roman" w:cs="Times New Roman"/>
          <w:i/>
          <w:iCs/>
          <w:sz w:val="24"/>
          <w:szCs w:val="24"/>
        </w:rPr>
        <w:t>Fish pathology</w:t>
      </w:r>
      <w:r w:rsidRPr="00BB56C1">
        <w:rPr>
          <w:rFonts w:ascii="Times New Roman" w:eastAsia="Times New Roman" w:hAnsi="Times New Roman" w:cs="Times New Roman"/>
          <w:sz w:val="24"/>
          <w:szCs w:val="24"/>
        </w:rPr>
        <w:t xml:space="preserve"> (4th ed.). Wiley-Blackwell. </w:t>
      </w:r>
      <w:hyperlink r:id="rId42" w:history="1">
        <w:r w:rsidRPr="00BB56C1">
          <w:rPr>
            <w:rFonts w:ascii="Times New Roman" w:eastAsia="Times New Roman" w:hAnsi="Times New Roman" w:cs="Times New Roman"/>
            <w:color w:val="0000FF"/>
            <w:sz w:val="24"/>
            <w:szCs w:val="24"/>
            <w:u w:val="single"/>
          </w:rPr>
          <w:t>https://doi.org/10.1002/9781118222942</w:t>
        </w:r>
      </w:hyperlink>
    </w:p>
    <w:p w14:paraId="3A52BD86" w14:textId="77777777" w:rsidR="00A50AF7" w:rsidRDefault="00000000">
      <w:pPr>
        <w:spacing w:before="100" w:after="100" w:line="240" w:lineRule="auto"/>
        <w:ind w:left="630" w:hanging="630"/>
        <w:jc w:val="both"/>
      </w:pPr>
      <w:r>
        <w:rPr>
          <w:rFonts w:ascii="Times New Roman" w:eastAsia="Times New Roman" w:hAnsi="Times New Roman"/>
          <w:b/>
          <w:sz w:val="24"/>
          <w:highlight w:val="yellow"/>
        </w:rPr>
        <w:t xml:space="preserve">Sirota, R., Winters, G., Levy, O., Marques, J., Paytan, A., Silverman, J., Sisma-Ventura, G., Rahav, E., Antler, G., &amp; Bar-Zeev, E. (2024). Impacts of desalination brine discharge on benthic ecosystems. </w:t>
      </w:r>
      <w:r>
        <w:rPr>
          <w:rFonts w:ascii="Times New Roman" w:eastAsia="Times New Roman" w:hAnsi="Times New Roman"/>
          <w:b/>
          <w:i/>
          <w:sz w:val="24"/>
          <w:highlight w:val="yellow"/>
        </w:rPr>
        <w:t>Environmental Science &amp; Technology, 58</w:t>
      </w:r>
      <w:r>
        <w:rPr>
          <w:rFonts w:ascii="Times New Roman" w:eastAsia="Times New Roman" w:hAnsi="Times New Roman"/>
          <w:b/>
          <w:sz w:val="24"/>
          <w:highlight w:val="yellow"/>
        </w:rPr>
        <w:t>(13), 5631–5645. https://doi.org/10.1021/acs.est.3c07748</w:t>
      </w:r>
    </w:p>
    <w:p w14:paraId="133D8AF0" w14:textId="77777777" w:rsidR="00BB56C1" w:rsidRPr="00BB56C1" w:rsidRDefault="00BB56C1" w:rsidP="00BB56C1">
      <w:pPr>
        <w:spacing w:before="100" w:beforeAutospacing="1" w:after="100" w:afterAutospacing="1" w:line="240" w:lineRule="auto"/>
        <w:ind w:left="630" w:hanging="630"/>
        <w:jc w:val="both"/>
        <w:rPr>
          <w:rFonts w:ascii="Times New Roman" w:eastAsia="Times New Roman" w:hAnsi="Times New Roman" w:cs="Times New Roman"/>
          <w:sz w:val="24"/>
          <w:szCs w:val="24"/>
        </w:rPr>
      </w:pPr>
      <w:r w:rsidRPr="00BB56C1">
        <w:rPr>
          <w:rFonts w:ascii="Times New Roman" w:eastAsia="Times New Roman" w:hAnsi="Times New Roman" w:cs="Times New Roman"/>
          <w:sz w:val="24"/>
          <w:szCs w:val="24"/>
        </w:rPr>
        <w:t xml:space="preserve">Sultana, T., Butt, K., Sultana, S., Al-Ghanim, K. A., </w:t>
      </w:r>
      <w:proofErr w:type="spellStart"/>
      <w:r w:rsidRPr="00BB56C1">
        <w:rPr>
          <w:rFonts w:ascii="Times New Roman" w:eastAsia="Times New Roman" w:hAnsi="Times New Roman" w:cs="Times New Roman"/>
          <w:sz w:val="24"/>
          <w:szCs w:val="24"/>
        </w:rPr>
        <w:t>Mubashra</w:t>
      </w:r>
      <w:proofErr w:type="spellEnd"/>
      <w:r w:rsidRPr="00BB56C1">
        <w:rPr>
          <w:rFonts w:ascii="Times New Roman" w:eastAsia="Times New Roman" w:hAnsi="Times New Roman" w:cs="Times New Roman"/>
          <w:sz w:val="24"/>
          <w:szCs w:val="24"/>
        </w:rPr>
        <w:t xml:space="preserve">, R., Bashir, N., Ahmed, Z., Ashraf, A., &amp; Mahboob, S. (2016). Histopathological changes in liver, gills and intestine of </w:t>
      </w:r>
      <w:proofErr w:type="spellStart"/>
      <w:r w:rsidRPr="00BB56C1">
        <w:rPr>
          <w:rFonts w:ascii="Times New Roman" w:eastAsia="Times New Roman" w:hAnsi="Times New Roman" w:cs="Times New Roman"/>
          <w:i/>
          <w:iCs/>
          <w:sz w:val="24"/>
          <w:szCs w:val="24"/>
        </w:rPr>
        <w:t>Labeo</w:t>
      </w:r>
      <w:proofErr w:type="spellEnd"/>
      <w:r w:rsidRPr="00BB56C1">
        <w:rPr>
          <w:rFonts w:ascii="Times New Roman" w:eastAsia="Times New Roman" w:hAnsi="Times New Roman" w:cs="Times New Roman"/>
          <w:i/>
          <w:iCs/>
          <w:sz w:val="24"/>
          <w:szCs w:val="24"/>
        </w:rPr>
        <w:t xml:space="preserve"> </w:t>
      </w:r>
      <w:proofErr w:type="spellStart"/>
      <w:r w:rsidRPr="00BB56C1">
        <w:rPr>
          <w:rFonts w:ascii="Times New Roman" w:eastAsia="Times New Roman" w:hAnsi="Times New Roman" w:cs="Times New Roman"/>
          <w:i/>
          <w:iCs/>
          <w:sz w:val="24"/>
          <w:szCs w:val="24"/>
        </w:rPr>
        <w:t>rohita</w:t>
      </w:r>
      <w:proofErr w:type="spellEnd"/>
      <w:r w:rsidRPr="00BB56C1">
        <w:rPr>
          <w:rFonts w:ascii="Times New Roman" w:eastAsia="Times New Roman" w:hAnsi="Times New Roman" w:cs="Times New Roman"/>
          <w:sz w:val="24"/>
          <w:szCs w:val="24"/>
        </w:rPr>
        <w:t xml:space="preserve"> inhabiting industrial waste contaminated water of River Ravi. </w:t>
      </w:r>
      <w:r w:rsidRPr="00BB56C1">
        <w:rPr>
          <w:rFonts w:ascii="Times New Roman" w:eastAsia="Times New Roman" w:hAnsi="Times New Roman" w:cs="Times New Roman"/>
          <w:i/>
          <w:iCs/>
          <w:sz w:val="24"/>
          <w:szCs w:val="24"/>
        </w:rPr>
        <w:t>Pakistan Journal of Zoology, 48</w:t>
      </w:r>
      <w:r w:rsidRPr="00BB56C1">
        <w:rPr>
          <w:rFonts w:ascii="Times New Roman" w:eastAsia="Times New Roman" w:hAnsi="Times New Roman" w:cs="Times New Roman"/>
          <w:sz w:val="24"/>
          <w:szCs w:val="24"/>
        </w:rPr>
        <w:t xml:space="preserve">(4), 1171–1177. </w:t>
      </w:r>
      <w:hyperlink r:id="rId43" w:history="1">
        <w:r w:rsidRPr="00BB56C1">
          <w:rPr>
            <w:rFonts w:ascii="Times New Roman" w:eastAsia="Times New Roman" w:hAnsi="Times New Roman" w:cs="Times New Roman"/>
            <w:color w:val="0000FF"/>
            <w:sz w:val="24"/>
            <w:szCs w:val="24"/>
            <w:u w:val="single"/>
          </w:rPr>
          <w:t>https://zsp.com.pk/vol-48%5B4%5D.html</w:t>
        </w:r>
      </w:hyperlink>
    </w:p>
    <w:p w14:paraId="3B07C7B8" w14:textId="77777777" w:rsidR="00A50AF7" w:rsidRDefault="00000000">
      <w:pPr>
        <w:spacing w:before="100" w:beforeAutospacing="1" w:after="100" w:afterAutospacing="1" w:line="240" w:lineRule="auto"/>
        <w:ind w:left="630" w:hanging="630"/>
        <w:jc w:val="both"/>
        <w:rPr>
          <w:rFonts w:ascii="Times New Roman" w:eastAsia="Times New Roman" w:hAnsi="Times New Roman" w:cs="Times New Roman"/>
          <w:sz w:val="24"/>
          <w:szCs w:val="24"/>
        </w:rPr>
      </w:pPr>
      <w:r>
        <w:rPr>
          <w:highlight w:val="yellow"/>
        </w:rPr>
        <w:t xml:space="preserve">Takashima, F., &amp; Hibiya, T. (Eds.). (1995). </w:t>
      </w:r>
      <w:r>
        <w:rPr>
          <w:i/>
          <w:highlight w:val="yellow"/>
        </w:rPr>
        <w:t>An atlas of fish histology: Normal and pathological features</w:t>
      </w:r>
      <w:r>
        <w:rPr>
          <w:highlight w:val="yellow"/>
        </w:rPr>
        <w:t xml:space="preserve"> (2nd ed.). Kodansha; Gustav Fischer. </w:t>
      </w:r>
      <w:hyperlink r:id="rId44">
        <w:r>
          <w:rPr>
            <w:color w:val="0563C1"/>
            <w:highlight w:val="yellow"/>
            <w:u w:val="single"/>
          </w:rPr>
          <w:t>https://www.si.edu/object/siris_sil_545927</w:t>
        </w:r>
      </w:hyperlink>
    </w:p>
    <w:p w14:paraId="3485AFF7" w14:textId="77777777" w:rsidR="00BB56C1" w:rsidRPr="00BB56C1" w:rsidRDefault="00BB56C1" w:rsidP="00BB56C1">
      <w:pPr>
        <w:spacing w:before="100" w:beforeAutospacing="1" w:after="100" w:afterAutospacing="1" w:line="240" w:lineRule="auto"/>
        <w:ind w:left="630" w:hanging="630"/>
        <w:jc w:val="both"/>
        <w:rPr>
          <w:rFonts w:ascii="Times New Roman" w:eastAsia="Times New Roman" w:hAnsi="Times New Roman" w:cs="Times New Roman"/>
          <w:sz w:val="24"/>
          <w:szCs w:val="24"/>
        </w:rPr>
      </w:pPr>
      <w:proofErr w:type="spellStart"/>
      <w:r w:rsidRPr="00BB56C1">
        <w:rPr>
          <w:rFonts w:ascii="Times New Roman" w:eastAsia="Times New Roman" w:hAnsi="Times New Roman" w:cs="Times New Roman"/>
          <w:sz w:val="24"/>
          <w:szCs w:val="24"/>
        </w:rPr>
        <w:t>Thophon</w:t>
      </w:r>
      <w:proofErr w:type="spellEnd"/>
      <w:r w:rsidRPr="00BB56C1">
        <w:rPr>
          <w:rFonts w:ascii="Times New Roman" w:eastAsia="Times New Roman" w:hAnsi="Times New Roman" w:cs="Times New Roman"/>
          <w:sz w:val="24"/>
          <w:szCs w:val="24"/>
        </w:rPr>
        <w:t xml:space="preserve">, S., </w:t>
      </w:r>
      <w:proofErr w:type="spellStart"/>
      <w:r w:rsidRPr="00BB56C1">
        <w:rPr>
          <w:rFonts w:ascii="Times New Roman" w:eastAsia="Times New Roman" w:hAnsi="Times New Roman" w:cs="Times New Roman"/>
          <w:sz w:val="24"/>
          <w:szCs w:val="24"/>
        </w:rPr>
        <w:t>Kruatrachue</w:t>
      </w:r>
      <w:proofErr w:type="spellEnd"/>
      <w:r w:rsidRPr="00BB56C1">
        <w:rPr>
          <w:rFonts w:ascii="Times New Roman" w:eastAsia="Times New Roman" w:hAnsi="Times New Roman" w:cs="Times New Roman"/>
          <w:sz w:val="24"/>
          <w:szCs w:val="24"/>
        </w:rPr>
        <w:t xml:space="preserve">, M., </w:t>
      </w:r>
      <w:proofErr w:type="spellStart"/>
      <w:r w:rsidRPr="00BB56C1">
        <w:rPr>
          <w:rFonts w:ascii="Times New Roman" w:eastAsia="Times New Roman" w:hAnsi="Times New Roman" w:cs="Times New Roman"/>
          <w:sz w:val="24"/>
          <w:szCs w:val="24"/>
        </w:rPr>
        <w:t>Upatham</w:t>
      </w:r>
      <w:proofErr w:type="spellEnd"/>
      <w:r w:rsidRPr="00BB56C1">
        <w:rPr>
          <w:rFonts w:ascii="Times New Roman" w:eastAsia="Times New Roman" w:hAnsi="Times New Roman" w:cs="Times New Roman"/>
          <w:sz w:val="24"/>
          <w:szCs w:val="24"/>
        </w:rPr>
        <w:t xml:space="preserve">, E. S., </w:t>
      </w:r>
      <w:proofErr w:type="spellStart"/>
      <w:r w:rsidRPr="00BB56C1">
        <w:rPr>
          <w:rFonts w:ascii="Times New Roman" w:eastAsia="Times New Roman" w:hAnsi="Times New Roman" w:cs="Times New Roman"/>
          <w:sz w:val="24"/>
          <w:szCs w:val="24"/>
        </w:rPr>
        <w:t>Pokethitiyook</w:t>
      </w:r>
      <w:proofErr w:type="spellEnd"/>
      <w:r w:rsidRPr="00BB56C1">
        <w:rPr>
          <w:rFonts w:ascii="Times New Roman" w:eastAsia="Times New Roman" w:hAnsi="Times New Roman" w:cs="Times New Roman"/>
          <w:sz w:val="24"/>
          <w:szCs w:val="24"/>
        </w:rPr>
        <w:t xml:space="preserve">, P., </w:t>
      </w:r>
      <w:proofErr w:type="spellStart"/>
      <w:r w:rsidRPr="00BB56C1">
        <w:rPr>
          <w:rFonts w:ascii="Times New Roman" w:eastAsia="Times New Roman" w:hAnsi="Times New Roman" w:cs="Times New Roman"/>
          <w:sz w:val="24"/>
          <w:szCs w:val="24"/>
        </w:rPr>
        <w:t>Sahaphong</w:t>
      </w:r>
      <w:proofErr w:type="spellEnd"/>
      <w:r w:rsidRPr="00BB56C1">
        <w:rPr>
          <w:rFonts w:ascii="Times New Roman" w:eastAsia="Times New Roman" w:hAnsi="Times New Roman" w:cs="Times New Roman"/>
          <w:sz w:val="24"/>
          <w:szCs w:val="24"/>
        </w:rPr>
        <w:t xml:space="preserve">, S., &amp; </w:t>
      </w:r>
      <w:proofErr w:type="spellStart"/>
      <w:r w:rsidRPr="00BB56C1">
        <w:rPr>
          <w:rFonts w:ascii="Times New Roman" w:eastAsia="Times New Roman" w:hAnsi="Times New Roman" w:cs="Times New Roman"/>
          <w:sz w:val="24"/>
          <w:szCs w:val="24"/>
        </w:rPr>
        <w:t>Jaritkhuan</w:t>
      </w:r>
      <w:proofErr w:type="spellEnd"/>
      <w:r w:rsidRPr="00BB56C1">
        <w:rPr>
          <w:rFonts w:ascii="Times New Roman" w:eastAsia="Times New Roman" w:hAnsi="Times New Roman" w:cs="Times New Roman"/>
          <w:sz w:val="24"/>
          <w:szCs w:val="24"/>
        </w:rPr>
        <w:t xml:space="preserve">, S. (2003). Histopathological alterations of white seabass, </w:t>
      </w:r>
      <w:r w:rsidRPr="00BB56C1">
        <w:rPr>
          <w:rFonts w:ascii="Times New Roman" w:eastAsia="Times New Roman" w:hAnsi="Times New Roman" w:cs="Times New Roman"/>
          <w:i/>
          <w:iCs/>
          <w:sz w:val="24"/>
          <w:szCs w:val="24"/>
        </w:rPr>
        <w:t>Lates calcarifer</w:t>
      </w:r>
      <w:r w:rsidRPr="00BB56C1">
        <w:rPr>
          <w:rFonts w:ascii="Times New Roman" w:eastAsia="Times New Roman" w:hAnsi="Times New Roman" w:cs="Times New Roman"/>
          <w:sz w:val="24"/>
          <w:szCs w:val="24"/>
        </w:rPr>
        <w:t xml:space="preserve">, in acute and </w:t>
      </w:r>
      <w:r w:rsidRPr="00BB56C1">
        <w:rPr>
          <w:rFonts w:ascii="Times New Roman" w:eastAsia="Times New Roman" w:hAnsi="Times New Roman" w:cs="Times New Roman"/>
          <w:sz w:val="24"/>
          <w:szCs w:val="24"/>
        </w:rPr>
        <w:lastRenderedPageBreak/>
        <w:t xml:space="preserve">subchronic cadmium exposure. </w:t>
      </w:r>
      <w:r w:rsidRPr="00BB56C1">
        <w:rPr>
          <w:rFonts w:ascii="Times New Roman" w:eastAsia="Times New Roman" w:hAnsi="Times New Roman" w:cs="Times New Roman"/>
          <w:i/>
          <w:iCs/>
          <w:sz w:val="24"/>
          <w:szCs w:val="24"/>
        </w:rPr>
        <w:t>Environmental Pollution, 121</w:t>
      </w:r>
      <w:r w:rsidRPr="00BB56C1">
        <w:rPr>
          <w:rFonts w:ascii="Times New Roman" w:eastAsia="Times New Roman" w:hAnsi="Times New Roman" w:cs="Times New Roman"/>
          <w:sz w:val="24"/>
          <w:szCs w:val="24"/>
        </w:rPr>
        <w:t xml:space="preserve">(3), 307–320. </w:t>
      </w:r>
      <w:hyperlink r:id="rId45" w:history="1">
        <w:r w:rsidRPr="00BB56C1">
          <w:rPr>
            <w:rFonts w:ascii="Times New Roman" w:eastAsia="Times New Roman" w:hAnsi="Times New Roman" w:cs="Times New Roman"/>
            <w:color w:val="0000FF"/>
            <w:sz w:val="24"/>
            <w:szCs w:val="24"/>
            <w:u w:val="single"/>
          </w:rPr>
          <w:t>https://doi.org/10.1016/S0269-7491(02)00270-1</w:t>
        </w:r>
      </w:hyperlink>
    </w:p>
    <w:p w14:paraId="07BC7392" w14:textId="77777777" w:rsidR="00BB56C1" w:rsidRPr="00BB56C1" w:rsidRDefault="00BB56C1" w:rsidP="00BB56C1">
      <w:pPr>
        <w:spacing w:before="100" w:beforeAutospacing="1" w:after="100" w:afterAutospacing="1" w:line="240" w:lineRule="auto"/>
        <w:ind w:left="630" w:hanging="630"/>
        <w:jc w:val="both"/>
        <w:rPr>
          <w:rFonts w:ascii="Times New Roman" w:eastAsia="Times New Roman" w:hAnsi="Times New Roman" w:cs="Times New Roman"/>
          <w:sz w:val="24"/>
          <w:szCs w:val="24"/>
        </w:rPr>
      </w:pPr>
      <w:r w:rsidRPr="00BB56C1">
        <w:rPr>
          <w:rFonts w:ascii="Times New Roman" w:eastAsia="Times New Roman" w:hAnsi="Times New Roman" w:cs="Times New Roman"/>
          <w:sz w:val="24"/>
          <w:szCs w:val="24"/>
        </w:rPr>
        <w:t xml:space="preserve">Van Dyk, J. C. (2006). </w:t>
      </w:r>
      <w:r w:rsidRPr="00BB56C1">
        <w:rPr>
          <w:rFonts w:ascii="Times New Roman" w:eastAsia="Times New Roman" w:hAnsi="Times New Roman" w:cs="Times New Roman"/>
          <w:i/>
          <w:iCs/>
          <w:sz w:val="24"/>
          <w:szCs w:val="24"/>
        </w:rPr>
        <w:t xml:space="preserve">A qualitative and quantitative assessment of the normal histology of selected target organs of Clarias </w:t>
      </w:r>
      <w:proofErr w:type="spellStart"/>
      <w:r w:rsidRPr="00BB56C1">
        <w:rPr>
          <w:rFonts w:ascii="Times New Roman" w:eastAsia="Times New Roman" w:hAnsi="Times New Roman" w:cs="Times New Roman"/>
          <w:i/>
          <w:iCs/>
          <w:sz w:val="24"/>
          <w:szCs w:val="24"/>
        </w:rPr>
        <w:t>gariepinus</w:t>
      </w:r>
      <w:proofErr w:type="spellEnd"/>
      <w:r w:rsidRPr="00BB56C1">
        <w:rPr>
          <w:rFonts w:ascii="Times New Roman" w:eastAsia="Times New Roman" w:hAnsi="Times New Roman" w:cs="Times New Roman"/>
          <w:i/>
          <w:iCs/>
          <w:sz w:val="24"/>
          <w:szCs w:val="24"/>
        </w:rPr>
        <w:t xml:space="preserve"> and Oreochromis </w:t>
      </w:r>
      <w:proofErr w:type="spellStart"/>
      <w:r w:rsidRPr="00BB56C1">
        <w:rPr>
          <w:rFonts w:ascii="Times New Roman" w:eastAsia="Times New Roman" w:hAnsi="Times New Roman" w:cs="Times New Roman"/>
          <w:i/>
          <w:iCs/>
          <w:sz w:val="24"/>
          <w:szCs w:val="24"/>
        </w:rPr>
        <w:t>mossambicus</w:t>
      </w:r>
      <w:proofErr w:type="spellEnd"/>
      <w:r w:rsidRPr="00BB56C1">
        <w:rPr>
          <w:rFonts w:ascii="Times New Roman" w:eastAsia="Times New Roman" w:hAnsi="Times New Roman" w:cs="Times New Roman"/>
          <w:sz w:val="24"/>
          <w:szCs w:val="24"/>
        </w:rPr>
        <w:t xml:space="preserve"> [Doctoral dissertation, University of Johannesburg]. University of Johannesburg Repository. </w:t>
      </w:r>
      <w:hyperlink r:id="rId46" w:history="1">
        <w:r w:rsidRPr="00BB56C1">
          <w:rPr>
            <w:rFonts w:ascii="Times New Roman" w:eastAsia="Times New Roman" w:hAnsi="Times New Roman" w:cs="Times New Roman"/>
            <w:color w:val="0000FF"/>
            <w:sz w:val="24"/>
            <w:szCs w:val="24"/>
            <w:u w:val="single"/>
          </w:rPr>
          <w:t>http://hdl.handle.net/10210/877</w:t>
        </w:r>
      </w:hyperlink>
    </w:p>
    <w:p w14:paraId="63AA5D89" w14:textId="77777777" w:rsidR="00BB56C1" w:rsidRPr="00BB56C1" w:rsidRDefault="00BB56C1" w:rsidP="00BB56C1">
      <w:pPr>
        <w:spacing w:before="100" w:beforeAutospacing="1" w:after="100" w:afterAutospacing="1" w:line="240" w:lineRule="auto"/>
        <w:ind w:left="630" w:hanging="630"/>
        <w:jc w:val="both"/>
        <w:rPr>
          <w:rFonts w:ascii="Times New Roman" w:eastAsia="Times New Roman" w:hAnsi="Times New Roman" w:cs="Times New Roman"/>
          <w:sz w:val="24"/>
          <w:szCs w:val="24"/>
        </w:rPr>
      </w:pPr>
      <w:r w:rsidRPr="00BB56C1">
        <w:rPr>
          <w:rFonts w:ascii="Times New Roman" w:eastAsia="Times New Roman" w:hAnsi="Times New Roman" w:cs="Times New Roman"/>
          <w:sz w:val="24"/>
          <w:szCs w:val="24"/>
        </w:rPr>
        <w:t xml:space="preserve">Velmurugan, B., </w:t>
      </w:r>
      <w:proofErr w:type="spellStart"/>
      <w:r w:rsidRPr="00BB56C1">
        <w:rPr>
          <w:rFonts w:ascii="Times New Roman" w:eastAsia="Times New Roman" w:hAnsi="Times New Roman" w:cs="Times New Roman"/>
          <w:sz w:val="24"/>
          <w:szCs w:val="24"/>
        </w:rPr>
        <w:t>Selvanayagam</w:t>
      </w:r>
      <w:proofErr w:type="spellEnd"/>
      <w:r w:rsidRPr="00BB56C1">
        <w:rPr>
          <w:rFonts w:ascii="Times New Roman" w:eastAsia="Times New Roman" w:hAnsi="Times New Roman" w:cs="Times New Roman"/>
          <w:sz w:val="24"/>
          <w:szCs w:val="24"/>
        </w:rPr>
        <w:t xml:space="preserve">, M., Cengiz, E. I., &amp; Unlu, E. (2007). Histopathology of lambda-cyhalothrin on tissues (gill, kidney, liver and intestine) of </w:t>
      </w:r>
      <w:proofErr w:type="spellStart"/>
      <w:r w:rsidRPr="00BB56C1">
        <w:rPr>
          <w:rFonts w:ascii="Times New Roman" w:eastAsia="Times New Roman" w:hAnsi="Times New Roman" w:cs="Times New Roman"/>
          <w:i/>
          <w:iCs/>
          <w:sz w:val="24"/>
          <w:szCs w:val="24"/>
        </w:rPr>
        <w:t>Cirrhinus</w:t>
      </w:r>
      <w:proofErr w:type="spellEnd"/>
      <w:r w:rsidRPr="00BB56C1">
        <w:rPr>
          <w:rFonts w:ascii="Times New Roman" w:eastAsia="Times New Roman" w:hAnsi="Times New Roman" w:cs="Times New Roman"/>
          <w:i/>
          <w:iCs/>
          <w:sz w:val="24"/>
          <w:szCs w:val="24"/>
        </w:rPr>
        <w:t xml:space="preserve"> </w:t>
      </w:r>
      <w:proofErr w:type="spellStart"/>
      <w:r w:rsidRPr="00BB56C1">
        <w:rPr>
          <w:rFonts w:ascii="Times New Roman" w:eastAsia="Times New Roman" w:hAnsi="Times New Roman" w:cs="Times New Roman"/>
          <w:i/>
          <w:iCs/>
          <w:sz w:val="24"/>
          <w:szCs w:val="24"/>
        </w:rPr>
        <w:t>mrigala</w:t>
      </w:r>
      <w:proofErr w:type="spellEnd"/>
      <w:r w:rsidRPr="00BB56C1">
        <w:rPr>
          <w:rFonts w:ascii="Times New Roman" w:eastAsia="Times New Roman" w:hAnsi="Times New Roman" w:cs="Times New Roman"/>
          <w:sz w:val="24"/>
          <w:szCs w:val="24"/>
        </w:rPr>
        <w:t xml:space="preserve">. </w:t>
      </w:r>
      <w:r w:rsidRPr="00BB56C1">
        <w:rPr>
          <w:rFonts w:ascii="Times New Roman" w:eastAsia="Times New Roman" w:hAnsi="Times New Roman" w:cs="Times New Roman"/>
          <w:i/>
          <w:iCs/>
          <w:sz w:val="24"/>
          <w:szCs w:val="24"/>
        </w:rPr>
        <w:t>Environmental Toxicology and Pharmacology, 24</w:t>
      </w:r>
      <w:r w:rsidRPr="00BB56C1">
        <w:rPr>
          <w:rFonts w:ascii="Times New Roman" w:eastAsia="Times New Roman" w:hAnsi="Times New Roman" w:cs="Times New Roman"/>
          <w:sz w:val="24"/>
          <w:szCs w:val="24"/>
        </w:rPr>
        <w:t xml:space="preserve">(3), 286–291. </w:t>
      </w:r>
      <w:hyperlink r:id="rId47" w:history="1">
        <w:r w:rsidRPr="00BB56C1">
          <w:rPr>
            <w:rFonts w:ascii="Times New Roman" w:eastAsia="Times New Roman" w:hAnsi="Times New Roman" w:cs="Times New Roman"/>
            <w:color w:val="0000FF"/>
            <w:sz w:val="24"/>
            <w:szCs w:val="24"/>
            <w:u w:val="single"/>
          </w:rPr>
          <w:t>https://doi.org/10.1016/j.etap.2007.07.001</w:t>
        </w:r>
      </w:hyperlink>
    </w:p>
    <w:p w14:paraId="19D34523" w14:textId="77777777" w:rsidR="00BB56C1" w:rsidRPr="00BB56C1" w:rsidRDefault="00BB56C1" w:rsidP="00BB56C1">
      <w:pPr>
        <w:spacing w:before="100" w:beforeAutospacing="1" w:after="100" w:afterAutospacing="1" w:line="240" w:lineRule="auto"/>
        <w:ind w:left="630" w:hanging="630"/>
        <w:jc w:val="both"/>
        <w:rPr>
          <w:rFonts w:ascii="Times New Roman" w:eastAsia="Times New Roman" w:hAnsi="Times New Roman" w:cs="Times New Roman"/>
          <w:sz w:val="24"/>
          <w:szCs w:val="24"/>
        </w:rPr>
      </w:pPr>
      <w:proofErr w:type="spellStart"/>
      <w:r w:rsidRPr="00BB56C1">
        <w:rPr>
          <w:rFonts w:ascii="Times New Roman" w:eastAsia="Times New Roman" w:hAnsi="Times New Roman" w:cs="Times New Roman"/>
          <w:sz w:val="24"/>
          <w:szCs w:val="24"/>
        </w:rPr>
        <w:t>Winkaler</w:t>
      </w:r>
      <w:proofErr w:type="spellEnd"/>
      <w:r w:rsidRPr="00BB56C1">
        <w:rPr>
          <w:rFonts w:ascii="Times New Roman" w:eastAsia="Times New Roman" w:hAnsi="Times New Roman" w:cs="Times New Roman"/>
          <w:sz w:val="24"/>
          <w:szCs w:val="24"/>
        </w:rPr>
        <w:t xml:space="preserve">, E. U., Silva, A. G., Galindo, H. C., &amp; dos Reis Martinez, C. B. (2001). </w:t>
      </w:r>
      <w:proofErr w:type="spellStart"/>
      <w:r w:rsidRPr="00BB56C1">
        <w:rPr>
          <w:rFonts w:ascii="Times New Roman" w:eastAsia="Times New Roman" w:hAnsi="Times New Roman" w:cs="Times New Roman"/>
          <w:sz w:val="24"/>
          <w:szCs w:val="24"/>
        </w:rPr>
        <w:t>Biomarcadores</w:t>
      </w:r>
      <w:proofErr w:type="spellEnd"/>
      <w:r w:rsidRPr="00BB56C1">
        <w:rPr>
          <w:rFonts w:ascii="Times New Roman" w:eastAsia="Times New Roman" w:hAnsi="Times New Roman" w:cs="Times New Roman"/>
          <w:sz w:val="24"/>
          <w:szCs w:val="24"/>
        </w:rPr>
        <w:t xml:space="preserve"> </w:t>
      </w:r>
      <w:proofErr w:type="spellStart"/>
      <w:r w:rsidRPr="00BB56C1">
        <w:rPr>
          <w:rFonts w:ascii="Times New Roman" w:eastAsia="Times New Roman" w:hAnsi="Times New Roman" w:cs="Times New Roman"/>
          <w:sz w:val="24"/>
          <w:szCs w:val="24"/>
        </w:rPr>
        <w:t>histológicos</w:t>
      </w:r>
      <w:proofErr w:type="spellEnd"/>
      <w:r w:rsidRPr="00BB56C1">
        <w:rPr>
          <w:rFonts w:ascii="Times New Roman" w:eastAsia="Times New Roman" w:hAnsi="Times New Roman" w:cs="Times New Roman"/>
          <w:sz w:val="24"/>
          <w:szCs w:val="24"/>
        </w:rPr>
        <w:t xml:space="preserve"> e </w:t>
      </w:r>
      <w:proofErr w:type="spellStart"/>
      <w:r w:rsidRPr="00BB56C1">
        <w:rPr>
          <w:rFonts w:ascii="Times New Roman" w:eastAsia="Times New Roman" w:hAnsi="Times New Roman" w:cs="Times New Roman"/>
          <w:sz w:val="24"/>
          <w:szCs w:val="24"/>
        </w:rPr>
        <w:t>fisiológicos</w:t>
      </w:r>
      <w:proofErr w:type="spellEnd"/>
      <w:r w:rsidRPr="00BB56C1">
        <w:rPr>
          <w:rFonts w:ascii="Times New Roman" w:eastAsia="Times New Roman" w:hAnsi="Times New Roman" w:cs="Times New Roman"/>
          <w:sz w:val="24"/>
          <w:szCs w:val="24"/>
        </w:rPr>
        <w:t xml:space="preserve"> para o </w:t>
      </w:r>
      <w:proofErr w:type="spellStart"/>
      <w:r w:rsidRPr="00BB56C1">
        <w:rPr>
          <w:rFonts w:ascii="Times New Roman" w:eastAsia="Times New Roman" w:hAnsi="Times New Roman" w:cs="Times New Roman"/>
          <w:sz w:val="24"/>
          <w:szCs w:val="24"/>
        </w:rPr>
        <w:t>monitoramento</w:t>
      </w:r>
      <w:proofErr w:type="spellEnd"/>
      <w:r w:rsidRPr="00BB56C1">
        <w:rPr>
          <w:rFonts w:ascii="Times New Roman" w:eastAsia="Times New Roman" w:hAnsi="Times New Roman" w:cs="Times New Roman"/>
          <w:sz w:val="24"/>
          <w:szCs w:val="24"/>
        </w:rPr>
        <w:t xml:space="preserve"> da </w:t>
      </w:r>
      <w:proofErr w:type="spellStart"/>
      <w:r w:rsidRPr="00BB56C1">
        <w:rPr>
          <w:rFonts w:ascii="Times New Roman" w:eastAsia="Times New Roman" w:hAnsi="Times New Roman" w:cs="Times New Roman"/>
          <w:sz w:val="24"/>
          <w:szCs w:val="24"/>
        </w:rPr>
        <w:t>saúde</w:t>
      </w:r>
      <w:proofErr w:type="spellEnd"/>
      <w:r w:rsidRPr="00BB56C1">
        <w:rPr>
          <w:rFonts w:ascii="Times New Roman" w:eastAsia="Times New Roman" w:hAnsi="Times New Roman" w:cs="Times New Roman"/>
          <w:sz w:val="24"/>
          <w:szCs w:val="24"/>
        </w:rPr>
        <w:t xml:space="preserve"> de </w:t>
      </w:r>
      <w:proofErr w:type="spellStart"/>
      <w:r w:rsidRPr="00BB56C1">
        <w:rPr>
          <w:rFonts w:ascii="Times New Roman" w:eastAsia="Times New Roman" w:hAnsi="Times New Roman" w:cs="Times New Roman"/>
          <w:sz w:val="24"/>
          <w:szCs w:val="24"/>
        </w:rPr>
        <w:t>peixes</w:t>
      </w:r>
      <w:proofErr w:type="spellEnd"/>
      <w:r w:rsidRPr="00BB56C1">
        <w:rPr>
          <w:rFonts w:ascii="Times New Roman" w:eastAsia="Times New Roman" w:hAnsi="Times New Roman" w:cs="Times New Roman"/>
          <w:sz w:val="24"/>
          <w:szCs w:val="24"/>
        </w:rPr>
        <w:t xml:space="preserve"> de </w:t>
      </w:r>
      <w:proofErr w:type="spellStart"/>
      <w:r w:rsidRPr="00BB56C1">
        <w:rPr>
          <w:rFonts w:ascii="Times New Roman" w:eastAsia="Times New Roman" w:hAnsi="Times New Roman" w:cs="Times New Roman"/>
          <w:sz w:val="24"/>
          <w:szCs w:val="24"/>
        </w:rPr>
        <w:t>ribeirões</w:t>
      </w:r>
      <w:proofErr w:type="spellEnd"/>
      <w:r w:rsidRPr="00BB56C1">
        <w:rPr>
          <w:rFonts w:ascii="Times New Roman" w:eastAsia="Times New Roman" w:hAnsi="Times New Roman" w:cs="Times New Roman"/>
          <w:sz w:val="24"/>
          <w:szCs w:val="24"/>
        </w:rPr>
        <w:t xml:space="preserve"> de Londrina, Estado do Paraná [Histological and physiological biomarkers to assess fish health in Londrina streams, State of Paraná]. </w:t>
      </w:r>
      <w:r w:rsidRPr="00BB56C1">
        <w:rPr>
          <w:rFonts w:ascii="Times New Roman" w:eastAsia="Times New Roman" w:hAnsi="Times New Roman" w:cs="Times New Roman"/>
          <w:i/>
          <w:iCs/>
          <w:sz w:val="24"/>
          <w:szCs w:val="24"/>
        </w:rPr>
        <w:t xml:space="preserve">Acta </w:t>
      </w:r>
      <w:proofErr w:type="spellStart"/>
      <w:r w:rsidRPr="00BB56C1">
        <w:rPr>
          <w:rFonts w:ascii="Times New Roman" w:eastAsia="Times New Roman" w:hAnsi="Times New Roman" w:cs="Times New Roman"/>
          <w:i/>
          <w:iCs/>
          <w:sz w:val="24"/>
          <w:szCs w:val="24"/>
        </w:rPr>
        <w:t>Scientiarum</w:t>
      </w:r>
      <w:proofErr w:type="spellEnd"/>
      <w:r w:rsidRPr="00BB56C1">
        <w:rPr>
          <w:rFonts w:ascii="Times New Roman" w:eastAsia="Times New Roman" w:hAnsi="Times New Roman" w:cs="Times New Roman"/>
          <w:i/>
          <w:iCs/>
          <w:sz w:val="24"/>
          <w:szCs w:val="24"/>
        </w:rPr>
        <w:t>. Biological Sciences, 23</w:t>
      </w:r>
      <w:r w:rsidRPr="00BB56C1">
        <w:rPr>
          <w:rFonts w:ascii="Times New Roman" w:eastAsia="Times New Roman" w:hAnsi="Times New Roman" w:cs="Times New Roman"/>
          <w:sz w:val="24"/>
          <w:szCs w:val="24"/>
        </w:rPr>
        <w:t xml:space="preserve">(2), 507–514. </w:t>
      </w:r>
      <w:hyperlink r:id="rId48" w:history="1">
        <w:r w:rsidRPr="00BB56C1">
          <w:rPr>
            <w:rFonts w:ascii="Times New Roman" w:eastAsia="Times New Roman" w:hAnsi="Times New Roman" w:cs="Times New Roman"/>
            <w:color w:val="0000FF"/>
            <w:sz w:val="24"/>
            <w:szCs w:val="24"/>
            <w:u w:val="single"/>
          </w:rPr>
          <w:t>https://doi.org/10.4025/actascibiolsci.v23i0.2708</w:t>
        </w:r>
      </w:hyperlink>
    </w:p>
    <w:p w14:paraId="59100690" w14:textId="77777777" w:rsidR="005A1EF1" w:rsidRPr="003D503B" w:rsidRDefault="005A1EF1" w:rsidP="008923F1">
      <w:pPr>
        <w:ind w:left="851" w:hanging="709"/>
        <w:jc w:val="both"/>
        <w:rPr>
          <w:rFonts w:ascii="Times New Roman" w:eastAsia="Calibri" w:hAnsi="Times New Roman" w:cs="Times New Roman"/>
          <w:b/>
          <w:sz w:val="24"/>
          <w:szCs w:val="24"/>
          <w:lang w:bidi="hi-IN"/>
        </w:rPr>
      </w:pPr>
    </w:p>
    <w:sectPr w:rsidR="005A1EF1" w:rsidRPr="003D503B" w:rsidSect="006C5C07">
      <w:headerReference w:type="even" r:id="rId49"/>
      <w:headerReference w:type="default" r:id="rId50"/>
      <w:footerReference w:type="even" r:id="rId51"/>
      <w:footerReference w:type="default" r:id="rId52"/>
      <w:headerReference w:type="first" r:id="rId53"/>
      <w:footerReference w:type="first" r:id="rId54"/>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17465" w14:textId="77777777" w:rsidR="00672813" w:rsidRDefault="00672813" w:rsidP="005A3F6F">
      <w:pPr>
        <w:spacing w:after="0" w:line="240" w:lineRule="auto"/>
      </w:pPr>
      <w:r>
        <w:separator/>
      </w:r>
    </w:p>
  </w:endnote>
  <w:endnote w:type="continuationSeparator" w:id="0">
    <w:p w14:paraId="71F11C97" w14:textId="77777777" w:rsidR="00672813" w:rsidRDefault="00672813" w:rsidP="005A3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FB33A" w14:textId="77777777" w:rsidR="00EA1425" w:rsidRDefault="00EA14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E3AB4" w14:textId="77777777" w:rsidR="00EF1468" w:rsidRDefault="00EF14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163642"/>
      <w:docPartObj>
        <w:docPartGallery w:val="Page Numbers (Bottom of Page)"/>
        <w:docPartUnique/>
      </w:docPartObj>
    </w:sdtPr>
    <w:sdtContent>
      <w:p w14:paraId="5B0CBE28" w14:textId="77777777" w:rsidR="00EF1468" w:rsidRDefault="00000000">
        <w:pPr>
          <w:pStyle w:val="Footer"/>
          <w:jc w:val="center"/>
        </w:pPr>
        <w:r>
          <w:fldChar w:fldCharType="begin"/>
        </w:r>
        <w:r>
          <w:instrText xml:space="preserve"> PAGE   \* MERGEFORMAT </w:instrText>
        </w:r>
        <w:r>
          <w:fldChar w:fldCharType="separate"/>
        </w:r>
        <w:r w:rsidR="006A6139">
          <w:rPr>
            <w:noProof/>
          </w:rPr>
          <w:t>18</w:t>
        </w:r>
        <w:r>
          <w:rPr>
            <w:noProof/>
          </w:rPr>
          <w:fldChar w:fldCharType="end"/>
        </w:r>
      </w:p>
    </w:sdtContent>
  </w:sdt>
  <w:p w14:paraId="12E7F47A" w14:textId="77777777" w:rsidR="00EF1468" w:rsidRDefault="00EF14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2A781" w14:textId="77777777" w:rsidR="00672813" w:rsidRDefault="00672813" w:rsidP="005A3F6F">
      <w:pPr>
        <w:spacing w:after="0" w:line="240" w:lineRule="auto"/>
      </w:pPr>
      <w:r>
        <w:separator/>
      </w:r>
    </w:p>
  </w:footnote>
  <w:footnote w:type="continuationSeparator" w:id="0">
    <w:p w14:paraId="17AC4F32" w14:textId="77777777" w:rsidR="00672813" w:rsidRDefault="00672813" w:rsidP="005A3F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AC235" w14:textId="77777777" w:rsidR="00EA1425" w:rsidRDefault="00000000">
    <w:pPr>
      <w:pStyle w:val="Header"/>
    </w:pPr>
    <w:r>
      <w:rPr>
        <w:noProof/>
      </w:rPr>
      <w:pict w14:anchorId="299832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631938"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23F61" w14:textId="77777777" w:rsidR="00EA1425" w:rsidRDefault="00000000">
    <w:pPr>
      <w:pStyle w:val="Header"/>
    </w:pPr>
    <w:r>
      <w:rPr>
        <w:noProof/>
      </w:rPr>
      <w:pict w14:anchorId="5D4D08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631939"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263EE" w14:textId="77777777" w:rsidR="00EA1425" w:rsidRDefault="00000000">
    <w:pPr>
      <w:pStyle w:val="Header"/>
    </w:pPr>
    <w:r>
      <w:rPr>
        <w:noProof/>
      </w:rPr>
      <w:pict w14:anchorId="19F061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631937"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46532"/>
    <w:multiLevelType w:val="multilevel"/>
    <w:tmpl w:val="013257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900"/>
        </w:tabs>
        <w:ind w:left="90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FE06E2"/>
    <w:multiLevelType w:val="hybridMultilevel"/>
    <w:tmpl w:val="BCBE66D0"/>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14AB1A2C"/>
    <w:multiLevelType w:val="hybridMultilevel"/>
    <w:tmpl w:val="5E3C7C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31620F"/>
    <w:multiLevelType w:val="hybridMultilevel"/>
    <w:tmpl w:val="BBA2E3D0"/>
    <w:lvl w:ilvl="0" w:tplc="2B642094">
      <w:start w:val="1"/>
      <w:numFmt w:val="decimal"/>
      <w:lvlText w:val="%1."/>
      <w:lvlJc w:val="left"/>
      <w:pPr>
        <w:ind w:left="1211"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5B2C6E"/>
    <w:multiLevelType w:val="hybridMultilevel"/>
    <w:tmpl w:val="404CFB0C"/>
    <w:lvl w:ilvl="0" w:tplc="C86EB1E0">
      <w:start w:val="1"/>
      <w:numFmt w:val="decimal"/>
      <w:lvlText w:val="%1."/>
      <w:lvlJc w:val="left"/>
      <w:pPr>
        <w:ind w:left="644"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D5C6EE1"/>
    <w:multiLevelType w:val="hybridMultilevel"/>
    <w:tmpl w:val="000871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0C6E49"/>
    <w:multiLevelType w:val="multilevel"/>
    <w:tmpl w:val="78B09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9B4474"/>
    <w:multiLevelType w:val="hybridMultilevel"/>
    <w:tmpl w:val="BA70E12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7C55F12"/>
    <w:multiLevelType w:val="hybridMultilevel"/>
    <w:tmpl w:val="E86C208A"/>
    <w:lvl w:ilvl="0" w:tplc="81284F16">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847DB2"/>
    <w:multiLevelType w:val="multilevel"/>
    <w:tmpl w:val="C616E5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900"/>
        </w:tabs>
        <w:ind w:left="90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143B0A"/>
    <w:multiLevelType w:val="hybridMultilevel"/>
    <w:tmpl w:val="D51AEA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683C1BEF"/>
    <w:multiLevelType w:val="hybridMultilevel"/>
    <w:tmpl w:val="BC4082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9D5232E"/>
    <w:multiLevelType w:val="hybridMultilevel"/>
    <w:tmpl w:val="8C342F0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1749599">
    <w:abstractNumId w:val="8"/>
  </w:num>
  <w:num w:numId="2" w16cid:durableId="1540509953">
    <w:abstractNumId w:val="12"/>
  </w:num>
  <w:num w:numId="3" w16cid:durableId="1013647183">
    <w:abstractNumId w:val="2"/>
  </w:num>
  <w:num w:numId="4" w16cid:durableId="302735928">
    <w:abstractNumId w:val="7"/>
  </w:num>
  <w:num w:numId="5" w16cid:durableId="113645577">
    <w:abstractNumId w:val="4"/>
  </w:num>
  <w:num w:numId="6" w16cid:durableId="2137719851">
    <w:abstractNumId w:val="1"/>
  </w:num>
  <w:num w:numId="7" w16cid:durableId="1870485067">
    <w:abstractNumId w:val="3"/>
  </w:num>
  <w:num w:numId="8" w16cid:durableId="501704163">
    <w:abstractNumId w:val="11"/>
  </w:num>
  <w:num w:numId="9" w16cid:durableId="8911166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27901904">
    <w:abstractNumId w:val="6"/>
  </w:num>
  <w:num w:numId="11" w16cid:durableId="342363583">
    <w:abstractNumId w:val="9"/>
  </w:num>
  <w:num w:numId="12" w16cid:durableId="90930996">
    <w:abstractNumId w:val="0"/>
  </w:num>
  <w:num w:numId="13" w16cid:durableId="3070537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936BE"/>
    <w:rsid w:val="000044F7"/>
    <w:rsid w:val="00057007"/>
    <w:rsid w:val="00062B58"/>
    <w:rsid w:val="000A56F9"/>
    <w:rsid w:val="000C625F"/>
    <w:rsid w:val="000E5CE3"/>
    <w:rsid w:val="000E6DC6"/>
    <w:rsid w:val="000F222A"/>
    <w:rsid w:val="000F52F2"/>
    <w:rsid w:val="0016442D"/>
    <w:rsid w:val="00176130"/>
    <w:rsid w:val="001D3081"/>
    <w:rsid w:val="001F3095"/>
    <w:rsid w:val="001F4DFD"/>
    <w:rsid w:val="002010B1"/>
    <w:rsid w:val="0020637F"/>
    <w:rsid w:val="0021328D"/>
    <w:rsid w:val="0024414E"/>
    <w:rsid w:val="00254132"/>
    <w:rsid w:val="002711FF"/>
    <w:rsid w:val="002B33F1"/>
    <w:rsid w:val="002D54B3"/>
    <w:rsid w:val="002D7B1A"/>
    <w:rsid w:val="002E180F"/>
    <w:rsid w:val="003031EC"/>
    <w:rsid w:val="00363E30"/>
    <w:rsid w:val="003661BC"/>
    <w:rsid w:val="00382C4E"/>
    <w:rsid w:val="003D503B"/>
    <w:rsid w:val="003F3B82"/>
    <w:rsid w:val="0040663C"/>
    <w:rsid w:val="004A4353"/>
    <w:rsid w:val="004D0996"/>
    <w:rsid w:val="004E2B93"/>
    <w:rsid w:val="004E4D60"/>
    <w:rsid w:val="004F6A92"/>
    <w:rsid w:val="00500427"/>
    <w:rsid w:val="0054444F"/>
    <w:rsid w:val="005606AB"/>
    <w:rsid w:val="005633F5"/>
    <w:rsid w:val="00585374"/>
    <w:rsid w:val="0059109A"/>
    <w:rsid w:val="005A1EF1"/>
    <w:rsid w:val="005A3F6F"/>
    <w:rsid w:val="005E57D0"/>
    <w:rsid w:val="005F5732"/>
    <w:rsid w:val="00622E59"/>
    <w:rsid w:val="00624F1A"/>
    <w:rsid w:val="006649D5"/>
    <w:rsid w:val="00672813"/>
    <w:rsid w:val="00683560"/>
    <w:rsid w:val="006A6139"/>
    <w:rsid w:val="006C5C07"/>
    <w:rsid w:val="00731269"/>
    <w:rsid w:val="00753F4F"/>
    <w:rsid w:val="00757073"/>
    <w:rsid w:val="00771431"/>
    <w:rsid w:val="007C0224"/>
    <w:rsid w:val="007D7A71"/>
    <w:rsid w:val="00834F85"/>
    <w:rsid w:val="00873B1E"/>
    <w:rsid w:val="008923F1"/>
    <w:rsid w:val="0089630C"/>
    <w:rsid w:val="008D00FD"/>
    <w:rsid w:val="008E31B5"/>
    <w:rsid w:val="008E4EFA"/>
    <w:rsid w:val="00907B7E"/>
    <w:rsid w:val="009339CC"/>
    <w:rsid w:val="00975A6B"/>
    <w:rsid w:val="009A0834"/>
    <w:rsid w:val="009A2DFB"/>
    <w:rsid w:val="009D5FEB"/>
    <w:rsid w:val="00A027EA"/>
    <w:rsid w:val="00A114B2"/>
    <w:rsid w:val="00A257D9"/>
    <w:rsid w:val="00A50AF7"/>
    <w:rsid w:val="00A773CA"/>
    <w:rsid w:val="00A85FD7"/>
    <w:rsid w:val="00AA6505"/>
    <w:rsid w:val="00AB4261"/>
    <w:rsid w:val="00AD1AE4"/>
    <w:rsid w:val="00B639AD"/>
    <w:rsid w:val="00B80313"/>
    <w:rsid w:val="00B92B50"/>
    <w:rsid w:val="00BB0EFD"/>
    <w:rsid w:val="00BB56C1"/>
    <w:rsid w:val="00BB610E"/>
    <w:rsid w:val="00BE0721"/>
    <w:rsid w:val="00BE5AFC"/>
    <w:rsid w:val="00BF6D47"/>
    <w:rsid w:val="00C17D6D"/>
    <w:rsid w:val="00C71DCC"/>
    <w:rsid w:val="00C727EA"/>
    <w:rsid w:val="00CA4144"/>
    <w:rsid w:val="00CB102D"/>
    <w:rsid w:val="00CB53A0"/>
    <w:rsid w:val="00CF01B6"/>
    <w:rsid w:val="00D20988"/>
    <w:rsid w:val="00D314B2"/>
    <w:rsid w:val="00D936BE"/>
    <w:rsid w:val="00DA1BB9"/>
    <w:rsid w:val="00DE12A5"/>
    <w:rsid w:val="00DE1547"/>
    <w:rsid w:val="00DE1BCD"/>
    <w:rsid w:val="00DF534E"/>
    <w:rsid w:val="00E03C32"/>
    <w:rsid w:val="00E1114D"/>
    <w:rsid w:val="00E26D43"/>
    <w:rsid w:val="00E30351"/>
    <w:rsid w:val="00E30E3A"/>
    <w:rsid w:val="00E506BA"/>
    <w:rsid w:val="00E569F0"/>
    <w:rsid w:val="00E74DA1"/>
    <w:rsid w:val="00EA1425"/>
    <w:rsid w:val="00EB3CFF"/>
    <w:rsid w:val="00EB65A9"/>
    <w:rsid w:val="00EE2944"/>
    <w:rsid w:val="00EF1468"/>
    <w:rsid w:val="00F252EA"/>
    <w:rsid w:val="00F273C1"/>
    <w:rsid w:val="00F43B8A"/>
    <w:rsid w:val="00F679DB"/>
    <w:rsid w:val="00F71518"/>
    <w:rsid w:val="00FB6AEB"/>
    <w:rsid w:val="00FC3BDC"/>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695D16"/>
  <w15:docId w15:val="{6A025280-FD54-4639-851D-C8B4F99B1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57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0834"/>
    <w:pPr>
      <w:spacing w:line="252" w:lineRule="auto"/>
      <w:ind w:left="720"/>
      <w:contextualSpacing/>
    </w:pPr>
    <w:rPr>
      <w:rFonts w:asciiTheme="majorHAnsi" w:eastAsiaTheme="majorEastAsia" w:hAnsiTheme="majorHAnsi" w:cstheme="majorBidi"/>
      <w:lang w:bidi="en-US"/>
    </w:rPr>
  </w:style>
  <w:style w:type="paragraph" w:styleId="Footer">
    <w:name w:val="footer"/>
    <w:basedOn w:val="Normal"/>
    <w:link w:val="FooterChar"/>
    <w:uiPriority w:val="99"/>
    <w:unhideWhenUsed/>
    <w:rsid w:val="009A08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0834"/>
  </w:style>
  <w:style w:type="paragraph" w:styleId="BalloonText">
    <w:name w:val="Balloon Text"/>
    <w:basedOn w:val="Normal"/>
    <w:link w:val="BalloonTextChar"/>
    <w:uiPriority w:val="99"/>
    <w:semiHidden/>
    <w:unhideWhenUsed/>
    <w:rsid w:val="009A08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0834"/>
    <w:rPr>
      <w:rFonts w:ascii="Tahoma" w:hAnsi="Tahoma" w:cs="Tahoma"/>
      <w:sz w:val="16"/>
      <w:szCs w:val="16"/>
    </w:rPr>
  </w:style>
  <w:style w:type="table" w:customStyle="1" w:styleId="TableGrid1">
    <w:name w:val="Table Grid1"/>
    <w:basedOn w:val="TableNormal"/>
    <w:uiPriority w:val="59"/>
    <w:rsid w:val="00EF146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aption">
    <w:name w:val="caption"/>
    <w:basedOn w:val="Normal"/>
    <w:next w:val="Normal"/>
    <w:uiPriority w:val="35"/>
    <w:unhideWhenUsed/>
    <w:qFormat/>
    <w:rsid w:val="00EF1468"/>
    <w:pPr>
      <w:spacing w:line="240" w:lineRule="auto"/>
    </w:pPr>
    <w:rPr>
      <w:b/>
      <w:bCs/>
      <w:color w:val="4F81BD" w:themeColor="accent1"/>
      <w:sz w:val="18"/>
      <w:szCs w:val="18"/>
    </w:rPr>
  </w:style>
  <w:style w:type="table" w:styleId="TableGrid">
    <w:name w:val="Table Grid"/>
    <w:basedOn w:val="TableNormal"/>
    <w:uiPriority w:val="59"/>
    <w:rsid w:val="00EF146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6A61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6139"/>
  </w:style>
  <w:style w:type="character" w:styleId="Hyperlink">
    <w:name w:val="Hyperlink"/>
    <w:basedOn w:val="DefaultParagraphFont"/>
    <w:uiPriority w:val="99"/>
    <w:unhideWhenUsed/>
    <w:rsid w:val="00757073"/>
    <w:rPr>
      <w:color w:val="0000FF" w:themeColor="hyperlink"/>
      <w:u w:val="single"/>
    </w:rPr>
  </w:style>
  <w:style w:type="character" w:styleId="UnresolvedMention">
    <w:name w:val="Unresolved Mention"/>
    <w:basedOn w:val="DefaultParagraphFont"/>
    <w:uiPriority w:val="99"/>
    <w:semiHidden/>
    <w:unhideWhenUsed/>
    <w:rsid w:val="00BE5AFC"/>
    <w:rPr>
      <w:color w:val="605E5C"/>
      <w:shd w:val="clear" w:color="auto" w:fill="E1DFDD"/>
    </w:rPr>
  </w:style>
  <w:style w:type="character" w:styleId="CommentReference">
    <w:name w:val="annotation reference"/>
    <w:basedOn w:val="DefaultParagraphFont"/>
    <w:uiPriority w:val="99"/>
    <w:semiHidden/>
    <w:unhideWhenUsed/>
    <w:rsid w:val="00EE2944"/>
    <w:rPr>
      <w:sz w:val="16"/>
      <w:szCs w:val="16"/>
    </w:rPr>
  </w:style>
  <w:style w:type="paragraph" w:styleId="CommentText">
    <w:name w:val="annotation text"/>
    <w:basedOn w:val="Normal"/>
    <w:link w:val="CommentTextChar"/>
    <w:uiPriority w:val="99"/>
    <w:unhideWhenUsed/>
    <w:rsid w:val="00EE2944"/>
    <w:pPr>
      <w:spacing w:line="240" w:lineRule="auto"/>
    </w:pPr>
    <w:rPr>
      <w:sz w:val="20"/>
      <w:szCs w:val="20"/>
    </w:rPr>
  </w:style>
  <w:style w:type="character" w:customStyle="1" w:styleId="CommentTextChar">
    <w:name w:val="Comment Text Char"/>
    <w:basedOn w:val="DefaultParagraphFont"/>
    <w:link w:val="CommentText"/>
    <w:uiPriority w:val="99"/>
    <w:rsid w:val="00EE2944"/>
    <w:rPr>
      <w:sz w:val="20"/>
      <w:szCs w:val="20"/>
    </w:rPr>
  </w:style>
  <w:style w:type="paragraph" w:styleId="CommentSubject">
    <w:name w:val="annotation subject"/>
    <w:basedOn w:val="CommentText"/>
    <w:next w:val="CommentText"/>
    <w:link w:val="CommentSubjectChar"/>
    <w:uiPriority w:val="99"/>
    <w:semiHidden/>
    <w:unhideWhenUsed/>
    <w:rsid w:val="00EE2944"/>
    <w:rPr>
      <w:b/>
      <w:bCs/>
    </w:rPr>
  </w:style>
  <w:style w:type="character" w:customStyle="1" w:styleId="CommentSubjectChar">
    <w:name w:val="Comment Subject Char"/>
    <w:basedOn w:val="CommentTextChar"/>
    <w:link w:val="CommentSubject"/>
    <w:uiPriority w:val="99"/>
    <w:semiHidden/>
    <w:rsid w:val="00EE294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5269892">
      <w:bodyDiv w:val="1"/>
      <w:marLeft w:val="0"/>
      <w:marRight w:val="0"/>
      <w:marTop w:val="0"/>
      <w:marBottom w:val="0"/>
      <w:divBdr>
        <w:top w:val="none" w:sz="0" w:space="0" w:color="auto"/>
        <w:left w:val="none" w:sz="0" w:space="0" w:color="auto"/>
        <w:bottom w:val="none" w:sz="0" w:space="0" w:color="auto"/>
        <w:right w:val="none" w:sz="0" w:space="0" w:color="auto"/>
      </w:divBdr>
    </w:div>
    <w:div w:id="1928344930">
      <w:bodyDiv w:val="1"/>
      <w:marLeft w:val="0"/>
      <w:marRight w:val="0"/>
      <w:marTop w:val="0"/>
      <w:marBottom w:val="0"/>
      <w:divBdr>
        <w:top w:val="none" w:sz="0" w:space="0" w:color="auto"/>
        <w:left w:val="none" w:sz="0" w:space="0" w:color="auto"/>
        <w:bottom w:val="none" w:sz="0" w:space="0" w:color="auto"/>
        <w:right w:val="none" w:sz="0" w:space="0" w:color="auto"/>
      </w:divBdr>
    </w:div>
    <w:div w:id="1982036524">
      <w:bodyDiv w:val="1"/>
      <w:marLeft w:val="0"/>
      <w:marRight w:val="0"/>
      <w:marTop w:val="0"/>
      <w:marBottom w:val="0"/>
      <w:divBdr>
        <w:top w:val="none" w:sz="0" w:space="0" w:color="auto"/>
        <w:left w:val="none" w:sz="0" w:space="0" w:color="auto"/>
        <w:bottom w:val="none" w:sz="0" w:space="0" w:color="auto"/>
        <w:right w:val="none" w:sz="0" w:space="0" w:color="auto"/>
      </w:divBdr>
    </w:div>
    <w:div w:id="2041085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jpeg"/><Relationship Id="rId39" Type="http://schemas.openxmlformats.org/officeDocument/2006/relationships/hyperlink" Target="https://doi.org/10.1111/j.1095-8649.1988.tb05354.x" TargetMode="External"/><Relationship Id="rId21" Type="http://schemas.openxmlformats.org/officeDocument/2006/relationships/image" Target="media/image14.png"/><Relationship Id="rId34" Type="http://schemas.openxmlformats.org/officeDocument/2006/relationships/hyperlink" Target="https://doi.org/10.1016/j.aquaculture.2018.10.030" TargetMode="External"/><Relationship Id="rId42" Type="http://schemas.openxmlformats.org/officeDocument/2006/relationships/hyperlink" Target="https://doi.org/10.1002/9781118222942" TargetMode="External"/><Relationship Id="rId47" Type="http://schemas.openxmlformats.org/officeDocument/2006/relationships/hyperlink" Target="https://doi.org/10.1016/j.etap.2007.07.001" TargetMode="External"/><Relationship Id="rId50" Type="http://schemas.openxmlformats.org/officeDocument/2006/relationships/header" Target="header2.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hyperlink" Target="https://pubs.usgs.gov/publication/itr000005?utm_source=chatgpt.com" TargetMode="Externa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hyperlink" Target="https://doi.org/10.1016/S0147-6513(02)00044-1" TargetMode="External"/><Relationship Id="rId37" Type="http://schemas.openxmlformats.org/officeDocument/2006/relationships/hyperlink" Target="https://www.jeb.co.in/index.php?issue=201401_jan14&amp;page=issue_toc&amp;utm_source=chatgpt.com" TargetMode="External"/><Relationship Id="rId40" Type="http://schemas.openxmlformats.org/officeDocument/2006/relationships/hyperlink" Target="https://hrcak.srce.hr/en/79901?utm_source=chatgpt.com" TargetMode="External"/><Relationship Id="rId45" Type="http://schemas.openxmlformats.org/officeDocument/2006/relationships/hyperlink" Target="https://doi.org/10.1016/S0269-7491(02)00270-1" TargetMode="External"/><Relationship Id="rId53"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https://doi.org/10.1111/j.1095-8649.1997.tb01969.x" TargetMode="External"/><Relationship Id="rId44" Type="http://schemas.openxmlformats.org/officeDocument/2006/relationships/hyperlink" Target="https://www.si.edu/object/siris_sil_545927" TargetMode="External"/><Relationship Id="rId52"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hyperlink" Target="https://doi.org/10.21203/rs.3.rs-1701247/v1" TargetMode="External"/><Relationship Id="rId30" Type="http://schemas.openxmlformats.org/officeDocument/2006/relationships/hyperlink" Target="https://doi.org/10.1201/9780203755990-6" TargetMode="External"/><Relationship Id="rId35" Type="http://schemas.openxmlformats.org/officeDocument/2006/relationships/hyperlink" Target="https://doi.org/10.1201/9780367803599" TargetMode="External"/><Relationship Id="rId43" Type="http://schemas.openxmlformats.org/officeDocument/2006/relationships/hyperlink" Target="https://zsp.com.pk/vol-48%5B4%5D.html?utm_source=chatgpt.com" TargetMode="External"/><Relationship Id="rId48" Type="http://schemas.openxmlformats.org/officeDocument/2006/relationships/hyperlink" Target="https://doi.org/10.4025/actascibiolsci.v23i0.2708" TargetMode="External"/><Relationship Id="rId56" Type="http://schemas.openxmlformats.org/officeDocument/2006/relationships/theme" Target="theme/theme1.xml"/><Relationship Id="rId8" Type="http://schemas.openxmlformats.org/officeDocument/2006/relationships/image" Target="media/image1.tiff"/><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hyperlink" Target="https://www.fao.org/fishery/en/facp/ind?lang=en&amp;utm_source=chatgpt.com" TargetMode="External"/><Relationship Id="rId38" Type="http://schemas.openxmlformats.org/officeDocument/2006/relationships/hyperlink" Target="https://doi.org/10.1016/j.ecoenv.2005.04.014" TargetMode="External"/><Relationship Id="rId46" Type="http://schemas.openxmlformats.org/officeDocument/2006/relationships/hyperlink" Target="http://hdl.handle.net/10210/877" TargetMode="External"/><Relationship Id="rId20" Type="http://schemas.openxmlformats.org/officeDocument/2006/relationships/image" Target="media/image13.png"/><Relationship Id="rId41" Type="http://schemas.openxmlformats.org/officeDocument/2006/relationships/hyperlink" Target="https://doi.org/10.2478/s11535-013-0220-y" TargetMode="External"/><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hyperlink" Target="https://doi.org/10.1023/B:HYDR.0000036196.84682.27" TargetMode="External"/><Relationship Id="rId36" Type="http://schemas.openxmlformats.org/officeDocument/2006/relationships/hyperlink" Target="https://doi.org/10.1201/9781351070270" TargetMode="External"/><Relationship Id="rId4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19BC38-AA04-4B46-8646-E4C86C49E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1607</TotalTime>
  <Pages>19</Pages>
  <Words>5237</Words>
  <Characters>29855</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Editor-1183</cp:lastModifiedBy>
  <cp:revision>39</cp:revision>
  <dcterms:created xsi:type="dcterms:W3CDTF">2022-11-29T02:59:00Z</dcterms:created>
  <dcterms:modified xsi:type="dcterms:W3CDTF">2026-09-30T08:12:00Z</dcterms:modified>
</cp:coreProperties>
</file>