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13724" w14:textId="77777777" w:rsidR="00292A60" w:rsidRPr="00DD060A" w:rsidRDefault="00292A60" w:rsidP="009C4B48">
      <w:pPr>
        <w:pStyle w:val="Heading1"/>
        <w:spacing w:before="240" w:line="276" w:lineRule="auto"/>
        <w:jc w:val="center"/>
        <w:rPr>
          <w:rFonts w:ascii="Arial" w:hAnsi="Arial" w:cs="Arial"/>
          <w:b/>
          <w:color w:val="auto"/>
          <w:sz w:val="20"/>
          <w:szCs w:val="20"/>
        </w:rPr>
      </w:pPr>
    </w:p>
    <w:p w14:paraId="742D1A72" w14:textId="77777777" w:rsidR="00F71CE3" w:rsidRPr="00DD060A" w:rsidRDefault="00F71CE3" w:rsidP="009C4B48">
      <w:pPr>
        <w:pStyle w:val="Default"/>
        <w:spacing w:before="240" w:line="276" w:lineRule="auto"/>
        <w:jc w:val="right"/>
        <w:rPr>
          <w:rFonts w:ascii="Arial" w:hAnsi="Arial" w:cs="Arial"/>
          <w:b/>
          <w:color w:val="auto"/>
          <w:sz w:val="36"/>
          <w:szCs w:val="36"/>
        </w:rPr>
      </w:pPr>
      <w:r>
        <w:rPr>
          <w:rFonts w:ascii="Arial" w:hAnsi="Arial" w:cs="Arial"/>
          <w:b/>
          <w:color w:val="auto"/>
          <w:sz w:val="36"/>
          <w:szCs w:val="36"/>
        </w:rPr>
        <w:t xml:space="preserve">Bioactive Potential of </w:t>
      </w:r>
      <w:proofErr w:type="spellStart"/>
      <w:r>
        <w:rPr>
          <w:rStyle w:val="Emphasis"/>
          <w:rFonts w:ascii="Arial" w:hAnsi="Arial" w:cs="Arial"/>
          <w:b/>
          <w:color w:val="auto"/>
          <w:sz w:val="36"/>
          <w:szCs w:val="36"/>
        </w:rPr>
        <w:t>Arthrospira</w:t>
      </w:r>
      <w:proofErr w:type="spellEnd"/>
      <w:r>
        <w:rPr>
          <w:rStyle w:val="Emphasis"/>
          <w:rFonts w:ascii="Arial" w:hAnsi="Arial" w:cs="Arial"/>
          <w:b/>
          <w:color w:val="auto"/>
          <w:sz w:val="36"/>
          <w:szCs w:val="36"/>
        </w:rPr>
        <w:t xml:space="preserve"> platensis</w:t>
      </w:r>
      <w:r>
        <w:rPr>
          <w:rFonts w:ascii="Arial" w:hAnsi="Arial" w:cs="Arial"/>
          <w:b/>
          <w:color w:val="auto"/>
          <w:sz w:val="36"/>
          <w:szCs w:val="36"/>
        </w:rPr>
        <w:t xml:space="preserve"> Ethanol Extract against ESBL and Biofilm-Forming Meat Pathogens</w:t>
      </w:r>
    </w:p>
    <w:p w14:paraId="015C745D" w14:textId="77777777" w:rsidR="00476276" w:rsidRPr="00DD060A" w:rsidRDefault="00476276" w:rsidP="009C4B48">
      <w:pPr>
        <w:pStyle w:val="NormalWeb"/>
        <w:spacing w:before="240" w:beforeAutospacing="0" w:after="0" w:afterAutospacing="0" w:line="276" w:lineRule="auto"/>
        <w:jc w:val="right"/>
        <w:rPr>
          <w:rFonts w:ascii="Arial" w:hAnsi="Arial" w:cs="Arial"/>
          <w:b/>
          <w:sz w:val="20"/>
          <w:szCs w:val="20"/>
        </w:rPr>
      </w:pPr>
    </w:p>
    <w:p w14:paraId="52E8CB75" w14:textId="77777777" w:rsidR="00CD1108" w:rsidRPr="00C80226" w:rsidRDefault="00CD1108" w:rsidP="009C4B48">
      <w:pPr>
        <w:pStyle w:val="pdq2pgselectionanchorcontainer"/>
        <w:spacing w:before="240" w:beforeAutospacing="0" w:after="0" w:afterAutospacing="0" w:line="276" w:lineRule="auto"/>
        <w:jc w:val="center"/>
        <w:rPr>
          <w:rStyle w:val="Emphasis"/>
          <w:rFonts w:ascii="Arial" w:hAnsi="Arial" w:cs="Arial"/>
          <w:bCs/>
          <w:i w:val="0"/>
          <w:sz w:val="22"/>
          <w:szCs w:val="22"/>
        </w:rPr>
      </w:pPr>
      <w:r w:rsidRPr="00C80226">
        <w:rPr>
          <w:rStyle w:val="Emphasis"/>
          <w:rFonts w:ascii="Arial" w:hAnsi="Arial" w:cs="Arial"/>
          <w:bCs/>
          <w:i w:val="0"/>
          <w:sz w:val="22"/>
          <w:szCs w:val="22"/>
        </w:rPr>
        <w:t>Abstract</w:t>
      </w:r>
    </w:p>
    <w:p w14:paraId="47D21FC5" w14:textId="77777777" w:rsidR="00F769A1" w:rsidRPr="00C80226" w:rsidRDefault="0015197F" w:rsidP="009C4B48">
      <w:pPr>
        <w:pStyle w:val="pdq2pgselectionanchorcontainer"/>
        <w:spacing w:before="240" w:beforeAutospacing="0" w:after="0" w:afterAutospacing="0" w:line="276" w:lineRule="auto"/>
        <w:jc w:val="both"/>
        <w:rPr>
          <w:rFonts w:ascii="Arial" w:hAnsi="Arial" w:cs="Arial"/>
          <w:bCs/>
          <w:sz w:val="22"/>
          <w:szCs w:val="22"/>
        </w:rPr>
      </w:pPr>
      <w:r w:rsidRPr="00C80226">
        <w:rPr>
          <w:rFonts w:ascii="Arial" w:hAnsi="Arial" w:cs="Arial"/>
          <w:bCs/>
          <w:sz w:val="22"/>
          <w:szCs w:val="22"/>
        </w:rPr>
        <w:tab/>
        <w:t xml:space="preserve">Foodborne bacterial pathogens associated with contaminated meat represent a significant public health concern due to antimicrobial resistance and biofilm formation. Therefore, investigating new antimicrobial substances </w:t>
      </w:r>
      <w:r w:rsidRPr="00C80226">
        <w:rPr>
          <w:rFonts w:ascii="Arial" w:hAnsi="Arial" w:cs="Arial"/>
          <w:bCs/>
          <w:sz w:val="22"/>
          <w:szCs w:val="22"/>
          <w:highlight w:val="yellow"/>
        </w:rPr>
        <w:t>to</w:t>
      </w:r>
      <w:r w:rsidRPr="00C80226">
        <w:rPr>
          <w:rFonts w:ascii="Arial" w:hAnsi="Arial" w:cs="Arial"/>
          <w:bCs/>
          <w:sz w:val="22"/>
          <w:szCs w:val="22"/>
        </w:rPr>
        <w:t xml:space="preserve"> control foodborne pathogens is important for reducing potential food safety risks. In the present study, chicken, fish, and goat meat samples were collected and examined for the isolation and </w:t>
      </w:r>
      <w:r w:rsidRPr="00C80226">
        <w:rPr>
          <w:rFonts w:ascii="Arial" w:hAnsi="Arial" w:cs="Arial"/>
          <w:bCs/>
          <w:sz w:val="22"/>
          <w:szCs w:val="22"/>
          <w:highlight w:val="yellow"/>
        </w:rPr>
        <w:t>characterisation</w:t>
      </w:r>
      <w:r w:rsidRPr="00C80226">
        <w:rPr>
          <w:rFonts w:ascii="Arial" w:hAnsi="Arial" w:cs="Arial"/>
          <w:bCs/>
          <w:sz w:val="22"/>
          <w:szCs w:val="22"/>
        </w:rPr>
        <w:t xml:space="preserve"> of bacterial pathogens. A total of 27 bacterial isolates representing seven genera were obtained, including </w:t>
      </w:r>
      <w:r w:rsidRPr="00C80226">
        <w:rPr>
          <w:rFonts w:ascii="Arial" w:hAnsi="Arial" w:cs="Arial"/>
          <w:bCs/>
          <w:i/>
          <w:sz w:val="22"/>
          <w:szCs w:val="22"/>
        </w:rPr>
        <w:t>Escherichia coli, Pseudomonas aeruginosa, Enterococcus faecalis, Klebsiella pneumoniae, Proteus mirabilis</w:t>
      </w:r>
      <w:r w:rsidRPr="00C80226">
        <w:rPr>
          <w:rFonts w:ascii="Arial" w:hAnsi="Arial" w:cs="Arial"/>
          <w:bCs/>
          <w:sz w:val="22"/>
          <w:szCs w:val="22"/>
        </w:rPr>
        <w:t xml:space="preserve">, </w:t>
      </w:r>
      <w:r w:rsidRPr="00C80226">
        <w:rPr>
          <w:rFonts w:ascii="Arial" w:hAnsi="Arial" w:cs="Arial"/>
          <w:bCs/>
          <w:i/>
          <w:sz w:val="22"/>
          <w:szCs w:val="22"/>
        </w:rPr>
        <w:t xml:space="preserve">Citrobacter </w:t>
      </w:r>
      <w:r w:rsidRPr="00C80226">
        <w:rPr>
          <w:rFonts w:ascii="Arial" w:hAnsi="Arial" w:cs="Arial"/>
          <w:bCs/>
          <w:sz w:val="22"/>
          <w:szCs w:val="22"/>
        </w:rPr>
        <w:t>s</w:t>
      </w:r>
      <w:r w:rsidRPr="00C80226">
        <w:rPr>
          <w:rFonts w:ascii="Arial" w:hAnsi="Arial" w:cs="Arial"/>
          <w:bCs/>
          <w:i/>
          <w:sz w:val="22"/>
          <w:szCs w:val="22"/>
        </w:rPr>
        <w:t>p.</w:t>
      </w:r>
      <w:r w:rsidRPr="00C80226">
        <w:rPr>
          <w:rFonts w:ascii="Arial" w:hAnsi="Arial" w:cs="Arial"/>
          <w:bCs/>
          <w:sz w:val="22"/>
          <w:szCs w:val="22"/>
        </w:rPr>
        <w:t xml:space="preserve">, and </w:t>
      </w:r>
      <w:r w:rsidRPr="00C80226">
        <w:rPr>
          <w:rFonts w:ascii="Arial" w:hAnsi="Arial" w:cs="Arial"/>
          <w:bCs/>
          <w:i/>
          <w:sz w:val="22"/>
          <w:szCs w:val="22"/>
        </w:rPr>
        <w:t xml:space="preserve">Salmonella </w:t>
      </w:r>
      <w:r w:rsidRPr="00C80226">
        <w:rPr>
          <w:rFonts w:ascii="Arial" w:hAnsi="Arial" w:cs="Arial"/>
          <w:bCs/>
          <w:sz w:val="22"/>
          <w:szCs w:val="22"/>
        </w:rPr>
        <w:t>s</w:t>
      </w:r>
      <w:r w:rsidRPr="00C80226">
        <w:rPr>
          <w:rFonts w:ascii="Arial" w:hAnsi="Arial" w:cs="Arial"/>
          <w:bCs/>
          <w:i/>
          <w:sz w:val="22"/>
          <w:szCs w:val="22"/>
        </w:rPr>
        <w:t>p.</w:t>
      </w:r>
      <w:r w:rsidRPr="00C80226">
        <w:rPr>
          <w:rFonts w:ascii="Arial" w:hAnsi="Arial" w:cs="Arial"/>
          <w:bCs/>
          <w:sz w:val="22"/>
          <w:szCs w:val="22"/>
        </w:rPr>
        <w:t xml:space="preserve"> Among the isolates, 17 (62.9%) </w:t>
      </w:r>
      <w:r w:rsidRPr="00C80226">
        <w:rPr>
          <w:rFonts w:ascii="Arial" w:hAnsi="Arial" w:cs="Arial"/>
          <w:bCs/>
          <w:sz w:val="22"/>
          <w:szCs w:val="22"/>
          <w:highlight w:val="yellow"/>
        </w:rPr>
        <w:t>tested</w:t>
      </w:r>
      <w:r w:rsidRPr="00C80226">
        <w:rPr>
          <w:rFonts w:ascii="Arial" w:hAnsi="Arial" w:cs="Arial"/>
          <w:bCs/>
          <w:sz w:val="22"/>
          <w:szCs w:val="22"/>
        </w:rPr>
        <w:t xml:space="preserve"> positive for extended-spectrum β-lactamase (ESBL) production, while 14 (51.9%) exhibited </w:t>
      </w:r>
      <w:r w:rsidRPr="00C80226">
        <w:rPr>
          <w:rFonts w:ascii="Arial" w:hAnsi="Arial" w:cs="Arial"/>
          <w:bCs/>
          <w:sz w:val="22"/>
          <w:szCs w:val="22"/>
          <w:highlight w:val="yellow"/>
        </w:rPr>
        <w:t>the</w:t>
      </w:r>
      <w:r w:rsidRPr="00C80226">
        <w:rPr>
          <w:rFonts w:ascii="Arial" w:hAnsi="Arial" w:cs="Arial"/>
          <w:bCs/>
          <w:sz w:val="22"/>
          <w:szCs w:val="22"/>
        </w:rPr>
        <w:t xml:space="preserve"> ability</w:t>
      </w:r>
      <w:r w:rsidRPr="00C80226">
        <w:rPr>
          <w:rFonts w:ascii="Arial" w:hAnsi="Arial" w:cs="Arial"/>
          <w:bCs/>
          <w:sz w:val="22"/>
          <w:szCs w:val="22"/>
          <w:highlight w:val="yellow"/>
        </w:rPr>
        <w:t xml:space="preserve"> to form biofilms</w:t>
      </w:r>
      <w:r w:rsidRPr="00C80226">
        <w:rPr>
          <w:rFonts w:ascii="Arial" w:hAnsi="Arial" w:cs="Arial"/>
          <w:bCs/>
          <w:sz w:val="22"/>
          <w:szCs w:val="22"/>
        </w:rPr>
        <w:t xml:space="preserve">. The antibacterial potential of </w:t>
      </w:r>
      <w:proofErr w:type="spellStart"/>
      <w:r w:rsidRPr="00C80226">
        <w:rPr>
          <w:rFonts w:ascii="Arial" w:hAnsi="Arial" w:cs="Arial"/>
          <w:bCs/>
          <w:i/>
          <w:sz w:val="22"/>
          <w:szCs w:val="22"/>
        </w:rPr>
        <w:t>Arthrospira</w:t>
      </w:r>
      <w:proofErr w:type="spellEnd"/>
      <w:r w:rsidRPr="00C80226">
        <w:rPr>
          <w:rFonts w:ascii="Arial" w:hAnsi="Arial" w:cs="Arial"/>
          <w:bCs/>
          <w:i/>
          <w:sz w:val="22"/>
          <w:szCs w:val="22"/>
        </w:rPr>
        <w:t xml:space="preserve"> platensis</w:t>
      </w:r>
      <w:r w:rsidRPr="00C80226">
        <w:rPr>
          <w:rFonts w:ascii="Arial" w:hAnsi="Arial" w:cs="Arial"/>
          <w:bCs/>
          <w:sz w:val="22"/>
          <w:szCs w:val="22"/>
        </w:rPr>
        <w:t xml:space="preserve"> extracts was subsequently evaluated against the isolated foodborne pathogens. Preliminary phytochemical screening showed a higher number of phytochemical constituents in the ethanol extract than in the aqueous extract. Therefore, the ethanol extract was selected for further evaluation of its antibacterial, antioxidant, and anticancer activities. The ethanol extract exhibited concentration-dependent antibacterial activity, with the highest inhibition zone of 17 mm observed against </w:t>
      </w:r>
      <w:r w:rsidRPr="00C80226">
        <w:rPr>
          <w:rFonts w:ascii="Arial" w:hAnsi="Arial" w:cs="Arial"/>
          <w:bCs/>
          <w:i/>
          <w:sz w:val="22"/>
          <w:szCs w:val="22"/>
        </w:rPr>
        <w:t>E. coli</w:t>
      </w:r>
      <w:r w:rsidRPr="00C80226">
        <w:rPr>
          <w:rFonts w:ascii="Arial" w:hAnsi="Arial" w:cs="Arial"/>
          <w:bCs/>
          <w:sz w:val="22"/>
          <w:szCs w:val="22"/>
        </w:rPr>
        <w:t xml:space="preserve"> at 10 mg/</w:t>
      </w:r>
      <w:proofErr w:type="spellStart"/>
      <w:r w:rsidRPr="00C80226">
        <w:rPr>
          <w:rFonts w:ascii="Arial" w:hAnsi="Arial" w:cs="Arial"/>
          <w:bCs/>
          <w:sz w:val="22"/>
          <w:szCs w:val="22"/>
        </w:rPr>
        <w:t>mL.</w:t>
      </w:r>
      <w:proofErr w:type="spellEnd"/>
      <w:r w:rsidRPr="00C80226">
        <w:rPr>
          <w:rFonts w:ascii="Arial" w:hAnsi="Arial" w:cs="Arial"/>
          <w:bCs/>
          <w:sz w:val="22"/>
          <w:szCs w:val="22"/>
        </w:rPr>
        <w:t xml:space="preserve"> DPPH radical-scavenging activity increased with extract concentration, reaching 79.78% at 1000 µg/mL, compared with 87.96% for ascorbic acid. In the MTT assay, HepG2 cell inhibition increased from 7.90% at 10 µg/mL to 74.06% at 250 µg/mL, with corresponding cell viabilities of 92.10% and 25.94%, respectively</w:t>
      </w:r>
      <w:r w:rsidRPr="00C80226">
        <w:rPr>
          <w:rFonts w:ascii="Arial" w:hAnsi="Arial" w:cs="Arial"/>
          <w:bCs/>
          <w:sz w:val="22"/>
          <w:szCs w:val="22"/>
          <w:highlight w:val="yellow"/>
        </w:rPr>
        <w:t>.</w:t>
      </w:r>
      <w:r w:rsidRPr="00C80226">
        <w:rPr>
          <w:rFonts w:ascii="Arial" w:hAnsi="Arial" w:cs="Arial"/>
          <w:bCs/>
          <w:sz w:val="22"/>
          <w:szCs w:val="22"/>
        </w:rPr>
        <w:t xml:space="preserve"> The IC</w:t>
      </w:r>
      <w:r w:rsidRPr="00C80226">
        <w:rPr>
          <w:rFonts w:ascii="Cambria Math" w:hAnsi="Cambria Math" w:cs="Cambria Math"/>
          <w:bCs/>
          <w:sz w:val="22"/>
          <w:szCs w:val="22"/>
        </w:rPr>
        <w:t>₅₀</w:t>
      </w:r>
      <w:r w:rsidRPr="00C80226">
        <w:rPr>
          <w:rFonts w:ascii="Arial" w:hAnsi="Arial" w:cs="Arial"/>
          <w:bCs/>
          <w:sz w:val="22"/>
          <w:szCs w:val="22"/>
        </w:rPr>
        <w:t xml:space="preserve"> values of the </w:t>
      </w:r>
      <w:r w:rsidRPr="00C80226">
        <w:rPr>
          <w:rFonts w:ascii="Arial" w:hAnsi="Arial" w:cs="Arial"/>
          <w:bCs/>
          <w:i/>
          <w:sz w:val="22"/>
          <w:szCs w:val="22"/>
        </w:rPr>
        <w:t>A. platensis</w:t>
      </w:r>
      <w:r w:rsidRPr="00C80226">
        <w:rPr>
          <w:rFonts w:ascii="Arial" w:hAnsi="Arial" w:cs="Arial"/>
          <w:bCs/>
          <w:sz w:val="22"/>
          <w:szCs w:val="22"/>
        </w:rPr>
        <w:t xml:space="preserve"> extract were 118 µg/mL</w:t>
      </w:r>
      <w:r w:rsidRPr="00C80226">
        <w:rPr>
          <w:rFonts w:ascii="Arial" w:hAnsi="Arial" w:cs="Arial"/>
          <w:bCs/>
          <w:sz w:val="22"/>
          <w:szCs w:val="22"/>
          <w:highlight w:val="yellow"/>
        </w:rPr>
        <w:t xml:space="preserve"> </w:t>
      </w:r>
      <w:r w:rsidRPr="00C80226">
        <w:rPr>
          <w:rFonts w:ascii="Arial" w:hAnsi="Arial" w:cs="Arial"/>
          <w:bCs/>
          <w:sz w:val="22"/>
          <w:szCs w:val="22"/>
        </w:rPr>
        <w:t>for antioxidant activity and 110 µg/mL for anticancer activity, respectively</w:t>
      </w:r>
      <w:r w:rsidRPr="00C80226">
        <w:rPr>
          <w:rFonts w:ascii="Arial" w:hAnsi="Arial" w:cs="Arial"/>
          <w:bCs/>
          <w:sz w:val="22"/>
          <w:szCs w:val="22"/>
          <w:highlight w:val="yellow"/>
        </w:rPr>
        <w:t>.</w:t>
      </w:r>
      <w:r w:rsidRPr="00C80226">
        <w:rPr>
          <w:rFonts w:ascii="Arial" w:hAnsi="Arial" w:cs="Arial"/>
          <w:bCs/>
          <w:sz w:val="22"/>
          <w:szCs w:val="22"/>
        </w:rPr>
        <w:t xml:space="preserve"> Overall, the ethanol extract of </w:t>
      </w:r>
      <w:r w:rsidRPr="00C80226">
        <w:rPr>
          <w:rFonts w:ascii="Arial" w:hAnsi="Arial" w:cs="Arial"/>
          <w:bCs/>
          <w:i/>
          <w:sz w:val="22"/>
          <w:szCs w:val="22"/>
        </w:rPr>
        <w:t>A. platensis</w:t>
      </w:r>
      <w:r w:rsidRPr="00C80226">
        <w:rPr>
          <w:rFonts w:ascii="Arial" w:hAnsi="Arial" w:cs="Arial"/>
          <w:bCs/>
          <w:sz w:val="22"/>
          <w:szCs w:val="22"/>
        </w:rPr>
        <w:t xml:space="preserve"> demonstrated antibacterial, antioxidant, and anticancer activities, indicating its potential as a source of bioactive compounds with promising applications in food safety and biomedical research.</w:t>
      </w:r>
    </w:p>
    <w:p w14:paraId="6319ACD2" w14:textId="77777777" w:rsidR="00292A60" w:rsidRPr="00DD060A" w:rsidRDefault="00292A60" w:rsidP="009C4B48">
      <w:pPr>
        <w:pStyle w:val="pdq2pgselectionanchorcontainer"/>
        <w:spacing w:before="240" w:beforeAutospacing="0" w:after="0" w:afterAutospacing="0" w:line="276" w:lineRule="auto"/>
        <w:jc w:val="both"/>
        <w:rPr>
          <w:rFonts w:ascii="Arial" w:hAnsi="Arial" w:cs="Arial"/>
          <w:sz w:val="20"/>
          <w:szCs w:val="20"/>
        </w:rPr>
      </w:pPr>
      <w:r w:rsidRPr="00C80226">
        <w:rPr>
          <w:rStyle w:val="Emphasis"/>
          <w:rFonts w:ascii="Arial" w:hAnsi="Arial" w:cs="Arial"/>
          <w:bCs/>
          <w:sz w:val="20"/>
          <w:szCs w:val="20"/>
        </w:rPr>
        <w:t xml:space="preserve">Keywords: </w:t>
      </w:r>
      <w:proofErr w:type="spellStart"/>
      <w:r w:rsidRPr="00C80226">
        <w:rPr>
          <w:rStyle w:val="Emphasis"/>
          <w:rFonts w:ascii="Arial" w:hAnsi="Arial" w:cs="Arial"/>
          <w:bCs/>
          <w:sz w:val="20"/>
          <w:szCs w:val="20"/>
        </w:rPr>
        <w:t>Arthrospira</w:t>
      </w:r>
      <w:proofErr w:type="spellEnd"/>
      <w:r w:rsidRPr="00C80226">
        <w:rPr>
          <w:rStyle w:val="Emphasis"/>
          <w:rFonts w:ascii="Arial" w:hAnsi="Arial" w:cs="Arial"/>
          <w:bCs/>
          <w:sz w:val="20"/>
          <w:szCs w:val="20"/>
        </w:rPr>
        <w:t xml:space="preserve"> platensis</w:t>
      </w:r>
      <w:r w:rsidRPr="00DD060A">
        <w:rPr>
          <w:rFonts w:ascii="Arial" w:hAnsi="Arial" w:cs="Arial"/>
          <w:sz w:val="20"/>
          <w:szCs w:val="20"/>
        </w:rPr>
        <w:t>; phytochemicals, antibacterial activity; antioxidant activity; HepG2 cells; cytotoxicity.</w:t>
      </w:r>
    </w:p>
    <w:p w14:paraId="6B07CF79" w14:textId="77777777" w:rsidR="000135A3" w:rsidRPr="00DD060A" w:rsidRDefault="003E5480" w:rsidP="009C4B48">
      <w:pPr>
        <w:pStyle w:val="Heading1"/>
        <w:spacing w:before="240" w:line="276" w:lineRule="auto"/>
        <w:jc w:val="both"/>
        <w:rPr>
          <w:rFonts w:ascii="Arial" w:hAnsi="Arial" w:cs="Arial"/>
          <w:b/>
          <w:bCs/>
          <w:color w:val="auto"/>
          <w:sz w:val="22"/>
          <w:szCs w:val="22"/>
        </w:rPr>
      </w:pPr>
      <w:r>
        <w:rPr>
          <w:rFonts w:ascii="Arial" w:hAnsi="Arial" w:cs="Arial"/>
          <w:b/>
          <w:bCs/>
          <w:color w:val="auto"/>
          <w:sz w:val="22"/>
          <w:szCs w:val="22"/>
        </w:rPr>
        <w:t>1. Introduction</w:t>
      </w:r>
    </w:p>
    <w:p w14:paraId="25AF5756" w14:textId="30C805EA" w:rsidR="003208D8" w:rsidRPr="00DD060A" w:rsidRDefault="00426844"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Antimicrobial </w:t>
      </w:r>
      <w:r>
        <w:rPr>
          <w:rFonts w:ascii="Arial" w:hAnsi="Arial" w:cs="Arial"/>
          <w:color w:val="auto"/>
          <w:sz w:val="20"/>
          <w:szCs w:val="20"/>
          <w:highlight w:val="yellow"/>
        </w:rPr>
        <w:t>resistance</w:t>
      </w:r>
      <w:r>
        <w:rPr>
          <w:rFonts w:ascii="Arial" w:hAnsi="Arial" w:cs="Arial"/>
          <w:color w:val="auto"/>
          <w:sz w:val="20"/>
          <w:szCs w:val="20"/>
        </w:rPr>
        <w:t xml:space="preserve"> (AMR) is one of the most severe threats to global public health. It compromises the efficacy of standard antibiotic treatments used </w:t>
      </w:r>
      <w:r>
        <w:rPr>
          <w:rFonts w:ascii="Arial" w:hAnsi="Arial" w:cs="Arial"/>
          <w:color w:val="auto"/>
          <w:sz w:val="20"/>
          <w:szCs w:val="20"/>
          <w:highlight w:val="yellow"/>
        </w:rPr>
        <w:t xml:space="preserve">to treat </w:t>
      </w:r>
      <w:r>
        <w:rPr>
          <w:rFonts w:ascii="Arial" w:hAnsi="Arial" w:cs="Arial"/>
          <w:color w:val="auto"/>
          <w:sz w:val="20"/>
          <w:szCs w:val="20"/>
        </w:rPr>
        <w:t>even common infections (</w:t>
      </w:r>
      <w:r w:rsidR="00FE2F0B" w:rsidRPr="00FE2F0B">
        <w:rPr>
          <w:rFonts w:ascii="Arial" w:hAnsi="Arial" w:cs="Arial"/>
          <w:color w:val="auto"/>
          <w:sz w:val="20"/>
          <w:szCs w:val="20"/>
        </w:rPr>
        <w:t>Antimicrobial Resistance Collaborators</w:t>
      </w:r>
      <w:r>
        <w:rPr>
          <w:rFonts w:ascii="Arial" w:hAnsi="Arial" w:cs="Arial"/>
          <w:color w:val="auto"/>
          <w:sz w:val="20"/>
          <w:szCs w:val="20"/>
        </w:rPr>
        <w:t xml:space="preserve">, 2022). In particular, extended-spectrum β-lactamases (ESBLs) produced by Gram-negative bacteria such as </w:t>
      </w:r>
      <w:r>
        <w:rPr>
          <w:rFonts w:ascii="Arial" w:hAnsi="Arial" w:cs="Arial"/>
          <w:i/>
          <w:color w:val="auto"/>
          <w:sz w:val="20"/>
          <w:szCs w:val="20"/>
        </w:rPr>
        <w:t>Escherichia coli</w:t>
      </w:r>
      <w:r>
        <w:rPr>
          <w:rFonts w:ascii="Arial" w:hAnsi="Arial" w:cs="Arial"/>
          <w:color w:val="auto"/>
          <w:sz w:val="20"/>
          <w:szCs w:val="20"/>
        </w:rPr>
        <w:t xml:space="preserve"> and </w:t>
      </w:r>
      <w:r>
        <w:rPr>
          <w:rFonts w:ascii="Arial" w:hAnsi="Arial" w:cs="Arial"/>
          <w:i/>
          <w:color w:val="auto"/>
          <w:sz w:val="20"/>
          <w:szCs w:val="20"/>
        </w:rPr>
        <w:t>Klebsiella pneumoniae</w:t>
      </w:r>
      <w:r>
        <w:rPr>
          <w:rFonts w:ascii="Arial" w:hAnsi="Arial" w:cs="Arial"/>
          <w:color w:val="auto"/>
          <w:sz w:val="20"/>
          <w:szCs w:val="20"/>
        </w:rPr>
        <w:t xml:space="preserve"> are a major concern. These enzymes degrade antibiotics such as penicillins, cephalosporins, and monobactams, rendering first-line treatments ineffective. Consequently, there is an increased reliance on carbapenems, which are used as a last-resort treatment (McDonald </w:t>
      </w:r>
      <w:r>
        <w:rPr>
          <w:rFonts w:ascii="Arial" w:hAnsi="Arial" w:cs="Arial"/>
          <w:i/>
          <w:color w:val="auto"/>
          <w:sz w:val="20"/>
          <w:szCs w:val="20"/>
        </w:rPr>
        <w:t>et al</w:t>
      </w:r>
      <w:r>
        <w:rPr>
          <w:rFonts w:ascii="Arial" w:hAnsi="Arial" w:cs="Arial"/>
          <w:color w:val="auto"/>
          <w:sz w:val="20"/>
          <w:szCs w:val="20"/>
        </w:rPr>
        <w:t>., 2021).</w:t>
      </w:r>
    </w:p>
    <w:p w14:paraId="32EEADE5" w14:textId="03FCC2C7" w:rsidR="00BD5615" w:rsidRDefault="00426844" w:rsidP="003D5219">
      <w:pPr>
        <w:pStyle w:val="Heading1"/>
        <w:spacing w:before="240" w:line="276" w:lineRule="auto"/>
        <w:jc w:val="both"/>
        <w:rPr>
          <w:rFonts w:ascii="Arial" w:hAnsi="Arial" w:cs="Arial"/>
        </w:rPr>
      </w:pPr>
      <w:r>
        <w:rPr>
          <w:rFonts w:ascii="Arial" w:hAnsi="Arial" w:cs="Arial"/>
          <w:color w:val="auto"/>
          <w:sz w:val="20"/>
          <w:szCs w:val="20"/>
        </w:rPr>
        <w:lastRenderedPageBreak/>
        <w:tab/>
        <w:t xml:space="preserve">In particular, ESBL-producing </w:t>
      </w:r>
      <w:r>
        <w:rPr>
          <w:rStyle w:val="Emphasis"/>
          <w:rFonts w:ascii="Arial" w:hAnsi="Arial" w:cs="Arial"/>
          <w:color w:val="auto"/>
          <w:sz w:val="20"/>
          <w:szCs w:val="20"/>
        </w:rPr>
        <w:t>E. coli</w:t>
      </w:r>
      <w:r>
        <w:rPr>
          <w:rFonts w:ascii="Arial" w:hAnsi="Arial" w:cs="Arial"/>
          <w:color w:val="auto"/>
          <w:sz w:val="20"/>
          <w:szCs w:val="20"/>
        </w:rPr>
        <w:t xml:space="preserve"> </w:t>
      </w:r>
      <w:r>
        <w:rPr>
          <w:rFonts w:ascii="Arial" w:hAnsi="Arial" w:cs="Arial"/>
          <w:color w:val="auto"/>
          <w:sz w:val="20"/>
          <w:szCs w:val="20"/>
          <w:highlight w:val="yellow"/>
        </w:rPr>
        <w:t>has</w:t>
      </w:r>
      <w:r>
        <w:rPr>
          <w:rFonts w:ascii="Arial" w:hAnsi="Arial" w:cs="Arial"/>
          <w:color w:val="auto"/>
          <w:sz w:val="20"/>
          <w:szCs w:val="20"/>
        </w:rPr>
        <w:t xml:space="preserve"> been frequently detected in retail meat products, including beef, pork, and poultry, highlighting meat products as an important potential reservoir for antimicrobial-resistant bacteria and a possible route of AMR transmission to humans (Clemente </w:t>
      </w:r>
      <w:r>
        <w:rPr>
          <w:rFonts w:ascii="Arial" w:hAnsi="Arial" w:cs="Arial"/>
          <w:i/>
          <w:color w:val="auto"/>
          <w:sz w:val="20"/>
          <w:szCs w:val="20"/>
        </w:rPr>
        <w:t>et al</w:t>
      </w:r>
      <w:r>
        <w:rPr>
          <w:rFonts w:ascii="Arial" w:hAnsi="Arial" w:cs="Arial"/>
          <w:color w:val="auto"/>
          <w:sz w:val="20"/>
          <w:szCs w:val="20"/>
        </w:rPr>
        <w:t xml:space="preserve">., 2021). Antimicrobial resistance is already associated with more than one million deaths annually, and, if effective control measures are not implemented, the global burden could increase substantially by 2050 (O’Neill, 2016; </w:t>
      </w:r>
      <w:r w:rsidR="00FE2F0B" w:rsidRPr="00FE2F0B">
        <w:rPr>
          <w:rFonts w:ascii="Arial" w:hAnsi="Arial" w:cs="Arial"/>
          <w:color w:val="auto"/>
          <w:sz w:val="20"/>
          <w:szCs w:val="20"/>
        </w:rPr>
        <w:t>Antimicrobial Resistance Collaborators</w:t>
      </w:r>
      <w:r w:rsidR="00FE2F0B">
        <w:rPr>
          <w:rFonts w:ascii="Arial" w:hAnsi="Arial" w:cs="Arial"/>
          <w:color w:val="auto"/>
          <w:sz w:val="20"/>
          <w:szCs w:val="20"/>
        </w:rPr>
        <w:t xml:space="preserve">, </w:t>
      </w:r>
      <w:r>
        <w:rPr>
          <w:rFonts w:ascii="Arial" w:hAnsi="Arial" w:cs="Arial"/>
          <w:color w:val="auto"/>
          <w:sz w:val="20"/>
          <w:szCs w:val="20"/>
        </w:rPr>
        <w:t xml:space="preserve">2022). The persistence of ESBL-mediated resistance is further complicated by the presence of resistance determinants on mobile genetic elements such as plasmids, which can facilitate their dissemination among bacterial populations. At the same time, the development of new antibacterial agents remains challenging, with </w:t>
      </w:r>
      <w:r>
        <w:rPr>
          <w:rFonts w:ascii="Arial" w:hAnsi="Arial" w:cs="Arial"/>
          <w:color w:val="auto"/>
          <w:sz w:val="20"/>
          <w:szCs w:val="20"/>
          <w:highlight w:val="yellow"/>
        </w:rPr>
        <w:t>few</w:t>
      </w:r>
      <w:r>
        <w:rPr>
          <w:rFonts w:ascii="Arial" w:hAnsi="Arial" w:cs="Arial"/>
          <w:color w:val="auto"/>
          <w:sz w:val="20"/>
          <w:szCs w:val="20"/>
        </w:rPr>
        <w:t xml:space="preserve"> novel antibiotic classes reaching clinical application (</w:t>
      </w:r>
      <w:r>
        <w:rPr>
          <w:rFonts w:ascii="Arial" w:hAnsi="Arial" w:cs="Arial"/>
          <w:color w:val="auto"/>
          <w:sz w:val="20"/>
          <w:szCs w:val="20"/>
          <w:highlight w:val="yellow"/>
        </w:rPr>
        <w:t>World Health Organization</w:t>
      </w:r>
      <w:r>
        <w:rPr>
          <w:rFonts w:ascii="Arial" w:hAnsi="Arial" w:cs="Arial"/>
          <w:color w:val="auto"/>
          <w:sz w:val="20"/>
          <w:szCs w:val="20"/>
        </w:rPr>
        <w:t>, 2024).</w:t>
      </w:r>
      <w:r w:rsidR="003D5219">
        <w:rPr>
          <w:rFonts w:ascii="Arial" w:hAnsi="Arial" w:cs="Arial"/>
          <w:color w:val="auto"/>
          <w:sz w:val="20"/>
          <w:szCs w:val="20"/>
        </w:rPr>
        <w:t xml:space="preserve"> </w:t>
      </w:r>
      <w:r>
        <w:rPr>
          <w:rFonts w:ascii="Arial" w:hAnsi="Arial"/>
          <w:b/>
          <w:sz w:val="20"/>
          <w:highlight w:val="yellow"/>
        </w:rPr>
        <w:tab/>
        <w:t xml:space="preserve">An investigation of </w:t>
      </w:r>
      <w:proofErr w:type="spellStart"/>
      <w:r>
        <w:rPr>
          <w:rFonts w:ascii="Arial" w:hAnsi="Arial"/>
          <w:b/>
          <w:i/>
          <w:sz w:val="20"/>
          <w:highlight w:val="yellow"/>
        </w:rPr>
        <w:t>Arthrospira</w:t>
      </w:r>
      <w:proofErr w:type="spellEnd"/>
      <w:r>
        <w:rPr>
          <w:rFonts w:ascii="Arial" w:hAnsi="Arial"/>
          <w:b/>
          <w:i/>
          <w:sz w:val="20"/>
          <w:highlight w:val="yellow"/>
        </w:rPr>
        <w:t xml:space="preserve"> maxima</w:t>
      </w:r>
      <w:r>
        <w:rPr>
          <w:rFonts w:ascii="Arial" w:hAnsi="Arial"/>
          <w:b/>
          <w:sz w:val="20"/>
          <w:highlight w:val="yellow"/>
        </w:rPr>
        <w:t xml:space="preserve"> </w:t>
      </w:r>
      <w:proofErr w:type="gramStart"/>
      <w:r>
        <w:rPr>
          <w:rFonts w:ascii="Arial" w:hAnsi="Arial"/>
          <w:b/>
          <w:sz w:val="20"/>
          <w:highlight w:val="yellow"/>
        </w:rPr>
        <w:t>extract</w:t>
      </w:r>
      <w:proofErr w:type="gramEnd"/>
      <w:r>
        <w:rPr>
          <w:rFonts w:ascii="Arial" w:hAnsi="Arial"/>
          <w:b/>
          <w:sz w:val="20"/>
          <w:highlight w:val="yellow"/>
        </w:rPr>
        <w:t xml:space="preserve"> also reported in vitro antibacterial and antibiofilm effects against carbapenem-resistant </w:t>
      </w:r>
      <w:r>
        <w:rPr>
          <w:rFonts w:ascii="Arial" w:hAnsi="Arial"/>
          <w:b/>
          <w:i/>
          <w:sz w:val="20"/>
          <w:highlight w:val="yellow"/>
        </w:rPr>
        <w:t>Klebsiella pneumoniae</w:t>
      </w:r>
      <w:r>
        <w:rPr>
          <w:rFonts w:ascii="Arial" w:hAnsi="Arial"/>
          <w:b/>
          <w:sz w:val="20"/>
          <w:highlight w:val="yellow"/>
        </w:rPr>
        <w:t xml:space="preserve"> from clinical samples, providing a related but distinct context from meat-derived isolates (Selim et al., 2025).</w:t>
      </w:r>
    </w:p>
    <w:p w14:paraId="09920349" w14:textId="77777777" w:rsidR="003208D8" w:rsidRPr="00DD060A" w:rsidRDefault="00426844"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A </w:t>
      </w:r>
      <w:r>
        <w:rPr>
          <w:rFonts w:ascii="Arial" w:hAnsi="Arial" w:cs="Arial"/>
          <w:color w:val="auto"/>
          <w:sz w:val="20"/>
          <w:szCs w:val="20"/>
          <w:highlight w:val="yellow"/>
        </w:rPr>
        <w:t>similarly</w:t>
      </w:r>
      <w:r>
        <w:rPr>
          <w:rFonts w:ascii="Arial" w:hAnsi="Arial" w:cs="Arial"/>
          <w:color w:val="auto"/>
          <w:sz w:val="20"/>
          <w:szCs w:val="20"/>
        </w:rPr>
        <w:t xml:space="preserve"> significant challenge exists in the field of oncology. Liver cancer—specifically hepatocellular carcinoma (HCC)—is among the cancers with high mortality rates, primarily due to late diagnosis and poor response to treatment (Sung </w:t>
      </w:r>
      <w:r>
        <w:rPr>
          <w:rFonts w:ascii="Arial" w:hAnsi="Arial" w:cs="Arial"/>
          <w:i/>
          <w:color w:val="auto"/>
          <w:sz w:val="20"/>
          <w:szCs w:val="20"/>
        </w:rPr>
        <w:t>et al</w:t>
      </w:r>
      <w:r>
        <w:rPr>
          <w:rFonts w:ascii="Arial" w:hAnsi="Arial" w:cs="Arial"/>
          <w:color w:val="auto"/>
          <w:sz w:val="20"/>
          <w:szCs w:val="20"/>
        </w:rPr>
        <w:t xml:space="preserve">., 2021). Drugs such as Sorafenib offer only modest improvements in survival. Furthermore, response rates to conventional cytotoxic drugs are often less than 10% (Llovet </w:t>
      </w:r>
      <w:r>
        <w:rPr>
          <w:rFonts w:ascii="Arial" w:hAnsi="Arial" w:cs="Arial"/>
          <w:i/>
          <w:color w:val="auto"/>
          <w:sz w:val="20"/>
          <w:szCs w:val="20"/>
        </w:rPr>
        <w:t>et al</w:t>
      </w:r>
      <w:r>
        <w:rPr>
          <w:rFonts w:ascii="Arial" w:hAnsi="Arial" w:cs="Arial"/>
          <w:color w:val="auto"/>
          <w:sz w:val="20"/>
          <w:szCs w:val="20"/>
        </w:rPr>
        <w:t>., 2008). Key factors contributing to this include the overexpression of ABC-transporter efflux proteins (such as P-glycoprotein) in HCC cells, enhanced DNA repair capacity, and resistance to apoptosis (</w:t>
      </w:r>
      <w:r>
        <w:rPr>
          <w:rFonts w:ascii="Arial" w:hAnsi="Arial" w:cs="Arial"/>
          <w:color w:val="auto"/>
          <w:sz w:val="20"/>
          <w:szCs w:val="20"/>
          <w:highlight w:val="yellow"/>
        </w:rPr>
        <w:t>Cuestas</w:t>
      </w:r>
      <w:r>
        <w:rPr>
          <w:rFonts w:ascii="Arial" w:hAnsi="Arial" w:cs="Arial"/>
          <w:color w:val="auto"/>
          <w:sz w:val="20"/>
          <w:szCs w:val="20"/>
        </w:rPr>
        <w:t xml:space="preserve"> </w:t>
      </w:r>
      <w:r>
        <w:rPr>
          <w:rFonts w:ascii="Arial" w:hAnsi="Arial" w:cs="Arial"/>
          <w:i/>
          <w:color w:val="auto"/>
          <w:sz w:val="20"/>
          <w:szCs w:val="20"/>
        </w:rPr>
        <w:t>et al</w:t>
      </w:r>
      <w:r>
        <w:rPr>
          <w:rFonts w:ascii="Arial" w:hAnsi="Arial" w:cs="Arial"/>
          <w:color w:val="auto"/>
          <w:sz w:val="20"/>
          <w:szCs w:val="20"/>
        </w:rPr>
        <w:t xml:space="preserve">., 2015). Given the high systemic toxicity associated with current chemotherapeutic drugs, there is a need for safe bioactive agents capable of acting against resistant </w:t>
      </w:r>
      <w:r>
        <w:rPr>
          <w:rFonts w:ascii="Arial" w:hAnsi="Arial" w:cs="Arial"/>
          <w:color w:val="auto"/>
          <w:sz w:val="20"/>
          <w:szCs w:val="20"/>
          <w:highlight w:val="yellow"/>
        </w:rPr>
        <w:t>tumour</w:t>
      </w:r>
      <w:r>
        <w:rPr>
          <w:rFonts w:ascii="Arial" w:hAnsi="Arial" w:cs="Arial"/>
          <w:color w:val="auto"/>
          <w:sz w:val="20"/>
          <w:szCs w:val="20"/>
        </w:rPr>
        <w:t xml:space="preserve"> phenotypes.</w:t>
      </w:r>
    </w:p>
    <w:p w14:paraId="01AB7C41" w14:textId="4D5F8BB9" w:rsidR="00BD5615" w:rsidRDefault="00426844" w:rsidP="003D5219">
      <w:pPr>
        <w:pStyle w:val="Heading1"/>
        <w:spacing w:before="240" w:line="276" w:lineRule="auto"/>
        <w:jc w:val="both"/>
        <w:rPr>
          <w:rFonts w:ascii="Arial" w:hAnsi="Arial" w:cs="Arial"/>
        </w:rPr>
      </w:pPr>
      <w:r>
        <w:rPr>
          <w:rFonts w:ascii="Arial" w:hAnsi="Arial" w:cs="Arial"/>
          <w:color w:val="auto"/>
          <w:sz w:val="20"/>
          <w:szCs w:val="20"/>
        </w:rPr>
        <w:tab/>
        <w:t>Given the limitations associated with conventional antibacterial and anticancer drugs, natural bioactive compounds are gaining significant attention as alternative therapeutic agents. Spirulina (</w:t>
      </w:r>
      <w:proofErr w:type="spellStart"/>
      <w:r>
        <w:rPr>
          <w:rFonts w:ascii="Arial" w:hAnsi="Arial" w:cs="Arial"/>
          <w:i/>
          <w:color w:val="auto"/>
          <w:sz w:val="20"/>
          <w:szCs w:val="20"/>
        </w:rPr>
        <w:t>Arthrospira</w:t>
      </w:r>
      <w:proofErr w:type="spellEnd"/>
      <w:r>
        <w:rPr>
          <w:rFonts w:ascii="Arial" w:hAnsi="Arial" w:cs="Arial"/>
          <w:i/>
          <w:color w:val="auto"/>
          <w:sz w:val="20"/>
          <w:szCs w:val="20"/>
        </w:rPr>
        <w:t xml:space="preserve"> platensis</w:t>
      </w:r>
      <w:r>
        <w:rPr>
          <w:rFonts w:ascii="Arial" w:hAnsi="Arial" w:cs="Arial"/>
          <w:color w:val="auto"/>
          <w:sz w:val="20"/>
          <w:szCs w:val="20"/>
        </w:rPr>
        <w:t xml:space="preserve">) is a filamentous cyanobacterium widely cultivated for food-grade use. It is rich in bioactive components such as phycocyanin, carotenoids, phenolic compounds, and polyunsaturated fatty acids. These components have been reported to possess antioxidant, antimicrobial, antiviral, and anticancer properties (Al-Saily </w:t>
      </w:r>
      <w:r>
        <w:rPr>
          <w:rFonts w:ascii="Arial" w:hAnsi="Arial" w:cs="Arial"/>
          <w:i/>
          <w:color w:val="auto"/>
          <w:sz w:val="20"/>
          <w:szCs w:val="20"/>
        </w:rPr>
        <w:t>et al</w:t>
      </w:r>
      <w:r>
        <w:rPr>
          <w:rFonts w:ascii="Arial" w:hAnsi="Arial" w:cs="Arial"/>
          <w:color w:val="auto"/>
          <w:sz w:val="20"/>
          <w:szCs w:val="20"/>
        </w:rPr>
        <w:t>., 2024).</w:t>
      </w:r>
      <w:r w:rsidR="003D5219">
        <w:rPr>
          <w:rFonts w:ascii="Arial" w:hAnsi="Arial" w:cs="Arial"/>
          <w:color w:val="auto"/>
          <w:sz w:val="20"/>
          <w:szCs w:val="20"/>
        </w:rPr>
        <w:t xml:space="preserve"> </w:t>
      </w:r>
      <w:r>
        <w:rPr>
          <w:rFonts w:ascii="Arial" w:hAnsi="Arial"/>
          <w:b/>
          <w:sz w:val="20"/>
          <w:highlight w:val="yellow"/>
        </w:rPr>
        <w:tab/>
        <w:t xml:space="preserve">Earlier work on cultivated </w:t>
      </w:r>
      <w:r>
        <w:rPr>
          <w:rFonts w:ascii="Arial" w:hAnsi="Arial"/>
          <w:b/>
          <w:i/>
          <w:sz w:val="20"/>
          <w:highlight w:val="yellow"/>
        </w:rPr>
        <w:t>Spirulina platensis</w:t>
      </w:r>
      <w:r>
        <w:rPr>
          <w:rFonts w:ascii="Arial" w:hAnsi="Arial"/>
          <w:b/>
          <w:sz w:val="20"/>
          <w:highlight w:val="yellow"/>
        </w:rPr>
        <w:t xml:space="preserve"> also documented antioxidant and antibacterial properties of the resulting biomass (Torres et al., 2018).</w:t>
      </w:r>
    </w:p>
    <w:p w14:paraId="65F10A59" w14:textId="53AE7E36" w:rsidR="00BD5615" w:rsidRPr="003D5219" w:rsidRDefault="00000000">
      <w:pPr>
        <w:spacing w:before="80" w:after="40" w:line="276" w:lineRule="auto"/>
        <w:jc w:val="both"/>
        <w:rPr>
          <w:rFonts w:ascii="Arial" w:hAnsi="Arial" w:cs="Arial"/>
          <w:bCs/>
        </w:rPr>
      </w:pPr>
      <w:r>
        <w:rPr>
          <w:rFonts w:ascii="Arial" w:hAnsi="Arial"/>
          <w:b/>
          <w:highlight w:val="yellow"/>
        </w:rPr>
        <w:tab/>
      </w:r>
      <w:r w:rsidRPr="003D5219">
        <w:rPr>
          <w:rFonts w:ascii="Arial" w:hAnsi="Arial"/>
          <w:bCs/>
          <w:highlight w:val="yellow"/>
        </w:rPr>
        <w:t xml:space="preserve">A recent review describes antimicrobial activities associated with </w:t>
      </w:r>
      <w:proofErr w:type="spellStart"/>
      <w:r w:rsidRPr="003D5219">
        <w:rPr>
          <w:rFonts w:ascii="Arial" w:hAnsi="Arial"/>
          <w:bCs/>
          <w:i/>
          <w:highlight w:val="yellow"/>
        </w:rPr>
        <w:t>Arthrospira</w:t>
      </w:r>
      <w:proofErr w:type="spellEnd"/>
      <w:r w:rsidRPr="003D5219">
        <w:rPr>
          <w:rFonts w:ascii="Arial" w:hAnsi="Arial"/>
          <w:bCs/>
          <w:highlight w:val="yellow"/>
        </w:rPr>
        <w:t xml:space="preserve"> preparations and notes that the findings depend on the preparation used and the microorganisms assessed (Ilieva et al., 2024).</w:t>
      </w:r>
      <w:r w:rsidRPr="003D5219">
        <w:rPr>
          <w:rFonts w:ascii="Arial" w:hAnsi="Arial"/>
          <w:bCs/>
          <w:highlight w:val="yellow"/>
        </w:rPr>
        <w:tab/>
        <w:t xml:space="preserve">Comparative investigations of </w:t>
      </w:r>
      <w:r w:rsidRPr="003D5219">
        <w:rPr>
          <w:rFonts w:ascii="Arial" w:hAnsi="Arial"/>
          <w:bCs/>
          <w:i/>
          <w:highlight w:val="yellow"/>
        </w:rPr>
        <w:t>Spirulina platensis</w:t>
      </w:r>
      <w:r w:rsidRPr="003D5219">
        <w:rPr>
          <w:rFonts w:ascii="Arial" w:hAnsi="Arial"/>
          <w:bCs/>
          <w:highlight w:val="yellow"/>
        </w:rPr>
        <w:t xml:space="preserve"> have assessed the antioxidant and antimicrobial properties of ethanolic and polysaccharide extracts (Habibi et al., 2024).</w:t>
      </w:r>
      <w:r w:rsidR="003D5219" w:rsidRPr="003D5219">
        <w:rPr>
          <w:rFonts w:ascii="Arial" w:hAnsi="Arial"/>
          <w:bCs/>
          <w:highlight w:val="yellow"/>
        </w:rPr>
        <w:t xml:space="preserve"> </w:t>
      </w:r>
      <w:r w:rsidRPr="003D5219">
        <w:rPr>
          <w:rFonts w:ascii="Arial" w:hAnsi="Arial"/>
          <w:bCs/>
          <w:highlight w:val="yellow"/>
        </w:rPr>
        <w:tab/>
        <w:t xml:space="preserve">A study of clove extracts has similarly compared aqueous and ethanolic preparations for activity against </w:t>
      </w:r>
      <w:r w:rsidRPr="003D5219">
        <w:rPr>
          <w:rFonts w:ascii="Arial" w:hAnsi="Arial"/>
          <w:bCs/>
          <w:i/>
          <w:highlight w:val="yellow"/>
        </w:rPr>
        <w:t>Escherichia coli</w:t>
      </w:r>
      <w:r w:rsidRPr="003D5219">
        <w:rPr>
          <w:rFonts w:ascii="Arial" w:hAnsi="Arial"/>
          <w:bCs/>
          <w:highlight w:val="yellow"/>
        </w:rPr>
        <w:t xml:space="preserve"> and </w:t>
      </w:r>
      <w:r w:rsidRPr="003D5219">
        <w:rPr>
          <w:rFonts w:ascii="Arial" w:hAnsi="Arial"/>
          <w:bCs/>
          <w:i/>
          <w:highlight w:val="yellow"/>
        </w:rPr>
        <w:t>Pseudomonas aeruginosa</w:t>
      </w:r>
      <w:r w:rsidRPr="003D5219">
        <w:rPr>
          <w:rFonts w:ascii="Arial" w:hAnsi="Arial"/>
          <w:bCs/>
          <w:highlight w:val="yellow"/>
        </w:rPr>
        <w:t>, illustrating the use of solvent-based screening with bacterial species considered in the present study (Sunitha &amp; Lakshmi, 2025).</w:t>
      </w:r>
    </w:p>
    <w:p w14:paraId="6B26E3C7" w14:textId="77777777" w:rsidR="00426844" w:rsidRPr="00DD060A" w:rsidRDefault="00D53D05"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Spirulina extracts have demonstrated dose-dependent cytotoxicity against cancer cells, including hepatocellular carcinoma (HepG2), while exhibiting relatively low toxicity towards normal cells (Al-Saily </w:t>
      </w:r>
      <w:r>
        <w:rPr>
          <w:rFonts w:ascii="Arial" w:hAnsi="Arial" w:cs="Arial"/>
          <w:i/>
          <w:color w:val="auto"/>
          <w:sz w:val="20"/>
          <w:szCs w:val="20"/>
        </w:rPr>
        <w:t>et al</w:t>
      </w:r>
      <w:r>
        <w:rPr>
          <w:rFonts w:ascii="Arial" w:hAnsi="Arial" w:cs="Arial"/>
          <w:color w:val="auto"/>
          <w:sz w:val="20"/>
          <w:szCs w:val="20"/>
        </w:rPr>
        <w:t xml:space="preserve">., 2024; Fayyad </w:t>
      </w:r>
      <w:r>
        <w:rPr>
          <w:rFonts w:ascii="Arial" w:hAnsi="Arial" w:cs="Arial"/>
          <w:i/>
          <w:color w:val="auto"/>
          <w:sz w:val="20"/>
          <w:szCs w:val="20"/>
        </w:rPr>
        <w:t>et al</w:t>
      </w:r>
      <w:r>
        <w:rPr>
          <w:rFonts w:ascii="Arial" w:hAnsi="Arial" w:cs="Arial"/>
          <w:color w:val="auto"/>
          <w:sz w:val="20"/>
          <w:szCs w:val="20"/>
        </w:rPr>
        <w:t xml:space="preserve">., 2019). Furthermore, its antioxidant activity—largely attributed to pigments such as phycocyanin and carotenoids—provides evidence for considering Spirulina a natural bioactive resource capable of acting on various biological targets (Gabr </w:t>
      </w:r>
      <w:r>
        <w:rPr>
          <w:rFonts w:ascii="Arial" w:hAnsi="Arial" w:cs="Arial"/>
          <w:i/>
          <w:color w:val="auto"/>
          <w:sz w:val="20"/>
          <w:szCs w:val="20"/>
        </w:rPr>
        <w:t>et al</w:t>
      </w:r>
      <w:r>
        <w:rPr>
          <w:rFonts w:ascii="Arial" w:hAnsi="Arial" w:cs="Arial"/>
          <w:color w:val="auto"/>
          <w:sz w:val="20"/>
          <w:szCs w:val="20"/>
        </w:rPr>
        <w:t>., 2020;</w:t>
      </w:r>
      <w:r>
        <w:rPr>
          <w:rFonts w:ascii="Arial" w:hAnsi="Arial" w:cs="Arial"/>
          <w:sz w:val="20"/>
          <w:szCs w:val="20"/>
        </w:rPr>
        <w:t xml:space="preserve"> </w:t>
      </w:r>
      <w:r>
        <w:rPr>
          <w:rFonts w:ascii="Arial" w:hAnsi="Arial" w:cs="Arial"/>
          <w:color w:val="auto"/>
          <w:sz w:val="20"/>
          <w:szCs w:val="20"/>
        </w:rPr>
        <w:t xml:space="preserve">Girgenti </w:t>
      </w:r>
      <w:r>
        <w:rPr>
          <w:rFonts w:ascii="Arial" w:hAnsi="Arial" w:cs="Arial"/>
          <w:i/>
          <w:color w:val="auto"/>
          <w:sz w:val="20"/>
          <w:szCs w:val="20"/>
        </w:rPr>
        <w:t>et al</w:t>
      </w:r>
      <w:r>
        <w:rPr>
          <w:rFonts w:ascii="Arial" w:hAnsi="Arial" w:cs="Arial"/>
          <w:color w:val="auto"/>
          <w:sz w:val="20"/>
          <w:szCs w:val="20"/>
        </w:rPr>
        <w:t>., 2026).</w:t>
      </w:r>
    </w:p>
    <w:p w14:paraId="4DFD3544" w14:textId="77777777" w:rsidR="00426844" w:rsidRPr="00DD060A" w:rsidRDefault="00D53D05"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However, there is a scarcity of direct studies evaluating food-grade Spirulina biomass obtained from local commercial producers against foodborne drug-resistant pathogens—specifically ESBL-producing strains isolated from meat (Clemente </w:t>
      </w:r>
      <w:r>
        <w:rPr>
          <w:rFonts w:ascii="Arial" w:hAnsi="Arial" w:cs="Arial"/>
          <w:i/>
          <w:color w:val="auto"/>
          <w:sz w:val="20"/>
          <w:szCs w:val="20"/>
        </w:rPr>
        <w:t>et al</w:t>
      </w:r>
      <w:r>
        <w:rPr>
          <w:rFonts w:ascii="Arial" w:hAnsi="Arial" w:cs="Arial"/>
          <w:color w:val="auto"/>
          <w:sz w:val="20"/>
          <w:szCs w:val="20"/>
        </w:rPr>
        <w:t xml:space="preserve">., 2021). Furthermore, studies simultaneously evaluating its antioxidant and anticancer (HepG2) activities are also limited. Therefore, it is essential to systematically </w:t>
      </w:r>
      <w:r>
        <w:rPr>
          <w:rFonts w:ascii="Arial" w:hAnsi="Arial" w:cs="Arial"/>
          <w:color w:val="auto"/>
          <w:sz w:val="20"/>
          <w:szCs w:val="20"/>
          <w:highlight w:val="yellow"/>
        </w:rPr>
        <w:t>analyse</w:t>
      </w:r>
      <w:r>
        <w:rPr>
          <w:rFonts w:ascii="Arial" w:hAnsi="Arial" w:cs="Arial"/>
          <w:color w:val="auto"/>
          <w:sz w:val="20"/>
          <w:szCs w:val="20"/>
        </w:rPr>
        <w:t xml:space="preserve"> food-grade Spirulina biomass obtained from a local source and evaluate its in vitro antimicrobial activity against selected foodborne pathogens—specifically ESBL-producing strains derived </w:t>
      </w:r>
      <w:r>
        <w:rPr>
          <w:rFonts w:ascii="Arial" w:hAnsi="Arial" w:cs="Arial"/>
          <w:color w:val="auto"/>
          <w:sz w:val="20"/>
          <w:szCs w:val="20"/>
        </w:rPr>
        <w:lastRenderedPageBreak/>
        <w:t xml:space="preserve">from meat—as well as its antioxidant capacity and anticancer activity against HepG2 cells. Such a study </w:t>
      </w:r>
      <w:r>
        <w:rPr>
          <w:rFonts w:ascii="Arial" w:hAnsi="Arial" w:cs="Arial"/>
          <w:color w:val="auto"/>
          <w:sz w:val="20"/>
          <w:szCs w:val="20"/>
          <w:highlight w:val="yellow"/>
        </w:rPr>
        <w:t>may</w:t>
      </w:r>
      <w:r>
        <w:rPr>
          <w:rFonts w:ascii="Arial" w:hAnsi="Arial" w:cs="Arial"/>
          <w:color w:val="auto"/>
          <w:sz w:val="20"/>
          <w:szCs w:val="20"/>
        </w:rPr>
        <w:t xml:space="preserve"> help generate scientific evidence regarding the potential of Spirulina as a natural bioactive resource capable of addressing two major health challenges: the foodborne AMR crisis and drug-resistant liver cancer.</w:t>
      </w:r>
    </w:p>
    <w:p w14:paraId="05F141CE" w14:textId="77777777" w:rsidR="00BD5615" w:rsidRDefault="00000000">
      <w:pPr>
        <w:spacing w:before="80" w:after="40" w:line="276" w:lineRule="auto"/>
        <w:jc w:val="both"/>
        <w:rPr>
          <w:rFonts w:ascii="Arial" w:hAnsi="Arial" w:cs="Arial"/>
        </w:rPr>
      </w:pPr>
      <w:r>
        <w:rPr>
          <w:rFonts w:ascii="Arial" w:hAnsi="Arial"/>
          <w:b/>
          <w:highlight w:val="yellow"/>
        </w:rPr>
        <w:tab/>
        <w:t xml:space="preserve">Objective of the study: </w:t>
      </w:r>
      <w:r w:rsidRPr="00591EBA">
        <w:rPr>
          <w:rFonts w:ascii="Arial" w:hAnsi="Arial"/>
          <w:bCs/>
          <w:highlight w:val="yellow"/>
        </w:rPr>
        <w:t xml:space="preserve">To characterise meat-derived bacterial isolates for ESBL production and biofilm formation and to evaluate the phytochemical profile, antibacterial activity, DPPH radical-scavenging activity, and in vitro effects on HepG2 and VERO cells of locally sourced </w:t>
      </w:r>
      <w:proofErr w:type="spellStart"/>
      <w:r w:rsidRPr="00591EBA">
        <w:rPr>
          <w:rFonts w:ascii="Arial" w:hAnsi="Arial"/>
          <w:bCs/>
          <w:i/>
          <w:highlight w:val="yellow"/>
        </w:rPr>
        <w:t>Arthrospira</w:t>
      </w:r>
      <w:proofErr w:type="spellEnd"/>
      <w:r w:rsidRPr="00591EBA">
        <w:rPr>
          <w:rFonts w:ascii="Arial" w:hAnsi="Arial"/>
          <w:bCs/>
          <w:i/>
          <w:highlight w:val="yellow"/>
        </w:rPr>
        <w:t xml:space="preserve"> platensis</w:t>
      </w:r>
      <w:r w:rsidRPr="00591EBA">
        <w:rPr>
          <w:rFonts w:ascii="Arial" w:hAnsi="Arial"/>
          <w:bCs/>
          <w:highlight w:val="yellow"/>
        </w:rPr>
        <w:t xml:space="preserve"> extracts.</w:t>
      </w:r>
    </w:p>
    <w:p w14:paraId="137635FC" w14:textId="77777777" w:rsidR="0063486B" w:rsidRPr="00DD060A" w:rsidRDefault="0063486B" w:rsidP="009C4B48">
      <w:pPr>
        <w:pStyle w:val="Heading1"/>
        <w:spacing w:before="240" w:line="276" w:lineRule="auto"/>
        <w:jc w:val="both"/>
        <w:rPr>
          <w:rFonts w:ascii="Arial" w:hAnsi="Arial" w:cs="Arial"/>
          <w:color w:val="auto"/>
          <w:sz w:val="20"/>
          <w:szCs w:val="20"/>
        </w:rPr>
      </w:pPr>
    </w:p>
    <w:p w14:paraId="3901B63A" w14:textId="77777777" w:rsidR="0063486B" w:rsidRPr="00DD060A" w:rsidRDefault="0063486B" w:rsidP="009C4B48">
      <w:pPr>
        <w:pStyle w:val="Heading1"/>
        <w:spacing w:before="240" w:line="276" w:lineRule="auto"/>
        <w:jc w:val="both"/>
        <w:rPr>
          <w:rFonts w:ascii="Arial" w:hAnsi="Arial" w:cs="Arial"/>
          <w:color w:val="auto"/>
          <w:sz w:val="20"/>
          <w:szCs w:val="20"/>
        </w:rPr>
      </w:pPr>
    </w:p>
    <w:p w14:paraId="11B892F5" w14:textId="77777777" w:rsidR="0063486B" w:rsidRPr="00DD060A" w:rsidRDefault="0063486B" w:rsidP="009C4B48">
      <w:pPr>
        <w:pStyle w:val="Heading1"/>
        <w:spacing w:before="240" w:line="276" w:lineRule="auto"/>
        <w:jc w:val="both"/>
        <w:rPr>
          <w:rFonts w:ascii="Arial" w:hAnsi="Arial" w:cs="Arial"/>
          <w:color w:val="auto"/>
          <w:sz w:val="20"/>
          <w:szCs w:val="20"/>
        </w:rPr>
      </w:pPr>
    </w:p>
    <w:p w14:paraId="70EA8A35" w14:textId="77777777" w:rsidR="001A455B" w:rsidRPr="00DD060A" w:rsidRDefault="00FB206B" w:rsidP="009C4B48">
      <w:pPr>
        <w:pStyle w:val="Heading1"/>
        <w:spacing w:before="240" w:line="276" w:lineRule="auto"/>
        <w:jc w:val="both"/>
        <w:rPr>
          <w:rFonts w:ascii="Arial" w:hAnsi="Arial" w:cs="Arial"/>
          <w:b/>
          <w:color w:val="auto"/>
          <w:sz w:val="22"/>
          <w:szCs w:val="22"/>
        </w:rPr>
      </w:pPr>
      <w:r>
        <w:rPr>
          <w:rFonts w:ascii="Arial" w:hAnsi="Arial" w:cs="Arial"/>
          <w:b/>
          <w:color w:val="auto"/>
          <w:sz w:val="22"/>
          <w:szCs w:val="22"/>
        </w:rPr>
        <w:t>2. Materials and methods</w:t>
      </w:r>
    </w:p>
    <w:p w14:paraId="70C4FED9" w14:textId="77777777" w:rsidR="001A455B" w:rsidRPr="00DD060A" w:rsidRDefault="00FB206B" w:rsidP="009C4B48">
      <w:pPr>
        <w:pStyle w:val="PlainText"/>
        <w:spacing w:before="240" w:line="276" w:lineRule="auto"/>
        <w:jc w:val="both"/>
        <w:rPr>
          <w:rFonts w:ascii="Arial" w:hAnsi="Arial" w:cs="Arial"/>
          <w:sz w:val="20"/>
          <w:szCs w:val="20"/>
        </w:rPr>
      </w:pPr>
      <w:r>
        <w:rPr>
          <w:rStyle w:val="Strong"/>
          <w:rFonts w:ascii="Arial" w:hAnsi="Arial" w:cs="Arial"/>
          <w:sz w:val="20"/>
          <w:szCs w:val="20"/>
        </w:rPr>
        <w:t>2.1 Isolation of bacterial pathogens from meat samples</w:t>
      </w:r>
    </w:p>
    <w:p w14:paraId="5071C4BD" w14:textId="77777777" w:rsidR="001A455B" w:rsidRPr="00DD060A" w:rsidRDefault="00BC014A"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Nine fresh meat samples, comprising chicken (n = 3), goat meat (n = 3), and fish (n = 3), were aseptically collected and transported to the laboratory in an icebox. Approximately 1 g of each sample was aseptically minced, serially diluted, and inoculated into nutrient broth, followed by incubation for 24 h. The enriched cultures were subsequently streaked onto nutrient agar (NA) plates for the isolation of individual bacterial colonies. The isolates were maintained on NA slants at 4 °C until further analysis. Preliminary identification was performed based on colony morphology, cellular morphology, and Gram staining, followed by biochemical </w:t>
      </w:r>
      <w:r>
        <w:rPr>
          <w:rFonts w:ascii="Arial" w:hAnsi="Arial" w:cs="Arial"/>
          <w:color w:val="auto"/>
          <w:sz w:val="20"/>
          <w:szCs w:val="20"/>
          <w:highlight w:val="yellow"/>
        </w:rPr>
        <w:t>characterisation</w:t>
      </w:r>
      <w:r>
        <w:rPr>
          <w:rFonts w:ascii="Arial" w:hAnsi="Arial" w:cs="Arial"/>
          <w:color w:val="auto"/>
          <w:sz w:val="20"/>
          <w:szCs w:val="20"/>
        </w:rPr>
        <w:t xml:space="preserve"> using selective and chromogenic media. The isolates were identified according to the procedures described by Holt </w:t>
      </w:r>
      <w:r>
        <w:rPr>
          <w:rStyle w:val="Emphasis"/>
          <w:rFonts w:ascii="Arial" w:hAnsi="Arial" w:cs="Arial"/>
          <w:color w:val="auto"/>
          <w:sz w:val="20"/>
          <w:szCs w:val="20"/>
        </w:rPr>
        <w:t>et al.</w:t>
      </w:r>
      <w:r>
        <w:rPr>
          <w:rFonts w:ascii="Arial" w:hAnsi="Arial" w:cs="Arial"/>
          <w:color w:val="auto"/>
          <w:sz w:val="20"/>
          <w:szCs w:val="20"/>
        </w:rPr>
        <w:t xml:space="preserve"> </w:t>
      </w:r>
      <w:r>
        <w:rPr>
          <w:rFonts w:ascii="Arial" w:hAnsi="Arial" w:cs="Arial"/>
          <w:color w:val="auto"/>
          <w:sz w:val="20"/>
          <w:szCs w:val="20"/>
          <w:highlight w:val="yellow"/>
        </w:rPr>
        <w:t xml:space="preserve">(1994) </w:t>
      </w:r>
      <w:r>
        <w:rPr>
          <w:rFonts w:ascii="Arial" w:hAnsi="Arial" w:cs="Arial"/>
          <w:color w:val="auto"/>
          <w:sz w:val="20"/>
          <w:szCs w:val="20"/>
        </w:rPr>
        <w:t xml:space="preserve">in </w:t>
      </w:r>
      <w:r>
        <w:rPr>
          <w:rStyle w:val="Emphasis"/>
          <w:rFonts w:ascii="Arial" w:hAnsi="Arial" w:cs="Arial"/>
          <w:color w:val="auto"/>
          <w:sz w:val="20"/>
          <w:szCs w:val="20"/>
        </w:rPr>
        <w:t>Bergey’s Manual of Determinative Bacteriology</w:t>
      </w:r>
      <w:r>
        <w:rPr>
          <w:rFonts w:ascii="Arial" w:hAnsi="Arial" w:cs="Arial"/>
          <w:color w:val="auto"/>
          <w:sz w:val="20"/>
          <w:szCs w:val="20"/>
        </w:rPr>
        <w:t>.</w:t>
      </w:r>
    </w:p>
    <w:p w14:paraId="379574E1" w14:textId="77777777" w:rsidR="00BC014A" w:rsidRPr="00DD060A" w:rsidRDefault="00FB206B" w:rsidP="009C4B48">
      <w:pPr>
        <w:pStyle w:val="Heading1"/>
        <w:spacing w:before="240" w:line="276" w:lineRule="auto"/>
        <w:jc w:val="both"/>
        <w:rPr>
          <w:rFonts w:ascii="Arial" w:hAnsi="Arial" w:cs="Arial"/>
          <w:b/>
          <w:color w:val="auto"/>
          <w:sz w:val="20"/>
          <w:szCs w:val="20"/>
        </w:rPr>
      </w:pPr>
      <w:r>
        <w:rPr>
          <w:rFonts w:ascii="Arial" w:hAnsi="Arial" w:cs="Arial"/>
          <w:b/>
          <w:color w:val="auto"/>
          <w:sz w:val="20"/>
          <w:szCs w:val="20"/>
        </w:rPr>
        <w:t>2.2 Isolation of ESBL</w:t>
      </w:r>
      <w:r>
        <w:rPr>
          <w:rFonts w:ascii="Arial" w:hAnsi="Arial" w:cs="Arial"/>
          <w:b/>
          <w:color w:val="auto"/>
          <w:sz w:val="20"/>
          <w:szCs w:val="20"/>
          <w:highlight w:val="yellow"/>
        </w:rPr>
        <w:t>-</w:t>
      </w:r>
      <w:r>
        <w:rPr>
          <w:rFonts w:ascii="Arial" w:hAnsi="Arial" w:cs="Arial"/>
          <w:b/>
          <w:color w:val="auto"/>
          <w:sz w:val="20"/>
          <w:szCs w:val="20"/>
        </w:rPr>
        <w:t>producing isolates</w:t>
      </w:r>
    </w:p>
    <w:p w14:paraId="7BB1BCFE" w14:textId="77777777" w:rsidR="00BC014A" w:rsidRPr="00DD060A" w:rsidRDefault="00BC014A"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ESBL production was detected using the combination </w:t>
      </w:r>
      <w:r>
        <w:rPr>
          <w:rFonts w:ascii="Arial" w:hAnsi="Arial" w:cs="Arial"/>
          <w:color w:val="auto"/>
          <w:sz w:val="20"/>
          <w:szCs w:val="20"/>
          <w:highlight w:val="yellow"/>
        </w:rPr>
        <w:t>disc</w:t>
      </w:r>
      <w:r>
        <w:rPr>
          <w:rFonts w:ascii="Arial" w:hAnsi="Arial" w:cs="Arial"/>
          <w:color w:val="auto"/>
          <w:sz w:val="20"/>
          <w:szCs w:val="20"/>
        </w:rPr>
        <w:t xml:space="preserve"> test with ceftazidime (30 µg) alone and ceftazidime (30 µg) in combination with clavulanic acid (30/10 µg). A bacterial suspension adjusted to 0.5 McFarland turbidity was prepared from each test isolate and uniformly inoculated onto Mueller–Hinton agar (MHA) plates to obtain a lawn culture. Ceftazidime (CAZ) and ceftazidime–clavulanic acid (CAC) </w:t>
      </w:r>
      <w:r>
        <w:rPr>
          <w:rFonts w:ascii="Arial" w:hAnsi="Arial" w:cs="Arial"/>
          <w:color w:val="auto"/>
          <w:sz w:val="20"/>
          <w:szCs w:val="20"/>
          <w:highlight w:val="yellow"/>
        </w:rPr>
        <w:t>discs</w:t>
      </w:r>
      <w:r>
        <w:rPr>
          <w:rFonts w:ascii="Arial" w:hAnsi="Arial" w:cs="Arial"/>
          <w:color w:val="auto"/>
          <w:sz w:val="20"/>
          <w:szCs w:val="20"/>
        </w:rPr>
        <w:t xml:space="preserve"> were then placed on the inoculated MHA surface and incubated under the appropriate conditions. An increase of ≥5 mm in the inhibition zone diameter around the CAC </w:t>
      </w:r>
      <w:r>
        <w:rPr>
          <w:rFonts w:ascii="Arial" w:hAnsi="Arial" w:cs="Arial"/>
          <w:color w:val="auto"/>
          <w:sz w:val="20"/>
          <w:szCs w:val="20"/>
          <w:highlight w:val="yellow"/>
        </w:rPr>
        <w:t>disc</w:t>
      </w:r>
      <w:r>
        <w:rPr>
          <w:rFonts w:ascii="Arial" w:hAnsi="Arial" w:cs="Arial"/>
          <w:color w:val="auto"/>
          <w:sz w:val="20"/>
          <w:szCs w:val="20"/>
        </w:rPr>
        <w:t xml:space="preserve"> compared with the CAZ </w:t>
      </w:r>
      <w:r>
        <w:rPr>
          <w:rFonts w:ascii="Arial" w:hAnsi="Arial" w:cs="Arial"/>
          <w:color w:val="auto"/>
          <w:sz w:val="20"/>
          <w:szCs w:val="20"/>
          <w:highlight w:val="yellow"/>
        </w:rPr>
        <w:t>disc</w:t>
      </w:r>
      <w:r>
        <w:rPr>
          <w:rFonts w:ascii="Arial" w:hAnsi="Arial" w:cs="Arial"/>
          <w:color w:val="auto"/>
          <w:sz w:val="20"/>
          <w:szCs w:val="20"/>
        </w:rPr>
        <w:t xml:space="preserve"> alone was interpreted as indicative of ESBL production (</w:t>
      </w:r>
      <w:r>
        <w:rPr>
          <w:rFonts w:ascii="Arial" w:hAnsi="Arial" w:cs="Arial"/>
          <w:color w:val="000000"/>
          <w:sz w:val="20"/>
          <w:szCs w:val="20"/>
          <w:shd w:val="clear" w:color="auto" w:fill="FFFFFF"/>
        </w:rPr>
        <w:t xml:space="preserve">Wadekar </w:t>
      </w:r>
      <w:r>
        <w:rPr>
          <w:rFonts w:ascii="Arial" w:hAnsi="Arial" w:cs="Arial"/>
          <w:i/>
          <w:color w:val="000000"/>
          <w:sz w:val="20"/>
          <w:szCs w:val="20"/>
          <w:shd w:val="clear" w:color="auto" w:fill="FFFFFF"/>
        </w:rPr>
        <w:t>et al</w:t>
      </w:r>
      <w:r>
        <w:rPr>
          <w:rFonts w:ascii="Arial" w:hAnsi="Arial" w:cs="Arial"/>
          <w:color w:val="000000"/>
          <w:sz w:val="20"/>
          <w:szCs w:val="20"/>
          <w:shd w:val="clear" w:color="auto" w:fill="FFFFFF"/>
        </w:rPr>
        <w:t>., 2020</w:t>
      </w:r>
      <w:r>
        <w:rPr>
          <w:rFonts w:ascii="Arial" w:hAnsi="Arial" w:cs="Arial"/>
          <w:color w:val="auto"/>
          <w:sz w:val="20"/>
          <w:szCs w:val="20"/>
        </w:rPr>
        <w:t>).</w:t>
      </w:r>
    </w:p>
    <w:p w14:paraId="6CAC53A2" w14:textId="77777777" w:rsidR="008C0D6B" w:rsidRPr="00DD060A" w:rsidRDefault="00FB206B" w:rsidP="009C4B48">
      <w:pPr>
        <w:pStyle w:val="Heading1"/>
        <w:spacing w:before="240" w:line="276" w:lineRule="auto"/>
        <w:jc w:val="both"/>
        <w:rPr>
          <w:rFonts w:ascii="Arial" w:hAnsi="Arial" w:cs="Arial"/>
          <w:b/>
          <w:color w:val="auto"/>
          <w:sz w:val="20"/>
          <w:szCs w:val="20"/>
        </w:rPr>
      </w:pPr>
      <w:r>
        <w:rPr>
          <w:rFonts w:ascii="Arial" w:hAnsi="Arial" w:cs="Arial"/>
          <w:b/>
          <w:color w:val="auto"/>
          <w:sz w:val="20"/>
          <w:szCs w:val="20"/>
        </w:rPr>
        <w:t>2.3 Isolation of biofilm</w:t>
      </w:r>
      <w:r>
        <w:rPr>
          <w:rFonts w:ascii="Arial" w:hAnsi="Arial" w:cs="Arial"/>
          <w:b/>
          <w:color w:val="auto"/>
          <w:sz w:val="20"/>
          <w:szCs w:val="20"/>
          <w:highlight w:val="yellow"/>
        </w:rPr>
        <w:t>-</w:t>
      </w:r>
      <w:r>
        <w:rPr>
          <w:rFonts w:ascii="Arial" w:hAnsi="Arial" w:cs="Arial"/>
          <w:b/>
          <w:color w:val="auto"/>
          <w:sz w:val="20"/>
          <w:szCs w:val="20"/>
        </w:rPr>
        <w:t>producing isolates</w:t>
      </w:r>
    </w:p>
    <w:p w14:paraId="2A115554" w14:textId="77777777" w:rsidR="008C0D6B" w:rsidRPr="00DD060A" w:rsidRDefault="008C0D6B" w:rsidP="009C4B48">
      <w:pPr>
        <w:pStyle w:val="Heading1"/>
        <w:spacing w:before="240" w:line="276" w:lineRule="auto"/>
        <w:jc w:val="both"/>
        <w:rPr>
          <w:rFonts w:ascii="Arial" w:hAnsi="Arial" w:cs="Arial"/>
          <w:color w:val="auto"/>
          <w:sz w:val="20"/>
          <w:szCs w:val="20"/>
        </w:rPr>
      </w:pPr>
      <w:r>
        <w:rPr>
          <w:rFonts w:ascii="Arial" w:hAnsi="Arial" w:cs="Arial"/>
          <w:color w:val="auto"/>
          <w:sz w:val="20"/>
          <w:szCs w:val="20"/>
        </w:rPr>
        <w:tab/>
        <w:t xml:space="preserve">Congo Red Agar (CRA) was prepared using brain heart infusion (BHI) broth (37 g/L), sucrose (50 g/L), agar (15 g/L), and Congo red dye (0.8 g/L). The medium, excluding the Congo red dye, was </w:t>
      </w:r>
      <w:r>
        <w:rPr>
          <w:rFonts w:ascii="Arial" w:hAnsi="Arial" w:cs="Arial"/>
          <w:color w:val="auto"/>
          <w:sz w:val="20"/>
          <w:szCs w:val="20"/>
          <w:highlight w:val="yellow"/>
        </w:rPr>
        <w:t>sterilised</w:t>
      </w:r>
      <w:r>
        <w:rPr>
          <w:rFonts w:ascii="Arial" w:hAnsi="Arial" w:cs="Arial"/>
          <w:color w:val="auto"/>
          <w:sz w:val="20"/>
          <w:szCs w:val="20"/>
        </w:rPr>
        <w:t xml:space="preserve"> by autoclaving at 121 °C for 15 min. After cooling to approximately 55 °C, the sterile Congo red dye was aseptically added, and the medium was poured into sterile Petri plates and allowed to solidify. The test organisms were grown overnight in 5 mL of Tryptic Soy Broth (TSB), and the cultures were subsequently streaked onto CRA plates using sterile inoculating loops. The inoculated plates were incubated at 37 °C for 24 h, after which colony morphology and pigmentation were examined. Isolates exhibiting black, dry, rough, and crystalline colonies were considered biofilm producers, whereas isolates producing smooth colonies with orange, red, or pink pigmentation were considered non-biofilm producers (Turu and Canli, 2025).</w:t>
      </w:r>
    </w:p>
    <w:p w14:paraId="76034B82" w14:textId="77777777" w:rsidR="00BC014A" w:rsidRPr="00DD060A" w:rsidRDefault="00FB206B" w:rsidP="009C4B48">
      <w:pPr>
        <w:pStyle w:val="NormalWeb"/>
        <w:spacing w:before="240" w:beforeAutospacing="0" w:after="0" w:afterAutospacing="0" w:line="276" w:lineRule="auto"/>
        <w:jc w:val="both"/>
        <w:rPr>
          <w:rFonts w:ascii="Arial" w:hAnsi="Arial" w:cs="Arial"/>
          <w:sz w:val="20"/>
          <w:szCs w:val="20"/>
        </w:rPr>
      </w:pPr>
      <w:r>
        <w:rPr>
          <w:rFonts w:ascii="Arial" w:hAnsi="Arial" w:cs="Arial"/>
          <w:b/>
          <w:sz w:val="20"/>
          <w:szCs w:val="20"/>
        </w:rPr>
        <w:lastRenderedPageBreak/>
        <w:t xml:space="preserve">2.4 Collection of </w:t>
      </w:r>
      <w:proofErr w:type="spellStart"/>
      <w:proofErr w:type="gramStart"/>
      <w:r>
        <w:rPr>
          <w:rStyle w:val="Emphasis"/>
          <w:rFonts w:ascii="Arial" w:hAnsi="Arial" w:cs="Arial"/>
          <w:b/>
          <w:sz w:val="20"/>
          <w:szCs w:val="20"/>
        </w:rPr>
        <w:t>Arthrospira</w:t>
      </w:r>
      <w:proofErr w:type="spellEnd"/>
      <w:r>
        <w:rPr>
          <w:rStyle w:val="Emphasis"/>
          <w:rFonts w:ascii="Arial" w:hAnsi="Arial" w:cs="Arial"/>
          <w:b/>
          <w:sz w:val="20"/>
          <w:szCs w:val="20"/>
        </w:rPr>
        <w:t xml:space="preserve">  platensis</w:t>
      </w:r>
      <w:proofErr w:type="gramEnd"/>
      <w:r>
        <w:rPr>
          <w:rFonts w:ascii="Arial" w:hAnsi="Arial" w:cs="Arial"/>
          <w:b/>
          <w:sz w:val="20"/>
          <w:szCs w:val="20"/>
        </w:rPr>
        <w:t xml:space="preserve"> (Spirulina) and </w:t>
      </w:r>
      <w:r>
        <w:rPr>
          <w:rStyle w:val="Strong"/>
          <w:rFonts w:ascii="Arial" w:hAnsi="Arial" w:cs="Arial"/>
          <w:sz w:val="20"/>
          <w:szCs w:val="20"/>
        </w:rPr>
        <w:t xml:space="preserve">Preparation </w:t>
      </w:r>
      <w:r>
        <w:rPr>
          <w:rStyle w:val="Strong"/>
          <w:rFonts w:ascii="Arial" w:hAnsi="Arial" w:cs="Arial"/>
          <w:sz w:val="20"/>
          <w:szCs w:val="20"/>
          <w:highlight w:val="yellow"/>
        </w:rPr>
        <w:t>of Extracts</w:t>
      </w:r>
    </w:p>
    <w:p w14:paraId="7774ABD1" w14:textId="77777777" w:rsidR="000E4E77" w:rsidRPr="00DD060A" w:rsidRDefault="004F0256" w:rsidP="009C4B48">
      <w:pPr>
        <w:pStyle w:val="Heading1"/>
        <w:spacing w:before="240" w:line="276" w:lineRule="auto"/>
        <w:jc w:val="both"/>
        <w:rPr>
          <w:rStyle w:val="Emphasis"/>
          <w:rFonts w:ascii="Arial" w:hAnsi="Arial" w:cs="Arial"/>
          <w:color w:val="auto"/>
          <w:sz w:val="20"/>
          <w:szCs w:val="20"/>
        </w:rPr>
      </w:pPr>
      <w:r>
        <w:rPr>
          <w:rStyle w:val="Emphasis"/>
          <w:rFonts w:ascii="Arial" w:hAnsi="Arial" w:cs="Arial"/>
          <w:color w:val="auto"/>
          <w:sz w:val="20"/>
          <w:szCs w:val="20"/>
        </w:rPr>
        <w:tab/>
      </w:r>
      <w:proofErr w:type="spellStart"/>
      <w:r>
        <w:rPr>
          <w:rStyle w:val="Emphasis"/>
          <w:rFonts w:ascii="Arial" w:hAnsi="Arial" w:cs="Arial"/>
          <w:color w:val="auto"/>
          <w:sz w:val="20"/>
          <w:szCs w:val="20"/>
        </w:rPr>
        <w:t>Arthrospira</w:t>
      </w:r>
      <w:proofErr w:type="spellEnd"/>
      <w:r>
        <w:rPr>
          <w:rStyle w:val="Emphasis"/>
          <w:rFonts w:ascii="Arial" w:hAnsi="Arial" w:cs="Arial"/>
          <w:color w:val="auto"/>
          <w:sz w:val="20"/>
          <w:szCs w:val="20"/>
        </w:rPr>
        <w:t xml:space="preserve"> platensis (Spirulina) </w:t>
      </w:r>
      <w:r>
        <w:rPr>
          <w:rStyle w:val="Emphasis"/>
          <w:rFonts w:ascii="Arial" w:hAnsi="Arial" w:cs="Arial"/>
          <w:i w:val="0"/>
          <w:color w:val="auto"/>
          <w:sz w:val="20"/>
          <w:szCs w:val="20"/>
        </w:rPr>
        <w:t xml:space="preserve">biomass was obtained from a commercial Spirulina production unit located in Puducherry, India. Twenty grams of dried Spirulina biomass powder was extracted separately with 100 mL of ethanol and distilled water by maceration at room temperature with intermittent shaking for </w:t>
      </w:r>
      <w:r>
        <w:rPr>
          <w:rStyle w:val="Emphasis"/>
          <w:rFonts w:ascii="Arial" w:hAnsi="Arial" w:cs="Arial"/>
          <w:i w:val="0"/>
          <w:color w:val="auto"/>
          <w:sz w:val="20"/>
          <w:szCs w:val="20"/>
          <w:highlight w:val="yellow"/>
        </w:rPr>
        <w:t>four</w:t>
      </w:r>
      <w:r>
        <w:rPr>
          <w:rStyle w:val="Emphasis"/>
          <w:rFonts w:ascii="Arial" w:hAnsi="Arial" w:cs="Arial"/>
          <w:i w:val="0"/>
          <w:color w:val="auto"/>
          <w:sz w:val="20"/>
          <w:szCs w:val="20"/>
        </w:rPr>
        <w:t xml:space="preserve"> days. Following the extraction period, the extracts were filtered through Whatman No. 1 filter paper, and the resulting filtrates were concentrated to dryness using a vacuum dryer at 40°C. The dried crude extracts were weighed to determine the extraction yield, dissolved in DMSO and stored at −20 °C in sterile airtight containers until further analysis (Sreelatha &amp; Padma, 2009).</w:t>
      </w:r>
    </w:p>
    <w:p w14:paraId="51F058DA" w14:textId="77777777" w:rsidR="00C82A64" w:rsidRPr="00DD060A" w:rsidRDefault="00FB206B" w:rsidP="009C4B48">
      <w:pPr>
        <w:pStyle w:val="Heading1"/>
        <w:spacing w:before="240" w:line="276" w:lineRule="auto"/>
        <w:jc w:val="both"/>
        <w:rPr>
          <w:rFonts w:ascii="Arial" w:hAnsi="Arial" w:cs="Arial"/>
          <w:b/>
          <w:color w:val="auto"/>
          <w:sz w:val="20"/>
          <w:szCs w:val="20"/>
        </w:rPr>
      </w:pPr>
      <w:r>
        <w:rPr>
          <w:rFonts w:ascii="Arial" w:hAnsi="Arial" w:cs="Arial"/>
          <w:b/>
          <w:color w:val="auto"/>
          <w:sz w:val="20"/>
          <w:szCs w:val="20"/>
        </w:rPr>
        <w:t xml:space="preserve">2.5 Preliminary phytochemical analysis </w:t>
      </w:r>
      <w:r>
        <w:rPr>
          <w:rFonts w:ascii="Arial" w:hAnsi="Arial" w:cs="Arial"/>
          <w:b/>
          <w:color w:val="auto"/>
          <w:sz w:val="20"/>
          <w:szCs w:val="20"/>
          <w:highlight w:val="yellow"/>
        </w:rPr>
        <w:t>of</w:t>
      </w:r>
      <w:r>
        <w:rPr>
          <w:rFonts w:ascii="Arial" w:hAnsi="Arial" w:cs="Arial"/>
          <w:b/>
          <w:color w:val="auto"/>
          <w:sz w:val="20"/>
          <w:szCs w:val="20"/>
        </w:rPr>
        <w:t xml:space="preserve"> </w:t>
      </w:r>
      <w:proofErr w:type="spellStart"/>
      <w:r>
        <w:rPr>
          <w:rStyle w:val="Emphasis"/>
          <w:rFonts w:ascii="Arial" w:hAnsi="Arial" w:cs="Arial"/>
          <w:b/>
          <w:color w:val="auto"/>
          <w:sz w:val="20"/>
          <w:szCs w:val="20"/>
        </w:rPr>
        <w:t>Arthrospira</w:t>
      </w:r>
      <w:proofErr w:type="spellEnd"/>
      <w:r>
        <w:rPr>
          <w:rStyle w:val="Emphasis"/>
          <w:rFonts w:ascii="Arial" w:hAnsi="Arial" w:cs="Arial"/>
          <w:b/>
          <w:color w:val="auto"/>
          <w:sz w:val="20"/>
          <w:szCs w:val="20"/>
        </w:rPr>
        <w:t xml:space="preserve"> platensis</w:t>
      </w:r>
    </w:p>
    <w:p w14:paraId="0C8D7AA4" w14:textId="77777777" w:rsidR="00F42009" w:rsidRPr="00DD060A" w:rsidRDefault="004F2535" w:rsidP="009C4B48">
      <w:pPr>
        <w:pStyle w:val="Heading1"/>
        <w:shd w:val="clear" w:color="auto" w:fill="FFFFFF" w:themeFill="background1"/>
        <w:spacing w:before="240" w:line="276" w:lineRule="auto"/>
        <w:jc w:val="both"/>
        <w:rPr>
          <w:rFonts w:ascii="Arial" w:hAnsi="Arial" w:cs="Arial"/>
          <w:color w:val="auto"/>
          <w:sz w:val="20"/>
          <w:szCs w:val="20"/>
        </w:rPr>
      </w:pPr>
      <w:r>
        <w:rPr>
          <w:rFonts w:ascii="Arial" w:hAnsi="Arial" w:cs="Arial"/>
          <w:color w:val="auto"/>
          <w:sz w:val="20"/>
          <w:szCs w:val="20"/>
        </w:rPr>
        <w:tab/>
        <w:t xml:space="preserve">The separate extracts of </w:t>
      </w:r>
      <w:proofErr w:type="spellStart"/>
      <w:r>
        <w:rPr>
          <w:rFonts w:ascii="Arial" w:hAnsi="Arial" w:cs="Arial"/>
          <w:i/>
          <w:color w:val="auto"/>
          <w:sz w:val="20"/>
          <w:szCs w:val="20"/>
        </w:rPr>
        <w:t>Arthrospira</w:t>
      </w:r>
      <w:proofErr w:type="spellEnd"/>
      <w:r>
        <w:rPr>
          <w:rFonts w:ascii="Arial" w:hAnsi="Arial" w:cs="Arial"/>
          <w:i/>
          <w:color w:val="auto"/>
          <w:sz w:val="20"/>
          <w:szCs w:val="20"/>
        </w:rPr>
        <w:t xml:space="preserve"> platensis</w:t>
      </w:r>
      <w:r>
        <w:rPr>
          <w:rFonts w:ascii="Arial" w:hAnsi="Arial" w:cs="Arial"/>
          <w:color w:val="auto"/>
          <w:sz w:val="20"/>
          <w:szCs w:val="20"/>
        </w:rPr>
        <w:t xml:space="preserve"> were subjected to preliminary phytochemical analysis. The concentrated extracts were prepared at a concentration of 10 mg/mL and subsequently screened qualitatively for the presence of tannins, saponins, terpenoids, alkaloids, steroids, glycosides, flavonoids, and phenolic compounds following the procedures described by Mane and Chakraborty (2018).</w:t>
      </w:r>
    </w:p>
    <w:p w14:paraId="2AA69815" w14:textId="77777777" w:rsidR="007B70D2" w:rsidRPr="00DD060A" w:rsidRDefault="00FB206B" w:rsidP="009C4B48">
      <w:pPr>
        <w:pStyle w:val="Heading1"/>
        <w:shd w:val="clear" w:color="auto" w:fill="FFFFFF" w:themeFill="background1"/>
        <w:spacing w:before="240" w:line="276" w:lineRule="auto"/>
        <w:jc w:val="both"/>
        <w:rPr>
          <w:rFonts w:ascii="Arial" w:hAnsi="Arial" w:cs="Arial"/>
          <w:b/>
          <w:color w:val="auto"/>
          <w:sz w:val="20"/>
          <w:szCs w:val="20"/>
        </w:rPr>
      </w:pPr>
      <w:r>
        <w:rPr>
          <w:rFonts w:ascii="Arial" w:hAnsi="Arial" w:cs="Arial"/>
          <w:b/>
          <w:color w:val="auto"/>
          <w:sz w:val="20"/>
          <w:szCs w:val="20"/>
        </w:rPr>
        <w:t xml:space="preserve">2.6 Antibacterial activity of </w:t>
      </w:r>
      <w:proofErr w:type="spellStart"/>
      <w:r>
        <w:rPr>
          <w:rFonts w:ascii="Arial" w:hAnsi="Arial" w:cs="Arial"/>
          <w:b/>
          <w:i/>
          <w:color w:val="auto"/>
          <w:sz w:val="20"/>
          <w:szCs w:val="20"/>
        </w:rPr>
        <w:t>Arthrospira</w:t>
      </w:r>
      <w:proofErr w:type="spellEnd"/>
      <w:r>
        <w:rPr>
          <w:rFonts w:ascii="Arial" w:hAnsi="Arial" w:cs="Arial"/>
          <w:b/>
          <w:i/>
          <w:color w:val="auto"/>
          <w:sz w:val="20"/>
          <w:szCs w:val="20"/>
        </w:rPr>
        <w:t xml:space="preserve"> platensis</w:t>
      </w:r>
      <w:r>
        <w:rPr>
          <w:rFonts w:ascii="Arial" w:hAnsi="Arial" w:cs="Arial"/>
          <w:b/>
          <w:color w:val="auto"/>
          <w:sz w:val="20"/>
          <w:szCs w:val="20"/>
        </w:rPr>
        <w:t xml:space="preserve"> against meat pathogens</w:t>
      </w:r>
    </w:p>
    <w:p w14:paraId="54252170" w14:textId="77777777" w:rsidR="00BC014A" w:rsidRDefault="00054649" w:rsidP="009C4B48">
      <w:pPr>
        <w:pStyle w:val="Heading1"/>
        <w:shd w:val="clear" w:color="auto" w:fill="FFFFFF" w:themeFill="background1"/>
        <w:spacing w:before="240" w:line="276" w:lineRule="auto"/>
        <w:jc w:val="both"/>
        <w:rPr>
          <w:rFonts w:ascii="Arial" w:hAnsi="Arial" w:cs="Arial"/>
          <w:color w:val="auto"/>
          <w:sz w:val="20"/>
          <w:szCs w:val="20"/>
        </w:rPr>
      </w:pPr>
      <w:r>
        <w:rPr>
          <w:rFonts w:ascii="Arial" w:hAnsi="Arial" w:cs="Arial"/>
          <w:color w:val="auto"/>
          <w:sz w:val="20"/>
          <w:szCs w:val="20"/>
          <w:shd w:val="clear" w:color="auto" w:fill="FFFFFF"/>
        </w:rPr>
        <w:tab/>
      </w:r>
      <w:r>
        <w:rPr>
          <w:rFonts w:ascii="Arial" w:hAnsi="Arial" w:cs="Arial"/>
          <w:color w:val="auto"/>
          <w:sz w:val="20"/>
          <w:szCs w:val="20"/>
        </w:rPr>
        <w:t xml:space="preserve">The antibacterial activity of </w:t>
      </w:r>
      <w:r>
        <w:rPr>
          <w:rStyle w:val="Emphasis"/>
          <w:rFonts w:ascii="Arial" w:hAnsi="Arial" w:cs="Arial"/>
          <w:color w:val="auto"/>
          <w:sz w:val="20"/>
          <w:szCs w:val="20"/>
        </w:rPr>
        <w:t>Spirulina</w:t>
      </w:r>
      <w:r>
        <w:rPr>
          <w:rFonts w:ascii="Arial" w:hAnsi="Arial" w:cs="Arial"/>
          <w:color w:val="auto"/>
          <w:sz w:val="20"/>
          <w:szCs w:val="20"/>
        </w:rPr>
        <w:t xml:space="preserve"> extracts was determined according to the method described by </w:t>
      </w:r>
      <w:proofErr w:type="spellStart"/>
      <w:r>
        <w:rPr>
          <w:rFonts w:ascii="Arial" w:hAnsi="Arial" w:cs="Arial"/>
          <w:color w:val="auto"/>
          <w:sz w:val="20"/>
          <w:szCs w:val="20"/>
        </w:rPr>
        <w:t>Christodoulopoulou</w:t>
      </w:r>
      <w:proofErr w:type="spellEnd"/>
      <w:r>
        <w:rPr>
          <w:rFonts w:ascii="Arial" w:hAnsi="Arial" w:cs="Arial"/>
          <w:color w:val="auto"/>
          <w:sz w:val="20"/>
          <w:szCs w:val="20"/>
        </w:rPr>
        <w:t xml:space="preserve"> </w:t>
      </w:r>
      <w:r>
        <w:rPr>
          <w:rFonts w:ascii="Arial" w:hAnsi="Arial" w:cs="Arial"/>
          <w:i/>
          <w:color w:val="auto"/>
          <w:sz w:val="20"/>
          <w:szCs w:val="20"/>
        </w:rPr>
        <w:t>et al</w:t>
      </w:r>
      <w:r>
        <w:rPr>
          <w:rFonts w:ascii="Arial" w:hAnsi="Arial" w:cs="Arial"/>
          <w:color w:val="auto"/>
          <w:sz w:val="20"/>
          <w:szCs w:val="20"/>
        </w:rPr>
        <w:t xml:space="preserve">. (2025), with slight modifications. Briefly, the antibacterial activity of the ethanolic </w:t>
      </w:r>
      <w:r>
        <w:rPr>
          <w:rStyle w:val="Emphasis"/>
          <w:rFonts w:ascii="Arial" w:hAnsi="Arial" w:cs="Arial"/>
          <w:color w:val="auto"/>
          <w:sz w:val="20"/>
          <w:szCs w:val="20"/>
        </w:rPr>
        <w:t>Spirulina</w:t>
      </w:r>
      <w:r>
        <w:rPr>
          <w:rFonts w:ascii="Arial" w:hAnsi="Arial" w:cs="Arial"/>
          <w:color w:val="auto"/>
          <w:sz w:val="20"/>
          <w:szCs w:val="20"/>
        </w:rPr>
        <w:t xml:space="preserve"> extracts was evaluated against seven bacterial pathogens isolated from meat samples. Mueller–Hinton agar (MHA) plates were prepared and inoculated with the respective bacterial pathogens using sterile cotton swabs to obtain a uniform bacterial lawn. Six wells were aseptically punched into each agar plate using a sterile </w:t>
      </w:r>
      <w:proofErr w:type="spellStart"/>
      <w:r>
        <w:rPr>
          <w:rFonts w:ascii="Arial" w:hAnsi="Arial" w:cs="Arial"/>
          <w:color w:val="auto"/>
          <w:sz w:val="20"/>
          <w:szCs w:val="20"/>
        </w:rPr>
        <w:t>cork</w:t>
      </w:r>
      <w:proofErr w:type="spellEnd"/>
      <w:r>
        <w:rPr>
          <w:rFonts w:ascii="Arial" w:hAnsi="Arial" w:cs="Arial"/>
          <w:color w:val="auto"/>
          <w:sz w:val="20"/>
          <w:szCs w:val="20"/>
        </w:rPr>
        <w:t xml:space="preserve"> borer. Four different concentrations (10</w:t>
      </w:r>
      <w:r>
        <w:rPr>
          <w:rFonts w:ascii="Arial" w:hAnsi="Arial" w:cs="Arial"/>
          <w:color w:val="auto"/>
          <w:sz w:val="20"/>
          <w:szCs w:val="20"/>
          <w:highlight w:val="yellow"/>
        </w:rPr>
        <w:t xml:space="preserve"> </w:t>
      </w:r>
      <w:r>
        <w:rPr>
          <w:rFonts w:ascii="Arial" w:hAnsi="Arial" w:cs="Arial"/>
          <w:color w:val="auto"/>
          <w:sz w:val="20"/>
          <w:szCs w:val="20"/>
        </w:rPr>
        <w:t>mg, 7.5</w:t>
      </w:r>
      <w:r>
        <w:rPr>
          <w:rFonts w:ascii="Arial" w:hAnsi="Arial" w:cs="Arial"/>
          <w:color w:val="auto"/>
          <w:sz w:val="20"/>
          <w:szCs w:val="20"/>
          <w:highlight w:val="yellow"/>
        </w:rPr>
        <w:t xml:space="preserve"> </w:t>
      </w:r>
      <w:r>
        <w:rPr>
          <w:rFonts w:ascii="Arial" w:hAnsi="Arial" w:cs="Arial"/>
          <w:color w:val="auto"/>
          <w:sz w:val="20"/>
          <w:szCs w:val="20"/>
        </w:rPr>
        <w:t>mg, 5</w:t>
      </w:r>
      <w:r>
        <w:rPr>
          <w:rFonts w:ascii="Arial" w:hAnsi="Arial" w:cs="Arial"/>
          <w:color w:val="auto"/>
          <w:sz w:val="20"/>
          <w:szCs w:val="20"/>
          <w:highlight w:val="yellow"/>
        </w:rPr>
        <w:t xml:space="preserve"> </w:t>
      </w:r>
      <w:r>
        <w:rPr>
          <w:rFonts w:ascii="Arial" w:hAnsi="Arial" w:cs="Arial"/>
          <w:color w:val="auto"/>
          <w:sz w:val="20"/>
          <w:szCs w:val="20"/>
        </w:rPr>
        <w:t>mg, and 2.5</w:t>
      </w:r>
      <w:r>
        <w:rPr>
          <w:rFonts w:ascii="Arial" w:hAnsi="Arial" w:cs="Arial"/>
          <w:color w:val="auto"/>
          <w:sz w:val="20"/>
          <w:szCs w:val="20"/>
          <w:highlight w:val="yellow"/>
        </w:rPr>
        <w:t xml:space="preserve"> </w:t>
      </w:r>
      <w:r>
        <w:rPr>
          <w:rFonts w:ascii="Arial" w:hAnsi="Arial" w:cs="Arial"/>
          <w:color w:val="auto"/>
          <w:sz w:val="20"/>
          <w:szCs w:val="20"/>
        </w:rPr>
        <w:t xml:space="preserve">mg) of each </w:t>
      </w:r>
      <w:r>
        <w:rPr>
          <w:rStyle w:val="Emphasis"/>
          <w:rFonts w:ascii="Arial" w:hAnsi="Arial" w:cs="Arial"/>
          <w:color w:val="auto"/>
          <w:sz w:val="20"/>
          <w:szCs w:val="20"/>
        </w:rPr>
        <w:t>Spirulina</w:t>
      </w:r>
      <w:r>
        <w:rPr>
          <w:rFonts w:ascii="Arial" w:hAnsi="Arial" w:cs="Arial"/>
          <w:color w:val="auto"/>
          <w:sz w:val="20"/>
          <w:szCs w:val="20"/>
        </w:rPr>
        <w:t xml:space="preserve"> extract were added to separate wells. DMSO was used as the negative control, </w:t>
      </w:r>
      <w:r>
        <w:rPr>
          <w:rFonts w:ascii="Arial" w:hAnsi="Arial" w:cs="Arial"/>
          <w:color w:val="auto"/>
          <w:sz w:val="20"/>
          <w:szCs w:val="20"/>
          <w:highlight w:val="yellow"/>
        </w:rPr>
        <w:t>while c</w:t>
      </w:r>
      <w:r>
        <w:rPr>
          <w:rFonts w:ascii="Arial" w:hAnsi="Arial" w:cs="Arial"/>
          <w:color w:val="auto"/>
          <w:sz w:val="20"/>
          <w:szCs w:val="20"/>
          <w:highlight w:val="yellow"/>
          <w:lang w:eastAsia="fr-FR"/>
        </w:rPr>
        <w:t>iprofloxacin</w:t>
      </w:r>
      <w:r>
        <w:rPr>
          <w:rFonts w:ascii="Arial" w:hAnsi="Arial" w:cs="Arial"/>
          <w:color w:val="auto"/>
          <w:sz w:val="20"/>
          <w:szCs w:val="20"/>
          <w:lang w:eastAsia="fr-FR"/>
        </w:rPr>
        <w:t xml:space="preserve"> (5</w:t>
      </w:r>
      <w:r>
        <w:rPr>
          <w:rFonts w:ascii="Arial" w:hAnsi="Arial" w:cs="Arial"/>
          <w:color w:val="auto"/>
          <w:sz w:val="20"/>
          <w:szCs w:val="20"/>
          <w:highlight w:val="yellow"/>
          <w:lang w:eastAsia="fr-FR"/>
        </w:rPr>
        <w:t xml:space="preserve"> </w:t>
      </w:r>
      <w:r>
        <w:rPr>
          <w:rFonts w:ascii="Arial" w:hAnsi="Arial" w:cs="Arial"/>
          <w:color w:val="auto"/>
          <w:sz w:val="20"/>
          <w:szCs w:val="20"/>
          <w:lang w:eastAsia="fr-FR"/>
        </w:rPr>
        <w:t>mcg)</w:t>
      </w:r>
      <w:r>
        <w:rPr>
          <w:rFonts w:ascii="Arial" w:hAnsi="Arial" w:cs="Arial"/>
          <w:color w:val="auto"/>
          <w:sz w:val="20"/>
          <w:szCs w:val="20"/>
        </w:rPr>
        <w:t xml:space="preserve"> was used as the positive control.  The plates were incubated at 37 °C for 24 h, after which the diameter of the zones of inhibition was measured in millimetres.</w:t>
      </w:r>
    </w:p>
    <w:p w14:paraId="2F80AE4A" w14:textId="77777777" w:rsidR="00980FDF" w:rsidRPr="00980FDF" w:rsidRDefault="00980FDF" w:rsidP="009C4B48">
      <w:pPr>
        <w:pStyle w:val="Heading1"/>
        <w:shd w:val="clear" w:color="auto" w:fill="FFFFFF" w:themeFill="background1"/>
        <w:spacing w:before="240" w:line="276" w:lineRule="auto"/>
        <w:jc w:val="both"/>
        <w:rPr>
          <w:rFonts w:ascii="Arial" w:hAnsi="Arial" w:cs="Arial"/>
          <w:b/>
          <w:color w:val="auto"/>
          <w:sz w:val="20"/>
          <w:szCs w:val="20"/>
        </w:rPr>
      </w:pPr>
      <w:r>
        <w:rPr>
          <w:rFonts w:ascii="Arial" w:hAnsi="Arial" w:cs="Arial"/>
          <w:b/>
          <w:color w:val="auto"/>
          <w:sz w:val="20"/>
          <w:szCs w:val="20"/>
        </w:rPr>
        <w:t>2.6.1. Determination of minimum inhibitory concentration (MIC)</w:t>
      </w:r>
    </w:p>
    <w:p w14:paraId="76AB163C" w14:textId="77777777" w:rsidR="00DD060A" w:rsidRPr="00980FDF" w:rsidRDefault="00980FDF" w:rsidP="009C4B48">
      <w:pPr>
        <w:pStyle w:val="Heading1"/>
        <w:shd w:val="clear" w:color="auto" w:fill="FFFFFF" w:themeFill="background1"/>
        <w:spacing w:before="240" w:line="276" w:lineRule="auto"/>
        <w:jc w:val="both"/>
        <w:rPr>
          <w:rFonts w:ascii="Arial" w:hAnsi="Arial" w:cs="Arial"/>
          <w:color w:val="auto"/>
          <w:sz w:val="20"/>
          <w:szCs w:val="20"/>
        </w:rPr>
      </w:pPr>
      <w:r>
        <w:rPr>
          <w:rFonts w:ascii="Arial" w:hAnsi="Arial" w:cs="Arial"/>
          <w:color w:val="auto"/>
          <w:sz w:val="20"/>
          <w:szCs w:val="20"/>
        </w:rPr>
        <w:tab/>
        <w:t>The MIC of the extract was determined using the broth microdilution method in a sterile 96-well plate under aseptic conditions. Serial dilutions of the extract were prepared in nutrient broth, followed by the addition of resazurin indicator and bacterial suspension. Ciprofloxacin was used as the positive control, while appropriate growth and sterility controls were included. The plates were incubated under suitable conditions, and bacterial growth was assessed based on the colour change of the resazurin indicator (Sarker et al., 2007).</w:t>
      </w:r>
    </w:p>
    <w:p w14:paraId="1C80F555" w14:textId="77777777" w:rsidR="00087399" w:rsidRPr="00980FDF" w:rsidRDefault="00FB206B" w:rsidP="009C4B48">
      <w:pPr>
        <w:pStyle w:val="Heading3"/>
        <w:spacing w:before="240" w:line="276" w:lineRule="auto"/>
        <w:jc w:val="both"/>
        <w:rPr>
          <w:rFonts w:ascii="Arial" w:hAnsi="Arial" w:cs="Arial"/>
          <w:b/>
          <w:color w:val="auto"/>
          <w:sz w:val="20"/>
          <w:szCs w:val="20"/>
        </w:rPr>
      </w:pPr>
      <w:r>
        <w:rPr>
          <w:rFonts w:ascii="Arial" w:hAnsi="Arial" w:cs="Arial"/>
          <w:b/>
          <w:color w:val="auto"/>
          <w:sz w:val="20"/>
          <w:szCs w:val="20"/>
        </w:rPr>
        <w:t>2.7 Determination of Antioxidant Activity</w:t>
      </w:r>
    </w:p>
    <w:p w14:paraId="1A508956" w14:textId="77777777" w:rsidR="00087399" w:rsidRPr="00DD060A" w:rsidRDefault="00FB206B" w:rsidP="009C4B48">
      <w:pPr>
        <w:pStyle w:val="Heading4"/>
        <w:spacing w:before="240" w:line="276" w:lineRule="auto"/>
        <w:jc w:val="both"/>
        <w:rPr>
          <w:rFonts w:ascii="Arial" w:hAnsi="Arial" w:cs="Arial"/>
          <w:b/>
          <w:i w:val="0"/>
          <w:color w:val="auto"/>
        </w:rPr>
      </w:pPr>
      <w:r>
        <w:rPr>
          <w:rFonts w:ascii="Arial" w:hAnsi="Arial" w:cs="Arial"/>
          <w:b/>
          <w:i w:val="0"/>
          <w:color w:val="auto"/>
        </w:rPr>
        <w:t>2.7.1 Preparation of DPPH Standard Solution</w:t>
      </w:r>
    </w:p>
    <w:p w14:paraId="1EB15859" w14:textId="77777777" w:rsidR="00087399" w:rsidRPr="00DD060A" w:rsidRDefault="00087399"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ab/>
        <w:t>A DPPH standard solution at a concentration of 1.01 × 10</w:t>
      </w:r>
      <w:r>
        <w:rPr>
          <w:rFonts w:ascii="Cambria Math" w:hAnsi="Cambria Math" w:cs="Cambria Math"/>
          <w:sz w:val="20"/>
          <w:szCs w:val="20"/>
        </w:rPr>
        <w:t>⁻</w:t>
      </w:r>
      <w:r>
        <w:rPr>
          <w:rFonts w:ascii="Arial" w:hAnsi="Arial" w:cs="Arial"/>
          <w:sz w:val="20"/>
          <w:szCs w:val="20"/>
        </w:rPr>
        <w:t xml:space="preserve">¹ mM was prepared by dissolving 40 mg of DPPH in 100 mL of absolute ethanol. The volumetric flask was covered with </w:t>
      </w:r>
      <w:r>
        <w:rPr>
          <w:rFonts w:ascii="Arial" w:hAnsi="Arial" w:cs="Arial"/>
          <w:sz w:val="20"/>
          <w:szCs w:val="20"/>
          <w:highlight w:val="yellow"/>
        </w:rPr>
        <w:t>aluminium</w:t>
      </w:r>
      <w:r>
        <w:rPr>
          <w:rFonts w:ascii="Arial" w:hAnsi="Arial" w:cs="Arial"/>
          <w:sz w:val="20"/>
          <w:szCs w:val="20"/>
        </w:rPr>
        <w:t xml:space="preserve"> foil to protect the solution from light and vortexed thoroughly. The solution was then kept in the refrigerator for 2 h to allow </w:t>
      </w:r>
      <w:r>
        <w:rPr>
          <w:rFonts w:ascii="Arial" w:hAnsi="Arial" w:cs="Arial"/>
          <w:sz w:val="20"/>
          <w:szCs w:val="20"/>
          <w:highlight w:val="yellow"/>
        </w:rPr>
        <w:t>stabilisation</w:t>
      </w:r>
      <w:r>
        <w:rPr>
          <w:rFonts w:ascii="Arial" w:hAnsi="Arial" w:cs="Arial"/>
          <w:sz w:val="20"/>
          <w:szCs w:val="20"/>
        </w:rPr>
        <w:t xml:space="preserve"> before use.</w:t>
      </w:r>
    </w:p>
    <w:p w14:paraId="14971957" w14:textId="77777777" w:rsidR="00087399" w:rsidRPr="00DD060A" w:rsidRDefault="00FB206B" w:rsidP="009C4B48">
      <w:pPr>
        <w:pStyle w:val="Heading4"/>
        <w:spacing w:before="240" w:line="276" w:lineRule="auto"/>
        <w:jc w:val="both"/>
        <w:rPr>
          <w:rFonts w:ascii="Arial" w:hAnsi="Arial" w:cs="Arial"/>
          <w:b/>
          <w:i w:val="0"/>
          <w:color w:val="auto"/>
        </w:rPr>
      </w:pPr>
      <w:r>
        <w:rPr>
          <w:rFonts w:ascii="Arial" w:hAnsi="Arial" w:cs="Arial"/>
          <w:b/>
          <w:i w:val="0"/>
          <w:color w:val="auto"/>
        </w:rPr>
        <w:t>2.7.2 Determination of In Vitro Antioxidant Activity</w:t>
      </w:r>
    </w:p>
    <w:p w14:paraId="03B3CB44" w14:textId="77777777" w:rsidR="00087399" w:rsidRPr="00DD060A" w:rsidRDefault="00087399"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The antioxidant activity of the </w:t>
      </w:r>
      <w:r>
        <w:rPr>
          <w:rStyle w:val="Emphasis"/>
          <w:rFonts w:ascii="Arial" w:hAnsi="Arial" w:cs="Arial"/>
          <w:sz w:val="20"/>
          <w:szCs w:val="20"/>
        </w:rPr>
        <w:t>Spirulina</w:t>
      </w:r>
      <w:r>
        <w:rPr>
          <w:rFonts w:ascii="Arial" w:hAnsi="Arial" w:cs="Arial"/>
          <w:sz w:val="20"/>
          <w:szCs w:val="20"/>
        </w:rPr>
        <w:t xml:space="preserve"> extracts was determined using the DPPH radical-scavenging assay according to the method described by Kitsios </w:t>
      </w:r>
      <w:r>
        <w:rPr>
          <w:rFonts w:ascii="Arial" w:hAnsi="Arial" w:cs="Arial"/>
          <w:i/>
          <w:sz w:val="20"/>
          <w:szCs w:val="20"/>
        </w:rPr>
        <w:t>et al</w:t>
      </w:r>
      <w:r>
        <w:rPr>
          <w:rFonts w:ascii="Arial" w:hAnsi="Arial" w:cs="Arial"/>
          <w:sz w:val="20"/>
          <w:szCs w:val="20"/>
        </w:rPr>
        <w:t xml:space="preserve">. (2025), with slight modifications. </w:t>
      </w:r>
      <w:r>
        <w:rPr>
          <w:rFonts w:ascii="Arial" w:hAnsi="Arial" w:cs="Arial"/>
          <w:sz w:val="20"/>
          <w:szCs w:val="20"/>
        </w:rPr>
        <w:lastRenderedPageBreak/>
        <w:t xml:space="preserve">Briefly, 100 </w:t>
      </w:r>
      <w:proofErr w:type="spellStart"/>
      <w:r>
        <w:rPr>
          <w:rFonts w:ascii="Arial" w:hAnsi="Arial" w:cs="Arial"/>
          <w:sz w:val="20"/>
          <w:szCs w:val="20"/>
        </w:rPr>
        <w:t>μL</w:t>
      </w:r>
      <w:proofErr w:type="spellEnd"/>
      <w:r>
        <w:rPr>
          <w:rFonts w:ascii="Arial" w:hAnsi="Arial" w:cs="Arial"/>
          <w:sz w:val="20"/>
          <w:szCs w:val="20"/>
        </w:rPr>
        <w:t xml:space="preserve"> of each </w:t>
      </w:r>
      <w:r>
        <w:rPr>
          <w:rStyle w:val="Emphasis"/>
          <w:rFonts w:ascii="Arial" w:hAnsi="Arial" w:cs="Arial"/>
          <w:sz w:val="20"/>
          <w:szCs w:val="20"/>
        </w:rPr>
        <w:t>Spirulina</w:t>
      </w:r>
      <w:r>
        <w:rPr>
          <w:rFonts w:ascii="Arial" w:hAnsi="Arial" w:cs="Arial"/>
          <w:sz w:val="20"/>
          <w:szCs w:val="20"/>
        </w:rPr>
        <w:t xml:space="preserve"> extract was transferred into a plastic cuvette, followed by the addition of 1 mL of 100 mM acetate buffer (pH 5.30 ± 0.01) and 1.9 mL of the DPPH standard solution. The reaction mixture was incubated in the dark for 1 h until a stable absorbance was achieved. The absorbance was then measured at 517 nm using a UV–</w:t>
      </w:r>
      <w:proofErr w:type="gramStart"/>
      <w:r>
        <w:rPr>
          <w:rFonts w:ascii="Arial" w:hAnsi="Arial" w:cs="Arial"/>
          <w:sz w:val="20"/>
          <w:szCs w:val="20"/>
        </w:rPr>
        <w:t>Vis</w:t>
      </w:r>
      <w:proofErr w:type="gramEnd"/>
      <w:r>
        <w:rPr>
          <w:rFonts w:ascii="Arial" w:hAnsi="Arial" w:cs="Arial"/>
          <w:sz w:val="20"/>
          <w:szCs w:val="20"/>
        </w:rPr>
        <w:t xml:space="preserve"> spectrophotometer. Ascorbic acid was used as the reference antioxidant, and the same experimental procedure was followed. The percentage of antioxidant activity was calculated using the following equation:</w:t>
      </w:r>
    </w:p>
    <w:p w14:paraId="2389AD12" w14:textId="77777777" w:rsidR="00087399" w:rsidRPr="00DD060A" w:rsidRDefault="00FB206B" w:rsidP="009C4B48">
      <w:pPr>
        <w:pStyle w:val="isselectedend"/>
        <w:spacing w:before="240" w:beforeAutospacing="0" w:after="0" w:afterAutospacing="0" w:line="276" w:lineRule="auto"/>
        <w:jc w:val="both"/>
        <w:rPr>
          <w:rFonts w:ascii="Arial" w:hAnsi="Arial" w:cs="Arial"/>
          <w:sz w:val="20"/>
          <w:szCs w:val="20"/>
        </w:rPr>
      </w:pPr>
      <w:r w:rsidRPr="00DD060A">
        <w:rPr>
          <w:rStyle w:val="Strong"/>
          <w:rFonts w:ascii="Arial" w:hAnsi="Arial" w:cs="Arial"/>
          <w:sz w:val="20"/>
          <w:szCs w:val="20"/>
        </w:rPr>
        <w:tab/>
      </w:r>
      <w:r w:rsidR="00087399" w:rsidRPr="00DD060A">
        <w:rPr>
          <w:rStyle w:val="Strong"/>
          <w:rFonts w:ascii="Arial" w:hAnsi="Arial" w:cs="Arial"/>
          <w:sz w:val="20"/>
          <w:szCs w:val="20"/>
        </w:rPr>
        <w:t xml:space="preserve">Antioxidant activity (%) = </w:t>
      </w:r>
      <w:r w:rsidR="00087399" w:rsidRPr="00DD060A">
        <w:rPr>
          <w:rStyle w:val="text-token-text-primary"/>
          <w:rFonts w:ascii="Arial" w:hAnsi="Arial" w:cs="Arial"/>
          <w:b/>
          <w:bCs/>
          <w:sz w:val="20"/>
          <w:szCs w:val="20"/>
        </w:rPr>
        <w:t>[(A</w:t>
      </w:r>
      <w:r w:rsidR="00087399" w:rsidRPr="00DD060A">
        <w:rPr>
          <w:rStyle w:val="text-token-text-primary"/>
          <w:rFonts w:ascii="Cambria Math" w:hAnsi="Cambria Math" w:cs="Cambria Math"/>
          <w:b/>
          <w:bCs/>
          <w:sz w:val="20"/>
          <w:szCs w:val="20"/>
        </w:rPr>
        <w:t>₀</w:t>
      </w:r>
      <w:r w:rsidR="00087399" w:rsidRPr="00DD060A">
        <w:rPr>
          <w:rStyle w:val="text-token-text-primary"/>
          <w:rFonts w:ascii="Arial" w:hAnsi="Arial" w:cs="Arial"/>
          <w:b/>
          <w:bCs/>
          <w:sz w:val="20"/>
          <w:szCs w:val="20"/>
        </w:rPr>
        <w:t xml:space="preserve"> − A</w:t>
      </w:r>
      <w:r w:rsidR="00087399" w:rsidRPr="00DD060A">
        <w:rPr>
          <w:rStyle w:val="text-token-text-primary"/>
          <w:rFonts w:ascii="Cambria Math" w:hAnsi="Cambria Math" w:cs="Cambria Math"/>
          <w:b/>
          <w:bCs/>
          <w:sz w:val="20"/>
          <w:szCs w:val="20"/>
        </w:rPr>
        <w:t>ₜ</w:t>
      </w:r>
      <w:r w:rsidR="00087399" w:rsidRPr="00DD060A">
        <w:rPr>
          <w:rStyle w:val="text-token-text-primary"/>
          <w:rFonts w:ascii="Arial" w:hAnsi="Arial" w:cs="Arial"/>
          <w:b/>
          <w:bCs/>
          <w:sz w:val="20"/>
          <w:szCs w:val="20"/>
        </w:rPr>
        <w:t>) / A</w:t>
      </w:r>
      <w:r w:rsidR="00087399" w:rsidRPr="00DD060A">
        <w:rPr>
          <w:rStyle w:val="text-token-text-primary"/>
          <w:rFonts w:ascii="Cambria Math" w:hAnsi="Cambria Math" w:cs="Cambria Math"/>
          <w:b/>
          <w:bCs/>
          <w:sz w:val="20"/>
          <w:szCs w:val="20"/>
        </w:rPr>
        <w:t>₀</w:t>
      </w:r>
      <w:r w:rsidR="00087399" w:rsidRPr="00DD060A">
        <w:rPr>
          <w:rStyle w:val="text-token-text-primary"/>
          <w:rFonts w:ascii="Arial" w:hAnsi="Arial" w:cs="Arial"/>
          <w:b/>
          <w:bCs/>
          <w:sz w:val="20"/>
          <w:szCs w:val="20"/>
        </w:rPr>
        <w:t>]</w:t>
      </w:r>
      <w:r w:rsidR="00087399" w:rsidRPr="00DD060A">
        <w:rPr>
          <w:rStyle w:val="Strong"/>
          <w:rFonts w:ascii="Arial" w:hAnsi="Arial" w:cs="Arial"/>
          <w:sz w:val="20"/>
          <w:szCs w:val="20"/>
        </w:rPr>
        <w:t xml:space="preserve"> × 100</w:t>
      </w:r>
    </w:p>
    <w:p w14:paraId="73C15C4F" w14:textId="77777777" w:rsidR="00087399" w:rsidRDefault="00087399" w:rsidP="009C4B48">
      <w:pPr>
        <w:pStyle w:val="NormalWeb"/>
        <w:spacing w:before="240" w:beforeAutospacing="0" w:after="0" w:afterAutospacing="0" w:line="276" w:lineRule="auto"/>
        <w:jc w:val="both"/>
        <w:rPr>
          <w:rFonts w:ascii="Arial" w:hAnsi="Arial" w:cs="Arial"/>
          <w:sz w:val="20"/>
          <w:szCs w:val="20"/>
        </w:rPr>
      </w:pPr>
      <w:r>
        <w:rPr>
          <w:rFonts w:ascii="Arial" w:hAnsi="Arial" w:cs="Arial"/>
          <w:sz w:val="20"/>
          <w:szCs w:val="20"/>
        </w:rPr>
        <w:t xml:space="preserve">where </w:t>
      </w:r>
      <w:r>
        <w:rPr>
          <w:rStyle w:val="Strong"/>
          <w:rFonts w:ascii="Arial" w:hAnsi="Arial" w:cs="Arial"/>
          <w:sz w:val="20"/>
          <w:szCs w:val="20"/>
        </w:rPr>
        <w:t>A</w:t>
      </w:r>
      <w:r>
        <w:rPr>
          <w:rStyle w:val="Strong"/>
          <w:rFonts w:ascii="Cambria Math" w:hAnsi="Cambria Math" w:cs="Cambria Math"/>
          <w:sz w:val="20"/>
          <w:szCs w:val="20"/>
        </w:rPr>
        <w:t>₀</w:t>
      </w:r>
      <w:r>
        <w:rPr>
          <w:rFonts w:ascii="Arial" w:hAnsi="Arial" w:cs="Arial"/>
          <w:sz w:val="20"/>
          <w:szCs w:val="20"/>
        </w:rPr>
        <w:t xml:space="preserve"> represents the absorbance of the DPPH solution without the test sample, and </w:t>
      </w:r>
      <w:r>
        <w:rPr>
          <w:rStyle w:val="Strong"/>
          <w:rFonts w:ascii="Arial" w:hAnsi="Arial" w:cs="Arial"/>
          <w:sz w:val="20"/>
          <w:szCs w:val="20"/>
        </w:rPr>
        <w:t>A</w:t>
      </w:r>
      <w:r>
        <w:rPr>
          <w:rStyle w:val="Strong"/>
          <w:rFonts w:ascii="Cambria Math" w:hAnsi="Cambria Math" w:cs="Cambria Math"/>
          <w:sz w:val="20"/>
          <w:szCs w:val="20"/>
        </w:rPr>
        <w:t>ₜ</w:t>
      </w:r>
      <w:r>
        <w:rPr>
          <w:rFonts w:ascii="Arial" w:hAnsi="Arial" w:cs="Arial"/>
          <w:sz w:val="20"/>
          <w:szCs w:val="20"/>
        </w:rPr>
        <w:t xml:space="preserve"> represents the absorbance of the DPPH reaction mixture containing the </w:t>
      </w:r>
      <w:r>
        <w:rPr>
          <w:rStyle w:val="Emphasis"/>
          <w:rFonts w:ascii="Arial" w:hAnsi="Arial" w:cs="Arial"/>
          <w:sz w:val="20"/>
          <w:szCs w:val="20"/>
        </w:rPr>
        <w:t>Spirulina</w:t>
      </w:r>
      <w:r>
        <w:rPr>
          <w:rFonts w:ascii="Arial" w:hAnsi="Arial" w:cs="Arial"/>
          <w:sz w:val="20"/>
          <w:szCs w:val="20"/>
        </w:rPr>
        <w:t xml:space="preserve"> extract. All samples were </w:t>
      </w:r>
      <w:r>
        <w:rPr>
          <w:rFonts w:ascii="Arial" w:hAnsi="Arial" w:cs="Arial"/>
          <w:sz w:val="20"/>
          <w:szCs w:val="20"/>
          <w:highlight w:val="yellow"/>
        </w:rPr>
        <w:t>analysed</w:t>
      </w:r>
      <w:r>
        <w:rPr>
          <w:rFonts w:ascii="Arial" w:hAnsi="Arial" w:cs="Arial"/>
          <w:sz w:val="20"/>
          <w:szCs w:val="20"/>
        </w:rPr>
        <w:t xml:space="preserve"> in triplicate (</w:t>
      </w:r>
      <w:r>
        <w:rPr>
          <w:rStyle w:val="Emphasis"/>
          <w:rFonts w:ascii="Arial" w:hAnsi="Arial" w:cs="Arial"/>
          <w:sz w:val="20"/>
          <w:szCs w:val="20"/>
        </w:rPr>
        <w:t>n</w:t>
      </w:r>
      <w:r>
        <w:rPr>
          <w:rFonts w:ascii="Arial" w:hAnsi="Arial" w:cs="Arial"/>
          <w:sz w:val="20"/>
          <w:szCs w:val="20"/>
        </w:rPr>
        <w:t xml:space="preserve"> = 3), and the results were expressed as percentage (%) antioxidant activity.</w:t>
      </w:r>
    </w:p>
    <w:p w14:paraId="5BFF3B8F" w14:textId="77777777" w:rsidR="00980FDF" w:rsidRPr="00DD060A" w:rsidRDefault="00980FDF" w:rsidP="009C4B48">
      <w:pPr>
        <w:pStyle w:val="NormalWeb"/>
        <w:spacing w:before="240" w:beforeAutospacing="0" w:after="0" w:afterAutospacing="0" w:line="276" w:lineRule="auto"/>
        <w:jc w:val="both"/>
        <w:rPr>
          <w:rFonts w:ascii="Arial" w:hAnsi="Arial" w:cs="Arial"/>
          <w:sz w:val="20"/>
          <w:szCs w:val="20"/>
        </w:rPr>
      </w:pPr>
    </w:p>
    <w:p w14:paraId="699CB656" w14:textId="77777777" w:rsidR="00CF148B" w:rsidRPr="00980FDF" w:rsidRDefault="00FB206B" w:rsidP="009C4B48">
      <w:pPr>
        <w:pStyle w:val="Heading3"/>
        <w:spacing w:before="240" w:line="276" w:lineRule="auto"/>
        <w:jc w:val="both"/>
        <w:rPr>
          <w:rFonts w:ascii="Arial" w:hAnsi="Arial" w:cs="Arial"/>
          <w:b/>
          <w:color w:val="auto"/>
          <w:sz w:val="20"/>
          <w:szCs w:val="20"/>
        </w:rPr>
      </w:pPr>
      <w:r>
        <w:rPr>
          <w:rFonts w:ascii="Arial" w:hAnsi="Arial" w:cs="Arial"/>
          <w:b/>
          <w:color w:val="auto"/>
          <w:sz w:val="20"/>
          <w:szCs w:val="20"/>
        </w:rPr>
        <w:t>2.8 Cell Culture Maintenance</w:t>
      </w:r>
    </w:p>
    <w:p w14:paraId="3C0BF5D5" w14:textId="77777777" w:rsidR="00CF148B" w:rsidRPr="00DD060A" w:rsidRDefault="00CF148B"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The HepG2 (human hepatocellular carcinoma) cell line was obtained from the National Centre for Cell Science (NCCS), Pune, India. The cells were maintained in Dulbecco’s Modified Eagle Medium (DMEM) supplemented with 10% (v/v) heat-inactivated </w:t>
      </w:r>
      <w:proofErr w:type="spellStart"/>
      <w:r>
        <w:rPr>
          <w:rFonts w:ascii="Arial" w:hAnsi="Arial" w:cs="Arial"/>
          <w:sz w:val="20"/>
          <w:szCs w:val="20"/>
        </w:rPr>
        <w:t>fetal</w:t>
      </w:r>
      <w:proofErr w:type="spellEnd"/>
      <w:r>
        <w:rPr>
          <w:rFonts w:ascii="Arial" w:hAnsi="Arial" w:cs="Arial"/>
          <w:sz w:val="20"/>
          <w:szCs w:val="20"/>
        </w:rPr>
        <w:t xml:space="preserve"> bovine serum (FBS), 100 U/mL penicillin, and 100 </w:t>
      </w:r>
      <w:proofErr w:type="spellStart"/>
      <w:r>
        <w:rPr>
          <w:rFonts w:ascii="Arial" w:hAnsi="Arial" w:cs="Arial"/>
          <w:sz w:val="20"/>
          <w:szCs w:val="20"/>
        </w:rPr>
        <w:t>μg</w:t>
      </w:r>
      <w:proofErr w:type="spellEnd"/>
      <w:r>
        <w:rPr>
          <w:rFonts w:ascii="Arial" w:hAnsi="Arial" w:cs="Arial"/>
          <w:sz w:val="20"/>
          <w:szCs w:val="20"/>
        </w:rPr>
        <w:t>/mL streptomycin. The cells were cultured at 37 °C in a humidified incubator containing 5% CO</w:t>
      </w:r>
      <w:r>
        <w:rPr>
          <w:rFonts w:ascii="Cambria Math" w:hAnsi="Cambria Math" w:cs="Cambria Math"/>
          <w:sz w:val="20"/>
          <w:szCs w:val="20"/>
        </w:rPr>
        <w:t>₂</w:t>
      </w:r>
      <w:r>
        <w:rPr>
          <w:rFonts w:ascii="Arial" w:hAnsi="Arial" w:cs="Arial"/>
          <w:sz w:val="20"/>
          <w:szCs w:val="20"/>
        </w:rPr>
        <w:t xml:space="preserve"> and 95% air and maintained in the logarithmic growth phase.</w:t>
      </w:r>
    </w:p>
    <w:p w14:paraId="31E2B822" w14:textId="77777777" w:rsidR="00CF148B" w:rsidRPr="00DD060A" w:rsidRDefault="00FB206B" w:rsidP="009C4B48">
      <w:pPr>
        <w:pStyle w:val="Heading3"/>
        <w:spacing w:before="240" w:line="276" w:lineRule="auto"/>
        <w:jc w:val="both"/>
        <w:rPr>
          <w:rFonts w:ascii="Arial" w:hAnsi="Arial" w:cs="Arial"/>
          <w:b/>
          <w:color w:val="auto"/>
          <w:sz w:val="22"/>
          <w:szCs w:val="22"/>
        </w:rPr>
      </w:pPr>
      <w:r>
        <w:rPr>
          <w:rFonts w:ascii="Arial" w:hAnsi="Arial" w:cs="Arial"/>
          <w:b/>
          <w:color w:val="auto"/>
          <w:sz w:val="22"/>
          <w:szCs w:val="22"/>
        </w:rPr>
        <w:t>2.8.1 Anticancer Activity</w:t>
      </w:r>
    </w:p>
    <w:p w14:paraId="61BEBC54" w14:textId="77777777" w:rsidR="00CF148B" w:rsidRPr="00DD060A" w:rsidRDefault="00CF148B"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The cytotoxic activity of the test samples against the HepG2 cell line was evaluated using the MTT </w:t>
      </w:r>
      <w:r>
        <w:rPr>
          <w:rStyle w:val="text-token-text-primary"/>
          <w:rFonts w:ascii="Arial" w:hAnsi="Arial" w:cs="Arial"/>
          <w:sz w:val="20"/>
          <w:szCs w:val="20"/>
        </w:rPr>
        <w:t>[3-(4,5-dimethylthiazol-2-yl)-2,5-diphenyltetrazolium bromide]</w:t>
      </w:r>
      <w:r>
        <w:rPr>
          <w:rFonts w:ascii="Arial" w:hAnsi="Arial" w:cs="Arial"/>
          <w:sz w:val="20"/>
          <w:szCs w:val="20"/>
        </w:rPr>
        <w:t xml:space="preserve"> assay following the method described by </w:t>
      </w:r>
      <w:proofErr w:type="spellStart"/>
      <w:r>
        <w:rPr>
          <w:rFonts w:ascii="Arial" w:hAnsi="Arial" w:cs="Arial"/>
          <w:sz w:val="20"/>
          <w:szCs w:val="20"/>
        </w:rPr>
        <w:t>Mosmann</w:t>
      </w:r>
      <w:proofErr w:type="spellEnd"/>
      <w:r>
        <w:rPr>
          <w:rFonts w:ascii="Arial" w:hAnsi="Arial" w:cs="Arial"/>
          <w:sz w:val="20"/>
          <w:szCs w:val="20"/>
        </w:rPr>
        <w:t xml:space="preserve"> (1983), with slight modifications. Briefly, HepG2 cells were seeded in 96-well microplates at a density of 1 × 10⁴ cells/well and incubated at 37 °C in a humidified 5% CO</w:t>
      </w:r>
      <w:r>
        <w:rPr>
          <w:rFonts w:ascii="Cambria Math" w:hAnsi="Cambria Math" w:cs="Cambria Math"/>
          <w:sz w:val="20"/>
          <w:szCs w:val="20"/>
        </w:rPr>
        <w:t>₂</w:t>
      </w:r>
      <w:r>
        <w:rPr>
          <w:rFonts w:ascii="Arial" w:hAnsi="Arial" w:cs="Arial"/>
          <w:sz w:val="20"/>
          <w:szCs w:val="20"/>
        </w:rPr>
        <w:t xml:space="preserve"> incubator for 48 h until approximately 70–80% confluence was achieved. The cells were then treated with different concentrations of the test sample and further incubated for 24 h.</w:t>
      </w:r>
    </w:p>
    <w:p w14:paraId="6D4BC365" w14:textId="77777777" w:rsidR="00CF148B" w:rsidRPr="00DD060A" w:rsidRDefault="00CF148B"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Following treatment, morphological changes in untreated control and sample-treated cells were examined using a digital inverted microscope at 20× magnification, and representative images were captured. The cells were subsequently washed with phosphate-buffered saline (PBS, pH 7.4), and 20 </w:t>
      </w:r>
      <w:proofErr w:type="spellStart"/>
      <w:r>
        <w:rPr>
          <w:rFonts w:ascii="Arial" w:hAnsi="Arial" w:cs="Arial"/>
          <w:sz w:val="20"/>
          <w:szCs w:val="20"/>
        </w:rPr>
        <w:t>μL</w:t>
      </w:r>
      <w:proofErr w:type="spellEnd"/>
      <w:r>
        <w:rPr>
          <w:rFonts w:ascii="Arial" w:hAnsi="Arial" w:cs="Arial"/>
          <w:sz w:val="20"/>
          <w:szCs w:val="20"/>
        </w:rPr>
        <w:t xml:space="preserve"> of MTT solution (5 mg/mL in PBS) was added to each well. The plates were incubated at 37 °C in the dark for 4 h to allow the formation of formazan crystals. The resulting formazan crystals were dissolved by adding 100 </w:t>
      </w:r>
      <w:proofErr w:type="spellStart"/>
      <w:r>
        <w:rPr>
          <w:rFonts w:ascii="Arial" w:hAnsi="Arial" w:cs="Arial"/>
          <w:sz w:val="20"/>
          <w:szCs w:val="20"/>
        </w:rPr>
        <w:t>μL</w:t>
      </w:r>
      <w:proofErr w:type="spellEnd"/>
      <w:r>
        <w:rPr>
          <w:rFonts w:ascii="Arial" w:hAnsi="Arial" w:cs="Arial"/>
          <w:sz w:val="20"/>
          <w:szCs w:val="20"/>
        </w:rPr>
        <w:t xml:space="preserve"> of dimethyl sulfoxide (DMSO) to each well, and the absorbance was measured at 570 nm using a microplate spectrophotometer.</w:t>
      </w:r>
    </w:p>
    <w:p w14:paraId="0E93F494" w14:textId="77777777" w:rsidR="00CF148B" w:rsidRPr="00DD060A" w:rsidRDefault="00CF148B"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Cell viability was calculated using the following equation:</w:t>
      </w:r>
    </w:p>
    <w:p w14:paraId="5D1A810B" w14:textId="77777777" w:rsidR="00CF148B" w:rsidRPr="00DD060A" w:rsidRDefault="00CF148B" w:rsidP="009C4B48">
      <w:pPr>
        <w:pStyle w:val="isselectedend"/>
        <w:spacing w:before="240" w:beforeAutospacing="0" w:after="0" w:afterAutospacing="0" w:line="276" w:lineRule="auto"/>
        <w:jc w:val="both"/>
        <w:rPr>
          <w:rFonts w:ascii="Arial" w:hAnsi="Arial" w:cs="Arial"/>
          <w:sz w:val="20"/>
          <w:szCs w:val="20"/>
        </w:rPr>
      </w:pPr>
      <w:r w:rsidRPr="00DD060A">
        <w:rPr>
          <w:rStyle w:val="Strong"/>
          <w:rFonts w:ascii="Arial" w:hAnsi="Arial" w:cs="Arial"/>
          <w:sz w:val="20"/>
          <w:szCs w:val="20"/>
        </w:rPr>
        <w:t>Cell viability (%) = (Absorbance of treated sample / Absorbance of untreated control) × 100</w:t>
      </w:r>
    </w:p>
    <w:p w14:paraId="5CD57470" w14:textId="77777777" w:rsidR="00CF148B" w:rsidRPr="00DD060A" w:rsidRDefault="00CF148B"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The percentage of cell inhibition was calculated as:</w:t>
      </w:r>
    </w:p>
    <w:p w14:paraId="03E0C6AE" w14:textId="77777777" w:rsidR="00CF148B" w:rsidRPr="00DD060A" w:rsidRDefault="00CF148B" w:rsidP="009C4B48">
      <w:pPr>
        <w:pStyle w:val="NormalWeb"/>
        <w:spacing w:before="240" w:beforeAutospacing="0" w:after="0" w:afterAutospacing="0" w:line="276" w:lineRule="auto"/>
        <w:jc w:val="both"/>
        <w:rPr>
          <w:rStyle w:val="Strong"/>
          <w:rFonts w:ascii="Arial" w:hAnsi="Arial" w:cs="Arial"/>
          <w:sz w:val="20"/>
          <w:szCs w:val="20"/>
        </w:rPr>
      </w:pPr>
      <w:r w:rsidRPr="00DD060A">
        <w:rPr>
          <w:rStyle w:val="Strong"/>
          <w:rFonts w:ascii="Arial" w:hAnsi="Arial" w:cs="Arial"/>
          <w:sz w:val="20"/>
          <w:szCs w:val="20"/>
        </w:rPr>
        <w:t>Cell inhibition (%) = 100 − Cell viability (%)</w:t>
      </w:r>
    </w:p>
    <w:p w14:paraId="6132BA74" w14:textId="77777777" w:rsidR="00F059D6" w:rsidRPr="00DD060A" w:rsidRDefault="00F059D6" w:rsidP="00F059D6">
      <w:pPr>
        <w:pStyle w:val="Heading3"/>
        <w:spacing w:line="360" w:lineRule="auto"/>
        <w:jc w:val="both"/>
        <w:rPr>
          <w:rFonts w:ascii="Arial" w:hAnsi="Arial" w:cs="Arial"/>
          <w:b/>
          <w:color w:val="auto"/>
          <w:sz w:val="22"/>
          <w:szCs w:val="22"/>
        </w:rPr>
      </w:pPr>
    </w:p>
    <w:p w14:paraId="7227EBA6" w14:textId="77777777" w:rsidR="00F059D6" w:rsidRPr="00DD060A" w:rsidRDefault="00F059D6" w:rsidP="00F059D6">
      <w:pPr>
        <w:pStyle w:val="Heading3"/>
        <w:spacing w:line="360" w:lineRule="auto"/>
        <w:jc w:val="both"/>
        <w:rPr>
          <w:rFonts w:ascii="Arial" w:hAnsi="Arial" w:cs="Arial"/>
          <w:b/>
          <w:color w:val="auto"/>
          <w:sz w:val="22"/>
          <w:szCs w:val="22"/>
        </w:rPr>
      </w:pPr>
      <w:r>
        <w:rPr>
          <w:rFonts w:ascii="Arial" w:hAnsi="Arial" w:cs="Arial"/>
          <w:b/>
          <w:color w:val="auto"/>
          <w:sz w:val="22"/>
          <w:szCs w:val="22"/>
        </w:rPr>
        <w:t>2.9 Determination of</w:t>
      </w:r>
      <w:r>
        <w:rPr>
          <w:rFonts w:ascii="Arial" w:hAnsi="Arial" w:cs="Arial"/>
          <w:b/>
          <w:color w:val="auto"/>
          <w:sz w:val="22"/>
          <w:szCs w:val="22"/>
          <w:highlight w:val="yellow"/>
        </w:rPr>
        <w:t xml:space="preserve"> the</w:t>
      </w:r>
      <w:r>
        <w:rPr>
          <w:rFonts w:ascii="Arial" w:hAnsi="Arial" w:cs="Arial"/>
          <w:b/>
          <w:color w:val="auto"/>
          <w:sz w:val="22"/>
          <w:szCs w:val="22"/>
        </w:rPr>
        <w:t xml:space="preserve"> cytotoxicity of </w:t>
      </w:r>
      <w:proofErr w:type="spellStart"/>
      <w:r>
        <w:rPr>
          <w:rStyle w:val="Emphasis"/>
          <w:rFonts w:ascii="Arial" w:hAnsi="Arial" w:cs="Arial"/>
          <w:b/>
          <w:color w:val="auto"/>
          <w:sz w:val="22"/>
          <w:szCs w:val="22"/>
        </w:rPr>
        <w:t>Arthrospira</w:t>
      </w:r>
      <w:proofErr w:type="spellEnd"/>
      <w:r>
        <w:rPr>
          <w:rStyle w:val="Emphasis"/>
          <w:rFonts w:ascii="Arial" w:hAnsi="Arial" w:cs="Arial"/>
          <w:b/>
          <w:color w:val="auto"/>
          <w:sz w:val="22"/>
          <w:szCs w:val="22"/>
        </w:rPr>
        <w:t xml:space="preserve"> platensis</w:t>
      </w:r>
      <w:r>
        <w:rPr>
          <w:rFonts w:ascii="Arial" w:hAnsi="Arial" w:cs="Arial"/>
          <w:b/>
          <w:color w:val="auto"/>
          <w:sz w:val="22"/>
          <w:szCs w:val="22"/>
        </w:rPr>
        <w:t xml:space="preserve"> extract</w:t>
      </w:r>
    </w:p>
    <w:p w14:paraId="008834A6" w14:textId="77777777" w:rsidR="00F059D6" w:rsidRPr="00DD060A" w:rsidRDefault="00F059D6" w:rsidP="00F059D6">
      <w:pPr>
        <w:pStyle w:val="isselectedend"/>
        <w:spacing w:before="0" w:beforeAutospacing="0" w:after="0" w:afterAutospacing="0" w:line="276" w:lineRule="auto"/>
        <w:jc w:val="both"/>
        <w:rPr>
          <w:rFonts w:ascii="Arial" w:hAnsi="Arial" w:cs="Arial"/>
          <w:sz w:val="20"/>
          <w:szCs w:val="20"/>
        </w:rPr>
      </w:pPr>
      <w:r>
        <w:rPr>
          <w:rFonts w:ascii="Arial" w:hAnsi="Arial" w:cs="Arial"/>
          <w:sz w:val="20"/>
          <w:szCs w:val="20"/>
        </w:rPr>
        <w:tab/>
        <w:t xml:space="preserve">The cytotoxicity of the </w:t>
      </w:r>
      <w:proofErr w:type="spellStart"/>
      <w:r>
        <w:rPr>
          <w:rStyle w:val="Emphasis"/>
          <w:rFonts w:ascii="Arial" w:hAnsi="Arial" w:cs="Arial"/>
          <w:sz w:val="20"/>
          <w:szCs w:val="20"/>
        </w:rPr>
        <w:t>Arthrospira</w:t>
      </w:r>
      <w:proofErr w:type="spellEnd"/>
      <w:r>
        <w:rPr>
          <w:rStyle w:val="Emphasis"/>
          <w:rFonts w:ascii="Arial" w:hAnsi="Arial" w:cs="Arial"/>
          <w:sz w:val="20"/>
          <w:szCs w:val="20"/>
        </w:rPr>
        <w:t xml:space="preserve"> platensis</w:t>
      </w:r>
      <w:r>
        <w:rPr>
          <w:rFonts w:ascii="Arial" w:hAnsi="Arial" w:cs="Arial"/>
          <w:sz w:val="20"/>
          <w:szCs w:val="20"/>
        </w:rPr>
        <w:t xml:space="preserve"> algal extract was evaluated against VERO cells (African green monkey kidney epithelial cells) using the MTT assay described by </w:t>
      </w:r>
      <w:proofErr w:type="spellStart"/>
      <w:r>
        <w:rPr>
          <w:rFonts w:ascii="Arial" w:hAnsi="Arial" w:cs="Arial"/>
          <w:sz w:val="20"/>
          <w:szCs w:val="20"/>
        </w:rPr>
        <w:t>Mosmann</w:t>
      </w:r>
      <w:proofErr w:type="spellEnd"/>
      <w:r>
        <w:rPr>
          <w:rFonts w:ascii="Arial" w:hAnsi="Arial" w:cs="Arial"/>
          <w:sz w:val="20"/>
          <w:szCs w:val="20"/>
        </w:rPr>
        <w:t xml:space="preserve"> (1983). The </w:t>
      </w:r>
      <w:r>
        <w:rPr>
          <w:rFonts w:ascii="Arial" w:hAnsi="Arial" w:cs="Arial"/>
          <w:sz w:val="20"/>
          <w:szCs w:val="20"/>
        </w:rPr>
        <w:lastRenderedPageBreak/>
        <w:t xml:space="preserve">VERO cells were maintained in Dulbecco’s Modified Eagle Medium (DMEM) supplemented with 10% </w:t>
      </w:r>
      <w:proofErr w:type="spellStart"/>
      <w:r>
        <w:rPr>
          <w:rFonts w:ascii="Arial" w:hAnsi="Arial" w:cs="Arial"/>
          <w:sz w:val="20"/>
          <w:szCs w:val="20"/>
        </w:rPr>
        <w:t>fetal</w:t>
      </w:r>
      <w:proofErr w:type="spellEnd"/>
      <w:r>
        <w:rPr>
          <w:rFonts w:ascii="Arial" w:hAnsi="Arial" w:cs="Arial"/>
          <w:sz w:val="20"/>
          <w:szCs w:val="20"/>
        </w:rPr>
        <w:t xml:space="preserve"> bovine serum and antibiotics at 37 °C in a humidified atmosphere containing 5% CO</w:t>
      </w:r>
      <w:r>
        <w:rPr>
          <w:rFonts w:ascii="Cambria Math" w:hAnsi="Cambria Math" w:cs="Cambria Math"/>
          <w:sz w:val="20"/>
          <w:szCs w:val="20"/>
        </w:rPr>
        <w:t>₂</w:t>
      </w:r>
      <w:r>
        <w:rPr>
          <w:rFonts w:ascii="Arial" w:hAnsi="Arial" w:cs="Arial"/>
          <w:sz w:val="20"/>
          <w:szCs w:val="20"/>
        </w:rPr>
        <w:t>. The cells were seeded into 96-well plates and incubated overnight to allow cell attachment. The cells were then treated with different concentrations of the algal extract (250, 100, 50, 25, 10, and 5 µg/mL) and incubated for 24 h. Untreated cells served as the control.</w:t>
      </w:r>
    </w:p>
    <w:p w14:paraId="045862CE" w14:textId="77777777" w:rsidR="00F059D6" w:rsidRDefault="00F059D6" w:rsidP="00F059D6">
      <w:pPr>
        <w:pStyle w:val="NormalWeb"/>
        <w:spacing w:before="0" w:beforeAutospacing="0" w:after="0" w:afterAutospacing="0" w:line="276" w:lineRule="auto"/>
        <w:jc w:val="both"/>
        <w:rPr>
          <w:rFonts w:ascii="Arial" w:hAnsi="Arial" w:cs="Arial"/>
          <w:sz w:val="20"/>
          <w:szCs w:val="20"/>
        </w:rPr>
      </w:pPr>
      <w:r>
        <w:rPr>
          <w:rFonts w:ascii="Arial" w:hAnsi="Arial" w:cs="Arial"/>
          <w:sz w:val="20"/>
          <w:szCs w:val="20"/>
        </w:rPr>
        <w:tab/>
        <w:t>Following treatment, MTT solution (5 mg/mL) was added to each well, and the plates were incubated to allow the formation of purple formazan crystals by metabolically active cells. The crystals were dissolved in dimethyl sulfoxide (DMSO), and absorbance was measured at 570 nm using a microplate reader. Cell viability was calculated as a percentage relative to the untreated control, while percentage cell death was calculated by subtracting cell viability from 100%. The IC</w:t>
      </w:r>
      <w:r>
        <w:rPr>
          <w:rFonts w:ascii="Cambria Math" w:hAnsi="Cambria Math" w:cs="Cambria Math"/>
          <w:sz w:val="20"/>
          <w:szCs w:val="20"/>
        </w:rPr>
        <w:t>₅₀</w:t>
      </w:r>
      <w:r>
        <w:rPr>
          <w:rFonts w:ascii="Arial" w:hAnsi="Arial" w:cs="Arial"/>
          <w:sz w:val="20"/>
          <w:szCs w:val="20"/>
        </w:rPr>
        <w:t xml:space="preserve"> value was estimated from the concentration–response curve. All treatments were performed in triplicate.</w:t>
      </w:r>
    </w:p>
    <w:p w14:paraId="4DD3298A" w14:textId="77777777" w:rsidR="00980FDF" w:rsidRDefault="00980FDF" w:rsidP="00F059D6">
      <w:pPr>
        <w:pStyle w:val="NormalWeb"/>
        <w:spacing w:before="0" w:beforeAutospacing="0" w:after="0" w:afterAutospacing="0" w:line="276" w:lineRule="auto"/>
        <w:jc w:val="both"/>
        <w:rPr>
          <w:rFonts w:ascii="Arial" w:hAnsi="Arial" w:cs="Arial"/>
          <w:sz w:val="20"/>
          <w:szCs w:val="20"/>
        </w:rPr>
      </w:pPr>
    </w:p>
    <w:p w14:paraId="38ED7B04" w14:textId="77777777" w:rsidR="00980FDF" w:rsidRDefault="00980FDF" w:rsidP="00F059D6">
      <w:pPr>
        <w:pStyle w:val="NormalWeb"/>
        <w:spacing w:before="0" w:beforeAutospacing="0" w:after="0" w:afterAutospacing="0" w:line="276" w:lineRule="auto"/>
        <w:jc w:val="both"/>
        <w:rPr>
          <w:rFonts w:ascii="Arial" w:hAnsi="Arial" w:cs="Arial"/>
          <w:sz w:val="20"/>
          <w:szCs w:val="20"/>
        </w:rPr>
      </w:pPr>
    </w:p>
    <w:p w14:paraId="099527EA" w14:textId="77777777" w:rsidR="00980FDF" w:rsidRPr="00DD060A" w:rsidRDefault="00980FDF" w:rsidP="00F059D6">
      <w:pPr>
        <w:pStyle w:val="NormalWeb"/>
        <w:spacing w:before="0" w:beforeAutospacing="0" w:after="0" w:afterAutospacing="0" w:line="276" w:lineRule="auto"/>
        <w:jc w:val="both"/>
        <w:rPr>
          <w:rFonts w:ascii="Arial" w:hAnsi="Arial" w:cs="Arial"/>
          <w:sz w:val="20"/>
          <w:szCs w:val="20"/>
        </w:rPr>
      </w:pPr>
    </w:p>
    <w:p w14:paraId="3A28FF38" w14:textId="77777777" w:rsidR="00A256E6" w:rsidRPr="00DD060A" w:rsidRDefault="00F059D6" w:rsidP="00F059D6">
      <w:pPr>
        <w:pStyle w:val="NormalWeb"/>
        <w:spacing w:before="240" w:beforeAutospacing="0" w:after="0" w:afterAutospacing="0" w:line="276" w:lineRule="auto"/>
        <w:jc w:val="both"/>
        <w:rPr>
          <w:rStyle w:val="Strong"/>
          <w:rFonts w:ascii="Arial" w:hAnsi="Arial" w:cs="Arial"/>
          <w:sz w:val="22"/>
          <w:szCs w:val="22"/>
        </w:rPr>
      </w:pPr>
      <w:r>
        <w:rPr>
          <w:rStyle w:val="Strong"/>
          <w:rFonts w:ascii="Arial" w:hAnsi="Arial" w:cs="Arial"/>
          <w:sz w:val="22"/>
          <w:szCs w:val="22"/>
        </w:rPr>
        <w:t>Statistical analysis</w:t>
      </w:r>
    </w:p>
    <w:p w14:paraId="51D3DE8F" w14:textId="77777777" w:rsidR="00131C0B" w:rsidRPr="00DD060A" w:rsidRDefault="00A256E6" w:rsidP="009C4B48">
      <w:pPr>
        <w:pStyle w:val="NormalWeb"/>
        <w:spacing w:before="240" w:beforeAutospacing="0" w:after="0" w:afterAutospacing="0" w:line="276" w:lineRule="auto"/>
        <w:jc w:val="both"/>
        <w:rPr>
          <w:rFonts w:ascii="Arial" w:hAnsi="Arial" w:cs="Arial"/>
          <w:sz w:val="20"/>
          <w:szCs w:val="20"/>
        </w:rPr>
      </w:pPr>
      <w:r>
        <w:rPr>
          <w:rFonts w:ascii="Arial" w:hAnsi="Arial" w:cs="Arial"/>
          <w:sz w:val="20"/>
          <w:szCs w:val="20"/>
        </w:rPr>
        <w:tab/>
        <w:t>The experimental results were expressed as mean ± standard deviation (SD) based on triplicate measurements. The standard error (SE) was calculated by dividing the SD by the square root of the number of replicates. Statistical calculations and graphical representations were performed using Microsoft Excel 2010. The IC</w:t>
      </w:r>
      <w:r>
        <w:rPr>
          <w:rFonts w:ascii="Cambria Math" w:hAnsi="Cambria Math" w:cs="Cambria Math"/>
          <w:sz w:val="20"/>
          <w:szCs w:val="20"/>
        </w:rPr>
        <w:t>₅₀</w:t>
      </w:r>
      <w:r>
        <w:rPr>
          <w:rFonts w:ascii="Arial" w:hAnsi="Arial" w:cs="Arial"/>
          <w:sz w:val="20"/>
          <w:szCs w:val="20"/>
        </w:rPr>
        <w:t xml:space="preserve"> value was estimated from the concentration–response curve as the concentration required to produce 50% inhibition of cell viability.</w:t>
      </w:r>
    </w:p>
    <w:p w14:paraId="480DFE46" w14:textId="77777777" w:rsidR="00087399" w:rsidRPr="00DD060A" w:rsidRDefault="00FB206B" w:rsidP="00980FDF">
      <w:pPr>
        <w:pStyle w:val="NormalWeb"/>
        <w:spacing w:before="240" w:beforeAutospacing="0" w:after="0" w:afterAutospacing="0" w:line="276" w:lineRule="auto"/>
        <w:jc w:val="both"/>
        <w:rPr>
          <w:rFonts w:ascii="Arial" w:hAnsi="Arial" w:cs="Arial"/>
          <w:b/>
          <w:sz w:val="22"/>
          <w:szCs w:val="22"/>
        </w:rPr>
      </w:pPr>
      <w:r>
        <w:rPr>
          <w:rFonts w:ascii="Arial" w:hAnsi="Arial" w:cs="Arial"/>
          <w:b/>
          <w:sz w:val="22"/>
          <w:szCs w:val="22"/>
        </w:rPr>
        <w:t>3. Results</w:t>
      </w:r>
    </w:p>
    <w:p w14:paraId="5BE0939A" w14:textId="77777777" w:rsidR="00FB206B" w:rsidRPr="00DD060A" w:rsidRDefault="003E5480" w:rsidP="009C4B48">
      <w:pPr>
        <w:pStyle w:val="Heading1"/>
        <w:shd w:val="clear" w:color="auto" w:fill="FFFFFF" w:themeFill="background1"/>
        <w:spacing w:before="240" w:line="276" w:lineRule="auto"/>
        <w:jc w:val="both"/>
        <w:rPr>
          <w:rFonts w:ascii="Arial" w:hAnsi="Arial" w:cs="Arial"/>
          <w:b/>
          <w:color w:val="auto"/>
          <w:sz w:val="20"/>
          <w:szCs w:val="20"/>
        </w:rPr>
      </w:pPr>
      <w:r>
        <w:rPr>
          <w:rFonts w:ascii="Arial" w:hAnsi="Arial" w:cs="Arial"/>
          <w:b/>
          <w:color w:val="auto"/>
          <w:sz w:val="20"/>
          <w:szCs w:val="20"/>
        </w:rPr>
        <w:t>3.1 Isolation of bacterial isolates from meat samples</w:t>
      </w:r>
    </w:p>
    <w:p w14:paraId="518B626C" w14:textId="77777777" w:rsidR="00E02D8C" w:rsidRPr="00DD060A" w:rsidRDefault="00E02D8C" w:rsidP="009C4B48">
      <w:pPr>
        <w:pStyle w:val="Heading1"/>
        <w:shd w:val="clear" w:color="auto" w:fill="FFFFFF" w:themeFill="background1"/>
        <w:spacing w:before="240" w:line="276" w:lineRule="auto"/>
        <w:jc w:val="both"/>
        <w:rPr>
          <w:rFonts w:ascii="Arial" w:hAnsi="Arial" w:cs="Arial"/>
          <w:color w:val="auto"/>
          <w:sz w:val="20"/>
          <w:szCs w:val="20"/>
        </w:rPr>
      </w:pPr>
      <w:r>
        <w:rPr>
          <w:rFonts w:ascii="Arial" w:hAnsi="Arial" w:cs="Arial"/>
          <w:color w:val="auto"/>
          <w:sz w:val="20"/>
          <w:szCs w:val="20"/>
        </w:rPr>
        <w:tab/>
        <w:t xml:space="preserve">A total of 27 bacterial isolates were recovered from chicken, fish, and mutton samples, representing seven bacterial species or genera. Among these, </w:t>
      </w:r>
      <w:r>
        <w:rPr>
          <w:rFonts w:ascii="Arial" w:hAnsi="Arial" w:cs="Arial"/>
          <w:i/>
          <w:color w:val="auto"/>
          <w:sz w:val="20"/>
          <w:szCs w:val="20"/>
        </w:rPr>
        <w:t>Klebsiella pneumoniae</w:t>
      </w:r>
      <w:r>
        <w:rPr>
          <w:rFonts w:ascii="Arial" w:hAnsi="Arial" w:cs="Arial"/>
          <w:color w:val="auto"/>
          <w:sz w:val="20"/>
          <w:szCs w:val="20"/>
        </w:rPr>
        <w:t xml:space="preserve"> was the most frequently detected, </w:t>
      </w:r>
      <w:r>
        <w:rPr>
          <w:rFonts w:ascii="Arial" w:hAnsi="Arial" w:cs="Arial"/>
          <w:color w:val="auto"/>
          <w:sz w:val="20"/>
          <w:szCs w:val="20"/>
          <w:highlight w:val="yellow"/>
        </w:rPr>
        <w:t>being</w:t>
      </w:r>
      <w:r>
        <w:rPr>
          <w:rFonts w:ascii="Arial" w:hAnsi="Arial" w:cs="Arial"/>
          <w:color w:val="auto"/>
          <w:sz w:val="20"/>
          <w:szCs w:val="20"/>
        </w:rPr>
        <w:t xml:space="preserve"> </w:t>
      </w:r>
      <w:r>
        <w:rPr>
          <w:rFonts w:ascii="Arial" w:hAnsi="Arial" w:cs="Arial"/>
          <w:color w:val="auto"/>
          <w:sz w:val="20"/>
          <w:szCs w:val="20"/>
          <w:highlight w:val="yellow"/>
        </w:rPr>
        <w:t xml:space="preserve">detected </w:t>
      </w:r>
      <w:r>
        <w:rPr>
          <w:rFonts w:ascii="Arial" w:hAnsi="Arial" w:cs="Arial"/>
          <w:color w:val="auto"/>
          <w:sz w:val="20"/>
          <w:szCs w:val="20"/>
        </w:rPr>
        <w:t xml:space="preserve">in </w:t>
      </w:r>
      <w:r>
        <w:rPr>
          <w:rFonts w:ascii="Arial" w:hAnsi="Arial" w:cs="Arial"/>
          <w:color w:val="auto"/>
          <w:sz w:val="20"/>
          <w:szCs w:val="20"/>
          <w:highlight w:val="yellow"/>
        </w:rPr>
        <w:t>eight</w:t>
      </w:r>
      <w:r>
        <w:rPr>
          <w:rFonts w:ascii="Arial" w:hAnsi="Arial" w:cs="Arial"/>
          <w:color w:val="auto"/>
          <w:sz w:val="20"/>
          <w:szCs w:val="20"/>
        </w:rPr>
        <w:t xml:space="preserve"> samples (88.8%): 3 from chicken (100%), 2 from fish (66.6%), and 3 from mutton (100%). </w:t>
      </w:r>
      <w:r>
        <w:rPr>
          <w:rFonts w:ascii="Arial" w:hAnsi="Arial" w:cs="Arial"/>
          <w:i/>
          <w:color w:val="auto"/>
          <w:sz w:val="20"/>
          <w:szCs w:val="20"/>
        </w:rPr>
        <w:t>Enterococcus faecalis</w:t>
      </w:r>
      <w:r>
        <w:rPr>
          <w:rFonts w:ascii="Arial" w:hAnsi="Arial" w:cs="Arial"/>
          <w:color w:val="auto"/>
          <w:sz w:val="20"/>
          <w:szCs w:val="20"/>
        </w:rPr>
        <w:t xml:space="preserve"> and Salmonella species were each found in 5 samples (55.5%). Specifically, </w:t>
      </w:r>
      <w:r>
        <w:rPr>
          <w:rFonts w:ascii="Arial" w:hAnsi="Arial" w:cs="Arial"/>
          <w:i/>
          <w:color w:val="auto"/>
          <w:sz w:val="20"/>
          <w:szCs w:val="20"/>
        </w:rPr>
        <w:t>E. faecalis</w:t>
      </w:r>
      <w:r>
        <w:rPr>
          <w:rFonts w:ascii="Arial" w:hAnsi="Arial" w:cs="Arial"/>
          <w:color w:val="auto"/>
          <w:sz w:val="20"/>
          <w:szCs w:val="20"/>
        </w:rPr>
        <w:t xml:space="preserve"> was detected in 2 chicken samples (66.6%), 1 fish sample (33.3%), and 2 mutton samples (66.6%); meanwhile, Salmonella species were identified in 2 chicken (66.6%), 1 fish (33.3%), and 2 mutton (66.6%) samples, respectively.</w:t>
      </w:r>
    </w:p>
    <w:p w14:paraId="6B4B9D27" w14:textId="77777777" w:rsidR="00E02D8C" w:rsidRPr="00DD060A" w:rsidRDefault="008C0D6B" w:rsidP="009C4B48">
      <w:pPr>
        <w:pStyle w:val="Heading1"/>
        <w:shd w:val="clear" w:color="auto" w:fill="FFFFFF" w:themeFill="background1"/>
        <w:spacing w:before="240" w:line="276" w:lineRule="auto"/>
        <w:jc w:val="both"/>
        <w:rPr>
          <w:rFonts w:ascii="Arial" w:hAnsi="Arial" w:cs="Arial"/>
          <w:color w:val="auto"/>
          <w:sz w:val="20"/>
          <w:szCs w:val="20"/>
        </w:rPr>
      </w:pPr>
      <w:r>
        <w:rPr>
          <w:rFonts w:ascii="Arial" w:hAnsi="Arial" w:cs="Arial"/>
          <w:i/>
          <w:color w:val="auto"/>
          <w:sz w:val="20"/>
          <w:szCs w:val="20"/>
        </w:rPr>
        <w:tab/>
        <w:t>Escherichia coli</w:t>
      </w:r>
      <w:r>
        <w:rPr>
          <w:rFonts w:ascii="Arial" w:hAnsi="Arial" w:cs="Arial"/>
          <w:color w:val="auto"/>
          <w:sz w:val="20"/>
          <w:szCs w:val="20"/>
        </w:rPr>
        <w:t xml:space="preserve"> and </w:t>
      </w:r>
      <w:r>
        <w:rPr>
          <w:rFonts w:ascii="Arial" w:hAnsi="Arial" w:cs="Arial"/>
          <w:i/>
          <w:color w:val="auto"/>
          <w:sz w:val="20"/>
          <w:szCs w:val="20"/>
        </w:rPr>
        <w:t>Proteus mirabilis</w:t>
      </w:r>
      <w:r>
        <w:rPr>
          <w:rFonts w:ascii="Arial" w:hAnsi="Arial" w:cs="Arial"/>
          <w:color w:val="auto"/>
          <w:sz w:val="20"/>
          <w:szCs w:val="20"/>
        </w:rPr>
        <w:t xml:space="preserve"> were each detected in a total of 3 samples (33.3%). </w:t>
      </w:r>
      <w:r>
        <w:rPr>
          <w:rFonts w:ascii="Arial" w:hAnsi="Arial" w:cs="Arial"/>
          <w:i/>
          <w:color w:val="auto"/>
          <w:sz w:val="20"/>
          <w:szCs w:val="20"/>
        </w:rPr>
        <w:t>E. coli</w:t>
      </w:r>
      <w:r>
        <w:rPr>
          <w:rFonts w:ascii="Arial" w:hAnsi="Arial" w:cs="Arial"/>
          <w:color w:val="auto"/>
          <w:sz w:val="20"/>
          <w:szCs w:val="20"/>
        </w:rPr>
        <w:t xml:space="preserve"> was evenly distributed across the sample types, with 1 sample (33.3%) obtained from each source. </w:t>
      </w:r>
      <w:r>
        <w:rPr>
          <w:rFonts w:ascii="Arial" w:hAnsi="Arial" w:cs="Arial"/>
          <w:i/>
          <w:color w:val="auto"/>
          <w:sz w:val="20"/>
          <w:szCs w:val="20"/>
        </w:rPr>
        <w:t>P. mirabilis</w:t>
      </w:r>
      <w:r>
        <w:rPr>
          <w:rFonts w:ascii="Arial" w:hAnsi="Arial" w:cs="Arial"/>
          <w:color w:val="auto"/>
          <w:sz w:val="20"/>
          <w:szCs w:val="20"/>
        </w:rPr>
        <w:t xml:space="preserve"> was isolated from chicken [1 (33.3%)] and fish [2 (66.6%)] samples but was not detected in mutton samples. </w:t>
      </w:r>
      <w:r>
        <w:rPr>
          <w:rFonts w:ascii="Arial" w:hAnsi="Arial" w:cs="Arial"/>
          <w:i/>
          <w:color w:val="auto"/>
          <w:sz w:val="20"/>
          <w:szCs w:val="20"/>
        </w:rPr>
        <w:t>Pseudomonas aeruginosa</w:t>
      </w:r>
      <w:r>
        <w:rPr>
          <w:rFonts w:ascii="Arial" w:hAnsi="Arial" w:cs="Arial"/>
          <w:color w:val="auto"/>
          <w:sz w:val="20"/>
          <w:szCs w:val="20"/>
        </w:rPr>
        <w:t xml:space="preserve"> was isolated from chicken and mutton samples (1 sample from each source – 33.3%); </w:t>
      </w:r>
      <w:r>
        <w:rPr>
          <w:rFonts w:ascii="Arial" w:hAnsi="Arial" w:cs="Arial"/>
          <w:color w:val="auto"/>
          <w:sz w:val="20"/>
          <w:szCs w:val="20"/>
          <w:highlight w:val="yellow"/>
        </w:rPr>
        <w:t>Overall,</w:t>
      </w:r>
      <w:r>
        <w:rPr>
          <w:rFonts w:ascii="Arial" w:hAnsi="Arial" w:cs="Arial"/>
          <w:color w:val="auto"/>
          <w:sz w:val="20"/>
          <w:szCs w:val="20"/>
        </w:rPr>
        <w:t xml:space="preserve"> </w:t>
      </w:r>
      <w:r>
        <w:rPr>
          <w:rFonts w:ascii="Arial" w:hAnsi="Arial" w:cs="Arial"/>
          <w:color w:val="auto"/>
          <w:sz w:val="20"/>
          <w:szCs w:val="20"/>
          <w:highlight w:val="yellow"/>
        </w:rPr>
        <w:t>this</w:t>
      </w:r>
      <w:r>
        <w:rPr>
          <w:rFonts w:ascii="Arial" w:hAnsi="Arial" w:cs="Arial"/>
          <w:color w:val="auto"/>
          <w:sz w:val="20"/>
          <w:szCs w:val="20"/>
        </w:rPr>
        <w:t xml:space="preserve"> </w:t>
      </w:r>
      <w:r>
        <w:rPr>
          <w:rFonts w:ascii="Arial" w:hAnsi="Arial" w:cs="Arial"/>
          <w:color w:val="auto"/>
          <w:sz w:val="20"/>
          <w:szCs w:val="20"/>
          <w:highlight w:val="yellow"/>
        </w:rPr>
        <w:t>organism</w:t>
      </w:r>
      <w:r>
        <w:rPr>
          <w:rFonts w:ascii="Arial" w:hAnsi="Arial" w:cs="Arial"/>
          <w:color w:val="auto"/>
          <w:sz w:val="20"/>
          <w:szCs w:val="20"/>
        </w:rPr>
        <w:t xml:space="preserve"> </w:t>
      </w:r>
      <w:r>
        <w:rPr>
          <w:rFonts w:ascii="Arial" w:hAnsi="Arial" w:cs="Arial"/>
          <w:color w:val="auto"/>
          <w:sz w:val="20"/>
          <w:szCs w:val="20"/>
          <w:highlight w:val="yellow"/>
        </w:rPr>
        <w:t>was detected in two</w:t>
      </w:r>
      <w:r>
        <w:rPr>
          <w:rFonts w:ascii="Arial" w:hAnsi="Arial" w:cs="Arial"/>
          <w:color w:val="auto"/>
          <w:sz w:val="20"/>
          <w:szCs w:val="20"/>
        </w:rPr>
        <w:t xml:space="preserve"> samples (22.2%). Citrobacter species were detected only in chicken samples (1 sample – 33.3%); </w:t>
      </w:r>
      <w:r>
        <w:rPr>
          <w:rFonts w:ascii="Arial" w:hAnsi="Arial" w:cs="Arial"/>
          <w:color w:val="auto"/>
          <w:sz w:val="20"/>
          <w:szCs w:val="20"/>
          <w:highlight w:val="yellow"/>
        </w:rPr>
        <w:t>representing</w:t>
      </w:r>
      <w:r>
        <w:rPr>
          <w:rFonts w:ascii="Arial" w:hAnsi="Arial" w:cs="Arial"/>
          <w:color w:val="auto"/>
          <w:sz w:val="20"/>
          <w:szCs w:val="20"/>
        </w:rPr>
        <w:t xml:space="preserve"> 11.1% of </w:t>
      </w:r>
      <w:r>
        <w:rPr>
          <w:rFonts w:ascii="Arial" w:hAnsi="Arial" w:cs="Arial"/>
          <w:color w:val="auto"/>
          <w:sz w:val="20"/>
          <w:szCs w:val="20"/>
          <w:highlight w:val="yellow"/>
        </w:rPr>
        <w:t>all</w:t>
      </w:r>
      <w:r>
        <w:rPr>
          <w:rFonts w:ascii="Arial" w:hAnsi="Arial" w:cs="Arial"/>
          <w:color w:val="auto"/>
          <w:sz w:val="20"/>
          <w:szCs w:val="20"/>
        </w:rPr>
        <w:t xml:space="preserve"> samples. Overall, among the isolated bacteria, </w:t>
      </w:r>
      <w:r>
        <w:rPr>
          <w:rFonts w:ascii="Arial" w:hAnsi="Arial" w:cs="Arial"/>
          <w:i/>
          <w:color w:val="auto"/>
          <w:sz w:val="20"/>
          <w:szCs w:val="20"/>
        </w:rPr>
        <w:t>K. pneumoniae</w:t>
      </w:r>
      <w:r>
        <w:rPr>
          <w:rFonts w:ascii="Arial" w:hAnsi="Arial" w:cs="Arial"/>
          <w:color w:val="auto"/>
          <w:sz w:val="20"/>
          <w:szCs w:val="20"/>
        </w:rPr>
        <w:t xml:space="preserve"> showed the highest incidence rate, while Citrobacter species showed the lowest.</w:t>
      </w:r>
    </w:p>
    <w:p w14:paraId="4ED8CBCA" w14:textId="77777777" w:rsidR="00BC014A" w:rsidRPr="00DD060A" w:rsidRDefault="003E5480" w:rsidP="009C4B48">
      <w:pPr>
        <w:pStyle w:val="Heading1"/>
        <w:spacing w:before="240" w:line="276" w:lineRule="auto"/>
        <w:jc w:val="both"/>
        <w:rPr>
          <w:rFonts w:ascii="Arial" w:hAnsi="Arial" w:cs="Arial"/>
          <w:b/>
          <w:color w:val="auto"/>
          <w:sz w:val="22"/>
          <w:szCs w:val="22"/>
        </w:rPr>
      </w:pPr>
      <w:r>
        <w:rPr>
          <w:rFonts w:ascii="Arial" w:hAnsi="Arial" w:cs="Arial"/>
          <w:b/>
          <w:color w:val="auto"/>
          <w:sz w:val="22"/>
          <w:szCs w:val="22"/>
        </w:rPr>
        <w:t>3.2 Isolation of ESBL and biofilm</w:t>
      </w:r>
      <w:r>
        <w:rPr>
          <w:rFonts w:ascii="Arial" w:hAnsi="Arial" w:cs="Arial"/>
          <w:b/>
          <w:color w:val="auto"/>
          <w:sz w:val="22"/>
          <w:szCs w:val="22"/>
          <w:highlight w:val="yellow"/>
        </w:rPr>
        <w:t>-</w:t>
      </w:r>
      <w:r>
        <w:rPr>
          <w:rFonts w:ascii="Arial" w:hAnsi="Arial" w:cs="Arial"/>
          <w:b/>
          <w:color w:val="auto"/>
          <w:sz w:val="22"/>
          <w:szCs w:val="22"/>
        </w:rPr>
        <w:t>producing isolates</w:t>
      </w:r>
    </w:p>
    <w:p w14:paraId="6E0EF080" w14:textId="77777777" w:rsidR="00FB5F27" w:rsidRPr="00DD060A" w:rsidRDefault="00FB5F27" w:rsidP="009C4B48">
      <w:pPr>
        <w:pStyle w:val="isselectedend"/>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The ESBL production and biofilm-forming ability of the 27 bacterial isolates were evaluated, and the results are presented in </w:t>
      </w:r>
      <w:r>
        <w:rPr>
          <w:rFonts w:ascii="Arial" w:hAnsi="Arial" w:cs="Arial"/>
          <w:sz w:val="20"/>
          <w:szCs w:val="20"/>
          <w:highlight w:val="yellow"/>
        </w:rPr>
        <w:t>Figure</w:t>
      </w:r>
      <w:r>
        <w:rPr>
          <w:rFonts w:ascii="Arial" w:hAnsi="Arial" w:cs="Arial"/>
          <w:sz w:val="20"/>
          <w:szCs w:val="20"/>
        </w:rPr>
        <w:t xml:space="preserve"> 1. Overall, </w:t>
      </w:r>
      <w:r>
        <w:rPr>
          <w:rStyle w:val="Strong"/>
          <w:rFonts w:ascii="Arial" w:hAnsi="Arial" w:cs="Arial"/>
          <w:b w:val="0"/>
          <w:sz w:val="20"/>
          <w:szCs w:val="20"/>
        </w:rPr>
        <w:t>17 isolates (62.9%) were positive for ESBL production</w:t>
      </w:r>
      <w:r>
        <w:rPr>
          <w:rFonts w:ascii="Arial" w:hAnsi="Arial" w:cs="Arial"/>
          <w:b/>
          <w:sz w:val="20"/>
          <w:szCs w:val="20"/>
        </w:rPr>
        <w:t xml:space="preserve">, </w:t>
      </w:r>
      <w:r>
        <w:rPr>
          <w:rFonts w:ascii="Arial" w:hAnsi="Arial" w:cs="Arial"/>
          <w:sz w:val="20"/>
          <w:szCs w:val="20"/>
        </w:rPr>
        <w:t xml:space="preserve">while </w:t>
      </w:r>
      <w:r>
        <w:rPr>
          <w:rStyle w:val="Strong"/>
          <w:rFonts w:ascii="Arial" w:hAnsi="Arial" w:cs="Arial"/>
          <w:b w:val="0"/>
          <w:sz w:val="20"/>
          <w:szCs w:val="20"/>
        </w:rPr>
        <w:t>14 isolates (51.9%) exhibited biofilm-forming ability</w:t>
      </w:r>
      <w:r>
        <w:rPr>
          <w:rFonts w:ascii="Arial" w:hAnsi="Arial" w:cs="Arial"/>
          <w:sz w:val="20"/>
          <w:szCs w:val="20"/>
        </w:rPr>
        <w:t xml:space="preserve">. Among the three </w:t>
      </w:r>
      <w:r>
        <w:rPr>
          <w:rStyle w:val="Emphasis"/>
          <w:rFonts w:ascii="Arial" w:hAnsi="Arial" w:cs="Arial"/>
          <w:sz w:val="20"/>
          <w:szCs w:val="20"/>
        </w:rPr>
        <w:t>Escherichia coli</w:t>
      </w:r>
      <w:r>
        <w:rPr>
          <w:rFonts w:ascii="Arial" w:hAnsi="Arial" w:cs="Arial"/>
          <w:sz w:val="20"/>
          <w:szCs w:val="20"/>
        </w:rPr>
        <w:t xml:space="preserve"> isolates, 2 (66.7%) were ESBL-positive and 2 (66.7%) were biofilm-positive. Of the two </w:t>
      </w:r>
      <w:r>
        <w:rPr>
          <w:rStyle w:val="Emphasis"/>
          <w:rFonts w:ascii="Arial" w:hAnsi="Arial" w:cs="Arial"/>
          <w:sz w:val="20"/>
          <w:szCs w:val="20"/>
        </w:rPr>
        <w:t>Pseudomonas aeruginosa</w:t>
      </w:r>
      <w:r>
        <w:rPr>
          <w:rFonts w:ascii="Arial" w:hAnsi="Arial" w:cs="Arial"/>
          <w:sz w:val="20"/>
          <w:szCs w:val="20"/>
        </w:rPr>
        <w:t xml:space="preserve"> isolates, 1 (50.0%) was ESBL-positive, whereas both isolates (100%) exhibited biofilm formation (Fig.1).</w:t>
      </w:r>
    </w:p>
    <w:p w14:paraId="4E2D62D3" w14:textId="77777777" w:rsidR="00FB5F27" w:rsidRPr="00DD060A" w:rsidRDefault="00FB5F27" w:rsidP="009C4B48">
      <w:pPr>
        <w:pStyle w:val="NormalWeb"/>
        <w:spacing w:before="240" w:beforeAutospacing="0" w:after="0" w:afterAutospacing="0" w:line="276" w:lineRule="auto"/>
        <w:jc w:val="both"/>
        <w:rPr>
          <w:rFonts w:ascii="Arial" w:hAnsi="Arial" w:cs="Arial"/>
          <w:sz w:val="20"/>
          <w:szCs w:val="20"/>
        </w:rPr>
      </w:pPr>
      <w:r>
        <w:rPr>
          <w:rFonts w:ascii="Arial" w:hAnsi="Arial" w:cs="Arial"/>
          <w:sz w:val="20"/>
          <w:szCs w:val="20"/>
        </w:rPr>
        <w:lastRenderedPageBreak/>
        <w:tab/>
        <w:t xml:space="preserve">Among the five </w:t>
      </w:r>
      <w:r>
        <w:rPr>
          <w:rStyle w:val="Emphasis"/>
          <w:rFonts w:ascii="Arial" w:hAnsi="Arial" w:cs="Arial"/>
          <w:sz w:val="20"/>
          <w:szCs w:val="20"/>
        </w:rPr>
        <w:t>Enterococcus faecalis</w:t>
      </w:r>
      <w:r>
        <w:rPr>
          <w:rFonts w:ascii="Arial" w:hAnsi="Arial" w:cs="Arial"/>
          <w:sz w:val="20"/>
          <w:szCs w:val="20"/>
        </w:rPr>
        <w:t xml:space="preserve"> isolates, 3 (60.0%) were ESBL-positive and 1 (20.0%) showed biofilm-forming ability. </w:t>
      </w:r>
      <w:r>
        <w:rPr>
          <w:rStyle w:val="Emphasis"/>
          <w:rFonts w:ascii="Arial" w:hAnsi="Arial" w:cs="Arial"/>
          <w:sz w:val="20"/>
          <w:szCs w:val="20"/>
        </w:rPr>
        <w:t>Klebsiella pneumoniae</w:t>
      </w:r>
      <w:r>
        <w:rPr>
          <w:rFonts w:ascii="Arial" w:hAnsi="Arial" w:cs="Arial"/>
          <w:sz w:val="20"/>
          <w:szCs w:val="20"/>
        </w:rPr>
        <w:t xml:space="preserve"> comprised eight isolates, of which 5 (62.5%) were ESBL-positive and 3 (37.5%) were biofilm-positive. Among the three </w:t>
      </w:r>
      <w:r>
        <w:rPr>
          <w:rStyle w:val="Emphasis"/>
          <w:rFonts w:ascii="Arial" w:hAnsi="Arial" w:cs="Arial"/>
          <w:sz w:val="20"/>
          <w:szCs w:val="20"/>
        </w:rPr>
        <w:t>Proteus mirabilis</w:t>
      </w:r>
      <w:r>
        <w:rPr>
          <w:rFonts w:ascii="Arial" w:hAnsi="Arial" w:cs="Arial"/>
          <w:sz w:val="20"/>
          <w:szCs w:val="20"/>
        </w:rPr>
        <w:t xml:space="preserve"> isolates, 2 (66.7%) were ESBL-positive and 2 (66.7%) exhibited biofilm formation. The single </w:t>
      </w:r>
      <w:r>
        <w:rPr>
          <w:rStyle w:val="Emphasis"/>
          <w:rFonts w:ascii="Arial" w:hAnsi="Arial" w:cs="Arial"/>
          <w:sz w:val="20"/>
          <w:szCs w:val="20"/>
        </w:rPr>
        <w:t>Citrobacter</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isolate was ESBL-positive (100%) but did not exhibit biofilm formation. Among the five </w:t>
      </w:r>
      <w:r>
        <w:rPr>
          <w:rStyle w:val="Emphasis"/>
          <w:rFonts w:ascii="Arial" w:hAnsi="Arial" w:cs="Arial"/>
          <w:sz w:val="20"/>
          <w:szCs w:val="20"/>
        </w:rPr>
        <w:t>Salmonella</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isolates, 3 (60.0%) were ESBL-positive and 4 (80.0%) exhibited biofilm-forming ability (Fig.1). Overall, ESBL production was most frequently observed among </w:t>
      </w:r>
      <w:r>
        <w:rPr>
          <w:rStyle w:val="Emphasis"/>
          <w:rFonts w:ascii="Arial" w:hAnsi="Arial" w:cs="Arial"/>
          <w:sz w:val="20"/>
          <w:szCs w:val="20"/>
        </w:rPr>
        <w:t>Citrobacter</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(100%),</w:t>
      </w:r>
      <w:r>
        <w:rPr>
          <w:rFonts w:ascii="Arial" w:hAnsi="Arial" w:cs="Arial"/>
          <w:sz w:val="20"/>
          <w:szCs w:val="20"/>
          <w:highlight w:val="yellow"/>
        </w:rPr>
        <w:t xml:space="preserve"> although this percentage</w:t>
      </w:r>
      <w:r>
        <w:rPr>
          <w:rFonts w:ascii="Arial" w:hAnsi="Arial" w:cs="Arial"/>
          <w:sz w:val="20"/>
          <w:szCs w:val="20"/>
        </w:rPr>
        <w:t xml:space="preserve"> was </w:t>
      </w:r>
      <w:r>
        <w:rPr>
          <w:rFonts w:ascii="Arial" w:hAnsi="Arial" w:cs="Arial"/>
          <w:sz w:val="20"/>
          <w:szCs w:val="20"/>
          <w:highlight w:val="yellow"/>
        </w:rPr>
        <w:t>based on a</w:t>
      </w:r>
      <w:r>
        <w:rPr>
          <w:rFonts w:ascii="Arial" w:hAnsi="Arial" w:cs="Arial"/>
          <w:sz w:val="20"/>
          <w:szCs w:val="20"/>
        </w:rPr>
        <w:t xml:space="preserve"> single isolate, followed by </w:t>
      </w:r>
      <w:r>
        <w:rPr>
          <w:rStyle w:val="Emphasis"/>
          <w:rFonts w:ascii="Arial" w:hAnsi="Arial" w:cs="Arial"/>
          <w:sz w:val="20"/>
          <w:szCs w:val="20"/>
        </w:rPr>
        <w:t>E. coli</w:t>
      </w:r>
      <w:r>
        <w:rPr>
          <w:rFonts w:ascii="Arial" w:hAnsi="Arial" w:cs="Arial"/>
          <w:sz w:val="20"/>
          <w:szCs w:val="20"/>
        </w:rPr>
        <w:t xml:space="preserve"> and </w:t>
      </w:r>
      <w:r>
        <w:rPr>
          <w:rStyle w:val="Emphasis"/>
          <w:rFonts w:ascii="Arial" w:hAnsi="Arial" w:cs="Arial"/>
          <w:sz w:val="20"/>
          <w:szCs w:val="20"/>
        </w:rPr>
        <w:t>P. mirabilis</w:t>
      </w:r>
      <w:r>
        <w:rPr>
          <w:rFonts w:ascii="Arial" w:hAnsi="Arial" w:cs="Arial"/>
          <w:sz w:val="20"/>
          <w:szCs w:val="20"/>
        </w:rPr>
        <w:t xml:space="preserve"> (66.7%), whereas biofilm formation was highest among </w:t>
      </w:r>
      <w:r>
        <w:rPr>
          <w:rStyle w:val="Emphasis"/>
          <w:rFonts w:ascii="Arial" w:hAnsi="Arial" w:cs="Arial"/>
          <w:sz w:val="20"/>
          <w:szCs w:val="20"/>
        </w:rPr>
        <w:t>P. aeruginosa</w:t>
      </w:r>
      <w:r>
        <w:rPr>
          <w:rFonts w:ascii="Arial" w:hAnsi="Arial" w:cs="Arial"/>
          <w:sz w:val="20"/>
          <w:szCs w:val="20"/>
        </w:rPr>
        <w:t xml:space="preserve"> (100%), followed by </w:t>
      </w:r>
      <w:r>
        <w:rPr>
          <w:rStyle w:val="Emphasis"/>
          <w:rFonts w:ascii="Arial" w:hAnsi="Arial" w:cs="Arial"/>
          <w:sz w:val="20"/>
          <w:szCs w:val="20"/>
        </w:rPr>
        <w:t>Salmonella</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(80.0%).</w:t>
      </w:r>
    </w:p>
    <w:p w14:paraId="3E350A1A" w14:textId="77777777" w:rsidR="006F544F" w:rsidRPr="00DD060A" w:rsidRDefault="006F544F" w:rsidP="009C4B48">
      <w:pPr>
        <w:pStyle w:val="NormalWeb"/>
        <w:spacing w:before="240" w:beforeAutospacing="0" w:after="0" w:afterAutospacing="0" w:line="276" w:lineRule="auto"/>
        <w:jc w:val="center"/>
        <w:rPr>
          <w:rFonts w:ascii="Arial" w:hAnsi="Arial" w:cs="Arial"/>
          <w:sz w:val="20"/>
          <w:szCs w:val="20"/>
        </w:rPr>
      </w:pPr>
      <w:r w:rsidRPr="00DD060A">
        <w:rPr>
          <w:rFonts w:ascii="Arial" w:hAnsi="Arial" w:cs="Arial"/>
          <w:noProof/>
          <w:sz w:val="20"/>
          <w:szCs w:val="20"/>
        </w:rPr>
        <w:drawing>
          <wp:inline distT="0" distB="0" distL="0" distR="0" wp14:anchorId="231A27DC" wp14:editId="3D77DD4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D14BEF" w14:textId="77777777" w:rsidR="00D7096D" w:rsidRPr="00DD060A" w:rsidRDefault="00D7096D" w:rsidP="009C4B48">
      <w:pPr>
        <w:pStyle w:val="NormalWeb"/>
        <w:spacing w:before="240" w:beforeAutospacing="0" w:after="0" w:afterAutospacing="0" w:line="276" w:lineRule="auto"/>
        <w:jc w:val="center"/>
        <w:rPr>
          <w:rFonts w:ascii="Arial" w:hAnsi="Arial" w:cs="Arial"/>
          <w:b/>
          <w:sz w:val="20"/>
          <w:szCs w:val="20"/>
        </w:rPr>
      </w:pPr>
      <w:r w:rsidRPr="00DD060A">
        <w:rPr>
          <w:rFonts w:ascii="Arial" w:hAnsi="Arial" w:cs="Arial"/>
          <w:b/>
          <w:sz w:val="20"/>
          <w:szCs w:val="20"/>
        </w:rPr>
        <w:t>Figure 1. Isolation of ESBL and Biofilm producing isolates</w:t>
      </w:r>
    </w:p>
    <w:p w14:paraId="5F5AC40C" w14:textId="77777777" w:rsidR="00E342AA" w:rsidRPr="00DD060A" w:rsidRDefault="003E5480" w:rsidP="009C4B48">
      <w:pPr>
        <w:pStyle w:val="NormalWeb"/>
        <w:spacing w:before="240" w:beforeAutospacing="0" w:after="0" w:afterAutospacing="0" w:line="276" w:lineRule="auto"/>
        <w:jc w:val="both"/>
        <w:rPr>
          <w:rFonts w:ascii="Arial" w:hAnsi="Arial" w:cs="Arial"/>
          <w:b/>
          <w:sz w:val="22"/>
          <w:szCs w:val="22"/>
        </w:rPr>
      </w:pPr>
      <w:r>
        <w:rPr>
          <w:rFonts w:ascii="Arial" w:hAnsi="Arial" w:cs="Arial"/>
          <w:b/>
          <w:sz w:val="22"/>
          <w:szCs w:val="22"/>
        </w:rPr>
        <w:t xml:space="preserve">3.3 Phytochemical </w:t>
      </w:r>
      <w:r>
        <w:rPr>
          <w:rFonts w:ascii="Arial" w:hAnsi="Arial" w:cs="Arial"/>
          <w:b/>
          <w:sz w:val="22"/>
          <w:szCs w:val="22"/>
          <w:highlight w:val="yellow"/>
        </w:rPr>
        <w:t>screening</w:t>
      </w:r>
      <w:r>
        <w:rPr>
          <w:rFonts w:ascii="Arial" w:hAnsi="Arial" w:cs="Arial"/>
          <w:b/>
          <w:sz w:val="22"/>
          <w:szCs w:val="22"/>
        </w:rPr>
        <w:t xml:space="preserve"> </w:t>
      </w:r>
      <w:r>
        <w:rPr>
          <w:rFonts w:ascii="Arial" w:hAnsi="Arial" w:cs="Arial"/>
          <w:b/>
          <w:sz w:val="22"/>
          <w:szCs w:val="22"/>
          <w:highlight w:val="yellow"/>
        </w:rPr>
        <w:t>of</w:t>
      </w:r>
      <w:r>
        <w:rPr>
          <w:rFonts w:ascii="Arial" w:hAnsi="Arial" w:cs="Arial"/>
          <w:b/>
          <w:sz w:val="22"/>
          <w:szCs w:val="22"/>
        </w:rPr>
        <w:t xml:space="preserve"> </w:t>
      </w:r>
      <w:proofErr w:type="spellStart"/>
      <w:r>
        <w:rPr>
          <w:rFonts w:ascii="Arial" w:hAnsi="Arial" w:cs="Arial"/>
          <w:b/>
          <w:i/>
          <w:sz w:val="22"/>
          <w:szCs w:val="22"/>
        </w:rPr>
        <w:t>Arthrospira</w:t>
      </w:r>
      <w:proofErr w:type="spellEnd"/>
      <w:r>
        <w:rPr>
          <w:rFonts w:ascii="Arial" w:hAnsi="Arial" w:cs="Arial"/>
          <w:b/>
          <w:i/>
          <w:sz w:val="22"/>
          <w:szCs w:val="22"/>
        </w:rPr>
        <w:t xml:space="preserve"> platensis</w:t>
      </w:r>
    </w:p>
    <w:p w14:paraId="381FF15A" w14:textId="77777777" w:rsidR="00E342AA" w:rsidRPr="00DD060A" w:rsidRDefault="00E342AA" w:rsidP="009C4B48">
      <w:pPr>
        <w:pStyle w:val="NormalWeb"/>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Preliminary phytochemical screening revealed differences in the phytochemical composition of the ethanol and aqueous extracts. The ethanol extract showed positive reactions for alkaloids, flavonoids, saponins, phenols, and terpenoids, whereas carbohydrates, tannins, sterols, quinones, and proteins were not detected. In contrast, the aqueous extract tested positive for alkaloids, </w:t>
      </w:r>
      <w:r>
        <w:rPr>
          <w:rFonts w:ascii="Arial" w:hAnsi="Arial" w:cs="Arial"/>
          <w:sz w:val="20"/>
          <w:szCs w:val="20"/>
          <w:highlight w:val="yellow"/>
        </w:rPr>
        <w:t>carbohydrates</w:t>
      </w:r>
      <w:r>
        <w:rPr>
          <w:rFonts w:ascii="Arial" w:hAnsi="Arial" w:cs="Arial"/>
          <w:sz w:val="20"/>
          <w:szCs w:val="20"/>
        </w:rPr>
        <w:t>, tannins, and terpenoids, while flavonoids, saponins, phenols, sterols, quinones, and proteins were absent. Overall, the ethanol extract exhibited a broader range of detected phytochemical constituents, particularly flavonoids, saponins, and phenols, whereas the aqueous extract contained carbohydrates and tannins that were not detected in the ethanol extract.</w:t>
      </w:r>
    </w:p>
    <w:p w14:paraId="3C7AE03D" w14:textId="77777777" w:rsidR="003F4311" w:rsidRPr="00DD060A" w:rsidRDefault="003E5480" w:rsidP="009C4B48">
      <w:pPr>
        <w:pStyle w:val="NormalWeb"/>
        <w:spacing w:before="240" w:beforeAutospacing="0" w:after="0" w:afterAutospacing="0" w:line="276" w:lineRule="auto"/>
        <w:jc w:val="both"/>
        <w:rPr>
          <w:rFonts w:ascii="Arial" w:hAnsi="Arial" w:cs="Arial"/>
          <w:b/>
          <w:sz w:val="22"/>
          <w:szCs w:val="22"/>
        </w:rPr>
      </w:pPr>
      <w:r>
        <w:rPr>
          <w:rFonts w:ascii="Arial" w:hAnsi="Arial" w:cs="Arial"/>
          <w:b/>
          <w:sz w:val="22"/>
          <w:szCs w:val="22"/>
        </w:rPr>
        <w:t>3.4 Antibacterial activity of</w:t>
      </w:r>
      <w:r>
        <w:rPr>
          <w:rFonts w:ascii="Arial" w:hAnsi="Arial" w:cs="Arial"/>
          <w:b/>
          <w:sz w:val="22"/>
          <w:szCs w:val="22"/>
          <w:highlight w:val="yellow"/>
        </w:rPr>
        <w:t xml:space="preserve"> the</w:t>
      </w:r>
      <w:r>
        <w:rPr>
          <w:rFonts w:ascii="Arial" w:hAnsi="Arial" w:cs="Arial"/>
          <w:b/>
          <w:sz w:val="22"/>
          <w:szCs w:val="22"/>
        </w:rPr>
        <w:t xml:space="preserve"> ethanol extract of </w:t>
      </w:r>
      <w:proofErr w:type="spellStart"/>
      <w:r>
        <w:rPr>
          <w:rFonts w:ascii="Arial" w:hAnsi="Arial" w:cs="Arial"/>
          <w:b/>
          <w:i/>
          <w:sz w:val="22"/>
          <w:szCs w:val="22"/>
        </w:rPr>
        <w:t>Arthrospira</w:t>
      </w:r>
      <w:proofErr w:type="spellEnd"/>
      <w:r>
        <w:rPr>
          <w:rFonts w:ascii="Arial" w:hAnsi="Arial" w:cs="Arial"/>
          <w:b/>
          <w:i/>
          <w:sz w:val="22"/>
          <w:szCs w:val="22"/>
        </w:rPr>
        <w:t xml:space="preserve"> platensis</w:t>
      </w:r>
    </w:p>
    <w:p w14:paraId="50F95622" w14:textId="77777777" w:rsidR="00D7096D" w:rsidRPr="00DD060A" w:rsidRDefault="00C3554B" w:rsidP="009C4B48">
      <w:pPr>
        <w:pStyle w:val="NormalWeb"/>
        <w:spacing w:before="240" w:beforeAutospacing="0" w:after="0" w:afterAutospacing="0" w:line="276" w:lineRule="auto"/>
        <w:jc w:val="both"/>
        <w:rPr>
          <w:rFonts w:ascii="Arial" w:hAnsi="Arial" w:cs="Arial"/>
          <w:sz w:val="20"/>
          <w:szCs w:val="20"/>
        </w:rPr>
      </w:pPr>
      <w:r>
        <w:rPr>
          <w:rFonts w:ascii="Arial" w:hAnsi="Arial" w:cs="Arial"/>
          <w:sz w:val="20"/>
          <w:szCs w:val="20"/>
        </w:rPr>
        <w:tab/>
        <w:t xml:space="preserve">Based on the phytochemical screening results, the ethanol extract, which contained the highest number of phytochemical constituents, was selected for further antimicrobial evaluation. For the antibacterial assay, one biofilm-positive and ESBL-positive isolate from each bacterial genus was selected for further testing. The antibacterial activity of the ethanol extract of </w:t>
      </w:r>
      <w:proofErr w:type="spellStart"/>
      <w:r>
        <w:rPr>
          <w:rStyle w:val="Emphasis"/>
          <w:rFonts w:ascii="Arial" w:hAnsi="Arial" w:cs="Arial"/>
          <w:sz w:val="20"/>
          <w:szCs w:val="20"/>
        </w:rPr>
        <w:t>Arthrospira</w:t>
      </w:r>
      <w:proofErr w:type="spellEnd"/>
      <w:r>
        <w:rPr>
          <w:rStyle w:val="Emphasis"/>
          <w:rFonts w:ascii="Arial" w:hAnsi="Arial" w:cs="Arial"/>
          <w:sz w:val="20"/>
          <w:szCs w:val="20"/>
        </w:rPr>
        <w:t xml:space="preserve"> platensis</w:t>
      </w:r>
      <w:r>
        <w:rPr>
          <w:rFonts w:ascii="Arial" w:hAnsi="Arial" w:cs="Arial"/>
          <w:sz w:val="20"/>
          <w:szCs w:val="20"/>
        </w:rPr>
        <w:t xml:space="preserve"> was evaluated against seven foodborne bacterial isolates at concentrations ranging from 2.5 to 10 mg/mL, using DMSO as the solvent control and ciprofloxacin as the standard antibiotic. </w:t>
      </w:r>
      <w:r>
        <w:rPr>
          <w:rStyle w:val="Emphasis"/>
          <w:rFonts w:ascii="Arial" w:hAnsi="Arial" w:cs="Arial"/>
          <w:sz w:val="20"/>
          <w:szCs w:val="20"/>
        </w:rPr>
        <w:t>E. coli</w:t>
      </w:r>
      <w:r>
        <w:rPr>
          <w:rFonts w:ascii="Arial" w:hAnsi="Arial" w:cs="Arial"/>
          <w:sz w:val="20"/>
          <w:szCs w:val="20"/>
        </w:rPr>
        <w:t xml:space="preserve"> showed a concentration-dependent increase in antibacterial activity, with inhibition zones of 11, 13, 15, and 17 mm at 2.5, 5, 7.5, and 10 mg/mL, respectively. </w:t>
      </w:r>
      <w:r>
        <w:rPr>
          <w:rStyle w:val="Emphasis"/>
          <w:rFonts w:ascii="Arial" w:hAnsi="Arial" w:cs="Arial"/>
          <w:sz w:val="20"/>
          <w:szCs w:val="20"/>
        </w:rPr>
        <w:t>P. aeruginosa</w:t>
      </w:r>
      <w:r>
        <w:rPr>
          <w:rFonts w:ascii="Arial" w:hAnsi="Arial" w:cs="Arial"/>
          <w:sz w:val="20"/>
          <w:szCs w:val="20"/>
        </w:rPr>
        <w:t xml:space="preserve"> exhibited inhibition zones of 13 and 15 mm at 7.5 and 10 mg/mL, respectively. </w:t>
      </w:r>
      <w:r>
        <w:rPr>
          <w:rStyle w:val="Emphasis"/>
          <w:rFonts w:ascii="Arial" w:hAnsi="Arial" w:cs="Arial"/>
          <w:sz w:val="20"/>
          <w:szCs w:val="20"/>
        </w:rPr>
        <w:t>K. pneumoniae</w:t>
      </w:r>
      <w:r>
        <w:rPr>
          <w:rFonts w:ascii="Arial" w:hAnsi="Arial" w:cs="Arial"/>
          <w:sz w:val="20"/>
          <w:szCs w:val="20"/>
        </w:rPr>
        <w:t xml:space="preserve"> showed inhibition zones of 11 and 14 mm at 7.5 and 10 </w:t>
      </w:r>
      <w:r>
        <w:rPr>
          <w:rFonts w:ascii="Arial" w:hAnsi="Arial" w:cs="Arial"/>
          <w:sz w:val="20"/>
          <w:szCs w:val="20"/>
        </w:rPr>
        <w:lastRenderedPageBreak/>
        <w:t xml:space="preserve">mg/mL, respectively. </w:t>
      </w:r>
      <w:r>
        <w:rPr>
          <w:rStyle w:val="Emphasis"/>
          <w:rFonts w:ascii="Arial" w:hAnsi="Arial" w:cs="Arial"/>
          <w:sz w:val="20"/>
          <w:szCs w:val="20"/>
        </w:rPr>
        <w:t>P. mirabilis</w:t>
      </w:r>
      <w:r>
        <w:rPr>
          <w:rFonts w:ascii="Arial" w:hAnsi="Arial" w:cs="Arial"/>
          <w:sz w:val="20"/>
          <w:szCs w:val="20"/>
        </w:rPr>
        <w:t xml:space="preserve"> exhibited inhibition zones of 10, 12, and 14 mm at 5, 7.5, and 10 mg/mL, respectively. </w:t>
      </w:r>
      <w:r>
        <w:rPr>
          <w:rStyle w:val="Emphasis"/>
          <w:rFonts w:ascii="Arial" w:hAnsi="Arial" w:cs="Arial"/>
          <w:sz w:val="20"/>
          <w:szCs w:val="20"/>
        </w:rPr>
        <w:t>Salmonella</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showed a 12 mm inhibition zone at 10 mg/mL, while no activity was observed at the other concentrations. No antibacterial activity was detected against </w:t>
      </w:r>
      <w:r>
        <w:rPr>
          <w:rStyle w:val="Emphasis"/>
          <w:rFonts w:ascii="Arial" w:hAnsi="Arial" w:cs="Arial"/>
          <w:sz w:val="20"/>
          <w:szCs w:val="20"/>
        </w:rPr>
        <w:t>E. faecalis</w:t>
      </w:r>
      <w:r>
        <w:rPr>
          <w:rFonts w:ascii="Arial" w:hAnsi="Arial" w:cs="Arial"/>
          <w:sz w:val="20"/>
          <w:szCs w:val="20"/>
        </w:rPr>
        <w:t xml:space="preserve"> or </w:t>
      </w:r>
      <w:r>
        <w:rPr>
          <w:rStyle w:val="Emphasis"/>
          <w:rFonts w:ascii="Arial" w:hAnsi="Arial" w:cs="Arial"/>
          <w:sz w:val="20"/>
          <w:szCs w:val="20"/>
        </w:rPr>
        <w:t>Citrobacter</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at any of the tested concentrations. DMSO did not produce any inhibition zone against the tested isolates, confirming that the observed antibacterial activity was attributable to the ethanol extract (Table 1). Ciprofloxacin produced inhibition zones ranging from 12 to 19 mm, with the highest activity observed against </w:t>
      </w:r>
      <w:r>
        <w:rPr>
          <w:rStyle w:val="Emphasis"/>
          <w:rFonts w:ascii="Arial" w:hAnsi="Arial" w:cs="Arial"/>
          <w:sz w:val="20"/>
          <w:szCs w:val="20"/>
        </w:rPr>
        <w:t>P. mirabilis</w:t>
      </w:r>
      <w:r>
        <w:rPr>
          <w:rFonts w:ascii="Arial" w:hAnsi="Arial" w:cs="Arial"/>
          <w:sz w:val="20"/>
          <w:szCs w:val="20"/>
        </w:rPr>
        <w:t xml:space="preserve"> (19 mm), </w:t>
      </w:r>
      <w:r>
        <w:rPr>
          <w:rFonts w:ascii="Arial" w:hAnsi="Arial" w:cs="Arial"/>
          <w:sz w:val="20"/>
          <w:szCs w:val="20"/>
          <w:highlight w:val="yellow"/>
        </w:rPr>
        <w:t>although these</w:t>
      </w:r>
      <w:r>
        <w:rPr>
          <w:rFonts w:ascii="Arial" w:hAnsi="Arial" w:cs="Arial"/>
          <w:sz w:val="20"/>
          <w:szCs w:val="20"/>
        </w:rPr>
        <w:t xml:space="preserve"> isolates were </w:t>
      </w:r>
      <w:r>
        <w:rPr>
          <w:rFonts w:ascii="Arial" w:hAnsi="Arial" w:cs="Arial"/>
          <w:sz w:val="20"/>
          <w:szCs w:val="20"/>
          <w:highlight w:val="yellow"/>
        </w:rPr>
        <w:t>reported to be resistant</w:t>
      </w:r>
      <w:r>
        <w:rPr>
          <w:rFonts w:ascii="Arial" w:hAnsi="Arial" w:cs="Arial"/>
          <w:sz w:val="20"/>
          <w:szCs w:val="20"/>
        </w:rPr>
        <w:t xml:space="preserve"> to ciprofloxacin. Overall, the ethanol extract demonstrated concentration-dependent antibacterial activity against several tested isolates, with the highest inhibition zone observed against </w:t>
      </w:r>
      <w:r>
        <w:rPr>
          <w:rStyle w:val="Emphasis"/>
          <w:rFonts w:ascii="Arial" w:hAnsi="Arial" w:cs="Arial"/>
          <w:sz w:val="20"/>
          <w:szCs w:val="20"/>
        </w:rPr>
        <w:t>E. coli</w:t>
      </w:r>
      <w:r>
        <w:rPr>
          <w:rFonts w:ascii="Arial" w:hAnsi="Arial" w:cs="Arial"/>
          <w:sz w:val="20"/>
          <w:szCs w:val="20"/>
        </w:rPr>
        <w:t xml:space="preserve"> (17 mm) at 10 mg/</w:t>
      </w:r>
      <w:proofErr w:type="spellStart"/>
      <w:r>
        <w:rPr>
          <w:rFonts w:ascii="Arial" w:hAnsi="Arial" w:cs="Arial"/>
          <w:sz w:val="20"/>
          <w:szCs w:val="20"/>
        </w:rPr>
        <w:t>mL.</w:t>
      </w:r>
      <w:proofErr w:type="spellEnd"/>
      <w:r>
        <w:rPr>
          <w:rFonts w:ascii="Arial" w:hAnsi="Arial" w:cs="Arial"/>
          <w:sz w:val="20"/>
          <w:szCs w:val="20"/>
        </w:rPr>
        <w:t xml:space="preserve"> The 10 mg/mL concentration exhibited activity against </w:t>
      </w:r>
      <w:r>
        <w:rPr>
          <w:rStyle w:val="Emphasis"/>
          <w:rFonts w:ascii="Arial" w:hAnsi="Arial" w:cs="Arial"/>
          <w:sz w:val="20"/>
          <w:szCs w:val="20"/>
        </w:rPr>
        <w:t>E. coli, P. aeruginosa, K. pneumoniae, P. mirabilis,</w:t>
      </w:r>
      <w:r>
        <w:rPr>
          <w:rFonts w:ascii="Arial" w:hAnsi="Arial" w:cs="Arial"/>
          <w:sz w:val="20"/>
          <w:szCs w:val="20"/>
        </w:rPr>
        <w:t xml:space="preserve"> and </w:t>
      </w:r>
      <w:r>
        <w:rPr>
          <w:rStyle w:val="Emphasis"/>
          <w:rFonts w:ascii="Arial" w:hAnsi="Arial" w:cs="Arial"/>
          <w:sz w:val="20"/>
          <w:szCs w:val="20"/>
        </w:rPr>
        <w:t>Salmonella</w:t>
      </w:r>
      <w:r>
        <w:rPr>
          <w:rFonts w:ascii="Arial" w:hAnsi="Arial" w:cs="Arial"/>
          <w:i/>
          <w:sz w:val="20"/>
          <w:szCs w:val="20"/>
        </w:rPr>
        <w:t xml:space="preserve"> </w:t>
      </w:r>
      <w:r>
        <w:rPr>
          <w:rFonts w:ascii="Arial" w:hAnsi="Arial" w:cs="Arial"/>
          <w:sz w:val="20"/>
          <w:szCs w:val="20"/>
        </w:rPr>
        <w:t>s</w:t>
      </w:r>
      <w:r>
        <w:rPr>
          <w:rFonts w:ascii="Arial" w:hAnsi="Arial" w:cs="Arial"/>
          <w:i/>
          <w:sz w:val="20"/>
          <w:szCs w:val="20"/>
        </w:rPr>
        <w:t>p.</w:t>
      </w:r>
    </w:p>
    <w:p w14:paraId="086A2541" w14:textId="77777777" w:rsidR="006F544F" w:rsidRPr="00DD060A" w:rsidRDefault="006F544F" w:rsidP="009C4B48">
      <w:pPr>
        <w:pStyle w:val="NormalWeb"/>
        <w:spacing w:before="240" w:beforeAutospacing="0" w:after="240" w:afterAutospacing="0" w:line="276" w:lineRule="auto"/>
        <w:jc w:val="center"/>
        <w:rPr>
          <w:rFonts w:ascii="Arial" w:hAnsi="Arial" w:cs="Arial"/>
          <w:b/>
          <w:sz w:val="20"/>
          <w:szCs w:val="20"/>
        </w:rPr>
      </w:pPr>
      <w:r w:rsidRPr="00DD060A">
        <w:rPr>
          <w:rFonts w:ascii="Arial" w:hAnsi="Arial" w:cs="Arial"/>
          <w:b/>
          <w:sz w:val="20"/>
          <w:szCs w:val="20"/>
        </w:rPr>
        <w:t>Table.1 Antibacterial activity of ethanol extract of</w:t>
      </w:r>
      <w:r w:rsidRPr="00DD060A">
        <w:rPr>
          <w:rFonts w:ascii="Arial" w:hAnsi="Arial" w:cs="Arial"/>
          <w:b/>
          <w:i/>
          <w:sz w:val="20"/>
          <w:szCs w:val="20"/>
        </w:rPr>
        <w:t xml:space="preserve"> </w:t>
      </w:r>
      <w:proofErr w:type="spellStart"/>
      <w:r w:rsidRPr="00DD060A">
        <w:rPr>
          <w:rFonts w:ascii="Arial" w:hAnsi="Arial" w:cs="Arial"/>
          <w:b/>
          <w:i/>
          <w:sz w:val="20"/>
          <w:szCs w:val="20"/>
        </w:rPr>
        <w:t>Arthrospira</w:t>
      </w:r>
      <w:proofErr w:type="spellEnd"/>
      <w:r w:rsidRPr="00DD060A">
        <w:rPr>
          <w:rFonts w:ascii="Arial" w:hAnsi="Arial" w:cs="Arial"/>
          <w:b/>
          <w:i/>
          <w:sz w:val="20"/>
          <w:szCs w:val="20"/>
        </w:rPr>
        <w:t xml:space="preserve"> platensis</w:t>
      </w:r>
      <w:r w:rsidRPr="00DD060A">
        <w:rPr>
          <w:rFonts w:ascii="Arial" w:hAnsi="Arial" w:cs="Arial"/>
          <w:b/>
          <w:sz w:val="20"/>
          <w:szCs w:val="20"/>
        </w:rPr>
        <w:t xml:space="preserve"> against food pathogens</w:t>
      </w:r>
    </w:p>
    <w:tbl>
      <w:tblPr>
        <w:tblStyle w:val="TableGrid"/>
        <w:tblW w:w="7793" w:type="dxa"/>
        <w:jc w:val="center"/>
        <w:tblLook w:val="04A0" w:firstRow="1" w:lastRow="0" w:firstColumn="1" w:lastColumn="0" w:noHBand="0" w:noVBand="1"/>
      </w:tblPr>
      <w:tblGrid>
        <w:gridCol w:w="828"/>
        <w:gridCol w:w="1850"/>
        <w:gridCol w:w="876"/>
        <w:gridCol w:w="756"/>
        <w:gridCol w:w="859"/>
        <w:gridCol w:w="733"/>
        <w:gridCol w:w="891"/>
        <w:gridCol w:w="1000"/>
      </w:tblGrid>
      <w:tr w:rsidR="006F544F" w:rsidRPr="00DD060A" w14:paraId="78B57905" w14:textId="77777777" w:rsidTr="006F544F">
        <w:trPr>
          <w:trHeight w:val="521"/>
          <w:jc w:val="center"/>
        </w:trPr>
        <w:tc>
          <w:tcPr>
            <w:tcW w:w="828" w:type="dxa"/>
            <w:vMerge w:val="restart"/>
            <w:vAlign w:val="center"/>
          </w:tcPr>
          <w:p w14:paraId="6B23EC5A" w14:textId="77777777" w:rsidR="006F544F" w:rsidRPr="00DD060A" w:rsidRDefault="006F544F" w:rsidP="009C4B48">
            <w:pPr>
              <w:spacing w:after="240" w:line="276" w:lineRule="auto"/>
              <w:jc w:val="center"/>
              <w:rPr>
                <w:rFonts w:ascii="Arial" w:hAnsi="Arial" w:cs="Arial"/>
                <w:sz w:val="20"/>
                <w:szCs w:val="20"/>
              </w:rPr>
            </w:pPr>
            <w:r w:rsidRPr="00DD060A">
              <w:rPr>
                <w:rFonts w:ascii="Arial" w:hAnsi="Arial" w:cs="Arial"/>
                <w:b/>
                <w:sz w:val="20"/>
                <w:szCs w:val="20"/>
              </w:rPr>
              <w:t>S.no</w:t>
            </w:r>
          </w:p>
        </w:tc>
        <w:tc>
          <w:tcPr>
            <w:tcW w:w="1850" w:type="dxa"/>
            <w:vMerge w:val="restart"/>
            <w:vAlign w:val="center"/>
          </w:tcPr>
          <w:p w14:paraId="5C2F2C4F" w14:textId="77777777" w:rsidR="006F544F" w:rsidRPr="00DD060A" w:rsidRDefault="006F544F" w:rsidP="009C4B48">
            <w:pPr>
              <w:spacing w:after="240" w:line="276" w:lineRule="auto"/>
              <w:jc w:val="center"/>
              <w:rPr>
                <w:rFonts w:ascii="Arial" w:hAnsi="Arial" w:cs="Arial"/>
                <w:b/>
                <w:sz w:val="20"/>
                <w:szCs w:val="20"/>
              </w:rPr>
            </w:pPr>
            <w:r w:rsidRPr="00DD060A">
              <w:rPr>
                <w:rFonts w:ascii="Arial" w:hAnsi="Arial" w:cs="Arial"/>
                <w:b/>
                <w:sz w:val="20"/>
                <w:szCs w:val="20"/>
              </w:rPr>
              <w:t>Isolates</w:t>
            </w:r>
          </w:p>
        </w:tc>
        <w:tc>
          <w:tcPr>
            <w:tcW w:w="3224" w:type="dxa"/>
            <w:gridSpan w:val="4"/>
            <w:vAlign w:val="center"/>
          </w:tcPr>
          <w:p w14:paraId="18C3B708" w14:textId="77777777" w:rsidR="006F544F" w:rsidRPr="00DD060A" w:rsidRDefault="006F544F" w:rsidP="009C4B48">
            <w:pPr>
              <w:spacing w:after="240" w:line="276" w:lineRule="auto"/>
              <w:jc w:val="center"/>
              <w:rPr>
                <w:rFonts w:ascii="Arial" w:hAnsi="Arial" w:cs="Arial"/>
                <w:b/>
                <w:sz w:val="20"/>
                <w:szCs w:val="20"/>
              </w:rPr>
            </w:pPr>
            <w:r w:rsidRPr="00DD060A">
              <w:rPr>
                <w:rFonts w:ascii="Arial" w:hAnsi="Arial" w:cs="Arial"/>
                <w:b/>
                <w:sz w:val="20"/>
                <w:szCs w:val="20"/>
              </w:rPr>
              <w:t>Concentration of extract in mg</w:t>
            </w:r>
          </w:p>
          <w:p w14:paraId="275169B3" w14:textId="77777777" w:rsidR="006F544F" w:rsidRPr="00DD060A" w:rsidRDefault="006F544F" w:rsidP="009C4B48">
            <w:pPr>
              <w:spacing w:after="240" w:line="276" w:lineRule="auto"/>
              <w:jc w:val="center"/>
              <w:rPr>
                <w:rFonts w:ascii="Arial" w:hAnsi="Arial" w:cs="Arial"/>
                <w:b/>
                <w:sz w:val="20"/>
                <w:szCs w:val="20"/>
              </w:rPr>
            </w:pPr>
            <w:r w:rsidRPr="00DD060A">
              <w:rPr>
                <w:rFonts w:ascii="Arial" w:hAnsi="Arial" w:cs="Arial"/>
                <w:b/>
                <w:sz w:val="20"/>
                <w:szCs w:val="20"/>
              </w:rPr>
              <w:t>Zone of inhibition in mm</w:t>
            </w:r>
          </w:p>
        </w:tc>
        <w:tc>
          <w:tcPr>
            <w:tcW w:w="891" w:type="dxa"/>
            <w:vMerge w:val="restart"/>
            <w:vAlign w:val="center"/>
          </w:tcPr>
          <w:p w14:paraId="7950CFEA" w14:textId="77777777" w:rsidR="006F544F" w:rsidRPr="00DD060A" w:rsidRDefault="006F544F" w:rsidP="009C4B48">
            <w:pPr>
              <w:spacing w:after="240" w:line="276" w:lineRule="auto"/>
              <w:jc w:val="center"/>
              <w:rPr>
                <w:rFonts w:ascii="Arial" w:hAnsi="Arial" w:cs="Arial"/>
                <w:b/>
                <w:sz w:val="20"/>
                <w:szCs w:val="20"/>
              </w:rPr>
            </w:pPr>
            <w:r w:rsidRPr="00DD060A">
              <w:rPr>
                <w:rFonts w:ascii="Arial" w:hAnsi="Arial" w:cs="Arial"/>
                <w:b/>
                <w:sz w:val="20"/>
                <w:szCs w:val="20"/>
              </w:rPr>
              <w:t>DMSO</w:t>
            </w:r>
          </w:p>
        </w:tc>
        <w:tc>
          <w:tcPr>
            <w:tcW w:w="1000" w:type="dxa"/>
            <w:vMerge w:val="restart"/>
            <w:vAlign w:val="center"/>
          </w:tcPr>
          <w:p w14:paraId="2C4546AF" w14:textId="77777777" w:rsidR="006F544F" w:rsidRPr="00DD060A" w:rsidRDefault="006F544F" w:rsidP="009C4B48">
            <w:pPr>
              <w:spacing w:after="240" w:line="276" w:lineRule="auto"/>
              <w:jc w:val="center"/>
              <w:rPr>
                <w:rFonts w:ascii="Arial" w:hAnsi="Arial" w:cs="Arial"/>
                <w:b/>
                <w:sz w:val="20"/>
                <w:szCs w:val="20"/>
              </w:rPr>
            </w:pPr>
            <w:r w:rsidRPr="00DD060A">
              <w:rPr>
                <w:rFonts w:ascii="Arial" w:hAnsi="Arial" w:cs="Arial"/>
                <w:b/>
                <w:sz w:val="20"/>
                <w:szCs w:val="20"/>
              </w:rPr>
              <w:t>Std -Ab</w:t>
            </w:r>
          </w:p>
        </w:tc>
      </w:tr>
      <w:tr w:rsidR="006F544F" w:rsidRPr="00DD060A" w14:paraId="19FE8041" w14:textId="77777777" w:rsidTr="006F544F">
        <w:trPr>
          <w:trHeight w:val="572"/>
          <w:jc w:val="center"/>
        </w:trPr>
        <w:tc>
          <w:tcPr>
            <w:tcW w:w="828" w:type="dxa"/>
            <w:vMerge/>
            <w:vAlign w:val="center"/>
          </w:tcPr>
          <w:p w14:paraId="64F09FAA" w14:textId="77777777" w:rsidR="006F544F" w:rsidRPr="00DD060A" w:rsidRDefault="006F544F" w:rsidP="009C4B48">
            <w:pPr>
              <w:spacing w:line="276" w:lineRule="auto"/>
              <w:jc w:val="center"/>
              <w:rPr>
                <w:rFonts w:ascii="Arial" w:hAnsi="Arial" w:cs="Arial"/>
                <w:b/>
                <w:sz w:val="20"/>
                <w:szCs w:val="20"/>
              </w:rPr>
            </w:pPr>
          </w:p>
        </w:tc>
        <w:tc>
          <w:tcPr>
            <w:tcW w:w="1850" w:type="dxa"/>
            <w:vMerge/>
            <w:vAlign w:val="center"/>
          </w:tcPr>
          <w:p w14:paraId="7E2A177E" w14:textId="77777777" w:rsidR="006F544F" w:rsidRPr="00DD060A" w:rsidRDefault="006F544F" w:rsidP="009C4B48">
            <w:pPr>
              <w:spacing w:line="276" w:lineRule="auto"/>
              <w:jc w:val="center"/>
              <w:rPr>
                <w:rFonts w:ascii="Arial" w:hAnsi="Arial" w:cs="Arial"/>
                <w:b/>
                <w:sz w:val="20"/>
                <w:szCs w:val="20"/>
              </w:rPr>
            </w:pPr>
          </w:p>
        </w:tc>
        <w:tc>
          <w:tcPr>
            <w:tcW w:w="876" w:type="dxa"/>
            <w:vAlign w:val="center"/>
          </w:tcPr>
          <w:p w14:paraId="2FD43BB4" w14:textId="77777777" w:rsidR="006F544F" w:rsidRPr="00DD060A" w:rsidRDefault="006F544F" w:rsidP="009C4B48">
            <w:pPr>
              <w:spacing w:line="276" w:lineRule="auto"/>
              <w:jc w:val="center"/>
              <w:rPr>
                <w:rFonts w:ascii="Arial" w:hAnsi="Arial" w:cs="Arial"/>
                <w:b/>
                <w:sz w:val="20"/>
                <w:szCs w:val="20"/>
              </w:rPr>
            </w:pPr>
            <w:r w:rsidRPr="00DD060A">
              <w:rPr>
                <w:rFonts w:ascii="Arial" w:hAnsi="Arial" w:cs="Arial"/>
                <w:b/>
                <w:sz w:val="20"/>
                <w:szCs w:val="20"/>
              </w:rPr>
              <w:t>2.5</w:t>
            </w:r>
          </w:p>
        </w:tc>
        <w:tc>
          <w:tcPr>
            <w:tcW w:w="756" w:type="dxa"/>
            <w:vAlign w:val="center"/>
          </w:tcPr>
          <w:p w14:paraId="7C0336D6" w14:textId="77777777" w:rsidR="006F544F" w:rsidRPr="00DD060A" w:rsidRDefault="006F544F" w:rsidP="009C4B48">
            <w:pPr>
              <w:spacing w:line="276" w:lineRule="auto"/>
              <w:jc w:val="center"/>
              <w:rPr>
                <w:rFonts w:ascii="Arial" w:hAnsi="Arial" w:cs="Arial"/>
                <w:b/>
                <w:sz w:val="20"/>
                <w:szCs w:val="20"/>
              </w:rPr>
            </w:pPr>
            <w:r w:rsidRPr="00DD060A">
              <w:rPr>
                <w:rFonts w:ascii="Arial" w:hAnsi="Arial" w:cs="Arial"/>
                <w:b/>
                <w:sz w:val="20"/>
                <w:szCs w:val="20"/>
              </w:rPr>
              <w:t>5</w:t>
            </w:r>
          </w:p>
        </w:tc>
        <w:tc>
          <w:tcPr>
            <w:tcW w:w="859" w:type="dxa"/>
            <w:vAlign w:val="center"/>
          </w:tcPr>
          <w:p w14:paraId="225BB6C4" w14:textId="77777777" w:rsidR="006F544F" w:rsidRPr="00DD060A" w:rsidRDefault="006F544F" w:rsidP="009C4B48">
            <w:pPr>
              <w:spacing w:line="276" w:lineRule="auto"/>
              <w:jc w:val="center"/>
              <w:rPr>
                <w:rFonts w:ascii="Arial" w:hAnsi="Arial" w:cs="Arial"/>
                <w:b/>
                <w:sz w:val="20"/>
                <w:szCs w:val="20"/>
              </w:rPr>
            </w:pPr>
            <w:r w:rsidRPr="00DD060A">
              <w:rPr>
                <w:rFonts w:ascii="Arial" w:hAnsi="Arial" w:cs="Arial"/>
                <w:b/>
                <w:sz w:val="20"/>
                <w:szCs w:val="20"/>
              </w:rPr>
              <w:t>7.5</w:t>
            </w:r>
          </w:p>
        </w:tc>
        <w:tc>
          <w:tcPr>
            <w:tcW w:w="733" w:type="dxa"/>
            <w:vAlign w:val="center"/>
          </w:tcPr>
          <w:p w14:paraId="337F3CF8" w14:textId="77777777" w:rsidR="006F544F" w:rsidRPr="00DD060A" w:rsidRDefault="006F544F" w:rsidP="009C4B48">
            <w:pPr>
              <w:spacing w:line="276" w:lineRule="auto"/>
              <w:jc w:val="center"/>
              <w:rPr>
                <w:rFonts w:ascii="Arial" w:hAnsi="Arial" w:cs="Arial"/>
                <w:b/>
                <w:sz w:val="20"/>
                <w:szCs w:val="20"/>
              </w:rPr>
            </w:pPr>
            <w:r w:rsidRPr="00DD060A">
              <w:rPr>
                <w:rFonts w:ascii="Arial" w:hAnsi="Arial" w:cs="Arial"/>
                <w:b/>
                <w:sz w:val="20"/>
                <w:szCs w:val="20"/>
              </w:rPr>
              <w:t>10</w:t>
            </w:r>
          </w:p>
        </w:tc>
        <w:tc>
          <w:tcPr>
            <w:tcW w:w="891" w:type="dxa"/>
            <w:vMerge/>
            <w:vAlign w:val="center"/>
          </w:tcPr>
          <w:p w14:paraId="3352BFAD" w14:textId="77777777" w:rsidR="006F544F" w:rsidRPr="00DD060A" w:rsidRDefault="006F544F" w:rsidP="009C4B48">
            <w:pPr>
              <w:spacing w:line="276" w:lineRule="auto"/>
              <w:jc w:val="center"/>
              <w:rPr>
                <w:rFonts w:ascii="Arial" w:hAnsi="Arial" w:cs="Arial"/>
                <w:sz w:val="20"/>
                <w:szCs w:val="20"/>
              </w:rPr>
            </w:pPr>
          </w:p>
        </w:tc>
        <w:tc>
          <w:tcPr>
            <w:tcW w:w="1000" w:type="dxa"/>
            <w:vMerge/>
            <w:vAlign w:val="center"/>
          </w:tcPr>
          <w:p w14:paraId="08901190" w14:textId="77777777" w:rsidR="006F544F" w:rsidRPr="00DD060A" w:rsidRDefault="006F544F" w:rsidP="009C4B48">
            <w:pPr>
              <w:spacing w:line="276" w:lineRule="auto"/>
              <w:jc w:val="center"/>
              <w:rPr>
                <w:rFonts w:ascii="Arial" w:hAnsi="Arial" w:cs="Arial"/>
                <w:sz w:val="20"/>
                <w:szCs w:val="20"/>
              </w:rPr>
            </w:pPr>
          </w:p>
        </w:tc>
      </w:tr>
      <w:tr w:rsidR="006F544F" w:rsidRPr="00DD060A" w14:paraId="7940800B" w14:textId="77777777" w:rsidTr="006F544F">
        <w:trPr>
          <w:trHeight w:val="300"/>
          <w:jc w:val="center"/>
        </w:trPr>
        <w:tc>
          <w:tcPr>
            <w:tcW w:w="828" w:type="dxa"/>
            <w:vAlign w:val="center"/>
          </w:tcPr>
          <w:p w14:paraId="538B0744"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w:t>
            </w:r>
          </w:p>
        </w:tc>
        <w:tc>
          <w:tcPr>
            <w:tcW w:w="1850" w:type="dxa"/>
            <w:vAlign w:val="center"/>
          </w:tcPr>
          <w:p w14:paraId="17A2AAC0" w14:textId="77777777" w:rsidR="006F544F" w:rsidRPr="00DD060A" w:rsidRDefault="006F544F" w:rsidP="009C4B48">
            <w:pPr>
              <w:spacing w:line="276" w:lineRule="auto"/>
              <w:jc w:val="center"/>
              <w:rPr>
                <w:rFonts w:ascii="Arial" w:hAnsi="Arial" w:cs="Arial"/>
                <w:i/>
                <w:sz w:val="20"/>
                <w:szCs w:val="20"/>
              </w:rPr>
            </w:pPr>
            <w:proofErr w:type="gramStart"/>
            <w:r w:rsidRPr="00DD060A">
              <w:rPr>
                <w:rFonts w:ascii="Arial" w:hAnsi="Arial" w:cs="Arial"/>
                <w:i/>
                <w:sz w:val="20"/>
                <w:szCs w:val="20"/>
              </w:rPr>
              <w:t>E.coli</w:t>
            </w:r>
            <w:proofErr w:type="gramEnd"/>
          </w:p>
        </w:tc>
        <w:tc>
          <w:tcPr>
            <w:tcW w:w="876" w:type="dxa"/>
            <w:vAlign w:val="center"/>
          </w:tcPr>
          <w:p w14:paraId="567D4291" w14:textId="77777777" w:rsidR="006F544F" w:rsidRPr="00DD060A" w:rsidRDefault="005F0088" w:rsidP="009C4B48">
            <w:pPr>
              <w:spacing w:line="276" w:lineRule="auto"/>
              <w:jc w:val="center"/>
              <w:rPr>
                <w:rFonts w:ascii="Arial" w:hAnsi="Arial" w:cs="Arial"/>
                <w:sz w:val="20"/>
                <w:szCs w:val="20"/>
              </w:rPr>
            </w:pPr>
            <w:r w:rsidRPr="00DD060A">
              <w:rPr>
                <w:rFonts w:ascii="Arial" w:hAnsi="Arial" w:cs="Arial"/>
                <w:sz w:val="20"/>
                <w:szCs w:val="20"/>
              </w:rPr>
              <w:t>11</w:t>
            </w:r>
          </w:p>
        </w:tc>
        <w:tc>
          <w:tcPr>
            <w:tcW w:w="756" w:type="dxa"/>
            <w:vAlign w:val="center"/>
          </w:tcPr>
          <w:p w14:paraId="1E6FA512"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13</w:t>
            </w:r>
          </w:p>
        </w:tc>
        <w:tc>
          <w:tcPr>
            <w:tcW w:w="859" w:type="dxa"/>
            <w:vAlign w:val="center"/>
          </w:tcPr>
          <w:p w14:paraId="3C1C68B3"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w:t>
            </w:r>
            <w:r w:rsidR="005F0088" w:rsidRPr="00DD060A">
              <w:rPr>
                <w:rFonts w:ascii="Arial" w:hAnsi="Arial" w:cs="Arial"/>
                <w:sz w:val="20"/>
                <w:szCs w:val="20"/>
              </w:rPr>
              <w:t>5</w:t>
            </w:r>
          </w:p>
        </w:tc>
        <w:tc>
          <w:tcPr>
            <w:tcW w:w="733" w:type="dxa"/>
            <w:vAlign w:val="center"/>
          </w:tcPr>
          <w:p w14:paraId="28E9679B" w14:textId="77777777" w:rsidR="006F544F" w:rsidRPr="00DD060A" w:rsidRDefault="005F0088" w:rsidP="009C4B48">
            <w:pPr>
              <w:spacing w:line="276" w:lineRule="auto"/>
              <w:jc w:val="center"/>
              <w:rPr>
                <w:rFonts w:ascii="Arial" w:hAnsi="Arial" w:cs="Arial"/>
                <w:sz w:val="20"/>
                <w:szCs w:val="20"/>
              </w:rPr>
            </w:pPr>
            <w:r w:rsidRPr="00DD060A">
              <w:rPr>
                <w:rFonts w:ascii="Arial" w:hAnsi="Arial" w:cs="Arial"/>
                <w:sz w:val="20"/>
                <w:szCs w:val="20"/>
              </w:rPr>
              <w:t>17</w:t>
            </w:r>
          </w:p>
        </w:tc>
        <w:tc>
          <w:tcPr>
            <w:tcW w:w="891" w:type="dxa"/>
            <w:vAlign w:val="center"/>
          </w:tcPr>
          <w:p w14:paraId="1D387137"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195BFE8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12</w:t>
            </w:r>
          </w:p>
        </w:tc>
      </w:tr>
      <w:tr w:rsidR="006F544F" w:rsidRPr="00DD060A" w14:paraId="1C7EF07E" w14:textId="77777777" w:rsidTr="006F544F">
        <w:trPr>
          <w:trHeight w:val="284"/>
          <w:jc w:val="center"/>
        </w:trPr>
        <w:tc>
          <w:tcPr>
            <w:tcW w:w="828" w:type="dxa"/>
            <w:vAlign w:val="center"/>
          </w:tcPr>
          <w:p w14:paraId="3A7D21A1"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2.</w:t>
            </w:r>
          </w:p>
        </w:tc>
        <w:tc>
          <w:tcPr>
            <w:tcW w:w="1850" w:type="dxa"/>
            <w:vAlign w:val="center"/>
          </w:tcPr>
          <w:p w14:paraId="6D7FEC3C" w14:textId="77777777" w:rsidR="006F544F" w:rsidRPr="00DD060A" w:rsidRDefault="006F544F" w:rsidP="009C4B48">
            <w:pPr>
              <w:spacing w:line="276" w:lineRule="auto"/>
              <w:jc w:val="center"/>
              <w:rPr>
                <w:rFonts w:ascii="Arial" w:hAnsi="Arial" w:cs="Arial"/>
                <w:i/>
                <w:sz w:val="20"/>
                <w:szCs w:val="20"/>
              </w:rPr>
            </w:pPr>
            <w:proofErr w:type="spellStart"/>
            <w:proofErr w:type="gramStart"/>
            <w:r w:rsidRPr="00DD060A">
              <w:rPr>
                <w:rFonts w:ascii="Arial" w:hAnsi="Arial" w:cs="Arial"/>
                <w:i/>
                <w:sz w:val="20"/>
                <w:szCs w:val="20"/>
              </w:rPr>
              <w:t>P.aeruginosa</w:t>
            </w:r>
            <w:proofErr w:type="spellEnd"/>
            <w:proofErr w:type="gramEnd"/>
          </w:p>
        </w:tc>
        <w:tc>
          <w:tcPr>
            <w:tcW w:w="876" w:type="dxa"/>
            <w:vAlign w:val="center"/>
          </w:tcPr>
          <w:p w14:paraId="5F96B653"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56" w:type="dxa"/>
            <w:vAlign w:val="center"/>
          </w:tcPr>
          <w:p w14:paraId="33DD8A2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59" w:type="dxa"/>
            <w:vAlign w:val="center"/>
          </w:tcPr>
          <w:p w14:paraId="550A11F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13</w:t>
            </w:r>
          </w:p>
        </w:tc>
        <w:tc>
          <w:tcPr>
            <w:tcW w:w="733" w:type="dxa"/>
            <w:vAlign w:val="center"/>
          </w:tcPr>
          <w:p w14:paraId="7E605771"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15</w:t>
            </w:r>
          </w:p>
        </w:tc>
        <w:tc>
          <w:tcPr>
            <w:tcW w:w="891" w:type="dxa"/>
            <w:vAlign w:val="center"/>
          </w:tcPr>
          <w:p w14:paraId="51079006"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2A2D0754"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r>
      <w:tr w:rsidR="006F544F" w:rsidRPr="00DD060A" w14:paraId="4207472D" w14:textId="77777777" w:rsidTr="006F544F">
        <w:trPr>
          <w:trHeight w:val="300"/>
          <w:jc w:val="center"/>
        </w:trPr>
        <w:tc>
          <w:tcPr>
            <w:tcW w:w="828" w:type="dxa"/>
            <w:vAlign w:val="center"/>
          </w:tcPr>
          <w:p w14:paraId="4CDCD67B"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3.</w:t>
            </w:r>
          </w:p>
        </w:tc>
        <w:tc>
          <w:tcPr>
            <w:tcW w:w="1850" w:type="dxa"/>
            <w:vAlign w:val="center"/>
          </w:tcPr>
          <w:p w14:paraId="4F1D1C2D" w14:textId="77777777" w:rsidR="006F544F" w:rsidRPr="00DD060A" w:rsidRDefault="006F544F" w:rsidP="009C4B48">
            <w:pPr>
              <w:spacing w:line="276" w:lineRule="auto"/>
              <w:jc w:val="center"/>
              <w:rPr>
                <w:rFonts w:ascii="Arial" w:hAnsi="Arial" w:cs="Arial"/>
                <w:i/>
                <w:sz w:val="20"/>
                <w:szCs w:val="20"/>
              </w:rPr>
            </w:pPr>
            <w:proofErr w:type="spellStart"/>
            <w:proofErr w:type="gramStart"/>
            <w:r w:rsidRPr="00DD060A">
              <w:rPr>
                <w:rFonts w:ascii="Arial" w:hAnsi="Arial" w:cs="Arial"/>
                <w:i/>
                <w:sz w:val="20"/>
                <w:szCs w:val="20"/>
              </w:rPr>
              <w:t>E.faecalis</w:t>
            </w:r>
            <w:proofErr w:type="spellEnd"/>
            <w:proofErr w:type="gramEnd"/>
          </w:p>
        </w:tc>
        <w:tc>
          <w:tcPr>
            <w:tcW w:w="876" w:type="dxa"/>
            <w:vAlign w:val="center"/>
          </w:tcPr>
          <w:p w14:paraId="2ACECEFA"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56" w:type="dxa"/>
            <w:vAlign w:val="center"/>
          </w:tcPr>
          <w:p w14:paraId="5AE7247C"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59" w:type="dxa"/>
            <w:vAlign w:val="center"/>
          </w:tcPr>
          <w:p w14:paraId="706F96D0"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33" w:type="dxa"/>
            <w:vAlign w:val="center"/>
          </w:tcPr>
          <w:p w14:paraId="03F9ADBD"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91" w:type="dxa"/>
            <w:vAlign w:val="center"/>
          </w:tcPr>
          <w:p w14:paraId="1C8AEF06"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190077F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r>
      <w:tr w:rsidR="006F544F" w:rsidRPr="00DD060A" w14:paraId="3FFCD3AC" w14:textId="77777777" w:rsidTr="006F544F">
        <w:trPr>
          <w:trHeight w:val="284"/>
          <w:jc w:val="center"/>
        </w:trPr>
        <w:tc>
          <w:tcPr>
            <w:tcW w:w="828" w:type="dxa"/>
            <w:vAlign w:val="center"/>
          </w:tcPr>
          <w:p w14:paraId="2C425A46"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4.</w:t>
            </w:r>
          </w:p>
        </w:tc>
        <w:tc>
          <w:tcPr>
            <w:tcW w:w="1850" w:type="dxa"/>
            <w:vAlign w:val="center"/>
          </w:tcPr>
          <w:p w14:paraId="088DE981" w14:textId="77777777" w:rsidR="006F544F" w:rsidRPr="00DD060A" w:rsidRDefault="006F544F" w:rsidP="009C4B48">
            <w:pPr>
              <w:spacing w:line="276" w:lineRule="auto"/>
              <w:jc w:val="center"/>
              <w:rPr>
                <w:rFonts w:ascii="Arial" w:hAnsi="Arial" w:cs="Arial"/>
                <w:i/>
                <w:sz w:val="20"/>
                <w:szCs w:val="20"/>
              </w:rPr>
            </w:pPr>
            <w:proofErr w:type="spellStart"/>
            <w:proofErr w:type="gramStart"/>
            <w:r w:rsidRPr="00DD060A">
              <w:rPr>
                <w:rFonts w:ascii="Arial" w:hAnsi="Arial" w:cs="Arial"/>
                <w:i/>
                <w:sz w:val="20"/>
                <w:szCs w:val="20"/>
              </w:rPr>
              <w:t>K.pneumoniae</w:t>
            </w:r>
            <w:proofErr w:type="spellEnd"/>
            <w:proofErr w:type="gramEnd"/>
          </w:p>
        </w:tc>
        <w:tc>
          <w:tcPr>
            <w:tcW w:w="876" w:type="dxa"/>
            <w:vAlign w:val="center"/>
          </w:tcPr>
          <w:p w14:paraId="4743A493"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56" w:type="dxa"/>
            <w:vAlign w:val="center"/>
          </w:tcPr>
          <w:p w14:paraId="090D636A"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59" w:type="dxa"/>
            <w:vAlign w:val="center"/>
          </w:tcPr>
          <w:p w14:paraId="61AB7BF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11</w:t>
            </w:r>
          </w:p>
        </w:tc>
        <w:tc>
          <w:tcPr>
            <w:tcW w:w="733" w:type="dxa"/>
            <w:vAlign w:val="center"/>
          </w:tcPr>
          <w:p w14:paraId="0ABFEE94"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14</w:t>
            </w:r>
          </w:p>
        </w:tc>
        <w:tc>
          <w:tcPr>
            <w:tcW w:w="891" w:type="dxa"/>
            <w:vAlign w:val="center"/>
          </w:tcPr>
          <w:p w14:paraId="0030658F"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5BB4BE7E"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r>
      <w:tr w:rsidR="006F544F" w:rsidRPr="00DD060A" w14:paraId="3864591A" w14:textId="77777777" w:rsidTr="006F544F">
        <w:trPr>
          <w:trHeight w:val="300"/>
          <w:jc w:val="center"/>
        </w:trPr>
        <w:tc>
          <w:tcPr>
            <w:tcW w:w="828" w:type="dxa"/>
            <w:vAlign w:val="center"/>
          </w:tcPr>
          <w:p w14:paraId="615144ED"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5.</w:t>
            </w:r>
          </w:p>
        </w:tc>
        <w:tc>
          <w:tcPr>
            <w:tcW w:w="1850" w:type="dxa"/>
            <w:vAlign w:val="center"/>
          </w:tcPr>
          <w:p w14:paraId="05CE10F7" w14:textId="77777777" w:rsidR="006F544F" w:rsidRPr="00DD060A" w:rsidRDefault="006F544F" w:rsidP="009C4B48">
            <w:pPr>
              <w:spacing w:line="276" w:lineRule="auto"/>
              <w:jc w:val="center"/>
              <w:rPr>
                <w:rFonts w:ascii="Arial" w:hAnsi="Arial" w:cs="Arial"/>
                <w:i/>
                <w:sz w:val="20"/>
                <w:szCs w:val="20"/>
              </w:rPr>
            </w:pPr>
            <w:proofErr w:type="spellStart"/>
            <w:proofErr w:type="gramStart"/>
            <w:r w:rsidRPr="00DD060A">
              <w:rPr>
                <w:rFonts w:ascii="Arial" w:hAnsi="Arial" w:cs="Arial"/>
                <w:i/>
                <w:sz w:val="20"/>
                <w:szCs w:val="20"/>
              </w:rPr>
              <w:t>P.mirabilis</w:t>
            </w:r>
            <w:proofErr w:type="spellEnd"/>
            <w:proofErr w:type="gramEnd"/>
          </w:p>
        </w:tc>
        <w:tc>
          <w:tcPr>
            <w:tcW w:w="876" w:type="dxa"/>
            <w:vAlign w:val="center"/>
          </w:tcPr>
          <w:p w14:paraId="4D6D978A"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56" w:type="dxa"/>
            <w:vAlign w:val="center"/>
          </w:tcPr>
          <w:p w14:paraId="005B71BD"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w:t>
            </w:r>
            <w:r w:rsidR="00B37F1F" w:rsidRPr="00DD060A">
              <w:rPr>
                <w:rFonts w:ascii="Arial" w:hAnsi="Arial" w:cs="Arial"/>
                <w:sz w:val="20"/>
                <w:szCs w:val="20"/>
              </w:rPr>
              <w:t>0</w:t>
            </w:r>
          </w:p>
        </w:tc>
        <w:tc>
          <w:tcPr>
            <w:tcW w:w="859" w:type="dxa"/>
            <w:vAlign w:val="center"/>
          </w:tcPr>
          <w:p w14:paraId="4F2702A7"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12</w:t>
            </w:r>
          </w:p>
        </w:tc>
        <w:tc>
          <w:tcPr>
            <w:tcW w:w="733" w:type="dxa"/>
            <w:vAlign w:val="center"/>
          </w:tcPr>
          <w:p w14:paraId="269D93D7"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w:t>
            </w:r>
            <w:r w:rsidR="00B37F1F" w:rsidRPr="00DD060A">
              <w:rPr>
                <w:rFonts w:ascii="Arial" w:hAnsi="Arial" w:cs="Arial"/>
                <w:sz w:val="20"/>
                <w:szCs w:val="20"/>
              </w:rPr>
              <w:t>4</w:t>
            </w:r>
          </w:p>
        </w:tc>
        <w:tc>
          <w:tcPr>
            <w:tcW w:w="891" w:type="dxa"/>
            <w:vAlign w:val="center"/>
          </w:tcPr>
          <w:p w14:paraId="063D78CC"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7F4FEDD7" w14:textId="77777777" w:rsidR="006F544F" w:rsidRPr="00DD060A" w:rsidRDefault="005F0088" w:rsidP="009C4B48">
            <w:pPr>
              <w:spacing w:line="276" w:lineRule="auto"/>
              <w:jc w:val="center"/>
              <w:rPr>
                <w:rFonts w:ascii="Arial" w:hAnsi="Arial" w:cs="Arial"/>
                <w:sz w:val="20"/>
                <w:szCs w:val="20"/>
              </w:rPr>
            </w:pPr>
            <w:r w:rsidRPr="00DD060A">
              <w:rPr>
                <w:rFonts w:ascii="Arial" w:hAnsi="Arial" w:cs="Arial"/>
                <w:sz w:val="20"/>
                <w:szCs w:val="20"/>
              </w:rPr>
              <w:t>19</w:t>
            </w:r>
          </w:p>
        </w:tc>
      </w:tr>
      <w:tr w:rsidR="006F544F" w:rsidRPr="00DD060A" w14:paraId="7B23B800" w14:textId="77777777" w:rsidTr="006F544F">
        <w:trPr>
          <w:trHeight w:val="284"/>
          <w:jc w:val="center"/>
        </w:trPr>
        <w:tc>
          <w:tcPr>
            <w:tcW w:w="828" w:type="dxa"/>
            <w:vAlign w:val="center"/>
          </w:tcPr>
          <w:p w14:paraId="7CBB07FE"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6.</w:t>
            </w:r>
          </w:p>
        </w:tc>
        <w:tc>
          <w:tcPr>
            <w:tcW w:w="1850" w:type="dxa"/>
            <w:vAlign w:val="center"/>
          </w:tcPr>
          <w:p w14:paraId="2E2E9B67" w14:textId="77777777" w:rsidR="006F544F" w:rsidRPr="00DD060A" w:rsidRDefault="006F544F" w:rsidP="009C4B48">
            <w:pPr>
              <w:spacing w:line="276" w:lineRule="auto"/>
              <w:jc w:val="center"/>
              <w:rPr>
                <w:rFonts w:ascii="Arial" w:hAnsi="Arial" w:cs="Arial"/>
                <w:i/>
                <w:sz w:val="20"/>
                <w:szCs w:val="20"/>
              </w:rPr>
            </w:pPr>
            <w:r w:rsidRPr="00DD060A">
              <w:rPr>
                <w:rFonts w:ascii="Arial" w:hAnsi="Arial" w:cs="Arial"/>
                <w:i/>
                <w:sz w:val="20"/>
                <w:szCs w:val="20"/>
              </w:rPr>
              <w:t xml:space="preserve">Citrobacter </w:t>
            </w:r>
            <w:proofErr w:type="spellStart"/>
            <w:r w:rsidRPr="00DD060A">
              <w:rPr>
                <w:rFonts w:ascii="Arial" w:hAnsi="Arial" w:cs="Arial"/>
                <w:i/>
                <w:sz w:val="20"/>
                <w:szCs w:val="20"/>
              </w:rPr>
              <w:t>Sp</w:t>
            </w:r>
            <w:proofErr w:type="spellEnd"/>
          </w:p>
        </w:tc>
        <w:tc>
          <w:tcPr>
            <w:tcW w:w="876" w:type="dxa"/>
            <w:vAlign w:val="center"/>
          </w:tcPr>
          <w:p w14:paraId="4D0C8945"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56" w:type="dxa"/>
            <w:vAlign w:val="center"/>
          </w:tcPr>
          <w:p w14:paraId="74FB0783"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59" w:type="dxa"/>
            <w:vAlign w:val="center"/>
          </w:tcPr>
          <w:p w14:paraId="5D5C188F"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33" w:type="dxa"/>
            <w:vAlign w:val="center"/>
          </w:tcPr>
          <w:p w14:paraId="31271C6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91" w:type="dxa"/>
            <w:vAlign w:val="center"/>
          </w:tcPr>
          <w:p w14:paraId="4479C8A7"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0F1386B6"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r>
      <w:tr w:rsidR="006F544F" w:rsidRPr="00DD060A" w14:paraId="31623F15" w14:textId="77777777" w:rsidTr="006F544F">
        <w:trPr>
          <w:trHeight w:val="300"/>
          <w:jc w:val="center"/>
        </w:trPr>
        <w:tc>
          <w:tcPr>
            <w:tcW w:w="828" w:type="dxa"/>
            <w:vAlign w:val="center"/>
          </w:tcPr>
          <w:p w14:paraId="2456C792"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7.</w:t>
            </w:r>
          </w:p>
        </w:tc>
        <w:tc>
          <w:tcPr>
            <w:tcW w:w="1850" w:type="dxa"/>
            <w:vAlign w:val="center"/>
          </w:tcPr>
          <w:p w14:paraId="3032F159" w14:textId="77777777" w:rsidR="006F544F" w:rsidRPr="00DD060A" w:rsidRDefault="006F544F" w:rsidP="009C4B48">
            <w:pPr>
              <w:spacing w:line="276" w:lineRule="auto"/>
              <w:jc w:val="center"/>
              <w:rPr>
                <w:rFonts w:ascii="Arial" w:hAnsi="Arial" w:cs="Arial"/>
                <w:i/>
                <w:sz w:val="20"/>
                <w:szCs w:val="20"/>
              </w:rPr>
            </w:pPr>
            <w:r w:rsidRPr="00DD060A">
              <w:rPr>
                <w:rFonts w:ascii="Arial" w:hAnsi="Arial" w:cs="Arial"/>
                <w:i/>
                <w:sz w:val="20"/>
                <w:szCs w:val="20"/>
              </w:rPr>
              <w:t xml:space="preserve">Salmonella </w:t>
            </w:r>
            <w:proofErr w:type="spellStart"/>
            <w:r w:rsidRPr="00DD060A">
              <w:rPr>
                <w:rFonts w:ascii="Arial" w:hAnsi="Arial" w:cs="Arial"/>
                <w:i/>
                <w:sz w:val="20"/>
                <w:szCs w:val="20"/>
              </w:rPr>
              <w:t>Sp</w:t>
            </w:r>
            <w:proofErr w:type="spellEnd"/>
          </w:p>
        </w:tc>
        <w:tc>
          <w:tcPr>
            <w:tcW w:w="876" w:type="dxa"/>
            <w:vAlign w:val="center"/>
          </w:tcPr>
          <w:p w14:paraId="2D61BDD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56" w:type="dxa"/>
            <w:vAlign w:val="center"/>
          </w:tcPr>
          <w:p w14:paraId="19BCF17F"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859" w:type="dxa"/>
            <w:vAlign w:val="center"/>
          </w:tcPr>
          <w:p w14:paraId="00894971"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733" w:type="dxa"/>
            <w:vAlign w:val="center"/>
          </w:tcPr>
          <w:p w14:paraId="2DD31F49"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12</w:t>
            </w:r>
          </w:p>
        </w:tc>
        <w:tc>
          <w:tcPr>
            <w:tcW w:w="891" w:type="dxa"/>
            <w:vAlign w:val="center"/>
          </w:tcPr>
          <w:p w14:paraId="176405F2"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c>
          <w:tcPr>
            <w:tcW w:w="1000" w:type="dxa"/>
            <w:vAlign w:val="center"/>
          </w:tcPr>
          <w:p w14:paraId="7344CC65" w14:textId="77777777" w:rsidR="006F544F" w:rsidRPr="00DD060A" w:rsidRDefault="006F544F" w:rsidP="009C4B48">
            <w:pPr>
              <w:spacing w:line="276" w:lineRule="auto"/>
              <w:jc w:val="center"/>
              <w:rPr>
                <w:rFonts w:ascii="Arial" w:hAnsi="Arial" w:cs="Arial"/>
                <w:sz w:val="20"/>
                <w:szCs w:val="20"/>
              </w:rPr>
            </w:pPr>
            <w:r w:rsidRPr="00DD060A">
              <w:rPr>
                <w:rFonts w:ascii="Arial" w:hAnsi="Arial" w:cs="Arial"/>
                <w:sz w:val="20"/>
                <w:szCs w:val="20"/>
              </w:rPr>
              <w:t>-</w:t>
            </w:r>
          </w:p>
        </w:tc>
      </w:tr>
    </w:tbl>
    <w:p w14:paraId="211AD894" w14:textId="77777777" w:rsidR="00142D29" w:rsidRPr="00DD060A" w:rsidRDefault="00142D29" w:rsidP="00142D29">
      <w:pPr>
        <w:pStyle w:val="NormalWeb"/>
        <w:spacing w:before="240" w:beforeAutospacing="0" w:after="0" w:afterAutospacing="0" w:line="276" w:lineRule="auto"/>
        <w:jc w:val="both"/>
        <w:rPr>
          <w:rFonts w:ascii="Arial" w:hAnsi="Arial" w:cs="Arial"/>
          <w:b/>
          <w:sz w:val="20"/>
          <w:szCs w:val="20"/>
        </w:rPr>
      </w:pPr>
      <w:r>
        <w:rPr>
          <w:rFonts w:ascii="Arial" w:hAnsi="Arial" w:cs="Arial"/>
          <w:sz w:val="20"/>
          <w:szCs w:val="20"/>
        </w:rPr>
        <w:tab/>
        <w:t xml:space="preserve">The minimum inhibitory concentration (MIC) of the extract was determined against five bacterial pathogens using different concentrations (4–10 mg/mL). The extract showed inhibitory activity against all tested organisms, with MIC values of 4 mg/mL for </w:t>
      </w:r>
      <w:r>
        <w:rPr>
          <w:rFonts w:ascii="Arial" w:hAnsi="Arial" w:cs="Arial"/>
          <w:i/>
          <w:sz w:val="20"/>
          <w:szCs w:val="20"/>
        </w:rPr>
        <w:t>E. coli,</w:t>
      </w:r>
      <w:r>
        <w:rPr>
          <w:rFonts w:ascii="Arial" w:hAnsi="Arial" w:cs="Arial"/>
          <w:sz w:val="20"/>
          <w:szCs w:val="20"/>
        </w:rPr>
        <w:t xml:space="preserve"> 8 mg/mL for </w:t>
      </w:r>
      <w:r>
        <w:rPr>
          <w:rFonts w:ascii="Arial" w:hAnsi="Arial" w:cs="Arial"/>
          <w:i/>
          <w:sz w:val="20"/>
          <w:szCs w:val="20"/>
        </w:rPr>
        <w:t>P. aeruginosa</w:t>
      </w:r>
      <w:r>
        <w:rPr>
          <w:rFonts w:ascii="Arial" w:hAnsi="Arial" w:cs="Arial"/>
          <w:sz w:val="20"/>
          <w:szCs w:val="20"/>
        </w:rPr>
        <w:t xml:space="preserve">, </w:t>
      </w:r>
      <w:r>
        <w:rPr>
          <w:rFonts w:ascii="Arial" w:hAnsi="Arial" w:cs="Arial"/>
          <w:i/>
          <w:sz w:val="20"/>
          <w:szCs w:val="20"/>
        </w:rPr>
        <w:t>K. pneumoniae</w:t>
      </w:r>
      <w:r>
        <w:rPr>
          <w:rFonts w:ascii="Arial" w:hAnsi="Arial" w:cs="Arial"/>
          <w:sz w:val="20"/>
          <w:szCs w:val="20"/>
        </w:rPr>
        <w:t xml:space="preserve">, and </w:t>
      </w:r>
      <w:r>
        <w:rPr>
          <w:rFonts w:ascii="Arial" w:hAnsi="Arial" w:cs="Arial"/>
          <w:i/>
          <w:sz w:val="20"/>
          <w:szCs w:val="20"/>
        </w:rPr>
        <w:t>P. mirabilis</w:t>
      </w:r>
      <w:r>
        <w:rPr>
          <w:rFonts w:ascii="Arial" w:hAnsi="Arial" w:cs="Arial"/>
          <w:sz w:val="20"/>
          <w:szCs w:val="20"/>
        </w:rPr>
        <w:t xml:space="preserve">, and 9 mg/mL for </w:t>
      </w:r>
      <w:r>
        <w:rPr>
          <w:rFonts w:ascii="Arial" w:hAnsi="Arial" w:cs="Arial"/>
          <w:i/>
          <w:sz w:val="20"/>
          <w:szCs w:val="20"/>
        </w:rPr>
        <w:t xml:space="preserve">Salmonella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Among the tested pathogens, </w:t>
      </w:r>
      <w:r>
        <w:rPr>
          <w:rFonts w:ascii="Arial" w:hAnsi="Arial" w:cs="Arial"/>
          <w:i/>
          <w:sz w:val="20"/>
          <w:szCs w:val="20"/>
        </w:rPr>
        <w:t>E. coli</w:t>
      </w:r>
      <w:r>
        <w:rPr>
          <w:rFonts w:ascii="Arial" w:hAnsi="Arial" w:cs="Arial"/>
          <w:sz w:val="20"/>
          <w:szCs w:val="20"/>
        </w:rPr>
        <w:t xml:space="preserve"> was the most sensitive organism, showing the lowest MIC (4 mg/mL), whereas </w:t>
      </w:r>
      <w:r>
        <w:rPr>
          <w:rFonts w:ascii="Arial" w:hAnsi="Arial" w:cs="Arial"/>
          <w:i/>
          <w:sz w:val="20"/>
          <w:szCs w:val="20"/>
        </w:rPr>
        <w:t xml:space="preserve">Salmonella </w:t>
      </w:r>
      <w:r>
        <w:rPr>
          <w:rFonts w:ascii="Arial" w:hAnsi="Arial" w:cs="Arial"/>
          <w:sz w:val="20"/>
          <w:szCs w:val="20"/>
        </w:rPr>
        <w:t>s</w:t>
      </w:r>
      <w:r>
        <w:rPr>
          <w:rFonts w:ascii="Arial" w:hAnsi="Arial" w:cs="Arial"/>
          <w:i/>
          <w:sz w:val="20"/>
          <w:szCs w:val="20"/>
        </w:rPr>
        <w:t>p.</w:t>
      </w:r>
      <w:r>
        <w:rPr>
          <w:rFonts w:ascii="Arial" w:hAnsi="Arial" w:cs="Arial"/>
          <w:sz w:val="20"/>
          <w:szCs w:val="20"/>
        </w:rPr>
        <w:t xml:space="preserve"> showed the highest MIC (9 mg/mL). The control wells </w:t>
      </w:r>
      <w:r>
        <w:rPr>
          <w:rFonts w:ascii="Arial" w:hAnsi="Arial" w:cs="Arial"/>
          <w:sz w:val="20"/>
          <w:szCs w:val="20"/>
          <w:highlight w:val="yellow"/>
        </w:rPr>
        <w:t>supported</w:t>
      </w:r>
      <w:r>
        <w:rPr>
          <w:rFonts w:ascii="Arial" w:hAnsi="Arial" w:cs="Arial"/>
          <w:sz w:val="20"/>
          <w:szCs w:val="20"/>
        </w:rPr>
        <w:t xml:space="preserve"> the validity of the assay. </w:t>
      </w:r>
      <w:r>
        <w:rPr>
          <w:rFonts w:ascii="Arial" w:hAnsi="Arial" w:cs="Arial"/>
          <w:sz w:val="20"/>
          <w:szCs w:val="20"/>
          <w:highlight w:val="yellow"/>
        </w:rPr>
        <w:t>Isolates</w:t>
      </w:r>
      <w:r>
        <w:rPr>
          <w:rFonts w:ascii="Arial" w:hAnsi="Arial" w:cs="Arial"/>
          <w:sz w:val="20"/>
          <w:szCs w:val="20"/>
        </w:rPr>
        <w:t xml:space="preserve"> that were not inhibited by </w:t>
      </w:r>
      <w:r>
        <w:rPr>
          <w:rFonts w:ascii="Arial" w:hAnsi="Arial" w:cs="Arial"/>
          <w:sz w:val="20"/>
          <w:szCs w:val="20"/>
          <w:highlight w:val="yellow"/>
        </w:rPr>
        <w:t xml:space="preserve">the </w:t>
      </w:r>
      <w:r>
        <w:rPr>
          <w:rFonts w:ascii="Arial" w:hAnsi="Arial" w:cs="Arial"/>
          <w:sz w:val="20"/>
          <w:szCs w:val="20"/>
        </w:rPr>
        <w:t>extract</w:t>
      </w:r>
      <w:r>
        <w:rPr>
          <w:rFonts w:ascii="Arial" w:hAnsi="Arial" w:cs="Arial"/>
          <w:sz w:val="20"/>
          <w:szCs w:val="20"/>
          <w:highlight w:val="yellow"/>
        </w:rPr>
        <w:t xml:space="preserve"> in the antibacterial assay</w:t>
      </w:r>
      <w:r>
        <w:rPr>
          <w:rFonts w:ascii="Arial" w:hAnsi="Arial" w:cs="Arial"/>
          <w:sz w:val="20"/>
          <w:szCs w:val="20"/>
        </w:rPr>
        <w:t xml:space="preserve"> were not subjected to MIC </w:t>
      </w:r>
      <w:r>
        <w:rPr>
          <w:rFonts w:ascii="Arial" w:hAnsi="Arial" w:cs="Arial"/>
          <w:sz w:val="20"/>
          <w:szCs w:val="20"/>
          <w:highlight w:val="yellow"/>
        </w:rPr>
        <w:t>testing</w:t>
      </w:r>
      <w:r>
        <w:rPr>
          <w:rFonts w:ascii="Arial" w:hAnsi="Arial" w:cs="Arial"/>
          <w:sz w:val="20"/>
          <w:szCs w:val="20"/>
        </w:rPr>
        <w:t>.</w:t>
      </w:r>
    </w:p>
    <w:p w14:paraId="1DF37857" w14:textId="77777777" w:rsidR="00D849FC" w:rsidRPr="00DD060A" w:rsidRDefault="003E5480" w:rsidP="009C4B48">
      <w:pPr>
        <w:pStyle w:val="NormalWeb"/>
        <w:spacing w:before="240" w:beforeAutospacing="0" w:after="0" w:afterAutospacing="0" w:line="276" w:lineRule="auto"/>
        <w:jc w:val="both"/>
        <w:rPr>
          <w:rFonts w:ascii="Arial" w:hAnsi="Arial" w:cs="Arial"/>
          <w:b/>
          <w:i/>
          <w:sz w:val="22"/>
          <w:szCs w:val="22"/>
        </w:rPr>
      </w:pPr>
      <w:r>
        <w:rPr>
          <w:rFonts w:ascii="Arial" w:hAnsi="Arial" w:cs="Arial"/>
          <w:b/>
          <w:sz w:val="22"/>
          <w:szCs w:val="22"/>
        </w:rPr>
        <w:t xml:space="preserve">3.5 Antioxidant activity of ethanol extract of </w:t>
      </w:r>
      <w:proofErr w:type="spellStart"/>
      <w:r>
        <w:rPr>
          <w:rFonts w:ascii="Arial" w:hAnsi="Arial" w:cs="Arial"/>
          <w:b/>
          <w:i/>
          <w:sz w:val="22"/>
          <w:szCs w:val="22"/>
        </w:rPr>
        <w:t>Arthrospira</w:t>
      </w:r>
      <w:proofErr w:type="spellEnd"/>
      <w:r>
        <w:rPr>
          <w:rFonts w:ascii="Arial" w:hAnsi="Arial" w:cs="Arial"/>
          <w:b/>
          <w:i/>
          <w:sz w:val="22"/>
          <w:szCs w:val="22"/>
        </w:rPr>
        <w:t xml:space="preserve"> platensis</w:t>
      </w:r>
    </w:p>
    <w:p w14:paraId="205C5B87" w14:textId="77777777" w:rsidR="0062421C" w:rsidRPr="00DD060A" w:rsidRDefault="00142D29" w:rsidP="0062421C">
      <w:pPr>
        <w:pStyle w:val="NormalWeb"/>
        <w:spacing w:before="240" w:beforeAutospacing="0" w:after="0" w:afterAutospacing="0" w:line="276" w:lineRule="auto"/>
        <w:jc w:val="both"/>
        <w:rPr>
          <w:rFonts w:ascii="Arial" w:hAnsi="Arial" w:cs="Arial"/>
          <w:sz w:val="20"/>
          <w:szCs w:val="20"/>
        </w:rPr>
      </w:pPr>
      <w:r>
        <w:rPr>
          <w:rFonts w:ascii="Arial" w:hAnsi="Arial" w:cs="Arial"/>
          <w:b/>
          <w:sz w:val="22"/>
          <w:szCs w:val="22"/>
        </w:rPr>
        <w:tab/>
      </w:r>
      <w:r>
        <w:rPr>
          <w:rFonts w:ascii="Arial" w:hAnsi="Arial" w:cs="Arial"/>
          <w:sz w:val="20"/>
          <w:szCs w:val="20"/>
        </w:rPr>
        <w:t xml:space="preserve">According to the phytochemical screening results, the ethanol extract of </w:t>
      </w:r>
      <w:proofErr w:type="spellStart"/>
      <w:r>
        <w:rPr>
          <w:rFonts w:ascii="Arial" w:hAnsi="Arial" w:cs="Arial"/>
          <w:i/>
          <w:sz w:val="20"/>
          <w:szCs w:val="20"/>
        </w:rPr>
        <w:t>Arthrospira</w:t>
      </w:r>
      <w:proofErr w:type="spellEnd"/>
      <w:r>
        <w:rPr>
          <w:rFonts w:ascii="Arial" w:hAnsi="Arial" w:cs="Arial"/>
          <w:i/>
          <w:sz w:val="20"/>
          <w:szCs w:val="20"/>
        </w:rPr>
        <w:t xml:space="preserve"> platensis</w:t>
      </w:r>
      <w:r>
        <w:rPr>
          <w:rFonts w:ascii="Arial" w:hAnsi="Arial" w:cs="Arial"/>
          <w:sz w:val="20"/>
          <w:szCs w:val="20"/>
        </w:rPr>
        <w:t>, which showed the highest phytochemical content, was selected for antioxidant evaluation using the DPPH radical-scavenging assay. The extract exhibited a concentration-dependent increase in DPPH radical-scavenging activity, with inhibition increasing from 28.58 ± 0.07% at 25 µg/mL to 39.49 ± 0.01%, 49.12 ± 0.02%, 57.42 ± 0.03%, 68.49 ± 0.05%, and 79.74 ± 0.04% at 50, 100, 250, 500, and 1000 µg/mL, respectively. Ascorbic acid showed 42.06 ± 0.15%, 38.45 ± 0.47%, 57.40 ± 0.22%, 66.23 ± 0.05%, 76.09 ± 0.01%, and 87.89 ± 0.01% inhibition at the corresponding concentrations. The extract showed lower radical-scavenging activity than ascorbic acid at most concentrations, particularly at 25 and 1000 µg/</w:t>
      </w:r>
      <w:proofErr w:type="spellStart"/>
      <w:r>
        <w:rPr>
          <w:rFonts w:ascii="Arial" w:hAnsi="Arial" w:cs="Arial"/>
          <w:sz w:val="20"/>
          <w:szCs w:val="20"/>
        </w:rPr>
        <w:t>mL.</w:t>
      </w:r>
      <w:proofErr w:type="spellEnd"/>
      <w:r>
        <w:rPr>
          <w:rFonts w:ascii="Arial" w:hAnsi="Arial" w:cs="Arial"/>
          <w:sz w:val="20"/>
          <w:szCs w:val="20"/>
        </w:rPr>
        <w:t xml:space="preserve"> However, the extract demonstrated appreciable DPPH radical-scavenging activity at higher concentrations, reaching approximately 79.74% inhibition at 1000 µg/</w:t>
      </w:r>
      <w:proofErr w:type="spellStart"/>
      <w:r>
        <w:rPr>
          <w:rFonts w:ascii="Arial" w:hAnsi="Arial" w:cs="Arial"/>
          <w:sz w:val="20"/>
          <w:szCs w:val="20"/>
        </w:rPr>
        <w:t>mL.</w:t>
      </w:r>
      <w:proofErr w:type="spellEnd"/>
      <w:r>
        <w:rPr>
          <w:rFonts w:ascii="Arial" w:hAnsi="Arial" w:cs="Arial"/>
          <w:sz w:val="20"/>
          <w:szCs w:val="20"/>
        </w:rPr>
        <w:t xml:space="preserve"> Overall, the results indicate that the ethanol extract of </w:t>
      </w:r>
      <w:r>
        <w:rPr>
          <w:rFonts w:ascii="Arial" w:hAnsi="Arial" w:cs="Arial"/>
          <w:i/>
          <w:sz w:val="20"/>
          <w:szCs w:val="20"/>
        </w:rPr>
        <w:t>A. platensis</w:t>
      </w:r>
      <w:r>
        <w:rPr>
          <w:rFonts w:ascii="Arial" w:hAnsi="Arial" w:cs="Arial"/>
          <w:sz w:val="20"/>
          <w:szCs w:val="20"/>
        </w:rPr>
        <w:t xml:space="preserve"> possesses concentration-dependent antioxidant activity, although its </w:t>
      </w:r>
      <w:r>
        <w:rPr>
          <w:rFonts w:ascii="Arial" w:hAnsi="Arial" w:cs="Arial"/>
          <w:sz w:val="20"/>
          <w:szCs w:val="20"/>
        </w:rPr>
        <w:lastRenderedPageBreak/>
        <w:t>activity was generally lower than that of the standard ascorbic acid (Fig. 2). In this study, the IC</w:t>
      </w:r>
      <w:r>
        <w:rPr>
          <w:rFonts w:ascii="Cambria Math" w:hAnsi="Cambria Math" w:cs="Cambria Math"/>
          <w:sz w:val="20"/>
          <w:szCs w:val="20"/>
        </w:rPr>
        <w:t>₅₀</w:t>
      </w:r>
      <w:r>
        <w:rPr>
          <w:rFonts w:ascii="Arial" w:hAnsi="Arial" w:cs="Arial"/>
          <w:sz w:val="20"/>
          <w:szCs w:val="20"/>
        </w:rPr>
        <w:t xml:space="preserve"> value of the </w:t>
      </w:r>
      <w:r>
        <w:rPr>
          <w:rFonts w:ascii="Arial" w:hAnsi="Arial" w:cs="Arial"/>
          <w:i/>
          <w:sz w:val="20"/>
          <w:szCs w:val="20"/>
        </w:rPr>
        <w:t>A</w:t>
      </w:r>
      <w:r>
        <w:rPr>
          <w:rFonts w:ascii="Arial" w:hAnsi="Arial" w:cs="Arial"/>
          <w:i/>
          <w:sz w:val="20"/>
          <w:szCs w:val="20"/>
          <w:highlight w:val="yellow"/>
        </w:rPr>
        <w:t xml:space="preserve">. </w:t>
      </w:r>
      <w:r>
        <w:rPr>
          <w:rFonts w:ascii="Arial" w:hAnsi="Arial" w:cs="Arial"/>
          <w:i/>
          <w:sz w:val="20"/>
          <w:szCs w:val="20"/>
        </w:rPr>
        <w:t>platensis</w:t>
      </w:r>
      <w:r>
        <w:rPr>
          <w:rFonts w:ascii="Arial" w:hAnsi="Arial" w:cs="Arial"/>
          <w:sz w:val="20"/>
          <w:szCs w:val="20"/>
        </w:rPr>
        <w:t xml:space="preserve"> extract was observed to be approximately 118 µg/</w:t>
      </w:r>
      <w:proofErr w:type="spellStart"/>
      <w:r>
        <w:rPr>
          <w:rFonts w:ascii="Arial" w:hAnsi="Arial" w:cs="Arial"/>
          <w:sz w:val="20"/>
          <w:szCs w:val="20"/>
        </w:rPr>
        <w:t>mL.</w:t>
      </w:r>
      <w:proofErr w:type="spellEnd"/>
    </w:p>
    <w:p w14:paraId="12300D2F" w14:textId="77777777" w:rsidR="006F544F" w:rsidRPr="00DD060A" w:rsidRDefault="00142D29" w:rsidP="0062421C">
      <w:pPr>
        <w:pStyle w:val="NormalWeb"/>
        <w:spacing w:before="240" w:beforeAutospacing="0" w:after="0" w:afterAutospacing="0" w:line="276" w:lineRule="auto"/>
        <w:jc w:val="both"/>
        <w:rPr>
          <w:rFonts w:ascii="Arial" w:hAnsi="Arial" w:cs="Arial"/>
          <w:sz w:val="20"/>
          <w:szCs w:val="20"/>
        </w:rPr>
      </w:pPr>
      <w:r w:rsidRPr="00DD060A">
        <w:rPr>
          <w:rFonts w:ascii="Arial" w:hAnsi="Arial" w:cs="Arial"/>
          <w:noProof/>
        </w:rPr>
        <w:drawing>
          <wp:inline distT="0" distB="0" distL="0" distR="0" wp14:anchorId="2A6AEE90" wp14:editId="4A0A8085">
            <wp:extent cx="5470634" cy="2814145"/>
            <wp:effectExtent l="0" t="0" r="15875" b="247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766DF5" w14:textId="77777777" w:rsidR="00D7096D" w:rsidRPr="00DD060A" w:rsidRDefault="00D7096D" w:rsidP="009C4B48">
      <w:pPr>
        <w:pStyle w:val="NormalWeb"/>
        <w:spacing w:before="240" w:beforeAutospacing="0" w:after="0" w:afterAutospacing="0" w:line="276" w:lineRule="auto"/>
        <w:jc w:val="center"/>
        <w:rPr>
          <w:rFonts w:ascii="Arial" w:hAnsi="Arial" w:cs="Arial"/>
          <w:b/>
          <w:sz w:val="20"/>
          <w:szCs w:val="20"/>
        </w:rPr>
      </w:pPr>
      <w:r w:rsidRPr="00DD060A">
        <w:rPr>
          <w:rFonts w:ascii="Arial" w:hAnsi="Arial" w:cs="Arial"/>
          <w:b/>
          <w:sz w:val="20"/>
          <w:szCs w:val="20"/>
        </w:rPr>
        <w:t xml:space="preserve">Figure.2 Antioxidant activity of ethanol extract of </w:t>
      </w:r>
      <w:proofErr w:type="spellStart"/>
      <w:r w:rsidRPr="00DD060A">
        <w:rPr>
          <w:rFonts w:ascii="Arial" w:hAnsi="Arial" w:cs="Arial"/>
          <w:b/>
          <w:i/>
          <w:sz w:val="20"/>
          <w:szCs w:val="20"/>
        </w:rPr>
        <w:t>Arthrospira</w:t>
      </w:r>
      <w:proofErr w:type="spellEnd"/>
      <w:r w:rsidRPr="00DD060A">
        <w:rPr>
          <w:rFonts w:ascii="Arial" w:hAnsi="Arial" w:cs="Arial"/>
          <w:b/>
          <w:i/>
          <w:sz w:val="20"/>
          <w:szCs w:val="20"/>
        </w:rPr>
        <w:t xml:space="preserve"> platensis </w:t>
      </w:r>
      <w:r w:rsidRPr="00DD060A">
        <w:rPr>
          <w:rFonts w:ascii="Arial" w:hAnsi="Arial" w:cs="Arial"/>
          <w:b/>
          <w:sz w:val="20"/>
          <w:szCs w:val="20"/>
        </w:rPr>
        <w:t>and ascorbic acid</w:t>
      </w:r>
    </w:p>
    <w:p w14:paraId="52653E73" w14:textId="77777777" w:rsidR="001A455B" w:rsidRPr="00DD060A" w:rsidRDefault="003E5480" w:rsidP="009C4B48">
      <w:pPr>
        <w:pStyle w:val="NormalWeb"/>
        <w:spacing w:before="240" w:beforeAutospacing="0" w:after="0" w:afterAutospacing="0" w:line="276" w:lineRule="auto"/>
        <w:jc w:val="both"/>
        <w:rPr>
          <w:rFonts w:ascii="Arial" w:hAnsi="Arial" w:cs="Arial"/>
          <w:b/>
          <w:sz w:val="22"/>
          <w:szCs w:val="22"/>
        </w:rPr>
      </w:pPr>
      <w:r>
        <w:rPr>
          <w:rFonts w:ascii="Arial" w:hAnsi="Arial" w:cs="Arial"/>
          <w:b/>
          <w:sz w:val="22"/>
          <w:szCs w:val="22"/>
        </w:rPr>
        <w:t xml:space="preserve">3.6 Anticancer activity of ethanol extract of </w:t>
      </w:r>
      <w:r>
        <w:rPr>
          <w:rFonts w:ascii="Arial" w:hAnsi="Arial" w:cs="Arial"/>
          <w:b/>
          <w:i/>
          <w:sz w:val="22"/>
          <w:szCs w:val="22"/>
        </w:rPr>
        <w:t>A. platensis</w:t>
      </w:r>
      <w:r>
        <w:rPr>
          <w:rFonts w:ascii="Arial" w:hAnsi="Arial" w:cs="Arial"/>
          <w:b/>
          <w:sz w:val="22"/>
          <w:szCs w:val="22"/>
        </w:rPr>
        <w:t xml:space="preserve"> against HepG2</w:t>
      </w:r>
    </w:p>
    <w:p w14:paraId="11199194" w14:textId="77777777" w:rsidR="00FC7B4C" w:rsidRPr="00DD060A" w:rsidRDefault="006A24A2" w:rsidP="00E83B55">
      <w:pPr>
        <w:pStyle w:val="NormalWeb"/>
        <w:spacing w:before="240" w:beforeAutospacing="0" w:after="0" w:afterAutospacing="0" w:line="276" w:lineRule="auto"/>
        <w:jc w:val="both"/>
        <w:rPr>
          <w:rFonts w:ascii="Arial" w:hAnsi="Arial" w:cs="Arial"/>
          <w:sz w:val="20"/>
          <w:szCs w:val="20"/>
        </w:rPr>
      </w:pPr>
      <w:r>
        <w:rPr>
          <w:rFonts w:ascii="Arial" w:hAnsi="Arial" w:cs="Arial"/>
          <w:sz w:val="20"/>
          <w:szCs w:val="20"/>
        </w:rPr>
        <w:tab/>
        <w:t>The anticancer activity of the algal extract was evaluated at concentrations ranging from 10 to 250 µg/</w:t>
      </w:r>
      <w:proofErr w:type="spellStart"/>
      <w:r>
        <w:rPr>
          <w:rFonts w:ascii="Arial" w:hAnsi="Arial" w:cs="Arial"/>
          <w:sz w:val="20"/>
          <w:szCs w:val="20"/>
        </w:rPr>
        <w:t>mL.</w:t>
      </w:r>
      <w:proofErr w:type="spellEnd"/>
      <w:r>
        <w:rPr>
          <w:rFonts w:ascii="Arial" w:hAnsi="Arial" w:cs="Arial"/>
          <w:sz w:val="20"/>
          <w:szCs w:val="20"/>
        </w:rPr>
        <w:t xml:space="preserve"> The extract showed a concentration-dependent increase in percentage inhibition. At 10 µg/mL, the extract produced only 8.00 ± 0.21% inhibition, which increased to 16.00 ± 0.25% at 25 µg/mL and 28.50 ± 0.44% at 50 µg/</w:t>
      </w:r>
      <w:proofErr w:type="spellStart"/>
      <w:r>
        <w:rPr>
          <w:rFonts w:ascii="Arial" w:hAnsi="Arial" w:cs="Arial"/>
          <w:sz w:val="20"/>
          <w:szCs w:val="20"/>
        </w:rPr>
        <w:t>mL.</w:t>
      </w:r>
      <w:proofErr w:type="spellEnd"/>
      <w:r>
        <w:rPr>
          <w:rFonts w:ascii="Arial" w:hAnsi="Arial" w:cs="Arial"/>
          <w:sz w:val="20"/>
          <w:szCs w:val="20"/>
        </w:rPr>
        <w:t xml:space="preserve"> At 100 µg/mL, the inhibition increased markedly to 48.30 ± 0.36%, approaching 50% inhibition. The highest concentration tested, 250 µg/mL, showed the highest inhibitory activity of 74.20 ± 0.53%. These findings indicate that increasing the concentration of the algal extract resulted in a progressive increase in anticancer activity. Based on the inhibition values, the estimated IC</w:t>
      </w:r>
      <w:r>
        <w:rPr>
          <w:rFonts w:ascii="Cambria Math" w:hAnsi="Cambria Math" w:cs="Cambria Math"/>
          <w:sz w:val="20"/>
          <w:szCs w:val="20"/>
        </w:rPr>
        <w:t>₅₀</w:t>
      </w:r>
      <w:r>
        <w:rPr>
          <w:rFonts w:ascii="Arial" w:hAnsi="Arial" w:cs="Arial"/>
          <w:sz w:val="20"/>
          <w:szCs w:val="20"/>
        </w:rPr>
        <w:t xml:space="preserve"> value was approximately 110 µg/mL, indicating that about 110 µg/mL of the extract was required to produce 50% inhibition under the tested conditions. The relatively low variation among the triplicate measurements, as indicated by the SD and SE values, suggests good consistency of the assay results (Fig.3)</w:t>
      </w:r>
      <w:r>
        <w:rPr>
          <w:rFonts w:ascii="Arial" w:hAnsi="Arial" w:cs="Arial"/>
        </w:rPr>
        <w:t>.</w:t>
      </w:r>
    </w:p>
    <w:p w14:paraId="1CF29F67" w14:textId="77777777" w:rsidR="00FC7B4C" w:rsidRPr="00DD060A" w:rsidRDefault="00FC7B4C" w:rsidP="000E4E77">
      <w:pPr>
        <w:pStyle w:val="pdq2pgselectionanchorcontainer"/>
        <w:spacing w:before="240" w:beforeAutospacing="0" w:after="0" w:afterAutospacing="0" w:line="276" w:lineRule="auto"/>
        <w:jc w:val="both"/>
        <w:rPr>
          <w:rFonts w:ascii="Arial" w:hAnsi="Arial" w:cs="Arial"/>
          <w:sz w:val="20"/>
          <w:szCs w:val="20"/>
        </w:rPr>
      </w:pPr>
      <w:r w:rsidRPr="00DD060A">
        <w:rPr>
          <w:rFonts w:ascii="Arial" w:hAnsi="Arial" w:cs="Arial"/>
          <w:noProof/>
        </w:rPr>
        <w:lastRenderedPageBreak/>
        <w:drawing>
          <wp:inline distT="0" distB="0" distL="0" distR="0" wp14:anchorId="2F7896B1" wp14:editId="788F919B">
            <wp:extent cx="5549462" cy="3082159"/>
            <wp:effectExtent l="0" t="0" r="13335" b="234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D9F495" w14:textId="77777777" w:rsidR="00D7096D" w:rsidRPr="00DD060A" w:rsidRDefault="00D7096D" w:rsidP="009C4B48">
      <w:pPr>
        <w:pStyle w:val="NormalWeb"/>
        <w:spacing w:before="240" w:beforeAutospacing="0" w:after="0" w:afterAutospacing="0" w:line="276" w:lineRule="auto"/>
        <w:jc w:val="center"/>
        <w:rPr>
          <w:rFonts w:ascii="Arial" w:hAnsi="Arial" w:cs="Arial"/>
          <w:b/>
          <w:sz w:val="20"/>
          <w:szCs w:val="20"/>
        </w:rPr>
      </w:pPr>
      <w:r w:rsidRPr="00DD060A">
        <w:rPr>
          <w:rFonts w:ascii="Arial" w:hAnsi="Arial" w:cs="Arial"/>
          <w:b/>
          <w:sz w:val="20"/>
          <w:szCs w:val="20"/>
        </w:rPr>
        <w:t xml:space="preserve">Fig.3 Percentage of inhibitory activity of ethanol extract of </w:t>
      </w:r>
      <w:r w:rsidRPr="00DD060A">
        <w:rPr>
          <w:rFonts w:ascii="Arial" w:hAnsi="Arial" w:cs="Arial"/>
          <w:b/>
          <w:i/>
          <w:sz w:val="20"/>
          <w:szCs w:val="20"/>
        </w:rPr>
        <w:t>A. platensis</w:t>
      </w:r>
      <w:r w:rsidRPr="00DD060A">
        <w:rPr>
          <w:rFonts w:ascii="Arial" w:hAnsi="Arial" w:cs="Arial"/>
          <w:b/>
          <w:sz w:val="20"/>
          <w:szCs w:val="20"/>
        </w:rPr>
        <w:t xml:space="preserve"> against HepG2</w:t>
      </w:r>
    </w:p>
    <w:p w14:paraId="1E88BA85" w14:textId="77777777" w:rsidR="00FC7B4C" w:rsidRPr="00DD060A" w:rsidRDefault="00FC7B4C" w:rsidP="00FC7B4C">
      <w:pPr>
        <w:pStyle w:val="NormalWeb"/>
        <w:spacing w:before="240" w:line="276" w:lineRule="auto"/>
        <w:jc w:val="both"/>
        <w:rPr>
          <w:rFonts w:ascii="Arial" w:hAnsi="Arial" w:cs="Arial"/>
          <w:b/>
          <w:sz w:val="20"/>
          <w:szCs w:val="20"/>
        </w:rPr>
      </w:pPr>
      <w:r>
        <w:rPr>
          <w:rFonts w:ascii="Arial" w:hAnsi="Arial" w:cs="Arial"/>
          <w:b/>
          <w:sz w:val="20"/>
          <w:szCs w:val="20"/>
        </w:rPr>
        <w:t xml:space="preserve">3.7 Determination of </w:t>
      </w:r>
      <w:r>
        <w:rPr>
          <w:rFonts w:ascii="Arial" w:hAnsi="Arial" w:cs="Arial"/>
          <w:b/>
          <w:sz w:val="20"/>
          <w:szCs w:val="20"/>
          <w:highlight w:val="yellow"/>
        </w:rPr>
        <w:t>cytotoxic</w:t>
      </w:r>
      <w:r>
        <w:rPr>
          <w:rFonts w:ascii="Arial" w:hAnsi="Arial" w:cs="Arial"/>
          <w:b/>
          <w:sz w:val="20"/>
          <w:szCs w:val="20"/>
        </w:rPr>
        <w:t xml:space="preserve"> activity of </w:t>
      </w:r>
      <w:r>
        <w:rPr>
          <w:rFonts w:ascii="Arial" w:hAnsi="Arial" w:cs="Arial"/>
          <w:b/>
          <w:i/>
          <w:sz w:val="20"/>
          <w:szCs w:val="20"/>
        </w:rPr>
        <w:t>A. platensis</w:t>
      </w:r>
      <w:r>
        <w:rPr>
          <w:rFonts w:ascii="Arial" w:hAnsi="Arial" w:cs="Arial"/>
          <w:b/>
          <w:sz w:val="20"/>
          <w:szCs w:val="20"/>
        </w:rPr>
        <w:t xml:space="preserve"> in VERO cells</w:t>
      </w:r>
    </w:p>
    <w:p w14:paraId="7E68313E" w14:textId="77777777" w:rsidR="00FC7B4C" w:rsidRPr="00DD060A" w:rsidRDefault="00FC7B4C" w:rsidP="00AC176A">
      <w:pPr>
        <w:pStyle w:val="NormalWeb"/>
        <w:spacing w:before="240" w:beforeAutospacing="0" w:after="0" w:afterAutospacing="0" w:line="276" w:lineRule="auto"/>
        <w:jc w:val="both"/>
        <w:rPr>
          <w:rFonts w:ascii="Arial" w:hAnsi="Arial" w:cs="Arial"/>
          <w:b/>
          <w:sz w:val="20"/>
          <w:szCs w:val="20"/>
        </w:rPr>
      </w:pPr>
      <w:r w:rsidRPr="00DD060A">
        <w:rPr>
          <w:rFonts w:ascii="Arial" w:hAnsi="Arial" w:cs="Arial"/>
          <w:sz w:val="20"/>
          <w:szCs w:val="20"/>
        </w:rPr>
        <w:tab/>
      </w:r>
      <w:r w:rsidR="00AC176A" w:rsidRPr="00DD060A">
        <w:rPr>
          <w:rFonts w:ascii="Arial" w:hAnsi="Arial" w:cs="Arial"/>
          <w:sz w:val="20"/>
          <w:szCs w:val="20"/>
        </w:rPr>
        <w:t xml:space="preserve">The cytotoxicity of the </w:t>
      </w:r>
      <w:r w:rsidR="00AC176A" w:rsidRPr="00DD060A">
        <w:rPr>
          <w:rStyle w:val="Emphasis"/>
          <w:rFonts w:ascii="Arial" w:hAnsi="Arial" w:cs="Arial"/>
          <w:sz w:val="20"/>
          <w:szCs w:val="20"/>
        </w:rPr>
        <w:t>A. platensis</w:t>
      </w:r>
      <w:r w:rsidR="00AC176A" w:rsidRPr="00DD060A">
        <w:rPr>
          <w:rFonts w:ascii="Arial" w:hAnsi="Arial" w:cs="Arial"/>
          <w:sz w:val="20"/>
          <w:szCs w:val="20"/>
        </w:rPr>
        <w:t xml:space="preserve"> extract against VERO cells was evaluated using the MTT assay. A concentration-dependent cytotoxic effect was observed, with cell viab</w:t>
      </w:r>
      <w:r w:rsidR="00FC7BC5" w:rsidRPr="00DD060A">
        <w:rPr>
          <w:rFonts w:ascii="Arial" w:hAnsi="Arial" w:cs="Arial"/>
          <w:sz w:val="20"/>
          <w:szCs w:val="20"/>
        </w:rPr>
        <w:t xml:space="preserve">ility decreasing from 94.59% at </w:t>
      </w:r>
      <w:r w:rsidR="00AC176A" w:rsidRPr="00DD060A">
        <w:rPr>
          <w:rFonts w:ascii="Arial" w:hAnsi="Arial" w:cs="Arial"/>
          <w:sz w:val="20"/>
          <w:szCs w:val="20"/>
        </w:rPr>
        <w:t>10 µg/mL to 54.05% at 250 µg/</w:t>
      </w:r>
      <w:proofErr w:type="spellStart"/>
      <w:r w:rsidR="00AC176A" w:rsidRPr="00DD060A">
        <w:rPr>
          <w:rFonts w:ascii="Arial" w:hAnsi="Arial" w:cs="Arial"/>
          <w:sz w:val="20"/>
          <w:szCs w:val="20"/>
        </w:rPr>
        <w:t>mL.</w:t>
      </w:r>
      <w:proofErr w:type="spellEnd"/>
      <w:r w:rsidR="00AC176A" w:rsidRPr="00DD060A">
        <w:rPr>
          <w:rFonts w:ascii="Arial" w:hAnsi="Arial" w:cs="Arial"/>
          <w:sz w:val="20"/>
          <w:szCs w:val="20"/>
        </w:rPr>
        <w:t xml:space="preserve"> Correspondingly, cell death increased from 5.41% to 45.95% as the extract concentration increased. The highest concentration (250 µg/mL) showed the greatest cytotoxic effect, whereas lower concentrations maintained higher cell viability. These results indicate that the cytotoxic effect of the extract increased with concentration. The estimated IC</w:t>
      </w:r>
      <w:r w:rsidR="00AC176A" w:rsidRPr="00DD060A">
        <w:rPr>
          <w:rFonts w:ascii="Cambria Math" w:hAnsi="Cambria Math" w:cs="Cambria Math"/>
          <w:sz w:val="20"/>
          <w:szCs w:val="20"/>
        </w:rPr>
        <w:t>₅₀</w:t>
      </w:r>
      <w:r w:rsidR="00AC176A" w:rsidRPr="00DD060A">
        <w:rPr>
          <w:rFonts w:ascii="Arial" w:hAnsi="Arial" w:cs="Arial"/>
          <w:sz w:val="20"/>
          <w:szCs w:val="20"/>
        </w:rPr>
        <w:t xml:space="preserve"> value was approximately 248 µg/mL based on cell viability recalculated relative to the untreated control (Fig. 4)</w:t>
      </w:r>
      <w:r w:rsidR="00AC176A" w:rsidRPr="00DD060A">
        <w:rPr>
          <w:rFonts w:ascii="Arial" w:hAnsi="Arial" w:cs="Arial"/>
        </w:rPr>
        <w:t>.</w:t>
      </w:r>
      <w:r w:rsidR="00DE4ADF" w:rsidRPr="00DD060A">
        <w:rPr>
          <w:rFonts w:ascii="Arial" w:hAnsi="Arial" w:cs="Arial"/>
          <w:noProof/>
        </w:rPr>
        <w:drawing>
          <wp:inline distT="0" distB="0" distL="0" distR="0" wp14:anchorId="177A98DD" wp14:editId="66A0824C">
            <wp:extent cx="5214937" cy="2700337"/>
            <wp:effectExtent l="0" t="0" r="24130" b="241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3608D0" w14:textId="77777777" w:rsidR="00FC7B4C" w:rsidRPr="00DD060A" w:rsidRDefault="00FC7B4C" w:rsidP="00FC7B4C">
      <w:pPr>
        <w:pStyle w:val="Heading1"/>
        <w:spacing w:before="240" w:line="276" w:lineRule="auto"/>
        <w:jc w:val="center"/>
        <w:rPr>
          <w:rFonts w:ascii="Arial" w:hAnsi="Arial" w:cs="Arial"/>
          <w:b/>
          <w:color w:val="auto"/>
          <w:sz w:val="20"/>
          <w:szCs w:val="20"/>
        </w:rPr>
      </w:pPr>
      <w:r w:rsidRPr="00DD060A">
        <w:rPr>
          <w:rFonts w:ascii="Arial" w:hAnsi="Arial" w:cs="Arial"/>
          <w:b/>
          <w:bCs/>
          <w:color w:val="auto"/>
          <w:sz w:val="22"/>
          <w:szCs w:val="22"/>
        </w:rPr>
        <w:t xml:space="preserve">Fig.4 </w:t>
      </w:r>
      <w:r w:rsidRPr="00DD060A">
        <w:rPr>
          <w:rFonts w:ascii="Arial" w:hAnsi="Arial" w:cs="Arial"/>
          <w:b/>
          <w:color w:val="auto"/>
          <w:sz w:val="20"/>
          <w:szCs w:val="20"/>
        </w:rPr>
        <w:t xml:space="preserve">Percentage of cell viability of ethanol extract of </w:t>
      </w:r>
      <w:r w:rsidRPr="00DD060A">
        <w:rPr>
          <w:rFonts w:ascii="Arial" w:hAnsi="Arial" w:cs="Arial"/>
          <w:b/>
          <w:i/>
          <w:color w:val="auto"/>
          <w:sz w:val="20"/>
          <w:szCs w:val="20"/>
        </w:rPr>
        <w:t>A. platensis</w:t>
      </w:r>
      <w:r w:rsidRPr="00DD060A">
        <w:rPr>
          <w:rFonts w:ascii="Arial" w:hAnsi="Arial" w:cs="Arial"/>
          <w:b/>
          <w:color w:val="auto"/>
          <w:sz w:val="20"/>
          <w:szCs w:val="20"/>
        </w:rPr>
        <w:t xml:space="preserve"> on VERO cell line</w:t>
      </w:r>
    </w:p>
    <w:p w14:paraId="79FD05FA" w14:textId="77777777" w:rsidR="008455DB" w:rsidRPr="00DD060A" w:rsidRDefault="008455DB" w:rsidP="00FC7B4C">
      <w:pPr>
        <w:pStyle w:val="Heading1"/>
        <w:spacing w:before="240" w:line="276" w:lineRule="auto"/>
        <w:jc w:val="center"/>
        <w:rPr>
          <w:rFonts w:ascii="Arial" w:hAnsi="Arial" w:cs="Arial"/>
          <w:b/>
          <w:bCs/>
          <w:color w:val="auto"/>
          <w:sz w:val="22"/>
          <w:szCs w:val="22"/>
        </w:rPr>
      </w:pPr>
    </w:p>
    <w:p w14:paraId="7ADB2FBE" w14:textId="77777777" w:rsidR="0008444E" w:rsidRPr="00DD060A" w:rsidRDefault="000A7EE8" w:rsidP="009C4B48">
      <w:pPr>
        <w:pStyle w:val="Heading1"/>
        <w:spacing w:before="240" w:line="276" w:lineRule="auto"/>
        <w:jc w:val="both"/>
        <w:rPr>
          <w:rFonts w:ascii="Arial" w:hAnsi="Arial" w:cs="Arial"/>
          <w:b/>
          <w:color w:val="auto"/>
          <w:sz w:val="22"/>
          <w:szCs w:val="22"/>
        </w:rPr>
      </w:pPr>
      <w:r>
        <w:rPr>
          <w:rFonts w:ascii="Arial" w:hAnsi="Arial" w:cs="Arial"/>
          <w:b/>
          <w:bCs/>
          <w:color w:val="auto"/>
          <w:sz w:val="22"/>
          <w:szCs w:val="22"/>
        </w:rPr>
        <w:lastRenderedPageBreak/>
        <w:t>4. Discussion</w:t>
      </w:r>
    </w:p>
    <w:p w14:paraId="45C389D4" w14:textId="77777777" w:rsidR="0008444E" w:rsidRPr="00DD060A" w:rsidRDefault="0008444E" w:rsidP="009C4B48">
      <w:pPr>
        <w:spacing w:before="240" w:line="276" w:lineRule="auto"/>
        <w:jc w:val="both"/>
        <w:rPr>
          <w:rFonts w:ascii="Arial" w:hAnsi="Arial" w:cs="Arial"/>
        </w:rPr>
      </w:pPr>
      <w:r>
        <w:rPr>
          <w:rFonts w:ascii="Arial" w:hAnsi="Arial" w:cs="Arial"/>
        </w:rPr>
        <w:tab/>
        <w:t>In the present study</w:t>
      </w:r>
      <w:r>
        <w:rPr>
          <w:rFonts w:ascii="Arial" w:hAnsi="Arial" w:cs="Arial"/>
          <w:i/>
        </w:rPr>
        <w:t>, Klebsiella pneumoniae</w:t>
      </w:r>
      <w:r>
        <w:rPr>
          <w:rFonts w:ascii="Arial" w:hAnsi="Arial" w:cs="Arial"/>
        </w:rPr>
        <w:t xml:space="preserve"> was the most frequently recovered organism from chicken, fish, and mutton samples (88.8%), followed by </w:t>
      </w:r>
      <w:r>
        <w:rPr>
          <w:rFonts w:ascii="Arial" w:hAnsi="Arial" w:cs="Arial"/>
          <w:i/>
        </w:rPr>
        <w:t>Enterococcus faecalis</w:t>
      </w:r>
      <w:r>
        <w:rPr>
          <w:rFonts w:ascii="Arial" w:hAnsi="Arial" w:cs="Arial"/>
        </w:rPr>
        <w:t xml:space="preserve"> and </w:t>
      </w:r>
      <w:r>
        <w:rPr>
          <w:rFonts w:ascii="Arial" w:hAnsi="Arial" w:cs="Arial"/>
          <w:i/>
        </w:rPr>
        <w:t xml:space="preserve">Salmonella </w:t>
      </w:r>
      <w:r>
        <w:rPr>
          <w:rFonts w:ascii="Arial" w:hAnsi="Arial" w:cs="Arial"/>
        </w:rPr>
        <w:t>s</w:t>
      </w:r>
      <w:r>
        <w:rPr>
          <w:rFonts w:ascii="Arial" w:hAnsi="Arial" w:cs="Arial"/>
          <w:i/>
        </w:rPr>
        <w:t>p.</w:t>
      </w:r>
      <w:r>
        <w:rPr>
          <w:rFonts w:ascii="Arial" w:hAnsi="Arial" w:cs="Arial"/>
        </w:rPr>
        <w:t xml:space="preserve"> (55.5% each). This predominance of </w:t>
      </w:r>
      <w:r>
        <w:rPr>
          <w:rFonts w:ascii="Arial" w:hAnsi="Arial" w:cs="Arial"/>
          <w:i/>
        </w:rPr>
        <w:t>K. pneumoniae</w:t>
      </w:r>
      <w:r>
        <w:rPr>
          <w:rFonts w:ascii="Arial" w:hAnsi="Arial" w:cs="Arial"/>
        </w:rPr>
        <w:t xml:space="preserve"> in retail meat and fish is consistent with previous reports describing the species as a major food-chain contaminant with zoonotic potential; </w:t>
      </w:r>
      <w:r>
        <w:rPr>
          <w:rFonts w:ascii="Arial" w:hAnsi="Arial" w:cs="Arial"/>
          <w:i/>
        </w:rPr>
        <w:t>K. pneumoniae</w:t>
      </w:r>
      <w:r>
        <w:rPr>
          <w:rFonts w:ascii="Arial" w:hAnsi="Arial" w:cs="Arial"/>
        </w:rPr>
        <w:t xml:space="preserve"> was detected in nearly half of retail poultry meat samples in Bangladesh, with a substantial proportion carrying ESBL-encoding genes (Tanni </w:t>
      </w:r>
      <w:r>
        <w:rPr>
          <w:rFonts w:ascii="Arial" w:hAnsi="Arial" w:cs="Arial"/>
          <w:i/>
        </w:rPr>
        <w:t>et al</w:t>
      </w:r>
      <w:r>
        <w:rPr>
          <w:rFonts w:ascii="Arial" w:hAnsi="Arial" w:cs="Arial"/>
        </w:rPr>
        <w:t xml:space="preserve">., 2025). Vasanthi </w:t>
      </w:r>
      <w:r>
        <w:rPr>
          <w:rFonts w:ascii="Arial" w:hAnsi="Arial" w:cs="Arial"/>
          <w:i/>
        </w:rPr>
        <w:t>et al</w:t>
      </w:r>
      <w:r>
        <w:rPr>
          <w:rFonts w:ascii="Arial" w:hAnsi="Arial" w:cs="Arial"/>
        </w:rPr>
        <w:t xml:space="preserve">. (2023) reported </w:t>
      </w:r>
      <w:r>
        <w:rPr>
          <w:rFonts w:ascii="Arial" w:hAnsi="Arial" w:cs="Arial"/>
          <w:i/>
          <w:iCs/>
        </w:rPr>
        <w:t>E. coli</w:t>
      </w:r>
      <w:r>
        <w:rPr>
          <w:rFonts w:ascii="Arial" w:hAnsi="Arial" w:cs="Arial"/>
        </w:rPr>
        <w:t xml:space="preserve"> and </w:t>
      </w:r>
      <w:r>
        <w:rPr>
          <w:rFonts w:ascii="Arial" w:hAnsi="Arial" w:cs="Arial"/>
          <w:i/>
          <w:iCs/>
        </w:rPr>
        <w:t>Klebsiella</w:t>
      </w:r>
      <w:r>
        <w:rPr>
          <w:rFonts w:ascii="Arial" w:hAnsi="Arial" w:cs="Arial"/>
          <w:i/>
        </w:rPr>
        <w:t xml:space="preserve"> </w:t>
      </w:r>
      <w:r>
        <w:rPr>
          <w:rFonts w:ascii="Arial" w:hAnsi="Arial" w:cs="Arial"/>
        </w:rPr>
        <w:t>s</w:t>
      </w:r>
      <w:r>
        <w:rPr>
          <w:rFonts w:ascii="Arial" w:hAnsi="Arial" w:cs="Arial"/>
          <w:i/>
        </w:rPr>
        <w:t>pp.</w:t>
      </w:r>
      <w:r>
        <w:rPr>
          <w:rFonts w:ascii="Arial" w:hAnsi="Arial" w:cs="Arial"/>
        </w:rPr>
        <w:t xml:space="preserve"> from chicken meat samples collected in Tamil Nadu, confirming the occurrence of these organisms in poultry meat. Similarly, high recovery rates of </w:t>
      </w:r>
      <w:r>
        <w:rPr>
          <w:rFonts w:ascii="Arial" w:hAnsi="Arial" w:cs="Arial"/>
          <w:i/>
        </w:rPr>
        <w:t xml:space="preserve">Salmonella </w:t>
      </w:r>
      <w:r>
        <w:rPr>
          <w:rFonts w:ascii="Arial" w:hAnsi="Arial" w:cs="Arial"/>
        </w:rPr>
        <w:t>s</w:t>
      </w:r>
      <w:r>
        <w:rPr>
          <w:rFonts w:ascii="Arial" w:hAnsi="Arial" w:cs="Arial"/>
          <w:i/>
        </w:rPr>
        <w:t>p.</w:t>
      </w:r>
      <w:r>
        <w:rPr>
          <w:rFonts w:ascii="Arial" w:hAnsi="Arial" w:cs="Arial"/>
        </w:rPr>
        <w:t xml:space="preserve"> and multidrug-resistant Enterobacteriaceae from poultry and meat products have been widely documented, reinforcing the role of animal-derived foods as an important reservoir for antimicrobial-resistant pathogens entering the human food chain (Siddique </w:t>
      </w:r>
      <w:r>
        <w:rPr>
          <w:rFonts w:ascii="Arial" w:hAnsi="Arial" w:cs="Arial"/>
          <w:i/>
        </w:rPr>
        <w:t>et al</w:t>
      </w:r>
      <w:r>
        <w:rPr>
          <w:rFonts w:ascii="Arial" w:hAnsi="Arial" w:cs="Arial"/>
        </w:rPr>
        <w:t xml:space="preserve">., 2021). Muthusamy </w:t>
      </w:r>
      <w:r>
        <w:rPr>
          <w:rFonts w:ascii="Arial" w:hAnsi="Arial" w:cs="Arial"/>
          <w:i/>
        </w:rPr>
        <w:t>et al</w:t>
      </w:r>
      <w:r>
        <w:rPr>
          <w:rFonts w:ascii="Arial" w:hAnsi="Arial" w:cs="Arial"/>
        </w:rPr>
        <w:t>. (2024) also reported substantial microbial contamination of goat meat and highlighted the importance of hygienic handling and prevention of cross-contamination.</w:t>
      </w:r>
    </w:p>
    <w:p w14:paraId="798B62F4" w14:textId="77777777" w:rsidR="0008444E" w:rsidRPr="00DD060A" w:rsidRDefault="0008444E" w:rsidP="009C4B48">
      <w:pPr>
        <w:spacing w:before="240" w:line="276" w:lineRule="auto"/>
        <w:jc w:val="both"/>
        <w:rPr>
          <w:rFonts w:ascii="Arial" w:hAnsi="Arial" w:cs="Arial"/>
        </w:rPr>
      </w:pPr>
      <w:r>
        <w:rPr>
          <w:rFonts w:ascii="Arial" w:hAnsi="Arial" w:cs="Arial"/>
        </w:rPr>
        <w:tab/>
        <w:t xml:space="preserve">A substantial proportion of the isolates in this study (62.9%) were ESBL producers, with </w:t>
      </w:r>
      <w:r>
        <w:rPr>
          <w:rFonts w:ascii="Arial" w:hAnsi="Arial" w:cs="Arial"/>
          <w:i/>
        </w:rPr>
        <w:t xml:space="preserve">Citrobacter </w:t>
      </w:r>
      <w:r>
        <w:rPr>
          <w:rFonts w:ascii="Arial" w:hAnsi="Arial" w:cs="Arial"/>
        </w:rPr>
        <w:t>s</w:t>
      </w:r>
      <w:r>
        <w:rPr>
          <w:rFonts w:ascii="Arial" w:hAnsi="Arial" w:cs="Arial"/>
          <w:i/>
        </w:rPr>
        <w:t>p.</w:t>
      </w:r>
      <w:r>
        <w:rPr>
          <w:rFonts w:ascii="Arial" w:hAnsi="Arial" w:cs="Arial"/>
        </w:rPr>
        <w:t xml:space="preserve">, </w:t>
      </w:r>
      <w:r>
        <w:rPr>
          <w:rFonts w:ascii="Arial" w:hAnsi="Arial" w:cs="Arial"/>
          <w:i/>
        </w:rPr>
        <w:t>E. coli</w:t>
      </w:r>
      <w:r>
        <w:rPr>
          <w:rFonts w:ascii="Arial" w:hAnsi="Arial" w:cs="Arial"/>
        </w:rPr>
        <w:t xml:space="preserve">, and </w:t>
      </w:r>
      <w:r>
        <w:rPr>
          <w:rFonts w:ascii="Arial" w:hAnsi="Arial" w:cs="Arial"/>
          <w:i/>
        </w:rPr>
        <w:t>Proteus mirabilis</w:t>
      </w:r>
      <w:r>
        <w:rPr>
          <w:rFonts w:ascii="Arial" w:hAnsi="Arial" w:cs="Arial"/>
        </w:rPr>
        <w:t xml:space="preserve"> showing the highest phenotypic rates. This finding aligns with the growing body of evidence documenting ESBL-producing Enterobacteriaceae in retail meat; for instance, ESBL/</w:t>
      </w:r>
      <w:proofErr w:type="spellStart"/>
      <w:r>
        <w:rPr>
          <w:rFonts w:ascii="Arial" w:hAnsi="Arial" w:cs="Arial"/>
        </w:rPr>
        <w:t>AmpC</w:t>
      </w:r>
      <w:proofErr w:type="spellEnd"/>
      <w:r>
        <w:rPr>
          <w:rFonts w:ascii="Arial" w:hAnsi="Arial" w:cs="Arial"/>
        </w:rPr>
        <w:t xml:space="preserve">-producing </w:t>
      </w:r>
      <w:r>
        <w:rPr>
          <w:rFonts w:ascii="Arial" w:hAnsi="Arial" w:cs="Arial"/>
          <w:i/>
        </w:rPr>
        <w:t>E. coli</w:t>
      </w:r>
      <w:r>
        <w:rPr>
          <w:rFonts w:ascii="Arial" w:hAnsi="Arial" w:cs="Arial"/>
        </w:rPr>
        <w:t xml:space="preserve"> was confirmed in nearly 80% of presumptive isolates from beef, pork, and poultry in a Portuguese surveillance study (Clemente </w:t>
      </w:r>
      <w:r>
        <w:rPr>
          <w:rFonts w:ascii="Arial" w:hAnsi="Arial" w:cs="Arial"/>
          <w:i/>
        </w:rPr>
        <w:t>et al</w:t>
      </w:r>
      <w:r>
        <w:rPr>
          <w:rFonts w:ascii="Arial" w:hAnsi="Arial" w:cs="Arial"/>
        </w:rPr>
        <w:t xml:space="preserve">., 2021), while ESBL-producing </w:t>
      </w:r>
      <w:r>
        <w:rPr>
          <w:rFonts w:ascii="Arial" w:hAnsi="Arial" w:cs="Arial"/>
          <w:i/>
        </w:rPr>
        <w:t>E. coli</w:t>
      </w:r>
      <w:r>
        <w:rPr>
          <w:rFonts w:ascii="Arial" w:hAnsi="Arial" w:cs="Arial"/>
        </w:rPr>
        <w:t xml:space="preserve"> with concurrent biofilm-forming ability has similarly been reported in chicken meat sold in Istanbul (Aydin </w:t>
      </w:r>
      <w:r>
        <w:rPr>
          <w:rFonts w:ascii="Arial" w:hAnsi="Arial" w:cs="Arial"/>
          <w:i/>
        </w:rPr>
        <w:t>et al</w:t>
      </w:r>
      <w:r>
        <w:rPr>
          <w:rFonts w:ascii="Arial" w:hAnsi="Arial" w:cs="Arial"/>
        </w:rPr>
        <w:t xml:space="preserve">., 2024). The co-occurrence of ESBL production and biofilm formation observed here, particularly the strong biofilm-forming ability of </w:t>
      </w:r>
      <w:r>
        <w:rPr>
          <w:rFonts w:ascii="Arial" w:hAnsi="Arial" w:cs="Arial"/>
          <w:i/>
        </w:rPr>
        <w:t>Pseudomonas aeruginosa</w:t>
      </w:r>
      <w:r>
        <w:rPr>
          <w:rFonts w:ascii="Arial" w:hAnsi="Arial" w:cs="Arial"/>
        </w:rPr>
        <w:t xml:space="preserve"> (100%) and </w:t>
      </w:r>
      <w:r>
        <w:rPr>
          <w:rFonts w:ascii="Arial" w:hAnsi="Arial" w:cs="Arial"/>
          <w:i/>
        </w:rPr>
        <w:t xml:space="preserve">Salmonella </w:t>
      </w:r>
      <w:r>
        <w:rPr>
          <w:rFonts w:ascii="Arial" w:hAnsi="Arial" w:cs="Arial"/>
        </w:rPr>
        <w:t>s</w:t>
      </w:r>
      <w:r>
        <w:rPr>
          <w:rFonts w:ascii="Arial" w:hAnsi="Arial" w:cs="Arial"/>
          <w:i/>
        </w:rPr>
        <w:t>p.</w:t>
      </w:r>
      <w:r>
        <w:rPr>
          <w:rFonts w:ascii="Arial" w:hAnsi="Arial" w:cs="Arial"/>
        </w:rPr>
        <w:t xml:space="preserve"> (80.0%), mirrors findings that biofilm-forming Salmonella and Enterobacteriaceae strains from poultry environments show a significant positive correlation between resistance determinants and biofilm capacity, which enhances environmental persistence and complicates decontamination during food processing (Siddique </w:t>
      </w:r>
      <w:r>
        <w:rPr>
          <w:rFonts w:ascii="Arial" w:hAnsi="Arial" w:cs="Arial"/>
          <w:i/>
        </w:rPr>
        <w:t>et al</w:t>
      </w:r>
      <w:r>
        <w:rPr>
          <w:rFonts w:ascii="Arial" w:hAnsi="Arial" w:cs="Arial"/>
        </w:rPr>
        <w:t>., 2021).</w:t>
      </w:r>
    </w:p>
    <w:p w14:paraId="73601BC8" w14:textId="77777777" w:rsidR="0008444E" w:rsidRPr="00DD060A" w:rsidRDefault="0008444E" w:rsidP="009C4B48">
      <w:pPr>
        <w:spacing w:before="240" w:line="276" w:lineRule="auto"/>
        <w:jc w:val="both"/>
        <w:rPr>
          <w:rFonts w:ascii="Arial" w:hAnsi="Arial" w:cs="Arial"/>
        </w:rPr>
      </w:pPr>
      <w:r>
        <w:rPr>
          <w:rFonts w:ascii="Arial" w:hAnsi="Arial" w:cs="Arial"/>
        </w:rPr>
        <w:tab/>
        <w:t xml:space="preserve">The presence of biofilm-forming bacteria in meat and meat-processing environments is a significant food safety concern because these microorganisms can adhere to and persist on processing equipment, food-contact surfaces, storage areas, and meat products despite routine cleaning and sanitation practices. Biofilm formation facilitates bacterial attachment and accumulation, providing protection against environmental stresses, disinfectants, and other control measures. Pathogens such as </w:t>
      </w:r>
      <w:r>
        <w:rPr>
          <w:rStyle w:val="Emphasis"/>
          <w:rFonts w:ascii="Arial" w:hAnsi="Arial" w:cs="Arial"/>
        </w:rPr>
        <w:t>Listeria monocytogenes</w:t>
      </w:r>
      <w:r>
        <w:rPr>
          <w:rFonts w:ascii="Arial" w:hAnsi="Arial" w:cs="Arial"/>
        </w:rPr>
        <w:t xml:space="preserve">, </w:t>
      </w:r>
      <w:r>
        <w:rPr>
          <w:rStyle w:val="Emphasis"/>
          <w:rFonts w:ascii="Arial" w:hAnsi="Arial" w:cs="Arial"/>
        </w:rPr>
        <w:t>Salmonella</w:t>
      </w:r>
      <w:r>
        <w:rPr>
          <w:rFonts w:ascii="Arial" w:hAnsi="Arial" w:cs="Arial"/>
          <w:i/>
        </w:rPr>
        <w:t xml:space="preserve"> </w:t>
      </w:r>
      <w:r>
        <w:rPr>
          <w:rFonts w:ascii="Arial" w:hAnsi="Arial" w:cs="Arial"/>
        </w:rPr>
        <w:t>s</w:t>
      </w:r>
      <w:r>
        <w:rPr>
          <w:rFonts w:ascii="Arial" w:hAnsi="Arial" w:cs="Arial"/>
          <w:i/>
        </w:rPr>
        <w:t>pp.</w:t>
      </w:r>
      <w:r>
        <w:rPr>
          <w:rFonts w:ascii="Arial" w:hAnsi="Arial" w:cs="Arial"/>
        </w:rPr>
        <w:t xml:space="preserve">, </w:t>
      </w:r>
      <w:r>
        <w:rPr>
          <w:rStyle w:val="Emphasis"/>
          <w:rFonts w:ascii="Arial" w:hAnsi="Arial" w:cs="Arial"/>
        </w:rPr>
        <w:t>Escherichia coli</w:t>
      </w:r>
      <w:r>
        <w:rPr>
          <w:rFonts w:ascii="Arial" w:hAnsi="Arial" w:cs="Arial"/>
        </w:rPr>
        <w:t xml:space="preserve"> O157, and </w:t>
      </w:r>
      <w:r>
        <w:rPr>
          <w:rStyle w:val="Emphasis"/>
          <w:rFonts w:ascii="Arial" w:hAnsi="Arial" w:cs="Arial"/>
        </w:rPr>
        <w:t>Staphylococcus aureus</w:t>
      </w:r>
      <w:r>
        <w:rPr>
          <w:rFonts w:ascii="Arial" w:hAnsi="Arial" w:cs="Arial"/>
        </w:rPr>
        <w:t xml:space="preserve"> can persist within biofilms and subsequently contribute to repeated contamination and cross-contamination of meat products. Furthermore, multispecies biofilms may enhance bacterial persistence and facilitate the exchange of antimicrobial-resistance determinants, increasing the potential for reduced shelf life and foodborne disease transmission (</w:t>
      </w:r>
      <w:proofErr w:type="spellStart"/>
      <w:r>
        <w:rPr>
          <w:rFonts w:ascii="Arial" w:hAnsi="Arial" w:cs="Arial"/>
        </w:rPr>
        <w:t>Oliulla</w:t>
      </w:r>
      <w:proofErr w:type="spellEnd"/>
      <w:r>
        <w:rPr>
          <w:rFonts w:ascii="Arial" w:hAnsi="Arial" w:cs="Arial"/>
        </w:rPr>
        <w:t xml:space="preserve"> </w:t>
      </w:r>
      <w:r>
        <w:rPr>
          <w:rStyle w:val="Emphasis"/>
          <w:rFonts w:ascii="Arial" w:hAnsi="Arial" w:cs="Arial"/>
        </w:rPr>
        <w:t>et al</w:t>
      </w:r>
      <w:r>
        <w:rPr>
          <w:rFonts w:ascii="Arial" w:hAnsi="Arial" w:cs="Arial"/>
        </w:rPr>
        <w:t xml:space="preserve">., 2024; Araújo </w:t>
      </w:r>
      <w:r>
        <w:rPr>
          <w:rStyle w:val="Emphasis"/>
          <w:rFonts w:ascii="Arial" w:hAnsi="Arial" w:cs="Arial"/>
        </w:rPr>
        <w:t>et al</w:t>
      </w:r>
      <w:r>
        <w:rPr>
          <w:rFonts w:ascii="Arial" w:hAnsi="Arial" w:cs="Arial"/>
        </w:rPr>
        <w:t>., 2024; Ban-</w:t>
      </w:r>
      <w:proofErr w:type="spellStart"/>
      <w:r>
        <w:rPr>
          <w:rFonts w:ascii="Arial" w:hAnsi="Arial" w:cs="Arial"/>
        </w:rPr>
        <w:t>Cucerzan</w:t>
      </w:r>
      <w:proofErr w:type="spellEnd"/>
      <w:r>
        <w:rPr>
          <w:rFonts w:ascii="Arial" w:hAnsi="Arial" w:cs="Arial"/>
        </w:rPr>
        <w:t xml:space="preserve"> </w:t>
      </w:r>
      <w:r>
        <w:rPr>
          <w:rStyle w:val="Emphasis"/>
          <w:rFonts w:ascii="Arial" w:hAnsi="Arial" w:cs="Arial"/>
        </w:rPr>
        <w:t>et al</w:t>
      </w:r>
      <w:r>
        <w:rPr>
          <w:rFonts w:ascii="Arial" w:hAnsi="Arial" w:cs="Arial"/>
        </w:rPr>
        <w:t xml:space="preserve">., 2025; Akter </w:t>
      </w:r>
      <w:r>
        <w:rPr>
          <w:rFonts w:ascii="Arial" w:hAnsi="Arial" w:cs="Arial"/>
          <w:i/>
        </w:rPr>
        <w:t>et al</w:t>
      </w:r>
      <w:r>
        <w:rPr>
          <w:rFonts w:ascii="Arial" w:hAnsi="Arial" w:cs="Arial"/>
        </w:rPr>
        <w:t>., 2025).</w:t>
      </w:r>
    </w:p>
    <w:p w14:paraId="4916AC49" w14:textId="77777777" w:rsidR="0008444E" w:rsidRPr="00DD060A" w:rsidRDefault="0008444E" w:rsidP="009C4B48">
      <w:pPr>
        <w:spacing w:before="240" w:line="276" w:lineRule="auto"/>
        <w:jc w:val="both"/>
        <w:rPr>
          <w:rFonts w:ascii="Arial" w:hAnsi="Arial" w:cs="Arial"/>
          <w:i/>
        </w:rPr>
      </w:pPr>
      <w:r>
        <w:rPr>
          <w:rFonts w:ascii="Arial" w:hAnsi="Arial" w:cs="Arial"/>
        </w:rPr>
        <w:tab/>
        <w:t xml:space="preserve">In this context, there is a need to </w:t>
      </w:r>
      <w:r>
        <w:rPr>
          <w:rFonts w:ascii="Arial" w:hAnsi="Arial" w:cs="Arial"/>
          <w:highlight w:val="yellow"/>
        </w:rPr>
        <w:t>investigate natural alternatives for controlling</w:t>
      </w:r>
      <w:r>
        <w:rPr>
          <w:rFonts w:ascii="Arial" w:hAnsi="Arial" w:cs="Arial"/>
        </w:rPr>
        <w:t xml:space="preserve"> biofilm-producing isolates </w:t>
      </w:r>
      <w:r>
        <w:rPr>
          <w:rFonts w:ascii="Arial" w:hAnsi="Arial" w:cs="Arial"/>
          <w:highlight w:val="yellow"/>
        </w:rPr>
        <w:t>alongside</w:t>
      </w:r>
      <w:r>
        <w:rPr>
          <w:rFonts w:ascii="Arial" w:hAnsi="Arial" w:cs="Arial"/>
        </w:rPr>
        <w:t xml:space="preserve"> conventional antibiotics </w:t>
      </w:r>
      <w:r>
        <w:rPr>
          <w:rFonts w:ascii="Arial" w:hAnsi="Arial" w:cs="Arial"/>
          <w:highlight w:val="yellow"/>
        </w:rPr>
        <w:t>and</w:t>
      </w:r>
      <w:r>
        <w:rPr>
          <w:rFonts w:ascii="Arial" w:hAnsi="Arial" w:cs="Arial"/>
        </w:rPr>
        <w:t xml:space="preserve"> chemical </w:t>
      </w:r>
      <w:r>
        <w:rPr>
          <w:rFonts w:ascii="Arial" w:hAnsi="Arial" w:cs="Arial"/>
          <w:highlight w:val="yellow"/>
        </w:rPr>
        <w:t>sanitisers</w:t>
      </w:r>
      <w:r>
        <w:rPr>
          <w:rFonts w:ascii="Arial" w:hAnsi="Arial" w:cs="Arial"/>
        </w:rPr>
        <w:t xml:space="preserve">. Accordingly, the present study focused on </w:t>
      </w:r>
      <w:r>
        <w:rPr>
          <w:rFonts w:ascii="Arial" w:hAnsi="Arial" w:cs="Arial"/>
          <w:highlight w:val="yellow"/>
        </w:rPr>
        <w:t>assessing</w:t>
      </w:r>
      <w:r>
        <w:rPr>
          <w:rFonts w:ascii="Arial" w:hAnsi="Arial" w:cs="Arial"/>
        </w:rPr>
        <w:t xml:space="preserve"> </w:t>
      </w:r>
      <w:r>
        <w:rPr>
          <w:rFonts w:ascii="Arial" w:hAnsi="Arial" w:cs="Arial"/>
          <w:highlight w:val="yellow"/>
        </w:rPr>
        <w:t>the antibacterial</w:t>
      </w:r>
      <w:r>
        <w:rPr>
          <w:rFonts w:ascii="Arial" w:hAnsi="Arial" w:cs="Arial"/>
        </w:rPr>
        <w:t xml:space="preserve"> </w:t>
      </w:r>
      <w:r>
        <w:rPr>
          <w:rFonts w:ascii="Arial" w:hAnsi="Arial" w:cs="Arial"/>
          <w:highlight w:val="yellow"/>
        </w:rPr>
        <w:t>activity</w:t>
      </w:r>
      <w:r>
        <w:rPr>
          <w:rFonts w:ascii="Arial" w:hAnsi="Arial" w:cs="Arial"/>
        </w:rPr>
        <w:t xml:space="preserve"> of </w:t>
      </w:r>
      <w:proofErr w:type="spellStart"/>
      <w:r>
        <w:rPr>
          <w:rFonts w:ascii="Arial" w:hAnsi="Arial" w:cs="Arial"/>
          <w:i/>
        </w:rPr>
        <w:t>Arthrospira</w:t>
      </w:r>
      <w:proofErr w:type="spellEnd"/>
      <w:r>
        <w:rPr>
          <w:rFonts w:ascii="Arial" w:hAnsi="Arial" w:cs="Arial"/>
          <w:i/>
        </w:rPr>
        <w:t xml:space="preserve"> </w:t>
      </w:r>
      <w:r>
        <w:rPr>
          <w:rFonts w:ascii="Arial" w:hAnsi="Arial" w:cs="Arial"/>
          <w:i/>
          <w:highlight w:val="yellow"/>
        </w:rPr>
        <w:t>platensis extract against selected bacterial isolates</w:t>
      </w:r>
      <w:r>
        <w:rPr>
          <w:rFonts w:ascii="Arial" w:hAnsi="Arial" w:cs="Arial"/>
          <w:i/>
        </w:rPr>
        <w:t>.</w:t>
      </w:r>
      <w:r>
        <w:rPr>
          <w:rFonts w:ascii="Arial" w:hAnsi="Arial" w:cs="Arial"/>
          <w:color w:val="1B1B1B"/>
          <w:shd w:val="clear" w:color="auto" w:fill="FFFFFF"/>
        </w:rPr>
        <w:t xml:space="preserve"> Numerous studies have demonstrated multiple beneficial actions, such as antioxidant, anti-inflammatory, hypolipidemic, antidiabetic, cardioprotective, and even antimicrobial effects. Considering that chronic diseases remain a major global health concern, the use of natural and functional foods, such as spirulina, represents a promising complementary strategy for the prevention and management of these diseases. This approach aligns with the principle of Hippocrates: “Let food be the medicine and medicine be the food” (</w:t>
      </w:r>
      <w:proofErr w:type="spellStart"/>
      <w:r>
        <w:rPr>
          <w:rFonts w:ascii="Arial" w:hAnsi="Arial" w:cs="Arial"/>
          <w:color w:val="000000"/>
          <w:shd w:val="clear" w:color="auto" w:fill="FFFFFF"/>
        </w:rPr>
        <w:t>Christodoulopoulou</w:t>
      </w:r>
      <w:proofErr w:type="spellEnd"/>
      <w:r>
        <w:rPr>
          <w:rFonts w:ascii="Arial" w:hAnsi="Arial" w:cs="Arial"/>
          <w:color w:val="000000"/>
          <w:shd w:val="clear" w:color="auto" w:fill="FFFFFF"/>
        </w:rPr>
        <w:t xml:space="preserve"> </w:t>
      </w:r>
      <w:r>
        <w:rPr>
          <w:rFonts w:ascii="Arial" w:hAnsi="Arial" w:cs="Arial"/>
          <w:i/>
          <w:color w:val="000000"/>
          <w:shd w:val="clear" w:color="auto" w:fill="FFFFFF"/>
        </w:rPr>
        <w:t>et al</w:t>
      </w:r>
      <w:r>
        <w:rPr>
          <w:rFonts w:ascii="Arial" w:hAnsi="Arial" w:cs="Arial"/>
          <w:color w:val="000000"/>
          <w:shd w:val="clear" w:color="auto" w:fill="FFFFFF"/>
        </w:rPr>
        <w:t>., 2025</w:t>
      </w:r>
      <w:r>
        <w:rPr>
          <w:rFonts w:ascii="Arial" w:hAnsi="Arial" w:cs="Arial"/>
          <w:color w:val="1B1B1B"/>
          <w:shd w:val="clear" w:color="auto" w:fill="FFFFFF"/>
        </w:rPr>
        <w:t>).</w:t>
      </w:r>
    </w:p>
    <w:p w14:paraId="05DC4444" w14:textId="77777777" w:rsidR="00A51C6F" w:rsidRPr="00DD060A" w:rsidRDefault="0008444E" w:rsidP="009C4B48">
      <w:pPr>
        <w:spacing w:before="240" w:line="276" w:lineRule="auto"/>
        <w:jc w:val="both"/>
        <w:rPr>
          <w:rFonts w:ascii="Arial" w:hAnsi="Arial" w:cs="Arial"/>
        </w:rPr>
      </w:pPr>
      <w:r>
        <w:rPr>
          <w:rFonts w:ascii="Arial" w:hAnsi="Arial" w:cs="Arial"/>
        </w:rPr>
        <w:lastRenderedPageBreak/>
        <w:tab/>
        <w:t xml:space="preserve">Based on the above findings, </w:t>
      </w:r>
      <w:proofErr w:type="spellStart"/>
      <w:r>
        <w:rPr>
          <w:rStyle w:val="Emphasis"/>
          <w:rFonts w:ascii="Arial" w:hAnsi="Arial" w:cs="Arial"/>
        </w:rPr>
        <w:t>Arthrospira</w:t>
      </w:r>
      <w:proofErr w:type="spellEnd"/>
      <w:r>
        <w:rPr>
          <w:rStyle w:val="Emphasis"/>
          <w:rFonts w:ascii="Arial" w:hAnsi="Arial" w:cs="Arial"/>
        </w:rPr>
        <w:t xml:space="preserve"> platensis</w:t>
      </w:r>
      <w:r>
        <w:rPr>
          <w:rFonts w:ascii="Arial" w:hAnsi="Arial" w:cs="Arial"/>
        </w:rPr>
        <w:t xml:space="preserve"> was collected and subjected to preliminary phytochemical screening, as well as antibacterial, antioxidant, and anticancer activity evaluation. Preliminary phytochemical screening revealed that the ethanol extract of </w:t>
      </w:r>
      <w:r>
        <w:rPr>
          <w:rStyle w:val="Emphasis"/>
          <w:rFonts w:ascii="Arial" w:hAnsi="Arial" w:cs="Arial"/>
        </w:rPr>
        <w:t>A. platensis</w:t>
      </w:r>
      <w:r>
        <w:rPr>
          <w:rFonts w:ascii="Arial" w:hAnsi="Arial" w:cs="Arial"/>
        </w:rPr>
        <w:t xml:space="preserve"> contained a broader range of bioactive constituents, including alkaloids, flavonoids, saponins, phenols, and terpenoids, whereas the aqueous extract contained mainly carbohydrates and tannins. Similarly, Anwar </w:t>
      </w:r>
      <w:r>
        <w:rPr>
          <w:rStyle w:val="Emphasis"/>
          <w:rFonts w:ascii="Arial" w:hAnsi="Arial" w:cs="Arial"/>
        </w:rPr>
        <w:t>et al.</w:t>
      </w:r>
      <w:r>
        <w:rPr>
          <w:rFonts w:ascii="Arial" w:hAnsi="Arial" w:cs="Arial"/>
        </w:rPr>
        <w:t xml:space="preserve"> (2020) reported the presence of saponins, steroids, and alkaloids in the ethanol extract of </w:t>
      </w:r>
      <w:r>
        <w:rPr>
          <w:rStyle w:val="Emphasis"/>
          <w:rFonts w:ascii="Arial" w:hAnsi="Arial" w:cs="Arial"/>
        </w:rPr>
        <w:t>A. platensis</w:t>
      </w:r>
      <w:r>
        <w:rPr>
          <w:rFonts w:ascii="Arial" w:hAnsi="Arial" w:cs="Arial"/>
        </w:rPr>
        <w:t xml:space="preserve">. In another study, </w:t>
      </w:r>
      <w:r>
        <w:rPr>
          <w:rFonts w:ascii="Arial" w:hAnsi="Arial" w:cs="Arial"/>
          <w:highlight w:val="yellow"/>
        </w:rPr>
        <w:t xml:space="preserve">Etame </w:t>
      </w:r>
      <w:r>
        <w:rPr>
          <w:rFonts w:ascii="Arial" w:hAnsi="Arial" w:cs="Arial"/>
        </w:rPr>
        <w:t xml:space="preserve">Loe </w:t>
      </w:r>
      <w:r>
        <w:rPr>
          <w:rStyle w:val="Emphasis"/>
          <w:rFonts w:ascii="Arial" w:hAnsi="Arial" w:cs="Arial"/>
        </w:rPr>
        <w:t>et al.</w:t>
      </w:r>
      <w:r>
        <w:rPr>
          <w:rFonts w:ascii="Arial" w:hAnsi="Arial" w:cs="Arial"/>
        </w:rPr>
        <w:t xml:space="preserve"> (2018) reported the presence of tannins, flavonoids, saponins, terpenes, and alkaloids in the aqueous extract of </w:t>
      </w:r>
      <w:r>
        <w:rPr>
          <w:rStyle w:val="Emphasis"/>
          <w:rFonts w:ascii="Arial" w:hAnsi="Arial" w:cs="Arial"/>
        </w:rPr>
        <w:t>A. platensis</w:t>
      </w:r>
      <w:r>
        <w:rPr>
          <w:rFonts w:ascii="Arial" w:hAnsi="Arial" w:cs="Arial"/>
        </w:rPr>
        <w:t xml:space="preserve">. These findings indicate that the phytochemical composition of </w:t>
      </w:r>
      <w:r>
        <w:rPr>
          <w:rStyle w:val="Emphasis"/>
          <w:rFonts w:ascii="Arial" w:hAnsi="Arial" w:cs="Arial"/>
        </w:rPr>
        <w:t>A. platensis</w:t>
      </w:r>
      <w:r>
        <w:rPr>
          <w:rFonts w:ascii="Arial" w:hAnsi="Arial" w:cs="Arial"/>
        </w:rPr>
        <w:t xml:space="preserve"> may vary depending on the extraction solvent and extraction conditions.</w:t>
      </w:r>
    </w:p>
    <w:p w14:paraId="6E338CB6" w14:textId="77777777" w:rsidR="000B43C3" w:rsidRPr="00DD060A" w:rsidRDefault="000B43C3" w:rsidP="009C4B48">
      <w:pPr>
        <w:spacing w:before="240" w:line="276" w:lineRule="auto"/>
        <w:jc w:val="both"/>
        <w:rPr>
          <w:rFonts w:ascii="Arial" w:hAnsi="Arial" w:cs="Arial"/>
        </w:rPr>
      </w:pPr>
      <w:r>
        <w:rPr>
          <w:rFonts w:ascii="Arial" w:hAnsi="Arial" w:cs="Arial"/>
        </w:rPr>
        <w:tab/>
        <w:t xml:space="preserve">This solvent-dependent extraction pattern has been reported previously; ethanol and methanol extracts of </w:t>
      </w:r>
      <w:r>
        <w:rPr>
          <w:rFonts w:ascii="Arial" w:hAnsi="Arial" w:cs="Arial"/>
          <w:i/>
        </w:rPr>
        <w:t>S. platensis</w:t>
      </w:r>
      <w:r>
        <w:rPr>
          <w:rFonts w:ascii="Arial" w:hAnsi="Arial" w:cs="Arial"/>
        </w:rPr>
        <w:t xml:space="preserve"> are generally richer in flavonoid, saponin, and phenolic constituents relevant to bioactivity, whereas aqueous extracts tend to favour polysaccharide- and carbohydrate-associated compounds, with comparative studies confirming that flavonoid content differs markedly between aqueous and ethanolic fractions of the same biomass (Kumar </w:t>
      </w:r>
      <w:r>
        <w:rPr>
          <w:rFonts w:ascii="Arial" w:hAnsi="Arial" w:cs="Arial"/>
          <w:i/>
        </w:rPr>
        <w:t>et al</w:t>
      </w:r>
      <w:r>
        <w:rPr>
          <w:rFonts w:ascii="Arial" w:hAnsi="Arial" w:cs="Arial"/>
        </w:rPr>
        <w:t>., 2022). This distinction likely explains why the ethanol extract, rather than the aqueous extract, was selected for downstream bioactivity testing in this study, since phenolic and flavonoid constituents are the primary contributors to antimicrobial, antioxidant, and cytotoxic activity in Spirulina.</w:t>
      </w:r>
      <w:r>
        <w:rPr>
          <w:rFonts w:ascii="Arial" w:hAnsi="Arial" w:cs="Arial"/>
        </w:rPr>
        <w:tab/>
      </w:r>
    </w:p>
    <w:p w14:paraId="4AAA222B" w14:textId="77777777" w:rsidR="0008444E" w:rsidRPr="00DD060A" w:rsidRDefault="000B43C3" w:rsidP="009C4B48">
      <w:pPr>
        <w:spacing w:before="240" w:line="276" w:lineRule="auto"/>
        <w:jc w:val="both"/>
        <w:rPr>
          <w:rFonts w:ascii="Arial" w:hAnsi="Arial" w:cs="Arial"/>
        </w:rPr>
      </w:pPr>
      <w:r>
        <w:rPr>
          <w:rFonts w:ascii="Arial" w:hAnsi="Arial" w:cs="Arial"/>
        </w:rPr>
        <w:tab/>
        <w:t xml:space="preserve">The ethanol extract exhibited clear, concentration-dependent antibacterial activity against Gram-negative food isolates, with </w:t>
      </w:r>
      <w:r>
        <w:rPr>
          <w:rFonts w:ascii="Arial" w:hAnsi="Arial" w:cs="Arial"/>
          <w:i/>
        </w:rPr>
        <w:t>E. coli</w:t>
      </w:r>
      <w:r>
        <w:rPr>
          <w:rFonts w:ascii="Arial" w:hAnsi="Arial" w:cs="Arial"/>
        </w:rPr>
        <w:t xml:space="preserve"> showing the greatest susceptibility (up to 17 mm at 10 mg) and no activity detected against </w:t>
      </w:r>
      <w:r>
        <w:rPr>
          <w:rFonts w:ascii="Arial" w:hAnsi="Arial" w:cs="Arial"/>
          <w:i/>
        </w:rPr>
        <w:t>E. faecalis</w:t>
      </w:r>
      <w:r>
        <w:rPr>
          <w:rFonts w:ascii="Arial" w:hAnsi="Arial" w:cs="Arial"/>
        </w:rPr>
        <w:t xml:space="preserve"> or </w:t>
      </w:r>
      <w:r>
        <w:rPr>
          <w:rFonts w:ascii="Arial" w:hAnsi="Arial" w:cs="Arial"/>
          <w:i/>
        </w:rPr>
        <w:t xml:space="preserve">Citrobacter </w:t>
      </w:r>
      <w:r>
        <w:rPr>
          <w:rFonts w:ascii="Arial" w:hAnsi="Arial" w:cs="Arial"/>
        </w:rPr>
        <w:t>s</w:t>
      </w:r>
      <w:r>
        <w:rPr>
          <w:rFonts w:ascii="Arial" w:hAnsi="Arial" w:cs="Arial"/>
          <w:i/>
        </w:rPr>
        <w:t>p.</w:t>
      </w:r>
      <w:r>
        <w:rPr>
          <w:rFonts w:ascii="Arial" w:hAnsi="Arial" w:cs="Arial"/>
        </w:rPr>
        <w:t xml:space="preserve"> This broadly supports earlier reports that </w:t>
      </w:r>
      <w:r>
        <w:rPr>
          <w:rFonts w:ascii="Arial" w:hAnsi="Arial" w:cs="Arial"/>
          <w:i/>
        </w:rPr>
        <w:t>S. platensis</w:t>
      </w:r>
      <w:r>
        <w:rPr>
          <w:rFonts w:ascii="Arial" w:hAnsi="Arial" w:cs="Arial"/>
        </w:rPr>
        <w:t xml:space="preserve"> extracts inhibit key Gram-negative foodborne pathogens including </w:t>
      </w:r>
      <w:r>
        <w:rPr>
          <w:rFonts w:ascii="Arial" w:hAnsi="Arial" w:cs="Arial"/>
          <w:i/>
        </w:rPr>
        <w:t>E. coli</w:t>
      </w:r>
      <w:r>
        <w:rPr>
          <w:rFonts w:ascii="Arial" w:hAnsi="Arial" w:cs="Arial"/>
        </w:rPr>
        <w:t xml:space="preserve">, </w:t>
      </w:r>
      <w:r>
        <w:rPr>
          <w:rFonts w:ascii="Arial" w:hAnsi="Arial" w:cs="Arial"/>
          <w:i/>
        </w:rPr>
        <w:t>Klebsiella pneumoniae, Pseudomonas aeruginosa</w:t>
      </w:r>
      <w:r>
        <w:rPr>
          <w:rFonts w:ascii="Arial" w:hAnsi="Arial" w:cs="Arial"/>
        </w:rPr>
        <w:t xml:space="preserve">, and </w:t>
      </w:r>
      <w:r>
        <w:rPr>
          <w:rFonts w:ascii="Arial" w:hAnsi="Arial" w:cs="Arial"/>
          <w:i/>
        </w:rPr>
        <w:t>Salmonella typhi</w:t>
      </w:r>
      <w:r>
        <w:rPr>
          <w:rFonts w:ascii="Arial" w:hAnsi="Arial" w:cs="Arial"/>
        </w:rPr>
        <w:t xml:space="preserve"> (Kaushik and Chauhan, 2008). However, the lack of activity against </w:t>
      </w:r>
      <w:r>
        <w:rPr>
          <w:rFonts w:ascii="Arial" w:hAnsi="Arial" w:cs="Arial"/>
          <w:i/>
        </w:rPr>
        <w:t>E. faecalis</w:t>
      </w:r>
      <w:r>
        <w:rPr>
          <w:rFonts w:ascii="Arial" w:hAnsi="Arial" w:cs="Arial"/>
        </w:rPr>
        <w:t xml:space="preserve"> in the present study contrasts with a report in which the ethanol extract of </w:t>
      </w:r>
      <w:r>
        <w:rPr>
          <w:rFonts w:ascii="Arial" w:hAnsi="Arial" w:cs="Arial"/>
          <w:i/>
        </w:rPr>
        <w:t>S. platensis</w:t>
      </w:r>
      <w:r>
        <w:rPr>
          <w:rFonts w:ascii="Arial" w:hAnsi="Arial" w:cs="Arial"/>
        </w:rPr>
        <w:t xml:space="preserve"> completely inhibited </w:t>
      </w:r>
      <w:r>
        <w:rPr>
          <w:rFonts w:ascii="Arial" w:hAnsi="Arial" w:cs="Arial"/>
          <w:i/>
        </w:rPr>
        <w:t>E. faecalis</w:t>
      </w:r>
      <w:r>
        <w:rPr>
          <w:rFonts w:ascii="Arial" w:hAnsi="Arial" w:cs="Arial"/>
        </w:rPr>
        <w:t xml:space="preserve"> at 50 mg/mL (Al-Ghanayem, 2017); this discrepancy may reflect differences in extract concentration, strain-specific resistance mechanisms, or variation in cell wall composition between Gram-positive and Gram-negative organisms, since Gram-positive bacteria such as Enterococcus possess a thick peptidoglycan layer that can restrict penetration of certain phenolic compounds. The comparatively higher susceptibility of </w:t>
      </w:r>
      <w:r>
        <w:rPr>
          <w:rFonts w:ascii="Arial" w:hAnsi="Arial" w:cs="Arial"/>
          <w:i/>
        </w:rPr>
        <w:t>E. coli</w:t>
      </w:r>
      <w:r>
        <w:rPr>
          <w:rFonts w:ascii="Arial" w:hAnsi="Arial" w:cs="Arial"/>
        </w:rPr>
        <w:t xml:space="preserve"> relative to </w:t>
      </w:r>
      <w:r>
        <w:rPr>
          <w:rFonts w:ascii="Arial" w:hAnsi="Arial" w:cs="Arial"/>
          <w:i/>
        </w:rPr>
        <w:t>P. mirabilis</w:t>
      </w:r>
      <w:r>
        <w:rPr>
          <w:rFonts w:ascii="Arial" w:hAnsi="Arial" w:cs="Arial"/>
        </w:rPr>
        <w:t xml:space="preserve"> and </w:t>
      </w:r>
      <w:r>
        <w:rPr>
          <w:rFonts w:ascii="Arial" w:hAnsi="Arial" w:cs="Arial"/>
          <w:i/>
        </w:rPr>
        <w:t xml:space="preserve">Salmonella </w:t>
      </w:r>
      <w:r>
        <w:rPr>
          <w:rFonts w:ascii="Arial" w:hAnsi="Arial" w:cs="Arial"/>
        </w:rPr>
        <w:t>s</w:t>
      </w:r>
      <w:r>
        <w:rPr>
          <w:rFonts w:ascii="Arial" w:hAnsi="Arial" w:cs="Arial"/>
          <w:i/>
        </w:rPr>
        <w:t>p.</w:t>
      </w:r>
      <w:r>
        <w:rPr>
          <w:rFonts w:ascii="Arial" w:hAnsi="Arial" w:cs="Arial"/>
        </w:rPr>
        <w:t xml:space="preserve"> observed here may be attributable to differences in outer-membrane permeability and efflux pump expression among these genera. In this study</w:t>
      </w:r>
      <w:r>
        <w:rPr>
          <w:rFonts w:ascii="Arial" w:hAnsi="Arial" w:cs="Arial"/>
          <w:highlight w:val="yellow"/>
        </w:rPr>
        <w:t>,</w:t>
      </w:r>
      <w:r>
        <w:rPr>
          <w:rFonts w:ascii="Arial" w:hAnsi="Arial" w:cs="Arial"/>
        </w:rPr>
        <w:t xml:space="preserve"> MIC was also determined against five bacterial pathogens using different concentrations. The extract showed inhibitory activity against all tested organisms, with MIC values of 4 mg/mL for </w:t>
      </w:r>
      <w:r>
        <w:rPr>
          <w:rStyle w:val="Emphasis"/>
          <w:rFonts w:ascii="Arial" w:hAnsi="Arial" w:cs="Arial"/>
        </w:rPr>
        <w:t>E. coli,</w:t>
      </w:r>
      <w:r>
        <w:rPr>
          <w:rFonts w:ascii="Arial" w:hAnsi="Arial" w:cs="Arial"/>
        </w:rPr>
        <w:t xml:space="preserve"> 8 mg/mL for </w:t>
      </w:r>
      <w:r>
        <w:rPr>
          <w:rStyle w:val="Emphasis"/>
          <w:rFonts w:ascii="Arial" w:hAnsi="Arial" w:cs="Arial"/>
        </w:rPr>
        <w:t>P. aeruginosa</w:t>
      </w:r>
      <w:r>
        <w:rPr>
          <w:rFonts w:ascii="Arial" w:hAnsi="Arial" w:cs="Arial"/>
        </w:rPr>
        <w:t xml:space="preserve">, </w:t>
      </w:r>
      <w:r>
        <w:rPr>
          <w:rStyle w:val="Emphasis"/>
          <w:rFonts w:ascii="Arial" w:hAnsi="Arial" w:cs="Arial"/>
        </w:rPr>
        <w:t>K. pneumoniae</w:t>
      </w:r>
      <w:r>
        <w:rPr>
          <w:rFonts w:ascii="Arial" w:hAnsi="Arial" w:cs="Arial"/>
        </w:rPr>
        <w:t xml:space="preserve">, and </w:t>
      </w:r>
      <w:r>
        <w:rPr>
          <w:rStyle w:val="Emphasis"/>
          <w:rFonts w:ascii="Arial" w:hAnsi="Arial" w:cs="Arial"/>
        </w:rPr>
        <w:t>P. mirabilis</w:t>
      </w:r>
      <w:r>
        <w:rPr>
          <w:rFonts w:ascii="Arial" w:hAnsi="Arial" w:cs="Arial"/>
        </w:rPr>
        <w:t xml:space="preserve">, and 9 mg/mL for </w:t>
      </w:r>
      <w:r>
        <w:rPr>
          <w:rFonts w:ascii="Arial" w:hAnsi="Arial" w:cs="Arial"/>
          <w:i/>
        </w:rPr>
        <w:t xml:space="preserve">Salmonella </w:t>
      </w:r>
      <w:r>
        <w:rPr>
          <w:rFonts w:ascii="Arial" w:hAnsi="Arial" w:cs="Arial"/>
        </w:rPr>
        <w:t>s</w:t>
      </w:r>
      <w:r>
        <w:rPr>
          <w:rFonts w:ascii="Arial" w:hAnsi="Arial" w:cs="Arial"/>
          <w:i/>
        </w:rPr>
        <w:t>p.</w:t>
      </w:r>
      <w:r>
        <w:rPr>
          <w:rFonts w:ascii="Arial" w:hAnsi="Arial" w:cs="Arial"/>
        </w:rPr>
        <w:t xml:space="preserve"> Among the tested pathogens, </w:t>
      </w:r>
      <w:r>
        <w:rPr>
          <w:rStyle w:val="Emphasis"/>
          <w:rFonts w:ascii="Arial" w:hAnsi="Arial" w:cs="Arial"/>
        </w:rPr>
        <w:t>E. coli</w:t>
      </w:r>
      <w:r>
        <w:rPr>
          <w:rFonts w:ascii="Arial" w:hAnsi="Arial" w:cs="Arial"/>
        </w:rPr>
        <w:t xml:space="preserve"> was the most sensitive organism, showing the lowest MIC (4 mg/mL), whereas </w:t>
      </w:r>
      <w:r>
        <w:rPr>
          <w:rFonts w:ascii="Arial" w:hAnsi="Arial" w:cs="Arial"/>
          <w:i/>
        </w:rPr>
        <w:t xml:space="preserve">Salmonella </w:t>
      </w:r>
      <w:r>
        <w:rPr>
          <w:rFonts w:ascii="Arial" w:hAnsi="Arial" w:cs="Arial"/>
        </w:rPr>
        <w:t>s</w:t>
      </w:r>
      <w:r>
        <w:rPr>
          <w:rFonts w:ascii="Arial" w:hAnsi="Arial" w:cs="Arial"/>
          <w:i/>
        </w:rPr>
        <w:t>p.</w:t>
      </w:r>
      <w:r>
        <w:rPr>
          <w:rFonts w:ascii="Arial" w:hAnsi="Arial" w:cs="Arial"/>
        </w:rPr>
        <w:t xml:space="preserve"> showed the highest MIC (9 mg/mL)</w:t>
      </w:r>
      <w:r>
        <w:rPr>
          <w:rFonts w:ascii="Arial" w:hAnsi="Arial" w:cs="Arial"/>
          <w:highlight w:val="yellow"/>
        </w:rPr>
        <w:t>.</w:t>
      </w:r>
      <w:r>
        <w:rPr>
          <w:rFonts w:ascii="Arial" w:hAnsi="Arial" w:cs="Arial"/>
        </w:rPr>
        <w:t xml:space="preserve"> However, the</w:t>
      </w:r>
      <w:r>
        <w:rPr>
          <w:rFonts w:ascii="Arial" w:hAnsi="Arial" w:cs="Arial"/>
          <w:highlight w:val="yellow"/>
        </w:rPr>
        <w:t xml:space="preserve"> cited</w:t>
      </w:r>
      <w:r>
        <w:rPr>
          <w:rFonts w:ascii="Arial" w:hAnsi="Arial" w:cs="Arial"/>
        </w:rPr>
        <w:t xml:space="preserve"> literature </w:t>
      </w:r>
      <w:r>
        <w:rPr>
          <w:rFonts w:ascii="Arial" w:hAnsi="Arial" w:cs="Arial"/>
          <w:highlight w:val="yellow"/>
        </w:rPr>
        <w:t>provides limited direct evidence</w:t>
      </w:r>
      <w:r>
        <w:rPr>
          <w:rFonts w:ascii="Arial" w:hAnsi="Arial" w:cs="Arial"/>
        </w:rPr>
        <w:t xml:space="preserve"> </w:t>
      </w:r>
      <w:r>
        <w:rPr>
          <w:rFonts w:ascii="Arial" w:hAnsi="Arial" w:cs="Arial"/>
          <w:highlight w:val="yellow"/>
        </w:rPr>
        <w:t>regarding</w:t>
      </w:r>
      <w:r>
        <w:rPr>
          <w:rFonts w:ascii="Arial" w:hAnsi="Arial" w:cs="Arial"/>
        </w:rPr>
        <w:t xml:space="preserve"> the </w:t>
      </w:r>
      <w:r>
        <w:rPr>
          <w:rFonts w:ascii="Arial" w:hAnsi="Arial" w:cs="Arial"/>
          <w:highlight w:val="yellow"/>
        </w:rPr>
        <w:t xml:space="preserve">antibacterial effects of </w:t>
      </w:r>
      <w:r>
        <w:rPr>
          <w:rFonts w:ascii="Arial" w:hAnsi="Arial" w:cs="Arial"/>
          <w:i/>
          <w:highlight w:val="yellow"/>
        </w:rPr>
        <w:t>A. platensis</w:t>
      </w:r>
      <w:r>
        <w:rPr>
          <w:rFonts w:ascii="Arial" w:hAnsi="Arial" w:cs="Arial"/>
          <w:highlight w:val="yellow"/>
        </w:rPr>
        <w:t xml:space="preserve"> against ESBL-producing</w:t>
      </w:r>
      <w:r>
        <w:rPr>
          <w:rFonts w:ascii="Arial" w:hAnsi="Arial" w:cs="Arial"/>
        </w:rPr>
        <w:t xml:space="preserve"> and </w:t>
      </w:r>
      <w:r>
        <w:rPr>
          <w:rFonts w:ascii="Arial" w:hAnsi="Arial" w:cs="Arial"/>
          <w:highlight w:val="yellow"/>
        </w:rPr>
        <w:t>biofilm-forming</w:t>
      </w:r>
      <w:r>
        <w:rPr>
          <w:rFonts w:ascii="Arial" w:hAnsi="Arial" w:cs="Arial"/>
        </w:rPr>
        <w:t xml:space="preserve"> food isolates</w:t>
      </w:r>
      <w:r>
        <w:rPr>
          <w:rStyle w:val="Emphasis"/>
          <w:rFonts w:ascii="Arial" w:hAnsi="Arial" w:cs="Arial"/>
        </w:rPr>
        <w:t xml:space="preserve">. </w:t>
      </w:r>
    </w:p>
    <w:p w14:paraId="7BEDB5CB" w14:textId="77777777" w:rsidR="000F3895" w:rsidRPr="00DD060A" w:rsidRDefault="00C76A6B" w:rsidP="00FC7BC5">
      <w:pPr>
        <w:pStyle w:val="isselectedend"/>
        <w:spacing w:line="276" w:lineRule="auto"/>
        <w:jc w:val="both"/>
        <w:rPr>
          <w:rFonts w:ascii="Arial" w:hAnsi="Arial" w:cs="Arial"/>
          <w:sz w:val="20"/>
          <w:szCs w:val="20"/>
        </w:rPr>
      </w:pPr>
      <w:r>
        <w:rPr>
          <w:rFonts w:ascii="Arial" w:hAnsi="Arial" w:cs="Arial"/>
        </w:rPr>
        <w:tab/>
      </w:r>
      <w:r>
        <w:rPr>
          <w:rFonts w:ascii="Arial" w:hAnsi="Arial" w:cs="Arial"/>
          <w:sz w:val="20"/>
          <w:szCs w:val="20"/>
        </w:rPr>
        <w:t xml:space="preserve">The DPPH assay showed concentration-dependent antioxidant activity for both the ethanol extract of </w:t>
      </w:r>
      <w:proofErr w:type="spellStart"/>
      <w:r>
        <w:rPr>
          <w:rStyle w:val="Emphasis"/>
          <w:rFonts w:ascii="Arial" w:hAnsi="Arial" w:cs="Arial"/>
          <w:sz w:val="20"/>
          <w:szCs w:val="20"/>
        </w:rPr>
        <w:t>Arthrospira</w:t>
      </w:r>
      <w:proofErr w:type="spellEnd"/>
      <w:r>
        <w:rPr>
          <w:rStyle w:val="Emphasis"/>
          <w:rFonts w:ascii="Arial" w:hAnsi="Arial" w:cs="Arial"/>
          <w:sz w:val="20"/>
          <w:szCs w:val="20"/>
        </w:rPr>
        <w:t xml:space="preserve"> platensis</w:t>
      </w:r>
      <w:r>
        <w:rPr>
          <w:rFonts w:ascii="Arial" w:hAnsi="Arial" w:cs="Arial"/>
          <w:sz w:val="20"/>
          <w:szCs w:val="20"/>
        </w:rPr>
        <w:t xml:space="preserve"> and ascorbic acid. The radical-scavenging activity of the extract increased from 28.58% at 25 µg/mL to 79.74% at 1000 µg/mL, whereas ascorbic acid showed inhibition ranging from 42.06% to 87.89% across the same concentration range. The higher activity of ascorbic acid at most tested concentrations indicates greater radical-scavenging efficiency than the crude extract. However, the substantial inhibition exhibited by the extract at higher concentrations demonstrates its appreciable antioxidant potential. The estimated IC</w:t>
      </w:r>
      <w:r>
        <w:rPr>
          <w:rFonts w:ascii="Cambria Math" w:hAnsi="Cambria Math" w:cs="Cambria Math"/>
          <w:sz w:val="20"/>
          <w:szCs w:val="20"/>
        </w:rPr>
        <w:t>₅₀</w:t>
      </w:r>
      <w:r>
        <w:rPr>
          <w:rFonts w:ascii="Arial" w:hAnsi="Arial" w:cs="Arial"/>
          <w:sz w:val="20"/>
          <w:szCs w:val="20"/>
        </w:rPr>
        <w:t xml:space="preserve"> value of the </w:t>
      </w:r>
      <w:r>
        <w:rPr>
          <w:rStyle w:val="Emphasis"/>
          <w:rFonts w:ascii="Arial" w:hAnsi="Arial" w:cs="Arial"/>
          <w:sz w:val="20"/>
          <w:szCs w:val="20"/>
        </w:rPr>
        <w:t>A. platensis</w:t>
      </w:r>
      <w:r>
        <w:rPr>
          <w:rFonts w:ascii="Arial" w:hAnsi="Arial" w:cs="Arial"/>
          <w:sz w:val="20"/>
          <w:szCs w:val="20"/>
        </w:rPr>
        <w:t xml:space="preserve"> extract was approximately 118 µg/mL, indicating the concentration required to achieve 50% DPPH radical inhibition.</w:t>
      </w:r>
    </w:p>
    <w:p w14:paraId="69641558" w14:textId="77777777" w:rsidR="000F3895" w:rsidRPr="00DD060A" w:rsidRDefault="000F3895" w:rsidP="00FC7BC5">
      <w:pPr>
        <w:pStyle w:val="NormalWeb"/>
        <w:spacing w:line="276" w:lineRule="auto"/>
        <w:jc w:val="both"/>
        <w:rPr>
          <w:rFonts w:ascii="Arial" w:hAnsi="Arial" w:cs="Arial"/>
          <w:sz w:val="20"/>
          <w:szCs w:val="20"/>
        </w:rPr>
      </w:pPr>
      <w:r>
        <w:rPr>
          <w:rFonts w:ascii="Arial" w:hAnsi="Arial" w:cs="Arial"/>
          <w:sz w:val="20"/>
          <w:szCs w:val="20"/>
        </w:rPr>
        <w:tab/>
        <w:t xml:space="preserve">The observed concentration-dependent pattern is consistent with previous reports on ethanolic extracts of </w:t>
      </w:r>
      <w:r>
        <w:rPr>
          <w:rStyle w:val="Emphasis"/>
          <w:rFonts w:ascii="Arial" w:hAnsi="Arial" w:cs="Arial"/>
          <w:sz w:val="20"/>
          <w:szCs w:val="20"/>
        </w:rPr>
        <w:t>Spirulina platensis</w:t>
      </w:r>
      <w:r>
        <w:rPr>
          <w:rFonts w:ascii="Arial" w:hAnsi="Arial" w:cs="Arial"/>
          <w:sz w:val="20"/>
          <w:szCs w:val="20"/>
        </w:rPr>
        <w:t>, in which DPPH radical-scavenging activity increased with concentration, reaching approximately 57.6% at 200 µg/mL, with a reported IC</w:t>
      </w:r>
      <w:r>
        <w:rPr>
          <w:rFonts w:ascii="Cambria Math" w:hAnsi="Cambria Math" w:cs="Cambria Math"/>
          <w:sz w:val="20"/>
          <w:szCs w:val="20"/>
        </w:rPr>
        <w:t>₅₀</w:t>
      </w:r>
      <w:r>
        <w:rPr>
          <w:rFonts w:ascii="Arial" w:hAnsi="Arial" w:cs="Arial"/>
          <w:sz w:val="20"/>
          <w:szCs w:val="20"/>
        </w:rPr>
        <w:t xml:space="preserve"> value of 95.84 µg/mL (Al-Saily </w:t>
      </w:r>
      <w:r>
        <w:rPr>
          <w:rStyle w:val="Emphasis"/>
          <w:rFonts w:ascii="Arial" w:hAnsi="Arial" w:cs="Arial"/>
          <w:sz w:val="20"/>
          <w:szCs w:val="20"/>
        </w:rPr>
        <w:t>et al</w:t>
      </w:r>
      <w:r>
        <w:rPr>
          <w:rFonts w:ascii="Arial" w:hAnsi="Arial" w:cs="Arial"/>
          <w:sz w:val="20"/>
          <w:szCs w:val="20"/>
        </w:rPr>
        <w:t xml:space="preserve">., </w:t>
      </w:r>
      <w:r>
        <w:rPr>
          <w:rFonts w:ascii="Arial" w:hAnsi="Arial" w:cs="Arial"/>
          <w:sz w:val="20"/>
          <w:szCs w:val="20"/>
        </w:rPr>
        <w:lastRenderedPageBreak/>
        <w:t>2024). Differences in antioxidant activity and IC</w:t>
      </w:r>
      <w:r>
        <w:rPr>
          <w:rFonts w:ascii="Cambria Math" w:hAnsi="Cambria Math" w:cs="Cambria Math"/>
          <w:sz w:val="20"/>
          <w:szCs w:val="20"/>
        </w:rPr>
        <w:t>₅₀</w:t>
      </w:r>
      <w:r>
        <w:rPr>
          <w:rFonts w:ascii="Arial" w:hAnsi="Arial" w:cs="Arial"/>
          <w:sz w:val="20"/>
          <w:szCs w:val="20"/>
        </w:rPr>
        <w:t xml:space="preserve"> values may be related to variations in extraction methods, sample composition, and the concentrations of bioactive compounds. The antioxidant activity of </w:t>
      </w:r>
      <w:r>
        <w:rPr>
          <w:rStyle w:val="Emphasis"/>
          <w:rFonts w:ascii="Arial" w:hAnsi="Arial" w:cs="Arial"/>
          <w:sz w:val="20"/>
          <w:szCs w:val="20"/>
        </w:rPr>
        <w:t>A. platensis</w:t>
      </w:r>
      <w:r>
        <w:rPr>
          <w:rFonts w:ascii="Arial" w:hAnsi="Arial" w:cs="Arial"/>
          <w:sz w:val="20"/>
          <w:szCs w:val="20"/>
        </w:rPr>
        <w:t xml:space="preserve"> may be associated with constituents such as phycocyanin, carotenoids, and phenolic compounds, which can contribute to free-radical neutralization through hydrogen- or electron-donating mechanisms. Previous studies have also highlighted the contribution of phycobiliproteins, carotenoids, and phenolic compounds to the antioxidant properties of </w:t>
      </w:r>
      <w:r>
        <w:rPr>
          <w:rStyle w:val="Emphasis"/>
          <w:rFonts w:ascii="Arial" w:hAnsi="Arial" w:cs="Arial"/>
          <w:sz w:val="20"/>
          <w:szCs w:val="20"/>
        </w:rPr>
        <w:t>Spirulina</w:t>
      </w:r>
      <w:r>
        <w:rPr>
          <w:rFonts w:ascii="Arial" w:hAnsi="Arial" w:cs="Arial"/>
          <w:sz w:val="20"/>
          <w:szCs w:val="20"/>
        </w:rPr>
        <w:t xml:space="preserve"> (Spínola </w:t>
      </w:r>
      <w:r>
        <w:rPr>
          <w:rStyle w:val="Emphasis"/>
          <w:rFonts w:ascii="Arial" w:hAnsi="Arial" w:cs="Arial"/>
          <w:sz w:val="20"/>
          <w:szCs w:val="20"/>
        </w:rPr>
        <w:t>et al</w:t>
      </w:r>
      <w:r>
        <w:rPr>
          <w:rFonts w:ascii="Arial" w:hAnsi="Arial" w:cs="Arial"/>
          <w:sz w:val="20"/>
          <w:szCs w:val="20"/>
        </w:rPr>
        <w:t>., 2024).</w:t>
      </w:r>
    </w:p>
    <w:p w14:paraId="3F93C0B0" w14:textId="77777777" w:rsidR="005C64BE" w:rsidRPr="00DD060A" w:rsidRDefault="00E801EE" w:rsidP="00FC7BC5">
      <w:pPr>
        <w:pStyle w:val="isselectedend"/>
        <w:spacing w:line="276" w:lineRule="auto"/>
        <w:jc w:val="both"/>
        <w:rPr>
          <w:rFonts w:ascii="Arial" w:hAnsi="Arial" w:cs="Arial"/>
          <w:sz w:val="20"/>
          <w:szCs w:val="20"/>
        </w:rPr>
      </w:pPr>
      <w:r>
        <w:rPr>
          <w:rFonts w:ascii="Arial" w:hAnsi="Arial" w:cs="Arial"/>
        </w:rPr>
        <w:tab/>
      </w:r>
      <w:r>
        <w:rPr>
          <w:rFonts w:ascii="Arial" w:hAnsi="Arial" w:cs="Arial"/>
          <w:sz w:val="20"/>
          <w:szCs w:val="20"/>
        </w:rPr>
        <w:t xml:space="preserve">Cancer treatment remains a major global challenge, encouraging research into natural products with potential anticancer properties. </w:t>
      </w:r>
      <w:proofErr w:type="spellStart"/>
      <w:r>
        <w:rPr>
          <w:rStyle w:val="Emphasis"/>
          <w:rFonts w:ascii="Arial" w:hAnsi="Arial" w:cs="Arial"/>
          <w:sz w:val="20"/>
          <w:szCs w:val="20"/>
        </w:rPr>
        <w:t>Arthrospira</w:t>
      </w:r>
      <w:proofErr w:type="spellEnd"/>
      <w:r>
        <w:rPr>
          <w:rStyle w:val="Emphasis"/>
          <w:rFonts w:ascii="Arial" w:hAnsi="Arial" w:cs="Arial"/>
          <w:sz w:val="20"/>
          <w:szCs w:val="20"/>
        </w:rPr>
        <w:t xml:space="preserve"> platensis</w:t>
      </w:r>
      <w:r>
        <w:rPr>
          <w:rFonts w:ascii="Arial" w:hAnsi="Arial" w:cs="Arial"/>
          <w:sz w:val="20"/>
          <w:szCs w:val="20"/>
        </w:rPr>
        <w:t xml:space="preserve"> (formerly known as </w:t>
      </w:r>
      <w:r>
        <w:rPr>
          <w:rStyle w:val="Emphasis"/>
          <w:rFonts w:ascii="Arial" w:hAnsi="Arial" w:cs="Arial"/>
          <w:sz w:val="20"/>
          <w:szCs w:val="20"/>
        </w:rPr>
        <w:t>Spirulina platensis</w:t>
      </w:r>
      <w:r>
        <w:rPr>
          <w:rFonts w:ascii="Arial" w:hAnsi="Arial" w:cs="Arial"/>
          <w:sz w:val="20"/>
          <w:szCs w:val="20"/>
        </w:rPr>
        <w:t xml:space="preserve">) has attracted attention because of its bioactive compounds and potential biological activities. In the present study, the MTT assay demonstrated a clear concentration-dependent inhibitory effect of the crude </w:t>
      </w:r>
      <w:r>
        <w:rPr>
          <w:rStyle w:val="Emphasis"/>
          <w:rFonts w:ascii="Arial" w:hAnsi="Arial" w:cs="Arial"/>
          <w:sz w:val="20"/>
          <w:szCs w:val="20"/>
        </w:rPr>
        <w:t>A. platensis</w:t>
      </w:r>
      <w:r>
        <w:rPr>
          <w:rFonts w:ascii="Arial" w:hAnsi="Arial" w:cs="Arial"/>
          <w:sz w:val="20"/>
          <w:szCs w:val="20"/>
        </w:rPr>
        <w:t xml:space="preserve"> extract against HepG2 hepatocellular carcinoma cells. The percentage inhibition increased from 8.00 ± 0.21% at 10 µg/mL to 16.00 ± 0.25% at 25 µg/mL and 28.50 ± 0.44% at 50 µg/</w:t>
      </w:r>
      <w:proofErr w:type="spellStart"/>
      <w:r>
        <w:rPr>
          <w:rFonts w:ascii="Arial" w:hAnsi="Arial" w:cs="Arial"/>
          <w:sz w:val="20"/>
          <w:szCs w:val="20"/>
        </w:rPr>
        <w:t>mL.</w:t>
      </w:r>
      <w:proofErr w:type="spellEnd"/>
      <w:r>
        <w:rPr>
          <w:rFonts w:ascii="Arial" w:hAnsi="Arial" w:cs="Arial"/>
          <w:sz w:val="20"/>
          <w:szCs w:val="20"/>
        </w:rPr>
        <w:t xml:space="preserve"> At 100 µg/mL, inhibition reached 48.30 ± 0.36%, while the highest concentration tested, 250 µg/mL, produced 74.20 ± 0.53% inhibition. These results indicate that increasing the extract concentration progressively reduced HepG2 cell viability. The estimated IC</w:t>
      </w:r>
      <w:r>
        <w:rPr>
          <w:rFonts w:ascii="Cambria Math" w:hAnsi="Cambria Math" w:cs="Cambria Math"/>
          <w:sz w:val="20"/>
          <w:szCs w:val="20"/>
        </w:rPr>
        <w:t>₅₀</w:t>
      </w:r>
      <w:r>
        <w:rPr>
          <w:rFonts w:ascii="Arial" w:hAnsi="Arial" w:cs="Arial"/>
          <w:sz w:val="20"/>
          <w:szCs w:val="20"/>
        </w:rPr>
        <w:t xml:space="preserve"> value was approximately 110 µg/mL, suggesting that this concentration was required to achieve about 50% inhibition under the tested conditions.</w:t>
      </w:r>
    </w:p>
    <w:p w14:paraId="2253F31C" w14:textId="77777777" w:rsidR="005C64BE" w:rsidRPr="00DD060A" w:rsidRDefault="005C64BE" w:rsidP="00FC7BC5">
      <w:pPr>
        <w:pStyle w:val="isselectedend"/>
        <w:spacing w:line="276" w:lineRule="auto"/>
        <w:jc w:val="both"/>
        <w:rPr>
          <w:rFonts w:ascii="Arial" w:hAnsi="Arial" w:cs="Arial"/>
          <w:sz w:val="20"/>
          <w:szCs w:val="20"/>
        </w:rPr>
      </w:pPr>
      <w:r>
        <w:rPr>
          <w:rFonts w:ascii="Arial" w:hAnsi="Arial" w:cs="Arial"/>
          <w:sz w:val="20"/>
          <w:szCs w:val="20"/>
        </w:rPr>
        <w:tab/>
        <w:t xml:space="preserve">The present findings can be compared with previous studies investigating the cytotoxic effects of </w:t>
      </w:r>
      <w:r>
        <w:rPr>
          <w:rStyle w:val="Emphasis"/>
          <w:rFonts w:ascii="Arial" w:hAnsi="Arial" w:cs="Arial"/>
          <w:sz w:val="20"/>
          <w:szCs w:val="20"/>
        </w:rPr>
        <w:t>S. platensis</w:t>
      </w:r>
      <w:r>
        <w:rPr>
          <w:rFonts w:ascii="Arial" w:hAnsi="Arial" w:cs="Arial"/>
          <w:sz w:val="20"/>
          <w:szCs w:val="20"/>
        </w:rPr>
        <w:t xml:space="preserve"> against HepG2 cells. </w:t>
      </w:r>
      <w:proofErr w:type="spellStart"/>
      <w:r>
        <w:rPr>
          <w:rFonts w:ascii="Arial" w:hAnsi="Arial" w:cs="Arial"/>
          <w:sz w:val="20"/>
          <w:szCs w:val="20"/>
        </w:rPr>
        <w:t>Akbarizare</w:t>
      </w:r>
      <w:proofErr w:type="spellEnd"/>
      <w:r>
        <w:rPr>
          <w:rFonts w:ascii="Arial" w:hAnsi="Arial" w:cs="Arial"/>
          <w:sz w:val="20"/>
          <w:szCs w:val="20"/>
        </w:rPr>
        <w:t xml:space="preserve"> </w:t>
      </w:r>
      <w:r>
        <w:rPr>
          <w:rStyle w:val="Emphasis"/>
          <w:rFonts w:ascii="Arial" w:hAnsi="Arial" w:cs="Arial"/>
          <w:sz w:val="20"/>
          <w:szCs w:val="20"/>
        </w:rPr>
        <w:t>et al.</w:t>
      </w:r>
      <w:r>
        <w:rPr>
          <w:rFonts w:ascii="Arial" w:hAnsi="Arial" w:cs="Arial"/>
          <w:sz w:val="20"/>
          <w:szCs w:val="20"/>
        </w:rPr>
        <w:t xml:space="preserve"> (2020) reported concentration-dependent inhibition of HepG2 cell viability by aqueous and methanolic extracts, with IC</w:t>
      </w:r>
      <w:r>
        <w:rPr>
          <w:rFonts w:ascii="Cambria Math" w:hAnsi="Cambria Math" w:cs="Cambria Math"/>
          <w:sz w:val="20"/>
          <w:szCs w:val="20"/>
        </w:rPr>
        <w:t>₅₀</w:t>
      </w:r>
      <w:r>
        <w:rPr>
          <w:rFonts w:ascii="Arial" w:hAnsi="Arial" w:cs="Arial"/>
          <w:sz w:val="20"/>
          <w:szCs w:val="20"/>
        </w:rPr>
        <w:t xml:space="preserve"> values of approximately 1.7 and 1.28 mg/mL, respectively. Al-Saily </w:t>
      </w:r>
      <w:r>
        <w:rPr>
          <w:rStyle w:val="Emphasis"/>
          <w:rFonts w:ascii="Arial" w:hAnsi="Arial" w:cs="Arial"/>
          <w:sz w:val="20"/>
          <w:szCs w:val="20"/>
        </w:rPr>
        <w:t>et al.</w:t>
      </w:r>
      <w:r>
        <w:rPr>
          <w:rFonts w:ascii="Arial" w:hAnsi="Arial" w:cs="Arial"/>
          <w:sz w:val="20"/>
          <w:szCs w:val="20"/>
        </w:rPr>
        <w:t xml:space="preserve"> (2024) also reported cytotoxic activity of </w:t>
      </w:r>
      <w:r>
        <w:rPr>
          <w:rStyle w:val="Emphasis"/>
          <w:rFonts w:ascii="Arial" w:hAnsi="Arial" w:cs="Arial"/>
          <w:sz w:val="20"/>
          <w:szCs w:val="20"/>
        </w:rPr>
        <w:t>S. platensis</w:t>
      </w:r>
      <w:r>
        <w:rPr>
          <w:rFonts w:ascii="Arial" w:hAnsi="Arial" w:cs="Arial"/>
          <w:sz w:val="20"/>
          <w:szCs w:val="20"/>
        </w:rPr>
        <w:t xml:space="preserve"> extract against HepG2 cells, with an IC</w:t>
      </w:r>
      <w:r>
        <w:rPr>
          <w:rFonts w:ascii="Cambria Math" w:hAnsi="Cambria Math" w:cs="Cambria Math"/>
          <w:sz w:val="20"/>
          <w:szCs w:val="20"/>
        </w:rPr>
        <w:t>₅₀</w:t>
      </w:r>
      <w:r>
        <w:rPr>
          <w:rFonts w:ascii="Arial" w:hAnsi="Arial" w:cs="Arial"/>
          <w:sz w:val="20"/>
          <w:szCs w:val="20"/>
        </w:rPr>
        <w:t xml:space="preserve"> value of 167.4 µg/</w:t>
      </w:r>
      <w:proofErr w:type="spellStart"/>
      <w:r>
        <w:rPr>
          <w:rFonts w:ascii="Arial" w:hAnsi="Arial" w:cs="Arial"/>
          <w:sz w:val="20"/>
          <w:szCs w:val="20"/>
        </w:rPr>
        <w:t>mL.</w:t>
      </w:r>
      <w:proofErr w:type="spellEnd"/>
      <w:r>
        <w:rPr>
          <w:rFonts w:ascii="Arial" w:hAnsi="Arial" w:cs="Arial"/>
          <w:sz w:val="20"/>
          <w:szCs w:val="20"/>
        </w:rPr>
        <w:t xml:space="preserve"> In contrast, </w:t>
      </w:r>
      <w:r>
        <w:rPr>
          <w:rFonts w:ascii="Arial" w:hAnsi="Arial" w:cs="Arial"/>
          <w:sz w:val="20"/>
          <w:szCs w:val="20"/>
          <w:highlight w:val="yellow"/>
        </w:rPr>
        <w:t xml:space="preserve">Abu </w:t>
      </w:r>
      <w:r>
        <w:rPr>
          <w:rFonts w:ascii="Arial" w:hAnsi="Arial" w:cs="Arial"/>
          <w:sz w:val="20"/>
          <w:szCs w:val="20"/>
        </w:rPr>
        <w:t xml:space="preserve">Zaid </w:t>
      </w:r>
      <w:r>
        <w:rPr>
          <w:rStyle w:val="Emphasis"/>
          <w:rFonts w:ascii="Arial" w:hAnsi="Arial" w:cs="Arial"/>
          <w:sz w:val="20"/>
          <w:szCs w:val="20"/>
        </w:rPr>
        <w:t>et al.</w:t>
      </w:r>
      <w:r>
        <w:rPr>
          <w:rFonts w:ascii="Arial" w:hAnsi="Arial" w:cs="Arial"/>
          <w:sz w:val="20"/>
          <w:szCs w:val="20"/>
        </w:rPr>
        <w:t xml:space="preserve"> (2015) reported an IC</w:t>
      </w:r>
      <w:r>
        <w:rPr>
          <w:rFonts w:ascii="Cambria Math" w:hAnsi="Cambria Math" w:cs="Cambria Math"/>
          <w:sz w:val="20"/>
          <w:szCs w:val="20"/>
        </w:rPr>
        <w:t>₅₀</w:t>
      </w:r>
      <w:r>
        <w:rPr>
          <w:rFonts w:ascii="Arial" w:hAnsi="Arial" w:cs="Arial"/>
          <w:sz w:val="20"/>
          <w:szCs w:val="20"/>
        </w:rPr>
        <w:t xml:space="preserve"> value of 22.3 µg/mL for a water extract against HepG2 cells. These differences in reported IC</w:t>
      </w:r>
      <w:r>
        <w:rPr>
          <w:rFonts w:ascii="Cambria Math" w:hAnsi="Cambria Math" w:cs="Cambria Math"/>
          <w:sz w:val="20"/>
          <w:szCs w:val="20"/>
        </w:rPr>
        <w:t>₅₀</w:t>
      </w:r>
      <w:r>
        <w:rPr>
          <w:rFonts w:ascii="Arial" w:hAnsi="Arial" w:cs="Arial"/>
          <w:sz w:val="20"/>
          <w:szCs w:val="20"/>
        </w:rPr>
        <w:t xml:space="preserve"> values may be related to variations in extraction procedures, chemical composition, treatment conditions, and assay methods.</w:t>
      </w:r>
    </w:p>
    <w:p w14:paraId="09A2447A" w14:textId="77777777" w:rsidR="00C02B1A" w:rsidRPr="00DD060A" w:rsidRDefault="005C64BE" w:rsidP="00FC7BC5">
      <w:pPr>
        <w:pStyle w:val="NormalWeb"/>
        <w:spacing w:line="276" w:lineRule="auto"/>
        <w:jc w:val="both"/>
        <w:rPr>
          <w:rFonts w:ascii="Arial" w:hAnsi="Arial" w:cs="Arial"/>
          <w:sz w:val="20"/>
          <w:szCs w:val="20"/>
        </w:rPr>
      </w:pPr>
      <w:r>
        <w:rPr>
          <w:rFonts w:ascii="Arial" w:hAnsi="Arial" w:cs="Arial"/>
          <w:sz w:val="20"/>
          <w:szCs w:val="20"/>
        </w:rPr>
        <w:tab/>
        <w:t xml:space="preserve">In the present study, the cytotoxicity of the </w:t>
      </w:r>
      <w:r>
        <w:rPr>
          <w:rStyle w:val="Emphasis"/>
          <w:rFonts w:ascii="Arial" w:hAnsi="Arial" w:cs="Arial"/>
          <w:sz w:val="20"/>
          <w:szCs w:val="20"/>
        </w:rPr>
        <w:t>A. platensis</w:t>
      </w:r>
      <w:r>
        <w:rPr>
          <w:rFonts w:ascii="Arial" w:hAnsi="Arial" w:cs="Arial"/>
          <w:sz w:val="20"/>
          <w:szCs w:val="20"/>
        </w:rPr>
        <w:t xml:space="preserve"> extract against VERO cells showed a concentration-dependent response, with cell viability decreasing from 94.59% at 10 µg/mL to 54.05% at 250 µg/</w:t>
      </w:r>
      <w:proofErr w:type="spellStart"/>
      <w:r>
        <w:rPr>
          <w:rFonts w:ascii="Arial" w:hAnsi="Arial" w:cs="Arial"/>
          <w:sz w:val="20"/>
          <w:szCs w:val="20"/>
        </w:rPr>
        <w:t>mL.</w:t>
      </w:r>
      <w:proofErr w:type="spellEnd"/>
      <w:r>
        <w:rPr>
          <w:rFonts w:ascii="Arial" w:hAnsi="Arial" w:cs="Arial"/>
          <w:sz w:val="20"/>
          <w:szCs w:val="20"/>
        </w:rPr>
        <w:t xml:space="preserve"> Similarly, </w:t>
      </w:r>
      <w:r>
        <w:rPr>
          <w:rFonts w:ascii="Arial" w:hAnsi="Arial" w:cs="Arial"/>
          <w:sz w:val="20"/>
          <w:szCs w:val="20"/>
          <w:highlight w:val="yellow"/>
        </w:rPr>
        <w:t>Kose</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(2017) reported that </w:t>
      </w:r>
      <w:r>
        <w:rPr>
          <w:rStyle w:val="Emphasis"/>
          <w:rFonts w:ascii="Arial" w:hAnsi="Arial" w:cs="Arial"/>
          <w:sz w:val="20"/>
          <w:szCs w:val="20"/>
        </w:rPr>
        <w:t>Spirulina platensis</w:t>
      </w:r>
      <w:r>
        <w:rPr>
          <w:rFonts w:ascii="Arial" w:hAnsi="Arial" w:cs="Arial"/>
          <w:sz w:val="20"/>
          <w:szCs w:val="20"/>
        </w:rPr>
        <w:t xml:space="preserve"> protein hydrolysates caused concentration- and exposure-time-dependent cytotoxic effects in VERO cells, with approximately 25% cytotoxicity at 100 µg/mL after 72 hours. In contrast, Santiago-Cruz </w:t>
      </w:r>
      <w:r>
        <w:rPr>
          <w:rFonts w:ascii="Arial" w:hAnsi="Arial" w:cs="Arial"/>
          <w:i/>
          <w:sz w:val="20"/>
          <w:szCs w:val="20"/>
        </w:rPr>
        <w:t>et al</w:t>
      </w:r>
      <w:r>
        <w:rPr>
          <w:rFonts w:ascii="Arial" w:hAnsi="Arial" w:cs="Arial"/>
          <w:sz w:val="20"/>
          <w:szCs w:val="20"/>
        </w:rPr>
        <w:t xml:space="preserve">. (2025) found that </w:t>
      </w:r>
      <w:r>
        <w:rPr>
          <w:rStyle w:val="Emphasis"/>
          <w:rFonts w:ascii="Arial" w:hAnsi="Arial" w:cs="Arial"/>
          <w:sz w:val="20"/>
          <w:szCs w:val="20"/>
        </w:rPr>
        <w:t>Spirulina maxima</w:t>
      </w:r>
      <w:r>
        <w:rPr>
          <w:rFonts w:ascii="Arial" w:hAnsi="Arial" w:cs="Arial"/>
          <w:sz w:val="20"/>
          <w:szCs w:val="20"/>
        </w:rPr>
        <w:t xml:space="preserve"> water extract maintained high VERO cell viability, with a CC</w:t>
      </w:r>
      <w:r>
        <w:rPr>
          <w:rFonts w:ascii="Cambria Math" w:hAnsi="Cambria Math" w:cs="Cambria Math"/>
          <w:sz w:val="20"/>
          <w:szCs w:val="20"/>
        </w:rPr>
        <w:t>₅₀</w:t>
      </w:r>
      <w:r>
        <w:rPr>
          <w:rFonts w:ascii="Arial" w:hAnsi="Arial" w:cs="Arial"/>
          <w:sz w:val="20"/>
          <w:szCs w:val="20"/>
        </w:rPr>
        <w:t xml:space="preserve"> value above 500 µg/</w:t>
      </w:r>
      <w:proofErr w:type="spellStart"/>
      <w:r>
        <w:rPr>
          <w:rFonts w:ascii="Arial" w:hAnsi="Arial" w:cs="Arial"/>
          <w:sz w:val="20"/>
          <w:szCs w:val="20"/>
        </w:rPr>
        <w:t>mL.</w:t>
      </w:r>
      <w:proofErr w:type="spellEnd"/>
      <w:r>
        <w:rPr>
          <w:rFonts w:ascii="Arial" w:hAnsi="Arial" w:cs="Arial"/>
          <w:sz w:val="20"/>
          <w:szCs w:val="20"/>
        </w:rPr>
        <w:t xml:space="preserve"> These differences suggest that the cytotoxic effects of </w:t>
      </w:r>
      <w:proofErr w:type="spellStart"/>
      <w:r>
        <w:rPr>
          <w:rStyle w:val="Emphasis"/>
          <w:rFonts w:ascii="Arial" w:hAnsi="Arial" w:cs="Arial"/>
          <w:sz w:val="20"/>
          <w:szCs w:val="20"/>
        </w:rPr>
        <w:t>Arthrospira</w:t>
      </w:r>
      <w:proofErr w:type="spellEnd"/>
      <w:r>
        <w:rPr>
          <w:rFonts w:ascii="Arial" w:hAnsi="Arial" w:cs="Arial"/>
          <w:sz w:val="20"/>
          <w:szCs w:val="20"/>
        </w:rPr>
        <w:t xml:space="preserve"> and </w:t>
      </w:r>
      <w:r>
        <w:rPr>
          <w:rStyle w:val="Emphasis"/>
          <w:rFonts w:ascii="Arial" w:hAnsi="Arial" w:cs="Arial"/>
          <w:sz w:val="20"/>
          <w:szCs w:val="20"/>
        </w:rPr>
        <w:t>Spirulina</w:t>
      </w:r>
      <w:r>
        <w:rPr>
          <w:rFonts w:ascii="Arial" w:hAnsi="Arial" w:cs="Arial"/>
          <w:sz w:val="20"/>
          <w:szCs w:val="20"/>
        </w:rPr>
        <w:t xml:space="preserve"> extracts may vary according to their composition, extraction method, concentration, and exposure duration. In the present study, the extract showed relatively low cytotoxicity at lower concentrations but reduced VERO cell viability at higher concentrations. Further studies are required to establish its safety and determine its selectivity toward cancer cells.</w:t>
      </w:r>
    </w:p>
    <w:p w14:paraId="3129C4DA" w14:textId="77777777" w:rsidR="00CD1108" w:rsidRPr="00DD060A" w:rsidRDefault="003E5480" w:rsidP="009C4B48">
      <w:pPr>
        <w:spacing w:before="240" w:line="276" w:lineRule="auto"/>
        <w:jc w:val="both"/>
        <w:rPr>
          <w:rFonts w:ascii="Arial" w:hAnsi="Arial" w:cs="Arial"/>
          <w:b/>
          <w:sz w:val="22"/>
          <w:szCs w:val="22"/>
        </w:rPr>
      </w:pPr>
      <w:r>
        <w:rPr>
          <w:rFonts w:ascii="Arial" w:hAnsi="Arial" w:cs="Arial"/>
          <w:b/>
          <w:sz w:val="22"/>
          <w:szCs w:val="22"/>
        </w:rPr>
        <w:t xml:space="preserve">5. Conclusion </w:t>
      </w:r>
    </w:p>
    <w:p w14:paraId="2A71B271" w14:textId="77777777" w:rsidR="00CD1108" w:rsidRDefault="00CD1108" w:rsidP="009C4B48">
      <w:pPr>
        <w:spacing w:before="240" w:line="276" w:lineRule="auto"/>
        <w:jc w:val="both"/>
        <w:rPr>
          <w:rFonts w:ascii="Arial" w:hAnsi="Arial" w:cs="Arial"/>
        </w:rPr>
      </w:pPr>
      <w:r>
        <w:rPr>
          <w:rFonts w:ascii="Arial" w:hAnsi="Arial" w:cs="Arial"/>
        </w:rPr>
        <w:tab/>
        <w:t xml:space="preserve">The present study demonstrated that contaminated chicken, fish, and goat meat can </w:t>
      </w:r>
      <w:r>
        <w:rPr>
          <w:rFonts w:ascii="Arial" w:hAnsi="Arial" w:cs="Arial"/>
          <w:highlight w:val="yellow"/>
        </w:rPr>
        <w:t>be</w:t>
      </w:r>
      <w:r>
        <w:rPr>
          <w:rFonts w:ascii="Arial" w:hAnsi="Arial" w:cs="Arial"/>
        </w:rPr>
        <w:t xml:space="preserve"> sources of clinically important foodborne bacterial pathogens, with a substantial proportion showing ESBL production and biofilm-forming ability. The ethanol extract of </w:t>
      </w:r>
      <w:proofErr w:type="spellStart"/>
      <w:r>
        <w:rPr>
          <w:rStyle w:val="Emphasis"/>
          <w:rFonts w:ascii="Arial" w:hAnsi="Arial" w:cs="Arial"/>
        </w:rPr>
        <w:t>Arthrospira</w:t>
      </w:r>
      <w:proofErr w:type="spellEnd"/>
      <w:r>
        <w:rPr>
          <w:rStyle w:val="Emphasis"/>
          <w:rFonts w:ascii="Arial" w:hAnsi="Arial" w:cs="Arial"/>
        </w:rPr>
        <w:t xml:space="preserve"> platensis</w:t>
      </w:r>
      <w:r>
        <w:rPr>
          <w:rFonts w:ascii="Arial" w:hAnsi="Arial" w:cs="Arial"/>
        </w:rPr>
        <w:t xml:space="preserve"> exhibited concentration-dependent antibacterial activity, particularly against </w:t>
      </w:r>
      <w:r>
        <w:rPr>
          <w:rStyle w:val="Emphasis"/>
          <w:rFonts w:ascii="Arial" w:hAnsi="Arial" w:cs="Arial"/>
        </w:rPr>
        <w:t>E. coli</w:t>
      </w:r>
      <w:r>
        <w:rPr>
          <w:rFonts w:ascii="Arial" w:hAnsi="Arial" w:cs="Arial"/>
        </w:rPr>
        <w:t xml:space="preserve">, and showed </w:t>
      </w:r>
      <w:r>
        <w:rPr>
          <w:rFonts w:ascii="Arial" w:hAnsi="Arial" w:cs="Arial"/>
          <w:highlight w:val="yellow"/>
        </w:rPr>
        <w:t>measurable</w:t>
      </w:r>
      <w:r>
        <w:rPr>
          <w:rFonts w:ascii="Arial" w:hAnsi="Arial" w:cs="Arial"/>
        </w:rPr>
        <w:t xml:space="preserve"> DPPH radical-scavenging activity at higher concentrations. The extract also demonstrated concentration-dependent cytotoxic activity against HepG2 cells, indicating its potential to </w:t>
      </w:r>
      <w:r>
        <w:rPr>
          <w:rFonts w:ascii="Arial" w:hAnsi="Arial" w:cs="Arial"/>
          <w:highlight w:val="yellow"/>
        </w:rPr>
        <w:t>reduce HepG2</w:t>
      </w:r>
      <w:r>
        <w:rPr>
          <w:rFonts w:ascii="Arial" w:hAnsi="Arial" w:cs="Arial"/>
        </w:rPr>
        <w:t xml:space="preserve"> cell </w:t>
      </w:r>
      <w:r>
        <w:rPr>
          <w:rFonts w:ascii="Arial" w:hAnsi="Arial" w:cs="Arial"/>
          <w:highlight w:val="yellow"/>
        </w:rPr>
        <w:t>viability under the conditions tested</w:t>
      </w:r>
      <w:r>
        <w:rPr>
          <w:rFonts w:ascii="Arial" w:hAnsi="Arial" w:cs="Arial"/>
        </w:rPr>
        <w:t xml:space="preserve">. The greater phytochemical diversity observed in the ethanol extract may contribute to these biological activities. Overall, the findings suggest that </w:t>
      </w:r>
      <w:r>
        <w:rPr>
          <w:rStyle w:val="Emphasis"/>
          <w:rFonts w:ascii="Arial" w:hAnsi="Arial" w:cs="Arial"/>
        </w:rPr>
        <w:t>A. platensis</w:t>
      </w:r>
      <w:r>
        <w:rPr>
          <w:rFonts w:ascii="Arial" w:hAnsi="Arial" w:cs="Arial"/>
        </w:rPr>
        <w:t xml:space="preserve"> ethanol extract is a promising source of bioactive compounds with </w:t>
      </w:r>
      <w:r>
        <w:rPr>
          <w:rStyle w:val="Strong"/>
          <w:rFonts w:ascii="Arial" w:hAnsi="Arial" w:cs="Arial"/>
          <w:b w:val="0"/>
        </w:rPr>
        <w:t>antibacterial, antioxidant, and anticancer activities</w:t>
      </w:r>
      <w:r>
        <w:rPr>
          <w:rFonts w:ascii="Arial" w:hAnsi="Arial" w:cs="Arial"/>
        </w:rPr>
        <w:t xml:space="preserve">, and </w:t>
      </w:r>
      <w:r>
        <w:rPr>
          <w:rFonts w:ascii="Arial" w:hAnsi="Arial" w:cs="Arial"/>
        </w:rPr>
        <w:lastRenderedPageBreak/>
        <w:t>may have potential for further investigation as an alternative natural source for controlling foodborne pathogens and associated food safety risks.</w:t>
      </w:r>
    </w:p>
    <w:p w14:paraId="5A00B5D9" w14:textId="77777777" w:rsidR="00092F11" w:rsidRDefault="00092F11" w:rsidP="009C4B48">
      <w:pPr>
        <w:spacing w:before="240" w:line="276" w:lineRule="auto"/>
        <w:jc w:val="both"/>
        <w:rPr>
          <w:rFonts w:ascii="Arial" w:hAnsi="Arial" w:cs="Arial"/>
        </w:rPr>
      </w:pPr>
    </w:p>
    <w:p w14:paraId="7157A011" w14:textId="2C7DA92D" w:rsidR="00092F11" w:rsidRDefault="00092F11" w:rsidP="009C4B48">
      <w:pPr>
        <w:spacing w:before="240" w:line="276" w:lineRule="auto"/>
        <w:jc w:val="both"/>
        <w:rPr>
          <w:rFonts w:ascii="Arial" w:hAnsi="Arial" w:cs="Arial"/>
        </w:rPr>
      </w:pPr>
      <w:r w:rsidRPr="00092F11">
        <w:rPr>
          <w:rFonts w:ascii="Arial" w:hAnsi="Arial" w:cs="Arial"/>
        </w:rPr>
        <w:t>Limitations</w:t>
      </w:r>
    </w:p>
    <w:p w14:paraId="22B5A8B1" w14:textId="0E3E2E93" w:rsidR="00092F11" w:rsidRPr="00DD060A" w:rsidRDefault="00092F11" w:rsidP="009C4B48">
      <w:pPr>
        <w:spacing w:before="240" w:line="276" w:lineRule="auto"/>
        <w:jc w:val="both"/>
        <w:rPr>
          <w:rFonts w:ascii="Arial" w:hAnsi="Arial" w:cs="Arial"/>
        </w:rPr>
      </w:pPr>
      <w:r w:rsidRPr="00092F11">
        <w:rPr>
          <w:rFonts w:ascii="Arial" w:hAnsi="Arial" w:cs="Arial"/>
        </w:rPr>
        <w:t>The study used nine meat samples and a limited number of bacterial isolates; therefore, its findings describe only the samples examined. Phytochemical screening was qualitative, and subsequent experiments evaluated a crude ethanol extract rather than individual constituents. Antibacterial activity was assessed against selected isolates, whereas antioxidant and cellular responses were evaluated through DPPH and MTT assays. The observed reduction in VERO-cell viability at higher extract concentrations further limits interpretation of potential selectivity. These experimental findings should not be extrapolated to food systems or clinical settings without additional evidence.</w:t>
      </w:r>
    </w:p>
    <w:p w14:paraId="66D76B52" w14:textId="77777777" w:rsidR="00476276" w:rsidRPr="00DD060A" w:rsidRDefault="00476276" w:rsidP="0057253A">
      <w:pPr>
        <w:rPr>
          <w:rFonts w:ascii="Arial" w:eastAsia="Calibri" w:hAnsi="Arial" w:cs="Arial"/>
          <w:b/>
          <w:lang w:val="en-US" w:eastAsia="en-US"/>
        </w:rPr>
      </w:pPr>
    </w:p>
    <w:p w14:paraId="713D138F" w14:textId="77777777" w:rsidR="0057253A" w:rsidRPr="00DD060A" w:rsidRDefault="0057253A" w:rsidP="0057253A">
      <w:pPr>
        <w:rPr>
          <w:rFonts w:ascii="Arial" w:eastAsia="Calibri" w:hAnsi="Arial" w:cs="Arial"/>
          <w:b/>
          <w:lang w:val="en-US" w:eastAsia="en-US"/>
        </w:rPr>
      </w:pPr>
      <w:r w:rsidRPr="00DD060A">
        <w:rPr>
          <w:rFonts w:ascii="Arial" w:eastAsia="Calibri" w:hAnsi="Arial" w:cs="Arial"/>
          <w:b/>
          <w:lang w:val="en-US" w:eastAsia="en-US"/>
        </w:rPr>
        <w:t>Declaration of AI Use</w:t>
      </w:r>
    </w:p>
    <w:p w14:paraId="4F244EEF" w14:textId="77777777" w:rsidR="0057253A" w:rsidRPr="00DD060A" w:rsidRDefault="0057253A" w:rsidP="0057253A">
      <w:pPr>
        <w:rPr>
          <w:rFonts w:ascii="Arial" w:eastAsia="Calibri" w:hAnsi="Arial" w:cs="Arial"/>
          <w:lang w:val="en-US" w:eastAsia="en-US"/>
        </w:rPr>
      </w:pPr>
    </w:p>
    <w:p w14:paraId="3EF4F593" w14:textId="77777777" w:rsidR="0057253A" w:rsidRPr="00DD060A" w:rsidRDefault="0057253A" w:rsidP="0057253A">
      <w:pPr>
        <w:rPr>
          <w:rFonts w:ascii="Arial" w:eastAsia="Calibri" w:hAnsi="Arial" w:cs="Arial"/>
          <w:lang w:val="en-US" w:eastAsia="en-US"/>
        </w:rPr>
      </w:pPr>
      <w:r w:rsidRPr="00DD060A">
        <w:rPr>
          <w:rFonts w:ascii="Arial" w:eastAsia="Calibri" w:hAnsi="Arial" w:cs="Arial"/>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67DDE92" w14:textId="77777777" w:rsidR="0057253A" w:rsidRPr="00DD060A" w:rsidRDefault="0057253A" w:rsidP="0057253A">
      <w:pPr>
        <w:jc w:val="both"/>
        <w:rPr>
          <w:rFonts w:ascii="Arial" w:eastAsia="Calibri" w:hAnsi="Arial" w:cs="Arial"/>
          <w:sz w:val="22"/>
          <w:szCs w:val="22"/>
          <w:lang w:val="en-US" w:eastAsia="en-US"/>
        </w:rPr>
      </w:pPr>
    </w:p>
    <w:p w14:paraId="35D05C88" w14:textId="77777777" w:rsidR="0057253A" w:rsidRPr="00DD060A" w:rsidRDefault="0057253A" w:rsidP="0057253A">
      <w:pPr>
        <w:jc w:val="both"/>
        <w:rPr>
          <w:rFonts w:ascii="Arial" w:eastAsia="Calibri" w:hAnsi="Arial" w:cs="Arial"/>
          <w:sz w:val="22"/>
          <w:szCs w:val="22"/>
          <w:lang w:val="en-US" w:eastAsia="en-US"/>
        </w:rPr>
      </w:pPr>
    </w:p>
    <w:p w14:paraId="157AB0EA" w14:textId="77777777" w:rsidR="0057253A" w:rsidRPr="00DD060A" w:rsidRDefault="0057253A" w:rsidP="0057253A">
      <w:pPr>
        <w:spacing w:after="200" w:line="276" w:lineRule="auto"/>
        <w:rPr>
          <w:rFonts w:ascii="Arial" w:hAnsi="Arial" w:cs="Arial"/>
          <w:b/>
          <w:bCs/>
          <w:sz w:val="22"/>
          <w:szCs w:val="22"/>
          <w:lang w:val="en-GB" w:eastAsia="en-GB"/>
        </w:rPr>
      </w:pPr>
      <w:r w:rsidRPr="00DD060A">
        <w:rPr>
          <w:rFonts w:ascii="Arial" w:hAnsi="Arial" w:cs="Arial"/>
          <w:b/>
          <w:bCs/>
          <w:sz w:val="22"/>
          <w:szCs w:val="22"/>
          <w:lang w:val="en-GB" w:eastAsia="en-GB"/>
        </w:rPr>
        <w:t>COMPETING INTERESTS DISCLAIMER:</w:t>
      </w:r>
    </w:p>
    <w:p w14:paraId="1EE1BCE1" w14:textId="77777777" w:rsidR="0057253A" w:rsidRPr="00DD060A" w:rsidRDefault="0057253A" w:rsidP="0057253A">
      <w:pPr>
        <w:spacing w:after="200" w:line="276" w:lineRule="auto"/>
        <w:rPr>
          <w:rFonts w:ascii="Arial" w:hAnsi="Arial" w:cs="Arial"/>
          <w:sz w:val="22"/>
          <w:szCs w:val="22"/>
          <w:lang w:val="en-GB" w:eastAsia="en-GB"/>
        </w:rPr>
      </w:pPr>
      <w:r w:rsidRPr="00DD060A">
        <w:rPr>
          <w:rFonts w:ascii="Arial" w:hAnsi="Arial"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517BC3C" w14:textId="77777777" w:rsidR="0008444E" w:rsidRPr="00DD060A" w:rsidRDefault="0057253A" w:rsidP="009C4B48">
      <w:pPr>
        <w:pStyle w:val="Heading2"/>
        <w:spacing w:before="240" w:line="276" w:lineRule="auto"/>
        <w:rPr>
          <w:rFonts w:ascii="Arial" w:hAnsi="Arial" w:cs="Arial"/>
          <w:b/>
          <w:bCs/>
          <w:color w:val="auto"/>
          <w:sz w:val="22"/>
          <w:szCs w:val="22"/>
        </w:rPr>
      </w:pPr>
      <w:r w:rsidRPr="00DD060A">
        <w:rPr>
          <w:rFonts w:ascii="Arial" w:hAnsi="Arial" w:cs="Arial"/>
          <w:b/>
          <w:bCs/>
          <w:color w:val="auto"/>
          <w:sz w:val="22"/>
          <w:szCs w:val="22"/>
        </w:rPr>
        <w:t>References</w:t>
      </w:r>
    </w:p>
    <w:p w14:paraId="6FEF6DBB" w14:textId="77777777" w:rsidR="00FC7BC5" w:rsidRDefault="00FC7BC5" w:rsidP="00DD060A">
      <w:pPr>
        <w:pStyle w:val="ListParagraph"/>
        <w:ind w:left="714"/>
        <w:jc w:val="both"/>
        <w:rPr>
          <w:rFonts w:ascii="Arial" w:hAnsi="Arial" w:cs="Arial"/>
          <w:sz w:val="19"/>
          <w:szCs w:val="19"/>
        </w:rPr>
      </w:pPr>
    </w:p>
    <w:p w14:paraId="1091FF6A"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Abu Zaid, A. A., Hammad, D. M., &amp; Sharaf, E. M. (2015). Antioxidant and anticancer activity of Spirulina platensis water extracts. International Journal of Pharmacology, 11(7), 846–851. </w:t>
      </w:r>
      <w:hyperlink r:id="rId12" w:history="1">
        <w:r w:rsidRPr="00FE2F0B">
          <w:rPr>
            <w:color w:val="0000FF"/>
            <w:sz w:val="24"/>
            <w:szCs w:val="24"/>
            <w:u w:val="single"/>
            <w:lang w:val="en-US" w:eastAsia="en-US"/>
          </w:rPr>
          <w:t>https://doi.org/10.3923/ijp.2015.846.851</w:t>
        </w:r>
      </w:hyperlink>
    </w:p>
    <w:p w14:paraId="4C003696" w14:textId="77777777" w:rsidR="00FE2F0B" w:rsidRPr="00FE2F0B" w:rsidRDefault="00FE2F0B" w:rsidP="00FE2F0B">
      <w:pPr>
        <w:spacing w:before="100" w:beforeAutospacing="1" w:after="100" w:afterAutospacing="1"/>
        <w:rPr>
          <w:sz w:val="24"/>
          <w:szCs w:val="24"/>
          <w:lang w:val="en-US" w:eastAsia="en-US"/>
        </w:rPr>
      </w:pPr>
      <w:proofErr w:type="spellStart"/>
      <w:r w:rsidRPr="00FE2F0B">
        <w:rPr>
          <w:sz w:val="24"/>
          <w:szCs w:val="24"/>
          <w:lang w:val="en-US" w:eastAsia="en-US"/>
        </w:rPr>
        <w:t>Akbarizare</w:t>
      </w:r>
      <w:proofErr w:type="spellEnd"/>
      <w:r w:rsidRPr="00FE2F0B">
        <w:rPr>
          <w:sz w:val="24"/>
          <w:szCs w:val="24"/>
          <w:lang w:val="en-US" w:eastAsia="en-US"/>
        </w:rPr>
        <w:t xml:space="preserve">, M., </w:t>
      </w:r>
      <w:proofErr w:type="spellStart"/>
      <w:r w:rsidRPr="00FE2F0B">
        <w:rPr>
          <w:sz w:val="24"/>
          <w:szCs w:val="24"/>
          <w:lang w:val="en-US" w:eastAsia="en-US"/>
        </w:rPr>
        <w:t>Ofoghi</w:t>
      </w:r>
      <w:proofErr w:type="spellEnd"/>
      <w:r w:rsidRPr="00FE2F0B">
        <w:rPr>
          <w:sz w:val="24"/>
          <w:szCs w:val="24"/>
          <w:lang w:val="en-US" w:eastAsia="en-US"/>
        </w:rPr>
        <w:t xml:space="preserve">, H., Hadizadeh, M., &amp; Moazami, N. (2020). In vitro assessment of the cytotoxic effects of secondary metabolites from Spirulina platensis on hepatocellular carcinoma. Egyptian Liver Journal, 10, Article 11. </w:t>
      </w:r>
      <w:hyperlink r:id="rId13" w:history="1">
        <w:r w:rsidRPr="00FE2F0B">
          <w:rPr>
            <w:color w:val="0000FF"/>
            <w:sz w:val="24"/>
            <w:szCs w:val="24"/>
            <w:u w:val="single"/>
            <w:lang w:val="en-US" w:eastAsia="en-US"/>
          </w:rPr>
          <w:t>https://doi.org/10.1186/s43066-020-0018-3</w:t>
        </w:r>
      </w:hyperlink>
    </w:p>
    <w:p w14:paraId="3F3AF15C"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Akter, S., Rahman, M. A., </w:t>
      </w:r>
      <w:proofErr w:type="spellStart"/>
      <w:r w:rsidRPr="00FE2F0B">
        <w:rPr>
          <w:sz w:val="24"/>
          <w:szCs w:val="24"/>
          <w:lang w:val="en-US" w:eastAsia="en-US"/>
        </w:rPr>
        <w:t>Ashrafudoulla</w:t>
      </w:r>
      <w:proofErr w:type="spellEnd"/>
      <w:r w:rsidRPr="00FE2F0B">
        <w:rPr>
          <w:sz w:val="24"/>
          <w:szCs w:val="24"/>
          <w:lang w:val="en-US" w:eastAsia="en-US"/>
        </w:rPr>
        <w:t xml:space="preserve">, M., &amp; Ha, S.-D. (2025). Biofilm formation and analysis of EPS architecture comprising polysaccharides and lipids by Pseudomonas aeruginosa and Escherichia coli on food processing surfaces. Food Research International, 209, Article 116274. </w:t>
      </w:r>
      <w:hyperlink r:id="rId14" w:history="1">
        <w:r w:rsidRPr="00FE2F0B">
          <w:rPr>
            <w:color w:val="0000FF"/>
            <w:sz w:val="24"/>
            <w:szCs w:val="24"/>
            <w:u w:val="single"/>
            <w:lang w:val="en-US" w:eastAsia="en-US"/>
          </w:rPr>
          <w:t>https://doi.org/10.1016/j.foodres.2025.116274</w:t>
        </w:r>
      </w:hyperlink>
    </w:p>
    <w:p w14:paraId="534A1A3B"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Al-Ghanayem, A. A. (2017). Antimicrobial activity of Spirulina platensis extracts against certain pathogenic bacteria and fungi. Advances in Bioresearch, 8(6), 96–101. </w:t>
      </w:r>
      <w:hyperlink r:id="rId15" w:history="1">
        <w:r w:rsidRPr="00FE2F0B">
          <w:rPr>
            <w:color w:val="0000FF"/>
            <w:sz w:val="24"/>
            <w:szCs w:val="24"/>
            <w:u w:val="single"/>
            <w:lang w:val="en-US" w:eastAsia="en-US"/>
          </w:rPr>
          <w:t>https://doi.org/10.15515/abr.0976-4585.8.6.96101</w:t>
        </w:r>
      </w:hyperlink>
    </w:p>
    <w:p w14:paraId="5CDD3208"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Al-Saily, H. M. N., Hassan, W. S., &amp; </w:t>
      </w:r>
      <w:proofErr w:type="spellStart"/>
      <w:r w:rsidRPr="00FE2F0B">
        <w:rPr>
          <w:sz w:val="24"/>
          <w:szCs w:val="24"/>
          <w:lang w:val="en-US" w:eastAsia="en-US"/>
        </w:rPr>
        <w:t>Chabuk</w:t>
      </w:r>
      <w:proofErr w:type="spellEnd"/>
      <w:r w:rsidRPr="00FE2F0B">
        <w:rPr>
          <w:sz w:val="24"/>
          <w:szCs w:val="24"/>
          <w:lang w:val="en-US" w:eastAsia="en-US"/>
        </w:rPr>
        <w:t xml:space="preserve">, H. A. H. (2024). Anti-oxidant and cytotoxic activity of Spirulina platensis ethanolic extract against Caco-2 and HepG2 cancer cell lines. </w:t>
      </w:r>
      <w:r w:rsidRPr="00FE2F0B">
        <w:rPr>
          <w:sz w:val="24"/>
          <w:szCs w:val="24"/>
          <w:lang w:val="en-US" w:eastAsia="en-US"/>
        </w:rPr>
        <w:lastRenderedPageBreak/>
        <w:t xml:space="preserve">Journal of Applied and Natural Science, 16(1), 325–333. </w:t>
      </w:r>
      <w:hyperlink r:id="rId16" w:history="1">
        <w:r w:rsidRPr="00FE2F0B">
          <w:rPr>
            <w:color w:val="0000FF"/>
            <w:sz w:val="24"/>
            <w:szCs w:val="24"/>
            <w:u w:val="single"/>
            <w:lang w:val="en-US" w:eastAsia="en-US"/>
          </w:rPr>
          <w:t>https://doi.org/10.31018/jans.v16i1.5280</w:t>
        </w:r>
      </w:hyperlink>
    </w:p>
    <w:p w14:paraId="2CD54CA0"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Antimicrobial Resistance Collaborators. (2022). Global burden of bacterial antimicrobial resistance in 2019: A systematic analysis. The Lancet, 399(10325), 629–655. </w:t>
      </w:r>
      <w:hyperlink r:id="rId17" w:history="1">
        <w:r w:rsidRPr="00FE2F0B">
          <w:rPr>
            <w:color w:val="0000FF"/>
            <w:sz w:val="24"/>
            <w:szCs w:val="24"/>
            <w:u w:val="single"/>
            <w:lang w:val="en-US" w:eastAsia="en-US"/>
          </w:rPr>
          <w:t>https://doi.org/10.1016/S0140-6736(21)02724-0</w:t>
        </w:r>
      </w:hyperlink>
    </w:p>
    <w:p w14:paraId="4E7953E9"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Anwar, B., Khairunnisa, T., &amp; </w:t>
      </w:r>
      <w:proofErr w:type="spellStart"/>
      <w:r w:rsidRPr="00FE2F0B">
        <w:rPr>
          <w:sz w:val="24"/>
          <w:szCs w:val="24"/>
          <w:lang w:val="en-US" w:eastAsia="en-US"/>
        </w:rPr>
        <w:t>Sunarya</w:t>
      </w:r>
      <w:proofErr w:type="spellEnd"/>
      <w:r w:rsidRPr="00FE2F0B">
        <w:rPr>
          <w:sz w:val="24"/>
          <w:szCs w:val="24"/>
          <w:lang w:val="en-US" w:eastAsia="en-US"/>
        </w:rPr>
        <w:t xml:space="preserve">, Y. (2020). Corrosion inhibition of A516 carbon steel in 0.5 M HCl solution using </w:t>
      </w:r>
      <w:proofErr w:type="spellStart"/>
      <w:r w:rsidRPr="00FE2F0B">
        <w:rPr>
          <w:sz w:val="24"/>
          <w:szCs w:val="24"/>
          <w:lang w:val="en-US" w:eastAsia="en-US"/>
        </w:rPr>
        <w:t>Arthrospira</w:t>
      </w:r>
      <w:proofErr w:type="spellEnd"/>
      <w:r w:rsidRPr="00FE2F0B">
        <w:rPr>
          <w:sz w:val="24"/>
          <w:szCs w:val="24"/>
          <w:lang w:val="en-US" w:eastAsia="en-US"/>
        </w:rPr>
        <w:t xml:space="preserve"> platensis extract as green inhibitor. International Journal of Corrosion and Scale Inhibition, 9(1), 244–256. </w:t>
      </w:r>
      <w:hyperlink r:id="rId18" w:history="1">
        <w:r w:rsidRPr="00FE2F0B">
          <w:rPr>
            <w:color w:val="0000FF"/>
            <w:sz w:val="24"/>
            <w:szCs w:val="24"/>
            <w:u w:val="single"/>
            <w:lang w:val="en-US" w:eastAsia="en-US"/>
          </w:rPr>
          <w:t>https://doi.org/10.17675/2305-6894-2020-9-1-15</w:t>
        </w:r>
      </w:hyperlink>
    </w:p>
    <w:p w14:paraId="1F95008A"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Araújo, D., Silva, A. R., Fernandes, R., Serra, P., Barros, M. M., Campos, A. M., Oliveira, R., Silva, S., Almeida, C., &amp; Castro, J. (2024). Emerging approaches for mitigating biofilm-formation-associated infections in farm, wild, and companion animals. Pathogens, 13(4), Article 320. </w:t>
      </w:r>
      <w:hyperlink r:id="rId19" w:history="1">
        <w:r w:rsidRPr="00FE2F0B">
          <w:rPr>
            <w:color w:val="0000FF"/>
            <w:sz w:val="24"/>
            <w:szCs w:val="24"/>
            <w:u w:val="single"/>
            <w:lang w:val="en-US" w:eastAsia="en-US"/>
          </w:rPr>
          <w:t>https://doi.org/10.3390/pathogens13040320</w:t>
        </w:r>
      </w:hyperlink>
    </w:p>
    <w:p w14:paraId="32428161"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Aydin, A., </w:t>
      </w:r>
      <w:proofErr w:type="spellStart"/>
      <w:r w:rsidRPr="00FE2F0B">
        <w:rPr>
          <w:sz w:val="24"/>
          <w:szCs w:val="24"/>
          <w:lang w:val="en-US" w:eastAsia="en-US"/>
        </w:rPr>
        <w:t>Suleymanoglu</w:t>
      </w:r>
      <w:proofErr w:type="spellEnd"/>
      <w:r w:rsidRPr="00FE2F0B">
        <w:rPr>
          <w:sz w:val="24"/>
          <w:szCs w:val="24"/>
          <w:lang w:val="en-US" w:eastAsia="en-US"/>
        </w:rPr>
        <w:t xml:space="preserve">, A. A., Abdramanov, A., Paulsen, P., &amp; </w:t>
      </w:r>
      <w:proofErr w:type="spellStart"/>
      <w:r w:rsidRPr="00FE2F0B">
        <w:rPr>
          <w:sz w:val="24"/>
          <w:szCs w:val="24"/>
          <w:lang w:val="en-US" w:eastAsia="en-US"/>
        </w:rPr>
        <w:t>Dumen</w:t>
      </w:r>
      <w:proofErr w:type="spellEnd"/>
      <w:r w:rsidRPr="00FE2F0B">
        <w:rPr>
          <w:sz w:val="24"/>
          <w:szCs w:val="24"/>
          <w:lang w:val="en-US" w:eastAsia="en-US"/>
        </w:rPr>
        <w:t xml:space="preserve">, E. (2024). Detection of extended-spectrum β-lactamase-producing Escherichia coli with biofilm formation from chicken meat in Istanbul. Foods, 13(7), Article 1122. </w:t>
      </w:r>
      <w:hyperlink r:id="rId20" w:history="1">
        <w:r w:rsidRPr="00FE2F0B">
          <w:rPr>
            <w:color w:val="0000FF"/>
            <w:sz w:val="24"/>
            <w:szCs w:val="24"/>
            <w:u w:val="single"/>
            <w:lang w:val="en-US" w:eastAsia="en-US"/>
          </w:rPr>
          <w:t>https://doi.org/10.3390/foods13071122</w:t>
        </w:r>
      </w:hyperlink>
    </w:p>
    <w:p w14:paraId="3C6A388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Ban-</w:t>
      </w:r>
      <w:proofErr w:type="spellStart"/>
      <w:r w:rsidRPr="00FE2F0B">
        <w:rPr>
          <w:sz w:val="24"/>
          <w:szCs w:val="24"/>
          <w:lang w:val="en-US" w:eastAsia="en-US"/>
        </w:rPr>
        <w:t>Cucerzan</w:t>
      </w:r>
      <w:proofErr w:type="spellEnd"/>
      <w:r w:rsidRPr="00FE2F0B">
        <w:rPr>
          <w:sz w:val="24"/>
          <w:szCs w:val="24"/>
          <w:lang w:val="en-US" w:eastAsia="en-US"/>
        </w:rPr>
        <w:t xml:space="preserve">, A., Imre, K., Morar, A., Marcu, A., Hotea, I., Popa, S.-A., </w:t>
      </w:r>
      <w:proofErr w:type="spellStart"/>
      <w:r w:rsidRPr="00FE2F0B">
        <w:rPr>
          <w:sz w:val="24"/>
          <w:szCs w:val="24"/>
          <w:lang w:val="en-US" w:eastAsia="en-US"/>
        </w:rPr>
        <w:t>Pătrînjan</w:t>
      </w:r>
      <w:proofErr w:type="spellEnd"/>
      <w:r w:rsidRPr="00FE2F0B">
        <w:rPr>
          <w:sz w:val="24"/>
          <w:szCs w:val="24"/>
          <w:lang w:val="en-US" w:eastAsia="en-US"/>
        </w:rPr>
        <w:t xml:space="preserve">, R.-T., Bucur, I.-M., </w:t>
      </w:r>
      <w:proofErr w:type="spellStart"/>
      <w:r w:rsidRPr="00FE2F0B">
        <w:rPr>
          <w:sz w:val="24"/>
          <w:szCs w:val="24"/>
          <w:lang w:val="en-US" w:eastAsia="en-US"/>
        </w:rPr>
        <w:t>Gașpar</w:t>
      </w:r>
      <w:proofErr w:type="spellEnd"/>
      <w:r w:rsidRPr="00FE2F0B">
        <w:rPr>
          <w:sz w:val="24"/>
          <w:szCs w:val="24"/>
          <w:lang w:val="en-US" w:eastAsia="en-US"/>
        </w:rPr>
        <w:t xml:space="preserve">, C., </w:t>
      </w:r>
      <w:proofErr w:type="spellStart"/>
      <w:r w:rsidRPr="00FE2F0B">
        <w:rPr>
          <w:sz w:val="24"/>
          <w:szCs w:val="24"/>
          <w:lang w:val="en-US" w:eastAsia="en-US"/>
        </w:rPr>
        <w:t>Plotuna</w:t>
      </w:r>
      <w:proofErr w:type="spellEnd"/>
      <w:r w:rsidRPr="00FE2F0B">
        <w:rPr>
          <w:sz w:val="24"/>
          <w:szCs w:val="24"/>
          <w:lang w:val="en-US" w:eastAsia="en-US"/>
        </w:rPr>
        <w:t xml:space="preserve">, A.-M., &amp; Ban, S.-C. (2025). Persistent threats: A comprehensive review of biofilm formation, control, and economic implications in food processing environments. Microorganisms, 13(8), Article 1805. </w:t>
      </w:r>
      <w:hyperlink r:id="rId21" w:history="1">
        <w:r w:rsidRPr="00FE2F0B">
          <w:rPr>
            <w:color w:val="0000FF"/>
            <w:sz w:val="24"/>
            <w:szCs w:val="24"/>
            <w:u w:val="single"/>
            <w:lang w:val="en-US" w:eastAsia="en-US"/>
          </w:rPr>
          <w:t>https://doi.org/10.3390/microorganisms13081805</w:t>
        </w:r>
      </w:hyperlink>
    </w:p>
    <w:p w14:paraId="5206BE00"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Christodoulopoulou, M.-A., Lazaridis, D. G., Simoni, M., </w:t>
      </w:r>
      <w:proofErr w:type="spellStart"/>
      <w:r w:rsidRPr="00FE2F0B">
        <w:rPr>
          <w:sz w:val="24"/>
          <w:szCs w:val="24"/>
          <w:lang w:val="en-US" w:eastAsia="en-US"/>
        </w:rPr>
        <w:t>Intzirtzi</w:t>
      </w:r>
      <w:proofErr w:type="spellEnd"/>
      <w:r w:rsidRPr="00FE2F0B">
        <w:rPr>
          <w:sz w:val="24"/>
          <w:szCs w:val="24"/>
          <w:lang w:val="en-US" w:eastAsia="en-US"/>
        </w:rPr>
        <w:t xml:space="preserve">, E., </w:t>
      </w:r>
      <w:proofErr w:type="spellStart"/>
      <w:r w:rsidRPr="00FE2F0B">
        <w:rPr>
          <w:sz w:val="24"/>
          <w:szCs w:val="24"/>
          <w:lang w:val="en-US" w:eastAsia="en-US"/>
        </w:rPr>
        <w:t>Karabagias</w:t>
      </w:r>
      <w:proofErr w:type="spellEnd"/>
      <w:r w:rsidRPr="00FE2F0B">
        <w:rPr>
          <w:sz w:val="24"/>
          <w:szCs w:val="24"/>
          <w:lang w:val="en-US" w:eastAsia="en-US"/>
        </w:rPr>
        <w:t xml:space="preserve">, V. K., </w:t>
      </w:r>
      <w:proofErr w:type="spellStart"/>
      <w:r w:rsidRPr="00FE2F0B">
        <w:rPr>
          <w:sz w:val="24"/>
          <w:szCs w:val="24"/>
          <w:lang w:val="en-US" w:eastAsia="en-US"/>
        </w:rPr>
        <w:t>Andritsos</w:t>
      </w:r>
      <w:proofErr w:type="spellEnd"/>
      <w:r w:rsidRPr="00FE2F0B">
        <w:rPr>
          <w:sz w:val="24"/>
          <w:szCs w:val="24"/>
          <w:lang w:val="en-US" w:eastAsia="en-US"/>
        </w:rPr>
        <w:t xml:space="preserve">, N. D., Triantafyllidis, V., &amp; </w:t>
      </w:r>
      <w:proofErr w:type="spellStart"/>
      <w:r w:rsidRPr="00FE2F0B">
        <w:rPr>
          <w:sz w:val="24"/>
          <w:szCs w:val="24"/>
          <w:lang w:val="en-US" w:eastAsia="en-US"/>
        </w:rPr>
        <w:t>Karabagias</w:t>
      </w:r>
      <w:proofErr w:type="spellEnd"/>
      <w:r w:rsidRPr="00FE2F0B">
        <w:rPr>
          <w:sz w:val="24"/>
          <w:szCs w:val="24"/>
          <w:lang w:val="en-US" w:eastAsia="en-US"/>
        </w:rPr>
        <w:t>, I. K. (2025). Study of the physicochemical and phytochemical parameters together with antibacterial properties of conventionally and organically cultivated Spirulina (</w:t>
      </w:r>
      <w:proofErr w:type="spellStart"/>
      <w:r w:rsidRPr="00FE2F0B">
        <w:rPr>
          <w:sz w:val="24"/>
          <w:szCs w:val="24"/>
          <w:lang w:val="en-US" w:eastAsia="en-US"/>
        </w:rPr>
        <w:t>Arthrospira</w:t>
      </w:r>
      <w:proofErr w:type="spellEnd"/>
      <w:r w:rsidRPr="00FE2F0B">
        <w:rPr>
          <w:sz w:val="24"/>
          <w:szCs w:val="24"/>
          <w:lang w:val="en-US" w:eastAsia="en-US"/>
        </w:rPr>
        <w:t xml:space="preserve"> platensis) in Greece. Life, 15(11), Article 1761. </w:t>
      </w:r>
      <w:hyperlink r:id="rId22" w:history="1">
        <w:r w:rsidRPr="00FE2F0B">
          <w:rPr>
            <w:color w:val="0000FF"/>
            <w:sz w:val="24"/>
            <w:szCs w:val="24"/>
            <w:u w:val="single"/>
            <w:lang w:val="en-US" w:eastAsia="en-US"/>
          </w:rPr>
          <w:t>https://doi.org/10.3390/life15111761</w:t>
        </w:r>
      </w:hyperlink>
    </w:p>
    <w:p w14:paraId="67B3D99E"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Clemente, L., Leão, C., Moura, L., Albuquerque, T., &amp; Amaro, A. (2021). Prevalence and characterization of ESBL/</w:t>
      </w:r>
      <w:proofErr w:type="spellStart"/>
      <w:r w:rsidRPr="00FE2F0B">
        <w:rPr>
          <w:sz w:val="24"/>
          <w:szCs w:val="24"/>
          <w:lang w:val="en-US" w:eastAsia="en-US"/>
        </w:rPr>
        <w:t>AmpC</w:t>
      </w:r>
      <w:proofErr w:type="spellEnd"/>
      <w:r w:rsidRPr="00FE2F0B">
        <w:rPr>
          <w:sz w:val="24"/>
          <w:szCs w:val="24"/>
          <w:lang w:val="en-US" w:eastAsia="en-US"/>
        </w:rPr>
        <w:t xml:space="preserve">-producing Escherichia coli from fresh meat in Portugal. Antibiotics, 10(11), Article 1333. </w:t>
      </w:r>
      <w:hyperlink r:id="rId23" w:history="1">
        <w:r w:rsidRPr="00FE2F0B">
          <w:rPr>
            <w:color w:val="0000FF"/>
            <w:sz w:val="24"/>
            <w:szCs w:val="24"/>
            <w:u w:val="single"/>
            <w:lang w:val="en-US" w:eastAsia="en-US"/>
          </w:rPr>
          <w:t>https://doi.org/10.3390/antibiotics10111333</w:t>
        </w:r>
      </w:hyperlink>
    </w:p>
    <w:p w14:paraId="79B07782"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Cuestas, M. L., </w:t>
      </w:r>
      <w:proofErr w:type="spellStart"/>
      <w:r w:rsidRPr="00FE2F0B">
        <w:rPr>
          <w:sz w:val="24"/>
          <w:szCs w:val="24"/>
          <w:lang w:val="en-US" w:eastAsia="en-US"/>
        </w:rPr>
        <w:t>Oubiña</w:t>
      </w:r>
      <w:proofErr w:type="spellEnd"/>
      <w:r w:rsidRPr="00FE2F0B">
        <w:rPr>
          <w:sz w:val="24"/>
          <w:szCs w:val="24"/>
          <w:lang w:val="en-US" w:eastAsia="en-US"/>
        </w:rPr>
        <w:t xml:space="preserve">, J. R., &amp; </w:t>
      </w:r>
      <w:proofErr w:type="spellStart"/>
      <w:r w:rsidRPr="00FE2F0B">
        <w:rPr>
          <w:sz w:val="24"/>
          <w:szCs w:val="24"/>
          <w:lang w:val="en-US" w:eastAsia="en-US"/>
        </w:rPr>
        <w:t>Mathet</w:t>
      </w:r>
      <w:proofErr w:type="spellEnd"/>
      <w:r w:rsidRPr="00FE2F0B">
        <w:rPr>
          <w:sz w:val="24"/>
          <w:szCs w:val="24"/>
          <w:lang w:val="en-US" w:eastAsia="en-US"/>
        </w:rPr>
        <w:t xml:space="preserve">, V. L. (2015). Hepatocellular carcinoma and multidrug resistance: Past, present and new challenges for therapy improvement. World Journal of Pharmacology, 4(1), 96–116. </w:t>
      </w:r>
      <w:hyperlink r:id="rId24" w:history="1">
        <w:r w:rsidRPr="00FE2F0B">
          <w:rPr>
            <w:color w:val="0000FF"/>
            <w:sz w:val="24"/>
            <w:szCs w:val="24"/>
            <w:u w:val="single"/>
            <w:lang w:val="en-US" w:eastAsia="en-US"/>
          </w:rPr>
          <w:t>https://doi.org/10.5497/wjp.v4.i1.96</w:t>
        </w:r>
      </w:hyperlink>
    </w:p>
    <w:p w14:paraId="01E5B2C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Etame Loe, G., Dibong, S. D., </w:t>
      </w:r>
      <w:proofErr w:type="spellStart"/>
      <w:r w:rsidRPr="00FE2F0B">
        <w:rPr>
          <w:sz w:val="24"/>
          <w:szCs w:val="24"/>
          <w:lang w:val="en-US" w:eastAsia="en-US"/>
        </w:rPr>
        <w:t>Boudjeka</w:t>
      </w:r>
      <w:proofErr w:type="spellEnd"/>
      <w:r w:rsidRPr="00FE2F0B">
        <w:rPr>
          <w:sz w:val="24"/>
          <w:szCs w:val="24"/>
          <w:lang w:val="en-US" w:eastAsia="en-US"/>
        </w:rPr>
        <w:t xml:space="preserve"> </w:t>
      </w:r>
      <w:proofErr w:type="spellStart"/>
      <w:r w:rsidRPr="00FE2F0B">
        <w:rPr>
          <w:sz w:val="24"/>
          <w:szCs w:val="24"/>
          <w:lang w:val="en-US" w:eastAsia="en-US"/>
        </w:rPr>
        <w:t>Nguemkam</w:t>
      </w:r>
      <w:proofErr w:type="spellEnd"/>
      <w:r w:rsidRPr="00FE2F0B">
        <w:rPr>
          <w:sz w:val="24"/>
          <w:szCs w:val="24"/>
          <w:lang w:val="en-US" w:eastAsia="en-US"/>
        </w:rPr>
        <w:t xml:space="preserve">, V., Ngoule, C. C., Ngene, J.-P., </w:t>
      </w:r>
      <w:proofErr w:type="spellStart"/>
      <w:r w:rsidRPr="00FE2F0B">
        <w:rPr>
          <w:sz w:val="24"/>
          <w:szCs w:val="24"/>
          <w:lang w:val="en-US" w:eastAsia="en-US"/>
        </w:rPr>
        <w:t>Kidik</w:t>
      </w:r>
      <w:proofErr w:type="spellEnd"/>
      <w:r w:rsidRPr="00FE2F0B">
        <w:rPr>
          <w:sz w:val="24"/>
          <w:szCs w:val="24"/>
          <w:lang w:val="en-US" w:eastAsia="en-US"/>
        </w:rPr>
        <w:t xml:space="preserve"> Pouka, C., &amp; </w:t>
      </w:r>
      <w:proofErr w:type="spellStart"/>
      <w:r w:rsidRPr="00FE2F0B">
        <w:rPr>
          <w:sz w:val="24"/>
          <w:szCs w:val="24"/>
          <w:lang w:val="en-US" w:eastAsia="en-US"/>
        </w:rPr>
        <w:t>Mbaioundakom</w:t>
      </w:r>
      <w:proofErr w:type="spellEnd"/>
      <w:r w:rsidRPr="00FE2F0B">
        <w:rPr>
          <w:sz w:val="24"/>
          <w:szCs w:val="24"/>
          <w:lang w:val="en-US" w:eastAsia="en-US"/>
        </w:rPr>
        <w:t xml:space="preserve">, D. (2018). Antioxidant and anti-inflammatory activity of </w:t>
      </w:r>
      <w:proofErr w:type="spellStart"/>
      <w:r w:rsidRPr="00FE2F0B">
        <w:rPr>
          <w:sz w:val="24"/>
          <w:szCs w:val="24"/>
          <w:lang w:val="en-US" w:eastAsia="en-US"/>
        </w:rPr>
        <w:t>Arthrospira</w:t>
      </w:r>
      <w:proofErr w:type="spellEnd"/>
      <w:r w:rsidRPr="00FE2F0B">
        <w:rPr>
          <w:sz w:val="24"/>
          <w:szCs w:val="24"/>
          <w:lang w:val="en-US" w:eastAsia="en-US"/>
        </w:rPr>
        <w:t xml:space="preserve"> platensis var. Lake Chad. Saudi Journal of Medical and Pharmaceutical Sciences, 4(8), 981–992. </w:t>
      </w:r>
      <w:hyperlink r:id="rId25" w:history="1">
        <w:r w:rsidRPr="00FE2F0B">
          <w:rPr>
            <w:color w:val="0000FF"/>
            <w:sz w:val="24"/>
            <w:szCs w:val="24"/>
            <w:u w:val="single"/>
            <w:lang w:val="en-US" w:eastAsia="en-US"/>
          </w:rPr>
          <w:t>https://doi.org/10.36348/sjmps.2018.v04i08.016</w:t>
        </w:r>
      </w:hyperlink>
    </w:p>
    <w:p w14:paraId="117D7A58"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Fayyad, R. J., Mohammed Ali, A. N., </w:t>
      </w:r>
      <w:proofErr w:type="spellStart"/>
      <w:r w:rsidRPr="00FE2F0B">
        <w:rPr>
          <w:sz w:val="24"/>
          <w:szCs w:val="24"/>
          <w:lang w:val="en-US" w:eastAsia="en-US"/>
        </w:rPr>
        <w:t>Dwaish</w:t>
      </w:r>
      <w:proofErr w:type="spellEnd"/>
      <w:r w:rsidRPr="00FE2F0B">
        <w:rPr>
          <w:sz w:val="24"/>
          <w:szCs w:val="24"/>
          <w:lang w:val="en-US" w:eastAsia="en-US"/>
        </w:rPr>
        <w:t>, A. S., &amp; Al-</w:t>
      </w:r>
      <w:proofErr w:type="spellStart"/>
      <w:r w:rsidRPr="00FE2F0B">
        <w:rPr>
          <w:sz w:val="24"/>
          <w:szCs w:val="24"/>
          <w:lang w:val="en-US" w:eastAsia="en-US"/>
        </w:rPr>
        <w:t>Abboodi</w:t>
      </w:r>
      <w:proofErr w:type="spellEnd"/>
      <w:r w:rsidRPr="00FE2F0B">
        <w:rPr>
          <w:sz w:val="24"/>
          <w:szCs w:val="24"/>
          <w:lang w:val="en-US" w:eastAsia="en-US"/>
        </w:rPr>
        <w:t xml:space="preserve">, A. K. A. (2019). Anticancer activity of Spirulina platensis methanolic extracts against L20B and MCF7 human cancer cell lines. Plant Archives, 19(Supplement 1), 1419–1426. </w:t>
      </w:r>
      <w:hyperlink r:id="rId26" w:history="1">
        <w:r w:rsidRPr="00FE2F0B">
          <w:rPr>
            <w:color w:val="0000FF"/>
            <w:sz w:val="24"/>
            <w:szCs w:val="24"/>
            <w:u w:val="single"/>
            <w:lang w:val="en-US" w:eastAsia="en-US"/>
          </w:rPr>
          <w:t>https://www.researchgate.net/publication/332550789</w:t>
        </w:r>
      </w:hyperlink>
    </w:p>
    <w:p w14:paraId="15CB4C9A"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lastRenderedPageBreak/>
        <w:t xml:space="preserve">Gabr, G. A., El-Sayed, S. M., &amp; Hikal, M. S. (2020). Antioxidant activities of phycocyanin: A bioactive compound from Spirulina platensis. Journal of Pharmaceutical Research International, 32(2), 73–85. </w:t>
      </w:r>
      <w:hyperlink r:id="rId27" w:history="1">
        <w:r w:rsidRPr="00FE2F0B">
          <w:rPr>
            <w:color w:val="0000FF"/>
            <w:sz w:val="24"/>
            <w:szCs w:val="24"/>
            <w:u w:val="single"/>
            <w:lang w:val="en-US" w:eastAsia="en-US"/>
          </w:rPr>
          <w:t>https://doi.org/10.9734/jpri/2020/v32i230407</w:t>
        </w:r>
      </w:hyperlink>
    </w:p>
    <w:p w14:paraId="33466020"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Girgenti, A., Picone, P., Palumbo, L., </w:t>
      </w:r>
      <w:proofErr w:type="spellStart"/>
      <w:r w:rsidRPr="00FE2F0B">
        <w:rPr>
          <w:sz w:val="24"/>
          <w:szCs w:val="24"/>
          <w:lang w:val="en-US" w:eastAsia="en-US"/>
        </w:rPr>
        <w:t>Lauceri</w:t>
      </w:r>
      <w:proofErr w:type="spellEnd"/>
      <w:r w:rsidRPr="00FE2F0B">
        <w:rPr>
          <w:sz w:val="24"/>
          <w:szCs w:val="24"/>
          <w:lang w:val="en-US" w:eastAsia="en-US"/>
        </w:rPr>
        <w:t xml:space="preserve">, R., &amp; Nuzzo, D. (2026). Neuroprotective effects of C-phycocyanin and allophycocyanin from Spirulina purified using a newly developed method: In vitro barrier permeability, antioxidant and anti-inflammatory activities. Journal of Biological Engineering, 20, Article 131. </w:t>
      </w:r>
      <w:hyperlink r:id="rId28" w:history="1">
        <w:r w:rsidRPr="00FE2F0B">
          <w:rPr>
            <w:color w:val="0000FF"/>
            <w:sz w:val="24"/>
            <w:szCs w:val="24"/>
            <w:u w:val="single"/>
            <w:lang w:val="en-US" w:eastAsia="en-US"/>
          </w:rPr>
          <w:t>https://doi.org/10.1186/s13036-026-00720-2</w:t>
        </w:r>
      </w:hyperlink>
    </w:p>
    <w:p w14:paraId="2DE27D99"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Habibi, R., </w:t>
      </w:r>
      <w:proofErr w:type="spellStart"/>
      <w:r w:rsidRPr="00FE2F0B">
        <w:rPr>
          <w:sz w:val="24"/>
          <w:szCs w:val="24"/>
          <w:lang w:val="en-US" w:eastAsia="en-US"/>
        </w:rPr>
        <w:t>Tadayoni</w:t>
      </w:r>
      <w:proofErr w:type="spellEnd"/>
      <w:r w:rsidRPr="00FE2F0B">
        <w:rPr>
          <w:sz w:val="24"/>
          <w:szCs w:val="24"/>
          <w:lang w:val="en-US" w:eastAsia="en-US"/>
        </w:rPr>
        <w:t xml:space="preserve">, M., &amp; Mohammadpour, H. (2024). Evaluation of the functional properties of ethanolic and polysaccharide extracts of Spirulina platensis. Bioactive Carbohydrates and Dietary </w:t>
      </w:r>
      <w:proofErr w:type="spellStart"/>
      <w:r w:rsidRPr="00FE2F0B">
        <w:rPr>
          <w:sz w:val="24"/>
          <w:szCs w:val="24"/>
          <w:lang w:val="en-US" w:eastAsia="en-US"/>
        </w:rPr>
        <w:t>Fibre</w:t>
      </w:r>
      <w:proofErr w:type="spellEnd"/>
      <w:r w:rsidRPr="00FE2F0B">
        <w:rPr>
          <w:sz w:val="24"/>
          <w:szCs w:val="24"/>
          <w:lang w:val="en-US" w:eastAsia="en-US"/>
        </w:rPr>
        <w:t xml:space="preserve">, 31, Article 100401. </w:t>
      </w:r>
      <w:hyperlink r:id="rId29" w:history="1">
        <w:r w:rsidRPr="00FE2F0B">
          <w:rPr>
            <w:color w:val="0000FF"/>
            <w:sz w:val="24"/>
            <w:szCs w:val="24"/>
            <w:u w:val="single"/>
            <w:lang w:val="en-US" w:eastAsia="en-US"/>
          </w:rPr>
          <w:t>https://doi.org/10.1016/j.bcdf.2024.100401</w:t>
        </w:r>
      </w:hyperlink>
    </w:p>
    <w:p w14:paraId="64F9257B" w14:textId="254F3706"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Holt, J. G., Krieg, N. R., Sneath, P. H. A., Staley, J. T., &amp; Williams, S. T. (Eds.). (1994). Bergey’s manual of determinative bacteriology (9th ed.). Williams &amp; Wilkins. </w:t>
      </w:r>
    </w:p>
    <w:p w14:paraId="451FC3CA"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Ilieva, Y., Zaharieva, M. M., Najdenski, H., &amp; Kroumov, A. D. (2024). Antimicrobial activity of </w:t>
      </w:r>
      <w:proofErr w:type="spellStart"/>
      <w:r w:rsidRPr="00FE2F0B">
        <w:rPr>
          <w:sz w:val="24"/>
          <w:szCs w:val="24"/>
          <w:lang w:val="en-US" w:eastAsia="en-US"/>
        </w:rPr>
        <w:t>Arthrospira</w:t>
      </w:r>
      <w:proofErr w:type="spellEnd"/>
      <w:r w:rsidRPr="00FE2F0B">
        <w:rPr>
          <w:sz w:val="24"/>
          <w:szCs w:val="24"/>
          <w:lang w:val="en-US" w:eastAsia="en-US"/>
        </w:rPr>
        <w:t xml:space="preserve"> (former Spirulina) and </w:t>
      </w:r>
      <w:proofErr w:type="spellStart"/>
      <w:r w:rsidRPr="00FE2F0B">
        <w:rPr>
          <w:sz w:val="24"/>
          <w:szCs w:val="24"/>
          <w:lang w:val="en-US" w:eastAsia="en-US"/>
        </w:rPr>
        <w:t>Dunaliella</w:t>
      </w:r>
      <w:proofErr w:type="spellEnd"/>
      <w:r w:rsidRPr="00FE2F0B">
        <w:rPr>
          <w:sz w:val="24"/>
          <w:szCs w:val="24"/>
          <w:lang w:val="en-US" w:eastAsia="en-US"/>
        </w:rPr>
        <w:t xml:space="preserve"> related to recognized antimicrobial bioactive compounds. International Journal of Molecular Sciences, 25(10), Article 5548. </w:t>
      </w:r>
      <w:hyperlink r:id="rId30" w:history="1">
        <w:r w:rsidRPr="00FE2F0B">
          <w:rPr>
            <w:color w:val="0000FF"/>
            <w:sz w:val="24"/>
            <w:szCs w:val="24"/>
            <w:u w:val="single"/>
            <w:lang w:val="en-US" w:eastAsia="en-US"/>
          </w:rPr>
          <w:t>https://doi.org/10.3390/ijms25105548</w:t>
        </w:r>
      </w:hyperlink>
    </w:p>
    <w:p w14:paraId="6EA6E9A2"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Kaushik, P., &amp; Chauhan, A. (2008). In vitro antibacterial activity of laboratory grown culture of Spirulina platensis. Indian Journal of Microbiology, 48(3), 348–352. </w:t>
      </w:r>
      <w:hyperlink r:id="rId31" w:history="1">
        <w:r w:rsidRPr="00FE2F0B">
          <w:rPr>
            <w:color w:val="0000FF"/>
            <w:sz w:val="24"/>
            <w:szCs w:val="24"/>
            <w:u w:val="single"/>
            <w:lang w:val="en-US" w:eastAsia="en-US"/>
          </w:rPr>
          <w:t>https://doi.org/10.1007/s12088-008-0043-0</w:t>
        </w:r>
      </w:hyperlink>
    </w:p>
    <w:p w14:paraId="145DD01C"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Kitsios, A.-P. M., Lazaridis, D. G., </w:t>
      </w:r>
      <w:proofErr w:type="spellStart"/>
      <w:r w:rsidRPr="00FE2F0B">
        <w:rPr>
          <w:sz w:val="24"/>
          <w:szCs w:val="24"/>
          <w:lang w:val="en-US" w:eastAsia="en-US"/>
        </w:rPr>
        <w:t>Koutoulis</w:t>
      </w:r>
      <w:proofErr w:type="spellEnd"/>
      <w:r w:rsidRPr="00FE2F0B">
        <w:rPr>
          <w:sz w:val="24"/>
          <w:szCs w:val="24"/>
          <w:lang w:val="en-US" w:eastAsia="en-US"/>
        </w:rPr>
        <w:t xml:space="preserve">, A. S., </w:t>
      </w:r>
      <w:proofErr w:type="spellStart"/>
      <w:r w:rsidRPr="00FE2F0B">
        <w:rPr>
          <w:sz w:val="24"/>
          <w:szCs w:val="24"/>
          <w:lang w:val="en-US" w:eastAsia="en-US"/>
        </w:rPr>
        <w:t>Karabagias</w:t>
      </w:r>
      <w:proofErr w:type="spellEnd"/>
      <w:r w:rsidRPr="00FE2F0B">
        <w:rPr>
          <w:sz w:val="24"/>
          <w:szCs w:val="24"/>
          <w:lang w:val="en-US" w:eastAsia="en-US"/>
        </w:rPr>
        <w:t xml:space="preserve">, V. K., </w:t>
      </w:r>
      <w:proofErr w:type="spellStart"/>
      <w:r w:rsidRPr="00FE2F0B">
        <w:rPr>
          <w:sz w:val="24"/>
          <w:szCs w:val="24"/>
          <w:lang w:val="en-US" w:eastAsia="en-US"/>
        </w:rPr>
        <w:t>Andritsos</w:t>
      </w:r>
      <w:proofErr w:type="spellEnd"/>
      <w:r w:rsidRPr="00FE2F0B">
        <w:rPr>
          <w:sz w:val="24"/>
          <w:szCs w:val="24"/>
          <w:lang w:val="en-US" w:eastAsia="en-US"/>
        </w:rPr>
        <w:t xml:space="preserve">, N. D., &amp; </w:t>
      </w:r>
      <w:proofErr w:type="spellStart"/>
      <w:r w:rsidRPr="00FE2F0B">
        <w:rPr>
          <w:sz w:val="24"/>
          <w:szCs w:val="24"/>
          <w:lang w:val="en-US" w:eastAsia="en-US"/>
        </w:rPr>
        <w:t>Karabagias</w:t>
      </w:r>
      <w:proofErr w:type="spellEnd"/>
      <w:r w:rsidRPr="00FE2F0B">
        <w:rPr>
          <w:sz w:val="24"/>
          <w:szCs w:val="24"/>
          <w:lang w:val="en-US" w:eastAsia="en-US"/>
        </w:rPr>
        <w:t xml:space="preserve">, I. K. (2025). Geographical origin estimation of miniaturized samples of “Nova” mandarin juice based on multiple physicochemical and biochemical parameters conjointly with bootstrapping. European Food Research and Technology, 251, 1005–1020. </w:t>
      </w:r>
      <w:hyperlink r:id="rId32" w:history="1">
        <w:r w:rsidRPr="00FE2F0B">
          <w:rPr>
            <w:color w:val="0000FF"/>
            <w:sz w:val="24"/>
            <w:szCs w:val="24"/>
            <w:u w:val="single"/>
            <w:lang w:val="en-US" w:eastAsia="en-US"/>
          </w:rPr>
          <w:t>https://doi.org/10.1007/s00217-025-04684-3</w:t>
        </w:r>
      </w:hyperlink>
    </w:p>
    <w:p w14:paraId="6E057725"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Kose, A., Ozen, M. O., Elibol, M., &amp; </w:t>
      </w:r>
      <w:proofErr w:type="spellStart"/>
      <w:r w:rsidRPr="00FE2F0B">
        <w:rPr>
          <w:sz w:val="24"/>
          <w:szCs w:val="24"/>
          <w:lang w:val="en-US" w:eastAsia="en-US"/>
        </w:rPr>
        <w:t>Oncel</w:t>
      </w:r>
      <w:proofErr w:type="spellEnd"/>
      <w:r w:rsidRPr="00FE2F0B">
        <w:rPr>
          <w:sz w:val="24"/>
          <w:szCs w:val="24"/>
          <w:lang w:val="en-US" w:eastAsia="en-US"/>
        </w:rPr>
        <w:t xml:space="preserve">, S. S. (2017). Investigation of in vitro digestibility of dietary microalga Chlorella vulgaris and cyanobacterium Spirulina platensis as a nutritional supplement. 3 Biotech, 7(3), Article 170. </w:t>
      </w:r>
      <w:hyperlink r:id="rId33" w:history="1">
        <w:r w:rsidRPr="00FE2F0B">
          <w:rPr>
            <w:color w:val="0000FF"/>
            <w:sz w:val="24"/>
            <w:szCs w:val="24"/>
            <w:u w:val="single"/>
            <w:lang w:val="en-US" w:eastAsia="en-US"/>
          </w:rPr>
          <w:t>https://doi.org/10.1007/s13205-017-0832-4</w:t>
        </w:r>
      </w:hyperlink>
    </w:p>
    <w:p w14:paraId="62B8B06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Kumar, A., Ramamoorthy, D., Verma, D. K., Kumar, A., Kumar, N., Kanak, K. R., </w:t>
      </w:r>
      <w:proofErr w:type="spellStart"/>
      <w:r w:rsidRPr="00FE2F0B">
        <w:rPr>
          <w:sz w:val="24"/>
          <w:szCs w:val="24"/>
          <w:lang w:val="en-US" w:eastAsia="en-US"/>
        </w:rPr>
        <w:t>Marwein</w:t>
      </w:r>
      <w:proofErr w:type="spellEnd"/>
      <w:r w:rsidRPr="00FE2F0B">
        <w:rPr>
          <w:sz w:val="24"/>
          <w:szCs w:val="24"/>
          <w:lang w:val="en-US" w:eastAsia="en-US"/>
        </w:rPr>
        <w:t xml:space="preserve">, B. M., &amp; Mohan, K. (2022). Antioxidant and phytonutrient activities of Spirulina platensis. Energy Nexus, 6, Article 100070. </w:t>
      </w:r>
      <w:hyperlink r:id="rId34" w:history="1">
        <w:r w:rsidRPr="00FE2F0B">
          <w:rPr>
            <w:color w:val="0000FF"/>
            <w:sz w:val="24"/>
            <w:szCs w:val="24"/>
            <w:u w:val="single"/>
            <w:lang w:val="en-US" w:eastAsia="en-US"/>
          </w:rPr>
          <w:t>https://doi.org/10.1016/j.nexus.2022.100070</w:t>
        </w:r>
      </w:hyperlink>
    </w:p>
    <w:p w14:paraId="6253C02C"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Llovet, J. M., Ricci, S., Mazzaferro, V., Hilgard, P., Gane, E., Blanc, J.-F., de Oliveira, A. C., Santoro, A., Raoul, J.-L., Forner, A., Schwartz, M., Porta, C., Zeuzem, S., </w:t>
      </w:r>
      <w:proofErr w:type="spellStart"/>
      <w:r w:rsidRPr="00FE2F0B">
        <w:rPr>
          <w:sz w:val="24"/>
          <w:szCs w:val="24"/>
          <w:lang w:val="en-US" w:eastAsia="en-US"/>
        </w:rPr>
        <w:t>Bolondi</w:t>
      </w:r>
      <w:proofErr w:type="spellEnd"/>
      <w:r w:rsidRPr="00FE2F0B">
        <w:rPr>
          <w:sz w:val="24"/>
          <w:szCs w:val="24"/>
          <w:lang w:val="en-US" w:eastAsia="en-US"/>
        </w:rPr>
        <w:t xml:space="preserve">, L., Greten, T. F., Galle, P. R., Seitz, J.-F., </w:t>
      </w:r>
      <w:proofErr w:type="spellStart"/>
      <w:r w:rsidRPr="00FE2F0B">
        <w:rPr>
          <w:sz w:val="24"/>
          <w:szCs w:val="24"/>
          <w:lang w:val="en-US" w:eastAsia="en-US"/>
        </w:rPr>
        <w:t>Borbath</w:t>
      </w:r>
      <w:proofErr w:type="spellEnd"/>
      <w:r w:rsidRPr="00FE2F0B">
        <w:rPr>
          <w:sz w:val="24"/>
          <w:szCs w:val="24"/>
          <w:lang w:val="en-US" w:eastAsia="en-US"/>
        </w:rPr>
        <w:t xml:space="preserve">, I., </w:t>
      </w:r>
      <w:proofErr w:type="spellStart"/>
      <w:r w:rsidRPr="00FE2F0B">
        <w:rPr>
          <w:sz w:val="24"/>
          <w:szCs w:val="24"/>
          <w:lang w:val="en-US" w:eastAsia="en-US"/>
        </w:rPr>
        <w:t>Häussinger</w:t>
      </w:r>
      <w:proofErr w:type="spellEnd"/>
      <w:r w:rsidRPr="00FE2F0B">
        <w:rPr>
          <w:sz w:val="24"/>
          <w:szCs w:val="24"/>
          <w:lang w:val="en-US" w:eastAsia="en-US"/>
        </w:rPr>
        <w:t xml:space="preserve">, D., ... </w:t>
      </w:r>
      <w:proofErr w:type="spellStart"/>
      <w:r w:rsidRPr="00FE2F0B">
        <w:rPr>
          <w:sz w:val="24"/>
          <w:szCs w:val="24"/>
          <w:lang w:val="en-US" w:eastAsia="en-US"/>
        </w:rPr>
        <w:t>Bruix</w:t>
      </w:r>
      <w:proofErr w:type="spellEnd"/>
      <w:r w:rsidRPr="00FE2F0B">
        <w:rPr>
          <w:sz w:val="24"/>
          <w:szCs w:val="24"/>
          <w:lang w:val="en-US" w:eastAsia="en-US"/>
        </w:rPr>
        <w:t xml:space="preserve">, J. (2008). Sorafenib in advanced hepatocellular carcinoma. The New England Journal of Medicine, 359(4), 378–390. </w:t>
      </w:r>
      <w:hyperlink r:id="rId35" w:history="1">
        <w:r w:rsidRPr="00FE2F0B">
          <w:rPr>
            <w:color w:val="0000FF"/>
            <w:sz w:val="24"/>
            <w:szCs w:val="24"/>
            <w:u w:val="single"/>
            <w:lang w:val="en-US" w:eastAsia="en-US"/>
          </w:rPr>
          <w:t>https://doi.org/10.1056/NEJMoa0708857</w:t>
        </w:r>
      </w:hyperlink>
    </w:p>
    <w:p w14:paraId="42003BA4" w14:textId="2BBDA42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Mane, R. S., &amp; Chakraborty, B. (2018). Phytochemical screening of Spirulina platensis extracts from </w:t>
      </w:r>
      <w:proofErr w:type="spellStart"/>
      <w:r w:rsidRPr="00FE2F0B">
        <w:rPr>
          <w:sz w:val="24"/>
          <w:szCs w:val="24"/>
          <w:lang w:val="en-US" w:eastAsia="en-US"/>
        </w:rPr>
        <w:t>Rankala</w:t>
      </w:r>
      <w:proofErr w:type="spellEnd"/>
      <w:r w:rsidRPr="00FE2F0B">
        <w:rPr>
          <w:sz w:val="24"/>
          <w:szCs w:val="24"/>
          <w:lang w:val="en-US" w:eastAsia="en-US"/>
        </w:rPr>
        <w:t xml:space="preserve"> Lake, Kolhapur, India. Journal of Algal Biomass Utilization, 9(4), 38–41. </w:t>
      </w:r>
    </w:p>
    <w:p w14:paraId="1DFCCC6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lastRenderedPageBreak/>
        <w:t xml:space="preserve">McDonald, K. L., Garland, S., Carson, C. A., Gibbens, K., Parmley, E. J., Finley, R., &amp; MacKinnon, M. C. (2021). Measures used to assess the burden of ESBL-producing Escherichia coli infections in humans: A scoping review. JAC-Antimicrobial Resistance, 3(1), Article dlaa104. </w:t>
      </w:r>
      <w:hyperlink r:id="rId36" w:history="1">
        <w:r w:rsidRPr="00FE2F0B">
          <w:rPr>
            <w:color w:val="0000FF"/>
            <w:sz w:val="24"/>
            <w:szCs w:val="24"/>
            <w:u w:val="single"/>
            <w:lang w:val="en-US" w:eastAsia="en-US"/>
          </w:rPr>
          <w:t>https://doi.org/10.1093/jacamr/dlaa104</w:t>
        </w:r>
      </w:hyperlink>
    </w:p>
    <w:p w14:paraId="0639A239"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Mosmann, T. (1983). Rapid colorimetric assay for cellular growth and survival: Application to proliferation and cytotoxicity assays. Journal of Immunological Methods, 65(1–2), 55–63. </w:t>
      </w:r>
      <w:hyperlink r:id="rId37" w:history="1">
        <w:r w:rsidRPr="00FE2F0B">
          <w:rPr>
            <w:color w:val="0000FF"/>
            <w:sz w:val="24"/>
            <w:szCs w:val="24"/>
            <w:u w:val="single"/>
            <w:lang w:val="en-US" w:eastAsia="en-US"/>
          </w:rPr>
          <w:t>https://doi.org/10.1016/0022-1759(83)90303-4</w:t>
        </w:r>
      </w:hyperlink>
    </w:p>
    <w:p w14:paraId="6C111748"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Muthusamy, G., Karthikeyan, S., Giridhari, V. A., </w:t>
      </w:r>
      <w:proofErr w:type="spellStart"/>
      <w:r w:rsidRPr="00FE2F0B">
        <w:rPr>
          <w:sz w:val="24"/>
          <w:szCs w:val="24"/>
          <w:lang w:val="en-US" w:eastAsia="en-US"/>
        </w:rPr>
        <w:t>Alhimaidi</w:t>
      </w:r>
      <w:proofErr w:type="spellEnd"/>
      <w:r w:rsidRPr="00FE2F0B">
        <w:rPr>
          <w:sz w:val="24"/>
          <w:szCs w:val="24"/>
          <w:lang w:val="en-US" w:eastAsia="en-US"/>
        </w:rPr>
        <w:t xml:space="preserve">, A. R., Balachandar, D., Ammari, A. A., </w:t>
      </w:r>
      <w:proofErr w:type="spellStart"/>
      <w:r w:rsidRPr="00FE2F0B">
        <w:rPr>
          <w:sz w:val="24"/>
          <w:szCs w:val="24"/>
          <w:lang w:val="en-US" w:eastAsia="en-US"/>
        </w:rPr>
        <w:t>Paranidharan</w:t>
      </w:r>
      <w:proofErr w:type="spellEnd"/>
      <w:r w:rsidRPr="00FE2F0B">
        <w:rPr>
          <w:sz w:val="24"/>
          <w:szCs w:val="24"/>
          <w:lang w:val="en-US" w:eastAsia="en-US"/>
        </w:rPr>
        <w:t xml:space="preserve">, V., &amp; </w:t>
      </w:r>
      <w:proofErr w:type="spellStart"/>
      <w:r w:rsidRPr="00FE2F0B">
        <w:rPr>
          <w:sz w:val="24"/>
          <w:szCs w:val="24"/>
          <w:lang w:val="en-US" w:eastAsia="en-US"/>
        </w:rPr>
        <w:t>Maruthamuthu</w:t>
      </w:r>
      <w:proofErr w:type="spellEnd"/>
      <w:r w:rsidRPr="00FE2F0B">
        <w:rPr>
          <w:sz w:val="24"/>
          <w:szCs w:val="24"/>
          <w:lang w:val="en-US" w:eastAsia="en-US"/>
        </w:rPr>
        <w:t xml:space="preserve">, T. (2024). Foodborne pathogen prevalence and biomarker identification for microbial contamination in mutton meat. Biology, 13(12), Article 1054. </w:t>
      </w:r>
      <w:hyperlink r:id="rId38" w:history="1">
        <w:r w:rsidRPr="00FE2F0B">
          <w:rPr>
            <w:color w:val="0000FF"/>
            <w:sz w:val="24"/>
            <w:szCs w:val="24"/>
            <w:u w:val="single"/>
            <w:lang w:val="en-US" w:eastAsia="en-US"/>
          </w:rPr>
          <w:t>https://doi.org/10.3390/biology13121054</w:t>
        </w:r>
      </w:hyperlink>
    </w:p>
    <w:p w14:paraId="66B7164C" w14:textId="77777777" w:rsidR="00FE2F0B" w:rsidRPr="00FE2F0B" w:rsidRDefault="00FE2F0B" w:rsidP="00FE2F0B">
      <w:pPr>
        <w:spacing w:before="100" w:beforeAutospacing="1" w:after="100" w:afterAutospacing="1"/>
        <w:rPr>
          <w:sz w:val="24"/>
          <w:szCs w:val="24"/>
          <w:lang w:val="en-US" w:eastAsia="en-US"/>
        </w:rPr>
      </w:pPr>
      <w:proofErr w:type="spellStart"/>
      <w:r w:rsidRPr="00FE2F0B">
        <w:rPr>
          <w:sz w:val="24"/>
          <w:szCs w:val="24"/>
          <w:lang w:val="en-US" w:eastAsia="en-US"/>
        </w:rPr>
        <w:t>Oliulla</w:t>
      </w:r>
      <w:proofErr w:type="spellEnd"/>
      <w:r w:rsidRPr="00FE2F0B">
        <w:rPr>
          <w:sz w:val="24"/>
          <w:szCs w:val="24"/>
          <w:lang w:val="en-US" w:eastAsia="en-US"/>
        </w:rPr>
        <w:t xml:space="preserve">, H., Mizan, M. F. R., Kang, I., &amp; Ha, S.-D. (2024). On-going issues regarding biofilm formation in meat and meat products: Challenges and future perspectives. Poultry Science, 103(12), Article 104373. </w:t>
      </w:r>
      <w:hyperlink r:id="rId39" w:history="1">
        <w:r w:rsidRPr="00FE2F0B">
          <w:rPr>
            <w:color w:val="0000FF"/>
            <w:sz w:val="24"/>
            <w:szCs w:val="24"/>
            <w:u w:val="single"/>
            <w:lang w:val="en-US" w:eastAsia="en-US"/>
          </w:rPr>
          <w:t>https://doi.org/10.1016/j.psj.2024.104373</w:t>
        </w:r>
      </w:hyperlink>
    </w:p>
    <w:p w14:paraId="18DF463E"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O’Neill, J. (2016). Tackling drug-resistant infections globally: Final report and recommendations. Review on Antimicrobial Resistance. </w:t>
      </w:r>
      <w:hyperlink r:id="rId40" w:history="1">
        <w:r w:rsidRPr="00FE2F0B">
          <w:rPr>
            <w:color w:val="0000FF"/>
            <w:sz w:val="24"/>
            <w:szCs w:val="24"/>
            <w:u w:val="single"/>
            <w:lang w:val="en-US" w:eastAsia="en-US"/>
          </w:rPr>
          <w:t>UK Government publication</w:t>
        </w:r>
      </w:hyperlink>
    </w:p>
    <w:p w14:paraId="489669D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Santiago-Cruz, J. A., Posadas-Mondragón, A., Aguilar-Faisal, J. L., Ortiz-García, C. I., Montalvan-</w:t>
      </w:r>
      <w:proofErr w:type="spellStart"/>
      <w:r w:rsidRPr="00FE2F0B">
        <w:rPr>
          <w:sz w:val="24"/>
          <w:szCs w:val="24"/>
          <w:lang w:val="en-US" w:eastAsia="en-US"/>
        </w:rPr>
        <w:t>Sorrosa</w:t>
      </w:r>
      <w:proofErr w:type="spellEnd"/>
      <w:r w:rsidRPr="00FE2F0B">
        <w:rPr>
          <w:sz w:val="24"/>
          <w:szCs w:val="24"/>
          <w:lang w:val="en-US" w:eastAsia="en-US"/>
        </w:rPr>
        <w:t>, D., Herrera-González, N. E., &amp; Pérez-Juárez, A. (2025). In vitro evaluation of the antiviral effect of Spirulina maxima (</w:t>
      </w:r>
      <w:proofErr w:type="spellStart"/>
      <w:r w:rsidRPr="00FE2F0B">
        <w:rPr>
          <w:sz w:val="24"/>
          <w:szCs w:val="24"/>
          <w:lang w:val="en-US" w:eastAsia="en-US"/>
        </w:rPr>
        <w:t>Arthrospira</w:t>
      </w:r>
      <w:proofErr w:type="spellEnd"/>
      <w:r w:rsidRPr="00FE2F0B">
        <w:rPr>
          <w:sz w:val="24"/>
          <w:szCs w:val="24"/>
          <w:lang w:val="en-US" w:eastAsia="en-US"/>
        </w:rPr>
        <w:t xml:space="preserve">) alga against chikungunya virus. Viruses, 17(12), Article 1583. </w:t>
      </w:r>
      <w:hyperlink r:id="rId41" w:history="1">
        <w:r w:rsidRPr="00FE2F0B">
          <w:rPr>
            <w:color w:val="0000FF"/>
            <w:sz w:val="24"/>
            <w:szCs w:val="24"/>
            <w:u w:val="single"/>
            <w:lang w:val="en-US" w:eastAsia="en-US"/>
          </w:rPr>
          <w:t>https://doi.org/10.3390/v17121583</w:t>
        </w:r>
      </w:hyperlink>
    </w:p>
    <w:p w14:paraId="4D66B16C"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Sarker, S. D., Nahar, L., &amp; Kumarasamy, Y. (2007). </w:t>
      </w:r>
      <w:proofErr w:type="spellStart"/>
      <w:r w:rsidRPr="00FE2F0B">
        <w:rPr>
          <w:sz w:val="24"/>
          <w:szCs w:val="24"/>
          <w:lang w:val="en-US" w:eastAsia="en-US"/>
        </w:rPr>
        <w:t>Microtitre</w:t>
      </w:r>
      <w:proofErr w:type="spellEnd"/>
      <w:r w:rsidRPr="00FE2F0B">
        <w:rPr>
          <w:sz w:val="24"/>
          <w:szCs w:val="24"/>
          <w:lang w:val="en-US" w:eastAsia="en-US"/>
        </w:rPr>
        <w:t xml:space="preserve"> plate-based antibacterial assay incorporating resazurin as an indicator of cell growth, and its application in the in vitro antibacterial screening of phytochemicals. Methods, 42(4), 321–324. </w:t>
      </w:r>
      <w:hyperlink r:id="rId42" w:history="1">
        <w:r w:rsidRPr="00FE2F0B">
          <w:rPr>
            <w:color w:val="0000FF"/>
            <w:sz w:val="24"/>
            <w:szCs w:val="24"/>
            <w:u w:val="single"/>
            <w:lang w:val="en-US" w:eastAsia="en-US"/>
          </w:rPr>
          <w:t>https://doi.org/10.1016/j.ymeth.2007.01.006</w:t>
        </w:r>
      </w:hyperlink>
    </w:p>
    <w:p w14:paraId="77B15A0B"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Selim, M. I., El-</w:t>
      </w:r>
      <w:proofErr w:type="spellStart"/>
      <w:r w:rsidRPr="00FE2F0B">
        <w:rPr>
          <w:sz w:val="24"/>
          <w:szCs w:val="24"/>
          <w:lang w:val="en-US" w:eastAsia="en-US"/>
        </w:rPr>
        <w:t>banna</w:t>
      </w:r>
      <w:proofErr w:type="spellEnd"/>
      <w:r w:rsidRPr="00FE2F0B">
        <w:rPr>
          <w:sz w:val="24"/>
          <w:szCs w:val="24"/>
          <w:lang w:val="en-US" w:eastAsia="en-US"/>
        </w:rPr>
        <w:t xml:space="preserve">, T., Sonbol, F., Negm, W. A., &amp; </w:t>
      </w:r>
      <w:proofErr w:type="spellStart"/>
      <w:r w:rsidRPr="00FE2F0B">
        <w:rPr>
          <w:sz w:val="24"/>
          <w:szCs w:val="24"/>
          <w:lang w:val="en-US" w:eastAsia="en-US"/>
        </w:rPr>
        <w:t>Elekhnawy</w:t>
      </w:r>
      <w:proofErr w:type="spellEnd"/>
      <w:r w:rsidRPr="00FE2F0B">
        <w:rPr>
          <w:sz w:val="24"/>
          <w:szCs w:val="24"/>
          <w:lang w:val="en-US" w:eastAsia="en-US"/>
        </w:rPr>
        <w:t xml:space="preserve">, E. (2025). Unveiling the potential of spirulina algal extract as promising antibacterial and antibiofilm agent against carbapenem-resistant Klebsiella pneumoniae: In vitro and in vivo study. Microbial Cell Factories, 24, Article 7. </w:t>
      </w:r>
      <w:hyperlink r:id="rId43" w:history="1">
        <w:r w:rsidRPr="00FE2F0B">
          <w:rPr>
            <w:color w:val="0000FF"/>
            <w:sz w:val="24"/>
            <w:szCs w:val="24"/>
            <w:u w:val="single"/>
            <w:lang w:val="en-US" w:eastAsia="en-US"/>
          </w:rPr>
          <w:t>https://doi.org/10.1186/s12934-024-02619-3</w:t>
        </w:r>
      </w:hyperlink>
    </w:p>
    <w:p w14:paraId="69D841B8"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Siddique, A., Azim, S., Ali, A., Andleeb, S., Ahsan, A., Imran, M., &amp; Rahman, A. (2021). Antimicrobial resistance profiling of biofilm-forming non-typhoidal Salmonella enterica isolates from poultry and its associated food products from Pakistan. Antibiotics, 10(7), Article 785. </w:t>
      </w:r>
      <w:hyperlink r:id="rId44" w:history="1">
        <w:r w:rsidRPr="00FE2F0B">
          <w:rPr>
            <w:color w:val="0000FF"/>
            <w:sz w:val="24"/>
            <w:szCs w:val="24"/>
            <w:u w:val="single"/>
            <w:lang w:val="en-US" w:eastAsia="en-US"/>
          </w:rPr>
          <w:t>https://doi.org/10.3390/antibiotics10070785</w:t>
        </w:r>
      </w:hyperlink>
    </w:p>
    <w:p w14:paraId="285E151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Spínola, M. P., Mendes, A. R., &amp; Prates, J. A. M. (2024). Chemical composition, bioactivities, and applications of Spirulina (</w:t>
      </w:r>
      <w:proofErr w:type="spellStart"/>
      <w:r w:rsidRPr="00FE2F0B">
        <w:rPr>
          <w:sz w:val="24"/>
          <w:szCs w:val="24"/>
          <w:lang w:val="en-US" w:eastAsia="en-US"/>
        </w:rPr>
        <w:t>Limnospira</w:t>
      </w:r>
      <w:proofErr w:type="spellEnd"/>
      <w:r w:rsidRPr="00FE2F0B">
        <w:rPr>
          <w:sz w:val="24"/>
          <w:szCs w:val="24"/>
          <w:lang w:val="en-US" w:eastAsia="en-US"/>
        </w:rPr>
        <w:t xml:space="preserve"> platensis) in food, feed, and medicine. Foods, 13(22), Article 3656. </w:t>
      </w:r>
      <w:hyperlink r:id="rId45" w:history="1">
        <w:r w:rsidRPr="00FE2F0B">
          <w:rPr>
            <w:color w:val="0000FF"/>
            <w:sz w:val="24"/>
            <w:szCs w:val="24"/>
            <w:u w:val="single"/>
            <w:lang w:val="en-US" w:eastAsia="en-US"/>
          </w:rPr>
          <w:t>https://doi.org/10.3390/foods13223656</w:t>
        </w:r>
      </w:hyperlink>
    </w:p>
    <w:p w14:paraId="3C5B3C97"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Sreelatha, S., &amp; Padma, P. R. (2009). Antioxidant activity and total phenolic content of Moringa oleifera leaves in two stages of maturity. Plant Foods for Human Nutrition, 64(4), 303–311. </w:t>
      </w:r>
      <w:hyperlink r:id="rId46" w:history="1">
        <w:r w:rsidRPr="00FE2F0B">
          <w:rPr>
            <w:color w:val="0000FF"/>
            <w:sz w:val="24"/>
            <w:szCs w:val="24"/>
            <w:u w:val="single"/>
            <w:lang w:val="en-US" w:eastAsia="en-US"/>
          </w:rPr>
          <w:t>https://doi.org/10.1007/s11130-009-0141-0</w:t>
        </w:r>
      </w:hyperlink>
    </w:p>
    <w:p w14:paraId="133039A9"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lastRenderedPageBreak/>
        <w:t xml:space="preserve">Sung, H., </w:t>
      </w:r>
      <w:proofErr w:type="spellStart"/>
      <w:r w:rsidRPr="00FE2F0B">
        <w:rPr>
          <w:sz w:val="24"/>
          <w:szCs w:val="24"/>
          <w:lang w:val="en-US" w:eastAsia="en-US"/>
        </w:rPr>
        <w:t>Ferlay</w:t>
      </w:r>
      <w:proofErr w:type="spellEnd"/>
      <w:r w:rsidRPr="00FE2F0B">
        <w:rPr>
          <w:sz w:val="24"/>
          <w:szCs w:val="24"/>
          <w:lang w:val="en-US" w:eastAsia="en-US"/>
        </w:rPr>
        <w:t xml:space="preserve">, J., Siegel, R. L., </w:t>
      </w:r>
      <w:proofErr w:type="spellStart"/>
      <w:r w:rsidRPr="00FE2F0B">
        <w:rPr>
          <w:sz w:val="24"/>
          <w:szCs w:val="24"/>
          <w:lang w:val="en-US" w:eastAsia="en-US"/>
        </w:rPr>
        <w:t>Laversanne</w:t>
      </w:r>
      <w:proofErr w:type="spellEnd"/>
      <w:r w:rsidRPr="00FE2F0B">
        <w:rPr>
          <w:sz w:val="24"/>
          <w:szCs w:val="24"/>
          <w:lang w:val="en-US" w:eastAsia="en-US"/>
        </w:rPr>
        <w:t xml:space="preserve">, M., </w:t>
      </w:r>
      <w:proofErr w:type="spellStart"/>
      <w:r w:rsidRPr="00FE2F0B">
        <w:rPr>
          <w:sz w:val="24"/>
          <w:szCs w:val="24"/>
          <w:lang w:val="en-US" w:eastAsia="en-US"/>
        </w:rPr>
        <w:t>Soerjomataram</w:t>
      </w:r>
      <w:proofErr w:type="spellEnd"/>
      <w:r w:rsidRPr="00FE2F0B">
        <w:rPr>
          <w:sz w:val="24"/>
          <w:szCs w:val="24"/>
          <w:lang w:val="en-US" w:eastAsia="en-US"/>
        </w:rPr>
        <w:t xml:space="preserve">, I., Jemal, A., &amp; Bray, F. (2021). Global cancer statistics 2020: GLOBOCAN estimates of incidence and mortality worldwide for 36 cancers in 185 countries. CA: A Cancer Journal for Clinicians, 71(3), 209–249. </w:t>
      </w:r>
      <w:hyperlink r:id="rId47" w:history="1">
        <w:r w:rsidRPr="00FE2F0B">
          <w:rPr>
            <w:color w:val="0000FF"/>
            <w:sz w:val="24"/>
            <w:szCs w:val="24"/>
            <w:u w:val="single"/>
            <w:lang w:val="en-US" w:eastAsia="en-US"/>
          </w:rPr>
          <w:t>https://doi.org/10.3322/caac.21660</w:t>
        </w:r>
      </w:hyperlink>
    </w:p>
    <w:p w14:paraId="3C20C2D7"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Sunitha, T. E. T., &amp; Lakshmi, M. (2025). Evaluation of the antibacterial activity of aqueous and alcoholic extracts of </w:t>
      </w:r>
      <w:proofErr w:type="spellStart"/>
      <w:r w:rsidRPr="00FE2F0B">
        <w:rPr>
          <w:sz w:val="24"/>
          <w:szCs w:val="24"/>
          <w:lang w:val="en-US" w:eastAsia="en-US"/>
        </w:rPr>
        <w:t>Syzygium</w:t>
      </w:r>
      <w:proofErr w:type="spellEnd"/>
      <w:r w:rsidRPr="00FE2F0B">
        <w:rPr>
          <w:sz w:val="24"/>
          <w:szCs w:val="24"/>
          <w:lang w:val="en-US" w:eastAsia="en-US"/>
        </w:rPr>
        <w:t xml:space="preserve"> aromaticum against Escherichia coli, Pseudomonas aeruginosa, Staphylococcus aureus, and Streptococcus pneumoniae. Asian Journal of Advances in Research, 8(1), 125–136. </w:t>
      </w:r>
      <w:hyperlink r:id="rId48" w:history="1">
        <w:r w:rsidRPr="00FE2F0B">
          <w:rPr>
            <w:color w:val="0000FF"/>
            <w:sz w:val="24"/>
            <w:szCs w:val="24"/>
            <w:u w:val="single"/>
            <w:lang w:val="en-US" w:eastAsia="en-US"/>
          </w:rPr>
          <w:t>https://doi.org/10.56557/ajoair/2025/v8i1513</w:t>
        </w:r>
      </w:hyperlink>
    </w:p>
    <w:p w14:paraId="4FDF7FA8"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Tanni, F. Y., Chowdhury, M. S. R., Hossain, H., Faysal, M. A., Rahman, M. A., Emon, A. A., Asha, M. N., Hossain, M. M., &amp; Rahman, M. M. (2025). Prevalence and antimicrobial resistance of extended-spectrum beta-lactamase (ESBL)-producing Klebsiella spp. in poultry meat. </w:t>
      </w:r>
      <w:proofErr w:type="spellStart"/>
      <w:r w:rsidRPr="00FE2F0B">
        <w:rPr>
          <w:sz w:val="24"/>
          <w:szCs w:val="24"/>
          <w:lang w:val="en-US" w:eastAsia="en-US"/>
        </w:rPr>
        <w:t>Heliyon</w:t>
      </w:r>
      <w:proofErr w:type="spellEnd"/>
      <w:r w:rsidRPr="00FE2F0B">
        <w:rPr>
          <w:sz w:val="24"/>
          <w:szCs w:val="24"/>
          <w:lang w:val="en-US" w:eastAsia="en-US"/>
        </w:rPr>
        <w:t xml:space="preserve">, 11(1), Article e41748. </w:t>
      </w:r>
      <w:hyperlink r:id="rId49" w:history="1">
        <w:r w:rsidRPr="00FE2F0B">
          <w:rPr>
            <w:color w:val="0000FF"/>
            <w:sz w:val="24"/>
            <w:szCs w:val="24"/>
            <w:u w:val="single"/>
            <w:lang w:val="en-US" w:eastAsia="en-US"/>
          </w:rPr>
          <w:t>https://doi.org/10.1016/j.heliyon.2025.e41748</w:t>
        </w:r>
      </w:hyperlink>
    </w:p>
    <w:p w14:paraId="4C3129CC"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Torres, L., Lopez, Y., Gomez-y-Gomez, Y., Bautista, E., &amp; Corzo, L. J. (2018). Production and broad characterization of a Spirulina platensis dry powder grown in bubbled columns. Journal of Advances in Microbiology, 9(3), 1–16. </w:t>
      </w:r>
      <w:hyperlink r:id="rId50" w:history="1">
        <w:r w:rsidRPr="00FE2F0B">
          <w:rPr>
            <w:color w:val="0000FF"/>
            <w:sz w:val="24"/>
            <w:szCs w:val="24"/>
            <w:u w:val="single"/>
            <w:lang w:val="en-US" w:eastAsia="en-US"/>
          </w:rPr>
          <w:t>https://doi.org/10.9734/JAMB/2018/39995</w:t>
        </w:r>
      </w:hyperlink>
    </w:p>
    <w:p w14:paraId="151D41D1"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Turu, D., &amp; </w:t>
      </w:r>
      <w:proofErr w:type="spellStart"/>
      <w:r w:rsidRPr="00FE2F0B">
        <w:rPr>
          <w:sz w:val="24"/>
          <w:szCs w:val="24"/>
          <w:lang w:val="en-US" w:eastAsia="en-US"/>
        </w:rPr>
        <w:t>Canlı</w:t>
      </w:r>
      <w:proofErr w:type="spellEnd"/>
      <w:r w:rsidRPr="00FE2F0B">
        <w:rPr>
          <w:sz w:val="24"/>
          <w:szCs w:val="24"/>
          <w:lang w:val="en-US" w:eastAsia="en-US"/>
        </w:rPr>
        <w:t xml:space="preserve">, K. (2025). Detection of biofilm formation: Evaluation of Congo Red Agar and crystal violet staining method. Gazi University Journal of Science, 38(4), 1663–1684. </w:t>
      </w:r>
      <w:hyperlink r:id="rId51" w:history="1">
        <w:r w:rsidRPr="00FE2F0B">
          <w:rPr>
            <w:color w:val="0000FF"/>
            <w:sz w:val="24"/>
            <w:szCs w:val="24"/>
            <w:u w:val="single"/>
            <w:lang w:val="en-US" w:eastAsia="en-US"/>
          </w:rPr>
          <w:t>https://doi.org/10.35378/gujs.1670270</w:t>
        </w:r>
      </w:hyperlink>
    </w:p>
    <w:p w14:paraId="1E72A613"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Vasanthi, B., Parthiban, M., </w:t>
      </w:r>
      <w:proofErr w:type="spellStart"/>
      <w:r w:rsidRPr="00FE2F0B">
        <w:rPr>
          <w:sz w:val="24"/>
          <w:szCs w:val="24"/>
          <w:lang w:val="en-US" w:eastAsia="en-US"/>
        </w:rPr>
        <w:t>Sarathchandra</w:t>
      </w:r>
      <w:proofErr w:type="spellEnd"/>
      <w:r w:rsidRPr="00FE2F0B">
        <w:rPr>
          <w:sz w:val="24"/>
          <w:szCs w:val="24"/>
          <w:lang w:val="en-US" w:eastAsia="en-US"/>
        </w:rPr>
        <w:t xml:space="preserve">, G., Narendra Babu, R., &amp; Brindha, K. (2023). Molecular characterization and antimicrobial resistance profiling of foodborne pathogens from chicken meat in Tamil Nadu, India. The Indian Veterinary Journal, 100(10), 35–38. </w:t>
      </w:r>
      <w:hyperlink r:id="rId52" w:history="1">
        <w:r w:rsidRPr="00FE2F0B">
          <w:rPr>
            <w:color w:val="0000FF"/>
            <w:sz w:val="24"/>
            <w:szCs w:val="24"/>
            <w:u w:val="single"/>
            <w:lang w:val="en-US" w:eastAsia="en-US"/>
          </w:rPr>
          <w:t>https://epubs.icar.org.in/index.php/IVJ/article/view/143323</w:t>
        </w:r>
      </w:hyperlink>
    </w:p>
    <w:p w14:paraId="2F59F4C1"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Wadekar, M. D., Sathish, J. V., Pooja, C., &amp; Jayashree, S. (2020). ESBL producers in Gram-negative isolates from clinical samples. Journal of Pure and Applied Microbiology, 14(3), 2027–2032. </w:t>
      </w:r>
      <w:hyperlink r:id="rId53" w:history="1">
        <w:r w:rsidRPr="00FE2F0B">
          <w:rPr>
            <w:color w:val="0000FF"/>
            <w:sz w:val="24"/>
            <w:szCs w:val="24"/>
            <w:u w:val="single"/>
            <w:lang w:val="en-US" w:eastAsia="en-US"/>
          </w:rPr>
          <w:t>https://doi.org/10.22207/JPAM.14.3.42</w:t>
        </w:r>
      </w:hyperlink>
    </w:p>
    <w:p w14:paraId="290F5F64" w14:textId="77777777" w:rsidR="00FE2F0B" w:rsidRPr="00FE2F0B" w:rsidRDefault="00FE2F0B" w:rsidP="00FE2F0B">
      <w:pPr>
        <w:spacing w:before="100" w:beforeAutospacing="1" w:after="100" w:afterAutospacing="1"/>
        <w:rPr>
          <w:sz w:val="24"/>
          <w:szCs w:val="24"/>
          <w:lang w:val="en-US" w:eastAsia="en-US"/>
        </w:rPr>
      </w:pPr>
      <w:r w:rsidRPr="00FE2F0B">
        <w:rPr>
          <w:sz w:val="24"/>
          <w:szCs w:val="24"/>
          <w:lang w:val="en-US" w:eastAsia="en-US"/>
        </w:rPr>
        <w:t xml:space="preserve">World Health Organization. (2024). 2023 antibacterial agents in clinical and preclinical development: An overview and analysis. </w:t>
      </w:r>
      <w:hyperlink r:id="rId54" w:history="1">
        <w:r w:rsidRPr="00FE2F0B">
          <w:rPr>
            <w:color w:val="0000FF"/>
            <w:sz w:val="24"/>
            <w:szCs w:val="24"/>
            <w:u w:val="single"/>
            <w:lang w:val="en-US" w:eastAsia="en-US"/>
          </w:rPr>
          <w:t>https://www.who.int/publications/i/item/9789240094000</w:t>
        </w:r>
      </w:hyperlink>
    </w:p>
    <w:p w14:paraId="419B0D30" w14:textId="77777777" w:rsidR="00FE2F0B" w:rsidRPr="00DD060A" w:rsidRDefault="00FE2F0B" w:rsidP="00DD060A">
      <w:pPr>
        <w:pStyle w:val="ListParagraph"/>
        <w:ind w:left="714"/>
        <w:jc w:val="both"/>
        <w:rPr>
          <w:rFonts w:ascii="Arial" w:hAnsi="Arial" w:cs="Arial"/>
          <w:sz w:val="19"/>
          <w:szCs w:val="19"/>
        </w:rPr>
      </w:pPr>
    </w:p>
    <w:sectPr w:rsidR="00FE2F0B" w:rsidRPr="00DD060A">
      <w:headerReference w:type="even" r:id="rId55"/>
      <w:headerReference w:type="default" r:id="rId56"/>
      <w:footerReference w:type="even" r:id="rId57"/>
      <w:footerReference w:type="default" r:id="rId58"/>
      <w:headerReference w:type="first" r:id="rId59"/>
      <w:footerReference w:type="first" r:id="rId60"/>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1812C" w14:textId="77777777" w:rsidR="003C7943" w:rsidRDefault="003C7943" w:rsidP="00065C5A">
      <w:r>
        <w:separator/>
      </w:r>
    </w:p>
  </w:endnote>
  <w:endnote w:type="continuationSeparator" w:id="0">
    <w:p w14:paraId="1AA90BA5" w14:textId="77777777" w:rsidR="003C7943" w:rsidRDefault="003C7943" w:rsidP="0006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04E8" w14:textId="77777777" w:rsidR="00C02B1A" w:rsidRDefault="00C0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962396"/>
      <w:docPartObj>
        <w:docPartGallery w:val="Page Numbers (Bottom of Page)"/>
        <w:docPartUnique/>
      </w:docPartObj>
    </w:sdtPr>
    <w:sdtEndPr>
      <w:rPr>
        <w:noProof/>
      </w:rPr>
    </w:sdtEndPr>
    <w:sdtContent>
      <w:p w14:paraId="44BA54CB" w14:textId="77777777" w:rsidR="00C02B1A" w:rsidRDefault="00C02B1A">
        <w:pPr>
          <w:pStyle w:val="Footer"/>
          <w:jc w:val="center"/>
        </w:pPr>
        <w:r>
          <w:fldChar w:fldCharType="begin"/>
        </w:r>
        <w:r>
          <w:instrText xml:space="preserve"> PAGE   \* MERGEFORMAT </w:instrText>
        </w:r>
        <w:r>
          <w:fldChar w:fldCharType="separate"/>
        </w:r>
        <w:r w:rsidR="00980FDF">
          <w:rPr>
            <w:noProof/>
          </w:rPr>
          <w:t>14</w:t>
        </w:r>
        <w:r>
          <w:rPr>
            <w:noProof/>
          </w:rPr>
          <w:fldChar w:fldCharType="end"/>
        </w:r>
      </w:p>
    </w:sdtContent>
  </w:sdt>
  <w:p w14:paraId="3B53CC0F" w14:textId="77777777" w:rsidR="00C02B1A" w:rsidRDefault="00C02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FF56" w14:textId="77777777" w:rsidR="00C02B1A" w:rsidRDefault="00C0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2BFF" w14:textId="77777777" w:rsidR="003C7943" w:rsidRDefault="003C7943" w:rsidP="00065C5A">
      <w:r>
        <w:separator/>
      </w:r>
    </w:p>
  </w:footnote>
  <w:footnote w:type="continuationSeparator" w:id="0">
    <w:p w14:paraId="3443FEF4" w14:textId="77777777" w:rsidR="003C7943" w:rsidRDefault="003C7943" w:rsidP="00065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3EE5" w14:textId="77777777" w:rsidR="00C02B1A" w:rsidRDefault="00000000">
    <w:pPr>
      <w:pStyle w:val="Header"/>
    </w:pPr>
    <w:r>
      <w:rPr>
        <w:noProof/>
      </w:rPr>
      <w:pict w14:anchorId="73DE1E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2C29" w14:textId="77777777" w:rsidR="00C02B1A" w:rsidRDefault="00000000">
    <w:pPr>
      <w:pStyle w:val="Header"/>
    </w:pPr>
    <w:r>
      <w:rPr>
        <w:noProof/>
      </w:rPr>
      <w:pict w14:anchorId="2939E2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380A" w14:textId="77777777" w:rsidR="00C02B1A" w:rsidRDefault="00000000">
    <w:pPr>
      <w:pStyle w:val="Header"/>
    </w:pPr>
    <w:r>
      <w:rPr>
        <w:noProof/>
      </w:rPr>
      <w:pict w14:anchorId="540670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85126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1F0"/>
    <w:multiLevelType w:val="hybridMultilevel"/>
    <w:tmpl w:val="786C4DFE"/>
    <w:lvl w:ilvl="0" w:tplc="7BEEBBAA">
      <w:start w:val="1"/>
      <w:numFmt w:val="bullet"/>
      <w:lvlText w:val="●"/>
      <w:lvlJc w:val="left"/>
      <w:pPr>
        <w:ind w:left="720" w:hanging="360"/>
      </w:pPr>
    </w:lvl>
    <w:lvl w:ilvl="1" w:tplc="163A2CD4">
      <w:start w:val="1"/>
      <w:numFmt w:val="bullet"/>
      <w:lvlText w:val="○"/>
      <w:lvlJc w:val="left"/>
      <w:pPr>
        <w:ind w:left="1440" w:hanging="360"/>
      </w:pPr>
    </w:lvl>
    <w:lvl w:ilvl="2" w:tplc="154E8F78">
      <w:start w:val="1"/>
      <w:numFmt w:val="bullet"/>
      <w:lvlText w:val="■"/>
      <w:lvlJc w:val="left"/>
      <w:pPr>
        <w:ind w:left="2160" w:hanging="360"/>
      </w:pPr>
    </w:lvl>
    <w:lvl w:ilvl="3" w:tplc="62EEABA0">
      <w:start w:val="1"/>
      <w:numFmt w:val="bullet"/>
      <w:lvlText w:val="●"/>
      <w:lvlJc w:val="left"/>
      <w:pPr>
        <w:ind w:left="2880" w:hanging="360"/>
      </w:pPr>
    </w:lvl>
    <w:lvl w:ilvl="4" w:tplc="CA629B74">
      <w:start w:val="1"/>
      <w:numFmt w:val="bullet"/>
      <w:lvlText w:val="○"/>
      <w:lvlJc w:val="left"/>
      <w:pPr>
        <w:ind w:left="3600" w:hanging="360"/>
      </w:pPr>
    </w:lvl>
    <w:lvl w:ilvl="5" w:tplc="482E907A">
      <w:start w:val="1"/>
      <w:numFmt w:val="bullet"/>
      <w:lvlText w:val="■"/>
      <w:lvlJc w:val="left"/>
      <w:pPr>
        <w:ind w:left="4320" w:hanging="360"/>
      </w:pPr>
    </w:lvl>
    <w:lvl w:ilvl="6" w:tplc="FBBE4F30">
      <w:start w:val="1"/>
      <w:numFmt w:val="bullet"/>
      <w:lvlText w:val="●"/>
      <w:lvlJc w:val="left"/>
      <w:pPr>
        <w:ind w:left="5040" w:hanging="360"/>
      </w:pPr>
    </w:lvl>
    <w:lvl w:ilvl="7" w:tplc="76422D72">
      <w:start w:val="1"/>
      <w:numFmt w:val="bullet"/>
      <w:lvlText w:val="●"/>
      <w:lvlJc w:val="left"/>
      <w:pPr>
        <w:ind w:left="5760" w:hanging="360"/>
      </w:pPr>
    </w:lvl>
    <w:lvl w:ilvl="8" w:tplc="C9207160">
      <w:start w:val="1"/>
      <w:numFmt w:val="bullet"/>
      <w:lvlText w:val="●"/>
      <w:lvlJc w:val="left"/>
      <w:pPr>
        <w:ind w:left="6480" w:hanging="360"/>
      </w:pPr>
    </w:lvl>
  </w:abstractNum>
  <w:abstractNum w:abstractNumId="1" w15:restartNumberingAfterBreak="0">
    <w:nsid w:val="2A5E0753"/>
    <w:multiLevelType w:val="hybridMultilevel"/>
    <w:tmpl w:val="E9B4489E"/>
    <w:lvl w:ilvl="0" w:tplc="31F610D4">
      <w:start w:val="18"/>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3FC7F90"/>
    <w:multiLevelType w:val="hybridMultilevel"/>
    <w:tmpl w:val="0128D2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92A5274"/>
    <w:multiLevelType w:val="hybridMultilevel"/>
    <w:tmpl w:val="7148391A"/>
    <w:lvl w:ilvl="0" w:tplc="28EC4906">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00A73FA"/>
    <w:multiLevelType w:val="multilevel"/>
    <w:tmpl w:val="385A4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FF19D4"/>
    <w:multiLevelType w:val="hybridMultilevel"/>
    <w:tmpl w:val="AAFAA410"/>
    <w:lvl w:ilvl="0" w:tplc="40090001">
      <w:start w:val="18"/>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B790C98"/>
    <w:multiLevelType w:val="hybridMultilevel"/>
    <w:tmpl w:val="8638B4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71601FC"/>
    <w:multiLevelType w:val="hybridMultilevel"/>
    <w:tmpl w:val="8320EB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74334186">
    <w:abstractNumId w:val="0"/>
    <w:lvlOverride w:ilvl="0">
      <w:startOverride w:val="1"/>
    </w:lvlOverride>
  </w:num>
  <w:num w:numId="2" w16cid:durableId="360130529">
    <w:abstractNumId w:val="3"/>
  </w:num>
  <w:num w:numId="3" w16cid:durableId="747072412">
    <w:abstractNumId w:val="6"/>
  </w:num>
  <w:num w:numId="4" w16cid:durableId="1264075932">
    <w:abstractNumId w:val="2"/>
  </w:num>
  <w:num w:numId="5" w16cid:durableId="650015637">
    <w:abstractNumId w:val="5"/>
  </w:num>
  <w:num w:numId="6" w16cid:durableId="1968586598">
    <w:abstractNumId w:val="7"/>
  </w:num>
  <w:num w:numId="7" w16cid:durableId="1081756919">
    <w:abstractNumId w:val="1"/>
  </w:num>
  <w:num w:numId="8" w16cid:durableId="585044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jMyNzEwNjc1MgSyDJR0lIJTi4sz8/NACgxrAWFmyIQsAAAA"/>
  </w:docVars>
  <w:rsids>
    <w:rsidRoot w:val="000135A3"/>
    <w:rsid w:val="000135A3"/>
    <w:rsid w:val="00033113"/>
    <w:rsid w:val="00054649"/>
    <w:rsid w:val="00065C5A"/>
    <w:rsid w:val="000822C5"/>
    <w:rsid w:val="0008444E"/>
    <w:rsid w:val="00087399"/>
    <w:rsid w:val="000924F6"/>
    <w:rsid w:val="00092F11"/>
    <w:rsid w:val="000A7EE8"/>
    <w:rsid w:val="000B43C3"/>
    <w:rsid w:val="000E4E77"/>
    <w:rsid w:val="000F3895"/>
    <w:rsid w:val="00116E09"/>
    <w:rsid w:val="0013134F"/>
    <w:rsid w:val="00131C0B"/>
    <w:rsid w:val="00142D29"/>
    <w:rsid w:val="0015197F"/>
    <w:rsid w:val="00162E40"/>
    <w:rsid w:val="00191FEA"/>
    <w:rsid w:val="001A455B"/>
    <w:rsid w:val="001A47FE"/>
    <w:rsid w:val="001C0FA2"/>
    <w:rsid w:val="001D5FF4"/>
    <w:rsid w:val="00252A98"/>
    <w:rsid w:val="00257E27"/>
    <w:rsid w:val="002650EC"/>
    <w:rsid w:val="00287C90"/>
    <w:rsid w:val="00292A60"/>
    <w:rsid w:val="002E2A1D"/>
    <w:rsid w:val="00302D9B"/>
    <w:rsid w:val="003208D8"/>
    <w:rsid w:val="003701D4"/>
    <w:rsid w:val="003C7943"/>
    <w:rsid w:val="003D5219"/>
    <w:rsid w:val="003E5480"/>
    <w:rsid w:val="003F4311"/>
    <w:rsid w:val="00404435"/>
    <w:rsid w:val="00426844"/>
    <w:rsid w:val="004754E3"/>
    <w:rsid w:val="00476276"/>
    <w:rsid w:val="004C267A"/>
    <w:rsid w:val="004C4A74"/>
    <w:rsid w:val="004D4F52"/>
    <w:rsid w:val="004F0256"/>
    <w:rsid w:val="004F2535"/>
    <w:rsid w:val="0055017F"/>
    <w:rsid w:val="0057117C"/>
    <w:rsid w:val="0057253A"/>
    <w:rsid w:val="00591EBA"/>
    <w:rsid w:val="005B4C4D"/>
    <w:rsid w:val="005C64BE"/>
    <w:rsid w:val="005F0088"/>
    <w:rsid w:val="005F2DE5"/>
    <w:rsid w:val="005F398E"/>
    <w:rsid w:val="0062421C"/>
    <w:rsid w:val="0063486B"/>
    <w:rsid w:val="00645A62"/>
    <w:rsid w:val="00686D90"/>
    <w:rsid w:val="006A24A2"/>
    <w:rsid w:val="006A4AB8"/>
    <w:rsid w:val="006D4391"/>
    <w:rsid w:val="006F544F"/>
    <w:rsid w:val="00751D67"/>
    <w:rsid w:val="00762E26"/>
    <w:rsid w:val="00763333"/>
    <w:rsid w:val="00764DCF"/>
    <w:rsid w:val="007B70D2"/>
    <w:rsid w:val="007E4E5A"/>
    <w:rsid w:val="00830918"/>
    <w:rsid w:val="008455DB"/>
    <w:rsid w:val="008812A7"/>
    <w:rsid w:val="00885550"/>
    <w:rsid w:val="008915BA"/>
    <w:rsid w:val="008919F6"/>
    <w:rsid w:val="0089303A"/>
    <w:rsid w:val="008A280A"/>
    <w:rsid w:val="008C0D6B"/>
    <w:rsid w:val="008F2664"/>
    <w:rsid w:val="00912E6A"/>
    <w:rsid w:val="00914B04"/>
    <w:rsid w:val="00980FDF"/>
    <w:rsid w:val="00981514"/>
    <w:rsid w:val="009A42E3"/>
    <w:rsid w:val="009C4215"/>
    <w:rsid w:val="009C4B48"/>
    <w:rsid w:val="009C7616"/>
    <w:rsid w:val="009D4B59"/>
    <w:rsid w:val="009E0D4C"/>
    <w:rsid w:val="009F2271"/>
    <w:rsid w:val="00A256E6"/>
    <w:rsid w:val="00A36E96"/>
    <w:rsid w:val="00A373D9"/>
    <w:rsid w:val="00A379D0"/>
    <w:rsid w:val="00A51C6F"/>
    <w:rsid w:val="00A669F9"/>
    <w:rsid w:val="00A7348D"/>
    <w:rsid w:val="00AB6AF2"/>
    <w:rsid w:val="00AC176A"/>
    <w:rsid w:val="00B24428"/>
    <w:rsid w:val="00B37F1F"/>
    <w:rsid w:val="00B64F80"/>
    <w:rsid w:val="00B8724A"/>
    <w:rsid w:val="00B90324"/>
    <w:rsid w:val="00B97AAC"/>
    <w:rsid w:val="00BC014A"/>
    <w:rsid w:val="00BC67C6"/>
    <w:rsid w:val="00BD5615"/>
    <w:rsid w:val="00BE67DB"/>
    <w:rsid w:val="00BF3004"/>
    <w:rsid w:val="00C02B1A"/>
    <w:rsid w:val="00C3554B"/>
    <w:rsid w:val="00C37EDB"/>
    <w:rsid w:val="00C5686E"/>
    <w:rsid w:val="00C63F7E"/>
    <w:rsid w:val="00C76A6B"/>
    <w:rsid w:val="00C80226"/>
    <w:rsid w:val="00C82A64"/>
    <w:rsid w:val="00CB6029"/>
    <w:rsid w:val="00CD1108"/>
    <w:rsid w:val="00CF148B"/>
    <w:rsid w:val="00D17796"/>
    <w:rsid w:val="00D3712C"/>
    <w:rsid w:val="00D52098"/>
    <w:rsid w:val="00D53D05"/>
    <w:rsid w:val="00D7096D"/>
    <w:rsid w:val="00D849FC"/>
    <w:rsid w:val="00D966A1"/>
    <w:rsid w:val="00DA1D77"/>
    <w:rsid w:val="00DD060A"/>
    <w:rsid w:val="00DD265A"/>
    <w:rsid w:val="00DE4ADF"/>
    <w:rsid w:val="00E02D8C"/>
    <w:rsid w:val="00E03E38"/>
    <w:rsid w:val="00E27933"/>
    <w:rsid w:val="00E342AA"/>
    <w:rsid w:val="00E801EE"/>
    <w:rsid w:val="00E83B55"/>
    <w:rsid w:val="00EA0BFC"/>
    <w:rsid w:val="00ED642E"/>
    <w:rsid w:val="00F059D6"/>
    <w:rsid w:val="00F145D0"/>
    <w:rsid w:val="00F42009"/>
    <w:rsid w:val="00F71CE3"/>
    <w:rsid w:val="00F769A1"/>
    <w:rsid w:val="00FB206B"/>
    <w:rsid w:val="00FB2FDD"/>
    <w:rsid w:val="00FB5F27"/>
    <w:rsid w:val="00FC7B4C"/>
    <w:rsid w:val="00FC7BC5"/>
    <w:rsid w:val="00FE2F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E6660"/>
  <w15:docId w15:val="{8D78BACE-F498-40E4-BE7C-55552FC4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Emphasis">
    <w:name w:val="Emphasis"/>
    <w:basedOn w:val="DefaultParagraphFont"/>
    <w:uiPriority w:val="20"/>
    <w:qFormat/>
    <w:rsid w:val="00426844"/>
    <w:rPr>
      <w:i/>
      <w:iCs/>
    </w:rPr>
  </w:style>
  <w:style w:type="paragraph" w:styleId="PlainText">
    <w:name w:val="Plain Text"/>
    <w:basedOn w:val="Normal"/>
    <w:link w:val="PlainTextChar"/>
    <w:uiPriority w:val="99"/>
    <w:unhideWhenUsed/>
    <w:rsid w:val="001A455B"/>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A455B"/>
    <w:rPr>
      <w:rFonts w:ascii="Consolas" w:eastAsiaTheme="minorHAnsi" w:hAnsi="Consolas" w:cstheme="minorBidi"/>
      <w:sz w:val="21"/>
      <w:szCs w:val="21"/>
      <w:lang w:eastAsia="en-US"/>
    </w:rPr>
  </w:style>
  <w:style w:type="character" w:styleId="Strong">
    <w:name w:val="Strong"/>
    <w:basedOn w:val="DefaultParagraphFont"/>
    <w:uiPriority w:val="22"/>
    <w:qFormat/>
    <w:rsid w:val="001A455B"/>
    <w:rPr>
      <w:b/>
      <w:bCs/>
    </w:rPr>
  </w:style>
  <w:style w:type="paragraph" w:styleId="NormalWeb">
    <w:name w:val="Normal (Web)"/>
    <w:basedOn w:val="Normal"/>
    <w:uiPriority w:val="99"/>
    <w:unhideWhenUsed/>
    <w:rsid w:val="00BC014A"/>
    <w:pPr>
      <w:spacing w:before="100" w:beforeAutospacing="1" w:after="100" w:afterAutospacing="1"/>
    </w:pPr>
    <w:rPr>
      <w:sz w:val="24"/>
      <w:szCs w:val="24"/>
    </w:rPr>
  </w:style>
  <w:style w:type="paragraph" w:customStyle="1" w:styleId="isselectedend">
    <w:name w:val="isselectedend"/>
    <w:basedOn w:val="Normal"/>
    <w:rsid w:val="00087399"/>
    <w:pPr>
      <w:spacing w:before="100" w:beforeAutospacing="1" w:after="100" w:afterAutospacing="1"/>
    </w:pPr>
    <w:rPr>
      <w:sz w:val="24"/>
      <w:szCs w:val="24"/>
    </w:rPr>
  </w:style>
  <w:style w:type="character" w:customStyle="1" w:styleId="text-token-text-primary">
    <w:name w:val="text-token-text-primary"/>
    <w:basedOn w:val="DefaultParagraphFont"/>
    <w:rsid w:val="00087399"/>
  </w:style>
  <w:style w:type="table" w:styleId="TableGrid">
    <w:name w:val="Table Grid"/>
    <w:basedOn w:val="TableNormal"/>
    <w:uiPriority w:val="59"/>
    <w:rsid w:val="00C37ED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762E26"/>
    <w:pPr>
      <w:spacing w:before="100" w:beforeAutospacing="1" w:after="100" w:afterAutospacing="1"/>
    </w:pPr>
    <w:rPr>
      <w:sz w:val="24"/>
      <w:szCs w:val="24"/>
    </w:rPr>
  </w:style>
  <w:style w:type="paragraph" w:customStyle="1" w:styleId="Default">
    <w:name w:val="Default"/>
    <w:rsid w:val="00292A60"/>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6F544F"/>
    <w:rPr>
      <w:rFonts w:ascii="Tahoma" w:hAnsi="Tahoma" w:cs="Tahoma"/>
      <w:sz w:val="16"/>
      <w:szCs w:val="16"/>
    </w:rPr>
  </w:style>
  <w:style w:type="character" w:customStyle="1" w:styleId="BalloonTextChar">
    <w:name w:val="Balloon Text Char"/>
    <w:basedOn w:val="DefaultParagraphFont"/>
    <w:link w:val="BalloonText"/>
    <w:uiPriority w:val="99"/>
    <w:semiHidden/>
    <w:rsid w:val="006F544F"/>
    <w:rPr>
      <w:rFonts w:ascii="Tahoma" w:hAnsi="Tahoma" w:cs="Tahoma"/>
      <w:sz w:val="16"/>
      <w:szCs w:val="16"/>
    </w:rPr>
  </w:style>
  <w:style w:type="paragraph" w:styleId="Header">
    <w:name w:val="header"/>
    <w:basedOn w:val="Normal"/>
    <w:link w:val="HeaderChar"/>
    <w:uiPriority w:val="99"/>
    <w:unhideWhenUsed/>
    <w:rsid w:val="00065C5A"/>
    <w:pPr>
      <w:tabs>
        <w:tab w:val="center" w:pos="4513"/>
        <w:tab w:val="right" w:pos="9026"/>
      </w:tabs>
    </w:pPr>
  </w:style>
  <w:style w:type="character" w:customStyle="1" w:styleId="HeaderChar">
    <w:name w:val="Header Char"/>
    <w:basedOn w:val="DefaultParagraphFont"/>
    <w:link w:val="Header"/>
    <w:uiPriority w:val="99"/>
    <w:rsid w:val="00065C5A"/>
  </w:style>
  <w:style w:type="paragraph" w:styleId="Footer">
    <w:name w:val="footer"/>
    <w:basedOn w:val="Normal"/>
    <w:link w:val="FooterChar"/>
    <w:uiPriority w:val="99"/>
    <w:unhideWhenUsed/>
    <w:rsid w:val="00065C5A"/>
    <w:pPr>
      <w:tabs>
        <w:tab w:val="center" w:pos="4513"/>
        <w:tab w:val="right" w:pos="9026"/>
      </w:tabs>
    </w:pPr>
  </w:style>
  <w:style w:type="character" w:customStyle="1" w:styleId="FooterChar">
    <w:name w:val="Footer Char"/>
    <w:basedOn w:val="DefaultParagraphFont"/>
    <w:link w:val="Footer"/>
    <w:uiPriority w:val="99"/>
    <w:rsid w:val="00065C5A"/>
  </w:style>
  <w:style w:type="character" w:customStyle="1" w:styleId="UnresolvedMention1">
    <w:name w:val="Unresolved Mention1"/>
    <w:basedOn w:val="DefaultParagraphFont"/>
    <w:uiPriority w:val="99"/>
    <w:semiHidden/>
    <w:unhideWhenUsed/>
    <w:rsid w:val="00B8724A"/>
    <w:rPr>
      <w:color w:val="605E5C"/>
      <w:shd w:val="clear" w:color="auto" w:fill="E1DFDD"/>
    </w:rPr>
  </w:style>
  <w:style w:type="character" w:styleId="CommentReference">
    <w:name w:val="annotation reference"/>
    <w:basedOn w:val="DefaultParagraphFont"/>
    <w:uiPriority w:val="99"/>
    <w:semiHidden/>
    <w:unhideWhenUsed/>
    <w:rsid w:val="00830918"/>
    <w:rPr>
      <w:sz w:val="16"/>
      <w:szCs w:val="16"/>
    </w:rPr>
  </w:style>
  <w:style w:type="paragraph" w:styleId="CommentText">
    <w:name w:val="annotation text"/>
    <w:basedOn w:val="Normal"/>
    <w:link w:val="CommentTextChar"/>
    <w:uiPriority w:val="99"/>
    <w:semiHidden/>
    <w:unhideWhenUsed/>
    <w:rsid w:val="00830918"/>
  </w:style>
  <w:style w:type="character" w:customStyle="1" w:styleId="CommentTextChar">
    <w:name w:val="Comment Text Char"/>
    <w:basedOn w:val="DefaultParagraphFont"/>
    <w:link w:val="CommentText"/>
    <w:uiPriority w:val="99"/>
    <w:semiHidden/>
    <w:rsid w:val="00830918"/>
  </w:style>
  <w:style w:type="paragraph" w:styleId="CommentSubject">
    <w:name w:val="annotation subject"/>
    <w:basedOn w:val="CommentText"/>
    <w:next w:val="CommentText"/>
    <w:link w:val="CommentSubjectChar"/>
    <w:uiPriority w:val="99"/>
    <w:semiHidden/>
    <w:unhideWhenUsed/>
    <w:rsid w:val="00830918"/>
    <w:rPr>
      <w:b/>
      <w:bCs/>
    </w:rPr>
  </w:style>
  <w:style w:type="character" w:customStyle="1" w:styleId="CommentSubjectChar">
    <w:name w:val="Comment Subject Char"/>
    <w:basedOn w:val="CommentTextChar"/>
    <w:link w:val="CommentSubject"/>
    <w:uiPriority w:val="99"/>
    <w:semiHidden/>
    <w:rsid w:val="00830918"/>
    <w:rPr>
      <w:b/>
      <w:bCs/>
    </w:rPr>
  </w:style>
  <w:style w:type="character" w:customStyle="1" w:styleId="w6asjqtextbase">
    <w:name w:val="w6asjq_textbase"/>
    <w:basedOn w:val="DefaultParagraphFont"/>
    <w:rsid w:val="005F3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96599">
      <w:bodyDiv w:val="1"/>
      <w:marLeft w:val="0"/>
      <w:marRight w:val="0"/>
      <w:marTop w:val="0"/>
      <w:marBottom w:val="0"/>
      <w:divBdr>
        <w:top w:val="none" w:sz="0" w:space="0" w:color="auto"/>
        <w:left w:val="none" w:sz="0" w:space="0" w:color="auto"/>
        <w:bottom w:val="none" w:sz="0" w:space="0" w:color="auto"/>
        <w:right w:val="none" w:sz="0" w:space="0" w:color="auto"/>
      </w:divBdr>
    </w:div>
    <w:div w:id="314722053">
      <w:bodyDiv w:val="1"/>
      <w:marLeft w:val="0"/>
      <w:marRight w:val="0"/>
      <w:marTop w:val="0"/>
      <w:marBottom w:val="0"/>
      <w:divBdr>
        <w:top w:val="none" w:sz="0" w:space="0" w:color="auto"/>
        <w:left w:val="none" w:sz="0" w:space="0" w:color="auto"/>
        <w:bottom w:val="none" w:sz="0" w:space="0" w:color="auto"/>
        <w:right w:val="none" w:sz="0" w:space="0" w:color="auto"/>
      </w:divBdr>
      <w:divsChild>
        <w:div w:id="249776337">
          <w:marLeft w:val="0"/>
          <w:marRight w:val="0"/>
          <w:marTop w:val="0"/>
          <w:marBottom w:val="0"/>
          <w:divBdr>
            <w:top w:val="none" w:sz="0" w:space="0" w:color="auto"/>
            <w:left w:val="none" w:sz="0" w:space="0" w:color="auto"/>
            <w:bottom w:val="none" w:sz="0" w:space="0" w:color="auto"/>
            <w:right w:val="none" w:sz="0" w:space="0" w:color="auto"/>
          </w:divBdr>
          <w:divsChild>
            <w:div w:id="1167205841">
              <w:marLeft w:val="0"/>
              <w:marRight w:val="0"/>
              <w:marTop w:val="0"/>
              <w:marBottom w:val="0"/>
              <w:divBdr>
                <w:top w:val="none" w:sz="0" w:space="0" w:color="auto"/>
                <w:left w:val="none" w:sz="0" w:space="0" w:color="auto"/>
                <w:bottom w:val="none" w:sz="0" w:space="0" w:color="auto"/>
                <w:right w:val="none" w:sz="0" w:space="0" w:color="auto"/>
              </w:divBdr>
              <w:divsChild>
                <w:div w:id="1382367855">
                  <w:marLeft w:val="0"/>
                  <w:marRight w:val="0"/>
                  <w:marTop w:val="0"/>
                  <w:marBottom w:val="0"/>
                  <w:divBdr>
                    <w:top w:val="none" w:sz="0" w:space="0" w:color="auto"/>
                    <w:left w:val="none" w:sz="0" w:space="0" w:color="auto"/>
                    <w:bottom w:val="none" w:sz="0" w:space="0" w:color="auto"/>
                    <w:right w:val="none" w:sz="0" w:space="0" w:color="auto"/>
                  </w:divBdr>
                </w:div>
              </w:divsChild>
            </w:div>
            <w:div w:id="1572351286">
              <w:marLeft w:val="0"/>
              <w:marRight w:val="0"/>
              <w:marTop w:val="0"/>
              <w:marBottom w:val="0"/>
              <w:divBdr>
                <w:top w:val="none" w:sz="0" w:space="0" w:color="auto"/>
                <w:left w:val="none" w:sz="0" w:space="0" w:color="auto"/>
                <w:bottom w:val="none" w:sz="0" w:space="0" w:color="auto"/>
                <w:right w:val="none" w:sz="0" w:space="0" w:color="auto"/>
              </w:divBdr>
              <w:divsChild>
                <w:div w:id="132462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50368">
          <w:marLeft w:val="0"/>
          <w:marRight w:val="0"/>
          <w:marTop w:val="0"/>
          <w:marBottom w:val="0"/>
          <w:divBdr>
            <w:top w:val="none" w:sz="0" w:space="0" w:color="auto"/>
            <w:left w:val="none" w:sz="0" w:space="0" w:color="auto"/>
            <w:bottom w:val="none" w:sz="0" w:space="0" w:color="auto"/>
            <w:right w:val="none" w:sz="0" w:space="0" w:color="auto"/>
          </w:divBdr>
          <w:divsChild>
            <w:div w:id="1573586563">
              <w:marLeft w:val="0"/>
              <w:marRight w:val="0"/>
              <w:marTop w:val="0"/>
              <w:marBottom w:val="0"/>
              <w:divBdr>
                <w:top w:val="none" w:sz="0" w:space="0" w:color="auto"/>
                <w:left w:val="none" w:sz="0" w:space="0" w:color="auto"/>
                <w:bottom w:val="none" w:sz="0" w:space="0" w:color="auto"/>
                <w:right w:val="none" w:sz="0" w:space="0" w:color="auto"/>
              </w:divBdr>
              <w:divsChild>
                <w:div w:id="448015195">
                  <w:marLeft w:val="0"/>
                  <w:marRight w:val="0"/>
                  <w:marTop w:val="0"/>
                  <w:marBottom w:val="0"/>
                  <w:divBdr>
                    <w:top w:val="none" w:sz="0" w:space="0" w:color="auto"/>
                    <w:left w:val="none" w:sz="0" w:space="0" w:color="auto"/>
                    <w:bottom w:val="none" w:sz="0" w:space="0" w:color="auto"/>
                    <w:right w:val="none" w:sz="0" w:space="0" w:color="auto"/>
                  </w:divBdr>
                </w:div>
              </w:divsChild>
            </w:div>
            <w:div w:id="1309048657">
              <w:marLeft w:val="0"/>
              <w:marRight w:val="0"/>
              <w:marTop w:val="0"/>
              <w:marBottom w:val="0"/>
              <w:divBdr>
                <w:top w:val="none" w:sz="0" w:space="0" w:color="auto"/>
                <w:left w:val="none" w:sz="0" w:space="0" w:color="auto"/>
                <w:bottom w:val="none" w:sz="0" w:space="0" w:color="auto"/>
                <w:right w:val="none" w:sz="0" w:space="0" w:color="auto"/>
              </w:divBdr>
              <w:divsChild>
                <w:div w:id="129166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148071">
      <w:bodyDiv w:val="1"/>
      <w:marLeft w:val="0"/>
      <w:marRight w:val="0"/>
      <w:marTop w:val="0"/>
      <w:marBottom w:val="0"/>
      <w:divBdr>
        <w:top w:val="none" w:sz="0" w:space="0" w:color="auto"/>
        <w:left w:val="none" w:sz="0" w:space="0" w:color="auto"/>
        <w:bottom w:val="none" w:sz="0" w:space="0" w:color="auto"/>
        <w:right w:val="none" w:sz="0" w:space="0" w:color="auto"/>
      </w:divBdr>
    </w:div>
    <w:div w:id="523446720">
      <w:bodyDiv w:val="1"/>
      <w:marLeft w:val="0"/>
      <w:marRight w:val="0"/>
      <w:marTop w:val="0"/>
      <w:marBottom w:val="0"/>
      <w:divBdr>
        <w:top w:val="none" w:sz="0" w:space="0" w:color="auto"/>
        <w:left w:val="none" w:sz="0" w:space="0" w:color="auto"/>
        <w:bottom w:val="none" w:sz="0" w:space="0" w:color="auto"/>
        <w:right w:val="none" w:sz="0" w:space="0" w:color="auto"/>
      </w:divBdr>
    </w:div>
    <w:div w:id="598371853">
      <w:bodyDiv w:val="1"/>
      <w:marLeft w:val="0"/>
      <w:marRight w:val="0"/>
      <w:marTop w:val="0"/>
      <w:marBottom w:val="0"/>
      <w:divBdr>
        <w:top w:val="none" w:sz="0" w:space="0" w:color="auto"/>
        <w:left w:val="none" w:sz="0" w:space="0" w:color="auto"/>
        <w:bottom w:val="none" w:sz="0" w:space="0" w:color="auto"/>
        <w:right w:val="none" w:sz="0" w:space="0" w:color="auto"/>
      </w:divBdr>
    </w:div>
    <w:div w:id="632563100">
      <w:bodyDiv w:val="1"/>
      <w:marLeft w:val="0"/>
      <w:marRight w:val="0"/>
      <w:marTop w:val="0"/>
      <w:marBottom w:val="0"/>
      <w:divBdr>
        <w:top w:val="none" w:sz="0" w:space="0" w:color="auto"/>
        <w:left w:val="none" w:sz="0" w:space="0" w:color="auto"/>
        <w:bottom w:val="none" w:sz="0" w:space="0" w:color="auto"/>
        <w:right w:val="none" w:sz="0" w:space="0" w:color="auto"/>
      </w:divBdr>
    </w:div>
    <w:div w:id="833106497">
      <w:bodyDiv w:val="1"/>
      <w:marLeft w:val="0"/>
      <w:marRight w:val="0"/>
      <w:marTop w:val="0"/>
      <w:marBottom w:val="0"/>
      <w:divBdr>
        <w:top w:val="none" w:sz="0" w:space="0" w:color="auto"/>
        <w:left w:val="none" w:sz="0" w:space="0" w:color="auto"/>
        <w:bottom w:val="none" w:sz="0" w:space="0" w:color="auto"/>
        <w:right w:val="none" w:sz="0" w:space="0" w:color="auto"/>
      </w:divBdr>
    </w:div>
    <w:div w:id="870340881">
      <w:bodyDiv w:val="1"/>
      <w:marLeft w:val="0"/>
      <w:marRight w:val="0"/>
      <w:marTop w:val="0"/>
      <w:marBottom w:val="0"/>
      <w:divBdr>
        <w:top w:val="none" w:sz="0" w:space="0" w:color="auto"/>
        <w:left w:val="none" w:sz="0" w:space="0" w:color="auto"/>
        <w:bottom w:val="none" w:sz="0" w:space="0" w:color="auto"/>
        <w:right w:val="none" w:sz="0" w:space="0" w:color="auto"/>
      </w:divBdr>
    </w:div>
    <w:div w:id="904343081">
      <w:bodyDiv w:val="1"/>
      <w:marLeft w:val="0"/>
      <w:marRight w:val="0"/>
      <w:marTop w:val="0"/>
      <w:marBottom w:val="0"/>
      <w:divBdr>
        <w:top w:val="none" w:sz="0" w:space="0" w:color="auto"/>
        <w:left w:val="none" w:sz="0" w:space="0" w:color="auto"/>
        <w:bottom w:val="none" w:sz="0" w:space="0" w:color="auto"/>
        <w:right w:val="none" w:sz="0" w:space="0" w:color="auto"/>
      </w:divBdr>
      <w:divsChild>
        <w:div w:id="2365847">
          <w:marLeft w:val="0"/>
          <w:marRight w:val="0"/>
          <w:marTop w:val="0"/>
          <w:marBottom w:val="0"/>
          <w:divBdr>
            <w:top w:val="none" w:sz="0" w:space="0" w:color="auto"/>
            <w:left w:val="none" w:sz="0" w:space="0" w:color="auto"/>
            <w:bottom w:val="none" w:sz="0" w:space="0" w:color="auto"/>
            <w:right w:val="none" w:sz="0" w:space="0" w:color="auto"/>
          </w:divBdr>
          <w:divsChild>
            <w:div w:id="52626222">
              <w:marLeft w:val="0"/>
              <w:marRight w:val="0"/>
              <w:marTop w:val="0"/>
              <w:marBottom w:val="0"/>
              <w:divBdr>
                <w:top w:val="none" w:sz="0" w:space="0" w:color="auto"/>
                <w:left w:val="none" w:sz="0" w:space="0" w:color="auto"/>
                <w:bottom w:val="none" w:sz="0" w:space="0" w:color="auto"/>
                <w:right w:val="none" w:sz="0" w:space="0" w:color="auto"/>
              </w:divBdr>
              <w:divsChild>
                <w:div w:id="2115785333">
                  <w:marLeft w:val="0"/>
                  <w:marRight w:val="0"/>
                  <w:marTop w:val="0"/>
                  <w:marBottom w:val="0"/>
                  <w:divBdr>
                    <w:top w:val="none" w:sz="0" w:space="0" w:color="auto"/>
                    <w:left w:val="none" w:sz="0" w:space="0" w:color="auto"/>
                    <w:bottom w:val="none" w:sz="0" w:space="0" w:color="auto"/>
                    <w:right w:val="none" w:sz="0" w:space="0" w:color="auto"/>
                  </w:divBdr>
                  <w:divsChild>
                    <w:div w:id="45922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459102">
      <w:bodyDiv w:val="1"/>
      <w:marLeft w:val="0"/>
      <w:marRight w:val="0"/>
      <w:marTop w:val="0"/>
      <w:marBottom w:val="0"/>
      <w:divBdr>
        <w:top w:val="none" w:sz="0" w:space="0" w:color="auto"/>
        <w:left w:val="none" w:sz="0" w:space="0" w:color="auto"/>
        <w:bottom w:val="none" w:sz="0" w:space="0" w:color="auto"/>
        <w:right w:val="none" w:sz="0" w:space="0" w:color="auto"/>
      </w:divBdr>
    </w:div>
    <w:div w:id="1671373579">
      <w:bodyDiv w:val="1"/>
      <w:marLeft w:val="0"/>
      <w:marRight w:val="0"/>
      <w:marTop w:val="0"/>
      <w:marBottom w:val="0"/>
      <w:divBdr>
        <w:top w:val="none" w:sz="0" w:space="0" w:color="auto"/>
        <w:left w:val="none" w:sz="0" w:space="0" w:color="auto"/>
        <w:bottom w:val="none" w:sz="0" w:space="0" w:color="auto"/>
        <w:right w:val="none" w:sz="0" w:space="0" w:color="auto"/>
      </w:divBdr>
      <w:divsChild>
        <w:div w:id="2069764117">
          <w:marLeft w:val="0"/>
          <w:marRight w:val="0"/>
          <w:marTop w:val="0"/>
          <w:marBottom w:val="0"/>
          <w:divBdr>
            <w:top w:val="none" w:sz="0" w:space="0" w:color="auto"/>
            <w:left w:val="none" w:sz="0" w:space="0" w:color="auto"/>
            <w:bottom w:val="none" w:sz="0" w:space="0" w:color="auto"/>
            <w:right w:val="none" w:sz="0" w:space="0" w:color="auto"/>
          </w:divBdr>
          <w:divsChild>
            <w:div w:id="1773546973">
              <w:marLeft w:val="0"/>
              <w:marRight w:val="0"/>
              <w:marTop w:val="0"/>
              <w:marBottom w:val="0"/>
              <w:divBdr>
                <w:top w:val="none" w:sz="0" w:space="0" w:color="auto"/>
                <w:left w:val="none" w:sz="0" w:space="0" w:color="auto"/>
                <w:bottom w:val="none" w:sz="0" w:space="0" w:color="auto"/>
                <w:right w:val="none" w:sz="0" w:space="0" w:color="auto"/>
              </w:divBdr>
              <w:divsChild>
                <w:div w:id="1780566017">
                  <w:marLeft w:val="0"/>
                  <w:marRight w:val="0"/>
                  <w:marTop w:val="0"/>
                  <w:marBottom w:val="0"/>
                  <w:divBdr>
                    <w:top w:val="none" w:sz="0" w:space="0" w:color="auto"/>
                    <w:left w:val="none" w:sz="0" w:space="0" w:color="auto"/>
                    <w:bottom w:val="none" w:sz="0" w:space="0" w:color="auto"/>
                    <w:right w:val="none" w:sz="0" w:space="0" w:color="auto"/>
                  </w:divBdr>
                  <w:divsChild>
                    <w:div w:id="74175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7697">
      <w:bodyDiv w:val="1"/>
      <w:marLeft w:val="0"/>
      <w:marRight w:val="0"/>
      <w:marTop w:val="0"/>
      <w:marBottom w:val="0"/>
      <w:divBdr>
        <w:top w:val="none" w:sz="0" w:space="0" w:color="auto"/>
        <w:left w:val="none" w:sz="0" w:space="0" w:color="auto"/>
        <w:bottom w:val="none" w:sz="0" w:space="0" w:color="auto"/>
        <w:right w:val="none" w:sz="0" w:space="0" w:color="auto"/>
      </w:divBdr>
    </w:div>
    <w:div w:id="2068189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43066-020-0018-3" TargetMode="External"/><Relationship Id="rId18" Type="http://schemas.openxmlformats.org/officeDocument/2006/relationships/hyperlink" Target="https://doi.org/10.17675/2305-6894-2020-9-1-15" TargetMode="External"/><Relationship Id="rId26" Type="http://schemas.openxmlformats.org/officeDocument/2006/relationships/hyperlink" Target="https://www.researchgate.net/publication/332550789_Anticancer_activity_of_spirulina_platensis_methanolic_extracts_against_l20b_and_mcf7_human_cancer_cell_lines" TargetMode="External"/><Relationship Id="rId39" Type="http://schemas.openxmlformats.org/officeDocument/2006/relationships/hyperlink" Target="https://doi.org/10.1016/j.psj.2024.104373" TargetMode="External"/><Relationship Id="rId21" Type="http://schemas.openxmlformats.org/officeDocument/2006/relationships/hyperlink" Target="https://doi.org/10.3390/microorganisms13081805" TargetMode="External"/><Relationship Id="rId34" Type="http://schemas.openxmlformats.org/officeDocument/2006/relationships/hyperlink" Target="https://doi.org/10.1016/j.nexus.2022.100070" TargetMode="External"/><Relationship Id="rId42" Type="http://schemas.openxmlformats.org/officeDocument/2006/relationships/hyperlink" Target="https://doi.org/10.1016/j.ymeth.2007.01.006" TargetMode="External"/><Relationship Id="rId47" Type="http://schemas.openxmlformats.org/officeDocument/2006/relationships/hyperlink" Target="https://doi.org/10.3322/caac.21660" TargetMode="External"/><Relationship Id="rId50" Type="http://schemas.openxmlformats.org/officeDocument/2006/relationships/hyperlink" Target="https://doi.org/10.9734/JAMB/2018/39995"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1018/jans.v16i1.5280" TargetMode="External"/><Relationship Id="rId29" Type="http://schemas.openxmlformats.org/officeDocument/2006/relationships/hyperlink" Target="https://doi.org/10.1016/j.bcdf.2024.100401" TargetMode="External"/><Relationship Id="rId11" Type="http://schemas.openxmlformats.org/officeDocument/2006/relationships/chart" Target="charts/chart4.xml"/><Relationship Id="rId24" Type="http://schemas.openxmlformats.org/officeDocument/2006/relationships/hyperlink" Target="https://doi.org/10.5497/wjp.v4.i1.96" TargetMode="External"/><Relationship Id="rId32" Type="http://schemas.openxmlformats.org/officeDocument/2006/relationships/hyperlink" Target="https://doi.org/10.1007/s00217-025-04684-3" TargetMode="External"/><Relationship Id="rId37" Type="http://schemas.openxmlformats.org/officeDocument/2006/relationships/hyperlink" Target="https://doi.org/10.1016/0022-1759(83)90303-4" TargetMode="External"/><Relationship Id="rId40" Type="http://schemas.openxmlformats.org/officeDocument/2006/relationships/hyperlink" Target="https://www.gov.uk/government/news/uk-leads-the-global-antibiotics-revolution" TargetMode="External"/><Relationship Id="rId45" Type="http://schemas.openxmlformats.org/officeDocument/2006/relationships/hyperlink" Target="https://doi.org/10.3390/foods13223656" TargetMode="External"/><Relationship Id="rId53" Type="http://schemas.openxmlformats.org/officeDocument/2006/relationships/hyperlink" Target="https://doi.org/10.22207/JPAM.14.3.42"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doi.org/10.3390/pathogens13040320" TargetMode="External"/><Relationship Id="rId14" Type="http://schemas.openxmlformats.org/officeDocument/2006/relationships/hyperlink" Target="https://doi.org/10.1016/j.foodres.2025.116274" TargetMode="External"/><Relationship Id="rId22" Type="http://schemas.openxmlformats.org/officeDocument/2006/relationships/hyperlink" Target="https://doi.org/10.3390/life15111761" TargetMode="External"/><Relationship Id="rId27" Type="http://schemas.openxmlformats.org/officeDocument/2006/relationships/hyperlink" Target="https://doi.org/10.9734/jpri/2020/v32i230407" TargetMode="External"/><Relationship Id="rId30" Type="http://schemas.openxmlformats.org/officeDocument/2006/relationships/hyperlink" Target="https://doi.org/10.3390/ijms25105548" TargetMode="External"/><Relationship Id="rId35" Type="http://schemas.openxmlformats.org/officeDocument/2006/relationships/hyperlink" Target="https://doi.org/10.1056/NEJMoa0708857" TargetMode="External"/><Relationship Id="rId43" Type="http://schemas.openxmlformats.org/officeDocument/2006/relationships/hyperlink" Target="https://doi.org/10.1186/s12934-024-02619-3" TargetMode="External"/><Relationship Id="rId48" Type="http://schemas.openxmlformats.org/officeDocument/2006/relationships/hyperlink" Target="https://doi.org/10.56557/ajoair/2025/v8i1513" TargetMode="External"/><Relationship Id="rId56" Type="http://schemas.openxmlformats.org/officeDocument/2006/relationships/header" Target="header2.xml"/><Relationship Id="rId8" Type="http://schemas.openxmlformats.org/officeDocument/2006/relationships/chart" Target="charts/chart1.xml"/><Relationship Id="rId51" Type="http://schemas.openxmlformats.org/officeDocument/2006/relationships/hyperlink" Target="https://doi.org/10.35378/gujs.1670270" TargetMode="External"/><Relationship Id="rId3" Type="http://schemas.openxmlformats.org/officeDocument/2006/relationships/styles" Target="styles.xml"/><Relationship Id="rId12" Type="http://schemas.openxmlformats.org/officeDocument/2006/relationships/hyperlink" Target="https://doi.org/10.3923/ijp.2015.846.851" TargetMode="External"/><Relationship Id="rId17" Type="http://schemas.openxmlformats.org/officeDocument/2006/relationships/hyperlink" Target="https://doi.org/10.1016/S0140-6736(21)02724-0" TargetMode="External"/><Relationship Id="rId25" Type="http://schemas.openxmlformats.org/officeDocument/2006/relationships/hyperlink" Target="https://doi.org/10.36348/sjmps.2018.v04i08.016" TargetMode="External"/><Relationship Id="rId33" Type="http://schemas.openxmlformats.org/officeDocument/2006/relationships/hyperlink" Target="https://doi.org/10.1007/s13205-017-0832-4" TargetMode="External"/><Relationship Id="rId38" Type="http://schemas.openxmlformats.org/officeDocument/2006/relationships/hyperlink" Target="https://doi.org/10.3390/biology13121054" TargetMode="External"/><Relationship Id="rId46" Type="http://schemas.openxmlformats.org/officeDocument/2006/relationships/hyperlink" Target="https://doi.org/10.1007/s11130-009-0141-0" TargetMode="External"/><Relationship Id="rId59" Type="http://schemas.openxmlformats.org/officeDocument/2006/relationships/header" Target="header3.xml"/><Relationship Id="rId20" Type="http://schemas.openxmlformats.org/officeDocument/2006/relationships/hyperlink" Target="https://doi.org/10.3390/foods13071122" TargetMode="External"/><Relationship Id="rId41" Type="http://schemas.openxmlformats.org/officeDocument/2006/relationships/hyperlink" Target="https://doi.org/10.3390/v17121583" TargetMode="External"/><Relationship Id="rId54" Type="http://schemas.openxmlformats.org/officeDocument/2006/relationships/hyperlink" Target="https://www.who.int/publications/i/item/978924009400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5515/abr.0976-4585.8.6.96101" TargetMode="External"/><Relationship Id="rId23" Type="http://schemas.openxmlformats.org/officeDocument/2006/relationships/hyperlink" Target="https://doi.org/10.3390/antibiotics10111333" TargetMode="External"/><Relationship Id="rId28" Type="http://schemas.openxmlformats.org/officeDocument/2006/relationships/hyperlink" Target="https://doi.org/10.1186/s13036-026-00720-2" TargetMode="External"/><Relationship Id="rId36" Type="http://schemas.openxmlformats.org/officeDocument/2006/relationships/hyperlink" Target="https://doi.org/10.1093/jacamr/dlaa104" TargetMode="External"/><Relationship Id="rId49" Type="http://schemas.openxmlformats.org/officeDocument/2006/relationships/hyperlink" Target="https://doi.org/10.1016/j.heliyon.2025.e41748" TargetMode="External"/><Relationship Id="rId57" Type="http://schemas.openxmlformats.org/officeDocument/2006/relationships/footer" Target="footer1.xml"/><Relationship Id="rId10" Type="http://schemas.openxmlformats.org/officeDocument/2006/relationships/chart" Target="charts/chart3.xml"/><Relationship Id="rId31" Type="http://schemas.openxmlformats.org/officeDocument/2006/relationships/hyperlink" Target="https://doi.org/10.1007/s12088-008-0043-0" TargetMode="External"/><Relationship Id="rId44" Type="http://schemas.openxmlformats.org/officeDocument/2006/relationships/hyperlink" Target="https://doi.org/10.3390/antibiotics10070785" TargetMode="External"/><Relationship Id="rId52" Type="http://schemas.openxmlformats.org/officeDocument/2006/relationships/hyperlink" Target="https://epubs.icar.org.in/index.php/IVJ/article/view/143323"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E:\PhD\phd%202\seethalakshmi\paper\Paper%201\New%20Microsoft%20Excel%20Worksheet%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Downloads\DPPH_Arthrospira_platensis_SD_BarChar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ELL\Downloads\inhibition_se_barchar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ELL\Downloads\cell_viability_errorba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Sheet1!$I$28</c:f>
              <c:strCache>
                <c:ptCount val="1"/>
                <c:pt idx="0">
                  <c:v>ESBL %</c:v>
                </c:pt>
              </c:strCache>
            </c:strRef>
          </c:tx>
          <c:invertIfNegative val="0"/>
          <c:cat>
            <c:strRef>
              <c:f>Sheet1!$H$29:$H$35</c:f>
              <c:strCache>
                <c:ptCount val="7"/>
                <c:pt idx="0">
                  <c:v>E. coli</c:v>
                </c:pt>
                <c:pt idx="1">
                  <c:v>P. aeruginosa</c:v>
                </c:pt>
                <c:pt idx="2">
                  <c:v>E. faecalis</c:v>
                </c:pt>
                <c:pt idx="3">
                  <c:v>K. pneumoniae</c:v>
                </c:pt>
                <c:pt idx="4">
                  <c:v>P. mirabilis</c:v>
                </c:pt>
                <c:pt idx="5">
                  <c:v>Citrobacter sp.</c:v>
                </c:pt>
                <c:pt idx="6">
                  <c:v>Salmonella sp.</c:v>
                </c:pt>
              </c:strCache>
            </c:strRef>
          </c:cat>
          <c:val>
            <c:numRef>
              <c:f>Sheet1!$I$29:$I$35</c:f>
              <c:numCache>
                <c:formatCode>General</c:formatCode>
                <c:ptCount val="7"/>
                <c:pt idx="0">
                  <c:v>66.7</c:v>
                </c:pt>
                <c:pt idx="1">
                  <c:v>50</c:v>
                </c:pt>
                <c:pt idx="2">
                  <c:v>60</c:v>
                </c:pt>
                <c:pt idx="3">
                  <c:v>62.5</c:v>
                </c:pt>
                <c:pt idx="4">
                  <c:v>66.7</c:v>
                </c:pt>
                <c:pt idx="5">
                  <c:v>100</c:v>
                </c:pt>
                <c:pt idx="6">
                  <c:v>60</c:v>
                </c:pt>
              </c:numCache>
            </c:numRef>
          </c:val>
          <c:extLst>
            <c:ext xmlns:c16="http://schemas.microsoft.com/office/drawing/2014/chart" uri="{C3380CC4-5D6E-409C-BE32-E72D297353CC}">
              <c16:uniqueId val="{00000000-DDF9-4869-863D-4C2E850B856D}"/>
            </c:ext>
          </c:extLst>
        </c:ser>
        <c:ser>
          <c:idx val="1"/>
          <c:order val="1"/>
          <c:tx>
            <c:strRef>
              <c:f>Sheet1!$J$28</c:f>
              <c:strCache>
                <c:ptCount val="1"/>
                <c:pt idx="0">
                  <c:v>Biofilm %</c:v>
                </c:pt>
              </c:strCache>
            </c:strRef>
          </c:tx>
          <c:invertIfNegative val="0"/>
          <c:cat>
            <c:strRef>
              <c:f>Sheet1!$H$29:$H$35</c:f>
              <c:strCache>
                <c:ptCount val="7"/>
                <c:pt idx="0">
                  <c:v>E. coli</c:v>
                </c:pt>
                <c:pt idx="1">
                  <c:v>P. aeruginosa</c:v>
                </c:pt>
                <c:pt idx="2">
                  <c:v>E. faecalis</c:v>
                </c:pt>
                <c:pt idx="3">
                  <c:v>K. pneumoniae</c:v>
                </c:pt>
                <c:pt idx="4">
                  <c:v>P. mirabilis</c:v>
                </c:pt>
                <c:pt idx="5">
                  <c:v>Citrobacter sp.</c:v>
                </c:pt>
                <c:pt idx="6">
                  <c:v>Salmonella sp.</c:v>
                </c:pt>
              </c:strCache>
            </c:strRef>
          </c:cat>
          <c:val>
            <c:numRef>
              <c:f>Sheet1!$J$29:$J$35</c:f>
              <c:numCache>
                <c:formatCode>General</c:formatCode>
                <c:ptCount val="7"/>
                <c:pt idx="0">
                  <c:v>66.7</c:v>
                </c:pt>
                <c:pt idx="1">
                  <c:v>100</c:v>
                </c:pt>
                <c:pt idx="2">
                  <c:v>20</c:v>
                </c:pt>
                <c:pt idx="3">
                  <c:v>37.5</c:v>
                </c:pt>
                <c:pt idx="4">
                  <c:v>66.7</c:v>
                </c:pt>
                <c:pt idx="5">
                  <c:v>0</c:v>
                </c:pt>
                <c:pt idx="6">
                  <c:v>80</c:v>
                </c:pt>
              </c:numCache>
            </c:numRef>
          </c:val>
          <c:extLst>
            <c:ext xmlns:c16="http://schemas.microsoft.com/office/drawing/2014/chart" uri="{C3380CC4-5D6E-409C-BE32-E72D297353CC}">
              <c16:uniqueId val="{00000001-DDF9-4869-863D-4C2E850B856D}"/>
            </c:ext>
          </c:extLst>
        </c:ser>
        <c:dLbls>
          <c:showLegendKey val="0"/>
          <c:showVal val="0"/>
          <c:showCatName val="0"/>
          <c:showSerName val="0"/>
          <c:showPercent val="0"/>
          <c:showBubbleSize val="0"/>
        </c:dLbls>
        <c:gapWidth val="150"/>
        <c:axId val="296318848"/>
        <c:axId val="296325120"/>
      </c:barChart>
      <c:catAx>
        <c:axId val="296318848"/>
        <c:scaling>
          <c:orientation val="minMax"/>
        </c:scaling>
        <c:delete val="0"/>
        <c:axPos val="l"/>
        <c:numFmt formatCode="General" sourceLinked="0"/>
        <c:majorTickMark val="out"/>
        <c:minorTickMark val="none"/>
        <c:tickLblPos val="nextTo"/>
        <c:txPr>
          <a:bodyPr/>
          <a:lstStyle/>
          <a:p>
            <a:pPr>
              <a:defRPr i="1"/>
            </a:pPr>
            <a:endParaRPr lang="en-US"/>
          </a:p>
        </c:txPr>
        <c:crossAx val="296325120"/>
        <c:crosses val="autoZero"/>
        <c:auto val="1"/>
        <c:lblAlgn val="ctr"/>
        <c:lblOffset val="100"/>
        <c:noMultiLvlLbl val="0"/>
      </c:catAx>
      <c:valAx>
        <c:axId val="296325120"/>
        <c:scaling>
          <c:orientation val="minMax"/>
        </c:scaling>
        <c:delete val="0"/>
        <c:axPos val="b"/>
        <c:majorGridlines/>
        <c:numFmt formatCode="General" sourceLinked="1"/>
        <c:majorTickMark val="out"/>
        <c:minorTickMark val="none"/>
        <c:tickLblPos val="nextTo"/>
        <c:crossAx val="29631884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000"/>
            </a:pPr>
            <a:r>
              <a:rPr lang="en-IN" sz="1000"/>
              <a:t>DPPH radical-scavenging activity (mean ± SD, n = 3)</a:t>
            </a:r>
          </a:p>
        </c:rich>
      </c:tx>
      <c:overlay val="0"/>
      <c:spPr>
        <a:noFill/>
        <a:ln w="0">
          <a:noFill/>
        </a:ln>
      </c:spPr>
    </c:title>
    <c:autoTitleDeleted val="0"/>
    <c:plotArea>
      <c:layout/>
      <c:barChart>
        <c:barDir val="col"/>
        <c:grouping val="clustered"/>
        <c:varyColors val="0"/>
        <c:ser>
          <c:idx val="0"/>
          <c:order val="0"/>
          <c:tx>
            <c:v>A. platensis ethanol extract</c:v>
          </c:tx>
          <c:spPr>
            <a:solidFill>
              <a:srgbClr val="2E75B6"/>
            </a:solidFill>
            <a:ln w="0">
              <a:solidFill>
                <a:srgbClr val="2E75B6"/>
              </a:solidFill>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errBars>
            <c:errBarType val="both"/>
            <c:errValType val="cust"/>
            <c:noEndCap val="0"/>
            <c:plus>
              <c:numRef>
                <c:f>[DPPH_Arthrospira_platensis_SD_BarChart.xlsx]DPPH_Data!$F$5:$F$10</c:f>
                <c:numCache>
                  <c:formatCode>General</c:formatCode>
                  <c:ptCount val="6"/>
                  <c:pt idx="0">
                    <c:v>7.3711147958320053E-2</c:v>
                  </c:pt>
                  <c:pt idx="1">
                    <c:v>1.0000000000001563E-2</c:v>
                  </c:pt>
                  <c:pt idx="2">
                    <c:v>1.9999999999999574E-2</c:v>
                  </c:pt>
                  <c:pt idx="3">
                    <c:v>2.5166114784237883E-2</c:v>
                  </c:pt>
                  <c:pt idx="4">
                    <c:v>5.0332229568475766E-2</c:v>
                  </c:pt>
                  <c:pt idx="5">
                    <c:v>3.9999999999999147E-2</c:v>
                  </c:pt>
                </c:numCache>
              </c:numRef>
            </c:plus>
            <c:minus>
              <c:numRef>
                <c:f>[DPPH_Arthrospira_platensis_SD_BarChart.xlsx]DPPH_Data!$F$5:$F$10</c:f>
                <c:numCache>
                  <c:formatCode>General</c:formatCode>
                  <c:ptCount val="6"/>
                  <c:pt idx="0">
                    <c:v>7.3711147958320053E-2</c:v>
                  </c:pt>
                  <c:pt idx="1">
                    <c:v>1.0000000000001563E-2</c:v>
                  </c:pt>
                  <c:pt idx="2">
                    <c:v>1.9999999999999574E-2</c:v>
                  </c:pt>
                  <c:pt idx="3">
                    <c:v>2.5166114784237883E-2</c:v>
                  </c:pt>
                  <c:pt idx="4">
                    <c:v>5.0332229568475766E-2</c:v>
                  </c:pt>
                  <c:pt idx="5">
                    <c:v>3.9999999999999147E-2</c:v>
                  </c:pt>
                </c:numCache>
              </c:numRef>
            </c:minus>
            <c:spPr>
              <a:ln w="9360">
                <a:solidFill>
                  <a:srgbClr val="000000"/>
                </a:solidFill>
                <a:round/>
              </a:ln>
            </c:spPr>
          </c:errBars>
          <c:cat>
            <c:numRef>
              <c:f>[DPPH_Arthrospira_platensis_SD_BarChart.xlsx]DPPH_Data!$A$5:$A$10</c:f>
              <c:numCache>
                <c:formatCode>General</c:formatCode>
                <c:ptCount val="6"/>
                <c:pt idx="0">
                  <c:v>25</c:v>
                </c:pt>
                <c:pt idx="1">
                  <c:v>50</c:v>
                </c:pt>
                <c:pt idx="2">
                  <c:v>100</c:v>
                </c:pt>
                <c:pt idx="3">
                  <c:v>250</c:v>
                </c:pt>
                <c:pt idx="4">
                  <c:v>500</c:v>
                </c:pt>
                <c:pt idx="5">
                  <c:v>1000</c:v>
                </c:pt>
              </c:numCache>
            </c:numRef>
          </c:cat>
          <c:val>
            <c:numRef>
              <c:f>[DPPH_Arthrospira_platensis_SD_BarChart.xlsx]DPPH_Data!$E$5:$E$10</c:f>
              <c:numCache>
                <c:formatCode>0.00</c:formatCode>
                <c:ptCount val="6"/>
                <c:pt idx="0">
                  <c:v>28.576666666666668</c:v>
                </c:pt>
                <c:pt idx="1">
                  <c:v>39.49</c:v>
                </c:pt>
                <c:pt idx="2">
                  <c:v>49.12</c:v>
                </c:pt>
                <c:pt idx="3">
                  <c:v>57.423333333333325</c:v>
                </c:pt>
                <c:pt idx="4">
                  <c:v>68.493333333333339</c:v>
                </c:pt>
                <c:pt idx="5">
                  <c:v>79.739999999999995</c:v>
                </c:pt>
              </c:numCache>
            </c:numRef>
          </c:val>
          <c:extLst>
            <c:ext xmlns:c16="http://schemas.microsoft.com/office/drawing/2014/chart" uri="{C3380CC4-5D6E-409C-BE32-E72D297353CC}">
              <c16:uniqueId val="{00000000-72EA-4137-B259-9F5DFB86BA35}"/>
            </c:ext>
          </c:extLst>
        </c:ser>
        <c:ser>
          <c:idx val="1"/>
          <c:order val="1"/>
          <c:tx>
            <c:v>Ascorbic acid</c:v>
          </c:tx>
          <c:spPr>
            <a:solidFill>
              <a:srgbClr val="ED7D31"/>
            </a:solidFill>
            <a:ln w="0">
              <a:solidFill>
                <a:srgbClr val="ED7D31"/>
              </a:solidFill>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errBars>
            <c:errBarType val="both"/>
            <c:errValType val="cust"/>
            <c:noEndCap val="0"/>
            <c:plus>
              <c:numRef>
                <c:f>[DPPH_Arthrospira_platensis_SD_BarChart.xlsx]DPPH_Data!$K$5:$K$10</c:f>
                <c:numCache>
                  <c:formatCode>General</c:formatCode>
                  <c:ptCount val="6"/>
                  <c:pt idx="0">
                    <c:v>0.15044378795195551</c:v>
                  </c:pt>
                  <c:pt idx="1">
                    <c:v>0.46936126810805467</c:v>
                  </c:pt>
                  <c:pt idx="2">
                    <c:v>0.22368132093076692</c:v>
                  </c:pt>
                  <c:pt idx="3">
                    <c:v>5.0332229568469181E-2</c:v>
                  </c:pt>
                  <c:pt idx="4">
                    <c:v>1.1547005383790217E-2</c:v>
                  </c:pt>
                  <c:pt idx="5">
                    <c:v>1.1547005383798423E-2</c:v>
                  </c:pt>
                </c:numCache>
              </c:numRef>
            </c:plus>
            <c:minus>
              <c:numRef>
                <c:f>[DPPH_Arthrospira_platensis_SD_BarChart.xlsx]DPPH_Data!$K$5:$K$10</c:f>
                <c:numCache>
                  <c:formatCode>General</c:formatCode>
                  <c:ptCount val="6"/>
                  <c:pt idx="0">
                    <c:v>0.15044378795195551</c:v>
                  </c:pt>
                  <c:pt idx="1">
                    <c:v>0.46936126810805467</c:v>
                  </c:pt>
                  <c:pt idx="2">
                    <c:v>0.22368132093076692</c:v>
                  </c:pt>
                  <c:pt idx="3">
                    <c:v>5.0332229568469181E-2</c:v>
                  </c:pt>
                  <c:pt idx="4">
                    <c:v>1.1547005383790217E-2</c:v>
                  </c:pt>
                  <c:pt idx="5">
                    <c:v>1.1547005383798423E-2</c:v>
                  </c:pt>
                </c:numCache>
              </c:numRef>
            </c:minus>
            <c:spPr>
              <a:ln w="9360">
                <a:solidFill>
                  <a:srgbClr val="000000"/>
                </a:solidFill>
                <a:round/>
              </a:ln>
            </c:spPr>
          </c:errBars>
          <c:cat>
            <c:numRef>
              <c:f>[DPPH_Arthrospira_platensis_SD_BarChart.xlsx]DPPH_Data!$A$5:$A$10</c:f>
              <c:numCache>
                <c:formatCode>General</c:formatCode>
                <c:ptCount val="6"/>
                <c:pt idx="0">
                  <c:v>25</c:v>
                </c:pt>
                <c:pt idx="1">
                  <c:v>50</c:v>
                </c:pt>
                <c:pt idx="2">
                  <c:v>100</c:v>
                </c:pt>
                <c:pt idx="3">
                  <c:v>250</c:v>
                </c:pt>
                <c:pt idx="4">
                  <c:v>500</c:v>
                </c:pt>
                <c:pt idx="5">
                  <c:v>1000</c:v>
                </c:pt>
              </c:numCache>
            </c:numRef>
          </c:cat>
          <c:val>
            <c:numRef>
              <c:f>[DPPH_Arthrospira_platensis_SD_BarChart.xlsx]DPPH_Data!$J$5:$J$10</c:f>
              <c:numCache>
                <c:formatCode>0.00</c:formatCode>
                <c:ptCount val="6"/>
                <c:pt idx="0">
                  <c:v>42.063333333333333</c:v>
                </c:pt>
                <c:pt idx="1">
                  <c:v>38.449999999999996</c:v>
                </c:pt>
                <c:pt idx="2">
                  <c:v>57.396666666666668</c:v>
                </c:pt>
                <c:pt idx="3">
                  <c:v>66.226666666666674</c:v>
                </c:pt>
                <c:pt idx="4">
                  <c:v>76.093333333333334</c:v>
                </c:pt>
                <c:pt idx="5">
                  <c:v>87.893333333333331</c:v>
                </c:pt>
              </c:numCache>
            </c:numRef>
          </c:val>
          <c:extLst>
            <c:ext xmlns:c16="http://schemas.microsoft.com/office/drawing/2014/chart" uri="{C3380CC4-5D6E-409C-BE32-E72D297353CC}">
              <c16:uniqueId val="{00000001-72EA-4137-B259-9F5DFB86BA35}"/>
            </c:ext>
          </c:extLst>
        </c:ser>
        <c:dLbls>
          <c:showLegendKey val="0"/>
          <c:showVal val="0"/>
          <c:showCatName val="0"/>
          <c:showSerName val="0"/>
          <c:showPercent val="0"/>
          <c:showBubbleSize val="0"/>
        </c:dLbls>
        <c:gapWidth val="150"/>
        <c:axId val="298191488"/>
        <c:axId val="296411520"/>
      </c:barChart>
      <c:catAx>
        <c:axId val="298191488"/>
        <c:scaling>
          <c:orientation val="minMax"/>
        </c:scaling>
        <c:delete val="0"/>
        <c:axPos val="b"/>
        <c:title>
          <c:tx>
            <c:rich>
              <a:bodyPr rot="0"/>
              <a:lstStyle/>
              <a:p>
                <a:pPr>
                  <a:defRPr/>
                </a:pPr>
                <a:r>
                  <a:rPr lang="en-IN"/>
                  <a:t>Concentration (µg/mL)</a:t>
                </a:r>
              </a:p>
            </c:rich>
          </c:tx>
          <c:overlay val="0"/>
          <c:spPr>
            <a:noFill/>
            <a:ln w="0">
              <a:noFill/>
            </a:ln>
          </c:spPr>
        </c:title>
        <c:numFmt formatCode="General" sourceLinked="1"/>
        <c:majorTickMark val="none"/>
        <c:minorTickMark val="none"/>
        <c:tickLblPos val="nextTo"/>
        <c:spPr>
          <a:ln w="9360">
            <a:solidFill>
              <a:srgbClr val="878787"/>
            </a:solidFill>
            <a:round/>
          </a:ln>
        </c:spPr>
        <c:crossAx val="296411520"/>
        <c:crosses val="autoZero"/>
        <c:auto val="1"/>
        <c:lblAlgn val="ctr"/>
        <c:lblOffset val="100"/>
        <c:noMultiLvlLbl val="0"/>
      </c:catAx>
      <c:valAx>
        <c:axId val="296411520"/>
        <c:scaling>
          <c:orientation val="minMax"/>
          <c:max val="100"/>
          <c:min val="0"/>
        </c:scaling>
        <c:delete val="0"/>
        <c:axPos val="l"/>
        <c:majorGridlines>
          <c:spPr>
            <a:ln w="9360">
              <a:solidFill>
                <a:srgbClr val="878787"/>
              </a:solidFill>
              <a:round/>
            </a:ln>
          </c:spPr>
        </c:majorGridlines>
        <c:title>
          <c:tx>
            <c:rich>
              <a:bodyPr rot="-5400000"/>
              <a:lstStyle/>
              <a:p>
                <a:pPr>
                  <a:defRPr/>
                </a:pPr>
                <a:r>
                  <a:rPr lang="en-IN"/>
                  <a:t>DPPH scavenging activity (%)</a:t>
                </a:r>
              </a:p>
            </c:rich>
          </c:tx>
          <c:overlay val="0"/>
          <c:spPr>
            <a:noFill/>
            <a:ln w="0">
              <a:noFill/>
            </a:ln>
          </c:spPr>
        </c:title>
        <c:numFmt formatCode="0.00" sourceLinked="1"/>
        <c:majorTickMark val="none"/>
        <c:minorTickMark val="none"/>
        <c:tickLblPos val="nextTo"/>
        <c:spPr>
          <a:ln w="9360">
            <a:solidFill>
              <a:srgbClr val="878787"/>
            </a:solidFill>
            <a:round/>
          </a:ln>
        </c:spPr>
        <c:crossAx val="298191488"/>
        <c:crosses val="autoZero"/>
        <c:crossBetween val="between"/>
        <c:majorUnit val="20"/>
      </c:valAx>
      <c:spPr>
        <a:noFill/>
        <a:ln w="0">
          <a:noFill/>
        </a:ln>
      </c:spPr>
    </c:plotArea>
    <c:legend>
      <c:legendPos val="b"/>
      <c:overlay val="0"/>
      <c:spPr>
        <a:noFill/>
        <a:ln w="0">
          <a:noFill/>
        </a:ln>
      </c:spPr>
      <c:txPr>
        <a:bodyPr/>
        <a:lstStyle/>
        <a:p>
          <a:pPr>
            <a:defRPr i="1"/>
          </a:pPr>
          <a:endParaRPr lang="en-US"/>
        </a:p>
      </c:txPr>
    </c:legend>
    <c:plotVisOnly val="1"/>
    <c:dispBlanksAs val="gap"/>
    <c:showDLblsOverMax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000" b="1" strike="noStrike" spc="-1">
                <a:solidFill>
                  <a:srgbClr val="000000"/>
                </a:solidFill>
                <a:latin typeface="Arial" pitchFamily="34" charset="0"/>
                <a:cs typeface="Arial" pitchFamily="34" charset="0"/>
              </a:defRPr>
            </a:pPr>
            <a:r>
              <a:rPr lang="en-IN" sz="1000" b="1" strike="noStrike" spc="-1">
                <a:solidFill>
                  <a:srgbClr val="000000"/>
                </a:solidFill>
                <a:latin typeface="Arial" pitchFamily="34" charset="0"/>
                <a:cs typeface="Arial" pitchFamily="34" charset="0"/>
              </a:rPr>
              <a:t>Mean ± SE (n = 3)</a:t>
            </a:r>
          </a:p>
        </c:rich>
      </c:tx>
      <c:overlay val="0"/>
      <c:spPr>
        <a:noFill/>
        <a:ln w="0">
          <a:noFill/>
        </a:ln>
      </c:spPr>
    </c:title>
    <c:autoTitleDeleted val="0"/>
    <c:plotArea>
      <c:layout/>
      <c:barChart>
        <c:barDir val="col"/>
        <c:grouping val="clustered"/>
        <c:varyColors val="0"/>
        <c:ser>
          <c:idx val="0"/>
          <c:order val="0"/>
          <c:tx>
            <c:strRef>
              <c:f>Inhibition!$E$1</c:f>
              <c:strCache>
                <c:ptCount val="1"/>
                <c:pt idx="0">
                  <c:v>Mean (%)</c:v>
                </c:pt>
              </c:strCache>
            </c:strRef>
          </c:tx>
          <c:spPr>
            <a:solidFill>
              <a:srgbClr val="4F81BD"/>
            </a:solidFill>
            <a:ln w="0">
              <a:noFill/>
            </a:ln>
          </c:spPr>
          <c:invertIfNegative val="0"/>
          <c:dLbls>
            <c:spPr>
              <a:noFill/>
              <a:ln>
                <a:noFill/>
              </a:ln>
              <a:effectLst/>
            </c:spPr>
            <c:txPr>
              <a:bodyPr wrap="none"/>
              <a:lstStyle/>
              <a:p>
                <a:pPr>
                  <a:defRPr sz="1000" b="0" strike="noStrike" spc="-1">
                    <a:latin typeface="Arial"/>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errBars>
            <c:errBarType val="both"/>
            <c:errValType val="cust"/>
            <c:noEndCap val="0"/>
            <c:plus>
              <c:numRef>
                <c:f>Inhibition!$G$2:$G$6</c:f>
                <c:numCache>
                  <c:formatCode>General</c:formatCode>
                  <c:ptCount val="5"/>
                  <c:pt idx="0">
                    <c:v>0.20816659994661352</c:v>
                  </c:pt>
                  <c:pt idx="1">
                    <c:v>0.25166114784235838</c:v>
                  </c:pt>
                  <c:pt idx="2">
                    <c:v>0.4358898943540675</c:v>
                  </c:pt>
                  <c:pt idx="3">
                    <c:v>0.36055512754639779</c:v>
                  </c:pt>
                  <c:pt idx="4">
                    <c:v>0.52915026221291761</c:v>
                  </c:pt>
                </c:numCache>
              </c:numRef>
            </c:plus>
            <c:minus>
              <c:numRef>
                <c:f>Inhibition!$G$2:$G$6</c:f>
                <c:numCache>
                  <c:formatCode>General</c:formatCode>
                  <c:ptCount val="5"/>
                  <c:pt idx="0">
                    <c:v>0.20816659994661352</c:v>
                  </c:pt>
                  <c:pt idx="1">
                    <c:v>0.25166114784235838</c:v>
                  </c:pt>
                  <c:pt idx="2">
                    <c:v>0.4358898943540675</c:v>
                  </c:pt>
                  <c:pt idx="3">
                    <c:v>0.36055512754639779</c:v>
                  </c:pt>
                  <c:pt idx="4">
                    <c:v>0.52915026221291761</c:v>
                  </c:pt>
                </c:numCache>
              </c:numRef>
            </c:minus>
            <c:spPr>
              <a:ln w="12600">
                <a:solidFill>
                  <a:srgbClr val="000000"/>
                </a:solidFill>
                <a:round/>
              </a:ln>
            </c:spPr>
          </c:errBars>
          <c:cat>
            <c:strRef>
              <c:f>Inhibition!$A$2:$A$6</c:f>
              <c:strCache>
                <c:ptCount val="5"/>
                <c:pt idx="0">
                  <c:v>10 µg/mL</c:v>
                </c:pt>
                <c:pt idx="1">
                  <c:v>25 µg/mL</c:v>
                </c:pt>
                <c:pt idx="2">
                  <c:v>50 µg/mL</c:v>
                </c:pt>
                <c:pt idx="3">
                  <c:v>100 µg/mL</c:v>
                </c:pt>
                <c:pt idx="4">
                  <c:v>250 µg/mL</c:v>
                </c:pt>
              </c:strCache>
            </c:strRef>
          </c:cat>
          <c:val>
            <c:numRef>
              <c:f>Inhibition!$E$2:$E$6</c:f>
              <c:numCache>
                <c:formatCode>0.00</c:formatCode>
                <c:ptCount val="5"/>
                <c:pt idx="0">
                  <c:v>8</c:v>
                </c:pt>
                <c:pt idx="1">
                  <c:v>16</c:v>
                </c:pt>
                <c:pt idx="2">
                  <c:v>28.5</c:v>
                </c:pt>
                <c:pt idx="3">
                  <c:v>48.29999999999999</c:v>
                </c:pt>
                <c:pt idx="4">
                  <c:v>74.2</c:v>
                </c:pt>
              </c:numCache>
            </c:numRef>
          </c:val>
          <c:extLst>
            <c:ext xmlns:c16="http://schemas.microsoft.com/office/drawing/2014/chart" uri="{C3380CC4-5D6E-409C-BE32-E72D297353CC}">
              <c16:uniqueId val="{00000000-2881-43E4-9426-FB28C89AFE46}"/>
            </c:ext>
          </c:extLst>
        </c:ser>
        <c:dLbls>
          <c:showLegendKey val="0"/>
          <c:showVal val="0"/>
          <c:showCatName val="0"/>
          <c:showSerName val="0"/>
          <c:showPercent val="0"/>
          <c:showBubbleSize val="0"/>
        </c:dLbls>
        <c:gapWidth val="60"/>
        <c:axId val="296703488"/>
        <c:axId val="296705408"/>
      </c:barChart>
      <c:catAx>
        <c:axId val="296703488"/>
        <c:scaling>
          <c:orientation val="minMax"/>
        </c:scaling>
        <c:delete val="0"/>
        <c:axPos val="b"/>
        <c:title>
          <c:tx>
            <c:rich>
              <a:bodyPr rot="0"/>
              <a:lstStyle/>
              <a:p>
                <a:pPr>
                  <a:defRPr sz="1000" b="1" strike="noStrike" spc="-1">
                    <a:solidFill>
                      <a:srgbClr val="000000"/>
                    </a:solidFill>
                    <a:latin typeface="Calibri"/>
                  </a:defRPr>
                </a:pPr>
                <a:r>
                  <a:rPr lang="en-IN" sz="1000" b="1" strike="noStrike" spc="-1">
                    <a:solidFill>
                      <a:srgbClr val="000000"/>
                    </a:solidFill>
                    <a:latin typeface="Calibri"/>
                  </a:rPr>
                  <a:t>Conc. of extract</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en-US"/>
          </a:p>
        </c:txPr>
        <c:crossAx val="296705408"/>
        <c:crosses val="autoZero"/>
        <c:auto val="1"/>
        <c:lblAlgn val="ctr"/>
        <c:lblOffset val="100"/>
        <c:noMultiLvlLbl val="0"/>
      </c:catAx>
      <c:valAx>
        <c:axId val="296705408"/>
        <c:scaling>
          <c:orientation val="minMax"/>
          <c:max val="80"/>
          <c:min val="0"/>
        </c:scaling>
        <c:delete val="0"/>
        <c:axPos val="l"/>
        <c:majorGridlines>
          <c:spPr>
            <a:ln w="9360">
              <a:solidFill>
                <a:srgbClr val="878787"/>
              </a:solidFill>
              <a:round/>
            </a:ln>
          </c:spPr>
        </c:majorGridlines>
        <c:title>
          <c:tx>
            <c:rich>
              <a:bodyPr rot="-5400000"/>
              <a:lstStyle/>
              <a:p>
                <a:pPr>
                  <a:defRPr sz="1000" b="1" strike="noStrike" spc="-1">
                    <a:solidFill>
                      <a:srgbClr val="000000"/>
                    </a:solidFill>
                    <a:latin typeface="Calibri"/>
                  </a:defRPr>
                </a:pPr>
                <a:r>
                  <a:rPr lang="en-IN" sz="1000" b="1" strike="noStrike" spc="-1">
                    <a:solidFill>
                      <a:srgbClr val="000000"/>
                    </a:solidFill>
                    <a:latin typeface="Calibri"/>
                  </a:rPr>
                  <a:t>% of inhibitory activity</a:t>
                </a:r>
              </a:p>
            </c:rich>
          </c:tx>
          <c:overlay val="0"/>
          <c:spPr>
            <a:noFill/>
            <a:ln w="0">
              <a:noFill/>
            </a:ln>
          </c:spPr>
        </c:title>
        <c:numFmt formatCode="0.00"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en-US"/>
          </a:p>
        </c:txPr>
        <c:crossAx val="296703488"/>
        <c:crosses val="autoZero"/>
        <c:crossBetween val="between"/>
        <c:majorUnit val="10"/>
      </c:valAx>
      <c:spPr>
        <a:noFill/>
        <a:ln w="0">
          <a:noFill/>
        </a:ln>
      </c:spPr>
    </c:plotArea>
    <c:plotVisOnly val="1"/>
    <c:dispBlanksAs val="gap"/>
    <c:showDLblsOverMax val="1"/>
  </c:chart>
  <c:spPr>
    <a:solidFill>
      <a:srgbClr val="FFFFFF"/>
    </a:solidFill>
    <a:ln w="9360">
      <a:solidFill>
        <a:srgbClr val="D9D9D9"/>
      </a:solidFill>
      <a:round/>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'Cell viability'!$G$1</c:f>
              <c:strCache>
                <c:ptCount val="1"/>
                <c:pt idx="0">
                  <c:v>Cell viability (%)</c:v>
                </c:pt>
              </c:strCache>
            </c:strRef>
          </c:tx>
          <c:spPr>
            <a:solidFill>
              <a:srgbClr val="4F81BD"/>
            </a:solidFill>
            <a:ln w="0">
              <a:noFill/>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errBars>
            <c:errBarType val="both"/>
            <c:errValType val="cust"/>
            <c:noEndCap val="0"/>
            <c:plus>
              <c:numRef>
                <c:f>'Cell viability'!$J$2:$J$7</c:f>
                <c:numCache>
                  <c:formatCode>General</c:formatCode>
                  <c:ptCount val="6"/>
                  <c:pt idx="0">
                    <c:v>1.392104739561385</c:v>
                  </c:pt>
                  <c:pt idx="1">
                    <c:v>0.77220077220076866</c:v>
                  </c:pt>
                  <c:pt idx="2">
                    <c:v>1.021525602727642</c:v>
                  </c:pt>
                  <c:pt idx="3">
                    <c:v>0.38610038610038644</c:v>
                  </c:pt>
                  <c:pt idx="4">
                    <c:v>0.77220077220076866</c:v>
                  </c:pt>
                  <c:pt idx="5">
                    <c:v>1.021525602727642</c:v>
                  </c:pt>
                </c:numCache>
              </c:numRef>
            </c:plus>
            <c:minus>
              <c:numRef>
                <c:f>'Cell viability'!$J$2:$J$7</c:f>
                <c:numCache>
                  <c:formatCode>General</c:formatCode>
                  <c:ptCount val="6"/>
                  <c:pt idx="0">
                    <c:v>1.392104739561385</c:v>
                  </c:pt>
                  <c:pt idx="1">
                    <c:v>0.77220077220076866</c:v>
                  </c:pt>
                  <c:pt idx="2">
                    <c:v>1.021525602727642</c:v>
                  </c:pt>
                  <c:pt idx="3">
                    <c:v>0.38610038610038644</c:v>
                  </c:pt>
                  <c:pt idx="4">
                    <c:v>0.77220077220076866</c:v>
                  </c:pt>
                  <c:pt idx="5">
                    <c:v>1.021525602727642</c:v>
                  </c:pt>
                </c:numCache>
              </c:numRef>
            </c:minus>
            <c:spPr>
              <a:ln w="12600">
                <a:solidFill>
                  <a:srgbClr val="000000"/>
                </a:solidFill>
                <a:round/>
              </a:ln>
            </c:spPr>
          </c:errBars>
          <c:cat>
            <c:strRef>
              <c:f>'Cell viability'!$B$2:$B$7</c:f>
              <c:strCache>
                <c:ptCount val="6"/>
                <c:pt idx="0">
                  <c:v>250 µg/mL</c:v>
                </c:pt>
                <c:pt idx="1">
                  <c:v>100 µg/mL</c:v>
                </c:pt>
                <c:pt idx="2">
                  <c:v>50 µg/mL</c:v>
                </c:pt>
                <c:pt idx="3">
                  <c:v>25 µg/mL</c:v>
                </c:pt>
                <c:pt idx="4">
                  <c:v>10 µg/mL</c:v>
                </c:pt>
                <c:pt idx="5">
                  <c:v>5 µg/mL</c:v>
                </c:pt>
              </c:strCache>
            </c:strRef>
          </c:cat>
          <c:val>
            <c:numRef>
              <c:f>'Cell viability'!$G$2:$G$7</c:f>
              <c:numCache>
                <c:formatCode>0.00</c:formatCode>
                <c:ptCount val="6"/>
                <c:pt idx="0">
                  <c:v>54.054054054054049</c:v>
                </c:pt>
                <c:pt idx="1">
                  <c:v>65.250965250965251</c:v>
                </c:pt>
                <c:pt idx="2">
                  <c:v>74.903474903474901</c:v>
                </c:pt>
                <c:pt idx="3">
                  <c:v>85.328185328185342</c:v>
                </c:pt>
                <c:pt idx="4">
                  <c:v>94.594594594594611</c:v>
                </c:pt>
                <c:pt idx="5">
                  <c:v>100</c:v>
                </c:pt>
              </c:numCache>
            </c:numRef>
          </c:val>
          <c:extLst>
            <c:ext xmlns:c16="http://schemas.microsoft.com/office/drawing/2014/chart" uri="{C3380CC4-5D6E-409C-BE32-E72D297353CC}">
              <c16:uniqueId val="{00000000-C61F-4E8F-B023-91E15C9D8AD2}"/>
            </c:ext>
          </c:extLst>
        </c:ser>
        <c:dLbls>
          <c:showLegendKey val="0"/>
          <c:showVal val="0"/>
          <c:showCatName val="0"/>
          <c:showSerName val="0"/>
          <c:showPercent val="0"/>
          <c:showBubbleSize val="0"/>
        </c:dLbls>
        <c:gapWidth val="60"/>
        <c:axId val="296731008"/>
        <c:axId val="296732928"/>
      </c:barChart>
      <c:catAx>
        <c:axId val="296731008"/>
        <c:scaling>
          <c:orientation val="minMax"/>
        </c:scaling>
        <c:delete val="0"/>
        <c:axPos val="b"/>
        <c:title>
          <c:tx>
            <c:rich>
              <a:bodyPr rot="0"/>
              <a:lstStyle/>
              <a:p>
                <a:pPr>
                  <a:defRPr/>
                </a:pPr>
                <a:r>
                  <a:rPr lang="en-IN"/>
                  <a:t>Concentration (µg/mL)</a:t>
                </a:r>
              </a:p>
            </c:rich>
          </c:tx>
          <c:overlay val="0"/>
          <c:spPr>
            <a:noFill/>
            <a:ln w="0">
              <a:noFill/>
            </a:ln>
          </c:spPr>
        </c:title>
        <c:numFmt formatCode="General" sourceLinked="1"/>
        <c:majorTickMark val="none"/>
        <c:minorTickMark val="none"/>
        <c:tickLblPos val="nextTo"/>
        <c:spPr>
          <a:ln w="9360">
            <a:solidFill>
              <a:srgbClr val="878787"/>
            </a:solidFill>
            <a:round/>
          </a:ln>
        </c:spPr>
        <c:crossAx val="296732928"/>
        <c:crosses val="autoZero"/>
        <c:auto val="1"/>
        <c:lblAlgn val="ctr"/>
        <c:lblOffset val="100"/>
        <c:noMultiLvlLbl val="0"/>
      </c:catAx>
      <c:valAx>
        <c:axId val="296732928"/>
        <c:scaling>
          <c:orientation val="minMax"/>
          <c:max val="120"/>
          <c:min val="0"/>
        </c:scaling>
        <c:delete val="0"/>
        <c:axPos val="l"/>
        <c:majorGridlines>
          <c:spPr>
            <a:ln w="9360">
              <a:solidFill>
                <a:srgbClr val="878787"/>
              </a:solidFill>
              <a:round/>
            </a:ln>
          </c:spPr>
        </c:majorGridlines>
        <c:title>
          <c:tx>
            <c:rich>
              <a:bodyPr rot="-5400000"/>
              <a:lstStyle/>
              <a:p>
                <a:pPr>
                  <a:defRPr/>
                </a:pPr>
                <a:r>
                  <a:rPr lang="en-IN"/>
                  <a:t>Cell viability (%)</a:t>
                </a:r>
              </a:p>
            </c:rich>
          </c:tx>
          <c:overlay val="0"/>
          <c:spPr>
            <a:noFill/>
            <a:ln w="0">
              <a:noFill/>
            </a:ln>
          </c:spPr>
        </c:title>
        <c:numFmt formatCode="0.00" sourceLinked="1"/>
        <c:majorTickMark val="none"/>
        <c:minorTickMark val="none"/>
        <c:tickLblPos val="nextTo"/>
        <c:spPr>
          <a:ln w="9360">
            <a:solidFill>
              <a:srgbClr val="878787"/>
            </a:solidFill>
            <a:round/>
          </a:ln>
        </c:spPr>
        <c:crossAx val="296731008"/>
        <c:crosses val="autoZero"/>
        <c:crossBetween val="between"/>
        <c:majorUnit val="20"/>
      </c:valAx>
      <c:spPr>
        <a:noFill/>
        <a:ln w="0">
          <a:noFill/>
        </a:ln>
      </c:spPr>
    </c:plotArea>
    <c:plotVisOnly val="1"/>
    <c:dispBlanksAs val="gap"/>
    <c:showDLblsOverMax val="1"/>
  </c:chart>
  <c:spPr>
    <a:solidFill>
      <a:srgbClr val="FFFFFF"/>
    </a:solidFill>
    <a:ln w="9360">
      <a:solidFill>
        <a:srgbClr val="D9D9D9"/>
      </a:solidFill>
      <a:round/>
    </a:ln>
  </c:spPr>
  <c:txPr>
    <a:bodyPr/>
    <a:lstStyle/>
    <a:p>
      <a:pPr>
        <a:defRPr>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16A41-661C-432C-ABB5-E726B7EEA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1807</TotalTime>
  <Pages>18</Pages>
  <Words>8866</Words>
  <Characters>50538</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56</cp:revision>
  <dcterms:created xsi:type="dcterms:W3CDTF">2026-09-20T20:57:00Z</dcterms:created>
  <dcterms:modified xsi:type="dcterms:W3CDTF">2026-10-13T05:43:00Z</dcterms:modified>
</cp:coreProperties>
</file>