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56C9" w14:textId="77777777" w:rsidR="00B95AD6" w:rsidRPr="002D755F" w:rsidRDefault="00A42D8D" w:rsidP="00B95AD6">
      <w:pPr>
        <w:spacing w:after="0" w:line="360" w:lineRule="auto"/>
        <w:contextualSpacing/>
        <w:jc w:val="center"/>
        <w:rPr>
          <w:rFonts w:ascii="Times New Roman" w:hAnsi="Times New Roman" w:cs="Times New Roman"/>
          <w:bCs/>
          <w:sz w:val="24"/>
          <w:szCs w:val="24"/>
        </w:rPr>
      </w:pPr>
      <w:r w:rsidRPr="002D755F">
        <w:rPr>
          <w:rFonts w:ascii="Times New Roman" w:hAnsi="Times New Roman" w:cs="Times New Roman"/>
          <w:b/>
          <w:bCs/>
          <w:sz w:val="24"/>
          <w:szCs w:val="24"/>
        </w:rPr>
        <w:t>E</w:t>
      </w:r>
      <w:r w:rsidR="00045A2F" w:rsidRPr="002D755F">
        <w:rPr>
          <w:rFonts w:ascii="Times New Roman" w:hAnsi="Times New Roman" w:cs="Times New Roman"/>
          <w:b/>
          <w:bCs/>
          <w:sz w:val="24"/>
          <w:szCs w:val="24"/>
        </w:rPr>
        <w:t xml:space="preserve">valuation </w:t>
      </w:r>
      <w:r w:rsidR="006D032C" w:rsidRPr="002D755F">
        <w:rPr>
          <w:rFonts w:ascii="Times New Roman" w:hAnsi="Times New Roman" w:cs="Times New Roman"/>
          <w:b/>
          <w:bCs/>
          <w:sz w:val="24"/>
          <w:szCs w:val="24"/>
        </w:rPr>
        <w:t xml:space="preserve">of </w:t>
      </w:r>
      <w:r w:rsidRPr="002D755F">
        <w:rPr>
          <w:rFonts w:ascii="Times New Roman" w:hAnsi="Times New Roman" w:cs="Times New Roman"/>
          <w:b/>
          <w:bCs/>
          <w:sz w:val="24"/>
          <w:szCs w:val="24"/>
        </w:rPr>
        <w:t>multi type</w:t>
      </w:r>
      <w:r w:rsidR="006D032C" w:rsidRPr="002D755F">
        <w:rPr>
          <w:rFonts w:ascii="Times New Roman" w:hAnsi="Times New Roman" w:cs="Times New Roman"/>
          <w:b/>
          <w:bCs/>
          <w:sz w:val="24"/>
          <w:szCs w:val="24"/>
        </w:rPr>
        <w:t xml:space="preserve"> mineral mixture </w:t>
      </w:r>
      <w:r w:rsidRPr="002D755F">
        <w:rPr>
          <w:rFonts w:ascii="Times New Roman" w:hAnsi="Times New Roman" w:cs="Times New Roman"/>
          <w:b/>
          <w:bCs/>
          <w:sz w:val="24"/>
          <w:szCs w:val="24"/>
        </w:rPr>
        <w:t xml:space="preserve">additive </w:t>
      </w:r>
      <w:r w:rsidR="006D032C" w:rsidRPr="002D755F">
        <w:rPr>
          <w:rFonts w:ascii="Times New Roman" w:hAnsi="Times New Roman" w:cs="Times New Roman"/>
          <w:b/>
          <w:bCs/>
          <w:sz w:val="24"/>
          <w:szCs w:val="24"/>
        </w:rPr>
        <w:t>in fish feed</w:t>
      </w:r>
      <w:r w:rsidR="00045A2F" w:rsidRPr="002D755F">
        <w:rPr>
          <w:rFonts w:ascii="Times New Roman" w:hAnsi="Times New Roman" w:cs="Times New Roman"/>
          <w:b/>
          <w:bCs/>
          <w:sz w:val="24"/>
          <w:szCs w:val="24"/>
        </w:rPr>
        <w:t xml:space="preserve"> </w:t>
      </w:r>
      <w:r w:rsidRPr="002D755F">
        <w:rPr>
          <w:rFonts w:ascii="Times New Roman" w:hAnsi="Times New Roman" w:cs="Times New Roman"/>
          <w:b/>
          <w:bCs/>
          <w:sz w:val="24"/>
          <w:szCs w:val="24"/>
        </w:rPr>
        <w:t>and its efficacy thereof under varied</w:t>
      </w:r>
      <w:r w:rsidR="00045A2F" w:rsidRPr="002D755F">
        <w:rPr>
          <w:rFonts w:ascii="Times New Roman" w:hAnsi="Times New Roman" w:cs="Times New Roman"/>
          <w:b/>
          <w:bCs/>
          <w:sz w:val="24"/>
          <w:szCs w:val="24"/>
        </w:rPr>
        <w:t xml:space="preserve"> </w:t>
      </w:r>
      <w:proofErr w:type="spellStart"/>
      <w:r w:rsidR="00045A2F" w:rsidRPr="002D755F">
        <w:rPr>
          <w:rFonts w:ascii="Times New Roman" w:hAnsi="Times New Roman" w:cs="Times New Roman"/>
          <w:b/>
          <w:bCs/>
          <w:sz w:val="24"/>
          <w:szCs w:val="24"/>
        </w:rPr>
        <w:t>agro</w:t>
      </w:r>
      <w:proofErr w:type="spellEnd"/>
      <w:r w:rsidR="00045A2F" w:rsidRPr="002D755F">
        <w:rPr>
          <w:rFonts w:ascii="Times New Roman" w:hAnsi="Times New Roman" w:cs="Times New Roman"/>
          <w:b/>
          <w:bCs/>
          <w:sz w:val="24"/>
          <w:szCs w:val="24"/>
        </w:rPr>
        <w:t>-climatic conditions</w:t>
      </w:r>
      <w:r w:rsidR="00BA3126" w:rsidRPr="002D755F">
        <w:rPr>
          <w:rFonts w:ascii="Times New Roman" w:hAnsi="Times New Roman" w:cs="Times New Roman"/>
          <w:b/>
          <w:bCs/>
          <w:sz w:val="24"/>
          <w:szCs w:val="24"/>
        </w:rPr>
        <w:t xml:space="preserve"> of Punjab, India</w:t>
      </w:r>
      <w:r w:rsidR="00B95AD6" w:rsidRPr="002D755F">
        <w:rPr>
          <w:rFonts w:ascii="Times New Roman" w:hAnsi="Times New Roman" w:cs="Times New Roman"/>
          <w:bCs/>
          <w:sz w:val="24"/>
          <w:szCs w:val="24"/>
        </w:rPr>
        <w:t xml:space="preserve"> </w:t>
      </w:r>
    </w:p>
    <w:p w14:paraId="26AA5368" w14:textId="77777777" w:rsidR="00A759D1" w:rsidRPr="002D755F" w:rsidRDefault="00A759D1" w:rsidP="00B95AD6">
      <w:pPr>
        <w:spacing w:after="0" w:line="360" w:lineRule="auto"/>
        <w:contextualSpacing/>
        <w:jc w:val="center"/>
        <w:rPr>
          <w:rFonts w:ascii="Times New Roman" w:hAnsi="Times New Roman" w:cs="Times New Roman"/>
          <w:bCs/>
          <w:sz w:val="24"/>
          <w:szCs w:val="24"/>
        </w:rPr>
      </w:pPr>
    </w:p>
    <w:p w14:paraId="6F4E9651" w14:textId="77777777" w:rsidR="0012149F" w:rsidRPr="002D755F" w:rsidRDefault="0012149F" w:rsidP="007C2FEE">
      <w:pPr>
        <w:spacing w:after="0" w:line="360" w:lineRule="auto"/>
        <w:contextualSpacing/>
        <w:jc w:val="both"/>
        <w:rPr>
          <w:rFonts w:ascii="Times New Roman" w:hAnsi="Times New Roman" w:cs="Times New Roman"/>
          <w:b/>
          <w:sz w:val="24"/>
          <w:szCs w:val="24"/>
        </w:rPr>
      </w:pPr>
    </w:p>
    <w:p w14:paraId="34E9A3F4" w14:textId="77777777" w:rsidR="007C2FEE" w:rsidRPr="002D755F" w:rsidRDefault="006D032C" w:rsidP="007C2FEE">
      <w:pPr>
        <w:spacing w:after="0" w:line="360" w:lineRule="auto"/>
        <w:contextualSpacing/>
        <w:jc w:val="both"/>
        <w:rPr>
          <w:b/>
        </w:rPr>
      </w:pPr>
      <w:r w:rsidRPr="002D755F">
        <w:rPr>
          <w:rFonts w:ascii="Times New Roman" w:hAnsi="Times New Roman" w:cs="Times New Roman"/>
          <w:b/>
          <w:sz w:val="24"/>
          <w:szCs w:val="24"/>
        </w:rPr>
        <w:t>Abstract</w:t>
      </w:r>
      <w:r w:rsidR="007C2FEE" w:rsidRPr="002D755F">
        <w:rPr>
          <w:b/>
        </w:rPr>
        <w:t xml:space="preserve"> </w:t>
      </w:r>
    </w:p>
    <w:p w14:paraId="5C2334AE" w14:textId="77777777" w:rsidR="002D755F" w:rsidRDefault="002D755F" w:rsidP="002D755F">
      <w:pPr>
        <w:spacing w:after="0" w:line="360" w:lineRule="auto"/>
        <w:contextualSpacing/>
        <w:jc w:val="both"/>
      </w:pPr>
      <w:r w:rsidRPr="002D755F">
        <w:rPr>
          <w:rFonts w:ascii="Times New Roman" w:hAnsi="Times New Roman"/>
          <w:sz w:val="24"/>
        </w:rPr>
        <w:t xml:space="preserve">Mineral nutrition plays an important role in supporting fish growth, feed utilisation, health, and flesh quality in aquaculture. However, the comparative effectiveness of fish-specific and livestock mineral mixtures in carp feed under different </w:t>
      </w:r>
      <w:proofErr w:type="spellStart"/>
      <w:r w:rsidRPr="002D755F">
        <w:rPr>
          <w:rFonts w:ascii="Times New Roman" w:hAnsi="Times New Roman"/>
          <w:sz w:val="24"/>
        </w:rPr>
        <w:t>agro</w:t>
      </w:r>
      <w:proofErr w:type="spellEnd"/>
      <w:r w:rsidRPr="002D755F">
        <w:rPr>
          <w:rFonts w:ascii="Times New Roman" w:hAnsi="Times New Roman"/>
          <w:sz w:val="24"/>
        </w:rPr>
        <w:t>-climatic conditions of Punjab has not been adequately evaluated. Therefore, this study assessed the effects of these mineral supplements on growth performance, production, flesh composition, and economic returns in pond-based carp culture.</w:t>
      </w:r>
      <w:r>
        <w:rPr>
          <w:rFonts w:ascii="Times New Roman" w:hAnsi="Times New Roman"/>
          <w:sz w:val="24"/>
        </w:rPr>
        <w:t xml:space="preserve"> </w:t>
      </w:r>
      <w:r>
        <w:t xml:space="preserve">A 120-day field experiment was conducted at nine pond sites across Mohali/SAS Nagar, Tarn Taran, and </w:t>
      </w:r>
      <w:proofErr w:type="spellStart"/>
      <w:r>
        <w:t>Barnala</w:t>
      </w:r>
      <w:proofErr w:type="spellEnd"/>
      <w:r>
        <w:t xml:space="preserve"> districts of Punjab to evaluate the efficacy of mineral-mixture supplementation in carp feed under varied </w:t>
      </w:r>
      <w:proofErr w:type="spellStart"/>
      <w:r>
        <w:t>agro</w:t>
      </w:r>
      <w:proofErr w:type="spellEnd"/>
      <w:r>
        <w:t>-climatic conditions. Three dietary treatments were assessed: the farmers’ control diet (T1), the control diet supplemented with 1.5 per cent fish-specific mineral mixture (T2), and the control diet supplemented with 1.5 per cent livestock mineral mixture (T3). Growth performance, feed utilisation, water quality, fish production, flesh proximate composition, and economic returns were evaluated. Water-quality variables remained within the reported suitable range for carp culture. Mineral-supplemented treatments showed improved growth and feed-use performance compared with the control, with T2 recording the highest average length gain (11.00±0.38 cm), net weight gain (376.00±16.41 g), and total production (23.1567±2.76 quintals per acre), together with the lowest feed conversion ratio (1.51±1.43). Proximate analysis showed the highest protein content (35.50±0.62%) and ash content (14.56±0.40%) in T2, while moisture and fat contents did not differ significantly among treatments. T2 also recorded the highest total return and net profit. Within the conditions of this trial, supplementation with a 1.5 per cent fish-specific mineral mixture was associated with improved carp growth, production, flesh composition, and farm-level economic performance compared with the control and livestock-mineral-mixture treatments.</w:t>
      </w:r>
    </w:p>
    <w:p w14:paraId="65119BB9" w14:textId="77777777" w:rsidR="002D755F" w:rsidRDefault="002D755F" w:rsidP="002D755F">
      <w:pPr>
        <w:spacing w:after="0" w:line="360" w:lineRule="auto"/>
        <w:contextualSpacing/>
        <w:jc w:val="both"/>
      </w:pPr>
    </w:p>
    <w:p w14:paraId="2F340A1E" w14:textId="4DA8F025" w:rsidR="002D755F" w:rsidRDefault="006D032C" w:rsidP="002D755F">
      <w:pPr>
        <w:spacing w:after="0" w:line="360" w:lineRule="auto"/>
        <w:contextualSpacing/>
        <w:jc w:val="both"/>
        <w:rPr>
          <w:rFonts w:ascii="Times New Roman" w:hAnsi="Times New Roman" w:cs="Times New Roman"/>
          <w:sz w:val="24"/>
          <w:szCs w:val="24"/>
        </w:rPr>
      </w:pPr>
      <w:r w:rsidRPr="002D755F">
        <w:rPr>
          <w:rFonts w:ascii="Times New Roman" w:hAnsi="Times New Roman" w:cs="Times New Roman"/>
          <w:b/>
          <w:sz w:val="24"/>
          <w:szCs w:val="24"/>
        </w:rPr>
        <w:t>Key words:</w:t>
      </w:r>
      <w:r w:rsidR="005637BF" w:rsidRPr="002D755F">
        <w:rPr>
          <w:rFonts w:ascii="Times New Roman" w:hAnsi="Times New Roman" w:cs="Times New Roman"/>
          <w:sz w:val="24"/>
          <w:szCs w:val="24"/>
        </w:rPr>
        <w:t xml:space="preserve"> </w:t>
      </w:r>
      <w:r w:rsidR="002D755F" w:rsidRPr="002D755F">
        <w:rPr>
          <w:rFonts w:ascii="Times New Roman" w:hAnsi="Times New Roman" w:cs="Times New Roman"/>
          <w:sz w:val="24"/>
          <w:szCs w:val="24"/>
        </w:rPr>
        <w:t>Aquaculture; Carp culture; Feed conversion ratio; Fish-specific mineral mixture; Flesh composition; Growth performance; Mineral supplementation</w:t>
      </w:r>
    </w:p>
    <w:p w14:paraId="74DDD52A" w14:textId="77777777" w:rsidR="002D755F" w:rsidRDefault="002D755F" w:rsidP="002D755F">
      <w:pPr>
        <w:spacing w:after="0" w:line="360" w:lineRule="auto"/>
        <w:contextualSpacing/>
        <w:rPr>
          <w:rFonts w:ascii="Times New Roman" w:hAnsi="Times New Roman" w:cs="Times New Roman"/>
          <w:sz w:val="24"/>
          <w:szCs w:val="24"/>
        </w:rPr>
      </w:pPr>
    </w:p>
    <w:p w14:paraId="6B80B5D0" w14:textId="7A74FB69" w:rsidR="006D032C" w:rsidRPr="002D755F" w:rsidRDefault="006D032C" w:rsidP="002D755F">
      <w:pPr>
        <w:spacing w:after="0" w:line="360" w:lineRule="auto"/>
        <w:contextualSpacing/>
        <w:rPr>
          <w:rFonts w:ascii="Times New Roman" w:hAnsi="Times New Roman" w:cs="Times New Roman"/>
          <w:b/>
          <w:sz w:val="24"/>
          <w:szCs w:val="24"/>
        </w:rPr>
      </w:pPr>
      <w:r w:rsidRPr="002D755F">
        <w:rPr>
          <w:rFonts w:ascii="Times New Roman" w:hAnsi="Times New Roman" w:cs="Times New Roman"/>
          <w:b/>
          <w:sz w:val="24"/>
          <w:szCs w:val="24"/>
        </w:rPr>
        <w:t>Introduction</w:t>
      </w:r>
    </w:p>
    <w:p w14:paraId="7DDD1443" w14:textId="00387D02" w:rsidR="00B67198" w:rsidRPr="002D755F" w:rsidRDefault="002446D3">
      <w:pPr>
        <w:pStyle w:val="Default"/>
        <w:spacing w:line="360" w:lineRule="auto"/>
        <w:contextualSpacing/>
        <w:jc w:val="both"/>
      </w:pPr>
      <w:r w:rsidRPr="002D755F">
        <w:t xml:space="preserve">Fish are naturally adapted to grow and survive in natural water resources such as rivers, lakes, seas, oceans, and other aquatic environments. Advances in successful culture </w:t>
      </w:r>
      <w:r w:rsidRPr="002D755F">
        <w:lastRenderedPageBreak/>
        <w:t>techniques for various fish species have made it possible to rear aquatic organisms in captivity and, as a result, have increased total fish production in an attempt to fulfil the per capita requirement for animal protein (Shahabuddin et al., 1994). Along with quantity, the quality of the produce matters, as consumers are increasingly concerned about their health, food safety, and quality. They are even willing to pay more for good-quality produce. In the aquaculture industry, quality depends on the nutritional composition of fish flesh. To increase fish production, both quantitatively and qualitatively, the incorporation of a mineral mixture into fish feed is an important aspect. As essential inorganic elements, minerals strongly influence critical life processes in fish, including growth, development, and overall health (Lall &amp; Kaushik, 2021).</w:t>
      </w:r>
      <w:r w:rsidR="002D755F">
        <w:t xml:space="preserve"> </w:t>
      </w:r>
      <w:r w:rsidRPr="002D755F">
        <w:rPr>
          <w:bCs/>
        </w:rPr>
        <w:t>Recent evidence indicates that mineral bioavailability, dietary balance, and species-specific requirements are important considerations when formulating mineral-supplemented aquafeeds (Mmanda, 2025). Dietary zinc supplementation in common carp has likewise been shown to influence growth performance, feed conversion, and physiological status, reinforcing the need for appropriate mineral inclusion levels (Parveen et al., 2025).</w:t>
      </w:r>
    </w:p>
    <w:p w14:paraId="535527D4" w14:textId="2D511E9F" w:rsidR="00B67198" w:rsidRPr="002D755F" w:rsidRDefault="007309B6">
      <w:pPr>
        <w:pStyle w:val="Default"/>
        <w:spacing w:line="360" w:lineRule="auto"/>
        <w:contextualSpacing/>
        <w:jc w:val="both"/>
        <w:rPr>
          <w:rFonts w:cs="Book Antiqua"/>
        </w:rPr>
      </w:pPr>
      <w:r w:rsidRPr="002D755F">
        <w:tab/>
        <w:t xml:space="preserve">In the climatic conditions of Punjab, carps are predominantly cultured in this region. Like all animals, carps rely on minerals to support essential structural and metabolic processes. Their diet must include major minerals—fluorine (F), calcium (Ca), iron (Fe), magnesium (Mg), and phosphorus (P)—alongside vital trace elements such as zinc (Zn), iodine (I), cobalt (Co), molybdenum (Mo), sulphur (S), fluorine (F), manganese (Mn), and copper (Cu) (Watanabe et al., 1997; Lall, 2002; Ogino &amp; Takeda, 1976). These nutrients can be provided to fish by incorporating a mineral mixture into the fish feed. Feed management in commercial aquaculture is one of the most crucial factors, as the cost of production per kilogram of fish is dependent on the feeding regime because growth efficiency and feed wastage directly depend on the quality and quantity of fish feed (Mazid et al., 1997; </w:t>
      </w:r>
      <w:r w:rsidR="008E70ED" w:rsidRPr="008E70ED">
        <w:t>Biswas</w:t>
      </w:r>
      <w:r w:rsidR="008E70ED">
        <w:t xml:space="preserve"> et al.</w:t>
      </w:r>
      <w:r w:rsidRPr="002D755F">
        <w:t>, 200</w:t>
      </w:r>
      <w:r w:rsidR="008E70ED">
        <w:t>6</w:t>
      </w:r>
      <w:r w:rsidRPr="002D755F">
        <w:t>).</w:t>
      </w:r>
      <w:r w:rsidR="002D755F">
        <w:rPr>
          <w:rFonts w:cs="Book Antiqua"/>
        </w:rPr>
        <w:t xml:space="preserve"> </w:t>
      </w:r>
      <w:r w:rsidRPr="002D755F">
        <w:rPr>
          <w:bCs/>
        </w:rPr>
        <w:t xml:space="preserve">Feed additives in </w:t>
      </w:r>
      <w:proofErr w:type="spellStart"/>
      <w:r w:rsidRPr="002D755F">
        <w:rPr>
          <w:bCs/>
          <w:i/>
        </w:rPr>
        <w:t>Labeo</w:t>
      </w:r>
      <w:proofErr w:type="spellEnd"/>
      <w:r w:rsidRPr="002D755F">
        <w:rPr>
          <w:bCs/>
          <w:i/>
        </w:rPr>
        <w:t xml:space="preserve"> </w:t>
      </w:r>
      <w:proofErr w:type="spellStart"/>
      <w:r w:rsidRPr="002D755F">
        <w:rPr>
          <w:bCs/>
          <w:i/>
        </w:rPr>
        <w:t>rohita</w:t>
      </w:r>
      <w:proofErr w:type="spellEnd"/>
      <w:r w:rsidRPr="002D755F">
        <w:rPr>
          <w:bCs/>
        </w:rPr>
        <w:t xml:space="preserve"> have been reported to affect growth performance, feed efficiency, flesh composition, and production economics (Islam et al., 2023). Dietary protein level has also been shown to influence feed consumption, utilisation, protein retention, and growth in Nilem carp (Siahaan et al., 2024).</w:t>
      </w:r>
    </w:p>
    <w:p w14:paraId="04E5C67D" w14:textId="77777777" w:rsidR="00B67198" w:rsidRPr="002D755F" w:rsidRDefault="00000000">
      <w:pPr>
        <w:pStyle w:val="Default"/>
        <w:spacing w:line="360" w:lineRule="auto"/>
        <w:contextualSpacing/>
        <w:jc w:val="both"/>
        <w:rPr>
          <w:rFonts w:cs="Book Antiqua"/>
          <w:bCs/>
        </w:rPr>
      </w:pPr>
      <w:r w:rsidRPr="002D755F">
        <w:rPr>
          <w:rFonts w:eastAsia="Times New Roman"/>
          <w:bCs/>
        </w:rPr>
        <w:t>Accordingly, a direct field comparison of fish-specific and livestock mineral mixtures under the varied agro-climatic conditions of Punjab is needed to assess their relative effects on carp growth, production, flesh composition, and farm-level economics.</w:t>
      </w:r>
    </w:p>
    <w:p w14:paraId="7DFC4E0C" w14:textId="77777777" w:rsidR="009445A6" w:rsidRPr="002D755F" w:rsidRDefault="001D26B4" w:rsidP="009445A6">
      <w:pPr>
        <w:pStyle w:val="Default"/>
        <w:spacing w:line="360" w:lineRule="auto"/>
        <w:contextualSpacing/>
        <w:jc w:val="both"/>
        <w:rPr>
          <w:rFonts w:cs="Book Antiqua"/>
        </w:rPr>
      </w:pPr>
      <w:r w:rsidRPr="002D755F">
        <w:tab/>
        <w:t xml:space="preserve">The primary aim of this research was to assess the efficiency of a cost-effective, fish-specific mineral mixture in comparison with an animal-specific mineral mixture for fish </w:t>
      </w:r>
      <w:r w:rsidRPr="002D755F">
        <w:lastRenderedPageBreak/>
        <w:t>growth and total production of carp species in pond aquaculture systems under semi-intensive conditions.</w:t>
      </w:r>
    </w:p>
    <w:p w14:paraId="534B1BBE" w14:textId="77777777" w:rsidR="002F0C1E" w:rsidRPr="002D755F" w:rsidRDefault="002F0C1E" w:rsidP="002F0C1E">
      <w:pPr>
        <w:pStyle w:val="Default"/>
        <w:numPr>
          <w:ilvl w:val="0"/>
          <w:numId w:val="3"/>
        </w:numPr>
        <w:spacing w:line="360" w:lineRule="auto"/>
        <w:contextualSpacing/>
        <w:jc w:val="both"/>
        <w:rPr>
          <w:rFonts w:cs="Book Antiqua"/>
          <w:b/>
        </w:rPr>
      </w:pPr>
      <w:r w:rsidRPr="002D755F">
        <w:rPr>
          <w:rFonts w:cs="Book Antiqua"/>
          <w:b/>
        </w:rPr>
        <w:t>Material</w:t>
      </w:r>
      <w:r w:rsidR="00C06152" w:rsidRPr="002D755F">
        <w:rPr>
          <w:rFonts w:cs="Book Antiqua"/>
          <w:b/>
        </w:rPr>
        <w:t>s</w:t>
      </w:r>
      <w:r w:rsidRPr="002D755F">
        <w:rPr>
          <w:rFonts w:cs="Book Antiqua"/>
          <w:b/>
        </w:rPr>
        <w:t xml:space="preserve"> and Method</w:t>
      </w:r>
      <w:r w:rsidR="00C06152" w:rsidRPr="002D755F">
        <w:rPr>
          <w:rFonts w:cs="Book Antiqua"/>
          <w:b/>
        </w:rPr>
        <w:t>s</w:t>
      </w:r>
    </w:p>
    <w:p w14:paraId="03742BC2" w14:textId="77777777" w:rsidR="00BC700F" w:rsidRPr="002D755F" w:rsidRDefault="00A10FBE" w:rsidP="002F0C1E">
      <w:pPr>
        <w:pStyle w:val="ListParagraph"/>
        <w:numPr>
          <w:ilvl w:val="1"/>
          <w:numId w:val="3"/>
        </w:numPr>
        <w:spacing w:after="0" w:line="360" w:lineRule="auto"/>
        <w:jc w:val="both"/>
        <w:rPr>
          <w:rFonts w:ascii="Times New Roman" w:hAnsi="Times New Roman" w:cs="Times New Roman"/>
          <w:bCs/>
          <w:i/>
          <w:sz w:val="24"/>
          <w:szCs w:val="24"/>
        </w:rPr>
      </w:pPr>
      <w:r w:rsidRPr="002D755F">
        <w:rPr>
          <w:rFonts w:ascii="Times New Roman" w:hAnsi="Times New Roman" w:cs="Times New Roman"/>
          <w:bCs/>
          <w:i/>
          <w:sz w:val="24"/>
          <w:szCs w:val="24"/>
        </w:rPr>
        <w:t xml:space="preserve">Study </w:t>
      </w:r>
      <w:r w:rsidR="00BC700F" w:rsidRPr="002D755F">
        <w:rPr>
          <w:rFonts w:ascii="Times New Roman" w:hAnsi="Times New Roman" w:cs="Times New Roman"/>
          <w:bCs/>
          <w:i/>
          <w:sz w:val="24"/>
          <w:szCs w:val="24"/>
        </w:rPr>
        <w:t xml:space="preserve">Area </w:t>
      </w:r>
    </w:p>
    <w:p w14:paraId="1ABF5BE3" w14:textId="77777777" w:rsidR="00BC700F" w:rsidRPr="002D755F" w:rsidRDefault="00BC700F" w:rsidP="007309B6">
      <w:pPr>
        <w:spacing w:after="0" w:line="360" w:lineRule="auto"/>
        <w:contextualSpacing/>
        <w:jc w:val="both"/>
        <w:rPr>
          <w:rFonts w:ascii="Times New Roman" w:hAnsi="Times New Roman" w:cs="Times New Roman"/>
          <w:color w:val="FF0000"/>
          <w:sz w:val="24"/>
          <w:szCs w:val="24"/>
        </w:rPr>
      </w:pPr>
      <w:r w:rsidRPr="002D755F">
        <w:rPr>
          <w:rFonts w:ascii="Times New Roman" w:hAnsi="Times New Roman"/>
          <w:sz w:val="24"/>
        </w:rPr>
        <w:t>The study area covered three distinct agro-climatic zones of Punjab—Mohali, Tarn Taran, and Barnala districts—each with specific implications for aquaculture. Mohali (30.70°N, 76.72°E; 316 m asl) lies in the Shivalik foothill zone, with sandy loam to loam soils and a humid subtropical climate, with relatively higher rainfall and groundwater recharge. Tarn Taran (31.45°N, 74.93°E; 229 m asl), located in the central alluvial plains, has fertile loamy soils, abundant canal irrigation, and a semi-arid climate. Barnala (30.38°N, 75.55°E; 227 m asl) belongs to the Malwa region, with soil texture varying from sandy loam to clay loam, low organic matter, and an arid to semi-arid climate, with limited rainfall and groundwater constraints. Together, these districts represent varied soil types and climatic gradients of Punjab, offering a comprehensive base for comparative field studies. Three ponds (approximately 2.0 acres in area) were selected from each district (3 ponds × 3 districts = 9 experimental sites) for the study. Each experimental site is depicted as a pinpoint location in Figure 1.</w:t>
      </w:r>
    </w:p>
    <w:p w14:paraId="3A34E5F6" w14:textId="77777777" w:rsidR="00BC700F" w:rsidRPr="002D755F" w:rsidRDefault="00BC700F" w:rsidP="007309B6">
      <w:pPr>
        <w:spacing w:after="0" w:line="360" w:lineRule="auto"/>
        <w:contextualSpacing/>
        <w:jc w:val="center"/>
        <w:rPr>
          <w:rFonts w:ascii="Times New Roman" w:hAnsi="Times New Roman" w:cs="Times New Roman"/>
        </w:rPr>
      </w:pPr>
      <w:r w:rsidRPr="002D755F">
        <w:rPr>
          <w:rFonts w:ascii="Times New Roman" w:hAnsi="Times New Roman" w:cs="Times New Roman"/>
          <w:noProof/>
          <w:lang w:eastAsia="en-IN"/>
        </w:rPr>
        <w:drawing>
          <wp:inline distT="0" distB="0" distL="0" distR="0" wp14:anchorId="1B33D2B8" wp14:editId="2E279005">
            <wp:extent cx="5111980" cy="2834640"/>
            <wp:effectExtent l="0" t="0" r="0" b="3810"/>
            <wp:docPr id="84981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6027" cy="2836884"/>
                    </a:xfrm>
                    <a:prstGeom prst="rect">
                      <a:avLst/>
                    </a:prstGeom>
                    <a:noFill/>
                    <a:ln>
                      <a:noFill/>
                    </a:ln>
                  </pic:spPr>
                </pic:pic>
              </a:graphicData>
            </a:graphic>
          </wp:inline>
        </w:drawing>
      </w:r>
    </w:p>
    <w:p w14:paraId="1A66E7AF" w14:textId="77777777" w:rsidR="00BC700F" w:rsidRPr="002D755F" w:rsidRDefault="00BC700F" w:rsidP="007309B6">
      <w:pPr>
        <w:spacing w:after="0" w:line="360" w:lineRule="auto"/>
        <w:contextualSpacing/>
        <w:jc w:val="center"/>
        <w:rPr>
          <w:rFonts w:ascii="Times New Roman" w:hAnsi="Times New Roman" w:cs="Times New Roman"/>
        </w:rPr>
      </w:pPr>
      <w:r w:rsidRPr="002D755F">
        <w:rPr>
          <w:rFonts w:ascii="Times New Roman" w:hAnsi="Times New Roman" w:cs="Times New Roman"/>
        </w:rPr>
        <w:t xml:space="preserve">Figure 1: Map showing pin point locations of the experimental sites (Modified from Power BI) </w:t>
      </w:r>
    </w:p>
    <w:p w14:paraId="78D2EBD4" w14:textId="77777777" w:rsidR="00BC700F" w:rsidRPr="002D755F" w:rsidRDefault="002F0C1E" w:rsidP="007309B6">
      <w:pPr>
        <w:spacing w:after="0" w:line="360" w:lineRule="auto"/>
        <w:contextualSpacing/>
        <w:rPr>
          <w:rFonts w:ascii="Times New Roman" w:hAnsi="Times New Roman" w:cs="Times New Roman"/>
          <w:bCs/>
          <w:i/>
          <w:sz w:val="24"/>
          <w:szCs w:val="24"/>
        </w:rPr>
      </w:pPr>
      <w:r w:rsidRPr="002D755F">
        <w:rPr>
          <w:rFonts w:ascii="Times New Roman" w:hAnsi="Times New Roman" w:cs="Times New Roman"/>
          <w:bCs/>
          <w:i/>
          <w:sz w:val="24"/>
          <w:szCs w:val="24"/>
        </w:rPr>
        <w:t xml:space="preserve">2.2 </w:t>
      </w:r>
      <w:r w:rsidR="00BC700F" w:rsidRPr="002D755F">
        <w:rPr>
          <w:rFonts w:ascii="Times New Roman" w:hAnsi="Times New Roman" w:cs="Times New Roman"/>
          <w:bCs/>
          <w:i/>
          <w:sz w:val="24"/>
          <w:szCs w:val="24"/>
        </w:rPr>
        <w:t xml:space="preserve">Experimental </w:t>
      </w:r>
      <w:r w:rsidR="004A6494" w:rsidRPr="002D755F">
        <w:rPr>
          <w:rFonts w:ascii="Times New Roman" w:hAnsi="Times New Roman" w:cs="Times New Roman"/>
          <w:bCs/>
          <w:i/>
          <w:sz w:val="24"/>
          <w:szCs w:val="24"/>
        </w:rPr>
        <w:t>S</w:t>
      </w:r>
      <w:r w:rsidR="00BC700F" w:rsidRPr="002D755F">
        <w:rPr>
          <w:rFonts w:ascii="Times New Roman" w:hAnsi="Times New Roman" w:cs="Times New Roman"/>
          <w:bCs/>
          <w:i/>
          <w:sz w:val="24"/>
          <w:szCs w:val="24"/>
        </w:rPr>
        <w:t>etup</w:t>
      </w:r>
    </w:p>
    <w:p w14:paraId="4EAE1A40" w14:textId="77777777" w:rsidR="00D1395B" w:rsidRPr="002D755F" w:rsidRDefault="004A6494" w:rsidP="007309B6">
      <w:pPr>
        <w:spacing w:after="0" w:line="360" w:lineRule="auto"/>
        <w:contextualSpacing/>
        <w:jc w:val="both"/>
        <w:rPr>
          <w:rFonts w:ascii="Times New Roman" w:hAnsi="Times New Roman" w:cs="Times New Roman"/>
          <w:sz w:val="24"/>
          <w:szCs w:val="24"/>
        </w:rPr>
      </w:pPr>
      <w:r w:rsidRPr="002D755F">
        <w:rPr>
          <w:rFonts w:ascii="Times New Roman" w:hAnsi="Times New Roman"/>
          <w:sz w:val="24"/>
        </w:rPr>
        <w:t xml:space="preserve">The present experiment consisted of two treatments, i.e., T2 and T3, which were replicated at three different locations, i.e., Tarn Taran, SAS Nagar, and Barnala. The farmers’ practice was treated as the control treatment (T1). The experiment was carried out in identical ponds, each </w:t>
      </w:r>
      <w:r w:rsidRPr="002D755F">
        <w:rPr>
          <w:rFonts w:ascii="Times New Roman" w:hAnsi="Times New Roman"/>
          <w:sz w:val="24"/>
        </w:rPr>
        <w:lastRenderedPageBreak/>
        <w:t>with an area of 2.0 acres, and was conducted for 120 days. Treatment-wise details of the feed composition are presented in Table 1.</w:t>
      </w:r>
    </w:p>
    <w:p w14:paraId="0831FB5F" w14:textId="77777777" w:rsidR="00D1395B" w:rsidRPr="002D755F" w:rsidRDefault="00D1395B" w:rsidP="00D1395B">
      <w:pPr>
        <w:spacing w:after="0"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Table 1: Treatment wise detail of feed composition used in the trial</w:t>
      </w:r>
    </w:p>
    <w:tbl>
      <w:tblPr>
        <w:tblStyle w:val="TableGrid"/>
        <w:tblW w:w="0" w:type="auto"/>
        <w:tblLook w:val="04A0" w:firstRow="1" w:lastRow="0" w:firstColumn="1" w:lastColumn="0" w:noHBand="0" w:noVBand="1"/>
      </w:tblPr>
      <w:tblGrid>
        <w:gridCol w:w="1384"/>
        <w:gridCol w:w="2268"/>
        <w:gridCol w:w="5590"/>
      </w:tblGrid>
      <w:tr w:rsidR="00D1395B" w:rsidRPr="002D755F" w14:paraId="5D5D9488" w14:textId="77777777" w:rsidTr="00D1395B">
        <w:tc>
          <w:tcPr>
            <w:tcW w:w="1384" w:type="dxa"/>
          </w:tcPr>
          <w:p w14:paraId="00851121"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Treatment</w:t>
            </w:r>
          </w:p>
        </w:tc>
        <w:tc>
          <w:tcPr>
            <w:tcW w:w="2268" w:type="dxa"/>
          </w:tcPr>
          <w:p w14:paraId="0BEED983"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Practice/ Intervention</w:t>
            </w:r>
          </w:p>
        </w:tc>
        <w:tc>
          <w:tcPr>
            <w:tcW w:w="5590" w:type="dxa"/>
          </w:tcPr>
          <w:p w14:paraId="651B24BF"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Feed Details</w:t>
            </w:r>
          </w:p>
        </w:tc>
      </w:tr>
      <w:tr w:rsidR="00D1395B" w:rsidRPr="002D755F" w14:paraId="79AF1FA0" w14:textId="77777777" w:rsidTr="00D1395B">
        <w:tc>
          <w:tcPr>
            <w:tcW w:w="1384" w:type="dxa"/>
          </w:tcPr>
          <w:p w14:paraId="6A17FF2B"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T1</w:t>
            </w:r>
          </w:p>
        </w:tc>
        <w:tc>
          <w:tcPr>
            <w:tcW w:w="2268" w:type="dxa"/>
          </w:tcPr>
          <w:p w14:paraId="35A505B0"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Farmers Practice</w:t>
            </w:r>
          </w:p>
        </w:tc>
        <w:tc>
          <w:tcPr>
            <w:tcW w:w="5590" w:type="dxa"/>
          </w:tcPr>
          <w:p w14:paraId="16D80E73" w14:textId="77777777" w:rsidR="00D1395B" w:rsidRPr="002D755F" w:rsidRDefault="00B95AD6" w:rsidP="00B95AD6">
            <w:pPr>
              <w:spacing w:line="360" w:lineRule="auto"/>
              <w:contextualSpacing/>
              <w:jc w:val="both"/>
              <w:rPr>
                <w:rFonts w:ascii="Times New Roman" w:hAnsi="Times New Roman" w:cs="Times New Roman"/>
                <w:sz w:val="24"/>
                <w:szCs w:val="24"/>
              </w:rPr>
            </w:pPr>
            <w:r w:rsidRPr="002D755F">
              <w:rPr>
                <w:rFonts w:ascii="Times New Roman" w:hAnsi="Times New Roman" w:cs="Times New Roman"/>
                <w:sz w:val="24"/>
                <w:szCs w:val="24"/>
              </w:rPr>
              <w:t>Control</w:t>
            </w:r>
            <w:r w:rsidR="00D1395B" w:rsidRPr="002D755F">
              <w:rPr>
                <w:rFonts w:ascii="Times New Roman" w:hAnsi="Times New Roman" w:cs="Times New Roman"/>
                <w:sz w:val="24"/>
                <w:szCs w:val="24"/>
              </w:rPr>
              <w:t xml:space="preserve"> fish diet constitutes of rice bran and mustard meal mixed in </w:t>
            </w:r>
            <w:r w:rsidRPr="002D755F">
              <w:rPr>
                <w:rFonts w:ascii="Times New Roman" w:hAnsi="Times New Roman" w:cs="Times New Roman"/>
                <w:sz w:val="24"/>
                <w:szCs w:val="24"/>
              </w:rPr>
              <w:t>same proportion</w:t>
            </w:r>
          </w:p>
        </w:tc>
      </w:tr>
      <w:tr w:rsidR="00D1395B" w:rsidRPr="002D755F" w14:paraId="3DA9B56F" w14:textId="77777777" w:rsidTr="00D1395B">
        <w:tc>
          <w:tcPr>
            <w:tcW w:w="1384" w:type="dxa"/>
          </w:tcPr>
          <w:p w14:paraId="4E5D32C3"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T2</w:t>
            </w:r>
          </w:p>
        </w:tc>
        <w:tc>
          <w:tcPr>
            <w:tcW w:w="2268" w:type="dxa"/>
          </w:tcPr>
          <w:p w14:paraId="68714392"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Recommended</w:t>
            </w:r>
          </w:p>
        </w:tc>
        <w:tc>
          <w:tcPr>
            <w:tcW w:w="5590" w:type="dxa"/>
          </w:tcPr>
          <w:p w14:paraId="5C3A24FC" w14:textId="77777777" w:rsidR="00D1395B" w:rsidRPr="002D755F" w:rsidRDefault="00B95AD6" w:rsidP="00B95AD6">
            <w:pPr>
              <w:spacing w:line="360" w:lineRule="auto"/>
              <w:contextualSpacing/>
              <w:jc w:val="both"/>
              <w:rPr>
                <w:rFonts w:ascii="Times New Roman" w:hAnsi="Times New Roman" w:cs="Times New Roman"/>
                <w:sz w:val="24"/>
                <w:szCs w:val="24"/>
              </w:rPr>
            </w:pPr>
            <w:r w:rsidRPr="002D755F">
              <w:rPr>
                <w:rFonts w:ascii="Times New Roman" w:hAnsi="Times New Roman" w:cs="Times New Roman"/>
                <w:sz w:val="24"/>
                <w:szCs w:val="24"/>
              </w:rPr>
              <w:t>Control</w:t>
            </w:r>
            <w:r w:rsidR="00D1395B" w:rsidRPr="002D755F">
              <w:rPr>
                <w:rFonts w:ascii="Times New Roman" w:hAnsi="Times New Roman" w:cs="Times New Roman"/>
                <w:sz w:val="24"/>
                <w:szCs w:val="24"/>
              </w:rPr>
              <w:t xml:space="preserve"> fish diet </w:t>
            </w:r>
            <w:r w:rsidRPr="002D755F">
              <w:rPr>
                <w:rFonts w:ascii="Times New Roman" w:hAnsi="Times New Roman" w:cs="Times New Roman"/>
                <w:sz w:val="24"/>
                <w:szCs w:val="24"/>
              </w:rPr>
              <w:t>+</w:t>
            </w:r>
            <w:r w:rsidR="00D1395B" w:rsidRPr="002D755F">
              <w:rPr>
                <w:rFonts w:ascii="Times New Roman" w:hAnsi="Times New Roman" w:cs="Times New Roman"/>
                <w:sz w:val="24"/>
                <w:szCs w:val="24"/>
              </w:rPr>
              <w:t xml:space="preserve"> 1.5 </w:t>
            </w:r>
            <w:r w:rsidRPr="002D755F">
              <w:rPr>
                <w:rFonts w:ascii="Times New Roman" w:hAnsi="Times New Roman" w:cs="Times New Roman"/>
                <w:sz w:val="24"/>
                <w:szCs w:val="24"/>
              </w:rPr>
              <w:t>per cent</w:t>
            </w:r>
            <w:r w:rsidR="00D1395B" w:rsidRPr="002D755F">
              <w:rPr>
                <w:rFonts w:ascii="Times New Roman" w:hAnsi="Times New Roman" w:cs="Times New Roman"/>
                <w:sz w:val="24"/>
                <w:szCs w:val="24"/>
              </w:rPr>
              <w:t xml:space="preserve"> of fish specific mineral mixture</w:t>
            </w:r>
          </w:p>
        </w:tc>
      </w:tr>
      <w:tr w:rsidR="00D1395B" w:rsidRPr="002D755F" w14:paraId="4A0A6373" w14:textId="77777777" w:rsidTr="00D1395B">
        <w:tc>
          <w:tcPr>
            <w:tcW w:w="1384" w:type="dxa"/>
          </w:tcPr>
          <w:p w14:paraId="32A22DA7"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T3</w:t>
            </w:r>
          </w:p>
        </w:tc>
        <w:tc>
          <w:tcPr>
            <w:tcW w:w="2268" w:type="dxa"/>
          </w:tcPr>
          <w:p w14:paraId="12BE40B4" w14:textId="77777777" w:rsidR="00D1395B" w:rsidRPr="002D755F" w:rsidRDefault="00D1395B" w:rsidP="00D1395B">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Intervention</w:t>
            </w:r>
          </w:p>
        </w:tc>
        <w:tc>
          <w:tcPr>
            <w:tcW w:w="5590" w:type="dxa"/>
          </w:tcPr>
          <w:p w14:paraId="27C4F57C" w14:textId="77777777" w:rsidR="00D1395B" w:rsidRPr="002D755F" w:rsidRDefault="00B95AD6" w:rsidP="00B95AD6">
            <w:pPr>
              <w:spacing w:line="360" w:lineRule="auto"/>
              <w:contextualSpacing/>
              <w:jc w:val="both"/>
              <w:rPr>
                <w:rFonts w:ascii="Times New Roman" w:hAnsi="Times New Roman" w:cs="Times New Roman"/>
                <w:sz w:val="24"/>
                <w:szCs w:val="24"/>
              </w:rPr>
            </w:pPr>
            <w:r w:rsidRPr="002D755F">
              <w:rPr>
                <w:rFonts w:ascii="Times New Roman" w:hAnsi="Times New Roman" w:cs="Times New Roman"/>
                <w:sz w:val="24"/>
                <w:szCs w:val="24"/>
              </w:rPr>
              <w:t>Control</w:t>
            </w:r>
            <w:r w:rsidR="00D1395B" w:rsidRPr="002D755F">
              <w:rPr>
                <w:rFonts w:ascii="Times New Roman" w:hAnsi="Times New Roman" w:cs="Times New Roman"/>
                <w:sz w:val="24"/>
                <w:szCs w:val="24"/>
              </w:rPr>
              <w:t xml:space="preserve"> fish diet </w:t>
            </w:r>
            <w:r w:rsidRPr="002D755F">
              <w:rPr>
                <w:rFonts w:ascii="Times New Roman" w:hAnsi="Times New Roman" w:cs="Times New Roman"/>
                <w:sz w:val="24"/>
                <w:szCs w:val="24"/>
              </w:rPr>
              <w:t>+</w:t>
            </w:r>
            <w:r w:rsidR="00D1395B" w:rsidRPr="002D755F">
              <w:rPr>
                <w:rFonts w:ascii="Times New Roman" w:hAnsi="Times New Roman" w:cs="Times New Roman"/>
                <w:sz w:val="24"/>
                <w:szCs w:val="24"/>
              </w:rPr>
              <w:t xml:space="preserve"> 1.5 </w:t>
            </w:r>
            <w:r w:rsidRPr="002D755F">
              <w:rPr>
                <w:rFonts w:ascii="Times New Roman" w:hAnsi="Times New Roman" w:cs="Times New Roman"/>
                <w:sz w:val="24"/>
                <w:szCs w:val="24"/>
              </w:rPr>
              <w:t>per cent</w:t>
            </w:r>
            <w:r w:rsidR="00D1395B" w:rsidRPr="002D755F">
              <w:rPr>
                <w:rFonts w:ascii="Times New Roman" w:hAnsi="Times New Roman" w:cs="Times New Roman"/>
                <w:sz w:val="24"/>
                <w:szCs w:val="24"/>
              </w:rPr>
              <w:t xml:space="preserve"> of liv</w:t>
            </w:r>
            <w:r w:rsidR="00C831FC" w:rsidRPr="002D755F">
              <w:rPr>
                <w:rFonts w:ascii="Times New Roman" w:hAnsi="Times New Roman" w:cs="Times New Roman"/>
                <w:sz w:val="24"/>
                <w:szCs w:val="24"/>
              </w:rPr>
              <w:t>estock mineral mixture (</w:t>
            </w:r>
            <w:r w:rsidRPr="002D755F">
              <w:rPr>
                <w:rFonts w:ascii="Times New Roman" w:hAnsi="Times New Roman" w:cs="Times New Roman"/>
                <w:sz w:val="24"/>
                <w:szCs w:val="24"/>
              </w:rPr>
              <w:t>T</w:t>
            </w:r>
            <w:r w:rsidR="00C831FC" w:rsidRPr="002D755F">
              <w:rPr>
                <w:rFonts w:ascii="Times New Roman" w:hAnsi="Times New Roman" w:cs="Times New Roman"/>
                <w:sz w:val="24"/>
                <w:szCs w:val="24"/>
              </w:rPr>
              <w:t>ype 2)</w:t>
            </w:r>
          </w:p>
        </w:tc>
      </w:tr>
    </w:tbl>
    <w:p w14:paraId="0B95FE9C" w14:textId="77777777" w:rsidR="00D1395B" w:rsidRPr="002D755F" w:rsidRDefault="00D1395B" w:rsidP="007309B6">
      <w:pPr>
        <w:spacing w:after="0" w:line="360" w:lineRule="auto"/>
        <w:contextualSpacing/>
        <w:jc w:val="both"/>
        <w:rPr>
          <w:rFonts w:ascii="Times New Roman" w:hAnsi="Times New Roman" w:cs="Times New Roman"/>
          <w:sz w:val="24"/>
          <w:szCs w:val="24"/>
        </w:rPr>
      </w:pPr>
    </w:p>
    <w:p w14:paraId="14555342" w14:textId="77777777" w:rsidR="00BC700F" w:rsidRPr="002D755F" w:rsidRDefault="00BC700F" w:rsidP="006301A7">
      <w:pPr>
        <w:spacing w:after="0" w:line="360" w:lineRule="auto"/>
        <w:ind w:firstLine="720"/>
        <w:contextualSpacing/>
        <w:jc w:val="both"/>
        <w:rPr>
          <w:rFonts w:ascii="Times New Roman" w:hAnsi="Times New Roman" w:cs="Times New Roman"/>
          <w:sz w:val="24"/>
          <w:szCs w:val="24"/>
        </w:rPr>
      </w:pPr>
      <w:r w:rsidRPr="002D755F">
        <w:rPr>
          <w:rFonts w:ascii="Times New Roman" w:hAnsi="Times New Roman"/>
          <w:sz w:val="24"/>
        </w:rPr>
        <w:t>Both the fish-specific and livestock mineral mixtures (Type 2) were procured. The mineral content specifications of both mineral mixtures are provided in Table 2. Feeding was carried out daily at 5% of the total body weight in two split doses. The experimental feed was formulated in dry form and incorporated into the pond using the broadcasting method.</w:t>
      </w:r>
    </w:p>
    <w:p w14:paraId="2867C160" w14:textId="77777777" w:rsidR="00B95AD6" w:rsidRPr="002D755F" w:rsidRDefault="00B95AD6" w:rsidP="006301A7">
      <w:pPr>
        <w:spacing w:after="0" w:line="360" w:lineRule="auto"/>
        <w:ind w:firstLine="720"/>
        <w:contextualSpacing/>
        <w:jc w:val="both"/>
        <w:rPr>
          <w:rFonts w:ascii="Times New Roman" w:hAnsi="Times New Roman" w:cs="Times New Roman"/>
          <w:sz w:val="24"/>
          <w:szCs w:val="24"/>
        </w:rPr>
      </w:pPr>
    </w:p>
    <w:p w14:paraId="2F7254C5" w14:textId="77777777" w:rsidR="00BC700F" w:rsidRPr="002D755F" w:rsidRDefault="004D4753" w:rsidP="007309B6">
      <w:pPr>
        <w:spacing w:after="0"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Table 2</w:t>
      </w:r>
      <w:r w:rsidR="00BC700F" w:rsidRPr="002D755F">
        <w:rPr>
          <w:rFonts w:ascii="Times New Roman" w:hAnsi="Times New Roman" w:cs="Times New Roman"/>
          <w:b/>
          <w:sz w:val="24"/>
          <w:szCs w:val="24"/>
        </w:rPr>
        <w:t>: Mineral content specification of the mineral mixtures used in the study</w:t>
      </w:r>
    </w:p>
    <w:tbl>
      <w:tblPr>
        <w:tblStyle w:val="TableGrid"/>
        <w:tblW w:w="0" w:type="auto"/>
        <w:tblLook w:val="04A0" w:firstRow="1" w:lastRow="0" w:firstColumn="1" w:lastColumn="0" w:noHBand="0" w:noVBand="1"/>
      </w:tblPr>
      <w:tblGrid>
        <w:gridCol w:w="988"/>
        <w:gridCol w:w="2409"/>
        <w:gridCol w:w="2835"/>
        <w:gridCol w:w="2784"/>
      </w:tblGrid>
      <w:tr w:rsidR="00BC700F" w:rsidRPr="002D755F" w14:paraId="0B20279A" w14:textId="77777777" w:rsidTr="00EB4A6A">
        <w:tc>
          <w:tcPr>
            <w:tcW w:w="988" w:type="dxa"/>
          </w:tcPr>
          <w:p w14:paraId="502ADBB0" w14:textId="77777777" w:rsidR="00BC700F" w:rsidRPr="002D755F" w:rsidRDefault="00BC700F" w:rsidP="007309B6">
            <w:pPr>
              <w:spacing w:line="360" w:lineRule="auto"/>
              <w:contextualSpacing/>
              <w:jc w:val="center"/>
              <w:rPr>
                <w:rFonts w:ascii="Times New Roman" w:hAnsi="Times New Roman" w:cs="Times New Roman"/>
                <w:b/>
                <w:bCs/>
                <w:sz w:val="24"/>
                <w:szCs w:val="24"/>
              </w:rPr>
            </w:pPr>
            <w:r w:rsidRPr="002D755F">
              <w:rPr>
                <w:rFonts w:ascii="Times New Roman" w:hAnsi="Times New Roman" w:cs="Times New Roman"/>
                <w:b/>
                <w:bCs/>
                <w:sz w:val="24"/>
                <w:szCs w:val="24"/>
              </w:rPr>
              <w:t>Sr. No.</w:t>
            </w:r>
          </w:p>
        </w:tc>
        <w:tc>
          <w:tcPr>
            <w:tcW w:w="2409" w:type="dxa"/>
          </w:tcPr>
          <w:p w14:paraId="173ACBC7" w14:textId="77777777" w:rsidR="00BC700F" w:rsidRPr="002D755F" w:rsidRDefault="00BC700F" w:rsidP="007309B6">
            <w:pPr>
              <w:spacing w:line="360" w:lineRule="auto"/>
              <w:contextualSpacing/>
              <w:jc w:val="center"/>
              <w:rPr>
                <w:rFonts w:ascii="Times New Roman" w:hAnsi="Times New Roman" w:cs="Times New Roman"/>
                <w:b/>
                <w:bCs/>
                <w:sz w:val="24"/>
                <w:szCs w:val="24"/>
              </w:rPr>
            </w:pPr>
            <w:r w:rsidRPr="002D755F">
              <w:rPr>
                <w:rFonts w:ascii="Times New Roman" w:hAnsi="Times New Roman" w:cs="Times New Roman"/>
                <w:b/>
                <w:bCs/>
                <w:sz w:val="24"/>
                <w:szCs w:val="24"/>
              </w:rPr>
              <w:t>Contents</w:t>
            </w:r>
          </w:p>
        </w:tc>
        <w:tc>
          <w:tcPr>
            <w:tcW w:w="2835" w:type="dxa"/>
          </w:tcPr>
          <w:p w14:paraId="45A846CB" w14:textId="77777777" w:rsidR="00BC700F" w:rsidRPr="002D755F" w:rsidRDefault="00BC700F" w:rsidP="007309B6">
            <w:pPr>
              <w:spacing w:line="360" w:lineRule="auto"/>
              <w:contextualSpacing/>
              <w:jc w:val="center"/>
              <w:rPr>
                <w:rFonts w:ascii="Times New Roman" w:hAnsi="Times New Roman" w:cs="Times New Roman"/>
                <w:b/>
                <w:bCs/>
                <w:sz w:val="24"/>
                <w:szCs w:val="24"/>
              </w:rPr>
            </w:pPr>
            <w:r w:rsidRPr="002D755F">
              <w:rPr>
                <w:rFonts w:ascii="Times New Roman" w:hAnsi="Times New Roman" w:cs="Times New Roman"/>
                <w:b/>
                <w:bCs/>
                <w:sz w:val="24"/>
                <w:szCs w:val="24"/>
              </w:rPr>
              <w:t>Fish Specific Mineral Mixture (%)</w:t>
            </w:r>
          </w:p>
        </w:tc>
        <w:tc>
          <w:tcPr>
            <w:tcW w:w="2784" w:type="dxa"/>
          </w:tcPr>
          <w:p w14:paraId="63B0A7BF" w14:textId="77777777" w:rsidR="00BC700F" w:rsidRPr="002D755F" w:rsidRDefault="00BC700F" w:rsidP="007309B6">
            <w:pPr>
              <w:spacing w:line="360" w:lineRule="auto"/>
              <w:contextualSpacing/>
              <w:jc w:val="center"/>
              <w:rPr>
                <w:rFonts w:ascii="Times New Roman" w:hAnsi="Times New Roman" w:cs="Times New Roman"/>
                <w:b/>
                <w:bCs/>
                <w:sz w:val="24"/>
                <w:szCs w:val="24"/>
              </w:rPr>
            </w:pPr>
            <w:r w:rsidRPr="002D755F">
              <w:rPr>
                <w:rFonts w:ascii="Times New Roman" w:hAnsi="Times New Roman" w:cs="Times New Roman"/>
                <w:b/>
                <w:bCs/>
                <w:sz w:val="24"/>
                <w:szCs w:val="24"/>
              </w:rPr>
              <w:t>Livestock Mineral Mixture (Type 2) (%)</w:t>
            </w:r>
          </w:p>
        </w:tc>
      </w:tr>
      <w:tr w:rsidR="00BC700F" w:rsidRPr="002D755F" w14:paraId="34AAAD46" w14:textId="77777777" w:rsidTr="00EB4A6A">
        <w:tc>
          <w:tcPr>
            <w:tcW w:w="988" w:type="dxa"/>
          </w:tcPr>
          <w:p w14:paraId="6B9BF0E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w:t>
            </w:r>
          </w:p>
        </w:tc>
        <w:tc>
          <w:tcPr>
            <w:tcW w:w="2409" w:type="dxa"/>
          </w:tcPr>
          <w:p w14:paraId="58766D7E"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Moisture</w:t>
            </w:r>
          </w:p>
        </w:tc>
        <w:tc>
          <w:tcPr>
            <w:tcW w:w="2835" w:type="dxa"/>
          </w:tcPr>
          <w:p w14:paraId="52535A02"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&lt;5.00</w:t>
            </w:r>
          </w:p>
        </w:tc>
        <w:tc>
          <w:tcPr>
            <w:tcW w:w="2784" w:type="dxa"/>
          </w:tcPr>
          <w:p w14:paraId="62B0D365"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5.0</w:t>
            </w:r>
          </w:p>
        </w:tc>
      </w:tr>
      <w:tr w:rsidR="00BC700F" w:rsidRPr="002D755F" w14:paraId="61CB33C0" w14:textId="77777777" w:rsidTr="00EB4A6A">
        <w:tc>
          <w:tcPr>
            <w:tcW w:w="988" w:type="dxa"/>
          </w:tcPr>
          <w:p w14:paraId="12C61945"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2.</w:t>
            </w:r>
          </w:p>
        </w:tc>
        <w:tc>
          <w:tcPr>
            <w:tcW w:w="2409" w:type="dxa"/>
          </w:tcPr>
          <w:p w14:paraId="54C42071"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Calcium</w:t>
            </w:r>
          </w:p>
        </w:tc>
        <w:tc>
          <w:tcPr>
            <w:tcW w:w="2835" w:type="dxa"/>
          </w:tcPr>
          <w:p w14:paraId="031D679F"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17.60</w:t>
            </w:r>
          </w:p>
        </w:tc>
        <w:tc>
          <w:tcPr>
            <w:tcW w:w="2784" w:type="dxa"/>
          </w:tcPr>
          <w:p w14:paraId="1A1CE6B3"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20.0</w:t>
            </w:r>
          </w:p>
        </w:tc>
      </w:tr>
      <w:tr w:rsidR="00BC700F" w:rsidRPr="002D755F" w14:paraId="1B9005B4" w14:textId="77777777" w:rsidTr="00EB4A6A">
        <w:tc>
          <w:tcPr>
            <w:tcW w:w="988" w:type="dxa"/>
          </w:tcPr>
          <w:p w14:paraId="4B8D2B9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w:t>
            </w:r>
          </w:p>
        </w:tc>
        <w:tc>
          <w:tcPr>
            <w:tcW w:w="2409" w:type="dxa"/>
          </w:tcPr>
          <w:p w14:paraId="01CED7DE"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Phosphorus</w:t>
            </w:r>
          </w:p>
        </w:tc>
        <w:tc>
          <w:tcPr>
            <w:tcW w:w="2835" w:type="dxa"/>
          </w:tcPr>
          <w:p w14:paraId="773C0B1B"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13.40</w:t>
            </w:r>
          </w:p>
        </w:tc>
        <w:tc>
          <w:tcPr>
            <w:tcW w:w="2784" w:type="dxa"/>
          </w:tcPr>
          <w:p w14:paraId="5582F223"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12.0</w:t>
            </w:r>
          </w:p>
        </w:tc>
      </w:tr>
      <w:tr w:rsidR="00BC700F" w:rsidRPr="002D755F" w14:paraId="3D1FFE6D" w14:textId="77777777" w:rsidTr="00EB4A6A">
        <w:tc>
          <w:tcPr>
            <w:tcW w:w="988" w:type="dxa"/>
          </w:tcPr>
          <w:p w14:paraId="7F378DD3"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4.</w:t>
            </w:r>
          </w:p>
        </w:tc>
        <w:tc>
          <w:tcPr>
            <w:tcW w:w="2409" w:type="dxa"/>
          </w:tcPr>
          <w:p w14:paraId="1148C3C7"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Magnesium</w:t>
            </w:r>
          </w:p>
        </w:tc>
        <w:tc>
          <w:tcPr>
            <w:tcW w:w="2835" w:type="dxa"/>
          </w:tcPr>
          <w:p w14:paraId="2F8B60F7"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3.38</w:t>
            </w:r>
          </w:p>
        </w:tc>
        <w:tc>
          <w:tcPr>
            <w:tcW w:w="2784" w:type="dxa"/>
          </w:tcPr>
          <w:p w14:paraId="1113BC00"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5.0</w:t>
            </w:r>
          </w:p>
        </w:tc>
      </w:tr>
      <w:tr w:rsidR="00BC700F" w:rsidRPr="002D755F" w14:paraId="1CED6843" w14:textId="77777777" w:rsidTr="00EB4A6A">
        <w:tc>
          <w:tcPr>
            <w:tcW w:w="988" w:type="dxa"/>
          </w:tcPr>
          <w:p w14:paraId="0F707ECE"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5.</w:t>
            </w:r>
          </w:p>
        </w:tc>
        <w:tc>
          <w:tcPr>
            <w:tcW w:w="2409" w:type="dxa"/>
          </w:tcPr>
          <w:p w14:paraId="69BD6B31"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Zinc</w:t>
            </w:r>
          </w:p>
        </w:tc>
        <w:tc>
          <w:tcPr>
            <w:tcW w:w="2835" w:type="dxa"/>
          </w:tcPr>
          <w:p w14:paraId="22C62625"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0.20</w:t>
            </w:r>
          </w:p>
        </w:tc>
        <w:tc>
          <w:tcPr>
            <w:tcW w:w="2784" w:type="dxa"/>
          </w:tcPr>
          <w:p w14:paraId="26B23023"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0.80</w:t>
            </w:r>
          </w:p>
        </w:tc>
      </w:tr>
      <w:tr w:rsidR="00BC700F" w:rsidRPr="002D755F" w14:paraId="0FE503CB" w14:textId="77777777" w:rsidTr="00EB4A6A">
        <w:tc>
          <w:tcPr>
            <w:tcW w:w="988" w:type="dxa"/>
          </w:tcPr>
          <w:p w14:paraId="5AC598FF"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6.</w:t>
            </w:r>
          </w:p>
        </w:tc>
        <w:tc>
          <w:tcPr>
            <w:tcW w:w="2409" w:type="dxa"/>
          </w:tcPr>
          <w:p w14:paraId="698B537D"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Iron</w:t>
            </w:r>
          </w:p>
        </w:tc>
        <w:tc>
          <w:tcPr>
            <w:tcW w:w="2835" w:type="dxa"/>
          </w:tcPr>
          <w:p w14:paraId="210ECEF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1.00</w:t>
            </w:r>
          </w:p>
        </w:tc>
        <w:tc>
          <w:tcPr>
            <w:tcW w:w="2784" w:type="dxa"/>
          </w:tcPr>
          <w:p w14:paraId="50275497"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0.4</w:t>
            </w:r>
          </w:p>
        </w:tc>
      </w:tr>
      <w:tr w:rsidR="00BC700F" w:rsidRPr="002D755F" w14:paraId="498C3D6E" w14:textId="77777777" w:rsidTr="00EB4A6A">
        <w:tc>
          <w:tcPr>
            <w:tcW w:w="988" w:type="dxa"/>
          </w:tcPr>
          <w:p w14:paraId="5FCF3B8A"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7.</w:t>
            </w:r>
          </w:p>
        </w:tc>
        <w:tc>
          <w:tcPr>
            <w:tcW w:w="2409" w:type="dxa"/>
          </w:tcPr>
          <w:p w14:paraId="2C2C1133"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Copper</w:t>
            </w:r>
          </w:p>
        </w:tc>
        <w:tc>
          <w:tcPr>
            <w:tcW w:w="2835" w:type="dxa"/>
          </w:tcPr>
          <w:p w14:paraId="319C92DE"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0.021</w:t>
            </w:r>
          </w:p>
        </w:tc>
        <w:tc>
          <w:tcPr>
            <w:tcW w:w="2784" w:type="dxa"/>
          </w:tcPr>
          <w:p w14:paraId="5EBB111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0.100</w:t>
            </w:r>
          </w:p>
        </w:tc>
      </w:tr>
      <w:tr w:rsidR="00BC700F" w:rsidRPr="002D755F" w14:paraId="20A65C44" w14:textId="77777777" w:rsidTr="00EB4A6A">
        <w:tc>
          <w:tcPr>
            <w:tcW w:w="988" w:type="dxa"/>
          </w:tcPr>
          <w:p w14:paraId="241D9222"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8.</w:t>
            </w:r>
          </w:p>
        </w:tc>
        <w:tc>
          <w:tcPr>
            <w:tcW w:w="2409" w:type="dxa"/>
          </w:tcPr>
          <w:p w14:paraId="1D7BEEC8"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Manganese</w:t>
            </w:r>
          </w:p>
        </w:tc>
        <w:tc>
          <w:tcPr>
            <w:tcW w:w="2835" w:type="dxa"/>
          </w:tcPr>
          <w:p w14:paraId="36842C9F"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0.087</w:t>
            </w:r>
          </w:p>
        </w:tc>
        <w:tc>
          <w:tcPr>
            <w:tcW w:w="2784" w:type="dxa"/>
          </w:tcPr>
          <w:p w14:paraId="07B0B1E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0.12</w:t>
            </w:r>
          </w:p>
        </w:tc>
      </w:tr>
      <w:tr w:rsidR="00BC700F" w:rsidRPr="002D755F" w14:paraId="28E7C92C" w14:textId="77777777" w:rsidTr="00EB4A6A">
        <w:tc>
          <w:tcPr>
            <w:tcW w:w="988" w:type="dxa"/>
          </w:tcPr>
          <w:p w14:paraId="292E52A7"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9.</w:t>
            </w:r>
          </w:p>
        </w:tc>
        <w:tc>
          <w:tcPr>
            <w:tcW w:w="2409" w:type="dxa"/>
          </w:tcPr>
          <w:p w14:paraId="7125A21D"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Iodine</w:t>
            </w:r>
          </w:p>
        </w:tc>
        <w:tc>
          <w:tcPr>
            <w:tcW w:w="2835" w:type="dxa"/>
          </w:tcPr>
          <w:p w14:paraId="4BC91D62"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0.00624</w:t>
            </w:r>
          </w:p>
        </w:tc>
        <w:tc>
          <w:tcPr>
            <w:tcW w:w="2784" w:type="dxa"/>
          </w:tcPr>
          <w:p w14:paraId="7D791356"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0.026</w:t>
            </w:r>
          </w:p>
        </w:tc>
      </w:tr>
      <w:tr w:rsidR="00BC700F" w:rsidRPr="002D755F" w14:paraId="3E9155DF" w14:textId="77777777" w:rsidTr="00EB4A6A">
        <w:tc>
          <w:tcPr>
            <w:tcW w:w="988" w:type="dxa"/>
          </w:tcPr>
          <w:p w14:paraId="5F1D6B6F"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10.</w:t>
            </w:r>
          </w:p>
        </w:tc>
        <w:tc>
          <w:tcPr>
            <w:tcW w:w="2409" w:type="dxa"/>
          </w:tcPr>
          <w:p w14:paraId="06AF61F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Sulphur</w:t>
            </w:r>
          </w:p>
        </w:tc>
        <w:tc>
          <w:tcPr>
            <w:tcW w:w="2835" w:type="dxa"/>
          </w:tcPr>
          <w:p w14:paraId="114EC02A"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w:t>
            </w:r>
          </w:p>
        </w:tc>
        <w:tc>
          <w:tcPr>
            <w:tcW w:w="2784" w:type="dxa"/>
          </w:tcPr>
          <w:p w14:paraId="152EC6E7"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1.8-3.0</w:t>
            </w:r>
          </w:p>
        </w:tc>
      </w:tr>
      <w:tr w:rsidR="00BC700F" w:rsidRPr="002D755F" w14:paraId="07DE3972" w14:textId="77777777" w:rsidTr="00EB4A6A">
        <w:tc>
          <w:tcPr>
            <w:tcW w:w="988" w:type="dxa"/>
          </w:tcPr>
          <w:p w14:paraId="68983090"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11.</w:t>
            </w:r>
          </w:p>
        </w:tc>
        <w:tc>
          <w:tcPr>
            <w:tcW w:w="2409" w:type="dxa"/>
          </w:tcPr>
          <w:p w14:paraId="318BFB60"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Cobalt</w:t>
            </w:r>
          </w:p>
        </w:tc>
        <w:tc>
          <w:tcPr>
            <w:tcW w:w="2835" w:type="dxa"/>
          </w:tcPr>
          <w:p w14:paraId="62375D67"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w:t>
            </w:r>
          </w:p>
        </w:tc>
        <w:tc>
          <w:tcPr>
            <w:tcW w:w="2784" w:type="dxa"/>
          </w:tcPr>
          <w:p w14:paraId="010715DC"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0.012</w:t>
            </w:r>
          </w:p>
        </w:tc>
      </w:tr>
      <w:tr w:rsidR="00BC700F" w:rsidRPr="002D755F" w14:paraId="1DECC42D" w14:textId="77777777" w:rsidTr="00EB4A6A">
        <w:tc>
          <w:tcPr>
            <w:tcW w:w="988" w:type="dxa"/>
          </w:tcPr>
          <w:p w14:paraId="734E7772"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12.</w:t>
            </w:r>
          </w:p>
        </w:tc>
        <w:tc>
          <w:tcPr>
            <w:tcW w:w="2409" w:type="dxa"/>
          </w:tcPr>
          <w:p w14:paraId="24493C20"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Silica</w:t>
            </w:r>
          </w:p>
        </w:tc>
        <w:tc>
          <w:tcPr>
            <w:tcW w:w="2835" w:type="dxa"/>
          </w:tcPr>
          <w:p w14:paraId="2894627B" w14:textId="77777777" w:rsidR="00BC700F" w:rsidRPr="002D755F" w:rsidRDefault="00BC700F"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w:t>
            </w:r>
          </w:p>
        </w:tc>
        <w:tc>
          <w:tcPr>
            <w:tcW w:w="2784" w:type="dxa"/>
          </w:tcPr>
          <w:p w14:paraId="5F92CDC4" w14:textId="77777777" w:rsidR="00B95AD6" w:rsidRPr="002D755F" w:rsidRDefault="00B95AD6" w:rsidP="00B95AD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3.0</w:t>
            </w:r>
          </w:p>
        </w:tc>
      </w:tr>
    </w:tbl>
    <w:p w14:paraId="1F2EC260" w14:textId="77777777" w:rsidR="00BC700F" w:rsidRPr="002D755F" w:rsidRDefault="00BC700F" w:rsidP="007309B6">
      <w:pPr>
        <w:spacing w:after="0" w:line="360" w:lineRule="auto"/>
        <w:contextualSpacing/>
        <w:rPr>
          <w:rFonts w:ascii="Times New Roman" w:hAnsi="Times New Roman" w:cs="Times New Roman"/>
          <w:b/>
          <w:bCs/>
        </w:rPr>
      </w:pPr>
    </w:p>
    <w:p w14:paraId="5FE3900D" w14:textId="77777777" w:rsidR="00BC700F" w:rsidRPr="002D755F" w:rsidRDefault="002F0C1E" w:rsidP="007309B6">
      <w:pPr>
        <w:spacing w:after="0" w:line="360" w:lineRule="auto"/>
        <w:contextualSpacing/>
        <w:rPr>
          <w:rFonts w:ascii="Times New Roman" w:hAnsi="Times New Roman" w:cs="Times New Roman"/>
          <w:bCs/>
          <w:i/>
          <w:sz w:val="24"/>
          <w:szCs w:val="24"/>
        </w:rPr>
      </w:pPr>
      <w:r w:rsidRPr="002D755F">
        <w:rPr>
          <w:rFonts w:ascii="Times New Roman" w:hAnsi="Times New Roman" w:cs="Times New Roman"/>
          <w:bCs/>
          <w:i/>
          <w:sz w:val="24"/>
          <w:szCs w:val="24"/>
        </w:rPr>
        <w:lastRenderedPageBreak/>
        <w:t xml:space="preserve">2.3 </w:t>
      </w:r>
      <w:r w:rsidR="00DA71D8" w:rsidRPr="002D755F">
        <w:rPr>
          <w:rFonts w:ascii="Times New Roman" w:hAnsi="Times New Roman" w:cs="Times New Roman"/>
          <w:bCs/>
          <w:i/>
          <w:sz w:val="24"/>
          <w:szCs w:val="24"/>
        </w:rPr>
        <w:t>Water Quality Analysis</w:t>
      </w:r>
    </w:p>
    <w:p w14:paraId="381A1EE3" w14:textId="77777777" w:rsidR="00BC700F" w:rsidRPr="002D755F" w:rsidRDefault="00B95AD6" w:rsidP="007309B6">
      <w:pPr>
        <w:spacing w:after="0" w:line="360" w:lineRule="auto"/>
        <w:contextualSpacing/>
        <w:jc w:val="both"/>
        <w:rPr>
          <w:rFonts w:ascii="Times New Roman" w:hAnsi="Times New Roman" w:cs="Times New Roman"/>
          <w:sz w:val="24"/>
          <w:szCs w:val="24"/>
        </w:rPr>
      </w:pPr>
      <w:r w:rsidRPr="002D755F">
        <w:rPr>
          <w:rFonts w:ascii="Times New Roman" w:hAnsi="Times New Roman"/>
          <w:sz w:val="24"/>
        </w:rPr>
        <w:t>For the estimation of pond water quality, samples were collected and examined monthly to assess various parameters, including water pH, dissolved oxygen, total alkalinity, and total hardness (APHA, 2012). For the analysis, water samples were collected at monthly intervals in the morning hours to maintain uniformity of sample collection across the different experimental sites.</w:t>
      </w:r>
    </w:p>
    <w:p w14:paraId="5D1FADF9" w14:textId="77777777" w:rsidR="00BC700F" w:rsidRPr="002D755F" w:rsidRDefault="002F0C1E" w:rsidP="007309B6">
      <w:pPr>
        <w:spacing w:after="0" w:line="360" w:lineRule="auto"/>
        <w:contextualSpacing/>
        <w:rPr>
          <w:rFonts w:ascii="Times New Roman" w:hAnsi="Times New Roman" w:cs="Times New Roman"/>
          <w:bCs/>
          <w:i/>
          <w:sz w:val="24"/>
          <w:szCs w:val="24"/>
        </w:rPr>
      </w:pPr>
      <w:r w:rsidRPr="002D755F">
        <w:rPr>
          <w:rFonts w:ascii="Times New Roman" w:hAnsi="Times New Roman" w:cs="Times New Roman"/>
          <w:bCs/>
          <w:i/>
          <w:sz w:val="24"/>
          <w:szCs w:val="24"/>
        </w:rPr>
        <w:t xml:space="preserve">2.4 </w:t>
      </w:r>
      <w:r w:rsidR="00BC700F" w:rsidRPr="002D755F">
        <w:rPr>
          <w:rFonts w:ascii="Times New Roman" w:hAnsi="Times New Roman" w:cs="Times New Roman"/>
          <w:bCs/>
          <w:i/>
          <w:sz w:val="24"/>
          <w:szCs w:val="24"/>
        </w:rPr>
        <w:t>C</w:t>
      </w:r>
      <w:r w:rsidR="00DA71D8" w:rsidRPr="002D755F">
        <w:rPr>
          <w:rFonts w:ascii="Times New Roman" w:hAnsi="Times New Roman" w:cs="Times New Roman"/>
          <w:bCs/>
          <w:i/>
          <w:sz w:val="24"/>
          <w:szCs w:val="24"/>
        </w:rPr>
        <w:t>alculation of Growth Parameters</w:t>
      </w:r>
    </w:p>
    <w:p w14:paraId="23621C8D" w14:textId="77777777" w:rsidR="00BC700F" w:rsidRPr="002D755F" w:rsidRDefault="004A6494" w:rsidP="007309B6">
      <w:pPr>
        <w:spacing w:after="0" w:line="360" w:lineRule="auto"/>
        <w:contextualSpacing/>
        <w:jc w:val="both"/>
        <w:rPr>
          <w:rFonts w:ascii="Times New Roman" w:hAnsi="Times New Roman" w:cs="Times New Roman"/>
          <w:b/>
          <w:bCs/>
          <w:sz w:val="24"/>
          <w:szCs w:val="24"/>
        </w:rPr>
      </w:pPr>
      <w:r w:rsidRPr="002D755F">
        <w:rPr>
          <w:rFonts w:ascii="Times New Roman" w:hAnsi="Times New Roman"/>
          <w:sz w:val="24"/>
        </w:rPr>
        <w:t>The experimental ponds were sampled monthly to record fish length and weight in each treatment using a measuring scale and an electronic balance, respectively. After completion of the study (120 days), growth performance was calculated using growth indices such as Total Length Gain (TLG) and Net Weight Gain (NWG) for each treatment using the formulae given below:</w:t>
      </w:r>
    </w:p>
    <w:p w14:paraId="05EE00B4" w14:textId="77777777" w:rsidR="00BC700F" w:rsidRPr="002D755F" w:rsidRDefault="00BC700F" w:rsidP="007309B6">
      <w:pPr>
        <w:pStyle w:val="ListParagraph"/>
        <w:numPr>
          <w:ilvl w:val="0"/>
          <w:numId w:val="1"/>
        </w:numPr>
        <w:spacing w:after="0" w:line="360" w:lineRule="auto"/>
        <w:rPr>
          <w:rFonts w:ascii="Times New Roman" w:hAnsi="Times New Roman" w:cs="Times New Roman"/>
          <w:sz w:val="24"/>
          <w:szCs w:val="24"/>
        </w:rPr>
      </w:pPr>
      <w:r w:rsidRPr="002D755F">
        <w:rPr>
          <w:rFonts w:ascii="Times New Roman" w:hAnsi="Times New Roman" w:cs="Times New Roman"/>
          <w:sz w:val="24"/>
          <w:szCs w:val="24"/>
        </w:rPr>
        <w:t>Total length gain (TLG) = Final length gain – Initial length gain</w:t>
      </w:r>
    </w:p>
    <w:p w14:paraId="169DA4B4" w14:textId="77777777" w:rsidR="00BC700F" w:rsidRPr="002D755F" w:rsidRDefault="00BC700F" w:rsidP="007309B6">
      <w:pPr>
        <w:pStyle w:val="ListParagraph"/>
        <w:numPr>
          <w:ilvl w:val="0"/>
          <w:numId w:val="1"/>
        </w:numPr>
        <w:spacing w:after="0" w:line="360" w:lineRule="auto"/>
        <w:rPr>
          <w:rFonts w:ascii="Times New Roman" w:hAnsi="Times New Roman" w:cs="Times New Roman"/>
          <w:sz w:val="24"/>
          <w:szCs w:val="24"/>
        </w:rPr>
      </w:pPr>
      <w:r w:rsidRPr="002D755F">
        <w:rPr>
          <w:rFonts w:ascii="Times New Roman" w:hAnsi="Times New Roman" w:cs="Times New Roman"/>
          <w:sz w:val="24"/>
          <w:szCs w:val="24"/>
        </w:rPr>
        <w:t>Net weight gain (NWG) = Final weight gain – Initial weight gain</w:t>
      </w:r>
    </w:p>
    <w:p w14:paraId="38C4406B" w14:textId="77777777" w:rsidR="006B548C" w:rsidRPr="002D755F" w:rsidRDefault="006B548C" w:rsidP="006B548C">
      <w:pPr>
        <w:pStyle w:val="ListParagraph"/>
        <w:numPr>
          <w:ilvl w:val="0"/>
          <w:numId w:val="1"/>
        </w:numPr>
        <w:spacing w:after="0" w:line="360" w:lineRule="auto"/>
        <w:rPr>
          <w:rFonts w:ascii="Times New Roman" w:hAnsi="Times New Roman" w:cs="Times New Roman"/>
          <w:sz w:val="24"/>
          <w:szCs w:val="24"/>
        </w:rPr>
      </w:pPr>
      <w:r w:rsidRPr="002D755F">
        <w:rPr>
          <w:rFonts w:ascii="Times New Roman" w:hAnsi="Times New Roman" w:cs="Times New Roman"/>
          <w:sz w:val="24"/>
          <w:szCs w:val="24"/>
        </w:rPr>
        <w:t>FCR = Dry weight of feed gi</w:t>
      </w:r>
      <w:r w:rsidR="00764CE7" w:rsidRPr="002D755F">
        <w:rPr>
          <w:rFonts w:ascii="Times New Roman" w:hAnsi="Times New Roman" w:cs="Times New Roman"/>
          <w:sz w:val="24"/>
          <w:szCs w:val="24"/>
        </w:rPr>
        <w:t>ven in g / Wet weight gain in g</w:t>
      </w:r>
    </w:p>
    <w:p w14:paraId="5BE81718" w14:textId="77777777" w:rsidR="00B95AD6" w:rsidRPr="002D755F" w:rsidRDefault="00B95AD6" w:rsidP="007309B6">
      <w:pPr>
        <w:spacing w:after="0" w:line="360" w:lineRule="auto"/>
        <w:contextualSpacing/>
        <w:rPr>
          <w:rFonts w:ascii="Times New Roman" w:hAnsi="Times New Roman" w:cs="Times New Roman"/>
          <w:b/>
          <w:bCs/>
          <w:sz w:val="24"/>
          <w:szCs w:val="24"/>
        </w:rPr>
      </w:pPr>
    </w:p>
    <w:p w14:paraId="71CAE5D5" w14:textId="77777777" w:rsidR="00B95AD6" w:rsidRPr="002D755F" w:rsidRDefault="00B95AD6" w:rsidP="007309B6">
      <w:pPr>
        <w:spacing w:after="0" w:line="360" w:lineRule="auto"/>
        <w:contextualSpacing/>
        <w:rPr>
          <w:rFonts w:ascii="Times New Roman" w:hAnsi="Times New Roman" w:cs="Times New Roman"/>
          <w:b/>
          <w:bCs/>
          <w:sz w:val="24"/>
          <w:szCs w:val="24"/>
        </w:rPr>
      </w:pPr>
    </w:p>
    <w:p w14:paraId="0FE00EB9" w14:textId="77777777" w:rsidR="00BC700F" w:rsidRPr="002D755F" w:rsidRDefault="002F0C1E" w:rsidP="007309B6">
      <w:pPr>
        <w:spacing w:after="0" w:line="360" w:lineRule="auto"/>
        <w:contextualSpacing/>
        <w:rPr>
          <w:rFonts w:ascii="Times New Roman" w:hAnsi="Times New Roman" w:cs="Times New Roman"/>
          <w:bCs/>
          <w:i/>
          <w:sz w:val="24"/>
          <w:szCs w:val="24"/>
        </w:rPr>
      </w:pPr>
      <w:r w:rsidRPr="002D755F">
        <w:rPr>
          <w:rFonts w:ascii="Times New Roman" w:hAnsi="Times New Roman" w:cs="Times New Roman"/>
          <w:bCs/>
          <w:i/>
          <w:sz w:val="24"/>
          <w:szCs w:val="24"/>
        </w:rPr>
        <w:t xml:space="preserve">2.5 </w:t>
      </w:r>
      <w:r w:rsidR="00BC700F" w:rsidRPr="002D755F">
        <w:rPr>
          <w:rFonts w:ascii="Times New Roman" w:hAnsi="Times New Roman" w:cs="Times New Roman"/>
          <w:bCs/>
          <w:i/>
          <w:sz w:val="24"/>
          <w:szCs w:val="24"/>
        </w:rPr>
        <w:t xml:space="preserve">Proximate Analysis of </w:t>
      </w:r>
      <w:r w:rsidR="004A6494" w:rsidRPr="002D755F">
        <w:rPr>
          <w:rFonts w:ascii="Times New Roman" w:hAnsi="Times New Roman" w:cs="Times New Roman"/>
          <w:bCs/>
          <w:i/>
          <w:sz w:val="24"/>
          <w:szCs w:val="24"/>
        </w:rPr>
        <w:t>Fish F</w:t>
      </w:r>
      <w:r w:rsidR="00A11083" w:rsidRPr="002D755F">
        <w:rPr>
          <w:rFonts w:ascii="Times New Roman" w:hAnsi="Times New Roman" w:cs="Times New Roman"/>
          <w:bCs/>
          <w:i/>
          <w:sz w:val="24"/>
          <w:szCs w:val="24"/>
        </w:rPr>
        <w:t>lesh</w:t>
      </w:r>
    </w:p>
    <w:p w14:paraId="21A189E1" w14:textId="77777777" w:rsidR="00EB4A6A" w:rsidRPr="002D755F" w:rsidRDefault="004A6494" w:rsidP="007309B6">
      <w:pPr>
        <w:spacing w:after="0" w:line="360" w:lineRule="auto"/>
        <w:contextualSpacing/>
        <w:jc w:val="both"/>
        <w:rPr>
          <w:rFonts w:ascii="Times New Roman" w:hAnsi="Times New Roman" w:cs="Times New Roman"/>
          <w:sz w:val="24"/>
          <w:szCs w:val="24"/>
        </w:rPr>
      </w:pPr>
      <w:r w:rsidRPr="002D755F">
        <w:rPr>
          <w:rFonts w:ascii="Times New Roman" w:hAnsi="Times New Roman"/>
          <w:sz w:val="24"/>
        </w:rPr>
        <w:t>Proximate analysis of fish flesh was performed after completion of the trial using the AOAC (1990) method. For the estimation of moisture content, flesh samples were analysed gravimetrically in a hot-air oven at 100 ± 10°C for 24 h, whereas crude protein content was estimated using the micro-Kjeldahl method. Flesh samples were analysed with petroleum ether (boiling point: 40–60°C) in an Electrothermal Soxhlet Apparatus for the estimation of crude lipid. Further, the defatted samples were used for the estimation of crude fibre (Patra, 2002). A muffle furnace was used to ignite flesh samples (at 500 ± 50°C for 10 h) to estimate ash content.</w:t>
      </w:r>
    </w:p>
    <w:p w14:paraId="4D3338D5" w14:textId="77777777" w:rsidR="00BC700F" w:rsidRPr="002D755F" w:rsidRDefault="002F0C1E" w:rsidP="007309B6">
      <w:pPr>
        <w:spacing w:after="0" w:line="360" w:lineRule="auto"/>
        <w:contextualSpacing/>
        <w:jc w:val="both"/>
        <w:rPr>
          <w:rFonts w:ascii="Times New Roman" w:hAnsi="Times New Roman" w:cs="Times New Roman"/>
          <w:bCs/>
          <w:i/>
          <w:sz w:val="24"/>
          <w:szCs w:val="24"/>
        </w:rPr>
      </w:pPr>
      <w:r w:rsidRPr="002D755F">
        <w:rPr>
          <w:rFonts w:ascii="Times New Roman" w:hAnsi="Times New Roman" w:cs="Times New Roman"/>
          <w:bCs/>
          <w:i/>
          <w:sz w:val="24"/>
          <w:szCs w:val="24"/>
        </w:rPr>
        <w:t xml:space="preserve">2.6 </w:t>
      </w:r>
      <w:r w:rsidR="00DA71D8" w:rsidRPr="002D755F">
        <w:rPr>
          <w:rFonts w:ascii="Times New Roman" w:hAnsi="Times New Roman" w:cs="Times New Roman"/>
          <w:bCs/>
          <w:i/>
          <w:sz w:val="24"/>
          <w:szCs w:val="24"/>
        </w:rPr>
        <w:t>Economic Evaluation</w:t>
      </w:r>
    </w:p>
    <w:p w14:paraId="411810C8" w14:textId="77777777" w:rsidR="00BC700F" w:rsidRPr="002D755F" w:rsidRDefault="00BC700F" w:rsidP="007309B6">
      <w:pPr>
        <w:spacing w:after="0" w:line="360" w:lineRule="auto"/>
        <w:contextualSpacing/>
        <w:jc w:val="both"/>
        <w:rPr>
          <w:rFonts w:ascii="Times New Roman" w:hAnsi="Times New Roman" w:cs="Times New Roman"/>
          <w:sz w:val="24"/>
          <w:szCs w:val="24"/>
        </w:rPr>
      </w:pPr>
      <w:r w:rsidRPr="002D755F">
        <w:rPr>
          <w:rFonts w:ascii="Times New Roman" w:hAnsi="Times New Roman"/>
          <w:sz w:val="24"/>
        </w:rPr>
        <w:t xml:space="preserve">At the end of the study, economic evaluation was carried out using standard farm management indicators, namely total production, gross profit, net profit, and the benefit-cost (B:C) ratio. Total production was estimated as the sum of marketable fish yield obtained from each unit area or pond. Gross profit was calculated as the difference between the total revenue (TR) from fish sales and the variable costs (VC) incurred during production, expressed as Gross Profit = TR – VC. Net profit considered all costs, both fixed (FC) and </w:t>
      </w:r>
      <w:r w:rsidRPr="002D755F">
        <w:rPr>
          <w:rFonts w:ascii="Times New Roman" w:hAnsi="Times New Roman"/>
          <w:sz w:val="24"/>
        </w:rPr>
        <w:lastRenderedPageBreak/>
        <w:t>variable, and was derived using Net Profit = TR – (VC + FC), providing a realistic measure of farm profitability. The B:C ratio, a widely accepted measure of economic viability, was computed as B:C Ratio = TR / TC, where TC represents the total cost (VC + FC). A B:C ratio greater than 1.0 indicates that the enterprise is economically feasible, while values below unity reflect financial unsustainability.</w:t>
      </w:r>
    </w:p>
    <w:p w14:paraId="5348947C" w14:textId="77777777" w:rsidR="00BC700F" w:rsidRPr="002D755F" w:rsidRDefault="002F0C1E" w:rsidP="007309B6">
      <w:pPr>
        <w:spacing w:after="0" w:line="360" w:lineRule="auto"/>
        <w:contextualSpacing/>
        <w:jc w:val="both"/>
        <w:rPr>
          <w:rFonts w:ascii="Times New Roman" w:hAnsi="Times New Roman" w:cs="Times New Roman"/>
          <w:b/>
          <w:bCs/>
          <w:sz w:val="24"/>
          <w:szCs w:val="24"/>
        </w:rPr>
      </w:pPr>
      <w:r w:rsidRPr="002D755F">
        <w:rPr>
          <w:rFonts w:ascii="Times New Roman" w:hAnsi="Times New Roman" w:cs="Times New Roman"/>
          <w:bCs/>
          <w:i/>
          <w:sz w:val="24"/>
          <w:szCs w:val="24"/>
        </w:rPr>
        <w:t>2.7</w:t>
      </w:r>
      <w:r w:rsidRPr="002D755F">
        <w:rPr>
          <w:rFonts w:ascii="Times New Roman" w:hAnsi="Times New Roman" w:cs="Times New Roman"/>
          <w:b/>
          <w:bCs/>
          <w:sz w:val="24"/>
          <w:szCs w:val="24"/>
        </w:rPr>
        <w:t xml:space="preserve"> </w:t>
      </w:r>
      <w:r w:rsidR="00BC700F" w:rsidRPr="002D755F">
        <w:rPr>
          <w:rFonts w:ascii="Times New Roman" w:hAnsi="Times New Roman" w:cs="Times New Roman"/>
          <w:bCs/>
          <w:i/>
          <w:sz w:val="24"/>
          <w:szCs w:val="24"/>
        </w:rPr>
        <w:t>Statistical Analysis</w:t>
      </w:r>
    </w:p>
    <w:p w14:paraId="22752BFF" w14:textId="77777777" w:rsidR="00BC700F" w:rsidRPr="002D755F" w:rsidRDefault="00B95AD6" w:rsidP="007309B6">
      <w:pPr>
        <w:spacing w:after="0" w:line="360" w:lineRule="auto"/>
        <w:contextualSpacing/>
        <w:jc w:val="both"/>
        <w:rPr>
          <w:rFonts w:ascii="Times New Roman" w:hAnsi="Times New Roman" w:cs="Times New Roman"/>
          <w:sz w:val="24"/>
          <w:szCs w:val="24"/>
        </w:rPr>
      </w:pPr>
      <w:r w:rsidRPr="002D755F">
        <w:rPr>
          <w:rFonts w:ascii="Times New Roman" w:hAnsi="Times New Roman"/>
          <w:sz w:val="24"/>
        </w:rPr>
        <w:t>Data were analysed statistically using a statistical package (SPSS 23.0 for Windows, SPSS Inc., Richmond, CA, USA). One-way ANOVA and Duncan’s multiple range tests were applied to assess the efficacy of mineral mixture in fish feed on fish growth, proximate analysis of feed, and economic evaluation of culture in ponds (p ≤ 0.05).</w:t>
      </w:r>
    </w:p>
    <w:p w14:paraId="04258C0A" w14:textId="77777777" w:rsidR="00F32557" w:rsidRPr="002D755F" w:rsidRDefault="00F32557" w:rsidP="002F0C1E">
      <w:pPr>
        <w:pStyle w:val="Default"/>
        <w:numPr>
          <w:ilvl w:val="0"/>
          <w:numId w:val="3"/>
        </w:numPr>
        <w:spacing w:line="360" w:lineRule="auto"/>
        <w:contextualSpacing/>
        <w:rPr>
          <w:b/>
          <w:color w:val="auto"/>
        </w:rPr>
      </w:pPr>
      <w:r w:rsidRPr="002D755F">
        <w:rPr>
          <w:b/>
          <w:color w:val="auto"/>
        </w:rPr>
        <w:t xml:space="preserve">RESULTS AND DISCUSSION </w:t>
      </w:r>
    </w:p>
    <w:p w14:paraId="2F7A0A2A" w14:textId="77777777" w:rsidR="0097447C" w:rsidRPr="002D755F" w:rsidRDefault="002F0C1E" w:rsidP="007309B6">
      <w:pPr>
        <w:spacing w:after="0" w:line="360" w:lineRule="auto"/>
        <w:contextualSpacing/>
        <w:rPr>
          <w:rFonts w:ascii="Times New Roman" w:hAnsi="Times New Roman" w:cs="Times New Roman"/>
          <w:i/>
          <w:sz w:val="24"/>
          <w:szCs w:val="24"/>
        </w:rPr>
      </w:pPr>
      <w:r w:rsidRPr="002D755F">
        <w:rPr>
          <w:rFonts w:ascii="Times New Roman" w:hAnsi="Times New Roman" w:cs="Times New Roman"/>
          <w:i/>
          <w:sz w:val="24"/>
          <w:szCs w:val="24"/>
        </w:rPr>
        <w:t xml:space="preserve">3.1 </w:t>
      </w:r>
      <w:r w:rsidR="005636DE" w:rsidRPr="002D755F">
        <w:rPr>
          <w:rFonts w:ascii="Times New Roman" w:hAnsi="Times New Roman" w:cs="Times New Roman"/>
          <w:i/>
          <w:sz w:val="24"/>
          <w:szCs w:val="24"/>
        </w:rPr>
        <w:t xml:space="preserve">Water Quality </w:t>
      </w:r>
    </w:p>
    <w:p w14:paraId="77E4BF60" w14:textId="77777777" w:rsidR="0097447C" w:rsidRPr="002D755F" w:rsidRDefault="00EB4A6A" w:rsidP="007309B6">
      <w:pPr>
        <w:spacing w:after="0" w:line="360" w:lineRule="auto"/>
        <w:contextualSpacing/>
        <w:jc w:val="both"/>
        <w:rPr>
          <w:rFonts w:ascii="Times New Roman" w:hAnsi="Times New Roman" w:cs="Times New Roman"/>
          <w:color w:val="FF0000"/>
          <w:sz w:val="24"/>
          <w:szCs w:val="24"/>
        </w:rPr>
      </w:pPr>
      <w:r w:rsidRPr="002D755F">
        <w:rPr>
          <w:rFonts w:ascii="Times New Roman" w:hAnsi="Times New Roman"/>
          <w:sz w:val="24"/>
        </w:rPr>
        <w:t>Collected water samples were analysed to assess pond water quality, including water pH, D.O., total alkalinity, and total hardness, according to the methods of the American Public Health Association (APHA, 2012). The values were within the optimum range for carp aquaculture, and no significant difference was observed among the different treatments. pH ranged from 8.12±0.19 to 8.59±0.20, while the dissolved oxygen content varied from 4.95±0.05 to 5.05±0.07 mg/L in the different treatments, with no significant difference. Total alkalinity ranged from 257.50±13.70 to 304.83±6.11 mg/L, and water hardness ranged from 323.83±27.83 to 342.17±39.66 mg/L in the different treatments (Table 3).</w:t>
      </w:r>
    </w:p>
    <w:p w14:paraId="1D8EC914" w14:textId="77777777" w:rsidR="00B77020" w:rsidRPr="002D755F" w:rsidRDefault="0061773B" w:rsidP="007309B6">
      <w:pPr>
        <w:spacing w:after="0" w:line="360" w:lineRule="auto"/>
        <w:contextualSpacing/>
        <w:jc w:val="center"/>
        <w:rPr>
          <w:rFonts w:ascii="Times New Roman" w:hAnsi="Times New Roman" w:cs="Times New Roman"/>
          <w:b/>
          <w:bCs/>
          <w:sz w:val="24"/>
          <w:szCs w:val="24"/>
        </w:rPr>
      </w:pPr>
      <w:r w:rsidRPr="002D755F">
        <w:rPr>
          <w:rFonts w:ascii="Times New Roman" w:hAnsi="Times New Roman" w:cs="Times New Roman"/>
          <w:b/>
          <w:bCs/>
          <w:sz w:val="24"/>
          <w:szCs w:val="24"/>
        </w:rPr>
        <w:t>T</w:t>
      </w:r>
      <w:r w:rsidR="00B77020" w:rsidRPr="002D755F">
        <w:rPr>
          <w:rFonts w:ascii="Times New Roman" w:hAnsi="Times New Roman" w:cs="Times New Roman"/>
          <w:b/>
          <w:bCs/>
          <w:sz w:val="24"/>
          <w:szCs w:val="24"/>
        </w:rPr>
        <w:t>able</w:t>
      </w:r>
      <w:r w:rsidR="004D4753" w:rsidRPr="002D755F">
        <w:rPr>
          <w:rFonts w:ascii="Times New Roman" w:hAnsi="Times New Roman" w:cs="Times New Roman"/>
          <w:b/>
          <w:bCs/>
          <w:sz w:val="24"/>
          <w:szCs w:val="24"/>
        </w:rPr>
        <w:t xml:space="preserve"> 3</w:t>
      </w:r>
      <w:r w:rsidR="00B77020" w:rsidRPr="002D755F">
        <w:rPr>
          <w:rFonts w:ascii="Times New Roman" w:hAnsi="Times New Roman" w:cs="Times New Roman"/>
          <w:b/>
          <w:bCs/>
          <w:sz w:val="24"/>
          <w:szCs w:val="24"/>
        </w:rPr>
        <w:t>: Water quality parameters in different experimental groups</w:t>
      </w:r>
    </w:p>
    <w:tbl>
      <w:tblPr>
        <w:tblStyle w:val="TableGrid"/>
        <w:tblW w:w="0" w:type="auto"/>
        <w:tblLook w:val="04A0" w:firstRow="1" w:lastRow="0" w:firstColumn="1" w:lastColumn="0" w:noHBand="0" w:noVBand="1"/>
      </w:tblPr>
      <w:tblGrid>
        <w:gridCol w:w="2943"/>
        <w:gridCol w:w="1843"/>
        <w:gridCol w:w="1976"/>
        <w:gridCol w:w="2254"/>
      </w:tblGrid>
      <w:tr w:rsidR="00B77020" w:rsidRPr="002D755F" w14:paraId="20335126" w14:textId="77777777" w:rsidTr="002E68BF">
        <w:trPr>
          <w:trHeight w:val="263"/>
        </w:trPr>
        <w:tc>
          <w:tcPr>
            <w:tcW w:w="2943" w:type="dxa"/>
            <w:hideMark/>
          </w:tcPr>
          <w:p w14:paraId="09C4B9D8"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b/>
                <w:bCs/>
                <w:sz w:val="24"/>
                <w:szCs w:val="24"/>
              </w:rPr>
              <w:t>Parameter</w:t>
            </w:r>
          </w:p>
        </w:tc>
        <w:tc>
          <w:tcPr>
            <w:tcW w:w="1843" w:type="dxa"/>
            <w:hideMark/>
          </w:tcPr>
          <w:p w14:paraId="5B1A4213"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b/>
                <w:bCs/>
                <w:sz w:val="24"/>
                <w:szCs w:val="24"/>
              </w:rPr>
              <w:t>T1</w:t>
            </w:r>
          </w:p>
        </w:tc>
        <w:tc>
          <w:tcPr>
            <w:tcW w:w="1976" w:type="dxa"/>
            <w:hideMark/>
          </w:tcPr>
          <w:p w14:paraId="1965ABFF"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b/>
                <w:bCs/>
                <w:sz w:val="24"/>
                <w:szCs w:val="24"/>
              </w:rPr>
              <w:t>T2</w:t>
            </w:r>
          </w:p>
        </w:tc>
        <w:tc>
          <w:tcPr>
            <w:tcW w:w="2254" w:type="dxa"/>
            <w:hideMark/>
          </w:tcPr>
          <w:p w14:paraId="6C8407FC"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b/>
                <w:bCs/>
                <w:sz w:val="24"/>
                <w:szCs w:val="24"/>
              </w:rPr>
              <w:t>T3</w:t>
            </w:r>
          </w:p>
        </w:tc>
      </w:tr>
      <w:tr w:rsidR="00B77020" w:rsidRPr="002D755F" w14:paraId="1126E4EA" w14:textId="77777777" w:rsidTr="002E68BF">
        <w:trPr>
          <w:trHeight w:val="253"/>
        </w:trPr>
        <w:tc>
          <w:tcPr>
            <w:tcW w:w="2943" w:type="dxa"/>
          </w:tcPr>
          <w:p w14:paraId="6BBCE95B"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pH</w:t>
            </w:r>
          </w:p>
        </w:tc>
        <w:tc>
          <w:tcPr>
            <w:tcW w:w="1843" w:type="dxa"/>
          </w:tcPr>
          <w:p w14:paraId="49513DFF"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8.19±0.13</w:t>
            </w:r>
            <w:r w:rsidRPr="002D755F">
              <w:rPr>
                <w:rFonts w:ascii="Times New Roman" w:hAnsi="Times New Roman" w:cs="Times New Roman"/>
                <w:sz w:val="24"/>
                <w:szCs w:val="24"/>
                <w:vertAlign w:val="superscript"/>
              </w:rPr>
              <w:t>a</w:t>
            </w:r>
          </w:p>
        </w:tc>
        <w:tc>
          <w:tcPr>
            <w:tcW w:w="1976" w:type="dxa"/>
          </w:tcPr>
          <w:p w14:paraId="4CC435E1"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8.59±0.20</w:t>
            </w:r>
            <w:r w:rsidRPr="002D755F">
              <w:rPr>
                <w:rFonts w:ascii="Times New Roman" w:hAnsi="Times New Roman" w:cs="Times New Roman"/>
                <w:sz w:val="24"/>
                <w:szCs w:val="24"/>
                <w:vertAlign w:val="superscript"/>
              </w:rPr>
              <w:t>a</w:t>
            </w:r>
          </w:p>
        </w:tc>
        <w:tc>
          <w:tcPr>
            <w:tcW w:w="2254" w:type="dxa"/>
          </w:tcPr>
          <w:p w14:paraId="1E53D534"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8.12±0.19</w:t>
            </w:r>
            <w:r w:rsidRPr="002D755F">
              <w:rPr>
                <w:rFonts w:ascii="Times New Roman" w:hAnsi="Times New Roman" w:cs="Times New Roman"/>
                <w:sz w:val="24"/>
                <w:szCs w:val="24"/>
                <w:vertAlign w:val="superscript"/>
              </w:rPr>
              <w:t>a</w:t>
            </w:r>
          </w:p>
        </w:tc>
      </w:tr>
      <w:tr w:rsidR="00B77020" w:rsidRPr="002D755F" w14:paraId="67D51E1B" w14:textId="77777777" w:rsidTr="002E68BF">
        <w:trPr>
          <w:trHeight w:val="420"/>
        </w:trPr>
        <w:tc>
          <w:tcPr>
            <w:tcW w:w="2943" w:type="dxa"/>
          </w:tcPr>
          <w:p w14:paraId="1C28A141"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Dissolved Oxygen (ppm)</w:t>
            </w:r>
          </w:p>
        </w:tc>
        <w:tc>
          <w:tcPr>
            <w:tcW w:w="1843" w:type="dxa"/>
          </w:tcPr>
          <w:p w14:paraId="5DBEEF96"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5.05±0.07</w:t>
            </w:r>
            <w:r w:rsidRPr="002D755F">
              <w:rPr>
                <w:rFonts w:ascii="Times New Roman" w:hAnsi="Times New Roman" w:cs="Times New Roman"/>
                <w:sz w:val="24"/>
                <w:szCs w:val="24"/>
                <w:vertAlign w:val="superscript"/>
              </w:rPr>
              <w:t>a</w:t>
            </w:r>
          </w:p>
        </w:tc>
        <w:tc>
          <w:tcPr>
            <w:tcW w:w="1976" w:type="dxa"/>
          </w:tcPr>
          <w:p w14:paraId="00FA3772"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4.95±0.05</w:t>
            </w:r>
            <w:r w:rsidRPr="002D755F">
              <w:rPr>
                <w:rFonts w:ascii="Times New Roman" w:hAnsi="Times New Roman" w:cs="Times New Roman"/>
                <w:sz w:val="24"/>
                <w:szCs w:val="24"/>
                <w:vertAlign w:val="superscript"/>
              </w:rPr>
              <w:t>a</w:t>
            </w:r>
          </w:p>
        </w:tc>
        <w:tc>
          <w:tcPr>
            <w:tcW w:w="2254" w:type="dxa"/>
          </w:tcPr>
          <w:p w14:paraId="1A2DBDC0"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5.03±0.91</w:t>
            </w:r>
            <w:r w:rsidRPr="002D755F">
              <w:rPr>
                <w:rFonts w:ascii="Times New Roman" w:hAnsi="Times New Roman" w:cs="Times New Roman"/>
                <w:sz w:val="24"/>
                <w:szCs w:val="24"/>
                <w:vertAlign w:val="superscript"/>
              </w:rPr>
              <w:t>a</w:t>
            </w:r>
          </w:p>
        </w:tc>
      </w:tr>
      <w:tr w:rsidR="00B77020" w:rsidRPr="002D755F" w14:paraId="09E6FBDF" w14:textId="77777777" w:rsidTr="002E68BF">
        <w:tc>
          <w:tcPr>
            <w:tcW w:w="2943" w:type="dxa"/>
          </w:tcPr>
          <w:p w14:paraId="75F0CF5B"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Total Alkalinity (ppm)</w:t>
            </w:r>
          </w:p>
        </w:tc>
        <w:tc>
          <w:tcPr>
            <w:tcW w:w="1843" w:type="dxa"/>
          </w:tcPr>
          <w:p w14:paraId="324FBA9D"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291±7.6</w:t>
            </w:r>
            <w:r w:rsidRPr="002D755F">
              <w:rPr>
                <w:rFonts w:ascii="Times New Roman" w:hAnsi="Times New Roman" w:cs="Times New Roman"/>
                <w:sz w:val="24"/>
                <w:szCs w:val="24"/>
                <w:vertAlign w:val="superscript"/>
              </w:rPr>
              <w:t>a</w:t>
            </w:r>
          </w:p>
        </w:tc>
        <w:tc>
          <w:tcPr>
            <w:tcW w:w="1976" w:type="dxa"/>
          </w:tcPr>
          <w:p w14:paraId="37B6E9E2"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257.50±13.70</w:t>
            </w:r>
            <w:r w:rsidRPr="002D755F">
              <w:rPr>
                <w:rFonts w:ascii="Times New Roman" w:hAnsi="Times New Roman" w:cs="Times New Roman"/>
                <w:sz w:val="24"/>
                <w:szCs w:val="24"/>
                <w:vertAlign w:val="superscript"/>
              </w:rPr>
              <w:t>b</w:t>
            </w:r>
          </w:p>
        </w:tc>
        <w:tc>
          <w:tcPr>
            <w:tcW w:w="2254" w:type="dxa"/>
          </w:tcPr>
          <w:p w14:paraId="7F375C90"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304.83±6.11</w:t>
            </w:r>
            <w:r w:rsidRPr="002D755F">
              <w:rPr>
                <w:rFonts w:ascii="Times New Roman" w:hAnsi="Times New Roman" w:cs="Times New Roman"/>
                <w:sz w:val="24"/>
                <w:szCs w:val="24"/>
                <w:vertAlign w:val="superscript"/>
              </w:rPr>
              <w:t>a</w:t>
            </w:r>
          </w:p>
        </w:tc>
      </w:tr>
      <w:tr w:rsidR="00B77020" w:rsidRPr="002D755F" w14:paraId="082D0262" w14:textId="77777777" w:rsidTr="002E68BF">
        <w:tc>
          <w:tcPr>
            <w:tcW w:w="2943" w:type="dxa"/>
          </w:tcPr>
          <w:p w14:paraId="7D5961B7" w14:textId="77777777" w:rsidR="00B77020" w:rsidRPr="002D755F" w:rsidRDefault="00B77020" w:rsidP="007309B6">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Total Hardness (ppm)</w:t>
            </w:r>
          </w:p>
        </w:tc>
        <w:tc>
          <w:tcPr>
            <w:tcW w:w="1843" w:type="dxa"/>
          </w:tcPr>
          <w:p w14:paraId="6906A329"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323.83±27.83</w:t>
            </w:r>
            <w:r w:rsidRPr="002D755F">
              <w:rPr>
                <w:rFonts w:ascii="Times New Roman" w:hAnsi="Times New Roman" w:cs="Times New Roman"/>
                <w:sz w:val="24"/>
                <w:szCs w:val="24"/>
                <w:vertAlign w:val="superscript"/>
              </w:rPr>
              <w:t>a</w:t>
            </w:r>
          </w:p>
        </w:tc>
        <w:tc>
          <w:tcPr>
            <w:tcW w:w="1976" w:type="dxa"/>
          </w:tcPr>
          <w:p w14:paraId="3EAE5B7F"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331.00±33.71</w:t>
            </w:r>
            <w:r w:rsidRPr="002D755F">
              <w:rPr>
                <w:rFonts w:ascii="Times New Roman" w:hAnsi="Times New Roman" w:cs="Times New Roman"/>
                <w:sz w:val="24"/>
                <w:szCs w:val="24"/>
                <w:vertAlign w:val="superscript"/>
              </w:rPr>
              <w:t>a</w:t>
            </w:r>
          </w:p>
        </w:tc>
        <w:tc>
          <w:tcPr>
            <w:tcW w:w="2254" w:type="dxa"/>
          </w:tcPr>
          <w:p w14:paraId="41F8FDCA" w14:textId="77777777" w:rsidR="00B77020" w:rsidRPr="002D755F" w:rsidRDefault="00B77020" w:rsidP="002E68BF">
            <w:pPr>
              <w:spacing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342.17±39.66</w:t>
            </w:r>
            <w:r w:rsidRPr="002D755F">
              <w:rPr>
                <w:rFonts w:ascii="Times New Roman" w:hAnsi="Times New Roman" w:cs="Times New Roman"/>
                <w:sz w:val="24"/>
                <w:szCs w:val="24"/>
                <w:vertAlign w:val="superscript"/>
              </w:rPr>
              <w:t>a</w:t>
            </w:r>
          </w:p>
        </w:tc>
      </w:tr>
    </w:tbl>
    <w:p w14:paraId="41C10E77" w14:textId="77777777" w:rsidR="00952FF4" w:rsidRPr="002D755F" w:rsidRDefault="00952FF4" w:rsidP="00952FF4">
      <w:pPr>
        <w:spacing w:after="0" w:line="360" w:lineRule="auto"/>
        <w:contextualSpacing/>
        <w:jc w:val="both"/>
        <w:rPr>
          <w:rFonts w:ascii="Times New Roman" w:hAnsi="Times New Roman"/>
          <w:color w:val="FF0000"/>
          <w:sz w:val="20"/>
          <w:szCs w:val="20"/>
        </w:rPr>
      </w:pPr>
      <w:r w:rsidRPr="002D755F">
        <w:rPr>
          <w:rFonts w:ascii="Times New Roman" w:hAnsi="Times New Roman" w:cs="Times New Roman"/>
          <w:color w:val="000000"/>
          <w:sz w:val="20"/>
          <w:szCs w:val="20"/>
        </w:rPr>
        <w:t xml:space="preserve">Values are </w:t>
      </w:r>
      <w:proofErr w:type="spellStart"/>
      <w:r w:rsidRPr="002D755F">
        <w:rPr>
          <w:rFonts w:ascii="Times New Roman" w:hAnsi="Times New Roman" w:cs="Times New Roman"/>
          <w:color w:val="000000"/>
          <w:sz w:val="20"/>
          <w:szCs w:val="20"/>
        </w:rPr>
        <w:t>Mean±S.E</w:t>
      </w:r>
      <w:proofErr w:type="spellEnd"/>
      <w:r w:rsidRPr="002D755F">
        <w:rPr>
          <w:rFonts w:ascii="Times New Roman" w:hAnsi="Times New Roman" w:cs="Times New Roman"/>
          <w:color w:val="000000"/>
          <w:sz w:val="20"/>
          <w:szCs w:val="20"/>
        </w:rPr>
        <w:t xml:space="preserve"> Alphabetic subscripts (a, b, c) indicates significant differences within a row (p≤0.05)</w:t>
      </w:r>
    </w:p>
    <w:p w14:paraId="2654D328" w14:textId="77777777" w:rsidR="004E2757" w:rsidRPr="002D755F" w:rsidRDefault="002F0C1E" w:rsidP="007309B6">
      <w:pPr>
        <w:spacing w:after="0" w:line="360" w:lineRule="auto"/>
        <w:contextualSpacing/>
        <w:rPr>
          <w:rFonts w:ascii="Times New Roman" w:hAnsi="Times New Roman" w:cs="Times New Roman"/>
          <w:i/>
          <w:iCs/>
          <w:color w:val="000000"/>
          <w:sz w:val="24"/>
          <w:szCs w:val="24"/>
        </w:rPr>
      </w:pPr>
      <w:r w:rsidRPr="002D755F">
        <w:rPr>
          <w:rFonts w:ascii="Times New Roman" w:hAnsi="Times New Roman" w:cs="Times New Roman"/>
          <w:i/>
          <w:iCs/>
          <w:color w:val="000000"/>
          <w:sz w:val="24"/>
          <w:szCs w:val="24"/>
        </w:rPr>
        <w:t xml:space="preserve">3.2 </w:t>
      </w:r>
      <w:r w:rsidR="00B77020" w:rsidRPr="002D755F">
        <w:rPr>
          <w:rFonts w:ascii="Times New Roman" w:hAnsi="Times New Roman" w:cs="Times New Roman"/>
          <w:i/>
          <w:iCs/>
          <w:color w:val="000000"/>
          <w:sz w:val="24"/>
          <w:szCs w:val="24"/>
        </w:rPr>
        <w:t>Fish Growth and Production</w:t>
      </w:r>
    </w:p>
    <w:p w14:paraId="1F357CE6" w14:textId="77777777" w:rsidR="00401693" w:rsidRPr="002D755F" w:rsidRDefault="00EB4A6A" w:rsidP="007309B6">
      <w:pPr>
        <w:spacing w:after="0" w:line="360" w:lineRule="auto"/>
        <w:contextualSpacing/>
        <w:jc w:val="both"/>
        <w:rPr>
          <w:rFonts w:ascii="Times New Roman" w:hAnsi="Times New Roman" w:cs="Times New Roman"/>
          <w:color w:val="000000" w:themeColor="text1"/>
          <w:sz w:val="24"/>
          <w:szCs w:val="24"/>
        </w:rPr>
      </w:pPr>
      <w:r w:rsidRPr="002D755F">
        <w:rPr>
          <w:rFonts w:ascii="Times New Roman" w:hAnsi="Times New Roman"/>
          <w:sz w:val="24"/>
        </w:rPr>
        <w:t xml:space="preserve">After completion of the experiment, Average Length Gain (ALG), Net Weight Gain (NWG), and Specific Growth Rate (SGR) were determined in the different experimental groups and are presented in Table 4. Fish fed mineral-mixture-supplemented feed (T2 &amp; T3) exhibited significant increases in ALG, NWG, and SGR compared with fish fed the control feed under farmers’ practice (T1), indicating the positive effect of incorporating mineral mixture into fish feed. The variation in total fish production among the different experimental groups is </w:t>
      </w:r>
      <w:r w:rsidRPr="002D755F">
        <w:rPr>
          <w:rFonts w:ascii="Times New Roman" w:hAnsi="Times New Roman"/>
          <w:sz w:val="24"/>
        </w:rPr>
        <w:lastRenderedPageBreak/>
        <w:t>presented diagrammatically in Figure 2. It shows a significant increase in total fish production (quintals per acre) in T2 and T3 compared with the control group (T1).</w:t>
      </w:r>
    </w:p>
    <w:p w14:paraId="62055573" w14:textId="77777777" w:rsidR="006B548C" w:rsidRPr="002D755F" w:rsidRDefault="006B548C" w:rsidP="006B548C">
      <w:pPr>
        <w:spacing w:after="0" w:line="360" w:lineRule="auto"/>
        <w:contextualSpacing/>
        <w:jc w:val="both"/>
        <w:rPr>
          <w:rFonts w:ascii="Times New Roman" w:hAnsi="Times New Roman" w:cs="Times New Roman"/>
          <w:color w:val="000000" w:themeColor="text1"/>
          <w:sz w:val="24"/>
          <w:szCs w:val="24"/>
        </w:rPr>
      </w:pPr>
      <w:r w:rsidRPr="002D755F">
        <w:rPr>
          <w:rFonts w:ascii="Times New Roman" w:hAnsi="Times New Roman"/>
          <w:sz w:val="24"/>
        </w:rPr>
        <w:tab/>
        <w:t>Feed Conversion Ratio (FCR) was also estimated for the different trial groups, and the highest FCR was observed in T1, followed by T3 and T2; the changes were significant (p &lt; 0.05) compared with T1. In the current study, better FCR performance was observed in the two treatment groups (T2 &amp; T3) compared with the control group, indicating the positive effect of supplementation of feed with mineral mixture.</w:t>
      </w:r>
    </w:p>
    <w:p w14:paraId="01AC0B13" w14:textId="77777777" w:rsidR="009F2CE6" w:rsidRPr="002D755F" w:rsidRDefault="009F2CE6" w:rsidP="001D6B9F">
      <w:pPr>
        <w:spacing w:after="0" w:line="360" w:lineRule="auto"/>
        <w:ind w:firstLine="720"/>
        <w:contextualSpacing/>
        <w:jc w:val="center"/>
        <w:rPr>
          <w:rFonts w:ascii="Times New Roman" w:hAnsi="Times New Roman"/>
          <w:b/>
          <w:sz w:val="24"/>
          <w:szCs w:val="24"/>
        </w:rPr>
      </w:pPr>
      <w:r w:rsidRPr="002D755F">
        <w:rPr>
          <w:rFonts w:ascii="Times New Roman" w:hAnsi="Times New Roman"/>
          <w:b/>
          <w:sz w:val="24"/>
          <w:szCs w:val="24"/>
        </w:rPr>
        <w:t xml:space="preserve">Table 4: </w:t>
      </w:r>
      <w:r w:rsidR="00F25248" w:rsidRPr="002D755F">
        <w:rPr>
          <w:rFonts w:ascii="Times New Roman" w:hAnsi="Times New Roman"/>
          <w:b/>
          <w:sz w:val="24"/>
          <w:szCs w:val="24"/>
        </w:rPr>
        <w:t xml:space="preserve">Values of </w:t>
      </w:r>
      <w:r w:rsidR="001D6B9F" w:rsidRPr="002D755F">
        <w:rPr>
          <w:rFonts w:ascii="Times New Roman" w:hAnsi="Times New Roman"/>
          <w:b/>
          <w:sz w:val="24"/>
          <w:szCs w:val="24"/>
        </w:rPr>
        <w:t>g</w:t>
      </w:r>
      <w:r w:rsidRPr="002D755F">
        <w:rPr>
          <w:rFonts w:ascii="Times New Roman" w:hAnsi="Times New Roman"/>
          <w:b/>
          <w:sz w:val="24"/>
          <w:szCs w:val="24"/>
        </w:rPr>
        <w:t xml:space="preserve">rowth indices </w:t>
      </w:r>
      <w:r w:rsidR="001D6B9F" w:rsidRPr="002D755F">
        <w:rPr>
          <w:rFonts w:ascii="Times New Roman" w:hAnsi="Times New Roman"/>
          <w:b/>
          <w:sz w:val="24"/>
          <w:szCs w:val="24"/>
        </w:rPr>
        <w:t>in the different treatments</w:t>
      </w:r>
    </w:p>
    <w:tbl>
      <w:tblPr>
        <w:tblStyle w:val="TableGrid"/>
        <w:tblW w:w="0" w:type="auto"/>
        <w:tblLook w:val="04A0" w:firstRow="1" w:lastRow="0" w:firstColumn="1" w:lastColumn="0" w:noHBand="0" w:noVBand="1"/>
      </w:tblPr>
      <w:tblGrid>
        <w:gridCol w:w="3085"/>
        <w:gridCol w:w="1985"/>
        <w:gridCol w:w="2268"/>
        <w:gridCol w:w="1904"/>
      </w:tblGrid>
      <w:tr w:rsidR="009E5FC2" w:rsidRPr="002D755F" w14:paraId="67D01B0B" w14:textId="77777777" w:rsidTr="009E5FC2">
        <w:tc>
          <w:tcPr>
            <w:tcW w:w="3085" w:type="dxa"/>
            <w:vMerge w:val="restart"/>
          </w:tcPr>
          <w:p w14:paraId="403199C4" w14:textId="77777777" w:rsidR="009E5FC2" w:rsidRPr="002D755F" w:rsidRDefault="009E5FC2" w:rsidP="009E5FC2">
            <w:pPr>
              <w:spacing w:line="360" w:lineRule="auto"/>
              <w:contextualSpacing/>
              <w:jc w:val="center"/>
              <w:rPr>
                <w:rFonts w:ascii="Times New Roman" w:hAnsi="Times New Roman"/>
                <w:b/>
                <w:sz w:val="24"/>
                <w:szCs w:val="24"/>
              </w:rPr>
            </w:pPr>
            <w:r w:rsidRPr="002D755F">
              <w:rPr>
                <w:rFonts w:ascii="Times New Roman" w:hAnsi="Times New Roman"/>
                <w:b/>
                <w:sz w:val="24"/>
                <w:szCs w:val="24"/>
              </w:rPr>
              <w:t>Parameter</w:t>
            </w:r>
          </w:p>
        </w:tc>
        <w:tc>
          <w:tcPr>
            <w:tcW w:w="6157" w:type="dxa"/>
            <w:gridSpan w:val="3"/>
          </w:tcPr>
          <w:p w14:paraId="49E4C115" w14:textId="77777777" w:rsidR="009E5FC2" w:rsidRPr="002D755F" w:rsidRDefault="009E5FC2" w:rsidP="009E5FC2">
            <w:pPr>
              <w:spacing w:line="360" w:lineRule="auto"/>
              <w:contextualSpacing/>
              <w:jc w:val="center"/>
              <w:rPr>
                <w:rFonts w:ascii="Times New Roman" w:hAnsi="Times New Roman"/>
                <w:b/>
                <w:sz w:val="24"/>
                <w:szCs w:val="24"/>
              </w:rPr>
            </w:pPr>
            <w:r w:rsidRPr="002D755F">
              <w:rPr>
                <w:rFonts w:ascii="Times New Roman" w:hAnsi="Times New Roman"/>
                <w:b/>
                <w:sz w:val="24"/>
                <w:szCs w:val="24"/>
              </w:rPr>
              <w:t>Treatments</w:t>
            </w:r>
          </w:p>
        </w:tc>
      </w:tr>
      <w:tr w:rsidR="009E5FC2" w:rsidRPr="002D755F" w14:paraId="3FE778E0" w14:textId="77777777" w:rsidTr="009E5FC2">
        <w:tc>
          <w:tcPr>
            <w:tcW w:w="3085" w:type="dxa"/>
            <w:vMerge/>
          </w:tcPr>
          <w:p w14:paraId="35AA5BB9" w14:textId="77777777" w:rsidR="009E5FC2" w:rsidRPr="002D755F" w:rsidRDefault="009E5FC2" w:rsidP="009E5FC2">
            <w:pPr>
              <w:spacing w:line="360" w:lineRule="auto"/>
              <w:contextualSpacing/>
              <w:jc w:val="center"/>
              <w:rPr>
                <w:rFonts w:ascii="Times New Roman" w:hAnsi="Times New Roman"/>
                <w:b/>
                <w:sz w:val="24"/>
                <w:szCs w:val="24"/>
              </w:rPr>
            </w:pPr>
          </w:p>
        </w:tc>
        <w:tc>
          <w:tcPr>
            <w:tcW w:w="1985" w:type="dxa"/>
          </w:tcPr>
          <w:p w14:paraId="638DA32B" w14:textId="77777777" w:rsidR="009E5FC2" w:rsidRPr="002D755F" w:rsidRDefault="009E5FC2" w:rsidP="009E5FC2">
            <w:pPr>
              <w:spacing w:line="360" w:lineRule="auto"/>
              <w:contextualSpacing/>
              <w:jc w:val="center"/>
              <w:rPr>
                <w:rFonts w:ascii="Times New Roman" w:hAnsi="Times New Roman"/>
                <w:b/>
                <w:sz w:val="24"/>
                <w:szCs w:val="24"/>
              </w:rPr>
            </w:pPr>
            <w:r w:rsidRPr="002D755F">
              <w:rPr>
                <w:rFonts w:ascii="Times New Roman" w:hAnsi="Times New Roman"/>
                <w:b/>
                <w:sz w:val="24"/>
                <w:szCs w:val="24"/>
              </w:rPr>
              <w:t>T1</w:t>
            </w:r>
          </w:p>
        </w:tc>
        <w:tc>
          <w:tcPr>
            <w:tcW w:w="2268" w:type="dxa"/>
          </w:tcPr>
          <w:p w14:paraId="4BB99617" w14:textId="77777777" w:rsidR="009E5FC2" w:rsidRPr="002D755F" w:rsidRDefault="009E5FC2" w:rsidP="009E5FC2">
            <w:pPr>
              <w:spacing w:line="360" w:lineRule="auto"/>
              <w:contextualSpacing/>
              <w:jc w:val="center"/>
              <w:rPr>
                <w:rFonts w:ascii="Times New Roman" w:hAnsi="Times New Roman"/>
                <w:b/>
                <w:sz w:val="24"/>
                <w:szCs w:val="24"/>
              </w:rPr>
            </w:pPr>
            <w:r w:rsidRPr="002D755F">
              <w:rPr>
                <w:rFonts w:ascii="Times New Roman" w:hAnsi="Times New Roman"/>
                <w:b/>
                <w:sz w:val="24"/>
                <w:szCs w:val="24"/>
              </w:rPr>
              <w:t>T2</w:t>
            </w:r>
          </w:p>
        </w:tc>
        <w:tc>
          <w:tcPr>
            <w:tcW w:w="1904" w:type="dxa"/>
          </w:tcPr>
          <w:p w14:paraId="29BFD8A8" w14:textId="77777777" w:rsidR="009E5FC2" w:rsidRPr="002D755F" w:rsidRDefault="009E5FC2" w:rsidP="009E5FC2">
            <w:pPr>
              <w:spacing w:line="360" w:lineRule="auto"/>
              <w:contextualSpacing/>
              <w:jc w:val="center"/>
              <w:rPr>
                <w:rFonts w:ascii="Times New Roman" w:hAnsi="Times New Roman"/>
                <w:b/>
                <w:sz w:val="24"/>
                <w:szCs w:val="24"/>
              </w:rPr>
            </w:pPr>
            <w:r w:rsidRPr="002D755F">
              <w:rPr>
                <w:rFonts w:ascii="Times New Roman" w:hAnsi="Times New Roman"/>
                <w:b/>
                <w:sz w:val="24"/>
                <w:szCs w:val="24"/>
              </w:rPr>
              <w:t>T3</w:t>
            </w:r>
          </w:p>
        </w:tc>
      </w:tr>
      <w:tr w:rsidR="009E5FC2" w:rsidRPr="002D755F" w14:paraId="42754504" w14:textId="77777777" w:rsidTr="009E5FC2">
        <w:tc>
          <w:tcPr>
            <w:tcW w:w="3085" w:type="dxa"/>
          </w:tcPr>
          <w:p w14:paraId="2E150D08" w14:textId="77777777" w:rsidR="009E5FC2" w:rsidRPr="002D755F" w:rsidRDefault="009E5FC2" w:rsidP="009E5FC2">
            <w:pPr>
              <w:spacing w:line="360" w:lineRule="auto"/>
              <w:contextualSpacing/>
              <w:jc w:val="both"/>
              <w:rPr>
                <w:rFonts w:ascii="Times New Roman" w:hAnsi="Times New Roman"/>
                <w:sz w:val="24"/>
                <w:szCs w:val="24"/>
              </w:rPr>
            </w:pPr>
            <w:r w:rsidRPr="002D755F">
              <w:rPr>
                <w:rFonts w:ascii="Times New Roman" w:hAnsi="Times New Roman"/>
                <w:sz w:val="24"/>
                <w:szCs w:val="24"/>
              </w:rPr>
              <w:t>Initial</w:t>
            </w:r>
            <w:r w:rsidR="00977D25" w:rsidRPr="002D755F">
              <w:rPr>
                <w:rFonts w:ascii="Times New Roman" w:hAnsi="Times New Roman"/>
                <w:sz w:val="24"/>
                <w:szCs w:val="24"/>
              </w:rPr>
              <w:t xml:space="preserve"> </w:t>
            </w:r>
            <w:r w:rsidRPr="002D755F">
              <w:rPr>
                <w:rFonts w:ascii="Times New Roman" w:hAnsi="Times New Roman"/>
                <w:sz w:val="24"/>
                <w:szCs w:val="24"/>
              </w:rPr>
              <w:t>Average Length (cm)</w:t>
            </w:r>
          </w:p>
        </w:tc>
        <w:tc>
          <w:tcPr>
            <w:tcW w:w="1985" w:type="dxa"/>
          </w:tcPr>
          <w:p w14:paraId="78A1B5B5"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14.450±0.58</w:t>
            </w:r>
            <w:r w:rsidRPr="002D755F">
              <w:rPr>
                <w:rFonts w:ascii="Times New Roman" w:hAnsi="Times New Roman"/>
                <w:sz w:val="24"/>
                <w:szCs w:val="24"/>
                <w:vertAlign w:val="superscript"/>
              </w:rPr>
              <w:t>a</w:t>
            </w:r>
          </w:p>
        </w:tc>
        <w:tc>
          <w:tcPr>
            <w:tcW w:w="2268" w:type="dxa"/>
          </w:tcPr>
          <w:p w14:paraId="6EC4DDBB"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14.450±0.58</w:t>
            </w:r>
            <w:r w:rsidRPr="002D755F">
              <w:rPr>
                <w:rFonts w:ascii="Times New Roman" w:hAnsi="Times New Roman"/>
                <w:sz w:val="24"/>
                <w:szCs w:val="24"/>
                <w:vertAlign w:val="superscript"/>
              </w:rPr>
              <w:t>a</w:t>
            </w:r>
          </w:p>
        </w:tc>
        <w:tc>
          <w:tcPr>
            <w:tcW w:w="1904" w:type="dxa"/>
          </w:tcPr>
          <w:p w14:paraId="117B4E3D"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14.083±0.86</w:t>
            </w:r>
            <w:r w:rsidRPr="002D755F">
              <w:rPr>
                <w:rFonts w:ascii="Times New Roman" w:hAnsi="Times New Roman"/>
                <w:sz w:val="24"/>
                <w:szCs w:val="24"/>
                <w:vertAlign w:val="superscript"/>
              </w:rPr>
              <w:t>a</w:t>
            </w:r>
          </w:p>
        </w:tc>
      </w:tr>
      <w:tr w:rsidR="009E5FC2" w:rsidRPr="002D755F" w14:paraId="15C673CB" w14:textId="77777777" w:rsidTr="009E5FC2">
        <w:tc>
          <w:tcPr>
            <w:tcW w:w="3085" w:type="dxa"/>
          </w:tcPr>
          <w:p w14:paraId="27E56F8A" w14:textId="77777777" w:rsidR="009E5FC2" w:rsidRPr="002D755F" w:rsidRDefault="009E5FC2" w:rsidP="009E5FC2">
            <w:pPr>
              <w:spacing w:line="360" w:lineRule="auto"/>
              <w:contextualSpacing/>
              <w:jc w:val="both"/>
              <w:rPr>
                <w:rFonts w:ascii="Times New Roman" w:hAnsi="Times New Roman"/>
                <w:sz w:val="24"/>
                <w:szCs w:val="24"/>
              </w:rPr>
            </w:pPr>
            <w:r w:rsidRPr="002D755F">
              <w:rPr>
                <w:rFonts w:ascii="Times New Roman" w:hAnsi="Times New Roman"/>
                <w:sz w:val="24"/>
                <w:szCs w:val="24"/>
              </w:rPr>
              <w:t>Final Average Length (cm)</w:t>
            </w:r>
          </w:p>
        </w:tc>
        <w:tc>
          <w:tcPr>
            <w:tcW w:w="1985" w:type="dxa"/>
          </w:tcPr>
          <w:p w14:paraId="27F4C6BE"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21.417±0.62</w:t>
            </w:r>
            <w:r w:rsidRPr="002D755F">
              <w:rPr>
                <w:rFonts w:ascii="Times New Roman" w:hAnsi="Times New Roman"/>
                <w:sz w:val="24"/>
                <w:szCs w:val="24"/>
                <w:vertAlign w:val="superscript"/>
              </w:rPr>
              <w:t>c</w:t>
            </w:r>
          </w:p>
        </w:tc>
        <w:tc>
          <w:tcPr>
            <w:tcW w:w="2268" w:type="dxa"/>
          </w:tcPr>
          <w:p w14:paraId="7479370B"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24.633±0.80</w:t>
            </w:r>
            <w:r w:rsidRPr="002D755F">
              <w:rPr>
                <w:rFonts w:ascii="Times New Roman" w:hAnsi="Times New Roman"/>
                <w:sz w:val="24"/>
                <w:szCs w:val="24"/>
                <w:vertAlign w:val="superscript"/>
              </w:rPr>
              <w:t>a</w:t>
            </w:r>
          </w:p>
        </w:tc>
        <w:tc>
          <w:tcPr>
            <w:tcW w:w="1904" w:type="dxa"/>
          </w:tcPr>
          <w:p w14:paraId="6941A0E6"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23.250±0.86</w:t>
            </w:r>
            <w:r w:rsidRPr="002D755F">
              <w:rPr>
                <w:rFonts w:ascii="Times New Roman" w:hAnsi="Times New Roman"/>
                <w:sz w:val="24"/>
                <w:szCs w:val="24"/>
                <w:vertAlign w:val="superscript"/>
              </w:rPr>
              <w:t>b</w:t>
            </w:r>
          </w:p>
        </w:tc>
      </w:tr>
      <w:tr w:rsidR="009E5FC2" w:rsidRPr="002D755F" w14:paraId="740DE267" w14:textId="77777777" w:rsidTr="009E5FC2">
        <w:tc>
          <w:tcPr>
            <w:tcW w:w="3085" w:type="dxa"/>
          </w:tcPr>
          <w:p w14:paraId="7954FD39" w14:textId="77777777" w:rsidR="009E5FC2" w:rsidRPr="002D755F" w:rsidRDefault="0079503F" w:rsidP="009E5FC2">
            <w:pPr>
              <w:spacing w:line="360" w:lineRule="auto"/>
              <w:contextualSpacing/>
              <w:jc w:val="both"/>
              <w:rPr>
                <w:rFonts w:ascii="Times New Roman" w:hAnsi="Times New Roman"/>
                <w:sz w:val="24"/>
                <w:szCs w:val="24"/>
              </w:rPr>
            </w:pPr>
            <w:r w:rsidRPr="002D755F">
              <w:rPr>
                <w:rFonts w:ascii="Times New Roman" w:hAnsi="Times New Roman"/>
                <w:sz w:val="24"/>
                <w:szCs w:val="24"/>
              </w:rPr>
              <w:t>Average</w:t>
            </w:r>
            <w:r w:rsidR="009E5FC2" w:rsidRPr="002D755F">
              <w:rPr>
                <w:rFonts w:ascii="Times New Roman" w:hAnsi="Times New Roman"/>
                <w:sz w:val="24"/>
                <w:szCs w:val="24"/>
              </w:rPr>
              <w:t xml:space="preserve"> Length Gain (cm)</w:t>
            </w:r>
          </w:p>
        </w:tc>
        <w:tc>
          <w:tcPr>
            <w:tcW w:w="1985" w:type="dxa"/>
          </w:tcPr>
          <w:p w14:paraId="4C8362AD"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6.967±0.24</w:t>
            </w:r>
            <w:r w:rsidRPr="002D755F">
              <w:rPr>
                <w:rFonts w:ascii="Times New Roman" w:hAnsi="Times New Roman"/>
                <w:sz w:val="24"/>
                <w:szCs w:val="24"/>
                <w:vertAlign w:val="superscript"/>
              </w:rPr>
              <w:t>c</w:t>
            </w:r>
          </w:p>
        </w:tc>
        <w:tc>
          <w:tcPr>
            <w:tcW w:w="2268" w:type="dxa"/>
          </w:tcPr>
          <w:p w14:paraId="676D6122"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11.00±0.38</w:t>
            </w:r>
            <w:r w:rsidRPr="002D755F">
              <w:rPr>
                <w:rFonts w:ascii="Times New Roman" w:hAnsi="Times New Roman"/>
                <w:sz w:val="24"/>
                <w:szCs w:val="24"/>
                <w:vertAlign w:val="superscript"/>
              </w:rPr>
              <w:t>a</w:t>
            </w:r>
          </w:p>
        </w:tc>
        <w:tc>
          <w:tcPr>
            <w:tcW w:w="1904" w:type="dxa"/>
          </w:tcPr>
          <w:p w14:paraId="6A3450D5"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9.167±0.19</w:t>
            </w:r>
            <w:r w:rsidRPr="002D755F">
              <w:rPr>
                <w:rFonts w:ascii="Times New Roman" w:hAnsi="Times New Roman"/>
                <w:sz w:val="24"/>
                <w:szCs w:val="24"/>
                <w:vertAlign w:val="superscript"/>
              </w:rPr>
              <w:t>b</w:t>
            </w:r>
          </w:p>
        </w:tc>
      </w:tr>
      <w:tr w:rsidR="009E5FC2" w:rsidRPr="002D755F" w14:paraId="67B619C9" w14:textId="77777777" w:rsidTr="009E5FC2">
        <w:tc>
          <w:tcPr>
            <w:tcW w:w="3085" w:type="dxa"/>
          </w:tcPr>
          <w:p w14:paraId="53B38041" w14:textId="77777777" w:rsidR="009E5FC2" w:rsidRPr="002D755F" w:rsidRDefault="009E5FC2" w:rsidP="009E5FC2">
            <w:pPr>
              <w:spacing w:line="360" w:lineRule="auto"/>
              <w:contextualSpacing/>
              <w:jc w:val="both"/>
              <w:rPr>
                <w:rFonts w:ascii="Times New Roman" w:hAnsi="Times New Roman"/>
                <w:sz w:val="24"/>
                <w:szCs w:val="24"/>
              </w:rPr>
            </w:pPr>
            <w:r w:rsidRPr="002D755F">
              <w:rPr>
                <w:rFonts w:ascii="Times New Roman" w:hAnsi="Times New Roman"/>
                <w:sz w:val="24"/>
                <w:szCs w:val="24"/>
              </w:rPr>
              <w:t>Initial Average Weight (g)</w:t>
            </w:r>
          </w:p>
        </w:tc>
        <w:tc>
          <w:tcPr>
            <w:tcW w:w="1985" w:type="dxa"/>
          </w:tcPr>
          <w:p w14:paraId="284C1AC0"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114.83±3.87</w:t>
            </w:r>
            <w:r w:rsidRPr="002D755F">
              <w:rPr>
                <w:rFonts w:ascii="Times New Roman" w:hAnsi="Times New Roman"/>
                <w:sz w:val="24"/>
                <w:szCs w:val="24"/>
                <w:vertAlign w:val="superscript"/>
              </w:rPr>
              <w:t>b</w:t>
            </w:r>
          </w:p>
        </w:tc>
        <w:tc>
          <w:tcPr>
            <w:tcW w:w="2268" w:type="dxa"/>
          </w:tcPr>
          <w:p w14:paraId="0AAB0920"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166.00±22.75</w:t>
            </w:r>
            <w:r w:rsidRPr="002D755F">
              <w:rPr>
                <w:rFonts w:ascii="Times New Roman" w:hAnsi="Times New Roman"/>
                <w:sz w:val="24"/>
                <w:szCs w:val="24"/>
                <w:vertAlign w:val="superscript"/>
              </w:rPr>
              <w:t>a</w:t>
            </w:r>
          </w:p>
        </w:tc>
        <w:tc>
          <w:tcPr>
            <w:tcW w:w="1904" w:type="dxa"/>
          </w:tcPr>
          <w:p w14:paraId="5E89CE24"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153.00±19.45</w:t>
            </w:r>
            <w:r w:rsidRPr="002D755F">
              <w:rPr>
                <w:rFonts w:ascii="Times New Roman" w:hAnsi="Times New Roman"/>
                <w:sz w:val="24"/>
                <w:szCs w:val="24"/>
                <w:vertAlign w:val="superscript"/>
              </w:rPr>
              <w:t>a</w:t>
            </w:r>
          </w:p>
        </w:tc>
      </w:tr>
      <w:tr w:rsidR="009E5FC2" w:rsidRPr="002D755F" w14:paraId="5CFAE37B" w14:textId="77777777" w:rsidTr="009E5FC2">
        <w:tc>
          <w:tcPr>
            <w:tcW w:w="3085" w:type="dxa"/>
          </w:tcPr>
          <w:p w14:paraId="500824A3" w14:textId="77777777" w:rsidR="009E5FC2" w:rsidRPr="002D755F" w:rsidRDefault="009E5FC2" w:rsidP="009E5FC2">
            <w:pPr>
              <w:spacing w:line="360" w:lineRule="auto"/>
              <w:contextualSpacing/>
              <w:jc w:val="both"/>
              <w:rPr>
                <w:rFonts w:ascii="Times New Roman" w:hAnsi="Times New Roman"/>
                <w:sz w:val="24"/>
                <w:szCs w:val="24"/>
              </w:rPr>
            </w:pPr>
            <w:r w:rsidRPr="002D755F">
              <w:rPr>
                <w:rFonts w:ascii="Times New Roman" w:hAnsi="Times New Roman"/>
                <w:sz w:val="24"/>
                <w:szCs w:val="24"/>
              </w:rPr>
              <w:t>Final Average Weight (g)</w:t>
            </w:r>
          </w:p>
        </w:tc>
        <w:tc>
          <w:tcPr>
            <w:tcW w:w="1985" w:type="dxa"/>
          </w:tcPr>
          <w:p w14:paraId="63725B47"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443.67±16.78</w:t>
            </w:r>
            <w:r w:rsidRPr="002D755F">
              <w:rPr>
                <w:rFonts w:ascii="Times New Roman" w:hAnsi="Times New Roman"/>
                <w:sz w:val="24"/>
                <w:szCs w:val="24"/>
                <w:vertAlign w:val="superscript"/>
              </w:rPr>
              <w:t>c</w:t>
            </w:r>
          </w:p>
        </w:tc>
        <w:tc>
          <w:tcPr>
            <w:tcW w:w="2268" w:type="dxa"/>
          </w:tcPr>
          <w:p w14:paraId="3524995F" w14:textId="77777777" w:rsidR="009E5FC2" w:rsidRPr="002D755F" w:rsidRDefault="0079503F" w:rsidP="00DA08C8">
            <w:pPr>
              <w:tabs>
                <w:tab w:val="right" w:pos="2052"/>
              </w:tabs>
              <w:spacing w:line="360" w:lineRule="auto"/>
              <w:contextualSpacing/>
              <w:jc w:val="center"/>
              <w:rPr>
                <w:rFonts w:ascii="Times New Roman" w:hAnsi="Times New Roman"/>
                <w:sz w:val="24"/>
                <w:szCs w:val="24"/>
              </w:rPr>
            </w:pPr>
            <w:r w:rsidRPr="002D755F">
              <w:rPr>
                <w:rFonts w:ascii="Times New Roman" w:hAnsi="Times New Roman"/>
                <w:sz w:val="24"/>
                <w:szCs w:val="24"/>
              </w:rPr>
              <w:t>542.00±21.65</w:t>
            </w:r>
            <w:r w:rsidRPr="002D755F">
              <w:rPr>
                <w:rFonts w:ascii="Times New Roman" w:hAnsi="Times New Roman"/>
                <w:sz w:val="24"/>
                <w:szCs w:val="24"/>
                <w:vertAlign w:val="superscript"/>
              </w:rPr>
              <w:t>a</w:t>
            </w:r>
          </w:p>
        </w:tc>
        <w:tc>
          <w:tcPr>
            <w:tcW w:w="1904" w:type="dxa"/>
          </w:tcPr>
          <w:p w14:paraId="581C9E89" w14:textId="77777777" w:rsidR="009E5FC2" w:rsidRPr="002D755F" w:rsidRDefault="0079503F"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492.17±36.26</w:t>
            </w:r>
            <w:r w:rsidRPr="002D755F">
              <w:rPr>
                <w:rFonts w:ascii="Times New Roman" w:hAnsi="Times New Roman"/>
                <w:sz w:val="24"/>
                <w:szCs w:val="24"/>
                <w:vertAlign w:val="superscript"/>
              </w:rPr>
              <w:t>b</w:t>
            </w:r>
          </w:p>
        </w:tc>
      </w:tr>
      <w:tr w:rsidR="006B548C" w:rsidRPr="002D755F" w14:paraId="18BE89A0" w14:textId="77777777" w:rsidTr="009E5FC2">
        <w:tc>
          <w:tcPr>
            <w:tcW w:w="3085" w:type="dxa"/>
          </w:tcPr>
          <w:p w14:paraId="1FF5CD3D" w14:textId="77777777" w:rsidR="006B548C" w:rsidRPr="002D755F" w:rsidRDefault="006B548C" w:rsidP="009E5FC2">
            <w:pPr>
              <w:spacing w:line="360" w:lineRule="auto"/>
              <w:contextualSpacing/>
              <w:jc w:val="both"/>
              <w:rPr>
                <w:rFonts w:ascii="Times New Roman" w:hAnsi="Times New Roman"/>
                <w:color w:val="000000" w:themeColor="text1"/>
                <w:sz w:val="24"/>
                <w:szCs w:val="24"/>
              </w:rPr>
            </w:pPr>
            <w:r w:rsidRPr="002D755F">
              <w:rPr>
                <w:rFonts w:ascii="Times New Roman" w:hAnsi="Times New Roman"/>
                <w:color w:val="000000" w:themeColor="text1"/>
                <w:sz w:val="24"/>
                <w:szCs w:val="24"/>
              </w:rPr>
              <w:t>Feed Conversion Ratio</w:t>
            </w:r>
          </w:p>
        </w:tc>
        <w:tc>
          <w:tcPr>
            <w:tcW w:w="1985" w:type="dxa"/>
          </w:tcPr>
          <w:p w14:paraId="33CF51B0" w14:textId="77777777" w:rsidR="006B548C" w:rsidRPr="002D755F" w:rsidRDefault="006B548C" w:rsidP="00DA08C8">
            <w:pPr>
              <w:spacing w:line="360" w:lineRule="auto"/>
              <w:contextualSpacing/>
              <w:jc w:val="center"/>
              <w:rPr>
                <w:rFonts w:ascii="Times New Roman" w:hAnsi="Times New Roman"/>
                <w:color w:val="000000" w:themeColor="text1"/>
                <w:sz w:val="24"/>
                <w:szCs w:val="24"/>
              </w:rPr>
            </w:pPr>
            <w:r w:rsidRPr="002D755F">
              <w:rPr>
                <w:rFonts w:ascii="Times New Roman" w:hAnsi="Times New Roman"/>
                <w:color w:val="000000" w:themeColor="text1"/>
                <w:sz w:val="24"/>
                <w:szCs w:val="24"/>
              </w:rPr>
              <w:t>1.63±1.71</w:t>
            </w:r>
            <w:r w:rsidRPr="002D755F">
              <w:rPr>
                <w:rFonts w:ascii="Times New Roman" w:hAnsi="Times New Roman"/>
                <w:color w:val="000000" w:themeColor="text1"/>
                <w:sz w:val="24"/>
                <w:szCs w:val="24"/>
                <w:vertAlign w:val="superscript"/>
              </w:rPr>
              <w:t>a</w:t>
            </w:r>
          </w:p>
        </w:tc>
        <w:tc>
          <w:tcPr>
            <w:tcW w:w="2268" w:type="dxa"/>
          </w:tcPr>
          <w:p w14:paraId="337D8D14" w14:textId="77777777" w:rsidR="006B548C" w:rsidRPr="002D755F" w:rsidRDefault="006B548C" w:rsidP="00DA08C8">
            <w:pPr>
              <w:tabs>
                <w:tab w:val="right" w:pos="2052"/>
              </w:tabs>
              <w:spacing w:line="360" w:lineRule="auto"/>
              <w:contextualSpacing/>
              <w:jc w:val="center"/>
              <w:rPr>
                <w:rFonts w:ascii="Times New Roman" w:hAnsi="Times New Roman"/>
                <w:color w:val="000000" w:themeColor="text1"/>
                <w:sz w:val="24"/>
                <w:szCs w:val="24"/>
              </w:rPr>
            </w:pPr>
            <w:r w:rsidRPr="002D755F">
              <w:rPr>
                <w:rFonts w:ascii="Times New Roman" w:hAnsi="Times New Roman"/>
                <w:color w:val="000000" w:themeColor="text1"/>
                <w:sz w:val="24"/>
                <w:szCs w:val="24"/>
              </w:rPr>
              <w:t>1.51±1.43</w:t>
            </w:r>
            <w:r w:rsidRPr="002D755F">
              <w:rPr>
                <w:rFonts w:ascii="Times New Roman" w:hAnsi="Times New Roman"/>
                <w:color w:val="000000" w:themeColor="text1"/>
                <w:sz w:val="24"/>
                <w:szCs w:val="24"/>
                <w:vertAlign w:val="superscript"/>
              </w:rPr>
              <w:t>b</w:t>
            </w:r>
          </w:p>
        </w:tc>
        <w:tc>
          <w:tcPr>
            <w:tcW w:w="1904" w:type="dxa"/>
          </w:tcPr>
          <w:p w14:paraId="7299FE52" w14:textId="77777777" w:rsidR="006B548C" w:rsidRPr="002D755F" w:rsidRDefault="006B548C" w:rsidP="00DA08C8">
            <w:pPr>
              <w:spacing w:line="360" w:lineRule="auto"/>
              <w:contextualSpacing/>
              <w:jc w:val="center"/>
              <w:rPr>
                <w:rFonts w:ascii="Times New Roman" w:hAnsi="Times New Roman"/>
                <w:color w:val="000000" w:themeColor="text1"/>
                <w:sz w:val="24"/>
                <w:szCs w:val="24"/>
              </w:rPr>
            </w:pPr>
            <w:r w:rsidRPr="002D755F">
              <w:rPr>
                <w:rFonts w:ascii="Times New Roman" w:hAnsi="Times New Roman"/>
                <w:color w:val="000000" w:themeColor="text1"/>
                <w:sz w:val="24"/>
                <w:szCs w:val="24"/>
              </w:rPr>
              <w:t>1.56±1.22</w:t>
            </w:r>
            <w:r w:rsidRPr="002D755F">
              <w:rPr>
                <w:rFonts w:ascii="Times New Roman" w:hAnsi="Times New Roman"/>
                <w:color w:val="000000" w:themeColor="text1"/>
                <w:sz w:val="24"/>
                <w:szCs w:val="24"/>
                <w:vertAlign w:val="superscript"/>
              </w:rPr>
              <w:t>b</w:t>
            </w:r>
          </w:p>
        </w:tc>
      </w:tr>
      <w:tr w:rsidR="006B548C" w:rsidRPr="002D755F" w14:paraId="177742D9" w14:textId="77777777" w:rsidTr="009E5FC2">
        <w:tc>
          <w:tcPr>
            <w:tcW w:w="3085" w:type="dxa"/>
          </w:tcPr>
          <w:p w14:paraId="60B28016" w14:textId="77777777" w:rsidR="006B548C" w:rsidRPr="002D755F" w:rsidRDefault="006B548C" w:rsidP="009E5FC2">
            <w:pPr>
              <w:spacing w:line="360" w:lineRule="auto"/>
              <w:contextualSpacing/>
              <w:jc w:val="both"/>
              <w:rPr>
                <w:rFonts w:ascii="Times New Roman" w:hAnsi="Times New Roman"/>
                <w:sz w:val="24"/>
                <w:szCs w:val="24"/>
              </w:rPr>
            </w:pPr>
            <w:r w:rsidRPr="002D755F">
              <w:rPr>
                <w:rFonts w:ascii="Times New Roman" w:hAnsi="Times New Roman"/>
                <w:sz w:val="24"/>
                <w:szCs w:val="24"/>
              </w:rPr>
              <w:t>Net Weight Gain (g)</w:t>
            </w:r>
          </w:p>
        </w:tc>
        <w:tc>
          <w:tcPr>
            <w:tcW w:w="1985" w:type="dxa"/>
          </w:tcPr>
          <w:p w14:paraId="3AE8B857" w14:textId="77777777" w:rsidR="006B548C" w:rsidRPr="002D755F" w:rsidRDefault="006B548C"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328.83±18.11</w:t>
            </w:r>
            <w:r w:rsidRPr="002D755F">
              <w:rPr>
                <w:rFonts w:ascii="Times New Roman" w:hAnsi="Times New Roman"/>
                <w:sz w:val="24"/>
                <w:szCs w:val="24"/>
                <w:vertAlign w:val="superscript"/>
              </w:rPr>
              <w:t>c</w:t>
            </w:r>
          </w:p>
        </w:tc>
        <w:tc>
          <w:tcPr>
            <w:tcW w:w="2268" w:type="dxa"/>
          </w:tcPr>
          <w:p w14:paraId="0CF4AE1C" w14:textId="77777777" w:rsidR="006B548C" w:rsidRPr="002D755F" w:rsidRDefault="006B548C"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376.00±16.41</w:t>
            </w:r>
            <w:r w:rsidRPr="002D755F">
              <w:rPr>
                <w:rFonts w:ascii="Times New Roman" w:hAnsi="Times New Roman"/>
                <w:sz w:val="24"/>
                <w:szCs w:val="24"/>
                <w:vertAlign w:val="superscript"/>
              </w:rPr>
              <w:t>a</w:t>
            </w:r>
          </w:p>
        </w:tc>
        <w:tc>
          <w:tcPr>
            <w:tcW w:w="1904" w:type="dxa"/>
          </w:tcPr>
          <w:p w14:paraId="21C82D1C" w14:textId="77777777" w:rsidR="006B548C" w:rsidRPr="002D755F" w:rsidRDefault="006B548C" w:rsidP="00DA08C8">
            <w:pPr>
              <w:spacing w:line="360" w:lineRule="auto"/>
              <w:contextualSpacing/>
              <w:jc w:val="center"/>
              <w:rPr>
                <w:rFonts w:ascii="Times New Roman" w:hAnsi="Times New Roman"/>
                <w:sz w:val="24"/>
                <w:szCs w:val="24"/>
              </w:rPr>
            </w:pPr>
            <w:r w:rsidRPr="002D755F">
              <w:rPr>
                <w:rFonts w:ascii="Times New Roman" w:hAnsi="Times New Roman"/>
                <w:sz w:val="24"/>
                <w:szCs w:val="24"/>
              </w:rPr>
              <w:t>339.17±26.52</w:t>
            </w:r>
            <w:r w:rsidRPr="002D755F">
              <w:rPr>
                <w:rFonts w:ascii="Times New Roman" w:hAnsi="Times New Roman"/>
                <w:sz w:val="24"/>
                <w:szCs w:val="24"/>
                <w:vertAlign w:val="superscript"/>
              </w:rPr>
              <w:t>b</w:t>
            </w:r>
          </w:p>
        </w:tc>
      </w:tr>
      <w:tr w:rsidR="006B548C" w:rsidRPr="002D755F" w14:paraId="39F57F72" w14:textId="77777777" w:rsidTr="009E5FC2">
        <w:tc>
          <w:tcPr>
            <w:tcW w:w="3085" w:type="dxa"/>
          </w:tcPr>
          <w:p w14:paraId="554C30BC" w14:textId="77777777" w:rsidR="006B548C" w:rsidRPr="002D755F" w:rsidRDefault="006B548C" w:rsidP="009E5FC2">
            <w:pPr>
              <w:spacing w:line="360" w:lineRule="auto"/>
              <w:contextualSpacing/>
              <w:jc w:val="both"/>
              <w:rPr>
                <w:rFonts w:ascii="Times New Roman" w:hAnsi="Times New Roman"/>
                <w:color w:val="FF0000"/>
                <w:sz w:val="24"/>
                <w:szCs w:val="24"/>
              </w:rPr>
            </w:pPr>
            <w:r w:rsidRPr="002D755F">
              <w:rPr>
                <w:rFonts w:ascii="Times New Roman" w:hAnsi="Times New Roman"/>
                <w:sz w:val="24"/>
                <w:szCs w:val="24"/>
              </w:rPr>
              <w:t>Total Production</w:t>
            </w:r>
          </w:p>
        </w:tc>
        <w:tc>
          <w:tcPr>
            <w:tcW w:w="1985" w:type="dxa"/>
          </w:tcPr>
          <w:p w14:paraId="66F67516" w14:textId="77777777" w:rsidR="006B548C" w:rsidRPr="002D755F" w:rsidRDefault="006B548C" w:rsidP="003606C7">
            <w:pPr>
              <w:spacing w:line="360" w:lineRule="auto"/>
              <w:contextualSpacing/>
              <w:jc w:val="center"/>
              <w:rPr>
                <w:rFonts w:ascii="Times New Roman" w:hAnsi="Times New Roman"/>
                <w:color w:val="FF0000"/>
                <w:sz w:val="24"/>
                <w:szCs w:val="24"/>
              </w:rPr>
            </w:pPr>
            <w:r w:rsidRPr="002D755F">
              <w:rPr>
                <w:rFonts w:ascii="Times New Roman" w:hAnsi="Times New Roman" w:cs="Times New Roman"/>
                <w:sz w:val="24"/>
                <w:szCs w:val="24"/>
              </w:rPr>
              <w:t>19.1617±3.22</w:t>
            </w:r>
            <w:r w:rsidRPr="002D755F">
              <w:rPr>
                <w:rFonts w:ascii="Times New Roman" w:hAnsi="Times New Roman" w:cs="Times New Roman"/>
                <w:sz w:val="24"/>
                <w:szCs w:val="24"/>
                <w:vertAlign w:val="superscript"/>
              </w:rPr>
              <w:t>b</w:t>
            </w:r>
          </w:p>
        </w:tc>
        <w:tc>
          <w:tcPr>
            <w:tcW w:w="2268" w:type="dxa"/>
          </w:tcPr>
          <w:p w14:paraId="17F6B033" w14:textId="77777777" w:rsidR="006B548C" w:rsidRPr="002D755F" w:rsidRDefault="006B548C" w:rsidP="003606C7">
            <w:pPr>
              <w:spacing w:line="360" w:lineRule="auto"/>
              <w:contextualSpacing/>
              <w:jc w:val="center"/>
              <w:rPr>
                <w:rFonts w:ascii="Times New Roman" w:hAnsi="Times New Roman"/>
                <w:color w:val="FF0000"/>
                <w:sz w:val="24"/>
                <w:szCs w:val="24"/>
              </w:rPr>
            </w:pPr>
            <w:r w:rsidRPr="002D755F">
              <w:rPr>
                <w:rFonts w:ascii="Times New Roman" w:hAnsi="Times New Roman" w:cs="Times New Roman"/>
                <w:sz w:val="24"/>
                <w:szCs w:val="24"/>
              </w:rPr>
              <w:t>23.1567±2.76</w:t>
            </w:r>
            <w:r w:rsidRPr="002D755F">
              <w:rPr>
                <w:rFonts w:ascii="Times New Roman" w:hAnsi="Times New Roman" w:cs="Times New Roman"/>
                <w:sz w:val="24"/>
                <w:szCs w:val="24"/>
                <w:vertAlign w:val="superscript"/>
              </w:rPr>
              <w:t>a</w:t>
            </w:r>
          </w:p>
        </w:tc>
        <w:tc>
          <w:tcPr>
            <w:tcW w:w="1904" w:type="dxa"/>
          </w:tcPr>
          <w:p w14:paraId="6DD25AE2" w14:textId="77777777" w:rsidR="006B548C" w:rsidRPr="002D755F" w:rsidRDefault="006B548C" w:rsidP="003606C7">
            <w:pPr>
              <w:spacing w:line="360" w:lineRule="auto"/>
              <w:contextualSpacing/>
              <w:jc w:val="center"/>
              <w:rPr>
                <w:rFonts w:ascii="Times New Roman" w:hAnsi="Times New Roman"/>
                <w:color w:val="FF0000"/>
                <w:sz w:val="24"/>
                <w:szCs w:val="24"/>
              </w:rPr>
            </w:pPr>
            <w:r w:rsidRPr="002D755F">
              <w:rPr>
                <w:rFonts w:ascii="Times New Roman" w:hAnsi="Times New Roman" w:cs="Times New Roman"/>
                <w:sz w:val="24"/>
                <w:szCs w:val="24"/>
              </w:rPr>
              <w:t>22.1617±3.04</w:t>
            </w:r>
            <w:r w:rsidRPr="002D755F">
              <w:rPr>
                <w:rFonts w:ascii="Times New Roman" w:hAnsi="Times New Roman" w:cs="Times New Roman"/>
                <w:sz w:val="24"/>
                <w:szCs w:val="24"/>
                <w:vertAlign w:val="superscript"/>
              </w:rPr>
              <w:t>a</w:t>
            </w:r>
          </w:p>
        </w:tc>
      </w:tr>
    </w:tbl>
    <w:p w14:paraId="1A270F42" w14:textId="77777777" w:rsidR="00DA08C8" w:rsidRPr="002D755F" w:rsidRDefault="00DA08C8" w:rsidP="00DA08C8">
      <w:pPr>
        <w:spacing w:after="0" w:line="360" w:lineRule="auto"/>
        <w:contextualSpacing/>
        <w:jc w:val="both"/>
        <w:rPr>
          <w:rFonts w:ascii="Times New Roman" w:hAnsi="Times New Roman"/>
          <w:color w:val="FF0000"/>
          <w:sz w:val="24"/>
          <w:szCs w:val="24"/>
        </w:rPr>
      </w:pPr>
      <w:r w:rsidRPr="002D755F">
        <w:rPr>
          <w:rFonts w:ascii="Times New Roman" w:hAnsi="Times New Roman" w:cs="Times New Roman"/>
          <w:color w:val="000000"/>
        </w:rPr>
        <w:t xml:space="preserve">Values are </w:t>
      </w:r>
      <w:proofErr w:type="spellStart"/>
      <w:r w:rsidRPr="002D755F">
        <w:rPr>
          <w:rFonts w:ascii="Times New Roman" w:hAnsi="Times New Roman" w:cs="Times New Roman"/>
          <w:color w:val="000000"/>
        </w:rPr>
        <w:t>Mean±S.E</w:t>
      </w:r>
      <w:proofErr w:type="spellEnd"/>
      <w:r w:rsidR="005D0CA5" w:rsidRPr="002D755F">
        <w:rPr>
          <w:rFonts w:ascii="Times New Roman" w:hAnsi="Times New Roman" w:cs="Times New Roman"/>
          <w:color w:val="000000"/>
        </w:rPr>
        <w:t>.</w:t>
      </w:r>
      <w:r w:rsidRPr="002D755F">
        <w:rPr>
          <w:rFonts w:ascii="Times New Roman" w:hAnsi="Times New Roman" w:cs="Times New Roman"/>
          <w:color w:val="000000"/>
        </w:rPr>
        <w:t xml:space="preserve"> Alphabetic subscripts (a, b, c) indicates significant differences within a row (p≤0.05)</w:t>
      </w:r>
    </w:p>
    <w:p w14:paraId="67811E75" w14:textId="77777777" w:rsidR="007B6FCB" w:rsidRPr="002D755F" w:rsidRDefault="005D0CA5" w:rsidP="00AA4714">
      <w:pPr>
        <w:spacing w:after="0" w:line="360" w:lineRule="auto"/>
        <w:ind w:firstLine="720"/>
        <w:contextualSpacing/>
        <w:jc w:val="both"/>
        <w:rPr>
          <w:rFonts w:ascii="Times New Roman" w:hAnsi="Times New Roman" w:cs="Times New Roman"/>
          <w:color w:val="000000"/>
          <w:sz w:val="24"/>
          <w:szCs w:val="24"/>
        </w:rPr>
      </w:pPr>
      <w:r w:rsidRPr="002D755F">
        <w:rPr>
          <w:rFonts w:ascii="Times New Roman" w:hAnsi="Times New Roman"/>
          <w:sz w:val="24"/>
        </w:rPr>
        <w:t>Mineral mixtures contain essential amino acids, which are of significant importance in fish growth and production (Kumar et al., 2019). Scientists also reported that incorporating mineral mixture at 2% had a great influence on the survival and growth of carp fingerlings, as the specific growth rate and harvested fish biomass increased (Azim et al., 2002; Islam et al., 2008).</w:t>
      </w:r>
    </w:p>
    <w:p w14:paraId="5F7A5348" w14:textId="77777777" w:rsidR="006B548C" w:rsidRPr="002D755F" w:rsidRDefault="006B548C" w:rsidP="006B548C">
      <w:pPr>
        <w:spacing w:after="0" w:line="360" w:lineRule="auto"/>
        <w:ind w:firstLine="720"/>
        <w:contextualSpacing/>
        <w:jc w:val="both"/>
        <w:rPr>
          <w:rFonts w:ascii="Times New Roman" w:hAnsi="Times New Roman" w:cs="Times New Roman"/>
          <w:color w:val="000000"/>
          <w:sz w:val="24"/>
          <w:szCs w:val="24"/>
        </w:rPr>
      </w:pPr>
      <w:r w:rsidRPr="002D755F">
        <w:rPr>
          <w:rFonts w:ascii="Times New Roman" w:hAnsi="Times New Roman"/>
          <w:sz w:val="24"/>
        </w:rPr>
        <w:t>FCR is a major parameter in the quality analysis of fish feed. The lowest FCR was observed in treatment T2, where fish were fed a fish-specific mineral mixture. FCR has a direct relationship with total production and net profit earned. Maximum fish production was observed in T2 at 23.1567±2.76 quintals per acre, followed by T3 (22.1617±3.04) and T1 (19.1617±3.22). Besson et al. (2020) concluded that FCR is key to enhancing profit and is also beneficial in reducing the occurrence of eutrophication at the farm level.</w:t>
      </w:r>
    </w:p>
    <w:p w14:paraId="72D9D6C2" w14:textId="77777777" w:rsidR="009B2EB3" w:rsidRPr="002D755F" w:rsidRDefault="00D66DBA" w:rsidP="00FF27C5">
      <w:pPr>
        <w:spacing w:after="0" w:line="360" w:lineRule="auto"/>
        <w:contextualSpacing/>
        <w:jc w:val="both"/>
        <w:rPr>
          <w:rFonts w:ascii="Times New Roman" w:hAnsi="Times New Roman" w:cs="Times New Roman"/>
          <w:sz w:val="24"/>
          <w:szCs w:val="24"/>
        </w:rPr>
      </w:pPr>
      <w:r w:rsidRPr="002D755F">
        <w:rPr>
          <w:rFonts w:ascii="Times New Roman" w:hAnsi="Times New Roman" w:cs="Times New Roman"/>
          <w:color w:val="000000"/>
          <w:sz w:val="24"/>
          <w:szCs w:val="24"/>
        </w:rPr>
        <w:t xml:space="preserve"> </w:t>
      </w:r>
      <w:r w:rsidRPr="002D755F">
        <w:rPr>
          <w:rFonts w:ascii="Times New Roman" w:hAnsi="Times New Roman" w:cs="Times New Roman"/>
          <w:color w:val="000000"/>
          <w:sz w:val="24"/>
          <w:szCs w:val="24"/>
        </w:rPr>
        <w:tab/>
      </w:r>
      <w:r w:rsidRPr="002D755F">
        <w:rPr>
          <w:rFonts w:ascii="Times New Roman" w:hAnsi="Times New Roman" w:cs="Times New Roman"/>
          <w:sz w:val="24"/>
          <w:szCs w:val="24"/>
        </w:rPr>
        <w:tab/>
      </w:r>
    </w:p>
    <w:p w14:paraId="2A10B602" w14:textId="77777777" w:rsidR="004E2757" w:rsidRPr="002D755F" w:rsidRDefault="00F25248" w:rsidP="00D66DBA">
      <w:pPr>
        <w:spacing w:after="0" w:line="360" w:lineRule="auto"/>
        <w:contextualSpacing/>
        <w:jc w:val="center"/>
        <w:rPr>
          <w:rFonts w:ascii="Times New Roman" w:hAnsi="Times New Roman" w:cs="Times New Roman"/>
          <w:sz w:val="24"/>
          <w:szCs w:val="24"/>
        </w:rPr>
      </w:pPr>
      <w:r w:rsidRPr="002D755F">
        <w:rPr>
          <w:rFonts w:ascii="Times New Roman" w:hAnsi="Times New Roman" w:cs="Times New Roman"/>
          <w:noProof/>
          <w:sz w:val="24"/>
          <w:szCs w:val="24"/>
          <w:lang w:eastAsia="en-IN"/>
        </w:rPr>
        <w:lastRenderedPageBreak/>
        <mc:AlternateContent>
          <mc:Choice Requires="wps">
            <w:drawing>
              <wp:anchor distT="0" distB="0" distL="114300" distR="114300" simplePos="0" relativeHeight="251680768" behindDoc="0" locked="0" layoutInCell="1" allowOverlap="1" wp14:anchorId="2410E1C1" wp14:editId="61EF2E69">
                <wp:simplePos x="0" y="0"/>
                <wp:positionH relativeFrom="column">
                  <wp:posOffset>3555670</wp:posOffset>
                </wp:positionH>
                <wp:positionV relativeFrom="paragraph">
                  <wp:posOffset>351155</wp:posOffset>
                </wp:positionV>
                <wp:extent cx="269240" cy="368935"/>
                <wp:effectExtent l="0" t="0" r="0" b="0"/>
                <wp:wrapNone/>
                <wp:docPr id="586542581" name="TextBox 4"/>
                <wp:cNvGraphicFramePr/>
                <a:graphic xmlns:a="http://schemas.openxmlformats.org/drawingml/2006/main">
                  <a:graphicData uri="http://schemas.microsoft.com/office/word/2010/wordprocessingShape">
                    <wps:wsp>
                      <wps:cNvSpPr txBox="1"/>
                      <wps:spPr>
                        <a:xfrm flipH="1">
                          <a:off x="0" y="0"/>
                          <a:ext cx="269240" cy="368935"/>
                        </a:xfrm>
                        <a:prstGeom prst="rect">
                          <a:avLst/>
                        </a:prstGeom>
                        <a:noFill/>
                      </wps:spPr>
                      <wps:txbx>
                        <w:txbxContent>
                          <w:p w14:paraId="621B1982"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wps:txbx>
                      <wps:bodyPr wrap="square" rtlCol="0">
                        <a:spAutoFit/>
                      </wps:bodyPr>
                    </wps:wsp>
                  </a:graphicData>
                </a:graphic>
              </wp:anchor>
            </w:drawing>
          </mc:Choice>
          <mc:Fallback>
            <w:pict>
              <v:shapetype w14:anchorId="2410E1C1" id="_x0000_t202" coordsize="21600,21600" o:spt="202" path="m,l,21600r21600,l21600,xe">
                <v:stroke joinstyle="miter"/>
                <v:path gradientshapeok="t" o:connecttype="rect"/>
              </v:shapetype>
              <v:shape id="TextBox 4" o:spid="_x0000_s1026" type="#_x0000_t202" style="position:absolute;left:0;text-align:left;margin-left:279.95pt;margin-top:27.65pt;width:21.2pt;height:29.05pt;flip:x;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" filled="f" stroked="f">
                <v:textbox style="mso-fit-shape-to-text:t">
                  <w:txbxContent>
                    <w:p w14:paraId="621B1982"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v:textbox>
              </v:shape>
            </w:pict>
          </mc:Fallback>
        </mc:AlternateContent>
      </w:r>
      <w:r w:rsidRPr="002D755F">
        <w:rPr>
          <w:rFonts w:ascii="Times New Roman" w:hAnsi="Times New Roman" w:cs="Times New Roman"/>
          <w:noProof/>
          <w:sz w:val="24"/>
          <w:szCs w:val="24"/>
          <w:lang w:eastAsia="en-IN"/>
        </w:rPr>
        <mc:AlternateContent>
          <mc:Choice Requires="wps">
            <w:drawing>
              <wp:anchor distT="0" distB="0" distL="114300" distR="114300" simplePos="0" relativeHeight="251679744" behindDoc="0" locked="0" layoutInCell="1" allowOverlap="1" wp14:anchorId="62B9963C" wp14:editId="7E9C7C43">
                <wp:simplePos x="0" y="0"/>
                <wp:positionH relativeFrom="column">
                  <wp:posOffset>2646985</wp:posOffset>
                </wp:positionH>
                <wp:positionV relativeFrom="paragraph">
                  <wp:posOffset>330835</wp:posOffset>
                </wp:positionV>
                <wp:extent cx="269240" cy="368935"/>
                <wp:effectExtent l="0" t="0" r="0" b="0"/>
                <wp:wrapNone/>
                <wp:docPr id="2132704745" name="TextBox 3"/>
                <wp:cNvGraphicFramePr/>
                <a:graphic xmlns:a="http://schemas.openxmlformats.org/drawingml/2006/main">
                  <a:graphicData uri="http://schemas.microsoft.com/office/word/2010/wordprocessingShape">
                    <wps:wsp>
                      <wps:cNvSpPr txBox="1"/>
                      <wps:spPr>
                        <a:xfrm flipH="1">
                          <a:off x="0" y="0"/>
                          <a:ext cx="269240" cy="368935"/>
                        </a:xfrm>
                        <a:prstGeom prst="rect">
                          <a:avLst/>
                        </a:prstGeom>
                        <a:noFill/>
                      </wps:spPr>
                      <wps:txbx>
                        <w:txbxContent>
                          <w:p w14:paraId="74C88195"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wps:txbx>
                      <wps:bodyPr wrap="square" rtlCol="0">
                        <a:spAutoFit/>
                      </wps:bodyPr>
                    </wps:wsp>
                  </a:graphicData>
                </a:graphic>
              </wp:anchor>
            </w:drawing>
          </mc:Choice>
          <mc:Fallback>
            <w:pict>
              <v:shape w14:anchorId="62B9963C" id="TextBox 3" o:spid="_x0000_s1027" type="#_x0000_t202" style="position:absolute;left:0;text-align:left;margin-left:208.4pt;margin-top:26.05pt;width:21.2pt;height:29.05pt;flip:x;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" filled="f" stroked="f">
                <v:textbox style="mso-fit-shape-to-text:t">
                  <w:txbxContent>
                    <w:p w14:paraId="74C88195"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a</w:t>
                      </w:r>
                    </w:p>
                  </w:txbxContent>
                </v:textbox>
              </v:shape>
            </w:pict>
          </mc:Fallback>
        </mc:AlternateContent>
      </w:r>
      <w:r w:rsidRPr="002D755F">
        <w:rPr>
          <w:rFonts w:ascii="Times New Roman" w:hAnsi="Times New Roman" w:cs="Times New Roman"/>
          <w:noProof/>
          <w:sz w:val="24"/>
          <w:szCs w:val="24"/>
          <w:lang w:eastAsia="en-IN"/>
        </w:rPr>
        <mc:AlternateContent>
          <mc:Choice Requires="wps">
            <w:drawing>
              <wp:anchor distT="0" distB="0" distL="114300" distR="114300" simplePos="0" relativeHeight="251681792" behindDoc="0" locked="0" layoutInCell="1" allowOverlap="1" wp14:anchorId="52BD3F07" wp14:editId="4EF19748">
                <wp:simplePos x="0" y="0"/>
                <wp:positionH relativeFrom="column">
                  <wp:posOffset>1738630</wp:posOffset>
                </wp:positionH>
                <wp:positionV relativeFrom="paragraph">
                  <wp:posOffset>529285</wp:posOffset>
                </wp:positionV>
                <wp:extent cx="269240" cy="368935"/>
                <wp:effectExtent l="0" t="0" r="0" b="0"/>
                <wp:wrapNone/>
                <wp:docPr id="1081741421" name="TextBox 5"/>
                <wp:cNvGraphicFramePr/>
                <a:graphic xmlns:a="http://schemas.openxmlformats.org/drawingml/2006/main">
                  <a:graphicData uri="http://schemas.microsoft.com/office/word/2010/wordprocessingShape">
                    <wps:wsp>
                      <wps:cNvSpPr txBox="1"/>
                      <wps:spPr>
                        <a:xfrm flipH="1">
                          <a:off x="0" y="0"/>
                          <a:ext cx="269240" cy="368935"/>
                        </a:xfrm>
                        <a:prstGeom prst="rect">
                          <a:avLst/>
                        </a:prstGeom>
                        <a:noFill/>
                      </wps:spPr>
                      <wps:txbx>
                        <w:txbxContent>
                          <w:p w14:paraId="2C36E575"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b</w:t>
                            </w:r>
                          </w:p>
                        </w:txbxContent>
                      </wps:txbx>
                      <wps:bodyPr wrap="square" rtlCol="0">
                        <a:spAutoFit/>
                      </wps:bodyPr>
                    </wps:wsp>
                  </a:graphicData>
                </a:graphic>
              </wp:anchor>
            </w:drawing>
          </mc:Choice>
          <mc:Fallback>
            <w:pict>
              <v:shape w14:anchorId="52BD3F07" id="TextBox 5" o:spid="_x0000_s1028" type="#_x0000_t202" style="position:absolute;left:0;text-align:left;margin-left:136.9pt;margin-top:41.7pt;width:21.2pt;height:29.05pt;flip:x;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" filled="f" stroked="f">
                <v:textbox style="mso-fit-shape-to-text:t">
                  <w:txbxContent>
                    <w:p w14:paraId="2C36E575" w14:textId="77777777" w:rsidR="00B95AD6" w:rsidRDefault="00B95AD6" w:rsidP="009B2EB3">
                      <w:pPr>
                        <w:rPr>
                          <w:rFonts w:hAnsi="Calibri"/>
                          <w:color w:val="000000" w:themeColor="text1"/>
                          <w:kern w:val="24"/>
                          <w:sz w:val="36"/>
                          <w:szCs w:val="36"/>
                          <w14:ligatures w14:val="none"/>
                        </w:rPr>
                      </w:pPr>
                      <w:r>
                        <w:rPr>
                          <w:rFonts w:hAnsi="Calibri"/>
                          <w:color w:val="000000" w:themeColor="text1"/>
                          <w:kern w:val="24"/>
                          <w:sz w:val="36"/>
                          <w:szCs w:val="36"/>
                        </w:rPr>
                        <w:t>b</w:t>
                      </w:r>
                    </w:p>
                  </w:txbxContent>
                </v:textbox>
              </v:shape>
            </w:pict>
          </mc:Fallback>
        </mc:AlternateContent>
      </w:r>
      <w:r w:rsidR="009B2EB3" w:rsidRPr="002D755F">
        <w:rPr>
          <w:rFonts w:ascii="Times New Roman" w:hAnsi="Times New Roman" w:cs="Times New Roman"/>
          <w:noProof/>
          <w:sz w:val="24"/>
          <w:szCs w:val="24"/>
          <w:lang w:eastAsia="en-IN"/>
        </w:rPr>
        <w:drawing>
          <wp:inline distT="0" distB="0" distL="0" distR="0" wp14:anchorId="2B1CA3B0" wp14:editId="241A88F7">
            <wp:extent cx="4572000" cy="2743200"/>
            <wp:effectExtent l="0" t="0" r="19050" b="19050"/>
            <wp:docPr id="951238465" name="Chart 1">
              <a:extLst xmlns:a="http://schemas.openxmlformats.org/drawingml/2006/main">
                <a:ext uri="{FF2B5EF4-FFF2-40B4-BE49-F238E27FC236}">
                  <a16:creationId xmlns:a16="http://schemas.microsoft.com/office/drawing/2014/main" id="{630A46E2-796D-14B9-32BE-9CB425114D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E2322FF" w14:textId="77777777" w:rsidR="00952FF4" w:rsidRPr="002D755F" w:rsidRDefault="00952FF4" w:rsidP="00952FF4">
      <w:pPr>
        <w:spacing w:after="0"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Figure 2: Total fish production in different treatments (Quintals per acre)</w:t>
      </w:r>
    </w:p>
    <w:p w14:paraId="05027A4A" w14:textId="77777777" w:rsidR="00C15459" w:rsidRPr="002D755F" w:rsidRDefault="00BE31B0" w:rsidP="00C15459">
      <w:pPr>
        <w:spacing w:after="0" w:line="360" w:lineRule="auto"/>
        <w:ind w:firstLine="720"/>
        <w:contextualSpacing/>
        <w:jc w:val="both"/>
        <w:rPr>
          <w:rFonts w:ascii="Times New Roman" w:hAnsi="Times New Roman" w:cs="Times New Roman"/>
          <w:color w:val="000000"/>
          <w:sz w:val="24"/>
          <w:szCs w:val="24"/>
        </w:rPr>
      </w:pPr>
      <w:r w:rsidRPr="002D755F">
        <w:rPr>
          <w:rFonts w:ascii="Times New Roman" w:hAnsi="Times New Roman"/>
          <w:b/>
          <w:sz w:val="24"/>
        </w:rPr>
        <w:t>Kumar et al. (2019) evaluated the effects of a mineral mixture as a feed supplement on fish growth performance and examined its impact on total fish yield and economic returns. The trials were conducted in practising fish farmers’ earthen ponds under a composite fish farming system with six species. The study revealed that fish fed mineral-mixture-supplemented feed exhibited significant improvements in daily weight gain, feed conversion ratio, feed conversion efficiency, and survival compared with the farmers’ practice.</w:t>
      </w:r>
    </w:p>
    <w:p w14:paraId="4B1A20B4" w14:textId="77777777" w:rsidR="00B17197" w:rsidRPr="002D755F" w:rsidRDefault="00BE31B0" w:rsidP="00C15459">
      <w:pPr>
        <w:spacing w:after="0" w:line="360" w:lineRule="auto"/>
        <w:ind w:firstLine="720"/>
        <w:contextualSpacing/>
        <w:jc w:val="both"/>
        <w:rPr>
          <w:rFonts w:ascii="Times New Roman" w:hAnsi="Times New Roman" w:cs="Times New Roman"/>
          <w:color w:val="000000"/>
          <w:sz w:val="24"/>
          <w:szCs w:val="24"/>
        </w:rPr>
      </w:pPr>
      <w:r w:rsidRPr="002D755F">
        <w:rPr>
          <w:rFonts w:ascii="Times New Roman" w:hAnsi="Times New Roman"/>
          <w:b/>
          <w:sz w:val="24"/>
        </w:rPr>
        <w:t>Vijayan et al. (2025) conducted an experiment by incorporating the formulated fish-specific mineral mixture into carp diets to analyse its impact on the growth and health of experimental fish. They reported that supplementation with the formulated mineral mix in fish feed had a positive impact, significantly (p &lt; 0.05) improving specific growth rate, flesh quality, protein efficiency ratio, and feed conversion ratio in Indian major carps.</w:t>
      </w:r>
    </w:p>
    <w:p w14:paraId="44657F98" w14:textId="77777777" w:rsidR="00374E72" w:rsidRPr="002D755F" w:rsidRDefault="002F0C1E" w:rsidP="00374E72">
      <w:pPr>
        <w:spacing w:after="0" w:line="360" w:lineRule="auto"/>
        <w:contextualSpacing/>
        <w:jc w:val="both"/>
        <w:rPr>
          <w:rFonts w:ascii="Times New Roman" w:hAnsi="Times New Roman" w:cs="Times New Roman"/>
          <w:iCs/>
          <w:sz w:val="24"/>
          <w:szCs w:val="24"/>
        </w:rPr>
      </w:pPr>
      <w:r w:rsidRPr="002D755F">
        <w:rPr>
          <w:rFonts w:ascii="Times New Roman" w:hAnsi="Times New Roman" w:cs="Times New Roman"/>
          <w:i/>
          <w:iCs/>
          <w:sz w:val="24"/>
          <w:szCs w:val="24"/>
        </w:rPr>
        <w:t xml:space="preserve">3.3 </w:t>
      </w:r>
      <w:r w:rsidR="007B7830" w:rsidRPr="002D755F">
        <w:rPr>
          <w:rFonts w:ascii="Times New Roman" w:hAnsi="Times New Roman" w:cs="Times New Roman"/>
          <w:i/>
          <w:iCs/>
          <w:sz w:val="24"/>
          <w:szCs w:val="24"/>
        </w:rPr>
        <w:t>Flesh quality of the fish</w:t>
      </w:r>
    </w:p>
    <w:p w14:paraId="04DCBAC5" w14:textId="77777777" w:rsidR="002E68BF" w:rsidRPr="002D755F" w:rsidRDefault="00DA6F9B" w:rsidP="002E68BF">
      <w:pPr>
        <w:spacing w:line="360" w:lineRule="auto"/>
        <w:contextualSpacing/>
        <w:jc w:val="both"/>
        <w:rPr>
          <w:rFonts w:ascii="Times New Roman" w:hAnsi="Times New Roman" w:cs="Times New Roman"/>
          <w:sz w:val="24"/>
          <w:szCs w:val="24"/>
        </w:rPr>
      </w:pPr>
      <w:r w:rsidRPr="002D755F">
        <w:rPr>
          <w:rFonts w:ascii="Times New Roman" w:hAnsi="Times New Roman"/>
          <w:sz w:val="24"/>
        </w:rPr>
        <w:t xml:space="preserve">Proximate analysis of carp flesh showed noticeable improvements in fish fed mineral-supplemented diets, especially in Treatment 2, in which a fish-specific mineral mixture was used (Table 5). The protein content was highest in T2 (35.50±0.62%), which was significantly higher than in T1 and T3, indicating better growth and muscle development in fish receiving the specialised mineral supplementation. Ash content, which reflects mineral deposition in fish flesh, also recorded the highest values in T2 (14.56±0.40%) and T3 (14.20±0.41%), suggesting improved mineral utilisation by the fish. On the other hand, moisture and fat contents did not vary significantly among the treatments, indicating that </w:t>
      </w:r>
      <w:r w:rsidRPr="002D755F">
        <w:rPr>
          <w:rFonts w:ascii="Times New Roman" w:hAnsi="Times New Roman"/>
          <w:sz w:val="24"/>
        </w:rPr>
        <w:lastRenderedPageBreak/>
        <w:t>mineral supplementation mainly influenced protein and mineral accumulation without affecting the overall water and lipid composition of the flesh. Overall, the findings suggest that the inclusion of a fish-specific mineral mixture in carp feed can enhance flesh quality and nutritional composition more effectively than a conventional livestock mineral mixture.</w:t>
      </w:r>
    </w:p>
    <w:p w14:paraId="22F5D529" w14:textId="77777777" w:rsidR="002E68BF" w:rsidRPr="002D755F" w:rsidRDefault="002E68BF" w:rsidP="002E68BF">
      <w:pPr>
        <w:spacing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Table 5: Proximate Analysis of Fish Muscle</w:t>
      </w:r>
    </w:p>
    <w:tbl>
      <w:tblPr>
        <w:tblStyle w:val="TableGrid"/>
        <w:tblW w:w="9241" w:type="dxa"/>
        <w:tblLook w:val="04A0" w:firstRow="1" w:lastRow="0" w:firstColumn="1" w:lastColumn="0" w:noHBand="0" w:noVBand="1"/>
      </w:tblPr>
      <w:tblGrid>
        <w:gridCol w:w="1668"/>
        <w:gridCol w:w="1842"/>
        <w:gridCol w:w="1843"/>
        <w:gridCol w:w="2039"/>
        <w:gridCol w:w="1849"/>
      </w:tblGrid>
      <w:tr w:rsidR="002E68BF" w:rsidRPr="002D755F" w14:paraId="7375213E"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4BFF4535" w14:textId="77777777" w:rsidR="002E68BF" w:rsidRPr="002D755F" w:rsidRDefault="002E68BF" w:rsidP="00EB4A6A">
            <w:pPr>
              <w:spacing w:after="255" w:line="360" w:lineRule="auto"/>
              <w:contextualSpacing/>
              <w:jc w:val="center"/>
              <w:rPr>
                <w:rFonts w:ascii="Times New Roman" w:hAnsi="Times New Roman" w:cs="Times New Roman"/>
                <w:sz w:val="24"/>
                <w:szCs w:val="24"/>
              </w:rPr>
            </w:pPr>
            <w:r w:rsidRPr="002D755F">
              <w:rPr>
                <w:rFonts w:ascii="Times New Roman" w:hAnsi="Times New Roman" w:cs="Times New Roman"/>
                <w:b/>
                <w:sz w:val="24"/>
                <w:szCs w:val="24"/>
              </w:rPr>
              <w:t>Treatments</w:t>
            </w:r>
          </w:p>
        </w:tc>
        <w:tc>
          <w:tcPr>
            <w:tcW w:w="1842" w:type="dxa"/>
            <w:tcBorders>
              <w:top w:val="single" w:sz="4" w:space="0" w:color="auto"/>
              <w:left w:val="single" w:sz="4" w:space="0" w:color="auto"/>
              <w:bottom w:val="single" w:sz="4" w:space="0" w:color="auto"/>
              <w:right w:val="single" w:sz="4" w:space="0" w:color="auto"/>
            </w:tcBorders>
            <w:hideMark/>
          </w:tcPr>
          <w:p w14:paraId="1B0EEEC1" w14:textId="77777777" w:rsidR="002E68BF" w:rsidRPr="002D755F" w:rsidRDefault="002E68BF" w:rsidP="00EB4A6A">
            <w:pPr>
              <w:spacing w:after="255"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Protein (%)</w:t>
            </w:r>
          </w:p>
        </w:tc>
        <w:tc>
          <w:tcPr>
            <w:tcW w:w="1843" w:type="dxa"/>
            <w:tcBorders>
              <w:top w:val="single" w:sz="4" w:space="0" w:color="auto"/>
              <w:left w:val="single" w:sz="4" w:space="0" w:color="auto"/>
              <w:bottom w:val="single" w:sz="4" w:space="0" w:color="auto"/>
              <w:right w:val="single" w:sz="4" w:space="0" w:color="auto"/>
            </w:tcBorders>
            <w:hideMark/>
          </w:tcPr>
          <w:p w14:paraId="26EA1631" w14:textId="77777777" w:rsidR="002E68BF" w:rsidRPr="002D755F" w:rsidRDefault="002E68BF" w:rsidP="00EB4A6A">
            <w:pPr>
              <w:spacing w:after="255"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Ash (%)</w:t>
            </w:r>
          </w:p>
        </w:tc>
        <w:tc>
          <w:tcPr>
            <w:tcW w:w="2039" w:type="dxa"/>
            <w:tcBorders>
              <w:top w:val="single" w:sz="4" w:space="0" w:color="auto"/>
              <w:left w:val="single" w:sz="4" w:space="0" w:color="auto"/>
              <w:bottom w:val="single" w:sz="4" w:space="0" w:color="auto"/>
              <w:right w:val="single" w:sz="4" w:space="0" w:color="auto"/>
            </w:tcBorders>
            <w:hideMark/>
          </w:tcPr>
          <w:p w14:paraId="7D62127D" w14:textId="77777777" w:rsidR="002E68BF" w:rsidRPr="002D755F" w:rsidRDefault="002E68BF" w:rsidP="00EB4A6A">
            <w:pPr>
              <w:spacing w:after="255"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Moisture (%)</w:t>
            </w:r>
          </w:p>
        </w:tc>
        <w:tc>
          <w:tcPr>
            <w:tcW w:w="1849" w:type="dxa"/>
            <w:tcBorders>
              <w:top w:val="single" w:sz="4" w:space="0" w:color="auto"/>
              <w:left w:val="single" w:sz="4" w:space="0" w:color="auto"/>
              <w:bottom w:val="single" w:sz="4" w:space="0" w:color="auto"/>
              <w:right w:val="single" w:sz="4" w:space="0" w:color="auto"/>
            </w:tcBorders>
            <w:hideMark/>
          </w:tcPr>
          <w:p w14:paraId="366C4A8F" w14:textId="77777777" w:rsidR="002E68BF" w:rsidRPr="002D755F" w:rsidRDefault="002E68BF" w:rsidP="00EB4A6A">
            <w:pPr>
              <w:spacing w:after="255" w:line="360" w:lineRule="auto"/>
              <w:contextualSpacing/>
              <w:jc w:val="center"/>
              <w:rPr>
                <w:rFonts w:ascii="Times New Roman" w:hAnsi="Times New Roman" w:cs="Times New Roman"/>
                <w:b/>
                <w:sz w:val="24"/>
                <w:szCs w:val="24"/>
              </w:rPr>
            </w:pPr>
            <w:r w:rsidRPr="002D755F">
              <w:rPr>
                <w:rFonts w:ascii="Times New Roman" w:hAnsi="Times New Roman" w:cs="Times New Roman"/>
                <w:b/>
                <w:sz w:val="24"/>
                <w:szCs w:val="24"/>
              </w:rPr>
              <w:t>Fat (%)</w:t>
            </w:r>
          </w:p>
        </w:tc>
      </w:tr>
      <w:tr w:rsidR="002E68BF" w:rsidRPr="002D755F" w14:paraId="07F237B8"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6F894ACC" w14:textId="77777777" w:rsidR="002E68BF" w:rsidRPr="002D755F" w:rsidRDefault="002E68BF" w:rsidP="00EB4A6A">
            <w:pPr>
              <w:spacing w:after="255"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T1</w:t>
            </w:r>
          </w:p>
        </w:tc>
        <w:tc>
          <w:tcPr>
            <w:tcW w:w="1842" w:type="dxa"/>
            <w:tcBorders>
              <w:top w:val="single" w:sz="4" w:space="0" w:color="auto"/>
              <w:left w:val="single" w:sz="4" w:space="0" w:color="auto"/>
              <w:bottom w:val="single" w:sz="4" w:space="0" w:color="auto"/>
              <w:right w:val="single" w:sz="4" w:space="0" w:color="auto"/>
            </w:tcBorders>
          </w:tcPr>
          <w:p w14:paraId="010756F2"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33.36±0.64</w:t>
            </w:r>
            <w:r w:rsidRPr="002D755F">
              <w:rPr>
                <w:rFonts w:ascii="Times New Roman" w:hAnsi="Times New Roman" w:cs="Times New Roman"/>
                <w:sz w:val="24"/>
                <w:szCs w:val="24"/>
                <w:vertAlign w:val="superscript"/>
              </w:rPr>
              <w:t>b</w:t>
            </w:r>
          </w:p>
        </w:tc>
        <w:tc>
          <w:tcPr>
            <w:tcW w:w="1843" w:type="dxa"/>
            <w:tcBorders>
              <w:top w:val="single" w:sz="4" w:space="0" w:color="auto"/>
              <w:left w:val="single" w:sz="4" w:space="0" w:color="auto"/>
              <w:bottom w:val="single" w:sz="4" w:space="0" w:color="auto"/>
              <w:right w:val="single" w:sz="4" w:space="0" w:color="auto"/>
            </w:tcBorders>
          </w:tcPr>
          <w:p w14:paraId="119F2582"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13.01±0.15</w:t>
            </w:r>
            <w:r w:rsidRPr="002D755F">
              <w:rPr>
                <w:rFonts w:ascii="Times New Roman" w:hAnsi="Times New Roman" w:cs="Times New Roman"/>
                <w:sz w:val="24"/>
                <w:szCs w:val="24"/>
                <w:vertAlign w:val="superscript"/>
              </w:rPr>
              <w:t>b</w:t>
            </w:r>
          </w:p>
        </w:tc>
        <w:tc>
          <w:tcPr>
            <w:tcW w:w="2039" w:type="dxa"/>
            <w:tcBorders>
              <w:top w:val="single" w:sz="4" w:space="0" w:color="auto"/>
              <w:left w:val="single" w:sz="4" w:space="0" w:color="auto"/>
              <w:bottom w:val="single" w:sz="4" w:space="0" w:color="auto"/>
              <w:right w:val="single" w:sz="4" w:space="0" w:color="auto"/>
            </w:tcBorders>
          </w:tcPr>
          <w:p w14:paraId="216EAA6C"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60.26±0.52</w:t>
            </w:r>
            <w:r w:rsidRPr="002D755F">
              <w:rPr>
                <w:rFonts w:ascii="Times New Roman" w:hAnsi="Times New Roman" w:cs="Times New Roman"/>
                <w:sz w:val="24"/>
                <w:szCs w:val="24"/>
                <w:vertAlign w:val="superscript"/>
              </w:rPr>
              <w:t>a</w:t>
            </w:r>
          </w:p>
        </w:tc>
        <w:tc>
          <w:tcPr>
            <w:tcW w:w="1849" w:type="dxa"/>
            <w:tcBorders>
              <w:top w:val="single" w:sz="4" w:space="0" w:color="auto"/>
              <w:left w:val="single" w:sz="4" w:space="0" w:color="auto"/>
              <w:bottom w:val="single" w:sz="4" w:space="0" w:color="auto"/>
              <w:right w:val="single" w:sz="4" w:space="0" w:color="auto"/>
            </w:tcBorders>
          </w:tcPr>
          <w:p w14:paraId="2D8CA712"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5.20±0.05</w:t>
            </w:r>
            <w:r w:rsidRPr="002D755F">
              <w:rPr>
                <w:rFonts w:ascii="Times New Roman" w:hAnsi="Times New Roman" w:cs="Times New Roman"/>
                <w:sz w:val="24"/>
                <w:szCs w:val="24"/>
                <w:vertAlign w:val="superscript"/>
              </w:rPr>
              <w:t>a</w:t>
            </w:r>
          </w:p>
        </w:tc>
      </w:tr>
      <w:tr w:rsidR="002E68BF" w:rsidRPr="002D755F" w14:paraId="3C61C984"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72504553" w14:textId="77777777" w:rsidR="002E68BF" w:rsidRPr="002D755F" w:rsidRDefault="002E68BF" w:rsidP="00EB4A6A">
            <w:pPr>
              <w:spacing w:after="255"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T2</w:t>
            </w:r>
          </w:p>
        </w:tc>
        <w:tc>
          <w:tcPr>
            <w:tcW w:w="1842" w:type="dxa"/>
            <w:tcBorders>
              <w:top w:val="single" w:sz="4" w:space="0" w:color="auto"/>
              <w:left w:val="single" w:sz="4" w:space="0" w:color="auto"/>
              <w:bottom w:val="single" w:sz="4" w:space="0" w:color="auto"/>
              <w:right w:val="single" w:sz="4" w:space="0" w:color="auto"/>
            </w:tcBorders>
          </w:tcPr>
          <w:p w14:paraId="0C80818C"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35.50±0.62</w:t>
            </w:r>
            <w:r w:rsidRPr="002D755F">
              <w:rPr>
                <w:rFonts w:ascii="Times New Roman" w:hAnsi="Times New Roman" w:cs="Times New Roman"/>
                <w:sz w:val="24"/>
                <w:szCs w:val="24"/>
                <w:vertAlign w:val="superscript"/>
              </w:rPr>
              <w:t>a</w:t>
            </w:r>
          </w:p>
        </w:tc>
        <w:tc>
          <w:tcPr>
            <w:tcW w:w="1843" w:type="dxa"/>
            <w:tcBorders>
              <w:top w:val="single" w:sz="4" w:space="0" w:color="auto"/>
              <w:left w:val="single" w:sz="4" w:space="0" w:color="auto"/>
              <w:bottom w:val="single" w:sz="4" w:space="0" w:color="auto"/>
              <w:right w:val="single" w:sz="4" w:space="0" w:color="auto"/>
            </w:tcBorders>
          </w:tcPr>
          <w:p w14:paraId="38F68172"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14.56±0.40</w:t>
            </w:r>
            <w:r w:rsidRPr="002D755F">
              <w:rPr>
                <w:rFonts w:ascii="Times New Roman" w:hAnsi="Times New Roman" w:cs="Times New Roman"/>
                <w:sz w:val="24"/>
                <w:szCs w:val="24"/>
                <w:vertAlign w:val="superscript"/>
              </w:rPr>
              <w:t>a</w:t>
            </w:r>
          </w:p>
        </w:tc>
        <w:tc>
          <w:tcPr>
            <w:tcW w:w="2039" w:type="dxa"/>
            <w:tcBorders>
              <w:top w:val="single" w:sz="4" w:space="0" w:color="auto"/>
              <w:left w:val="single" w:sz="4" w:space="0" w:color="auto"/>
              <w:bottom w:val="single" w:sz="4" w:space="0" w:color="auto"/>
              <w:right w:val="single" w:sz="4" w:space="0" w:color="auto"/>
            </w:tcBorders>
          </w:tcPr>
          <w:p w14:paraId="63D0C4FC"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60.36±0.85</w:t>
            </w:r>
            <w:r w:rsidRPr="002D755F">
              <w:rPr>
                <w:rFonts w:ascii="Times New Roman" w:hAnsi="Times New Roman" w:cs="Times New Roman"/>
                <w:sz w:val="24"/>
                <w:szCs w:val="24"/>
                <w:vertAlign w:val="superscript"/>
              </w:rPr>
              <w:t>a</w:t>
            </w:r>
          </w:p>
        </w:tc>
        <w:tc>
          <w:tcPr>
            <w:tcW w:w="1849" w:type="dxa"/>
            <w:tcBorders>
              <w:top w:val="single" w:sz="4" w:space="0" w:color="auto"/>
              <w:left w:val="single" w:sz="4" w:space="0" w:color="auto"/>
              <w:bottom w:val="single" w:sz="4" w:space="0" w:color="auto"/>
              <w:right w:val="single" w:sz="4" w:space="0" w:color="auto"/>
            </w:tcBorders>
          </w:tcPr>
          <w:p w14:paraId="5B21D7D4"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5.26±0.06</w:t>
            </w:r>
            <w:r w:rsidRPr="002D755F">
              <w:rPr>
                <w:rFonts w:ascii="Times New Roman" w:hAnsi="Times New Roman" w:cs="Times New Roman"/>
                <w:sz w:val="24"/>
                <w:szCs w:val="24"/>
                <w:vertAlign w:val="superscript"/>
              </w:rPr>
              <w:t>a</w:t>
            </w:r>
          </w:p>
        </w:tc>
      </w:tr>
      <w:tr w:rsidR="002E68BF" w:rsidRPr="002D755F" w14:paraId="071815EC" w14:textId="77777777" w:rsidTr="00EB4A6A">
        <w:tc>
          <w:tcPr>
            <w:tcW w:w="1668" w:type="dxa"/>
            <w:tcBorders>
              <w:top w:val="single" w:sz="4" w:space="0" w:color="auto"/>
              <w:left w:val="single" w:sz="4" w:space="0" w:color="auto"/>
              <w:bottom w:val="single" w:sz="4" w:space="0" w:color="auto"/>
              <w:right w:val="single" w:sz="4" w:space="0" w:color="auto"/>
            </w:tcBorders>
            <w:hideMark/>
          </w:tcPr>
          <w:p w14:paraId="0E7C9D34" w14:textId="77777777" w:rsidR="002E68BF" w:rsidRPr="002D755F" w:rsidRDefault="002E68BF" w:rsidP="00EB4A6A">
            <w:pPr>
              <w:spacing w:after="255"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T3</w:t>
            </w:r>
          </w:p>
        </w:tc>
        <w:tc>
          <w:tcPr>
            <w:tcW w:w="1842" w:type="dxa"/>
            <w:tcBorders>
              <w:top w:val="single" w:sz="4" w:space="0" w:color="auto"/>
              <w:left w:val="single" w:sz="4" w:space="0" w:color="auto"/>
              <w:bottom w:val="single" w:sz="4" w:space="0" w:color="auto"/>
              <w:right w:val="single" w:sz="4" w:space="0" w:color="auto"/>
            </w:tcBorders>
          </w:tcPr>
          <w:p w14:paraId="5DA79BF8"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33.83±0.40</w:t>
            </w:r>
            <w:r w:rsidRPr="002D755F">
              <w:rPr>
                <w:rFonts w:ascii="Times New Roman" w:hAnsi="Times New Roman" w:cs="Times New Roman"/>
                <w:sz w:val="24"/>
                <w:szCs w:val="24"/>
                <w:vertAlign w:val="superscript"/>
              </w:rPr>
              <w:t>b</w:t>
            </w:r>
          </w:p>
        </w:tc>
        <w:tc>
          <w:tcPr>
            <w:tcW w:w="1843" w:type="dxa"/>
            <w:tcBorders>
              <w:top w:val="single" w:sz="4" w:space="0" w:color="auto"/>
              <w:left w:val="single" w:sz="4" w:space="0" w:color="auto"/>
              <w:bottom w:val="single" w:sz="4" w:space="0" w:color="auto"/>
              <w:right w:val="single" w:sz="4" w:space="0" w:color="auto"/>
            </w:tcBorders>
          </w:tcPr>
          <w:p w14:paraId="02176F43" w14:textId="77777777" w:rsidR="002E68BF" w:rsidRPr="002D755F" w:rsidRDefault="002E68BF" w:rsidP="00EB4A6A">
            <w:pPr>
              <w:spacing w:after="255" w:line="360" w:lineRule="auto"/>
              <w:contextualSpacing/>
              <w:jc w:val="center"/>
              <w:rPr>
                <w:rFonts w:ascii="Times New Roman" w:hAnsi="Times New Roman" w:cs="Times New Roman"/>
                <w:sz w:val="24"/>
                <w:szCs w:val="24"/>
              </w:rPr>
            </w:pPr>
            <w:r w:rsidRPr="002D755F">
              <w:rPr>
                <w:rFonts w:ascii="Times New Roman" w:hAnsi="Times New Roman" w:cs="Times New Roman"/>
                <w:sz w:val="24"/>
                <w:szCs w:val="24"/>
              </w:rPr>
              <w:t>14.20±0.41</w:t>
            </w:r>
            <w:r w:rsidRPr="002D755F">
              <w:rPr>
                <w:rFonts w:ascii="Times New Roman" w:hAnsi="Times New Roman" w:cs="Times New Roman"/>
                <w:sz w:val="24"/>
                <w:szCs w:val="24"/>
                <w:vertAlign w:val="superscript"/>
              </w:rPr>
              <w:t>a</w:t>
            </w:r>
          </w:p>
        </w:tc>
        <w:tc>
          <w:tcPr>
            <w:tcW w:w="2039" w:type="dxa"/>
            <w:tcBorders>
              <w:top w:val="single" w:sz="4" w:space="0" w:color="auto"/>
              <w:left w:val="single" w:sz="4" w:space="0" w:color="auto"/>
              <w:bottom w:val="single" w:sz="4" w:space="0" w:color="auto"/>
              <w:right w:val="single" w:sz="4" w:space="0" w:color="auto"/>
            </w:tcBorders>
          </w:tcPr>
          <w:p w14:paraId="5813FB9C"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59.40±0.60</w:t>
            </w:r>
            <w:r w:rsidRPr="002D755F">
              <w:rPr>
                <w:rFonts w:ascii="Times New Roman" w:hAnsi="Times New Roman" w:cs="Times New Roman"/>
                <w:sz w:val="24"/>
                <w:szCs w:val="24"/>
                <w:vertAlign w:val="superscript"/>
              </w:rPr>
              <w:t>a</w:t>
            </w:r>
          </w:p>
        </w:tc>
        <w:tc>
          <w:tcPr>
            <w:tcW w:w="1849" w:type="dxa"/>
            <w:tcBorders>
              <w:top w:val="single" w:sz="4" w:space="0" w:color="auto"/>
              <w:left w:val="single" w:sz="4" w:space="0" w:color="auto"/>
              <w:bottom w:val="single" w:sz="4" w:space="0" w:color="auto"/>
              <w:right w:val="single" w:sz="4" w:space="0" w:color="auto"/>
            </w:tcBorders>
          </w:tcPr>
          <w:p w14:paraId="11A87834" w14:textId="77777777" w:rsidR="002E68BF" w:rsidRPr="002D755F" w:rsidRDefault="002E68BF" w:rsidP="00EB4A6A">
            <w:pPr>
              <w:spacing w:after="255" w:line="360" w:lineRule="auto"/>
              <w:contextualSpacing/>
              <w:jc w:val="center"/>
              <w:rPr>
                <w:rFonts w:ascii="Times New Roman" w:hAnsi="Times New Roman" w:cs="Times New Roman"/>
                <w:sz w:val="24"/>
                <w:szCs w:val="24"/>
                <w:vertAlign w:val="superscript"/>
              </w:rPr>
            </w:pPr>
            <w:r w:rsidRPr="002D755F">
              <w:rPr>
                <w:rFonts w:ascii="Times New Roman" w:hAnsi="Times New Roman" w:cs="Times New Roman"/>
                <w:sz w:val="24"/>
                <w:szCs w:val="24"/>
              </w:rPr>
              <w:t>5.21±0.03</w:t>
            </w:r>
            <w:r w:rsidRPr="002D755F">
              <w:rPr>
                <w:rFonts w:ascii="Times New Roman" w:hAnsi="Times New Roman" w:cs="Times New Roman"/>
                <w:sz w:val="24"/>
                <w:szCs w:val="24"/>
                <w:vertAlign w:val="superscript"/>
              </w:rPr>
              <w:t>a</w:t>
            </w:r>
          </w:p>
        </w:tc>
      </w:tr>
    </w:tbl>
    <w:p w14:paraId="420DA699" w14:textId="77777777" w:rsidR="00AF3626" w:rsidRPr="002D755F" w:rsidRDefault="00AF3626" w:rsidP="00AF3626">
      <w:pPr>
        <w:spacing w:after="0" w:line="360" w:lineRule="auto"/>
        <w:contextualSpacing/>
        <w:jc w:val="both"/>
        <w:rPr>
          <w:rFonts w:ascii="Times New Roman" w:hAnsi="Times New Roman"/>
          <w:color w:val="FF0000"/>
          <w:sz w:val="24"/>
          <w:szCs w:val="24"/>
        </w:rPr>
      </w:pPr>
      <w:r w:rsidRPr="002D755F">
        <w:rPr>
          <w:rFonts w:ascii="Times New Roman" w:hAnsi="Times New Roman" w:cs="Times New Roman"/>
          <w:color w:val="000000"/>
        </w:rPr>
        <w:t xml:space="preserve">Values are </w:t>
      </w:r>
      <w:proofErr w:type="spellStart"/>
      <w:r w:rsidRPr="002D755F">
        <w:rPr>
          <w:rFonts w:ascii="Times New Roman" w:hAnsi="Times New Roman" w:cs="Times New Roman"/>
          <w:color w:val="000000"/>
        </w:rPr>
        <w:t>Mean±S.E</w:t>
      </w:r>
      <w:proofErr w:type="spellEnd"/>
      <w:r w:rsidRPr="002D755F">
        <w:rPr>
          <w:rFonts w:ascii="Times New Roman" w:hAnsi="Times New Roman" w:cs="Times New Roman"/>
          <w:color w:val="000000"/>
        </w:rPr>
        <w:t xml:space="preserve"> Alphabetic subscripts (a and b) indicates significant differences within a column (p≤0.05)</w:t>
      </w:r>
    </w:p>
    <w:p w14:paraId="20BD0756" w14:textId="77777777" w:rsidR="002E68BF" w:rsidRPr="002D755F" w:rsidRDefault="002F0C1E" w:rsidP="002E68BF">
      <w:pPr>
        <w:spacing w:after="0" w:line="360" w:lineRule="auto"/>
        <w:contextualSpacing/>
        <w:jc w:val="both"/>
        <w:rPr>
          <w:rFonts w:ascii="Times New Roman" w:hAnsi="Times New Roman" w:cs="Times New Roman"/>
          <w:i/>
          <w:sz w:val="24"/>
          <w:szCs w:val="24"/>
        </w:rPr>
      </w:pPr>
      <w:r w:rsidRPr="002D755F">
        <w:rPr>
          <w:rFonts w:ascii="Times New Roman" w:hAnsi="Times New Roman" w:cs="Times New Roman"/>
          <w:i/>
          <w:sz w:val="24"/>
          <w:szCs w:val="24"/>
        </w:rPr>
        <w:t xml:space="preserve">3.4 </w:t>
      </w:r>
      <w:r w:rsidR="002E68BF" w:rsidRPr="002D755F">
        <w:rPr>
          <w:rFonts w:ascii="Times New Roman" w:hAnsi="Times New Roman" w:cs="Times New Roman"/>
          <w:i/>
          <w:sz w:val="24"/>
          <w:szCs w:val="24"/>
        </w:rPr>
        <w:t>Economic Evaluation</w:t>
      </w:r>
    </w:p>
    <w:p w14:paraId="0ECF3A39" w14:textId="77777777" w:rsidR="002E68BF" w:rsidRPr="002D755F" w:rsidRDefault="002E68BF" w:rsidP="002E68BF">
      <w:pPr>
        <w:spacing w:after="0" w:line="360" w:lineRule="auto"/>
        <w:contextualSpacing/>
        <w:jc w:val="both"/>
        <w:rPr>
          <w:rFonts w:ascii="Times New Roman" w:eastAsia="Calibri" w:hAnsi="Times New Roman" w:cs="Times New Roman"/>
          <w:sz w:val="24"/>
          <w:szCs w:val="24"/>
        </w:rPr>
      </w:pPr>
      <w:r w:rsidRPr="002D755F">
        <w:rPr>
          <w:rFonts w:ascii="Times New Roman" w:hAnsi="Times New Roman"/>
          <w:sz w:val="24"/>
        </w:rPr>
        <w:t>The economic evaluation of the different treatments revealed significant variation in expenditure, revenue, and profitability (Table 6). Among the groups, the maximum expenditure was recorded in T3 (₹1,03,833.33±13,869.43), followed by T2 and T1. However, the higher costs in T3 did not correspond to maximum profitability, as the highest total return was achieved in T2 (₹2,50,488.33±39,009.13), which ultimately yielded the maximum net profit (₹1,47,655.00±25,992.87) and the highest benefit-cost (B:C) ratio of 1.389. In contrast, T1 recorded the lowest return and profitability, with a B:C ratio of 1.089.</w:t>
      </w:r>
    </w:p>
    <w:p w14:paraId="3EF9573A" w14:textId="77777777" w:rsidR="002E68BF" w:rsidRPr="002D755F" w:rsidRDefault="002E68BF" w:rsidP="002E68BF">
      <w:pPr>
        <w:tabs>
          <w:tab w:val="left" w:pos="1956"/>
        </w:tabs>
        <w:spacing w:after="0" w:line="360" w:lineRule="auto"/>
        <w:contextualSpacing/>
        <w:jc w:val="center"/>
        <w:rPr>
          <w:rFonts w:ascii="Times New Roman" w:hAnsi="Times New Roman"/>
          <w:b/>
          <w:bCs/>
          <w:sz w:val="24"/>
          <w:szCs w:val="24"/>
        </w:rPr>
      </w:pPr>
      <w:r w:rsidRPr="002D755F">
        <w:rPr>
          <w:rFonts w:ascii="Times New Roman" w:hAnsi="Times New Roman"/>
          <w:b/>
          <w:bCs/>
          <w:sz w:val="24"/>
          <w:szCs w:val="24"/>
        </w:rPr>
        <w:t xml:space="preserve">Table 6: Economics of the different treatments in the trial </w:t>
      </w:r>
    </w:p>
    <w:tbl>
      <w:tblPr>
        <w:tblStyle w:val="TableGrid"/>
        <w:tblW w:w="9464" w:type="dxa"/>
        <w:tblLook w:val="04A0" w:firstRow="1" w:lastRow="0" w:firstColumn="1" w:lastColumn="0" w:noHBand="0" w:noVBand="1"/>
      </w:tblPr>
      <w:tblGrid>
        <w:gridCol w:w="1247"/>
        <w:gridCol w:w="2241"/>
        <w:gridCol w:w="2257"/>
        <w:gridCol w:w="2301"/>
        <w:gridCol w:w="1418"/>
      </w:tblGrid>
      <w:tr w:rsidR="002E68BF" w:rsidRPr="002D755F" w14:paraId="34A7EB8F" w14:textId="77777777" w:rsidTr="00EB4A6A">
        <w:trPr>
          <w:trHeight w:val="381"/>
        </w:trPr>
        <w:tc>
          <w:tcPr>
            <w:tcW w:w="1247" w:type="dxa"/>
          </w:tcPr>
          <w:p w14:paraId="7E942096" w14:textId="77777777" w:rsidR="002E68BF" w:rsidRPr="002D755F" w:rsidRDefault="002E68BF" w:rsidP="00EB4A6A">
            <w:pPr>
              <w:spacing w:line="360" w:lineRule="auto"/>
              <w:contextualSpacing/>
              <w:jc w:val="center"/>
              <w:rPr>
                <w:rFonts w:ascii="Times New Roman" w:hAnsi="Times New Roman" w:cs="Times New Roman"/>
                <w:b/>
                <w:sz w:val="20"/>
                <w:szCs w:val="20"/>
              </w:rPr>
            </w:pPr>
            <w:r w:rsidRPr="002D755F">
              <w:rPr>
                <w:rFonts w:ascii="Times New Roman" w:hAnsi="Times New Roman" w:cs="Times New Roman"/>
                <w:b/>
                <w:sz w:val="20"/>
                <w:szCs w:val="20"/>
              </w:rPr>
              <w:t>Treatments</w:t>
            </w:r>
          </w:p>
        </w:tc>
        <w:tc>
          <w:tcPr>
            <w:tcW w:w="2241" w:type="dxa"/>
          </w:tcPr>
          <w:p w14:paraId="13B31680" w14:textId="77777777" w:rsidR="002E68BF" w:rsidRPr="002D755F" w:rsidRDefault="002E68BF" w:rsidP="00EB4A6A">
            <w:pPr>
              <w:spacing w:line="360" w:lineRule="auto"/>
              <w:contextualSpacing/>
              <w:jc w:val="center"/>
              <w:rPr>
                <w:rFonts w:ascii="Times New Roman" w:hAnsi="Times New Roman" w:cs="Times New Roman"/>
                <w:b/>
                <w:sz w:val="20"/>
                <w:szCs w:val="20"/>
              </w:rPr>
            </w:pPr>
            <w:r w:rsidRPr="002D755F">
              <w:rPr>
                <w:rFonts w:ascii="Times New Roman" w:hAnsi="Times New Roman" w:cs="Times New Roman"/>
                <w:b/>
                <w:sz w:val="20"/>
                <w:szCs w:val="20"/>
              </w:rPr>
              <w:t>Total Expenditure</w:t>
            </w:r>
          </w:p>
        </w:tc>
        <w:tc>
          <w:tcPr>
            <w:tcW w:w="2257" w:type="dxa"/>
          </w:tcPr>
          <w:p w14:paraId="5872F7A7" w14:textId="77777777" w:rsidR="002E68BF" w:rsidRPr="002D755F" w:rsidRDefault="002E68BF" w:rsidP="00EB4A6A">
            <w:pPr>
              <w:spacing w:line="360" w:lineRule="auto"/>
              <w:contextualSpacing/>
              <w:jc w:val="center"/>
              <w:rPr>
                <w:rFonts w:ascii="Times New Roman" w:hAnsi="Times New Roman" w:cs="Times New Roman"/>
                <w:b/>
                <w:sz w:val="20"/>
                <w:szCs w:val="20"/>
              </w:rPr>
            </w:pPr>
            <w:r w:rsidRPr="002D755F">
              <w:rPr>
                <w:rFonts w:ascii="Times New Roman" w:hAnsi="Times New Roman" w:cs="Times New Roman"/>
                <w:b/>
                <w:sz w:val="20"/>
                <w:szCs w:val="20"/>
              </w:rPr>
              <w:t>Total Return</w:t>
            </w:r>
          </w:p>
        </w:tc>
        <w:tc>
          <w:tcPr>
            <w:tcW w:w="2301" w:type="dxa"/>
          </w:tcPr>
          <w:p w14:paraId="4D93A2A0" w14:textId="77777777" w:rsidR="002E68BF" w:rsidRPr="002D755F" w:rsidRDefault="002E68BF" w:rsidP="00EB4A6A">
            <w:pPr>
              <w:spacing w:line="360" w:lineRule="auto"/>
              <w:contextualSpacing/>
              <w:jc w:val="center"/>
              <w:rPr>
                <w:rFonts w:ascii="Times New Roman" w:hAnsi="Times New Roman" w:cs="Times New Roman"/>
                <w:b/>
                <w:sz w:val="20"/>
                <w:szCs w:val="20"/>
              </w:rPr>
            </w:pPr>
            <w:r w:rsidRPr="002D755F">
              <w:rPr>
                <w:rFonts w:ascii="Times New Roman" w:hAnsi="Times New Roman" w:cs="Times New Roman"/>
                <w:b/>
                <w:sz w:val="20"/>
                <w:szCs w:val="20"/>
              </w:rPr>
              <w:t>Net Profit</w:t>
            </w:r>
          </w:p>
        </w:tc>
        <w:tc>
          <w:tcPr>
            <w:tcW w:w="1418" w:type="dxa"/>
          </w:tcPr>
          <w:p w14:paraId="33D2AF9D" w14:textId="77777777" w:rsidR="002E68BF" w:rsidRPr="002D755F" w:rsidRDefault="002E68BF" w:rsidP="00EB4A6A">
            <w:pPr>
              <w:spacing w:line="360" w:lineRule="auto"/>
              <w:contextualSpacing/>
              <w:jc w:val="center"/>
              <w:rPr>
                <w:rFonts w:ascii="Times New Roman" w:hAnsi="Times New Roman" w:cs="Times New Roman"/>
                <w:b/>
                <w:sz w:val="20"/>
                <w:szCs w:val="20"/>
              </w:rPr>
            </w:pPr>
            <w:r w:rsidRPr="002D755F">
              <w:rPr>
                <w:rFonts w:ascii="Times New Roman" w:hAnsi="Times New Roman" w:cs="Times New Roman"/>
                <w:b/>
                <w:sz w:val="20"/>
                <w:szCs w:val="20"/>
              </w:rPr>
              <w:t>BC Ratio</w:t>
            </w:r>
          </w:p>
        </w:tc>
      </w:tr>
      <w:tr w:rsidR="002E68BF" w:rsidRPr="002D755F" w14:paraId="1BC087FA" w14:textId="77777777" w:rsidTr="00EB4A6A">
        <w:trPr>
          <w:trHeight w:val="446"/>
        </w:trPr>
        <w:tc>
          <w:tcPr>
            <w:tcW w:w="1247" w:type="dxa"/>
          </w:tcPr>
          <w:p w14:paraId="29049867" w14:textId="77777777" w:rsidR="002E68BF" w:rsidRPr="002D755F" w:rsidRDefault="002E68BF" w:rsidP="00EB4A6A">
            <w:pPr>
              <w:spacing w:line="360" w:lineRule="auto"/>
              <w:contextualSpacing/>
              <w:jc w:val="center"/>
              <w:rPr>
                <w:rFonts w:ascii="Times New Roman" w:hAnsi="Times New Roman" w:cs="Times New Roman"/>
                <w:sz w:val="20"/>
                <w:szCs w:val="20"/>
              </w:rPr>
            </w:pPr>
            <w:r w:rsidRPr="002D755F">
              <w:rPr>
                <w:rFonts w:ascii="Times New Roman" w:hAnsi="Times New Roman" w:cs="Times New Roman"/>
                <w:sz w:val="20"/>
                <w:szCs w:val="20"/>
              </w:rPr>
              <w:t>T1</w:t>
            </w:r>
          </w:p>
        </w:tc>
        <w:tc>
          <w:tcPr>
            <w:tcW w:w="2241" w:type="dxa"/>
          </w:tcPr>
          <w:p w14:paraId="30577DE3"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77,900.00±18,035.63</w:t>
            </w:r>
            <w:r w:rsidRPr="002D755F">
              <w:rPr>
                <w:rFonts w:ascii="Times New Roman" w:hAnsi="Times New Roman" w:cs="Times New Roman"/>
                <w:sz w:val="20"/>
                <w:szCs w:val="20"/>
                <w:vertAlign w:val="superscript"/>
              </w:rPr>
              <w:t>b</w:t>
            </w:r>
          </w:p>
        </w:tc>
        <w:tc>
          <w:tcPr>
            <w:tcW w:w="2257" w:type="dxa"/>
          </w:tcPr>
          <w:p w14:paraId="27853878" w14:textId="77777777" w:rsidR="002E68BF" w:rsidRPr="002D755F" w:rsidRDefault="002E68BF" w:rsidP="00EB4A6A">
            <w:pPr>
              <w:spacing w:line="360" w:lineRule="auto"/>
              <w:contextualSpacing/>
              <w:rPr>
                <w:rFonts w:ascii="Times New Roman" w:hAnsi="Times New Roman" w:cs="Times New Roman"/>
                <w:b/>
                <w:sz w:val="20"/>
                <w:szCs w:val="20"/>
              </w:rPr>
            </w:pPr>
            <w:r w:rsidRPr="002D755F">
              <w:rPr>
                <w:rFonts w:ascii="Times New Roman" w:hAnsi="Times New Roman" w:cs="Times New Roman"/>
                <w:sz w:val="20"/>
                <w:szCs w:val="20"/>
              </w:rPr>
              <w:t>2,10,448.33±41,895.50</w:t>
            </w:r>
            <w:r w:rsidRPr="002D755F">
              <w:rPr>
                <w:rFonts w:ascii="Times New Roman" w:hAnsi="Times New Roman" w:cs="Times New Roman"/>
                <w:sz w:val="20"/>
                <w:szCs w:val="20"/>
                <w:vertAlign w:val="superscript"/>
              </w:rPr>
              <w:t xml:space="preserve"> b</w:t>
            </w:r>
          </w:p>
        </w:tc>
        <w:tc>
          <w:tcPr>
            <w:tcW w:w="2301" w:type="dxa"/>
          </w:tcPr>
          <w:p w14:paraId="3CD4269D"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1,16,048.33±29,467.27</w:t>
            </w:r>
            <w:r w:rsidRPr="002D755F">
              <w:rPr>
                <w:rFonts w:ascii="Times New Roman" w:hAnsi="Times New Roman" w:cs="Times New Roman"/>
                <w:sz w:val="20"/>
                <w:szCs w:val="20"/>
                <w:vertAlign w:val="superscript"/>
              </w:rPr>
              <w:t xml:space="preserve"> b</w:t>
            </w:r>
          </w:p>
        </w:tc>
        <w:tc>
          <w:tcPr>
            <w:tcW w:w="1418" w:type="dxa"/>
          </w:tcPr>
          <w:p w14:paraId="31DA38C4"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1.089±0.21</w:t>
            </w:r>
            <w:r w:rsidRPr="002D755F">
              <w:rPr>
                <w:rFonts w:ascii="Times New Roman" w:hAnsi="Times New Roman" w:cs="Times New Roman"/>
                <w:sz w:val="20"/>
                <w:szCs w:val="20"/>
                <w:vertAlign w:val="superscript"/>
              </w:rPr>
              <w:t xml:space="preserve"> b</w:t>
            </w:r>
          </w:p>
        </w:tc>
      </w:tr>
      <w:tr w:rsidR="002E68BF" w:rsidRPr="002D755F" w14:paraId="49624FA1" w14:textId="77777777" w:rsidTr="00EB4A6A">
        <w:trPr>
          <w:trHeight w:val="437"/>
        </w:trPr>
        <w:tc>
          <w:tcPr>
            <w:tcW w:w="1247" w:type="dxa"/>
          </w:tcPr>
          <w:p w14:paraId="442D5451" w14:textId="77777777" w:rsidR="002E68BF" w:rsidRPr="002D755F" w:rsidRDefault="002E68BF" w:rsidP="00EB4A6A">
            <w:pPr>
              <w:tabs>
                <w:tab w:val="left" w:pos="1106"/>
              </w:tabs>
              <w:spacing w:line="360" w:lineRule="auto"/>
              <w:contextualSpacing/>
              <w:jc w:val="center"/>
              <w:rPr>
                <w:rFonts w:ascii="Times New Roman" w:hAnsi="Times New Roman" w:cs="Times New Roman"/>
                <w:sz w:val="20"/>
                <w:szCs w:val="20"/>
              </w:rPr>
            </w:pPr>
            <w:r w:rsidRPr="002D755F">
              <w:rPr>
                <w:rFonts w:ascii="Times New Roman" w:hAnsi="Times New Roman" w:cs="Times New Roman"/>
                <w:sz w:val="20"/>
                <w:szCs w:val="20"/>
              </w:rPr>
              <w:t>T2</w:t>
            </w:r>
          </w:p>
        </w:tc>
        <w:tc>
          <w:tcPr>
            <w:tcW w:w="2241" w:type="dxa"/>
          </w:tcPr>
          <w:p w14:paraId="1A0880BE"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1,02,833.33±13,553.39</w:t>
            </w:r>
            <w:r w:rsidRPr="002D755F">
              <w:rPr>
                <w:rFonts w:ascii="Times New Roman" w:hAnsi="Times New Roman" w:cs="Times New Roman"/>
                <w:sz w:val="20"/>
                <w:szCs w:val="20"/>
                <w:vertAlign w:val="superscript"/>
              </w:rPr>
              <w:t xml:space="preserve"> a</w:t>
            </w:r>
          </w:p>
        </w:tc>
        <w:tc>
          <w:tcPr>
            <w:tcW w:w="2257" w:type="dxa"/>
          </w:tcPr>
          <w:p w14:paraId="533FC048"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2,50,488.33±39,009.13</w:t>
            </w:r>
            <w:r w:rsidRPr="002D755F">
              <w:rPr>
                <w:rFonts w:ascii="Times New Roman" w:hAnsi="Times New Roman" w:cs="Times New Roman"/>
                <w:sz w:val="20"/>
                <w:szCs w:val="20"/>
                <w:vertAlign w:val="superscript"/>
              </w:rPr>
              <w:t xml:space="preserve"> a</w:t>
            </w:r>
          </w:p>
        </w:tc>
        <w:tc>
          <w:tcPr>
            <w:tcW w:w="2301" w:type="dxa"/>
          </w:tcPr>
          <w:p w14:paraId="4FC05A07"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1,47,655.00±25,992.87</w:t>
            </w:r>
            <w:r w:rsidRPr="002D755F">
              <w:rPr>
                <w:rFonts w:ascii="Times New Roman" w:hAnsi="Times New Roman" w:cs="Times New Roman"/>
                <w:sz w:val="20"/>
                <w:szCs w:val="20"/>
                <w:vertAlign w:val="superscript"/>
              </w:rPr>
              <w:t xml:space="preserve"> a</w:t>
            </w:r>
          </w:p>
        </w:tc>
        <w:tc>
          <w:tcPr>
            <w:tcW w:w="1418" w:type="dxa"/>
          </w:tcPr>
          <w:p w14:paraId="214AB083"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1.389±0.10</w:t>
            </w:r>
            <w:r w:rsidRPr="002D755F">
              <w:rPr>
                <w:rFonts w:ascii="Times New Roman" w:hAnsi="Times New Roman" w:cs="Times New Roman"/>
                <w:sz w:val="20"/>
                <w:szCs w:val="20"/>
                <w:vertAlign w:val="superscript"/>
              </w:rPr>
              <w:t xml:space="preserve"> a</w:t>
            </w:r>
          </w:p>
        </w:tc>
      </w:tr>
      <w:tr w:rsidR="002E68BF" w:rsidRPr="002D755F" w14:paraId="66CC6CC2" w14:textId="77777777" w:rsidTr="00EB4A6A">
        <w:trPr>
          <w:trHeight w:val="456"/>
        </w:trPr>
        <w:tc>
          <w:tcPr>
            <w:tcW w:w="1247" w:type="dxa"/>
          </w:tcPr>
          <w:p w14:paraId="5B95BC9C" w14:textId="77777777" w:rsidR="002E68BF" w:rsidRPr="002D755F" w:rsidRDefault="002E68BF" w:rsidP="00EB4A6A">
            <w:pPr>
              <w:spacing w:line="360" w:lineRule="auto"/>
              <w:contextualSpacing/>
              <w:jc w:val="center"/>
              <w:rPr>
                <w:rFonts w:ascii="Times New Roman" w:hAnsi="Times New Roman" w:cs="Times New Roman"/>
                <w:sz w:val="20"/>
                <w:szCs w:val="20"/>
              </w:rPr>
            </w:pPr>
            <w:r w:rsidRPr="002D755F">
              <w:rPr>
                <w:rFonts w:ascii="Times New Roman" w:hAnsi="Times New Roman" w:cs="Times New Roman"/>
                <w:sz w:val="20"/>
                <w:szCs w:val="20"/>
              </w:rPr>
              <w:t>T3</w:t>
            </w:r>
          </w:p>
        </w:tc>
        <w:tc>
          <w:tcPr>
            <w:tcW w:w="2241" w:type="dxa"/>
          </w:tcPr>
          <w:p w14:paraId="1A71A6CF"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1,03,833.33±13,869.43</w:t>
            </w:r>
            <w:r w:rsidRPr="002D755F">
              <w:rPr>
                <w:rFonts w:ascii="Times New Roman" w:hAnsi="Times New Roman" w:cs="Times New Roman"/>
                <w:sz w:val="20"/>
                <w:szCs w:val="20"/>
                <w:vertAlign w:val="superscript"/>
              </w:rPr>
              <w:t>a</w:t>
            </w:r>
          </w:p>
        </w:tc>
        <w:tc>
          <w:tcPr>
            <w:tcW w:w="2257" w:type="dxa"/>
          </w:tcPr>
          <w:p w14:paraId="15190986"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2,45,190.00±39,289.06</w:t>
            </w:r>
            <w:r w:rsidRPr="002D755F">
              <w:rPr>
                <w:rFonts w:ascii="Times New Roman" w:hAnsi="Times New Roman" w:cs="Times New Roman"/>
                <w:sz w:val="20"/>
                <w:szCs w:val="20"/>
                <w:vertAlign w:val="superscript"/>
              </w:rPr>
              <w:t xml:space="preserve"> a</w:t>
            </w:r>
          </w:p>
        </w:tc>
        <w:tc>
          <w:tcPr>
            <w:tcW w:w="2301" w:type="dxa"/>
          </w:tcPr>
          <w:p w14:paraId="7C8F279A"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1,41,356.67±25,642.36</w:t>
            </w:r>
            <w:r w:rsidRPr="002D755F">
              <w:rPr>
                <w:rFonts w:ascii="Times New Roman" w:hAnsi="Times New Roman" w:cs="Times New Roman"/>
                <w:sz w:val="20"/>
                <w:szCs w:val="20"/>
                <w:vertAlign w:val="superscript"/>
              </w:rPr>
              <w:t xml:space="preserve"> a</w:t>
            </w:r>
          </w:p>
        </w:tc>
        <w:tc>
          <w:tcPr>
            <w:tcW w:w="1418" w:type="dxa"/>
          </w:tcPr>
          <w:p w14:paraId="1AEF3B8E" w14:textId="77777777" w:rsidR="002E68BF" w:rsidRPr="002D755F" w:rsidRDefault="002E68BF" w:rsidP="00EB4A6A">
            <w:pPr>
              <w:spacing w:line="360" w:lineRule="auto"/>
              <w:contextualSpacing/>
              <w:rPr>
                <w:rFonts w:ascii="Times New Roman" w:hAnsi="Times New Roman" w:cs="Times New Roman"/>
                <w:sz w:val="20"/>
                <w:szCs w:val="20"/>
              </w:rPr>
            </w:pPr>
            <w:r w:rsidRPr="002D755F">
              <w:rPr>
                <w:rFonts w:ascii="Times New Roman" w:hAnsi="Times New Roman" w:cs="Times New Roman"/>
                <w:sz w:val="20"/>
                <w:szCs w:val="20"/>
              </w:rPr>
              <w:t>1.304±0.10</w:t>
            </w:r>
            <w:r w:rsidRPr="002D755F">
              <w:rPr>
                <w:rFonts w:ascii="Times New Roman" w:hAnsi="Times New Roman" w:cs="Times New Roman"/>
                <w:sz w:val="20"/>
                <w:szCs w:val="20"/>
                <w:vertAlign w:val="superscript"/>
              </w:rPr>
              <w:t xml:space="preserve"> a</w:t>
            </w:r>
          </w:p>
        </w:tc>
      </w:tr>
    </w:tbl>
    <w:p w14:paraId="4B7534D4" w14:textId="77777777" w:rsidR="00035304" w:rsidRPr="002D755F" w:rsidRDefault="00BE31B0" w:rsidP="00035304">
      <w:pPr>
        <w:spacing w:after="0" w:line="360" w:lineRule="auto"/>
        <w:ind w:firstLine="720"/>
        <w:contextualSpacing/>
        <w:jc w:val="both"/>
        <w:rPr>
          <w:rFonts w:ascii="Times New Roman" w:hAnsi="Times New Roman" w:cs="Times New Roman"/>
          <w:color w:val="000000"/>
          <w:sz w:val="24"/>
          <w:szCs w:val="24"/>
        </w:rPr>
      </w:pPr>
      <w:r w:rsidRPr="002D755F">
        <w:rPr>
          <w:rFonts w:ascii="Times New Roman" w:hAnsi="Times New Roman"/>
          <w:b/>
          <w:sz w:val="24"/>
        </w:rPr>
        <w:t>Kumar et al. (2019) also reported an increase in total fish production in the experimental group fed mineral-mixture-supplemented feed compared with the control group. The increased fish production directly enhances farmers’ income, as indicated by the B:C ratio.</w:t>
      </w:r>
    </w:p>
    <w:p w14:paraId="6A78877F" w14:textId="77777777" w:rsidR="002E68BF" w:rsidRPr="002D755F" w:rsidRDefault="002E68BF" w:rsidP="002F0C1E">
      <w:pPr>
        <w:pStyle w:val="ListParagraph"/>
        <w:numPr>
          <w:ilvl w:val="0"/>
          <w:numId w:val="3"/>
        </w:numPr>
        <w:spacing w:after="0" w:line="360" w:lineRule="auto"/>
        <w:jc w:val="both"/>
        <w:rPr>
          <w:rFonts w:ascii="Times New Roman" w:hAnsi="Times New Roman" w:cs="Times New Roman"/>
          <w:color w:val="000000"/>
          <w:sz w:val="24"/>
          <w:szCs w:val="24"/>
        </w:rPr>
      </w:pPr>
      <w:r w:rsidRPr="002D755F">
        <w:rPr>
          <w:rFonts w:ascii="Times New Roman" w:hAnsi="Times New Roman" w:cs="Times New Roman"/>
          <w:b/>
          <w:color w:val="000000"/>
          <w:sz w:val="24"/>
          <w:szCs w:val="24"/>
        </w:rPr>
        <w:t>Conclusion</w:t>
      </w:r>
    </w:p>
    <w:p w14:paraId="04819F0C" w14:textId="29E7DCB3" w:rsidR="00C72782" w:rsidRDefault="002D755F" w:rsidP="002E68BF">
      <w:pPr>
        <w:spacing w:after="0" w:line="360" w:lineRule="auto"/>
        <w:contextualSpacing/>
        <w:jc w:val="both"/>
        <w:rPr>
          <w:rFonts w:ascii="Times New Roman" w:hAnsi="Times New Roman"/>
          <w:sz w:val="24"/>
        </w:rPr>
      </w:pPr>
      <w:r w:rsidRPr="002D755F">
        <w:rPr>
          <w:rFonts w:ascii="Times New Roman" w:hAnsi="Times New Roman"/>
          <w:sz w:val="24"/>
        </w:rPr>
        <w:t xml:space="preserve">Within the 120-day field trial conducted across three </w:t>
      </w:r>
      <w:proofErr w:type="spellStart"/>
      <w:r w:rsidRPr="002D755F">
        <w:rPr>
          <w:rFonts w:ascii="Times New Roman" w:hAnsi="Times New Roman"/>
          <w:sz w:val="24"/>
        </w:rPr>
        <w:t>agro</w:t>
      </w:r>
      <w:proofErr w:type="spellEnd"/>
      <w:r w:rsidRPr="002D755F">
        <w:rPr>
          <w:rFonts w:ascii="Times New Roman" w:hAnsi="Times New Roman"/>
          <w:sz w:val="24"/>
        </w:rPr>
        <w:t xml:space="preserve">-climatic locations of Punjab, mineral supplementation was associated with improved carp growth, feed utilisation, production, and selected flesh-quality attributes compared with the farmers’ control diet. The fish-specific mineral-mixture treatment (T2; 1.5 per cent inclusion) recorded the highest </w:t>
      </w:r>
      <w:r w:rsidRPr="002D755F">
        <w:rPr>
          <w:rFonts w:ascii="Times New Roman" w:hAnsi="Times New Roman"/>
          <w:sz w:val="24"/>
        </w:rPr>
        <w:lastRenderedPageBreak/>
        <w:t>average length gain, net weight gain, total production, protein content, and ash content, while also showing the lowest feed conversion ratio among the three treatments. The livestock-mineral-mixture treatment (T3) also performed better than the control for several production measures but did not exceed T2. Economic evaluation indicated that T2 achieved the highest total return and net profit despite higher expenditure than the control. Overall, the findings show that, under the specific pond-culture and feeding conditions evaluated, supplementation with a 1.5 per cent fish-specific mineral mixture can improve production performance and selected flesh-composition characteristics of cultured carp. The interpretation should remain confined to the conditions and duration of the present experiment.</w:t>
      </w:r>
      <w:r>
        <w:rPr>
          <w:rFonts w:ascii="Times New Roman" w:hAnsi="Times New Roman"/>
          <w:sz w:val="24"/>
        </w:rPr>
        <w:t xml:space="preserve"> </w:t>
      </w:r>
    </w:p>
    <w:p w14:paraId="117DF204" w14:textId="77777777" w:rsidR="002D755F" w:rsidRDefault="002D755F" w:rsidP="002E68BF">
      <w:pPr>
        <w:spacing w:after="0" w:line="360" w:lineRule="auto"/>
        <w:contextualSpacing/>
        <w:jc w:val="both"/>
        <w:rPr>
          <w:rFonts w:ascii="Times New Roman" w:hAnsi="Times New Roman"/>
          <w:sz w:val="24"/>
        </w:rPr>
      </w:pPr>
    </w:p>
    <w:p w14:paraId="02682411" w14:textId="6B8050D4" w:rsidR="002D755F" w:rsidRPr="002D755F" w:rsidRDefault="002D755F" w:rsidP="002D755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2D755F">
        <w:rPr>
          <w:rFonts w:ascii="Times New Roman" w:eastAsia="Times New Roman" w:hAnsi="Times New Roman" w:cs="Times New Roman"/>
          <w:b/>
          <w:bCs/>
          <w:kern w:val="0"/>
          <w:sz w:val="27"/>
          <w:szCs w:val="27"/>
          <w:lang w:val="en-US"/>
          <w14:ligatures w14:val="none"/>
        </w:rPr>
        <w:t>Limitation</w:t>
      </w:r>
    </w:p>
    <w:p w14:paraId="703C438A" w14:textId="77777777" w:rsidR="002D755F" w:rsidRPr="002D755F" w:rsidRDefault="002D755F" w:rsidP="002D755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2D755F">
        <w:rPr>
          <w:rFonts w:ascii="Times New Roman" w:eastAsia="Times New Roman" w:hAnsi="Times New Roman" w:cs="Times New Roman"/>
          <w:kern w:val="0"/>
          <w:sz w:val="24"/>
          <w:szCs w:val="24"/>
          <w:lang w:val="en-US"/>
          <w14:ligatures w14:val="none"/>
        </w:rPr>
        <w:t xml:space="preserve">This study was limited to nine pond sites located in three districts of Punjab and a single 120-day production cycle. Both mineral-mixture treatments were evaluated at only one inclusion level (1.5 per cent), so a dose-response relationship was not assessed. The findings therefore represent the specific pond, feeding, and </w:t>
      </w:r>
      <w:proofErr w:type="spellStart"/>
      <w:r w:rsidRPr="002D755F">
        <w:rPr>
          <w:rFonts w:ascii="Times New Roman" w:eastAsia="Times New Roman" w:hAnsi="Times New Roman" w:cs="Times New Roman"/>
          <w:kern w:val="0"/>
          <w:sz w:val="24"/>
          <w:szCs w:val="24"/>
          <w:lang w:val="en-US"/>
          <w14:ligatures w14:val="none"/>
        </w:rPr>
        <w:t>agro</w:t>
      </w:r>
      <w:proofErr w:type="spellEnd"/>
      <w:r w:rsidRPr="002D755F">
        <w:rPr>
          <w:rFonts w:ascii="Times New Roman" w:eastAsia="Times New Roman" w:hAnsi="Times New Roman" w:cs="Times New Roman"/>
          <w:kern w:val="0"/>
          <w:sz w:val="24"/>
          <w:szCs w:val="24"/>
          <w:lang w:val="en-US"/>
          <w14:ligatures w14:val="none"/>
        </w:rPr>
        <w:t>-climatic conditions used in the trial. In addition, species-specific responses within the carp culture system were not presented separately, which limits interpretation of whether all cultured carp species responded similarly to mineral supplementation.</w:t>
      </w:r>
    </w:p>
    <w:p w14:paraId="31832FF9" w14:textId="77777777" w:rsidR="002D755F" w:rsidRPr="002D755F" w:rsidRDefault="002D755F" w:rsidP="002E68BF">
      <w:pPr>
        <w:spacing w:after="0" w:line="360" w:lineRule="auto"/>
        <w:contextualSpacing/>
        <w:jc w:val="both"/>
        <w:rPr>
          <w:rFonts w:ascii="Times New Roman" w:hAnsi="Times New Roman" w:cs="Times New Roman"/>
          <w:color w:val="000000"/>
          <w:sz w:val="24"/>
          <w:szCs w:val="24"/>
        </w:rPr>
      </w:pPr>
    </w:p>
    <w:p w14:paraId="7BBF4E72" w14:textId="77777777" w:rsidR="00C72782" w:rsidRPr="002D755F" w:rsidRDefault="00C72782" w:rsidP="00C72782">
      <w:pPr>
        <w:spacing w:after="0" w:line="240" w:lineRule="auto"/>
        <w:rPr>
          <w:rFonts w:ascii="Arial" w:eastAsia="Calibri" w:hAnsi="Arial" w:cs="Arial"/>
          <w:b/>
          <w:kern w:val="0"/>
          <w:sz w:val="20"/>
          <w:szCs w:val="20"/>
          <w:lang w:val="en-US"/>
          <w14:ligatures w14:val="none"/>
        </w:rPr>
      </w:pPr>
      <w:r w:rsidRPr="002D755F">
        <w:rPr>
          <w:rFonts w:ascii="Arial" w:eastAsia="Calibri" w:hAnsi="Arial" w:cs="Arial"/>
          <w:b/>
          <w:kern w:val="0"/>
          <w:sz w:val="20"/>
          <w:szCs w:val="20"/>
          <w:lang w:val="en-US"/>
          <w14:ligatures w14:val="none"/>
        </w:rPr>
        <w:t>Declaration of AI Use</w:t>
      </w:r>
    </w:p>
    <w:p w14:paraId="7531695E" w14:textId="77777777" w:rsidR="00C72782" w:rsidRPr="002D755F" w:rsidRDefault="00C72782" w:rsidP="00C72782">
      <w:pPr>
        <w:spacing w:after="0" w:line="240" w:lineRule="auto"/>
        <w:rPr>
          <w:rFonts w:ascii="Arial" w:eastAsia="Calibri" w:hAnsi="Arial" w:cs="Arial"/>
          <w:kern w:val="0"/>
          <w:sz w:val="20"/>
          <w:szCs w:val="20"/>
          <w:lang w:val="en-US"/>
          <w14:ligatures w14:val="none"/>
        </w:rPr>
      </w:pPr>
    </w:p>
    <w:p w14:paraId="03A42207" w14:textId="77777777" w:rsidR="00C72782" w:rsidRPr="002D755F" w:rsidRDefault="00C72782" w:rsidP="00C72782">
      <w:pPr>
        <w:spacing w:after="0" w:line="240" w:lineRule="auto"/>
        <w:rPr>
          <w:rFonts w:ascii="Arial" w:eastAsia="Calibri" w:hAnsi="Arial" w:cs="Arial"/>
          <w:kern w:val="0"/>
          <w:sz w:val="20"/>
          <w:szCs w:val="20"/>
          <w:lang w:val="en-US"/>
          <w14:ligatures w14:val="none"/>
        </w:rPr>
      </w:pPr>
      <w:r w:rsidRPr="002D755F">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ABA2927" w14:textId="77777777" w:rsidR="00C72782" w:rsidRPr="002D755F" w:rsidRDefault="00C72782" w:rsidP="00C72782">
      <w:pPr>
        <w:spacing w:after="0" w:line="240" w:lineRule="auto"/>
        <w:jc w:val="both"/>
        <w:rPr>
          <w:rFonts w:ascii="Times New Roman" w:eastAsia="Calibri" w:hAnsi="Times New Roman" w:cs="Times New Roman"/>
          <w:kern w:val="0"/>
          <w:lang w:val="en-US"/>
          <w14:ligatures w14:val="none"/>
        </w:rPr>
      </w:pPr>
    </w:p>
    <w:p w14:paraId="62C9A95D" w14:textId="77777777" w:rsidR="00C72782" w:rsidRPr="002D755F" w:rsidRDefault="00C72782" w:rsidP="00C72782">
      <w:pPr>
        <w:spacing w:after="0" w:line="240" w:lineRule="auto"/>
        <w:jc w:val="both"/>
        <w:rPr>
          <w:rFonts w:ascii="Times New Roman" w:eastAsia="Calibri" w:hAnsi="Times New Roman" w:cs="Times New Roman"/>
          <w:kern w:val="0"/>
          <w:lang w:val="en-US"/>
          <w14:ligatures w14:val="none"/>
        </w:rPr>
      </w:pPr>
    </w:p>
    <w:p w14:paraId="6D7339B6" w14:textId="77777777" w:rsidR="00C72782" w:rsidRPr="002D755F" w:rsidRDefault="00C72782" w:rsidP="00C72782">
      <w:pPr>
        <w:spacing w:after="200" w:line="276" w:lineRule="auto"/>
        <w:rPr>
          <w:rFonts w:ascii="Cambria" w:eastAsia="Times New Roman" w:hAnsi="Cambria" w:cs="Arial"/>
          <w:b/>
          <w:bCs/>
          <w:kern w:val="0"/>
          <w:lang w:val="en-GB" w:eastAsia="en-GB"/>
          <w14:ligatures w14:val="none"/>
        </w:rPr>
      </w:pPr>
      <w:r w:rsidRPr="002D755F">
        <w:rPr>
          <w:rFonts w:ascii="Cambria" w:eastAsia="Times New Roman" w:hAnsi="Cambria" w:cs="Arial"/>
          <w:b/>
          <w:bCs/>
          <w:kern w:val="0"/>
          <w:lang w:val="en-GB" w:eastAsia="en-GB"/>
          <w14:ligatures w14:val="none"/>
        </w:rPr>
        <w:t>COMPETING INTERESTS DISCLAIMER:</w:t>
      </w:r>
    </w:p>
    <w:p w14:paraId="7879EEA7" w14:textId="77777777" w:rsidR="00C72782" w:rsidRPr="002D755F" w:rsidRDefault="00C72782" w:rsidP="00C72782">
      <w:pPr>
        <w:spacing w:after="200" w:line="276" w:lineRule="auto"/>
        <w:rPr>
          <w:rFonts w:ascii="Cambria" w:eastAsia="Times New Roman" w:hAnsi="Cambria" w:cs="Times New Roman"/>
          <w:kern w:val="0"/>
          <w:lang w:val="en-GB" w:eastAsia="en-GB"/>
          <w14:ligatures w14:val="none"/>
        </w:rPr>
      </w:pPr>
      <w:r w:rsidRPr="002D755F">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78C58077" w14:textId="77777777" w:rsidR="00C72782" w:rsidRPr="002D755F" w:rsidRDefault="00C72782" w:rsidP="002E68BF">
      <w:pPr>
        <w:spacing w:after="0" w:line="360" w:lineRule="auto"/>
        <w:contextualSpacing/>
        <w:jc w:val="both"/>
        <w:rPr>
          <w:rFonts w:ascii="Times New Roman" w:hAnsi="Times New Roman" w:cs="Times New Roman"/>
          <w:color w:val="000000"/>
          <w:sz w:val="24"/>
          <w:szCs w:val="24"/>
        </w:rPr>
      </w:pPr>
    </w:p>
    <w:p w14:paraId="4BDE428D" w14:textId="77777777" w:rsidR="00DA6F9B" w:rsidRPr="002D755F" w:rsidRDefault="00DA6F9B" w:rsidP="002E68BF">
      <w:pPr>
        <w:spacing w:after="0" w:line="360" w:lineRule="auto"/>
        <w:contextualSpacing/>
        <w:jc w:val="both"/>
        <w:rPr>
          <w:rFonts w:ascii="Times New Roman" w:hAnsi="Times New Roman" w:cs="Times New Roman"/>
          <w:b/>
          <w:color w:val="000000"/>
          <w:sz w:val="24"/>
          <w:szCs w:val="24"/>
        </w:rPr>
      </w:pPr>
      <w:r w:rsidRPr="002D755F">
        <w:rPr>
          <w:rFonts w:ascii="Times New Roman" w:hAnsi="Times New Roman" w:cs="Times New Roman"/>
          <w:b/>
          <w:color w:val="000000"/>
          <w:sz w:val="24"/>
          <w:szCs w:val="24"/>
        </w:rPr>
        <w:t>References</w:t>
      </w:r>
    </w:p>
    <w:p w14:paraId="1614D292"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American Public Health Association, American Water Works Association, &amp; Water Environment Federation. (2012). </w:t>
      </w:r>
      <w:r w:rsidRPr="008E70ED">
        <w:rPr>
          <w:rFonts w:ascii="Times New Roman" w:eastAsia="Times New Roman" w:hAnsi="Times New Roman" w:cs="Times New Roman"/>
          <w:i/>
          <w:iCs/>
          <w:kern w:val="0"/>
          <w:sz w:val="24"/>
          <w:szCs w:val="24"/>
          <w:lang w:val="en-US"/>
          <w14:ligatures w14:val="none"/>
        </w:rPr>
        <w:t>Standard methods for the examination of water and wastewater</w:t>
      </w:r>
      <w:r w:rsidRPr="008E70ED">
        <w:rPr>
          <w:rFonts w:ascii="Times New Roman" w:eastAsia="Times New Roman" w:hAnsi="Times New Roman" w:cs="Times New Roman"/>
          <w:kern w:val="0"/>
          <w:sz w:val="24"/>
          <w:szCs w:val="24"/>
          <w:lang w:val="en-US"/>
          <w14:ligatures w14:val="none"/>
        </w:rPr>
        <w:t xml:space="preserve"> (22nd ed.). American Public Health Association. https://doi.org/10.2105/SMWW.2882 </w:t>
      </w:r>
    </w:p>
    <w:p w14:paraId="37DEE483" w14:textId="37DEF73A"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lastRenderedPageBreak/>
        <w:t xml:space="preserve">Association of Official Analytical Chemists. (1990). </w:t>
      </w:r>
      <w:r w:rsidRPr="008E70ED">
        <w:rPr>
          <w:rFonts w:ascii="Times New Roman" w:eastAsia="Times New Roman" w:hAnsi="Times New Roman" w:cs="Times New Roman"/>
          <w:i/>
          <w:iCs/>
          <w:kern w:val="0"/>
          <w:sz w:val="24"/>
          <w:szCs w:val="24"/>
          <w:lang w:val="en-US"/>
          <w14:ligatures w14:val="none"/>
        </w:rPr>
        <w:t>Official methods of analysis of the Association of Official Analytical Chemists</w:t>
      </w:r>
      <w:r w:rsidRPr="008E70ED">
        <w:rPr>
          <w:rFonts w:ascii="Times New Roman" w:eastAsia="Times New Roman" w:hAnsi="Times New Roman" w:cs="Times New Roman"/>
          <w:kern w:val="0"/>
          <w:sz w:val="24"/>
          <w:szCs w:val="24"/>
          <w:lang w:val="en-US"/>
          <w14:ligatures w14:val="none"/>
        </w:rPr>
        <w:t xml:space="preserve"> (15th ed.). Association of Official Analytical Chemists. </w:t>
      </w:r>
    </w:p>
    <w:p w14:paraId="7CF13547"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nl-BE"/>
          <w14:ligatures w14:val="none"/>
        </w:rPr>
        <w:t xml:space="preserve">Azim, M. E., Verdegem, M. C. J., Rahman, M. M., Wahab, M. A., van Dam, A. A., &amp; Beveridge, M. C. M. (2002). </w:t>
      </w:r>
      <w:r w:rsidRPr="008E70ED">
        <w:rPr>
          <w:rFonts w:ascii="Times New Roman" w:eastAsia="Times New Roman" w:hAnsi="Times New Roman" w:cs="Times New Roman"/>
          <w:kern w:val="0"/>
          <w:sz w:val="24"/>
          <w:szCs w:val="24"/>
          <w:lang w:val="en-US"/>
          <w14:ligatures w14:val="none"/>
        </w:rPr>
        <w:t xml:space="preserve">Evaluation of polyculture of Indian major carps in periphyton-based ponds. </w:t>
      </w:r>
      <w:r w:rsidRPr="008E70ED">
        <w:rPr>
          <w:rFonts w:ascii="Times New Roman" w:eastAsia="Times New Roman" w:hAnsi="Times New Roman" w:cs="Times New Roman"/>
          <w:i/>
          <w:iCs/>
          <w:kern w:val="0"/>
          <w:sz w:val="24"/>
          <w:szCs w:val="24"/>
          <w:lang w:val="en-US"/>
          <w14:ligatures w14:val="none"/>
        </w:rPr>
        <w:t>Aquaculture, 213</w:t>
      </w:r>
      <w:r w:rsidRPr="008E70ED">
        <w:rPr>
          <w:rFonts w:ascii="Times New Roman" w:eastAsia="Times New Roman" w:hAnsi="Times New Roman" w:cs="Times New Roman"/>
          <w:kern w:val="0"/>
          <w:sz w:val="24"/>
          <w:szCs w:val="24"/>
          <w:lang w:val="en-US"/>
          <w14:ligatures w14:val="none"/>
        </w:rPr>
        <w:t xml:space="preserve">, 131–149. https://doi.org/10.1016/S0044-8486(02)00029-7 </w:t>
      </w:r>
    </w:p>
    <w:p w14:paraId="4C95CDC4"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Besson, M., Komen, H., Rose, G., &amp; Vandeputte, M. (2020). The genetic correlation between feed conversion ratio and growth rate affects the design of a breeding program for more sustainable fish production. </w:t>
      </w:r>
      <w:r w:rsidRPr="008E70ED">
        <w:rPr>
          <w:rFonts w:ascii="Times New Roman" w:eastAsia="Times New Roman" w:hAnsi="Times New Roman" w:cs="Times New Roman"/>
          <w:i/>
          <w:iCs/>
          <w:kern w:val="0"/>
          <w:sz w:val="24"/>
          <w:szCs w:val="24"/>
          <w:lang w:val="en-US"/>
          <w14:ligatures w14:val="none"/>
        </w:rPr>
        <w:t>Genetics Selection Evolution, 52</w:t>
      </w:r>
      <w:r w:rsidRPr="008E70ED">
        <w:rPr>
          <w:rFonts w:ascii="Times New Roman" w:eastAsia="Times New Roman" w:hAnsi="Times New Roman" w:cs="Times New Roman"/>
          <w:kern w:val="0"/>
          <w:sz w:val="24"/>
          <w:szCs w:val="24"/>
          <w:lang w:val="en-US"/>
          <w14:ligatures w14:val="none"/>
        </w:rPr>
        <w:t xml:space="preserve">, Article 5. </w:t>
      </w:r>
      <w:hyperlink r:id="rId9" w:tgtFrame="_blank" w:history="1">
        <w:r w:rsidRPr="008E70ED">
          <w:rPr>
            <w:rFonts w:ascii="Times New Roman" w:eastAsia="Times New Roman" w:hAnsi="Times New Roman" w:cs="Times New Roman"/>
            <w:color w:val="0000FF"/>
            <w:kern w:val="0"/>
            <w:sz w:val="24"/>
            <w:szCs w:val="24"/>
            <w:u w:val="single"/>
            <w:lang w:val="en-US"/>
            <w14:ligatures w14:val="none"/>
          </w:rPr>
          <w:t>https://doi.org/10.1186/s12711-020-0524-0</w:t>
        </w:r>
      </w:hyperlink>
      <w:r w:rsidRPr="008E70ED">
        <w:rPr>
          <w:rFonts w:ascii="Times New Roman" w:eastAsia="Times New Roman" w:hAnsi="Times New Roman" w:cs="Times New Roman"/>
          <w:kern w:val="0"/>
          <w:sz w:val="24"/>
          <w:szCs w:val="24"/>
          <w:lang w:val="en-US"/>
          <w14:ligatures w14:val="none"/>
        </w:rPr>
        <w:t xml:space="preserve"> </w:t>
      </w:r>
    </w:p>
    <w:p w14:paraId="2A03C47A"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Islam, M. S., Huq, K. A., &amp; Rahman, M. A. (2008). Polyculture of Thai </w:t>
      </w:r>
      <w:proofErr w:type="spellStart"/>
      <w:r w:rsidRPr="008E70ED">
        <w:rPr>
          <w:rFonts w:ascii="Times New Roman" w:eastAsia="Times New Roman" w:hAnsi="Times New Roman" w:cs="Times New Roman"/>
          <w:kern w:val="0"/>
          <w:sz w:val="24"/>
          <w:szCs w:val="24"/>
          <w:lang w:val="en-US"/>
          <w14:ligatures w14:val="none"/>
        </w:rPr>
        <w:t>pangus</w:t>
      </w:r>
      <w:proofErr w:type="spellEnd"/>
      <w:r w:rsidRPr="008E70ED">
        <w:rPr>
          <w:rFonts w:ascii="Times New Roman" w:eastAsia="Times New Roman" w:hAnsi="Times New Roman" w:cs="Times New Roman"/>
          <w:kern w:val="0"/>
          <w:sz w:val="24"/>
          <w:szCs w:val="24"/>
          <w:lang w:val="en-US"/>
          <w14:ligatures w14:val="none"/>
        </w:rPr>
        <w:t xml:space="preserve"> (</w:t>
      </w:r>
      <w:r w:rsidRPr="008E70ED">
        <w:rPr>
          <w:rFonts w:ascii="Times New Roman" w:eastAsia="Times New Roman" w:hAnsi="Times New Roman" w:cs="Times New Roman"/>
          <w:i/>
          <w:iCs/>
          <w:kern w:val="0"/>
          <w:sz w:val="24"/>
          <w:szCs w:val="24"/>
          <w:lang w:val="en-US"/>
          <w14:ligatures w14:val="none"/>
        </w:rPr>
        <w:t xml:space="preserve">Pangasius </w:t>
      </w:r>
      <w:proofErr w:type="spellStart"/>
      <w:r w:rsidRPr="008E70ED">
        <w:rPr>
          <w:rFonts w:ascii="Times New Roman" w:eastAsia="Times New Roman" w:hAnsi="Times New Roman" w:cs="Times New Roman"/>
          <w:i/>
          <w:iCs/>
          <w:kern w:val="0"/>
          <w:sz w:val="24"/>
          <w:szCs w:val="24"/>
          <w:lang w:val="en-US"/>
          <w14:ligatures w14:val="none"/>
        </w:rPr>
        <w:t>hypophthalmus</w:t>
      </w:r>
      <w:proofErr w:type="spellEnd"/>
      <w:r w:rsidRPr="008E70ED">
        <w:rPr>
          <w:rFonts w:ascii="Times New Roman" w:eastAsia="Times New Roman" w:hAnsi="Times New Roman" w:cs="Times New Roman"/>
          <w:kern w:val="0"/>
          <w:sz w:val="24"/>
          <w:szCs w:val="24"/>
          <w:lang w:val="en-US"/>
          <w14:ligatures w14:val="none"/>
        </w:rPr>
        <w:t xml:space="preserve">, Sauvage 1878) with carps and prawn: A new approach in polyculture technology regarding growth performance and economic return. </w:t>
      </w:r>
      <w:r w:rsidRPr="008E70ED">
        <w:rPr>
          <w:rFonts w:ascii="Times New Roman" w:eastAsia="Times New Roman" w:hAnsi="Times New Roman" w:cs="Times New Roman"/>
          <w:i/>
          <w:iCs/>
          <w:kern w:val="0"/>
          <w:sz w:val="24"/>
          <w:szCs w:val="24"/>
          <w:lang w:val="en-US"/>
          <w14:ligatures w14:val="none"/>
        </w:rPr>
        <w:t>Aquaculture Research, 39</w:t>
      </w:r>
      <w:r w:rsidRPr="008E70ED">
        <w:rPr>
          <w:rFonts w:ascii="Times New Roman" w:eastAsia="Times New Roman" w:hAnsi="Times New Roman" w:cs="Times New Roman"/>
          <w:kern w:val="0"/>
          <w:sz w:val="24"/>
          <w:szCs w:val="24"/>
          <w:lang w:val="en-US"/>
          <w14:ligatures w14:val="none"/>
        </w:rPr>
        <w:t xml:space="preserve">, 1620–1627. </w:t>
      </w:r>
      <w:hyperlink r:id="rId10" w:tgtFrame="_blank" w:history="1">
        <w:r w:rsidRPr="008E70ED">
          <w:rPr>
            <w:rFonts w:ascii="Times New Roman" w:eastAsia="Times New Roman" w:hAnsi="Times New Roman" w:cs="Times New Roman"/>
            <w:color w:val="0000FF"/>
            <w:kern w:val="0"/>
            <w:sz w:val="24"/>
            <w:szCs w:val="24"/>
            <w:u w:val="single"/>
            <w:lang w:val="en-US"/>
            <w14:ligatures w14:val="none"/>
          </w:rPr>
          <w:t>https://doi.org/10.1111/j.1365-2109.2008.02035.x</w:t>
        </w:r>
      </w:hyperlink>
      <w:r w:rsidRPr="008E70ED">
        <w:rPr>
          <w:rFonts w:ascii="Times New Roman" w:eastAsia="Times New Roman" w:hAnsi="Times New Roman" w:cs="Times New Roman"/>
          <w:kern w:val="0"/>
          <w:sz w:val="24"/>
          <w:szCs w:val="24"/>
          <w:lang w:val="en-US"/>
          <w14:ligatures w14:val="none"/>
        </w:rPr>
        <w:t xml:space="preserve"> </w:t>
      </w:r>
    </w:p>
    <w:p w14:paraId="6D9541DA"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Islam, M. S., Hosen, M. R., Zaman, M. A. U., Hasan, S., &amp; Rahman, M. M. (2023). Effects of growth promoter-enriched farm-made feeds on the growth, flesh quality and economics of </w:t>
      </w:r>
      <w:proofErr w:type="spellStart"/>
      <w:r w:rsidRPr="008E70ED">
        <w:rPr>
          <w:rFonts w:ascii="Times New Roman" w:eastAsia="Times New Roman" w:hAnsi="Times New Roman" w:cs="Times New Roman"/>
          <w:i/>
          <w:iCs/>
          <w:kern w:val="0"/>
          <w:sz w:val="24"/>
          <w:szCs w:val="24"/>
          <w:lang w:val="en-US"/>
          <w14:ligatures w14:val="none"/>
        </w:rPr>
        <w:t>Labeo</w:t>
      </w:r>
      <w:proofErr w:type="spellEnd"/>
      <w:r w:rsidRPr="008E70ED">
        <w:rPr>
          <w:rFonts w:ascii="Times New Roman" w:eastAsia="Times New Roman" w:hAnsi="Times New Roman" w:cs="Times New Roman"/>
          <w:i/>
          <w:iCs/>
          <w:kern w:val="0"/>
          <w:sz w:val="24"/>
          <w:szCs w:val="24"/>
          <w:lang w:val="en-US"/>
          <w14:ligatures w14:val="none"/>
        </w:rPr>
        <w:t xml:space="preserve"> </w:t>
      </w:r>
      <w:proofErr w:type="spellStart"/>
      <w:r w:rsidRPr="008E70ED">
        <w:rPr>
          <w:rFonts w:ascii="Times New Roman" w:eastAsia="Times New Roman" w:hAnsi="Times New Roman" w:cs="Times New Roman"/>
          <w:i/>
          <w:iCs/>
          <w:kern w:val="0"/>
          <w:sz w:val="24"/>
          <w:szCs w:val="24"/>
          <w:lang w:val="en-US"/>
          <w14:ligatures w14:val="none"/>
        </w:rPr>
        <w:t>rohita</w:t>
      </w:r>
      <w:proofErr w:type="spellEnd"/>
      <w:r w:rsidRPr="008E70ED">
        <w:rPr>
          <w:rFonts w:ascii="Times New Roman" w:eastAsia="Times New Roman" w:hAnsi="Times New Roman" w:cs="Times New Roman"/>
          <w:kern w:val="0"/>
          <w:sz w:val="24"/>
          <w:szCs w:val="24"/>
          <w:lang w:val="en-US"/>
          <w14:ligatures w14:val="none"/>
        </w:rPr>
        <w:t xml:space="preserve"> culture. </w:t>
      </w:r>
      <w:r w:rsidRPr="008E70ED">
        <w:rPr>
          <w:rFonts w:ascii="Times New Roman" w:eastAsia="Times New Roman" w:hAnsi="Times New Roman" w:cs="Times New Roman"/>
          <w:i/>
          <w:iCs/>
          <w:kern w:val="0"/>
          <w:sz w:val="24"/>
          <w:szCs w:val="24"/>
          <w:lang w:val="en-US"/>
          <w14:ligatures w14:val="none"/>
        </w:rPr>
        <w:t>Asian Journal of Fisheries and Aquatic Research, 25</w:t>
      </w:r>
      <w:r w:rsidRPr="008E70ED">
        <w:rPr>
          <w:rFonts w:ascii="Times New Roman" w:eastAsia="Times New Roman" w:hAnsi="Times New Roman" w:cs="Times New Roman"/>
          <w:kern w:val="0"/>
          <w:sz w:val="24"/>
          <w:szCs w:val="24"/>
          <w:lang w:val="en-US"/>
          <w14:ligatures w14:val="none"/>
        </w:rPr>
        <w:t xml:space="preserve">(4), 62–75. </w:t>
      </w:r>
      <w:hyperlink r:id="rId11" w:tgtFrame="_blank" w:history="1">
        <w:r w:rsidRPr="008E70ED">
          <w:rPr>
            <w:rFonts w:ascii="Times New Roman" w:eastAsia="Times New Roman" w:hAnsi="Times New Roman" w:cs="Times New Roman"/>
            <w:color w:val="0000FF"/>
            <w:kern w:val="0"/>
            <w:sz w:val="24"/>
            <w:szCs w:val="24"/>
            <w:u w:val="single"/>
            <w:lang w:val="en-US"/>
            <w14:ligatures w14:val="none"/>
          </w:rPr>
          <w:t>https://doi.org/10.9734/ajfar/2023/v25i4683</w:t>
        </w:r>
      </w:hyperlink>
      <w:r w:rsidRPr="008E70ED">
        <w:rPr>
          <w:rFonts w:ascii="Times New Roman" w:eastAsia="Times New Roman" w:hAnsi="Times New Roman" w:cs="Times New Roman"/>
          <w:kern w:val="0"/>
          <w:sz w:val="24"/>
          <w:szCs w:val="24"/>
          <w:lang w:val="en-US"/>
          <w14:ligatures w14:val="none"/>
        </w:rPr>
        <w:t xml:space="preserve"> </w:t>
      </w:r>
    </w:p>
    <w:p w14:paraId="120C379E"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Kumar, P., Khar, S., Choudhary, P., Sharma, R., Abrol, P., &amp; Sharma, S. (2019). Effect of mineral mixture on growth, feed utilization and economic performance of composite fish farming. </w:t>
      </w:r>
      <w:proofErr w:type="spellStart"/>
      <w:r w:rsidRPr="008E70ED">
        <w:rPr>
          <w:rFonts w:ascii="Times New Roman" w:eastAsia="Times New Roman" w:hAnsi="Times New Roman" w:cs="Times New Roman"/>
          <w:i/>
          <w:iCs/>
          <w:kern w:val="0"/>
          <w:sz w:val="24"/>
          <w:szCs w:val="24"/>
          <w:lang w:val="en-US"/>
          <w14:ligatures w14:val="none"/>
        </w:rPr>
        <w:t>Agro</w:t>
      </w:r>
      <w:proofErr w:type="spellEnd"/>
      <w:r w:rsidRPr="008E70ED">
        <w:rPr>
          <w:rFonts w:ascii="Times New Roman" w:eastAsia="Times New Roman" w:hAnsi="Times New Roman" w:cs="Times New Roman"/>
          <w:i/>
          <w:iCs/>
          <w:kern w:val="0"/>
          <w:sz w:val="24"/>
          <w:szCs w:val="24"/>
          <w:lang w:val="en-US"/>
          <w14:ligatures w14:val="none"/>
        </w:rPr>
        <w:t xml:space="preserve"> Economist – An International Journal, 6</w:t>
      </w:r>
      <w:r w:rsidRPr="008E70ED">
        <w:rPr>
          <w:rFonts w:ascii="Times New Roman" w:eastAsia="Times New Roman" w:hAnsi="Times New Roman" w:cs="Times New Roman"/>
          <w:kern w:val="0"/>
          <w:sz w:val="24"/>
          <w:szCs w:val="24"/>
          <w:lang w:val="en-US"/>
          <w14:ligatures w14:val="none"/>
        </w:rPr>
        <w:t xml:space="preserve">(2), 57–61. </w:t>
      </w:r>
      <w:hyperlink r:id="rId12" w:tgtFrame="_blank" w:history="1">
        <w:r w:rsidRPr="008E70ED">
          <w:rPr>
            <w:rFonts w:ascii="Times New Roman" w:eastAsia="Times New Roman" w:hAnsi="Times New Roman" w:cs="Times New Roman"/>
            <w:color w:val="0000FF"/>
            <w:kern w:val="0"/>
            <w:sz w:val="24"/>
            <w:szCs w:val="24"/>
            <w:u w:val="single"/>
            <w:lang w:val="en-US"/>
            <w14:ligatures w14:val="none"/>
          </w:rPr>
          <w:t>https://doi.org/10.30954/2394-8159.02.2019.3</w:t>
        </w:r>
      </w:hyperlink>
      <w:r w:rsidRPr="008E70ED">
        <w:rPr>
          <w:rFonts w:ascii="Times New Roman" w:eastAsia="Times New Roman" w:hAnsi="Times New Roman" w:cs="Times New Roman"/>
          <w:kern w:val="0"/>
          <w:sz w:val="24"/>
          <w:szCs w:val="24"/>
          <w:lang w:val="en-US"/>
          <w14:ligatures w14:val="none"/>
        </w:rPr>
        <w:t xml:space="preserve"> </w:t>
      </w:r>
    </w:p>
    <w:p w14:paraId="79BE5FC4"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Lall, S. P., &amp; Kaushik, S. J. (2021). Nutrition and metabolism of minerals in fish. </w:t>
      </w:r>
      <w:r w:rsidRPr="008E70ED">
        <w:rPr>
          <w:rFonts w:ascii="Times New Roman" w:eastAsia="Times New Roman" w:hAnsi="Times New Roman" w:cs="Times New Roman"/>
          <w:i/>
          <w:iCs/>
          <w:kern w:val="0"/>
          <w:sz w:val="24"/>
          <w:szCs w:val="24"/>
          <w:lang w:val="en-US"/>
          <w14:ligatures w14:val="none"/>
        </w:rPr>
        <w:t>Animals, 11</w:t>
      </w:r>
      <w:r w:rsidRPr="008E70ED">
        <w:rPr>
          <w:rFonts w:ascii="Times New Roman" w:eastAsia="Times New Roman" w:hAnsi="Times New Roman" w:cs="Times New Roman"/>
          <w:kern w:val="0"/>
          <w:sz w:val="24"/>
          <w:szCs w:val="24"/>
          <w:lang w:val="en-US"/>
          <w14:ligatures w14:val="none"/>
        </w:rPr>
        <w:t xml:space="preserve">(9), 2711. </w:t>
      </w:r>
      <w:hyperlink r:id="rId13" w:tgtFrame="_blank" w:history="1">
        <w:r w:rsidRPr="008E70ED">
          <w:rPr>
            <w:rFonts w:ascii="Times New Roman" w:eastAsia="Times New Roman" w:hAnsi="Times New Roman" w:cs="Times New Roman"/>
            <w:color w:val="0000FF"/>
            <w:kern w:val="0"/>
            <w:sz w:val="24"/>
            <w:szCs w:val="24"/>
            <w:u w:val="single"/>
            <w:lang w:val="en-US"/>
            <w14:ligatures w14:val="none"/>
          </w:rPr>
          <w:t>https://doi.org/10.3390/ani11092711</w:t>
        </w:r>
      </w:hyperlink>
      <w:r w:rsidRPr="008E70ED">
        <w:rPr>
          <w:rFonts w:ascii="Times New Roman" w:eastAsia="Times New Roman" w:hAnsi="Times New Roman" w:cs="Times New Roman"/>
          <w:kern w:val="0"/>
          <w:sz w:val="24"/>
          <w:szCs w:val="24"/>
          <w:lang w:val="en-US"/>
          <w14:ligatures w14:val="none"/>
        </w:rPr>
        <w:t xml:space="preserve"> </w:t>
      </w:r>
    </w:p>
    <w:p w14:paraId="176CEB53"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Lall, S. P. (2002). The minerals. In J. E. Halver &amp; R. W. Hardy (Eds.), </w:t>
      </w:r>
      <w:r w:rsidRPr="008E70ED">
        <w:rPr>
          <w:rFonts w:ascii="Times New Roman" w:eastAsia="Times New Roman" w:hAnsi="Times New Roman" w:cs="Times New Roman"/>
          <w:i/>
          <w:iCs/>
          <w:kern w:val="0"/>
          <w:sz w:val="24"/>
          <w:szCs w:val="24"/>
          <w:lang w:val="en-US"/>
          <w14:ligatures w14:val="none"/>
        </w:rPr>
        <w:t>Fish nutrition</w:t>
      </w:r>
      <w:r w:rsidRPr="008E70ED">
        <w:rPr>
          <w:rFonts w:ascii="Times New Roman" w:eastAsia="Times New Roman" w:hAnsi="Times New Roman" w:cs="Times New Roman"/>
          <w:kern w:val="0"/>
          <w:sz w:val="24"/>
          <w:szCs w:val="24"/>
          <w:lang w:val="en-US"/>
          <w14:ligatures w14:val="none"/>
        </w:rPr>
        <w:t xml:space="preserve"> (3rd ed., pp. 259–308). Academic Press. </w:t>
      </w:r>
      <w:hyperlink r:id="rId14" w:tgtFrame="_blank" w:history="1">
        <w:r w:rsidRPr="008E70ED">
          <w:rPr>
            <w:rFonts w:ascii="Times New Roman" w:eastAsia="Times New Roman" w:hAnsi="Times New Roman" w:cs="Times New Roman"/>
            <w:color w:val="0000FF"/>
            <w:kern w:val="0"/>
            <w:sz w:val="24"/>
            <w:szCs w:val="24"/>
            <w:u w:val="single"/>
            <w:lang w:val="en-US"/>
            <w14:ligatures w14:val="none"/>
          </w:rPr>
          <w:t>https://doi.org/10.1016/B978-012319652-1/50006-9</w:t>
        </w:r>
      </w:hyperlink>
      <w:r w:rsidRPr="008E70ED">
        <w:rPr>
          <w:rFonts w:ascii="Times New Roman" w:eastAsia="Times New Roman" w:hAnsi="Times New Roman" w:cs="Times New Roman"/>
          <w:kern w:val="0"/>
          <w:sz w:val="24"/>
          <w:szCs w:val="24"/>
          <w:lang w:val="en-US"/>
          <w14:ligatures w14:val="none"/>
        </w:rPr>
        <w:t xml:space="preserve"> </w:t>
      </w:r>
    </w:p>
    <w:p w14:paraId="488C9237"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Mazid, M. A., Zaher, M., Begum, N. N., Ali, M. Z., &amp; Nahar, F. (1997). Formulation of cost-effective feeds from locally available ingredients for carp polyculture system for increased production. </w:t>
      </w:r>
      <w:r w:rsidRPr="008E70ED">
        <w:rPr>
          <w:rFonts w:ascii="Times New Roman" w:eastAsia="Times New Roman" w:hAnsi="Times New Roman" w:cs="Times New Roman"/>
          <w:i/>
          <w:iCs/>
          <w:kern w:val="0"/>
          <w:sz w:val="24"/>
          <w:szCs w:val="24"/>
          <w:lang w:val="en-US"/>
          <w14:ligatures w14:val="none"/>
        </w:rPr>
        <w:t>Aquaculture, 151</w:t>
      </w:r>
      <w:r w:rsidRPr="008E70ED">
        <w:rPr>
          <w:rFonts w:ascii="Times New Roman" w:eastAsia="Times New Roman" w:hAnsi="Times New Roman" w:cs="Times New Roman"/>
          <w:kern w:val="0"/>
          <w:sz w:val="24"/>
          <w:szCs w:val="24"/>
          <w:lang w:val="en-US"/>
          <w14:ligatures w14:val="none"/>
        </w:rPr>
        <w:t xml:space="preserve">, 71–78. https://doi.org/10.1016/S0044-8486(96)01504-9 </w:t>
      </w:r>
    </w:p>
    <w:p w14:paraId="53D21142"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8E70ED">
        <w:rPr>
          <w:rFonts w:ascii="Times New Roman" w:eastAsia="Times New Roman" w:hAnsi="Times New Roman" w:cs="Times New Roman"/>
          <w:kern w:val="0"/>
          <w:sz w:val="24"/>
          <w:szCs w:val="24"/>
          <w:lang w:val="en-US"/>
          <w14:ligatures w14:val="none"/>
        </w:rPr>
        <w:t>Mmanda</w:t>
      </w:r>
      <w:proofErr w:type="spellEnd"/>
      <w:r w:rsidRPr="008E70ED">
        <w:rPr>
          <w:rFonts w:ascii="Times New Roman" w:eastAsia="Times New Roman" w:hAnsi="Times New Roman" w:cs="Times New Roman"/>
          <w:kern w:val="0"/>
          <w:sz w:val="24"/>
          <w:szCs w:val="24"/>
          <w:lang w:val="en-US"/>
          <w14:ligatures w14:val="none"/>
        </w:rPr>
        <w:t xml:space="preserve">, F. P. (2025). Importance of minerals and their bioavailability in boosting aquaculture: A systematic review. </w:t>
      </w:r>
      <w:r w:rsidRPr="008E70ED">
        <w:rPr>
          <w:rFonts w:ascii="Times New Roman" w:eastAsia="Times New Roman" w:hAnsi="Times New Roman" w:cs="Times New Roman"/>
          <w:i/>
          <w:iCs/>
          <w:kern w:val="0"/>
          <w:sz w:val="24"/>
          <w:szCs w:val="24"/>
          <w:lang w:val="en-US"/>
          <w14:ligatures w14:val="none"/>
        </w:rPr>
        <w:t>Aquaculture, Fish and Fisheries, 5</w:t>
      </w:r>
      <w:r w:rsidRPr="008E70ED">
        <w:rPr>
          <w:rFonts w:ascii="Times New Roman" w:eastAsia="Times New Roman" w:hAnsi="Times New Roman" w:cs="Times New Roman"/>
          <w:kern w:val="0"/>
          <w:sz w:val="24"/>
          <w:szCs w:val="24"/>
          <w:lang w:val="en-US"/>
          <w14:ligatures w14:val="none"/>
        </w:rPr>
        <w:t xml:space="preserve">(3), e70067. </w:t>
      </w:r>
      <w:hyperlink r:id="rId15" w:tgtFrame="_blank" w:history="1">
        <w:r w:rsidRPr="008E70ED">
          <w:rPr>
            <w:rFonts w:ascii="Times New Roman" w:eastAsia="Times New Roman" w:hAnsi="Times New Roman" w:cs="Times New Roman"/>
            <w:color w:val="0000FF"/>
            <w:kern w:val="0"/>
            <w:sz w:val="24"/>
            <w:szCs w:val="24"/>
            <w:u w:val="single"/>
            <w:lang w:val="en-US"/>
            <w14:ligatures w14:val="none"/>
          </w:rPr>
          <w:t>https://doi.org/10.1002/aff2.70067</w:t>
        </w:r>
      </w:hyperlink>
      <w:r w:rsidRPr="008E70ED">
        <w:rPr>
          <w:rFonts w:ascii="Times New Roman" w:eastAsia="Times New Roman" w:hAnsi="Times New Roman" w:cs="Times New Roman"/>
          <w:kern w:val="0"/>
          <w:sz w:val="24"/>
          <w:szCs w:val="24"/>
          <w:lang w:val="en-US"/>
          <w14:ligatures w14:val="none"/>
        </w:rPr>
        <w:t xml:space="preserve"> </w:t>
      </w:r>
    </w:p>
    <w:p w14:paraId="3CED038B"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Ogino, C., &amp; Takeda, H. (1976). Mineral requirements in fish-III: Calcium and phosphorus requirements in carp. </w:t>
      </w:r>
      <w:r w:rsidRPr="008E70ED">
        <w:rPr>
          <w:rFonts w:ascii="Times New Roman" w:eastAsia="Times New Roman" w:hAnsi="Times New Roman" w:cs="Times New Roman"/>
          <w:i/>
          <w:iCs/>
          <w:kern w:val="0"/>
          <w:sz w:val="24"/>
          <w:szCs w:val="24"/>
          <w:lang w:val="en-US"/>
          <w14:ligatures w14:val="none"/>
        </w:rPr>
        <w:t>Bulletin of the Japanese Society of Scientific Fisheries, 42</w:t>
      </w:r>
      <w:r w:rsidRPr="008E70ED">
        <w:rPr>
          <w:rFonts w:ascii="Times New Roman" w:eastAsia="Times New Roman" w:hAnsi="Times New Roman" w:cs="Times New Roman"/>
          <w:kern w:val="0"/>
          <w:sz w:val="24"/>
          <w:szCs w:val="24"/>
          <w:lang w:val="en-US"/>
          <w14:ligatures w14:val="none"/>
        </w:rPr>
        <w:t xml:space="preserve">(7), 793–799. </w:t>
      </w:r>
      <w:hyperlink r:id="rId16" w:tgtFrame="_blank" w:history="1">
        <w:r w:rsidRPr="008E70ED">
          <w:rPr>
            <w:rFonts w:ascii="Times New Roman" w:eastAsia="Times New Roman" w:hAnsi="Times New Roman" w:cs="Times New Roman"/>
            <w:color w:val="0000FF"/>
            <w:kern w:val="0"/>
            <w:sz w:val="24"/>
            <w:szCs w:val="24"/>
            <w:u w:val="single"/>
            <w:lang w:val="en-US"/>
            <w14:ligatures w14:val="none"/>
          </w:rPr>
          <w:t>https://doi.org/10.2331/suisan.42.793</w:t>
        </w:r>
      </w:hyperlink>
      <w:r w:rsidRPr="008E70ED">
        <w:rPr>
          <w:rFonts w:ascii="Times New Roman" w:eastAsia="Times New Roman" w:hAnsi="Times New Roman" w:cs="Times New Roman"/>
          <w:kern w:val="0"/>
          <w:sz w:val="24"/>
          <w:szCs w:val="24"/>
          <w:lang w:val="en-US"/>
          <w14:ligatures w14:val="none"/>
        </w:rPr>
        <w:t xml:space="preserve"> </w:t>
      </w:r>
    </w:p>
    <w:p w14:paraId="6BADBAEB"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Parveen, S., Tayyab, M., Khan, M. F., Hussain, M., Fatima, N., Khail, J., Xu, Y., Zhu, P., &amp; Shafique, L. (2025). Impact of zinc supplementation on growth, antioxidant status, and </w:t>
      </w:r>
      <w:r w:rsidRPr="008E70ED">
        <w:rPr>
          <w:rFonts w:ascii="Times New Roman" w:eastAsia="Times New Roman" w:hAnsi="Times New Roman" w:cs="Times New Roman"/>
          <w:kern w:val="0"/>
          <w:sz w:val="24"/>
          <w:szCs w:val="24"/>
          <w:lang w:val="en-US"/>
          <w14:ligatures w14:val="none"/>
        </w:rPr>
        <w:lastRenderedPageBreak/>
        <w:t xml:space="preserve">physiological health of </w:t>
      </w:r>
      <w:r w:rsidRPr="008E70ED">
        <w:rPr>
          <w:rFonts w:ascii="Times New Roman" w:eastAsia="Times New Roman" w:hAnsi="Times New Roman" w:cs="Times New Roman"/>
          <w:i/>
          <w:iCs/>
          <w:kern w:val="0"/>
          <w:sz w:val="24"/>
          <w:szCs w:val="24"/>
          <w:lang w:val="en-US"/>
          <w14:ligatures w14:val="none"/>
        </w:rPr>
        <w:t>Cyprinus carpio</w:t>
      </w:r>
      <w:r w:rsidRPr="008E70ED">
        <w:rPr>
          <w:rFonts w:ascii="Times New Roman" w:eastAsia="Times New Roman" w:hAnsi="Times New Roman" w:cs="Times New Roman"/>
          <w:kern w:val="0"/>
          <w:sz w:val="24"/>
          <w:szCs w:val="24"/>
          <w:lang w:val="en-US"/>
          <w14:ligatures w14:val="none"/>
        </w:rPr>
        <w:t xml:space="preserve"> (common carp): Evaluating the optimal dietary zinc requirements. </w:t>
      </w:r>
      <w:r w:rsidRPr="008E70ED">
        <w:rPr>
          <w:rFonts w:ascii="Times New Roman" w:eastAsia="Times New Roman" w:hAnsi="Times New Roman" w:cs="Times New Roman"/>
          <w:i/>
          <w:iCs/>
          <w:kern w:val="0"/>
          <w:sz w:val="24"/>
          <w:szCs w:val="24"/>
          <w:lang w:val="en-US"/>
          <w14:ligatures w14:val="none"/>
        </w:rPr>
        <w:t>Aquaculture Reports, 44</w:t>
      </w:r>
      <w:r w:rsidRPr="008E70ED">
        <w:rPr>
          <w:rFonts w:ascii="Times New Roman" w:eastAsia="Times New Roman" w:hAnsi="Times New Roman" w:cs="Times New Roman"/>
          <w:kern w:val="0"/>
          <w:sz w:val="24"/>
          <w:szCs w:val="24"/>
          <w:lang w:val="en-US"/>
          <w14:ligatures w14:val="none"/>
        </w:rPr>
        <w:t xml:space="preserve">, 103058. </w:t>
      </w:r>
      <w:hyperlink r:id="rId17" w:tgtFrame="_blank" w:history="1">
        <w:r w:rsidRPr="008E70ED">
          <w:rPr>
            <w:rFonts w:ascii="Times New Roman" w:eastAsia="Times New Roman" w:hAnsi="Times New Roman" w:cs="Times New Roman"/>
            <w:color w:val="0000FF"/>
            <w:kern w:val="0"/>
            <w:sz w:val="24"/>
            <w:szCs w:val="24"/>
            <w:u w:val="single"/>
            <w:lang w:val="en-US"/>
            <w14:ligatures w14:val="none"/>
          </w:rPr>
          <w:t>https://doi.org/10.1016/j.aqrep.2025.103058</w:t>
        </w:r>
      </w:hyperlink>
      <w:r w:rsidRPr="008E70ED">
        <w:rPr>
          <w:rFonts w:ascii="Times New Roman" w:eastAsia="Times New Roman" w:hAnsi="Times New Roman" w:cs="Times New Roman"/>
          <w:kern w:val="0"/>
          <w:sz w:val="24"/>
          <w:szCs w:val="24"/>
          <w:lang w:val="en-US"/>
          <w14:ligatures w14:val="none"/>
        </w:rPr>
        <w:t xml:space="preserve"> </w:t>
      </w:r>
    </w:p>
    <w:p w14:paraId="02E8B7E5"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Patra, B. C., Maity, J., Debnath, J., &amp; Patra, S. (2002). Making aquatic weeds useful II: </w:t>
      </w:r>
      <w:proofErr w:type="spellStart"/>
      <w:r w:rsidRPr="008E70ED">
        <w:rPr>
          <w:rFonts w:ascii="Times New Roman" w:eastAsia="Times New Roman" w:hAnsi="Times New Roman" w:cs="Times New Roman"/>
          <w:i/>
          <w:iCs/>
          <w:kern w:val="0"/>
          <w:sz w:val="24"/>
          <w:szCs w:val="24"/>
          <w:lang w:val="en-US"/>
          <w14:ligatures w14:val="none"/>
        </w:rPr>
        <w:t>Nymphoides</w:t>
      </w:r>
      <w:proofErr w:type="spellEnd"/>
      <w:r w:rsidRPr="008E70ED">
        <w:rPr>
          <w:rFonts w:ascii="Times New Roman" w:eastAsia="Times New Roman" w:hAnsi="Times New Roman" w:cs="Times New Roman"/>
          <w:i/>
          <w:iCs/>
          <w:kern w:val="0"/>
          <w:sz w:val="24"/>
          <w:szCs w:val="24"/>
          <w:lang w:val="en-US"/>
          <w14:ligatures w14:val="none"/>
        </w:rPr>
        <w:t xml:space="preserve"> </w:t>
      </w:r>
      <w:proofErr w:type="spellStart"/>
      <w:r w:rsidRPr="008E70ED">
        <w:rPr>
          <w:rFonts w:ascii="Times New Roman" w:eastAsia="Times New Roman" w:hAnsi="Times New Roman" w:cs="Times New Roman"/>
          <w:i/>
          <w:iCs/>
          <w:kern w:val="0"/>
          <w:sz w:val="24"/>
          <w:szCs w:val="24"/>
          <w:lang w:val="en-US"/>
          <w14:ligatures w14:val="none"/>
        </w:rPr>
        <w:t>cristatum</w:t>
      </w:r>
      <w:proofErr w:type="spellEnd"/>
      <w:r w:rsidRPr="008E70ED">
        <w:rPr>
          <w:rFonts w:ascii="Times New Roman" w:eastAsia="Times New Roman" w:hAnsi="Times New Roman" w:cs="Times New Roman"/>
          <w:kern w:val="0"/>
          <w:sz w:val="24"/>
          <w:szCs w:val="24"/>
          <w:lang w:val="en-US"/>
          <w14:ligatures w14:val="none"/>
        </w:rPr>
        <w:t xml:space="preserve"> (</w:t>
      </w:r>
      <w:proofErr w:type="spellStart"/>
      <w:r w:rsidRPr="008E70ED">
        <w:rPr>
          <w:rFonts w:ascii="Times New Roman" w:eastAsia="Times New Roman" w:hAnsi="Times New Roman" w:cs="Times New Roman"/>
          <w:kern w:val="0"/>
          <w:sz w:val="24"/>
          <w:szCs w:val="24"/>
          <w:lang w:val="en-US"/>
          <w14:ligatures w14:val="none"/>
        </w:rPr>
        <w:t>Roxb</w:t>
      </w:r>
      <w:proofErr w:type="spellEnd"/>
      <w:r w:rsidRPr="008E70ED">
        <w:rPr>
          <w:rFonts w:ascii="Times New Roman" w:eastAsia="Times New Roman" w:hAnsi="Times New Roman" w:cs="Times New Roman"/>
          <w:kern w:val="0"/>
          <w:sz w:val="24"/>
          <w:szCs w:val="24"/>
          <w:lang w:val="en-US"/>
          <w14:ligatures w14:val="none"/>
        </w:rPr>
        <w:t xml:space="preserve">.) O. Kuntze as feed for an Indian major carp </w:t>
      </w:r>
      <w:proofErr w:type="spellStart"/>
      <w:r w:rsidRPr="008E70ED">
        <w:rPr>
          <w:rFonts w:ascii="Times New Roman" w:eastAsia="Times New Roman" w:hAnsi="Times New Roman" w:cs="Times New Roman"/>
          <w:i/>
          <w:iCs/>
          <w:kern w:val="0"/>
          <w:sz w:val="24"/>
          <w:szCs w:val="24"/>
          <w:lang w:val="en-US"/>
          <w14:ligatures w14:val="none"/>
        </w:rPr>
        <w:t>Labeo</w:t>
      </w:r>
      <w:proofErr w:type="spellEnd"/>
      <w:r w:rsidRPr="008E70ED">
        <w:rPr>
          <w:rFonts w:ascii="Times New Roman" w:eastAsia="Times New Roman" w:hAnsi="Times New Roman" w:cs="Times New Roman"/>
          <w:i/>
          <w:iCs/>
          <w:kern w:val="0"/>
          <w:sz w:val="24"/>
          <w:szCs w:val="24"/>
          <w:lang w:val="en-US"/>
          <w14:ligatures w14:val="none"/>
        </w:rPr>
        <w:t xml:space="preserve"> </w:t>
      </w:r>
      <w:proofErr w:type="spellStart"/>
      <w:r w:rsidRPr="008E70ED">
        <w:rPr>
          <w:rFonts w:ascii="Times New Roman" w:eastAsia="Times New Roman" w:hAnsi="Times New Roman" w:cs="Times New Roman"/>
          <w:i/>
          <w:iCs/>
          <w:kern w:val="0"/>
          <w:sz w:val="24"/>
          <w:szCs w:val="24"/>
          <w:lang w:val="en-US"/>
          <w14:ligatures w14:val="none"/>
        </w:rPr>
        <w:t>rohita</w:t>
      </w:r>
      <w:proofErr w:type="spellEnd"/>
      <w:r w:rsidRPr="008E70ED">
        <w:rPr>
          <w:rFonts w:ascii="Times New Roman" w:eastAsia="Times New Roman" w:hAnsi="Times New Roman" w:cs="Times New Roman"/>
          <w:kern w:val="0"/>
          <w:sz w:val="24"/>
          <w:szCs w:val="24"/>
          <w:lang w:val="en-US"/>
          <w14:ligatures w14:val="none"/>
        </w:rPr>
        <w:t xml:space="preserve"> (Hamilton). </w:t>
      </w:r>
      <w:r w:rsidRPr="008E70ED">
        <w:rPr>
          <w:rFonts w:ascii="Times New Roman" w:eastAsia="Times New Roman" w:hAnsi="Times New Roman" w:cs="Times New Roman"/>
          <w:i/>
          <w:iCs/>
          <w:kern w:val="0"/>
          <w:sz w:val="24"/>
          <w:szCs w:val="24"/>
          <w:lang w:val="en-US"/>
          <w14:ligatures w14:val="none"/>
        </w:rPr>
        <w:t>Aquaculture Nutrition, 8</w:t>
      </w:r>
      <w:r w:rsidRPr="008E70ED">
        <w:rPr>
          <w:rFonts w:ascii="Times New Roman" w:eastAsia="Times New Roman" w:hAnsi="Times New Roman" w:cs="Times New Roman"/>
          <w:kern w:val="0"/>
          <w:sz w:val="24"/>
          <w:szCs w:val="24"/>
          <w:lang w:val="en-US"/>
          <w14:ligatures w14:val="none"/>
        </w:rPr>
        <w:t xml:space="preserve">(1), 33–42. </w:t>
      </w:r>
      <w:hyperlink r:id="rId18" w:tgtFrame="_blank" w:history="1">
        <w:r w:rsidRPr="008E70ED">
          <w:rPr>
            <w:rFonts w:ascii="Times New Roman" w:eastAsia="Times New Roman" w:hAnsi="Times New Roman" w:cs="Times New Roman"/>
            <w:color w:val="0000FF"/>
            <w:kern w:val="0"/>
            <w:sz w:val="24"/>
            <w:szCs w:val="24"/>
            <w:u w:val="single"/>
            <w:lang w:val="en-US"/>
            <w14:ligatures w14:val="none"/>
          </w:rPr>
          <w:t>https://doi.org/10.1046/j.1365-2095.2002.00180.x</w:t>
        </w:r>
      </w:hyperlink>
      <w:r w:rsidRPr="008E70ED">
        <w:rPr>
          <w:rFonts w:ascii="Times New Roman" w:eastAsia="Times New Roman" w:hAnsi="Times New Roman" w:cs="Times New Roman"/>
          <w:kern w:val="0"/>
          <w:sz w:val="24"/>
          <w:szCs w:val="24"/>
          <w:lang w:val="en-US"/>
          <w14:ligatures w14:val="none"/>
        </w:rPr>
        <w:t xml:space="preserve"> </w:t>
      </w:r>
    </w:p>
    <w:p w14:paraId="34E37CAC" w14:textId="7FBF31AD"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Shahabuddin, M., Miah, M. S., &amp; Alam, M. S. (1994). Study on production optimization through polyculture of indigenous and exotic </w:t>
      </w:r>
      <w:proofErr w:type="spellStart"/>
      <w:r w:rsidRPr="008E70ED">
        <w:rPr>
          <w:rFonts w:ascii="Times New Roman" w:eastAsia="Times New Roman" w:hAnsi="Times New Roman" w:cs="Times New Roman"/>
          <w:kern w:val="0"/>
          <w:sz w:val="24"/>
          <w:szCs w:val="24"/>
          <w:lang w:val="en-US"/>
          <w14:ligatures w14:val="none"/>
        </w:rPr>
        <w:t>carps</w:t>
      </w:r>
      <w:proofErr w:type="spellEnd"/>
      <w:r w:rsidRPr="008E70ED">
        <w:rPr>
          <w:rFonts w:ascii="Times New Roman" w:eastAsia="Times New Roman" w:hAnsi="Times New Roman" w:cs="Times New Roman"/>
          <w:kern w:val="0"/>
          <w:sz w:val="24"/>
          <w:szCs w:val="24"/>
          <w:lang w:val="en-US"/>
          <w14:ligatures w14:val="none"/>
        </w:rPr>
        <w:t xml:space="preserve">. </w:t>
      </w:r>
      <w:r w:rsidRPr="008E70ED">
        <w:rPr>
          <w:rFonts w:ascii="Times New Roman" w:eastAsia="Times New Roman" w:hAnsi="Times New Roman" w:cs="Times New Roman"/>
          <w:i/>
          <w:iCs/>
          <w:kern w:val="0"/>
          <w:sz w:val="24"/>
          <w:szCs w:val="24"/>
          <w:lang w:val="en-US"/>
          <w14:ligatures w14:val="none"/>
        </w:rPr>
        <w:t>Bangladesh Journal of Training and Development, 7</w:t>
      </w:r>
      <w:r w:rsidRPr="008E70ED">
        <w:rPr>
          <w:rFonts w:ascii="Times New Roman" w:eastAsia="Times New Roman" w:hAnsi="Times New Roman" w:cs="Times New Roman"/>
          <w:kern w:val="0"/>
          <w:sz w:val="24"/>
          <w:szCs w:val="24"/>
          <w:lang w:val="en-US"/>
          <w14:ligatures w14:val="none"/>
        </w:rPr>
        <w:t xml:space="preserve">(2), 67–72. </w:t>
      </w:r>
    </w:p>
    <w:p w14:paraId="163299F9"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Siahaan, D. P., </w:t>
      </w:r>
      <w:proofErr w:type="spellStart"/>
      <w:r w:rsidRPr="008E70ED">
        <w:rPr>
          <w:rFonts w:ascii="Times New Roman" w:eastAsia="Times New Roman" w:hAnsi="Times New Roman" w:cs="Times New Roman"/>
          <w:kern w:val="0"/>
          <w:sz w:val="24"/>
          <w:szCs w:val="24"/>
          <w:lang w:val="en-US"/>
          <w14:ligatures w14:val="none"/>
        </w:rPr>
        <w:t>Subandiyono</w:t>
      </w:r>
      <w:proofErr w:type="spellEnd"/>
      <w:r w:rsidRPr="008E70ED">
        <w:rPr>
          <w:rFonts w:ascii="Times New Roman" w:eastAsia="Times New Roman" w:hAnsi="Times New Roman" w:cs="Times New Roman"/>
          <w:kern w:val="0"/>
          <w:sz w:val="24"/>
          <w:szCs w:val="24"/>
          <w:lang w:val="en-US"/>
          <w14:ligatures w14:val="none"/>
        </w:rPr>
        <w:t xml:space="preserve">, S., Amalia, R., &amp; </w:t>
      </w:r>
      <w:proofErr w:type="spellStart"/>
      <w:r w:rsidRPr="008E70ED">
        <w:rPr>
          <w:rFonts w:ascii="Times New Roman" w:eastAsia="Times New Roman" w:hAnsi="Times New Roman" w:cs="Times New Roman"/>
          <w:kern w:val="0"/>
          <w:sz w:val="24"/>
          <w:szCs w:val="24"/>
          <w:lang w:val="en-US"/>
          <w14:ligatures w14:val="none"/>
        </w:rPr>
        <w:t>Hastuti</w:t>
      </w:r>
      <w:proofErr w:type="spellEnd"/>
      <w:r w:rsidRPr="008E70ED">
        <w:rPr>
          <w:rFonts w:ascii="Times New Roman" w:eastAsia="Times New Roman" w:hAnsi="Times New Roman" w:cs="Times New Roman"/>
          <w:kern w:val="0"/>
          <w:sz w:val="24"/>
          <w:szCs w:val="24"/>
          <w:lang w:val="en-US"/>
          <w14:ligatures w14:val="none"/>
        </w:rPr>
        <w:t xml:space="preserve">, S. (2024). Impact of dietary protein on total feed consumption, utilization, protein retention, and growth performance of </w:t>
      </w:r>
      <w:proofErr w:type="spellStart"/>
      <w:r w:rsidRPr="008E70ED">
        <w:rPr>
          <w:rFonts w:ascii="Times New Roman" w:eastAsia="Times New Roman" w:hAnsi="Times New Roman" w:cs="Times New Roman"/>
          <w:kern w:val="0"/>
          <w:sz w:val="24"/>
          <w:szCs w:val="24"/>
          <w:lang w:val="en-US"/>
          <w14:ligatures w14:val="none"/>
        </w:rPr>
        <w:t>Nilem</w:t>
      </w:r>
      <w:proofErr w:type="spellEnd"/>
      <w:r w:rsidRPr="008E70ED">
        <w:rPr>
          <w:rFonts w:ascii="Times New Roman" w:eastAsia="Times New Roman" w:hAnsi="Times New Roman" w:cs="Times New Roman"/>
          <w:kern w:val="0"/>
          <w:sz w:val="24"/>
          <w:szCs w:val="24"/>
          <w:lang w:val="en-US"/>
          <w14:ligatures w14:val="none"/>
        </w:rPr>
        <w:t xml:space="preserve"> carp (</w:t>
      </w:r>
      <w:proofErr w:type="spellStart"/>
      <w:r w:rsidRPr="008E70ED">
        <w:rPr>
          <w:rFonts w:ascii="Times New Roman" w:eastAsia="Times New Roman" w:hAnsi="Times New Roman" w:cs="Times New Roman"/>
          <w:i/>
          <w:iCs/>
          <w:kern w:val="0"/>
          <w:sz w:val="24"/>
          <w:szCs w:val="24"/>
          <w:lang w:val="en-US"/>
          <w14:ligatures w14:val="none"/>
        </w:rPr>
        <w:t>Osteochilus</w:t>
      </w:r>
      <w:proofErr w:type="spellEnd"/>
      <w:r w:rsidRPr="008E70ED">
        <w:rPr>
          <w:rFonts w:ascii="Times New Roman" w:eastAsia="Times New Roman" w:hAnsi="Times New Roman" w:cs="Times New Roman"/>
          <w:i/>
          <w:iCs/>
          <w:kern w:val="0"/>
          <w:sz w:val="24"/>
          <w:szCs w:val="24"/>
          <w:lang w:val="en-US"/>
          <w14:ligatures w14:val="none"/>
        </w:rPr>
        <w:t xml:space="preserve"> vittatus</w:t>
      </w:r>
      <w:r w:rsidRPr="008E70ED">
        <w:rPr>
          <w:rFonts w:ascii="Times New Roman" w:eastAsia="Times New Roman" w:hAnsi="Times New Roman" w:cs="Times New Roman"/>
          <w:kern w:val="0"/>
          <w:sz w:val="24"/>
          <w:szCs w:val="24"/>
          <w:lang w:val="en-US"/>
          <w14:ligatures w14:val="none"/>
        </w:rPr>
        <w:t xml:space="preserve">) fingerlings. </w:t>
      </w:r>
      <w:r w:rsidRPr="008E70ED">
        <w:rPr>
          <w:rFonts w:ascii="Times New Roman" w:eastAsia="Times New Roman" w:hAnsi="Times New Roman" w:cs="Times New Roman"/>
          <w:i/>
          <w:iCs/>
          <w:kern w:val="0"/>
          <w:sz w:val="24"/>
          <w:szCs w:val="24"/>
          <w:lang w:val="en-US"/>
          <w14:ligatures w14:val="none"/>
        </w:rPr>
        <w:t>Journal of Advances in Food Science &amp; Technology, 11</w:t>
      </w:r>
      <w:r w:rsidRPr="008E70ED">
        <w:rPr>
          <w:rFonts w:ascii="Times New Roman" w:eastAsia="Times New Roman" w:hAnsi="Times New Roman" w:cs="Times New Roman"/>
          <w:kern w:val="0"/>
          <w:sz w:val="24"/>
          <w:szCs w:val="24"/>
          <w:lang w:val="en-US"/>
          <w14:ligatures w14:val="none"/>
        </w:rPr>
        <w:t xml:space="preserve">(4), 12–18. </w:t>
      </w:r>
      <w:hyperlink r:id="rId19" w:tgtFrame="_blank" w:history="1">
        <w:r w:rsidRPr="008E70ED">
          <w:rPr>
            <w:rFonts w:ascii="Times New Roman" w:eastAsia="Times New Roman" w:hAnsi="Times New Roman" w:cs="Times New Roman"/>
            <w:color w:val="0000FF"/>
            <w:kern w:val="0"/>
            <w:sz w:val="24"/>
            <w:szCs w:val="24"/>
            <w:u w:val="single"/>
            <w:lang w:val="en-US"/>
            <w14:ligatures w14:val="none"/>
          </w:rPr>
          <w:t>https://doi.org/10.56557/jafsat/2024/v11i48858</w:t>
        </w:r>
      </w:hyperlink>
      <w:r w:rsidRPr="008E70ED">
        <w:rPr>
          <w:rFonts w:ascii="Times New Roman" w:eastAsia="Times New Roman" w:hAnsi="Times New Roman" w:cs="Times New Roman"/>
          <w:kern w:val="0"/>
          <w:sz w:val="24"/>
          <w:szCs w:val="24"/>
          <w:lang w:val="en-US"/>
          <w14:ligatures w14:val="none"/>
        </w:rPr>
        <w:t xml:space="preserve"> </w:t>
      </w:r>
    </w:p>
    <w:p w14:paraId="57D34220" w14:textId="3F46B74C"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Biswas, G., Jena, J. K., Singh, S. K., &amp; Muduli, H. K. (2006). Effect of feeding frequency on growth, survival and feed utilization in fingerlings of </w:t>
      </w:r>
      <w:proofErr w:type="spellStart"/>
      <w:r w:rsidRPr="008E70ED">
        <w:rPr>
          <w:rFonts w:ascii="Times New Roman" w:eastAsia="Times New Roman" w:hAnsi="Times New Roman" w:cs="Times New Roman"/>
          <w:i/>
          <w:iCs/>
          <w:kern w:val="0"/>
          <w:sz w:val="24"/>
          <w:szCs w:val="24"/>
          <w:lang w:val="en-US"/>
          <w14:ligatures w14:val="none"/>
        </w:rPr>
        <w:t>Catla</w:t>
      </w:r>
      <w:proofErr w:type="spellEnd"/>
      <w:r w:rsidRPr="008E70ED">
        <w:rPr>
          <w:rFonts w:ascii="Times New Roman" w:eastAsia="Times New Roman" w:hAnsi="Times New Roman" w:cs="Times New Roman"/>
          <w:i/>
          <w:iCs/>
          <w:kern w:val="0"/>
          <w:sz w:val="24"/>
          <w:szCs w:val="24"/>
          <w:lang w:val="en-US"/>
          <w14:ligatures w14:val="none"/>
        </w:rPr>
        <w:t xml:space="preserve"> </w:t>
      </w:r>
      <w:proofErr w:type="spellStart"/>
      <w:r w:rsidRPr="008E70ED">
        <w:rPr>
          <w:rFonts w:ascii="Times New Roman" w:eastAsia="Times New Roman" w:hAnsi="Times New Roman" w:cs="Times New Roman"/>
          <w:i/>
          <w:iCs/>
          <w:kern w:val="0"/>
          <w:sz w:val="24"/>
          <w:szCs w:val="24"/>
          <w:lang w:val="en-US"/>
          <w14:ligatures w14:val="none"/>
        </w:rPr>
        <w:t>catla</w:t>
      </w:r>
      <w:proofErr w:type="spellEnd"/>
      <w:r w:rsidRPr="008E70ED">
        <w:rPr>
          <w:rFonts w:ascii="Times New Roman" w:eastAsia="Times New Roman" w:hAnsi="Times New Roman" w:cs="Times New Roman"/>
          <w:kern w:val="0"/>
          <w:sz w:val="24"/>
          <w:szCs w:val="24"/>
          <w:lang w:val="en-US"/>
          <w14:ligatures w14:val="none"/>
        </w:rPr>
        <w:t xml:space="preserve"> (Hamilton), </w:t>
      </w:r>
      <w:proofErr w:type="spellStart"/>
      <w:r w:rsidRPr="008E70ED">
        <w:rPr>
          <w:rFonts w:ascii="Times New Roman" w:eastAsia="Times New Roman" w:hAnsi="Times New Roman" w:cs="Times New Roman"/>
          <w:i/>
          <w:iCs/>
          <w:kern w:val="0"/>
          <w:sz w:val="24"/>
          <w:szCs w:val="24"/>
          <w:lang w:val="en-US"/>
          <w14:ligatures w14:val="none"/>
        </w:rPr>
        <w:t>Labeo</w:t>
      </w:r>
      <w:proofErr w:type="spellEnd"/>
      <w:r w:rsidRPr="008E70ED">
        <w:rPr>
          <w:rFonts w:ascii="Times New Roman" w:eastAsia="Times New Roman" w:hAnsi="Times New Roman" w:cs="Times New Roman"/>
          <w:i/>
          <w:iCs/>
          <w:kern w:val="0"/>
          <w:sz w:val="24"/>
          <w:szCs w:val="24"/>
          <w:lang w:val="en-US"/>
          <w14:ligatures w14:val="none"/>
        </w:rPr>
        <w:t xml:space="preserve"> </w:t>
      </w:r>
      <w:proofErr w:type="spellStart"/>
      <w:r w:rsidRPr="008E70ED">
        <w:rPr>
          <w:rFonts w:ascii="Times New Roman" w:eastAsia="Times New Roman" w:hAnsi="Times New Roman" w:cs="Times New Roman"/>
          <w:i/>
          <w:iCs/>
          <w:kern w:val="0"/>
          <w:sz w:val="24"/>
          <w:szCs w:val="24"/>
          <w:lang w:val="en-US"/>
          <w14:ligatures w14:val="none"/>
        </w:rPr>
        <w:t>rohita</w:t>
      </w:r>
      <w:proofErr w:type="spellEnd"/>
      <w:r w:rsidRPr="008E70ED">
        <w:rPr>
          <w:rFonts w:ascii="Times New Roman" w:eastAsia="Times New Roman" w:hAnsi="Times New Roman" w:cs="Times New Roman"/>
          <w:kern w:val="0"/>
          <w:sz w:val="24"/>
          <w:szCs w:val="24"/>
          <w:lang w:val="en-US"/>
          <w14:ligatures w14:val="none"/>
        </w:rPr>
        <w:t xml:space="preserve"> (Hamilton) and </w:t>
      </w:r>
      <w:proofErr w:type="spellStart"/>
      <w:r w:rsidRPr="008E70ED">
        <w:rPr>
          <w:rFonts w:ascii="Times New Roman" w:eastAsia="Times New Roman" w:hAnsi="Times New Roman" w:cs="Times New Roman"/>
          <w:i/>
          <w:iCs/>
          <w:kern w:val="0"/>
          <w:sz w:val="24"/>
          <w:szCs w:val="24"/>
          <w:lang w:val="en-US"/>
          <w14:ligatures w14:val="none"/>
        </w:rPr>
        <w:t>Cirrhinus</w:t>
      </w:r>
      <w:proofErr w:type="spellEnd"/>
      <w:r w:rsidRPr="008E70ED">
        <w:rPr>
          <w:rFonts w:ascii="Times New Roman" w:eastAsia="Times New Roman" w:hAnsi="Times New Roman" w:cs="Times New Roman"/>
          <w:i/>
          <w:iCs/>
          <w:kern w:val="0"/>
          <w:sz w:val="24"/>
          <w:szCs w:val="24"/>
          <w:lang w:val="en-US"/>
          <w14:ligatures w14:val="none"/>
        </w:rPr>
        <w:t xml:space="preserve"> </w:t>
      </w:r>
      <w:proofErr w:type="spellStart"/>
      <w:r w:rsidRPr="008E70ED">
        <w:rPr>
          <w:rFonts w:ascii="Times New Roman" w:eastAsia="Times New Roman" w:hAnsi="Times New Roman" w:cs="Times New Roman"/>
          <w:i/>
          <w:iCs/>
          <w:kern w:val="0"/>
          <w:sz w:val="24"/>
          <w:szCs w:val="24"/>
          <w:lang w:val="en-US"/>
          <w14:ligatures w14:val="none"/>
        </w:rPr>
        <w:t>mrigala</w:t>
      </w:r>
      <w:proofErr w:type="spellEnd"/>
      <w:r w:rsidRPr="008E70ED">
        <w:rPr>
          <w:rFonts w:ascii="Times New Roman" w:eastAsia="Times New Roman" w:hAnsi="Times New Roman" w:cs="Times New Roman"/>
          <w:kern w:val="0"/>
          <w:sz w:val="24"/>
          <w:szCs w:val="24"/>
          <w:lang w:val="en-US"/>
          <w14:ligatures w14:val="none"/>
        </w:rPr>
        <w:t xml:space="preserve"> (Hamilton) in outdoor rearing systems. </w:t>
      </w:r>
      <w:r w:rsidRPr="008E70ED">
        <w:rPr>
          <w:rFonts w:ascii="Times New Roman" w:eastAsia="Times New Roman" w:hAnsi="Times New Roman" w:cs="Times New Roman"/>
          <w:i/>
          <w:iCs/>
          <w:kern w:val="0"/>
          <w:sz w:val="24"/>
          <w:szCs w:val="24"/>
          <w:lang w:val="en-US"/>
          <w14:ligatures w14:val="none"/>
        </w:rPr>
        <w:t>Aquaculture Research, 37</w:t>
      </w:r>
      <w:r w:rsidRPr="008E70ED">
        <w:rPr>
          <w:rFonts w:ascii="Times New Roman" w:eastAsia="Times New Roman" w:hAnsi="Times New Roman" w:cs="Times New Roman"/>
          <w:kern w:val="0"/>
          <w:sz w:val="24"/>
          <w:szCs w:val="24"/>
          <w:lang w:val="en-US"/>
          <w14:ligatures w14:val="none"/>
        </w:rPr>
        <w:t>, 510–514. https://doi.org/10.1111/j.1365-2109.2006.01457.x</w:t>
      </w:r>
    </w:p>
    <w:p w14:paraId="5E9CABFA"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Vijayan, A., Pandey, A., &amp; Chahal, U. S. (2025). Dietary supplementation of formulated fish specific mineral mixture improved growth and health status of Indian major carps. </w:t>
      </w:r>
      <w:r w:rsidRPr="008E70ED">
        <w:rPr>
          <w:rFonts w:ascii="Times New Roman" w:eastAsia="Times New Roman" w:hAnsi="Times New Roman" w:cs="Times New Roman"/>
          <w:i/>
          <w:iCs/>
          <w:kern w:val="0"/>
          <w:sz w:val="24"/>
          <w:szCs w:val="24"/>
          <w:lang w:val="en-US"/>
          <w14:ligatures w14:val="none"/>
        </w:rPr>
        <w:t>The Indian Journal of Animal Sciences, 95</w:t>
      </w:r>
      <w:r w:rsidRPr="008E70ED">
        <w:rPr>
          <w:rFonts w:ascii="Times New Roman" w:eastAsia="Times New Roman" w:hAnsi="Times New Roman" w:cs="Times New Roman"/>
          <w:kern w:val="0"/>
          <w:sz w:val="24"/>
          <w:szCs w:val="24"/>
          <w:lang w:val="en-US"/>
          <w14:ligatures w14:val="none"/>
        </w:rPr>
        <w:t xml:space="preserve">(4), 339–343. </w:t>
      </w:r>
      <w:hyperlink r:id="rId20" w:tgtFrame="_blank" w:history="1">
        <w:r w:rsidRPr="008E70ED">
          <w:rPr>
            <w:rFonts w:ascii="Times New Roman" w:eastAsia="Times New Roman" w:hAnsi="Times New Roman" w:cs="Times New Roman"/>
            <w:color w:val="0000FF"/>
            <w:kern w:val="0"/>
            <w:sz w:val="24"/>
            <w:szCs w:val="24"/>
            <w:u w:val="single"/>
            <w:lang w:val="en-US"/>
            <w14:ligatures w14:val="none"/>
          </w:rPr>
          <w:t>https://doi.org/10.56093/ijans.v95i3.156172</w:t>
        </w:r>
      </w:hyperlink>
      <w:r w:rsidRPr="008E70ED">
        <w:rPr>
          <w:rFonts w:ascii="Times New Roman" w:eastAsia="Times New Roman" w:hAnsi="Times New Roman" w:cs="Times New Roman"/>
          <w:kern w:val="0"/>
          <w:sz w:val="24"/>
          <w:szCs w:val="24"/>
          <w:lang w:val="en-US"/>
          <w14:ligatures w14:val="none"/>
        </w:rPr>
        <w:t xml:space="preserve"> </w:t>
      </w:r>
    </w:p>
    <w:p w14:paraId="3B7E744E" w14:textId="77777777" w:rsidR="008E70ED" w:rsidRPr="008E70ED" w:rsidRDefault="008E70ED" w:rsidP="008E70E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8E70ED">
        <w:rPr>
          <w:rFonts w:ascii="Times New Roman" w:eastAsia="Times New Roman" w:hAnsi="Times New Roman" w:cs="Times New Roman"/>
          <w:kern w:val="0"/>
          <w:sz w:val="24"/>
          <w:szCs w:val="24"/>
          <w:lang w:val="en-US"/>
          <w14:ligatures w14:val="none"/>
        </w:rPr>
        <w:t xml:space="preserve">Watanabe, T., Kiron, V., &amp; Satoh, S. (1997). Trace minerals in fish nutrition. </w:t>
      </w:r>
      <w:r w:rsidRPr="008E70ED">
        <w:rPr>
          <w:rFonts w:ascii="Times New Roman" w:eastAsia="Times New Roman" w:hAnsi="Times New Roman" w:cs="Times New Roman"/>
          <w:i/>
          <w:iCs/>
          <w:kern w:val="0"/>
          <w:sz w:val="24"/>
          <w:szCs w:val="24"/>
          <w:lang w:val="en-US"/>
          <w14:ligatures w14:val="none"/>
        </w:rPr>
        <w:t>Aquaculture, 151</w:t>
      </w:r>
      <w:r w:rsidRPr="008E70ED">
        <w:rPr>
          <w:rFonts w:ascii="Times New Roman" w:eastAsia="Times New Roman" w:hAnsi="Times New Roman" w:cs="Times New Roman"/>
          <w:kern w:val="0"/>
          <w:sz w:val="24"/>
          <w:szCs w:val="24"/>
          <w:lang w:val="en-US"/>
          <w14:ligatures w14:val="none"/>
        </w:rPr>
        <w:t>(1–4), 185–207. https://doi.org/10.1016/S0044-8486(96)01503-7</w:t>
      </w:r>
    </w:p>
    <w:p w14:paraId="0955476F" w14:textId="77777777" w:rsidR="00B9435F" w:rsidRPr="00441B46" w:rsidRDefault="00B9435F" w:rsidP="00F25248">
      <w:pPr>
        <w:spacing w:after="0" w:line="360" w:lineRule="auto"/>
        <w:contextualSpacing/>
        <w:jc w:val="both"/>
        <w:rPr>
          <w:rFonts w:ascii="Times New Roman" w:hAnsi="Times New Roman" w:cs="Times New Roman"/>
          <w:color w:val="000000"/>
          <w:sz w:val="24"/>
          <w:szCs w:val="24"/>
        </w:rPr>
      </w:pPr>
    </w:p>
    <w:sectPr w:rsidR="00B9435F" w:rsidRPr="00441B46">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05520" w14:textId="77777777" w:rsidR="009124EB" w:rsidRDefault="009124EB" w:rsidP="00626835">
      <w:pPr>
        <w:spacing w:after="0" w:line="240" w:lineRule="auto"/>
      </w:pPr>
      <w:r>
        <w:separator/>
      </w:r>
    </w:p>
  </w:endnote>
  <w:endnote w:type="continuationSeparator" w:id="0">
    <w:p w14:paraId="42FE15BC" w14:textId="77777777" w:rsidR="009124EB" w:rsidRDefault="009124EB" w:rsidP="0062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EB0A" w14:textId="77777777" w:rsidR="0012149F" w:rsidRDefault="00121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784829"/>
      <w:docPartObj>
        <w:docPartGallery w:val="Page Numbers (Bottom of Page)"/>
        <w:docPartUnique/>
      </w:docPartObj>
    </w:sdtPr>
    <w:sdtEndPr>
      <w:rPr>
        <w:rFonts w:ascii="Times New Roman" w:hAnsi="Times New Roman" w:cs="Times New Roman"/>
        <w:b/>
        <w:noProof/>
        <w:sz w:val="24"/>
      </w:rPr>
    </w:sdtEndPr>
    <w:sdtContent>
      <w:p w14:paraId="664D039C" w14:textId="77777777" w:rsidR="00B95AD6" w:rsidRPr="00626835" w:rsidRDefault="00B95AD6">
        <w:pPr>
          <w:pStyle w:val="Footer"/>
          <w:jc w:val="center"/>
          <w:rPr>
            <w:rFonts w:ascii="Times New Roman" w:hAnsi="Times New Roman" w:cs="Times New Roman"/>
            <w:b/>
            <w:sz w:val="24"/>
          </w:rPr>
        </w:pPr>
        <w:r w:rsidRPr="00626835">
          <w:rPr>
            <w:rFonts w:ascii="Times New Roman" w:hAnsi="Times New Roman" w:cs="Times New Roman"/>
            <w:b/>
            <w:sz w:val="24"/>
          </w:rPr>
          <w:fldChar w:fldCharType="begin"/>
        </w:r>
        <w:r w:rsidRPr="00626835">
          <w:rPr>
            <w:rFonts w:ascii="Times New Roman" w:hAnsi="Times New Roman" w:cs="Times New Roman"/>
            <w:b/>
            <w:sz w:val="24"/>
          </w:rPr>
          <w:instrText xml:space="preserve"> PAGE   \* MERGEFORMAT </w:instrText>
        </w:r>
        <w:r w:rsidRPr="00626835">
          <w:rPr>
            <w:rFonts w:ascii="Times New Roman" w:hAnsi="Times New Roman" w:cs="Times New Roman"/>
            <w:b/>
            <w:sz w:val="24"/>
          </w:rPr>
          <w:fldChar w:fldCharType="separate"/>
        </w:r>
        <w:r w:rsidR="0049682C">
          <w:rPr>
            <w:rFonts w:ascii="Times New Roman" w:hAnsi="Times New Roman" w:cs="Times New Roman"/>
            <w:b/>
            <w:noProof/>
            <w:sz w:val="24"/>
          </w:rPr>
          <w:t>1</w:t>
        </w:r>
        <w:r w:rsidRPr="00626835">
          <w:rPr>
            <w:rFonts w:ascii="Times New Roman" w:hAnsi="Times New Roman" w:cs="Times New Roman"/>
            <w:b/>
            <w:noProof/>
            <w:sz w:val="24"/>
          </w:rPr>
          <w:fldChar w:fldCharType="end"/>
        </w:r>
      </w:p>
    </w:sdtContent>
  </w:sdt>
  <w:p w14:paraId="33905E1A" w14:textId="77777777" w:rsidR="00B95AD6" w:rsidRDefault="00B95A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E5A3" w14:textId="77777777" w:rsidR="0012149F" w:rsidRDefault="00121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7A6A" w14:textId="77777777" w:rsidR="009124EB" w:rsidRDefault="009124EB" w:rsidP="00626835">
      <w:pPr>
        <w:spacing w:after="0" w:line="240" w:lineRule="auto"/>
      </w:pPr>
      <w:r>
        <w:separator/>
      </w:r>
    </w:p>
  </w:footnote>
  <w:footnote w:type="continuationSeparator" w:id="0">
    <w:p w14:paraId="3F0B7925" w14:textId="77777777" w:rsidR="009124EB" w:rsidRDefault="009124EB" w:rsidP="00626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B8D53" w14:textId="77777777" w:rsidR="0012149F" w:rsidRDefault="00000000">
    <w:pPr>
      <w:pStyle w:val="Header"/>
    </w:pPr>
    <w:r>
      <w:rPr>
        <w:noProof/>
      </w:rPr>
      <w:pict w14:anchorId="154D91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88873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2313" w14:textId="77777777" w:rsidR="0012149F" w:rsidRDefault="00000000">
    <w:pPr>
      <w:pStyle w:val="Header"/>
    </w:pPr>
    <w:r>
      <w:rPr>
        <w:noProof/>
      </w:rPr>
      <w:pict w14:anchorId="1D3009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88873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C15D" w14:textId="77777777" w:rsidR="0012149F" w:rsidRDefault="00000000">
    <w:pPr>
      <w:pStyle w:val="Header"/>
    </w:pPr>
    <w:r>
      <w:rPr>
        <w:noProof/>
      </w:rPr>
      <w:pict w14:anchorId="6929D3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88873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128"/>
    <w:multiLevelType w:val="multilevel"/>
    <w:tmpl w:val="3FC4D2C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AC7CE1"/>
    <w:multiLevelType w:val="multilevel"/>
    <w:tmpl w:val="3C60B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C067EC"/>
    <w:multiLevelType w:val="hybridMultilevel"/>
    <w:tmpl w:val="37841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8A1024"/>
    <w:multiLevelType w:val="hybridMultilevel"/>
    <w:tmpl w:val="B8CC0E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49D4C5B"/>
    <w:multiLevelType w:val="hybridMultilevel"/>
    <w:tmpl w:val="88AEF0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BDF1AD0"/>
    <w:multiLevelType w:val="multilevel"/>
    <w:tmpl w:val="B88431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0326099">
    <w:abstractNumId w:val="3"/>
  </w:num>
  <w:num w:numId="2" w16cid:durableId="534268862">
    <w:abstractNumId w:val="4"/>
  </w:num>
  <w:num w:numId="3" w16cid:durableId="41877982">
    <w:abstractNumId w:val="0"/>
  </w:num>
  <w:num w:numId="4" w16cid:durableId="2126847960">
    <w:abstractNumId w:val="1"/>
  </w:num>
  <w:num w:numId="5" w16cid:durableId="557399176">
    <w:abstractNumId w:val="5"/>
  </w:num>
  <w:num w:numId="6" w16cid:durableId="446777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2CB"/>
    <w:rsid w:val="00006B7C"/>
    <w:rsid w:val="00035304"/>
    <w:rsid w:val="00045A2F"/>
    <w:rsid w:val="0005192F"/>
    <w:rsid w:val="000674C9"/>
    <w:rsid w:val="00100190"/>
    <w:rsid w:val="0011062B"/>
    <w:rsid w:val="0012149F"/>
    <w:rsid w:val="001A6634"/>
    <w:rsid w:val="001B00AF"/>
    <w:rsid w:val="001D006B"/>
    <w:rsid w:val="001D26B4"/>
    <w:rsid w:val="001D6B9F"/>
    <w:rsid w:val="001F0CD5"/>
    <w:rsid w:val="001F157E"/>
    <w:rsid w:val="0020087F"/>
    <w:rsid w:val="002446D3"/>
    <w:rsid w:val="00245A0A"/>
    <w:rsid w:val="002C7AB3"/>
    <w:rsid w:val="002D755F"/>
    <w:rsid w:val="002E68BF"/>
    <w:rsid w:val="002F0C1E"/>
    <w:rsid w:val="0030549A"/>
    <w:rsid w:val="00313635"/>
    <w:rsid w:val="0031628B"/>
    <w:rsid w:val="00317550"/>
    <w:rsid w:val="003460E6"/>
    <w:rsid w:val="00356ABC"/>
    <w:rsid w:val="003606C7"/>
    <w:rsid w:val="00374E72"/>
    <w:rsid w:val="0039276E"/>
    <w:rsid w:val="003A112F"/>
    <w:rsid w:val="003B0CEE"/>
    <w:rsid w:val="003D0FB3"/>
    <w:rsid w:val="003E5C5D"/>
    <w:rsid w:val="003E6134"/>
    <w:rsid w:val="00401693"/>
    <w:rsid w:val="004152B3"/>
    <w:rsid w:val="00441B46"/>
    <w:rsid w:val="0049682C"/>
    <w:rsid w:val="004A4432"/>
    <w:rsid w:val="004A6494"/>
    <w:rsid w:val="004D29C5"/>
    <w:rsid w:val="004D4753"/>
    <w:rsid w:val="004E2757"/>
    <w:rsid w:val="005636DE"/>
    <w:rsid w:val="005637BF"/>
    <w:rsid w:val="005742B2"/>
    <w:rsid w:val="00584F93"/>
    <w:rsid w:val="005A5BE3"/>
    <w:rsid w:val="005B174B"/>
    <w:rsid w:val="005B65A7"/>
    <w:rsid w:val="005C60BE"/>
    <w:rsid w:val="005D0CA5"/>
    <w:rsid w:val="005F32CB"/>
    <w:rsid w:val="0061773B"/>
    <w:rsid w:val="00622258"/>
    <w:rsid w:val="00626835"/>
    <w:rsid w:val="006301A7"/>
    <w:rsid w:val="006B548C"/>
    <w:rsid w:val="006D032C"/>
    <w:rsid w:val="006D41E3"/>
    <w:rsid w:val="006E02A9"/>
    <w:rsid w:val="006E76DF"/>
    <w:rsid w:val="007309B6"/>
    <w:rsid w:val="0073250E"/>
    <w:rsid w:val="00733ADB"/>
    <w:rsid w:val="00764CE7"/>
    <w:rsid w:val="0079503F"/>
    <w:rsid w:val="007A46C1"/>
    <w:rsid w:val="007B6FCB"/>
    <w:rsid w:val="007B7830"/>
    <w:rsid w:val="007C2FEE"/>
    <w:rsid w:val="00802F92"/>
    <w:rsid w:val="00814D48"/>
    <w:rsid w:val="0081540F"/>
    <w:rsid w:val="00815AA7"/>
    <w:rsid w:val="00853837"/>
    <w:rsid w:val="00864FEB"/>
    <w:rsid w:val="00877AC9"/>
    <w:rsid w:val="00890118"/>
    <w:rsid w:val="00895E0E"/>
    <w:rsid w:val="008A603F"/>
    <w:rsid w:val="008C0F1F"/>
    <w:rsid w:val="008E2D3C"/>
    <w:rsid w:val="008E70ED"/>
    <w:rsid w:val="008F68A8"/>
    <w:rsid w:val="009124EB"/>
    <w:rsid w:val="00943C20"/>
    <w:rsid w:val="009445A6"/>
    <w:rsid w:val="009478F4"/>
    <w:rsid w:val="00952FF4"/>
    <w:rsid w:val="0097447C"/>
    <w:rsid w:val="00977D25"/>
    <w:rsid w:val="009A1C82"/>
    <w:rsid w:val="009B12B1"/>
    <w:rsid w:val="009B2EB3"/>
    <w:rsid w:val="009D6CA6"/>
    <w:rsid w:val="009E08B3"/>
    <w:rsid w:val="009E5FC2"/>
    <w:rsid w:val="009F2CE6"/>
    <w:rsid w:val="00A10FBE"/>
    <w:rsid w:val="00A11083"/>
    <w:rsid w:val="00A42D8D"/>
    <w:rsid w:val="00A60A11"/>
    <w:rsid w:val="00A70DD4"/>
    <w:rsid w:val="00A759D1"/>
    <w:rsid w:val="00A91BD0"/>
    <w:rsid w:val="00AA4714"/>
    <w:rsid w:val="00AB26E1"/>
    <w:rsid w:val="00AD3ECC"/>
    <w:rsid w:val="00AE3E86"/>
    <w:rsid w:val="00AF3626"/>
    <w:rsid w:val="00B17197"/>
    <w:rsid w:val="00B4440E"/>
    <w:rsid w:val="00B67198"/>
    <w:rsid w:val="00B673C5"/>
    <w:rsid w:val="00B77020"/>
    <w:rsid w:val="00B9435F"/>
    <w:rsid w:val="00B95AD6"/>
    <w:rsid w:val="00BA3126"/>
    <w:rsid w:val="00BC700F"/>
    <w:rsid w:val="00BD32C8"/>
    <w:rsid w:val="00BD4DA3"/>
    <w:rsid w:val="00BE31B0"/>
    <w:rsid w:val="00BF5D88"/>
    <w:rsid w:val="00C03BDE"/>
    <w:rsid w:val="00C06152"/>
    <w:rsid w:val="00C10E05"/>
    <w:rsid w:val="00C15459"/>
    <w:rsid w:val="00C324C0"/>
    <w:rsid w:val="00C326EC"/>
    <w:rsid w:val="00C72782"/>
    <w:rsid w:val="00C77D2C"/>
    <w:rsid w:val="00C831FC"/>
    <w:rsid w:val="00C91039"/>
    <w:rsid w:val="00CB3AB4"/>
    <w:rsid w:val="00CC59CE"/>
    <w:rsid w:val="00CE2DFC"/>
    <w:rsid w:val="00D070E8"/>
    <w:rsid w:val="00D1395B"/>
    <w:rsid w:val="00D15719"/>
    <w:rsid w:val="00D1611A"/>
    <w:rsid w:val="00D22BBB"/>
    <w:rsid w:val="00D3782C"/>
    <w:rsid w:val="00D46A69"/>
    <w:rsid w:val="00D66DBA"/>
    <w:rsid w:val="00D91DAB"/>
    <w:rsid w:val="00DA08C8"/>
    <w:rsid w:val="00DA6F9B"/>
    <w:rsid w:val="00DA71D8"/>
    <w:rsid w:val="00E0010E"/>
    <w:rsid w:val="00E02B9E"/>
    <w:rsid w:val="00E14D75"/>
    <w:rsid w:val="00E66D61"/>
    <w:rsid w:val="00E86CA2"/>
    <w:rsid w:val="00E9579A"/>
    <w:rsid w:val="00EA6164"/>
    <w:rsid w:val="00EB4A6A"/>
    <w:rsid w:val="00ED38D2"/>
    <w:rsid w:val="00EE719C"/>
    <w:rsid w:val="00EF0C49"/>
    <w:rsid w:val="00F25248"/>
    <w:rsid w:val="00F32557"/>
    <w:rsid w:val="00F52AEF"/>
    <w:rsid w:val="00F643B5"/>
    <w:rsid w:val="00F72529"/>
    <w:rsid w:val="00FE692E"/>
    <w:rsid w:val="00FF27C5"/>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C28AD"/>
  <w15:docId w15:val="{B6D63F78-5DEB-4976-90BB-5A62422C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2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2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2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2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2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2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2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2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2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2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2CB"/>
    <w:rPr>
      <w:rFonts w:eastAsiaTheme="majorEastAsia" w:cstheme="majorBidi"/>
      <w:color w:val="272727" w:themeColor="text1" w:themeTint="D8"/>
    </w:rPr>
  </w:style>
  <w:style w:type="paragraph" w:styleId="Title">
    <w:name w:val="Title"/>
    <w:basedOn w:val="Normal"/>
    <w:next w:val="Normal"/>
    <w:link w:val="TitleChar"/>
    <w:uiPriority w:val="10"/>
    <w:qFormat/>
    <w:rsid w:val="005F3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2CB"/>
    <w:pPr>
      <w:spacing w:before="160"/>
      <w:jc w:val="center"/>
    </w:pPr>
    <w:rPr>
      <w:i/>
      <w:iCs/>
      <w:color w:val="404040" w:themeColor="text1" w:themeTint="BF"/>
    </w:rPr>
  </w:style>
  <w:style w:type="character" w:customStyle="1" w:styleId="QuoteChar">
    <w:name w:val="Quote Char"/>
    <w:basedOn w:val="DefaultParagraphFont"/>
    <w:link w:val="Quote"/>
    <w:uiPriority w:val="29"/>
    <w:rsid w:val="005F32CB"/>
    <w:rPr>
      <w:i/>
      <w:iCs/>
      <w:color w:val="404040" w:themeColor="text1" w:themeTint="BF"/>
    </w:rPr>
  </w:style>
  <w:style w:type="paragraph" w:styleId="ListParagraph">
    <w:name w:val="List Paragraph"/>
    <w:basedOn w:val="Normal"/>
    <w:uiPriority w:val="34"/>
    <w:qFormat/>
    <w:rsid w:val="005F32CB"/>
    <w:pPr>
      <w:ind w:left="720"/>
      <w:contextualSpacing/>
    </w:pPr>
  </w:style>
  <w:style w:type="character" w:styleId="IntenseEmphasis">
    <w:name w:val="Intense Emphasis"/>
    <w:basedOn w:val="DefaultParagraphFont"/>
    <w:uiPriority w:val="21"/>
    <w:qFormat/>
    <w:rsid w:val="005F32CB"/>
    <w:rPr>
      <w:i/>
      <w:iCs/>
      <w:color w:val="2F5496" w:themeColor="accent1" w:themeShade="BF"/>
    </w:rPr>
  </w:style>
  <w:style w:type="paragraph" w:styleId="IntenseQuote">
    <w:name w:val="Intense Quote"/>
    <w:basedOn w:val="Normal"/>
    <w:next w:val="Normal"/>
    <w:link w:val="IntenseQuoteChar"/>
    <w:uiPriority w:val="30"/>
    <w:qFormat/>
    <w:rsid w:val="005F32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2CB"/>
    <w:rPr>
      <w:i/>
      <w:iCs/>
      <w:color w:val="2F5496" w:themeColor="accent1" w:themeShade="BF"/>
    </w:rPr>
  </w:style>
  <w:style w:type="character" w:styleId="IntenseReference">
    <w:name w:val="Intense Reference"/>
    <w:basedOn w:val="DefaultParagraphFont"/>
    <w:uiPriority w:val="32"/>
    <w:qFormat/>
    <w:rsid w:val="005F32CB"/>
    <w:rPr>
      <w:b/>
      <w:bCs/>
      <w:smallCaps/>
      <w:color w:val="2F5496" w:themeColor="accent1" w:themeShade="BF"/>
      <w:spacing w:val="5"/>
    </w:rPr>
  </w:style>
  <w:style w:type="table" w:styleId="TableGrid">
    <w:name w:val="Table Grid"/>
    <w:basedOn w:val="TableNormal"/>
    <w:uiPriority w:val="39"/>
    <w:rsid w:val="006D0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2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2557"/>
    <w:rPr>
      <w:rFonts w:ascii="Tahoma" w:hAnsi="Tahoma" w:cs="Tahoma"/>
      <w:sz w:val="16"/>
      <w:szCs w:val="16"/>
    </w:rPr>
  </w:style>
  <w:style w:type="paragraph" w:customStyle="1" w:styleId="Default">
    <w:name w:val="Default"/>
    <w:rsid w:val="00F32557"/>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a7">
    <w:name w:val="Pa7"/>
    <w:basedOn w:val="Default"/>
    <w:next w:val="Default"/>
    <w:uiPriority w:val="99"/>
    <w:rsid w:val="00F32557"/>
    <w:pPr>
      <w:spacing w:line="201" w:lineRule="atLeast"/>
    </w:pPr>
    <w:rPr>
      <w:color w:val="auto"/>
    </w:rPr>
  </w:style>
  <w:style w:type="character" w:styleId="Strong">
    <w:name w:val="Strong"/>
    <w:basedOn w:val="DefaultParagraphFont"/>
    <w:uiPriority w:val="22"/>
    <w:qFormat/>
    <w:rsid w:val="00BC700F"/>
    <w:rPr>
      <w:b/>
      <w:bCs/>
    </w:rPr>
  </w:style>
  <w:style w:type="paragraph" w:customStyle="1" w:styleId="Pa20">
    <w:name w:val="Pa20"/>
    <w:basedOn w:val="Default"/>
    <w:next w:val="Default"/>
    <w:uiPriority w:val="99"/>
    <w:rsid w:val="0061773B"/>
    <w:pPr>
      <w:spacing w:line="181" w:lineRule="atLeast"/>
    </w:pPr>
    <w:rPr>
      <w:color w:val="auto"/>
    </w:rPr>
  </w:style>
  <w:style w:type="character" w:customStyle="1" w:styleId="A13">
    <w:name w:val="A13"/>
    <w:uiPriority w:val="99"/>
    <w:rsid w:val="00622258"/>
    <w:rPr>
      <w:rFonts w:cs="Book Antiqua"/>
      <w:color w:val="000000"/>
      <w:sz w:val="10"/>
      <w:szCs w:val="10"/>
    </w:rPr>
  </w:style>
  <w:style w:type="paragraph" w:styleId="NormalWeb">
    <w:name w:val="Normal (Web)"/>
    <w:basedOn w:val="Normal"/>
    <w:uiPriority w:val="99"/>
    <w:semiHidden/>
    <w:unhideWhenUsed/>
    <w:rsid w:val="007C2FEE"/>
    <w:pPr>
      <w:spacing w:before="100" w:beforeAutospacing="1" w:after="100" w:afterAutospacing="1" w:line="240" w:lineRule="auto"/>
    </w:pPr>
    <w:rPr>
      <w:rFonts w:ascii="Times New Roman" w:eastAsia="Times New Roman" w:hAnsi="Times New Roman" w:cs="Times New Roman"/>
      <w:kern w:val="0"/>
      <w:sz w:val="24"/>
      <w:szCs w:val="24"/>
      <w:lang w:eastAsia="en-IN" w:bidi="pa-IN"/>
      <w14:ligatures w14:val="none"/>
    </w:rPr>
  </w:style>
  <w:style w:type="paragraph" w:styleId="Header">
    <w:name w:val="header"/>
    <w:basedOn w:val="Normal"/>
    <w:link w:val="HeaderChar"/>
    <w:uiPriority w:val="99"/>
    <w:unhideWhenUsed/>
    <w:rsid w:val="00626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835"/>
  </w:style>
  <w:style w:type="paragraph" w:styleId="Footer">
    <w:name w:val="footer"/>
    <w:basedOn w:val="Normal"/>
    <w:link w:val="FooterChar"/>
    <w:uiPriority w:val="99"/>
    <w:unhideWhenUsed/>
    <w:rsid w:val="00626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835"/>
  </w:style>
  <w:style w:type="character" w:styleId="Hyperlink">
    <w:name w:val="Hyperlink"/>
    <w:basedOn w:val="DefaultParagraphFont"/>
    <w:uiPriority w:val="99"/>
    <w:unhideWhenUsed/>
    <w:rsid w:val="00CB3AB4"/>
    <w:rPr>
      <w:color w:val="0563C1" w:themeColor="hyperlink"/>
      <w:u w:val="single"/>
    </w:rPr>
  </w:style>
  <w:style w:type="character" w:styleId="UnresolvedMention">
    <w:name w:val="Unresolved Mention"/>
    <w:basedOn w:val="DefaultParagraphFont"/>
    <w:uiPriority w:val="99"/>
    <w:semiHidden/>
    <w:unhideWhenUsed/>
    <w:rsid w:val="00A75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31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3390/ani11092711?utm_source=chatgpt.com" TargetMode="External"/><Relationship Id="rId18" Type="http://schemas.openxmlformats.org/officeDocument/2006/relationships/hyperlink" Target="https://doi.org/10.1046/j.1365-2095.2002.00180.x?utm_source=chatgpt.com"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doi.org/10.30954/2394-8159.02.2019.3?utm_source=chatgpt.com" TargetMode="External"/><Relationship Id="rId17" Type="http://schemas.openxmlformats.org/officeDocument/2006/relationships/hyperlink" Target="https://doi.org/10.1016/j.aqrep.2025.103058?utm_source=chatgpt.com"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2331/suisan.42.793?utm_source=chatgpt.com" TargetMode="External"/><Relationship Id="rId20" Type="http://schemas.openxmlformats.org/officeDocument/2006/relationships/hyperlink" Target="https://doi.org/10.56093/ijans.v95i3.156172?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9734/ajfar/2023/v25i4683?utm_source=chatgpt.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02/aff2.70067?utm_source=chatgpt.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1111/j.1365-2109.2008.02035.x?utm_source=chatgpt.com" TargetMode="External"/><Relationship Id="rId19" Type="http://schemas.openxmlformats.org/officeDocument/2006/relationships/hyperlink" Target="https://doi.org/10.56557/jafsat/2024/v11i48858?utm_source=chatgpt.com" TargetMode="External"/><Relationship Id="rId4" Type="http://schemas.openxmlformats.org/officeDocument/2006/relationships/webSettings" Target="webSettings.xml"/><Relationship Id="rId9" Type="http://schemas.openxmlformats.org/officeDocument/2006/relationships/hyperlink" Target="https://doi.org/10.1186/s12711-020-0524-0?utm_source=chatgpt.com" TargetMode="External"/><Relationship Id="rId14" Type="http://schemas.openxmlformats.org/officeDocument/2006/relationships/hyperlink" Target="https://doi.org/10.1016/B978-012319652-1/50006-9?utm_source=chatgpt.com" TargetMode="External"/><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ulgu\OneDrive\Desktop\8TH%20PPT\Stat%20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a:t>Total Fish Production</a:t>
            </a:r>
          </a:p>
        </c:rich>
      </c:tx>
      <c:overlay val="0"/>
      <c:spPr>
        <a:noFill/>
        <a:ln>
          <a:noFill/>
        </a:ln>
        <a:effectLst/>
      </c:spPr>
    </c:title>
    <c:autoTitleDeleted val="0"/>
    <c:plotArea>
      <c:layout/>
      <c:barChart>
        <c:barDir val="col"/>
        <c:grouping val="clustered"/>
        <c:varyColors val="0"/>
        <c:ser>
          <c:idx val="0"/>
          <c:order val="0"/>
          <c:tx>
            <c:strRef>
              <c:f>'Oft 2 Graphs '!$M$49</c:f>
              <c:strCache>
                <c:ptCount val="1"/>
                <c:pt idx="0">
                  <c:v>Production</c:v>
                </c:pt>
              </c:strCache>
            </c:strRef>
          </c:tx>
          <c:spPr>
            <a:solidFill>
              <a:schemeClr val="accent1"/>
            </a:solidFill>
            <a:ln>
              <a:noFill/>
            </a:ln>
            <a:effectLst/>
          </c:spPr>
          <c:invertIfNegative val="0"/>
          <c:cat>
            <c:strRef>
              <c:f>'Oft 2 Graphs '!$L$50:$L$52</c:f>
              <c:strCache>
                <c:ptCount val="3"/>
                <c:pt idx="0">
                  <c:v>T1</c:v>
                </c:pt>
                <c:pt idx="1">
                  <c:v>T2</c:v>
                </c:pt>
                <c:pt idx="2">
                  <c:v>T3</c:v>
                </c:pt>
              </c:strCache>
            </c:strRef>
          </c:cat>
          <c:val>
            <c:numRef>
              <c:f>'Oft 2 Graphs '!$M$50:$M$52</c:f>
              <c:numCache>
                <c:formatCode>###0.0000</c:formatCode>
                <c:ptCount val="3"/>
                <c:pt idx="0">
                  <c:v>19.161666666666665</c:v>
                </c:pt>
                <c:pt idx="1">
                  <c:v>23.156666666666666</c:v>
                </c:pt>
                <c:pt idx="2">
                  <c:v>22.161666666666665</c:v>
                </c:pt>
              </c:numCache>
            </c:numRef>
          </c:val>
          <c:extLst>
            <c:ext xmlns:c16="http://schemas.microsoft.com/office/drawing/2014/chart" uri="{C3380CC4-5D6E-409C-BE32-E72D297353CC}">
              <c16:uniqueId val="{00000000-774D-4CBB-A312-15DB1EF79E10}"/>
            </c:ext>
          </c:extLst>
        </c:ser>
        <c:dLbls>
          <c:showLegendKey val="0"/>
          <c:showVal val="0"/>
          <c:showCatName val="0"/>
          <c:showSerName val="0"/>
          <c:showPercent val="0"/>
          <c:showBubbleSize val="0"/>
        </c:dLbls>
        <c:gapWidth val="150"/>
        <c:axId val="158327168"/>
        <c:axId val="310295168"/>
      </c:barChart>
      <c:catAx>
        <c:axId val="158327168"/>
        <c:scaling>
          <c:orientation val="minMax"/>
        </c:scaling>
        <c:delete val="0"/>
        <c:axPos val="b"/>
        <c:title>
          <c:tx>
            <c:rich>
              <a:bodyPr/>
              <a:lstStyle/>
              <a:p>
                <a:pPr>
                  <a:defRPr/>
                </a:pPr>
                <a:r>
                  <a:rPr lang="en-IN"/>
                  <a:t>Different Treatments</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10295168"/>
        <c:crosses val="autoZero"/>
        <c:auto val="1"/>
        <c:lblAlgn val="ctr"/>
        <c:lblOffset val="100"/>
        <c:noMultiLvlLbl val="0"/>
      </c:catAx>
      <c:valAx>
        <c:axId val="310295168"/>
        <c:scaling>
          <c:orientation val="minMax"/>
        </c:scaling>
        <c:delete val="0"/>
        <c:axPos val="l"/>
        <c:title>
          <c:tx>
            <c:rich>
              <a:bodyPr/>
              <a:lstStyle/>
              <a:p>
                <a:pPr>
                  <a:defRPr/>
                </a:pPr>
                <a:r>
                  <a:rPr lang="en-IN"/>
                  <a:t>Fish Production (Quintals per acre)</a:t>
                </a:r>
              </a:p>
            </c:rich>
          </c:tx>
          <c:overlay val="0"/>
        </c:title>
        <c:numFmt formatCode="###0.0000" sourceLinked="1"/>
        <c:majorTickMark val="out"/>
        <c:minorTickMark val="none"/>
        <c:tickLblPos val="nextTo"/>
        <c:spPr>
          <a:noFill/>
          <a:effectLst/>
        </c:spPr>
        <c:txPr>
          <a:bodyPr rot="-60000000" vert="horz"/>
          <a:lstStyle/>
          <a:p>
            <a:pPr>
              <a:defRPr/>
            </a:pPr>
            <a:endParaRPr lang="en-US"/>
          </a:p>
        </c:txPr>
        <c:crossAx val="158327168"/>
        <c:crosses val="autoZero"/>
        <c:crossBetween val="between"/>
      </c:valAx>
      <c:spPr>
        <a:noFill/>
        <a:ln>
          <a:noFill/>
        </a:ln>
        <a:effectLst/>
      </c:spPr>
    </c:plotArea>
    <c:legend>
      <c:legendPos val="r"/>
      <c:overlay val="0"/>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1429</TotalTime>
  <Pages>12</Pages>
  <Words>4118</Words>
  <Characters>23476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Gurpreet Singh Gosal</dc:creator>
  <cp:keywords/>
  <dc:description/>
  <cp:lastModifiedBy>Editor-90</cp:lastModifiedBy>
  <cp:revision>173</cp:revision>
  <cp:lastPrinted>2026-08-14T04:18:00Z</cp:lastPrinted>
  <dcterms:created xsi:type="dcterms:W3CDTF">2025-09-04T05:48:00Z</dcterms:created>
  <dcterms:modified xsi:type="dcterms:W3CDTF">2026-09-25T08:53:00Z</dcterms:modified>
</cp:coreProperties>
</file>