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13F88" w14:textId="77777777" w:rsidR="00747D28" w:rsidRPr="00F23CCF" w:rsidRDefault="00000000">
      <w:pPr>
        <w:pStyle w:val="ManuscriptTitle"/>
        <w:rPr>
          <w:color w:val="auto"/>
        </w:rPr>
      </w:pPr>
      <w:r w:rsidRPr="00F23CCF">
        <w:rPr>
          <w:color w:val="auto"/>
        </w:rPr>
        <w:t>Waste Generation and Management in Pre-Cocoon Sericulture: A Critical Narrative Review of Material Flows, Risks and Circular Resource Pathways</w:t>
      </w:r>
    </w:p>
    <w:p w14:paraId="6CEF0C56" w14:textId="77777777" w:rsidR="00747D28" w:rsidRPr="00F23CCF" w:rsidRDefault="00000000">
      <w:pPr>
        <w:pStyle w:val="Heading1"/>
        <w:rPr>
          <w:color w:val="auto"/>
        </w:rPr>
      </w:pPr>
      <w:r w:rsidRPr="00F23CCF">
        <w:rPr>
          <w:color w:val="auto"/>
        </w:rPr>
        <w:t>Abstract</w:t>
      </w:r>
    </w:p>
    <w:p w14:paraId="29B92778" w14:textId="77777777" w:rsidR="00747D28" w:rsidRPr="00F23CCF" w:rsidRDefault="00000000">
      <w:pPr>
        <w:jc w:val="both"/>
      </w:pPr>
      <w:r w:rsidRPr="00F23CCF">
        <w:t>Pre-cocoon sericulture links perennial mulberry production with intensive silkworm rearing, creating biologically rich residual streams whose management affects farm hygiene, nutrient cycling, environmental performance and the feasibility of circular production. Yet the literature frequently treats “sericulture waste” as a single category and combines farm-stage residues with post-cocoon pupal, reeling and degumming wastes. This critical narrative review examines waste generated before cocoon processing, with emphasis on mulberry pruning biomass, surplus and rejected foliage, rearing-bed residues, silkworm excrement, moulting debris, diseased or dead larvae, cocooning and mountage residues, and minor auxiliary wastes. Literature published from January 1990 to 7 August 2026 was evaluated through agricultural, biomedical and multidisciplinary scholarly sources, citation searching and authoritative sericulture guidance. The evidence shows that the most developed management pathway is biological stabilisation, particularly composting and vermicomposting of clean organic residues, while microbial inoculation and additives can accelerate decomposition or modify humification. These interventions are not impact-free: odour, nitrogenous emissions, incomplete sanitisation and variable maturity remain important constraints. Direct land application and specialised remediation uses of silkworm excrement are supported by pot, field and mechanistic studies, but microbiological hazards and contaminant carry-over preclude assuming that all material is intrinsically safe. Pyrolysis, biochar and adsorbent applications offer a controlled route for selected feedstocks, including contaminated excrement, although evidence is mainly experimental and requires economic and emissions evaluation. Clean surplus mulberry foliage can enter feed chains, but this route should not be extrapolated to spent litter or disease-associated material. Across the evidence base, the largest unresolved problem is not a shortage of valorisation concepts but the absence of standardised source-specific generation factors, mass balances, contaminant specifications, pathogen-inactivation criteria and long-term field validation. A risk-tiered circular management framework is therefore proposed in which prevention, segregation and biosecurity precede valorisation. The strongest immediate opportunity is source-separated recycling of clean plant and rearing residues under verified treatment conditions, integrated with mulberry nutrient management and local monitoring.</w:t>
      </w:r>
    </w:p>
    <w:p w14:paraId="3F2BF38C" w14:textId="77777777" w:rsidR="00747D28" w:rsidRPr="00F23CCF" w:rsidRDefault="00000000">
      <w:pPr>
        <w:spacing w:after="180"/>
      </w:pPr>
      <w:r w:rsidRPr="00F23CCF">
        <w:rPr>
          <w:b/>
          <w:sz w:val="22"/>
        </w:rPr>
        <w:t xml:space="preserve">Keywords: </w:t>
      </w:r>
      <w:r w:rsidRPr="00F23CCF">
        <w:rPr>
          <w:sz w:val="22"/>
        </w:rPr>
        <w:t xml:space="preserve">circular bioeconomy; </w:t>
      </w:r>
      <w:r w:rsidRPr="00F23CCF">
        <w:rPr>
          <w:i/>
          <w:sz w:val="22"/>
        </w:rPr>
        <w:t>Bombyx mori</w:t>
      </w:r>
      <w:r w:rsidRPr="00F23CCF">
        <w:rPr>
          <w:sz w:val="22"/>
        </w:rPr>
        <w:t xml:space="preserve">; </w:t>
      </w:r>
      <w:r w:rsidRPr="00F23CCF">
        <w:rPr>
          <w:i/>
          <w:sz w:val="22"/>
        </w:rPr>
        <w:t>Morus alba</w:t>
      </w:r>
      <w:r w:rsidRPr="00F23CCF">
        <w:rPr>
          <w:sz w:val="22"/>
        </w:rPr>
        <w:t>; silkworm excrement; rearing-bed waste; composting; biochar; biosecurity</w:t>
      </w:r>
    </w:p>
    <w:p w14:paraId="142B0A3E" w14:textId="77777777" w:rsidR="00747D28" w:rsidRPr="00F23CCF" w:rsidRDefault="00000000">
      <w:pPr>
        <w:pStyle w:val="Heading1"/>
        <w:rPr>
          <w:color w:val="auto"/>
        </w:rPr>
      </w:pPr>
      <w:r w:rsidRPr="00F23CCF">
        <w:rPr>
          <w:color w:val="auto"/>
        </w:rPr>
        <w:t>1. Introduction</w:t>
      </w:r>
    </w:p>
    <w:p w14:paraId="5234B1D5" w14:textId="77777777" w:rsidR="00747D28" w:rsidRPr="00F23CCF" w:rsidRDefault="00000000">
      <w:pPr>
        <w:jc w:val="both"/>
      </w:pPr>
      <w:r w:rsidRPr="00F23CCF">
        <w:t xml:space="preserve">Sericulture is an agro-biological production system in which the quality of a textile raw material depends on a chain of agricultural and husbandry operations performed before any industrial silk processing begins. In mulberry-based sericulture, cultivation of </w:t>
      </w:r>
      <w:r w:rsidRPr="00F23CCF">
        <w:rPr>
          <w:i/>
        </w:rPr>
        <w:t>Morus alba</w:t>
      </w:r>
      <w:r w:rsidRPr="00F23CCF">
        <w:t xml:space="preserve"> L. and related mulberry genotypes supplies the foliage consumed by the domesticated silkworm </w:t>
      </w:r>
      <w:r w:rsidRPr="00F23CCF">
        <w:rPr>
          <w:i/>
        </w:rPr>
        <w:t>Bombyx mori</w:t>
      </w:r>
      <w:r w:rsidRPr="00F23CCF">
        <w:t xml:space="preserve"> L., while rearing houses transform leaf biomass into cocoons through successive larval instars. This coupling of plant production and animal rearing is one reason why the pre-cocoon stage has a distinctive waste profile: field pruning residues, discarded foliage, faecal material, uneaten leaf fragments, moulting debris, dead or diseased larvae, bed-cleaning residues, mountage debris, packaging and disinfection-related waste can arise within the same farm or cluster. The material is predominantly biodegradable, but its composition and hygienic status vary sharply among streams. Treating </w:t>
      </w:r>
      <w:r w:rsidRPr="00F23CCF">
        <w:lastRenderedPageBreak/>
        <w:t>those residues as a homogeneous “waste” category obscures the environmental and biosecurity decisions required for safe circular use (Altman &amp; Farrell, 2022; Astudillo et al., 2014; Barcelos et al., 2020).</w:t>
      </w:r>
    </w:p>
    <w:p w14:paraId="4A9712E4" w14:textId="77777777" w:rsidR="00747D28" w:rsidRPr="00F23CCF" w:rsidRDefault="00000000">
      <w:pPr>
        <w:jc w:val="both"/>
      </w:pPr>
      <w:r w:rsidRPr="00F23CCF">
        <w:t>The distinction between pre-cocoon and post-cocoon waste is especially important because much of the recent “sericulture waste” literature spans the entire silk value chain. Reviews commonly combine farm residues with pupae recovered during reeling, pierced or spent cocoons, sericin-rich wastewater, degumming effluent and silk-processing scraps (Kaushik et al., 2025; Meena et al., 2026). Those streams differ in origin, composition, contamination pathway, ownership and treatment infrastructure. A farm-level review therefore requires a boundary that ends when harvested cocoons leave primary production for stifling, reeling or other processing. Defective or diseased cocoons discarded at the farm boundary may remain relevant to on-farm hygiene, but reeling-derived pupae and aqueous silk-processing residues are outside the present scope. The narrower boundary makes it possible to ask a more useful question: how should material generated by mulberry cultivation and silkworm rearing be classified, prevented, segregated, stabilised and, where safe, returned to productive use?</w:t>
      </w:r>
    </w:p>
    <w:p w14:paraId="20BC9EDB" w14:textId="77777777" w:rsidR="00747D28" w:rsidRPr="00F23CCF" w:rsidRDefault="00000000">
      <w:pPr>
        <w:jc w:val="both"/>
      </w:pPr>
      <w:r w:rsidRPr="00F23CCF">
        <w:t>Life-cycle evidence reinforces the importance of this boundary. In an Indian silk life-cycle assessment, Astudillo et al. (2014) identified cocoon production and its agricultural inputs as a major source of environmental burden in the silk system and highlighted the importance of efficient co-product use. Under Brazilian conditions, Barcelos et al. (2020) reported that mulberry production contributed greater impacts than cocoon production across the impact categories assessed, with opportunities for improvement involving field operations, rearing inputs and reverse logistics for packaging. More recently, a cradle-to-gate analysis of Chinese raw silk production located substantial environmental burden in mulberry cultivation and associated material inputs (Wu et al., 2025). These studies do not establish that waste management is the dominant sustainability lever in every region. Instead, they show that waste decisions must be integrated with nutrient management, input efficiency and crop husbandry rather than treated as an isolated end-of-pipe issue.</w:t>
      </w:r>
    </w:p>
    <w:p w14:paraId="7F26EBDB" w14:textId="77777777" w:rsidR="00747D28" w:rsidRPr="00F23CCF" w:rsidRDefault="00000000">
      <w:pPr>
        <w:jc w:val="both"/>
      </w:pPr>
      <w:r w:rsidRPr="00F23CCF">
        <w:t>The organic fraction of pre-cocoon waste has attracted attention because it contains plant-derived carbon, nitrogen and minerals that can potentially re-enter agricultural cycles. Composting studies dating back to the late twentieth century showed that sericulture litter could support aerobic, anaerobic and vermicomposting processes and could be returned to mulberry cultivation after stabilisation (Sharma et al., 1999). Controlled fermentation of silkworm excrement has subsequently been associated with improved fertiliser characteristics and plant responses under pot conditions (Chen et al., 2011), while later work has examined additives, microbial inoculants, compost microbiomes and humic-substance chemistry (Chen et al., 2016; Li et al., 2018; Liu, He, et al., 2022; Liu et al., 2024; Shen et al., 2024). The technical literature therefore supports the proposition that at least some pre-cocoon residues are resources rather than terminal wastes.</w:t>
      </w:r>
      <w:r>
        <w:rPr>
          <w:highlight w:val="yellow"/>
        </w:rPr>
        <w:t xml:space="preserve"> In moso bamboo forests, substitution of compound fertiliser with silkworm-excrement organic fertiliser was associated with changes in soil properties and bamboo shoot yield, although these findings cannot be transferred directly to mulberry production (Yang et al., 2025). A separate pot experiment involving leafy vegetables reported changes in plant performance and soil fertility following combined application of rice-husk biochar and silkworm-excrement compost, without establishing long-term outcomes for mulberry systems (Luan et al., 2025).</w:t>
      </w:r>
    </w:p>
    <w:p w14:paraId="13332886" w14:textId="77777777" w:rsidR="00747D28" w:rsidRPr="00F23CCF" w:rsidRDefault="00000000">
      <w:pPr>
        <w:jc w:val="both"/>
      </w:pPr>
      <w:r w:rsidRPr="00F23CCF">
        <w:t xml:space="preserve">That proposition needs qualification. First, “silkworm excrement” is not used consistently across studies. In some experiments it denotes separated faecal material, while in farm practice and older literature “litter”, “bed refuse” or “rearing waste” may contain faeces together with uneaten leaf blades, petioles, stem fragments, moulted cuticle, paper or other bed materials. Chemical and microbiological results obtained from one definition cannot be transferred automatically to another. Second, maturity and hygienic safety are not </w:t>
      </w:r>
      <w:r w:rsidRPr="00F23CCF">
        <w:lastRenderedPageBreak/>
        <w:t>synonymous. A compost can exhibit favourable plant-growth indicators while still requiring pathogen and contaminant assessment. Zhu et al. (2022), for example, identified human bacterial pathogens, virulence-factor genes and antibiotic-resistance genes across manure-amended soils and found relatively high microbiological risks associated with pig manure and silkworm excrement treatments. Conversely, Shen et al. (2024) characterised silkworm-excrement compost as nutrient-rich and isolated bacteria with plant-promoting functions. These findings are not inherently contradictory: they describe different microbial endpoints, source materials and contexts. Together they demonstrate why positive agronomic function cannot be treated as proof of unrestricted biosafety.</w:t>
      </w:r>
      <w:r>
        <w:rPr>
          <w:highlight w:val="yellow"/>
        </w:rPr>
        <w:t xml:space="preserve"> A soil experiment combining silkworm faeces with earthworms also identified changes in bacterial community composition and predicted functions, but did not establish the hygienic safety of pre-cocoon residues (Lu et al., 2025).</w:t>
      </w:r>
    </w:p>
    <w:p w14:paraId="2CA648D0" w14:textId="77777777" w:rsidR="00747D28" w:rsidRPr="00F23CCF" w:rsidRDefault="00000000">
      <w:pPr>
        <w:jc w:val="both"/>
      </w:pPr>
      <w:r w:rsidRPr="00F23CCF">
        <w:t>Third, disease-associated residues form a separate risk class. Silkworm pathogens can be disseminated through diseased larvae, faecal material, body fluids and contaminated bed refuse. Official sericulture guidance consequently emphasises removal and destruction of infected material, rearing-house hygiene and disinfection rather than immediate recycling of suspect residues (Central Silk Board, n.d.; Tamil Nadu Agricultural University, n.d.). A circular economy interpretation that ignores disease status could therefore conflict with basic silkworm health management. The appropriate hierarchy is not “valorise everything”, but first prevent avoidable generation, then segregate clean and contaminated streams, and only then select a recovery route whose treatment intensity matches the hazard.</w:t>
      </w:r>
    </w:p>
    <w:p w14:paraId="02442CE2" w14:textId="77777777" w:rsidR="00747D28" w:rsidRPr="00F23CCF" w:rsidRDefault="00000000">
      <w:pPr>
        <w:jc w:val="both"/>
      </w:pPr>
      <w:r w:rsidRPr="00F23CCF">
        <w:t>Fourth, several high-value applications are technologically interesting but far removed from routine farm management. Silkworm excrement has been investigated as a carrier for pollutant-degrading microorganisms, as an amendment for contaminated soil, as a feedstock for biochar adsorbents and even as a precursor for catalytic materials (Bian et al., 2022; Chen et al., 2026; Liu et al., 2019; Liu, Zhao, et al., 2022; Shi et al., 2023; Wang et al., 2016). Mulberry branches have likewise been converted to activated biomass char for wastewater treatment (Wu et al., 2012). Such studies establish functional potential, but they do not by themselves demonstrate a scalable farm-level waste-management solution. Production energy, emissions, feedstock quality control, transport, product standards and market demand determine whether a laboratory pathway is genuinely circular at system scale.</w:t>
      </w:r>
      <w:r>
        <w:rPr>
          <w:highlight w:val="yellow"/>
        </w:rPr>
        <w:t xml:space="preserve"> A laboratory study additionally evaluated an activated carbon–silica composite derived from silkworm excrement for dye adsorption and supercapacitor performance, further illustrating the distinction between technical functionality and proven farm-scale feasibility (Pimsawat et al., 2025).</w:t>
      </w:r>
    </w:p>
    <w:p w14:paraId="0C7A7B00" w14:textId="77777777" w:rsidR="00747D28" w:rsidRPr="00F23CCF" w:rsidRDefault="00000000">
      <w:pPr>
        <w:jc w:val="both"/>
      </w:pPr>
      <w:r w:rsidRPr="00F23CCF">
        <w:t>The strongest conceptual gap is therefore not the absence of proposed uses. It is the lack of a source-resolved framework connecting generation, composition, hazard status, evidence quality, treatment requirements and final use. Recent sericulture-waste reviews have usefully catalogued valorisation opportunities but usually cover pre- and post-cocoon materials together (Kaushik et al., 2025; Meena et al., 2026). That breadth can obscure decisions specific to the rearing stage, especially disease containment, litter heterogeneity, on-farm segregation, nutrient return to mulberry and the difference between direct agronomic recycling and advanced material conversion. A critical pre-cocoon synthesis is needed to distinguish what is already supported sufficiently for practical use from what remains promising but experimental.</w:t>
      </w:r>
    </w:p>
    <w:p w14:paraId="51CD5883" w14:textId="77777777" w:rsidR="00747D28" w:rsidRPr="00F23CCF" w:rsidRDefault="00000000">
      <w:pPr>
        <w:pStyle w:val="Heading2"/>
        <w:rPr>
          <w:color w:val="auto"/>
        </w:rPr>
      </w:pPr>
      <w:r w:rsidRPr="00F23CCF">
        <w:rPr>
          <w:color w:val="auto"/>
        </w:rPr>
        <w:t>1.1 Scope, Research Gap and Objectives</w:t>
      </w:r>
    </w:p>
    <w:p w14:paraId="4DC97C30" w14:textId="77777777" w:rsidR="00747D28" w:rsidRPr="00F23CCF" w:rsidRDefault="00000000">
      <w:pPr>
        <w:jc w:val="both"/>
      </w:pPr>
      <w:r w:rsidRPr="00F23CCF">
        <w:t xml:space="preserve">This review is confined to wastes and residual biomass generated during mulberry cultivation, leaf harvesting and transport, silkworm rearing, bed cleaning, moulting, mounting, cocoon formation and farm-level cocoon harvest. Post-cocoon stifling, reeling, spinning, degumming and textile-processing wastes are excluded except where a boundary clarification is necessary. The review addresses biodegradable plant residues, rearing-bed material, disease-associated biological waste and minor auxiliary waste streams, and </w:t>
      </w:r>
      <w:r w:rsidRPr="00F23CCF">
        <w:lastRenderedPageBreak/>
        <w:t>evaluates their environmental, agronomic and biosecurity implications. The principal gap is the absence of an integrated, source-specific assessment that connects waste generation with safe management choices while separating mature practices from experimental valorisation. The objectives are to clarify terminology and system boundaries, critically assess what is known about generation and composition, compare risks associated with unmanaged or poorly managed residues, evaluate treatment and recovery pathways according to evidence strength and implementation constraints, and propose research priorities for a risk-tiered circular pre-cocoon system. Universal waste-generation coefficients or performance values are not inferred where the literature does not provide transferable evidence.</w:t>
      </w:r>
    </w:p>
    <w:p w14:paraId="45AE097D" w14:textId="77777777" w:rsidR="00747D28" w:rsidRPr="00F23CCF" w:rsidRDefault="00000000">
      <w:pPr>
        <w:pStyle w:val="Heading1"/>
        <w:rPr>
          <w:color w:val="auto"/>
        </w:rPr>
      </w:pPr>
      <w:r w:rsidRPr="00F23CCF">
        <w:rPr>
          <w:color w:val="auto"/>
        </w:rPr>
        <w:t>2. Methods for Literature Selection</w:t>
      </w:r>
    </w:p>
    <w:p w14:paraId="40AEE843" w14:textId="77777777" w:rsidR="00747D28" w:rsidRPr="00F23CCF" w:rsidRDefault="00000000">
      <w:pPr>
        <w:pStyle w:val="Heading2"/>
        <w:rPr>
          <w:color w:val="auto"/>
        </w:rPr>
      </w:pPr>
      <w:r w:rsidRPr="00F23CCF">
        <w:rPr>
          <w:color w:val="auto"/>
        </w:rPr>
        <w:t>2.1 Review Design and Rationale</w:t>
      </w:r>
    </w:p>
    <w:p w14:paraId="111122BE" w14:textId="77777777" w:rsidR="00747D28" w:rsidRPr="00F23CCF" w:rsidRDefault="00000000">
      <w:pPr>
        <w:jc w:val="both"/>
      </w:pPr>
      <w:r w:rsidRPr="00F23CCF">
        <w:t>A critical narrative review design was selected because the literature spans life-cycle assessment, agronomy, compost science, environmental microbiology, soil remediation, material science, animal nutrition and sericulture extension, with substantial heterogeneity in study questions, experimental units and outcome measures. These characteristics make a single pooled quantitative synthesis inappropriate. The review was nevertheless conducted transparently and critically. Its methodological approach was informed by the quality domains emphasised in the Scale for the Assessment of Narrative Review Articles, including justification of the topic, a clearly stated objective, description of the literature search, appropriate referencing and scientific reasoning (Baethge et al., 2019). No formal SANRA score was assigned because the instrument was used as a methodological guide rather than as a risk-of-bias tool for the included studies.</w:t>
      </w:r>
    </w:p>
    <w:p w14:paraId="596E82AD" w14:textId="77777777" w:rsidR="00747D28" w:rsidRPr="00F23CCF" w:rsidRDefault="00000000">
      <w:pPr>
        <w:pStyle w:val="Heading2"/>
        <w:rPr>
          <w:color w:val="auto"/>
        </w:rPr>
      </w:pPr>
      <w:r w:rsidRPr="00F23CCF">
        <w:rPr>
          <w:color w:val="auto"/>
        </w:rPr>
        <w:t>2.2 Information Sources</w:t>
      </w:r>
    </w:p>
    <w:p w14:paraId="7F9814C4" w14:textId="77777777" w:rsidR="00747D28" w:rsidRPr="00F23CCF" w:rsidRDefault="00000000">
      <w:pPr>
        <w:jc w:val="both"/>
      </w:pPr>
      <w:r w:rsidRPr="00F23CCF">
        <w:t>Literature searching used AGRIS, PubMed, Europe PMC, OpenAlex, DOAJ, Semantic Scholar and Google Scholar as the principal scholarly information sources. Backward and forward citation searching was used to locate earlier composting, environmental-impact and sericulture-residue studies, and related-article searching was used to follow specific evidence streams such as silkworm-excrement compost microbiology, contaminated-soil remediation and mulberry-residue utilisation. Bibliographic identities and digital object identifiers were checked against authoritative article records, DOI landing pages or indexed biomedical records. Authoritative sericulture guidance from the Central Silk Board of India and Tamil Nadu Agricultural University was used specifically for disease-associated waste and hygiene practices. Sources were retained only when bibliographic identity, relevance and claim support could be verified.</w:t>
      </w:r>
    </w:p>
    <w:p w14:paraId="08618EF4" w14:textId="77777777" w:rsidR="00747D28" w:rsidRPr="00F23CCF" w:rsidRDefault="00000000">
      <w:pPr>
        <w:pStyle w:val="Heading2"/>
        <w:rPr>
          <w:color w:val="auto"/>
        </w:rPr>
      </w:pPr>
      <w:r w:rsidRPr="00F23CCF">
        <w:rPr>
          <w:color w:val="auto"/>
        </w:rPr>
        <w:t>2.3 Search Strategy and Search Period</w:t>
      </w:r>
    </w:p>
    <w:p w14:paraId="21B5E1E9" w14:textId="77777777" w:rsidR="00747D28" w:rsidRPr="00F23CCF" w:rsidRDefault="00000000">
      <w:pPr>
        <w:jc w:val="both"/>
      </w:pPr>
      <w:r w:rsidRPr="00F23CCF">
        <w:t>The principal search period was January 1990 to 7 August 2026, with earlier foundational material eligible only if necessary to explain established practice. Search concepts combined the production system, material streams, treatment options and risk outcomes. Representative searches combined (sericulture OR “silkworm rearing” OR “</w:t>
      </w:r>
      <w:r w:rsidRPr="00F23CCF">
        <w:rPr>
          <w:i/>
        </w:rPr>
        <w:t>Bombyx mori</w:t>
      </w:r>
      <w:r w:rsidRPr="00F23CCF">
        <w:t>” OR “mulberry cultivation”) with (waste OR litter OR excrement OR frass OR “bed refuse” OR pruning OR branch OR residue), and then with terms such as generation, composition, composting, vermicomposting, biochar, valorisation, recycling, management, pathogen, emission, “life cycle”, remediation or “animal feed”. Additional searches combined “silkworm excrement” with compost microbiology, heavy metals, antibiotic resistance, pathogen, biochar or soil remediation, and combined mulberry leaf or mulberry branch with feed, pruning biomass, char and residue use. Search strings were adapted to the indexing conventions of each source while retaining the same concepts.</w:t>
      </w:r>
    </w:p>
    <w:p w14:paraId="59A8751F" w14:textId="77777777" w:rsidR="00747D28" w:rsidRPr="00F23CCF" w:rsidRDefault="00000000">
      <w:pPr>
        <w:pStyle w:val="Heading2"/>
        <w:rPr>
          <w:color w:val="auto"/>
        </w:rPr>
      </w:pPr>
      <w:r w:rsidRPr="00F23CCF">
        <w:rPr>
          <w:color w:val="auto"/>
        </w:rPr>
        <w:lastRenderedPageBreak/>
        <w:t>2.4 Eligibility Criteria</w:t>
      </w:r>
    </w:p>
    <w:p w14:paraId="2EA1F90F" w14:textId="77777777" w:rsidR="00747D28" w:rsidRPr="00F23CCF" w:rsidRDefault="00000000">
      <w:pPr>
        <w:jc w:val="both"/>
      </w:pPr>
      <w:r w:rsidRPr="00F23CCF">
        <w:t>Eligible journal sources were peer-reviewed original studies or reviews directly relevant to pre-cocoon material generation, waste characterisation, environmental impact, biological stabilisation, land application, remediation, thermal conversion, mulberry-residue utilisation or waste-associated hazards. Life-cycle studies were eligible when their system boundary included mulberry cultivation or cocoon production and could inform pre-cocoon environmental interpretation. Authoritative institutional guidance was eligible for silkworm disease-control and biosecurity practices. Studies of post-cocoon pupae, reeling wastewater, sericin extraction, degumming, silk-yarn waste or textile processing were excluded from the substantive synthesis. Studies that combined pre- and post-cocoon residues were used only where their broader perspective helped define the review gap or where the relevant pre-cocoon component could be distinguished.</w:t>
      </w:r>
    </w:p>
    <w:p w14:paraId="16DC8347" w14:textId="77777777" w:rsidR="00747D28" w:rsidRPr="00F23CCF" w:rsidRDefault="00000000">
      <w:pPr>
        <w:jc w:val="both"/>
      </w:pPr>
      <w:r w:rsidRPr="00F23CCF">
        <w:t>Experimental evidence was not excluded solely because it was laboratory- or pot-based, but its inferential scope was constrained accordingly. Studies of mulberry biomass from non-sericultural settings were included only when they addressed material properties or conversion pathways relevant to pruning residues, and the contextual limitation was made explicit. English-language records and English abstracts with sufficient verified metadata were considered. Sources with incomplete bibliographic details, uncertain article identity, unresolved DOI discrepancies, retraction concerns or only indirect relevance were not included as evidence. Publications after 7 August 2026 were outside the review period.</w:t>
      </w:r>
    </w:p>
    <w:p w14:paraId="24A4F191" w14:textId="77777777" w:rsidR="00747D28" w:rsidRPr="00F23CCF" w:rsidRDefault="00000000">
      <w:pPr>
        <w:pStyle w:val="Heading2"/>
        <w:rPr>
          <w:color w:val="auto"/>
        </w:rPr>
      </w:pPr>
      <w:r w:rsidRPr="00F23CCF">
        <w:rPr>
          <w:color w:val="auto"/>
        </w:rPr>
        <w:t>2.5 Screening, Duplicate Handling and Study Selection</w:t>
      </w:r>
    </w:p>
    <w:p w14:paraId="66D4190C" w14:textId="77777777" w:rsidR="00747D28" w:rsidRPr="00F23CCF" w:rsidRDefault="00000000">
      <w:pPr>
        <w:jc w:val="both"/>
      </w:pPr>
      <w:r w:rsidRPr="00F23CCF">
        <w:t>Records were assessed first for topic and system-boundary relevance, then for whether the full bibliographic identity and substantive findings could be verified. Duplicate records encountered across databases, indexing services and DOI searches were consolidated by title, authorship, year and DOI. Articles were retained preferentially when they provided original experimental or life-cycle evidence, a clearly defined pre-cocoon material, relevant hazard data, or a methodologically useful review of an adjacent evidence base. Narrative selection was purposive rather than exhaustive, so no PRISMA-style record counts are reported. Inaccessible records were not used for detailed numerical claims unless the indexed abstract and bibliographic record provided sufficient verified information for a limited, accurately framed statement.</w:t>
      </w:r>
    </w:p>
    <w:p w14:paraId="71D1C53C" w14:textId="77777777" w:rsidR="00747D28" w:rsidRPr="00F23CCF" w:rsidRDefault="00000000">
      <w:pPr>
        <w:pStyle w:val="Heading2"/>
        <w:rPr>
          <w:color w:val="auto"/>
        </w:rPr>
      </w:pPr>
      <w:r w:rsidRPr="00F23CCF">
        <w:rPr>
          <w:color w:val="auto"/>
        </w:rPr>
        <w:t>2.6 Critical Appraisal and Evidence Synthesis</w:t>
      </w:r>
    </w:p>
    <w:p w14:paraId="178893DF" w14:textId="77777777" w:rsidR="00747D28" w:rsidRPr="00F23CCF" w:rsidRDefault="00000000">
      <w:pPr>
        <w:jc w:val="both"/>
      </w:pPr>
      <w:r w:rsidRPr="00F23CCF">
        <w:t>Evidence was appraised qualitatively according to study design, clarity of feedstock definition, sample scale, controls, field relevance, analytical transparency, contaminant or microbiological characterisation, treatment conditions, replication, duration, outcome validity and transferability to farm practice. Greater weight was given to field studies, life-cycle assessments and experiments with well-described materials than to proof-of-concept studies whose feedstock origin or process boundary was poorly specified. Composting evidence was interpreted in relation to maturity, nutrient retention, odour, greenhouse-gas trade-offs and microbial safety rather than to a single performance indicator. Advanced material applications were evaluated separately from established farm-management options. Themes were developed around material taxonomy, generation and composition, environmental and biosecurity risks, treatment pathways, circular integration and evidence gaps. Apparent disagreements were examined for differences in source material, contamination status, treatment intensity, scale and endpoint rather than being forced into a single conclusion.</w:t>
      </w:r>
    </w:p>
    <w:p w14:paraId="6D9D9C43" w14:textId="77777777" w:rsidR="00747D28" w:rsidRPr="00F23CCF" w:rsidRDefault="00000000">
      <w:pPr>
        <w:pStyle w:val="Heading1"/>
        <w:rPr>
          <w:color w:val="auto"/>
        </w:rPr>
      </w:pPr>
      <w:r w:rsidRPr="00F23CCF">
        <w:rPr>
          <w:color w:val="auto"/>
        </w:rPr>
        <w:t>3. System Boundaries, Waste Taxonomy and the Problem of Inconsistent Terminology</w:t>
      </w:r>
    </w:p>
    <w:p w14:paraId="5280B6C4" w14:textId="77777777" w:rsidR="00747D28" w:rsidRPr="00F23CCF" w:rsidRDefault="00000000">
      <w:pPr>
        <w:jc w:val="both"/>
      </w:pPr>
      <w:r w:rsidRPr="00F23CCF">
        <w:t xml:space="preserve">A rigorous waste-management framework begins with a defensible system boundary. Pre-cocoon sericulture comprises two linked production domains: mulberry cultivation and silkworm rearing. The first generates field residues through pruning, shoot management, leaf selection and input handling. The second generates </w:t>
      </w:r>
      <w:r w:rsidRPr="00F23CCF">
        <w:lastRenderedPageBreak/>
        <w:t>material through feed conversion, bed cleaning, moulting, disease losses and cocooning. Because rearing is biologically intensive, the same physical material can move between categories: an uneaten mulberry leaf is a clean plant residue before contact with the rearing bed, but once mixed with faeces, cuticle fragments and a potentially infected bed it becomes a heterogeneous rearing residue. Management decisions should therefore follow both material identity and exposure history.</w:t>
      </w:r>
    </w:p>
    <w:p w14:paraId="2EF063EE" w14:textId="77777777" w:rsidR="00747D28" w:rsidRPr="00F23CCF" w:rsidRDefault="00000000">
      <w:pPr>
        <w:jc w:val="both"/>
      </w:pPr>
      <w:r w:rsidRPr="00F23CCF">
        <w:t>“Silkworm excrement” is the most problematic term in the literature. Some experimental studies use it as a relatively defined manure-like substrate, including work on controlled fermentation, compost chemistry and biochar (Chen et al., 2011; Jiang et al., 2025; Liu et al., 2024). Other papers use “silkworm litter” or “culture waste” for material that contains faeces plus plant residues and rearing debris (Sharma et al., 1999). Composting experiments with mulberry branches and silkworm excrement further show that these fractions are frequently recombined intentionally to balance lignocellulosic carbon and nutrient-rich material during treatment (Liu, He, et al., 2022; Yang et al., 2024). As a result, comparisons of nutrient content, decomposition rate or microbiological risk can be misleading if the underlying material is assumed to be identical.</w:t>
      </w:r>
    </w:p>
    <w:p w14:paraId="57367C6C" w14:textId="77777777" w:rsidR="00747D28" w:rsidRPr="00F23CCF" w:rsidRDefault="00000000">
      <w:pPr>
        <w:jc w:val="both"/>
      </w:pPr>
      <w:r w:rsidRPr="00F23CCF">
        <w:t>The boundary between a by-product and a waste is similarly functional rather than intrinsic. Clean, surplus mulberry leaves can be diverted before rearing and used as a livestock-feed ingredient, supported by feeding studies and broader reviews of mulberry foliage (Cai et al., 2019; Geng et al., 2024; Medhi et al., 2016; Mwai et al., 2021). The same leaves, after partial consumption and residence in a rearing bed, should not automatically enter a feed chain because they may be mixed with excreta, disinfectant residues or pathogens. Mulberry branches can be chipped, composted or converted thermochemically, but their optimal route depends on moisture, size, contamination and local demand. Disease-associated biological material, by contrast, is a waste requiring containment until sanitisation is demonstrated; it should not be reclassified as a resource merely because it contains nutrients.</w:t>
      </w:r>
    </w:p>
    <w:p w14:paraId="605028B4" w14:textId="77777777" w:rsidR="00747D28" w:rsidRPr="00F23CCF" w:rsidRDefault="00000000">
      <w:pPr>
        <w:jc w:val="both"/>
      </w:pPr>
      <w:r w:rsidRPr="00F23CCF">
        <w:t>The taxonomy used in this review therefore separates five operational classes: clean crop-derived biomass, routine rearing-bed organics, disease-associated biological waste, cocooning or mountage residues at the farm boundary, and auxiliary non-biodegradable or chemically contaminated wastes. The classification is deliberately management-oriented. It does not imply that each farm will produce every stream, nor that all material within a class has a fixed composition. Its purpose is to prevent the common analytical error of applying evidence obtained from clean, controlled material to a mixed or hazardous waste stream.</w:t>
      </w:r>
    </w:p>
    <w:p w14:paraId="7E3669B0" w14:textId="77777777" w:rsidR="00747D28" w:rsidRPr="00F23CCF" w:rsidRDefault="00000000">
      <w:pPr>
        <w:jc w:val="both"/>
      </w:pPr>
      <w:r w:rsidRPr="00F23CCF">
        <w:t>Table 1 summarises this source-based classification and shows why evidence must be attached to the material actually studied. The key distinction is between residues that can enter ordinary biological recycling after basic source control and residues that require a validated sanitisation or contaminant-management step before any beneficial use. The table also identifies where published evidence is comparatively strong and where management recommendations depend mainly on precautionary logic and institutional disease-control guidance.</w:t>
      </w:r>
    </w:p>
    <w:p w14:paraId="08817F26" w14:textId="77777777" w:rsidR="00747D28" w:rsidRPr="00F23CCF" w:rsidRDefault="00000000">
      <w:pPr>
        <w:pStyle w:val="TableCaption"/>
        <w:rPr>
          <w:color w:val="auto"/>
        </w:rPr>
      </w:pPr>
      <w:r w:rsidRPr="00F23CCF">
        <w:rPr>
          <w:color w:val="auto"/>
        </w:rPr>
        <w:t>Table 1. Operational taxonomy of pre-cocoon sericulture waste streams and management implications</w:t>
      </w:r>
    </w:p>
    <w:tbl>
      <w:tblPr>
        <w:tblStyle w:val="TableGrid"/>
        <w:tblW w:w="0" w:type="auto"/>
        <w:jc w:val="center"/>
        <w:tblLayout w:type="fixed"/>
        <w:tblLook w:val="04A0" w:firstRow="1" w:lastRow="0" w:firstColumn="1" w:lastColumn="0" w:noHBand="0" w:noVBand="1"/>
      </w:tblPr>
      <w:tblGrid>
        <w:gridCol w:w="1368"/>
        <w:gridCol w:w="1440"/>
        <w:gridCol w:w="1800"/>
        <w:gridCol w:w="1944"/>
        <w:gridCol w:w="2088"/>
        <w:gridCol w:w="1440"/>
      </w:tblGrid>
      <w:tr w:rsidR="00F23CCF" w:rsidRPr="00F23CCF" w14:paraId="6E169A67" w14:textId="77777777">
        <w:trPr>
          <w:cantSplit/>
          <w:tblHeader/>
          <w:jc w:val="center"/>
        </w:trPr>
        <w:tc>
          <w:tcPr>
            <w:tcW w:w="1368" w:type="dxa"/>
            <w:shd w:val="clear" w:color="auto" w:fill="D9EAF7"/>
            <w:tcMar>
              <w:top w:w="70" w:type="dxa"/>
              <w:left w:w="80" w:type="dxa"/>
              <w:bottom w:w="70" w:type="dxa"/>
              <w:right w:w="80" w:type="dxa"/>
            </w:tcMar>
            <w:vAlign w:val="center"/>
          </w:tcPr>
          <w:p w14:paraId="6AF7922B" w14:textId="77777777" w:rsidR="00747D28" w:rsidRPr="00F23CCF" w:rsidRDefault="00000000">
            <w:pPr>
              <w:spacing w:after="0" w:line="240" w:lineRule="auto"/>
              <w:jc w:val="center"/>
            </w:pPr>
            <w:r w:rsidRPr="00F23CCF">
              <w:rPr>
                <w:rFonts w:ascii="Arial" w:hAnsi="Arial"/>
                <w:b/>
                <w:sz w:val="16"/>
              </w:rPr>
              <w:t>Waste stream</w:t>
            </w:r>
          </w:p>
        </w:tc>
        <w:tc>
          <w:tcPr>
            <w:tcW w:w="1440" w:type="dxa"/>
            <w:shd w:val="clear" w:color="auto" w:fill="D9EAF7"/>
            <w:tcMar>
              <w:top w:w="70" w:type="dxa"/>
              <w:left w:w="80" w:type="dxa"/>
              <w:bottom w:w="70" w:type="dxa"/>
              <w:right w:w="80" w:type="dxa"/>
            </w:tcMar>
            <w:vAlign w:val="center"/>
          </w:tcPr>
          <w:p w14:paraId="36AF72C2" w14:textId="77777777" w:rsidR="00747D28" w:rsidRPr="00F23CCF" w:rsidRDefault="00000000">
            <w:pPr>
              <w:spacing w:after="0" w:line="240" w:lineRule="auto"/>
              <w:jc w:val="center"/>
            </w:pPr>
            <w:r w:rsidRPr="00F23CCF">
              <w:rPr>
                <w:rFonts w:ascii="Arial" w:hAnsi="Arial"/>
                <w:b/>
                <w:sz w:val="16"/>
              </w:rPr>
              <w:t>Point of generation</w:t>
            </w:r>
          </w:p>
        </w:tc>
        <w:tc>
          <w:tcPr>
            <w:tcW w:w="1800" w:type="dxa"/>
            <w:shd w:val="clear" w:color="auto" w:fill="D9EAF7"/>
            <w:tcMar>
              <w:top w:w="70" w:type="dxa"/>
              <w:left w:w="80" w:type="dxa"/>
              <w:bottom w:w="70" w:type="dxa"/>
              <w:right w:w="80" w:type="dxa"/>
            </w:tcMar>
            <w:vAlign w:val="center"/>
          </w:tcPr>
          <w:p w14:paraId="03D24F20" w14:textId="77777777" w:rsidR="00747D28" w:rsidRPr="00F23CCF" w:rsidRDefault="00000000">
            <w:pPr>
              <w:spacing w:after="0" w:line="240" w:lineRule="auto"/>
              <w:jc w:val="center"/>
            </w:pPr>
            <w:r w:rsidRPr="00F23CCF">
              <w:rPr>
                <w:rFonts w:ascii="Arial" w:hAnsi="Arial"/>
                <w:b/>
                <w:sz w:val="16"/>
              </w:rPr>
              <w:t>Typical constituents</w:t>
            </w:r>
          </w:p>
        </w:tc>
        <w:tc>
          <w:tcPr>
            <w:tcW w:w="1944" w:type="dxa"/>
            <w:shd w:val="clear" w:color="auto" w:fill="D9EAF7"/>
            <w:tcMar>
              <w:top w:w="70" w:type="dxa"/>
              <w:left w:w="80" w:type="dxa"/>
              <w:bottom w:w="70" w:type="dxa"/>
              <w:right w:w="80" w:type="dxa"/>
            </w:tcMar>
            <w:vAlign w:val="center"/>
          </w:tcPr>
          <w:p w14:paraId="36323F84" w14:textId="77777777" w:rsidR="00747D28" w:rsidRPr="00F23CCF" w:rsidRDefault="00000000">
            <w:pPr>
              <w:spacing w:after="0" w:line="240" w:lineRule="auto"/>
              <w:jc w:val="center"/>
            </w:pPr>
            <w:r w:rsidRPr="00F23CCF">
              <w:rPr>
                <w:rFonts w:ascii="Arial" w:hAnsi="Arial"/>
                <w:b/>
                <w:sz w:val="16"/>
              </w:rPr>
              <w:t>Dominant management concern</w:t>
            </w:r>
          </w:p>
        </w:tc>
        <w:tc>
          <w:tcPr>
            <w:tcW w:w="2088" w:type="dxa"/>
            <w:shd w:val="clear" w:color="auto" w:fill="D9EAF7"/>
            <w:tcMar>
              <w:top w:w="70" w:type="dxa"/>
              <w:left w:w="80" w:type="dxa"/>
              <w:bottom w:w="70" w:type="dxa"/>
              <w:right w:w="80" w:type="dxa"/>
            </w:tcMar>
            <w:vAlign w:val="center"/>
          </w:tcPr>
          <w:p w14:paraId="40BB69F8" w14:textId="77777777" w:rsidR="00747D28" w:rsidRPr="00F23CCF" w:rsidRDefault="00000000">
            <w:pPr>
              <w:spacing w:after="0" w:line="240" w:lineRule="auto"/>
              <w:jc w:val="center"/>
            </w:pPr>
            <w:r w:rsidRPr="00F23CCF">
              <w:rPr>
                <w:rFonts w:ascii="Arial" w:hAnsi="Arial"/>
                <w:b/>
                <w:sz w:val="16"/>
              </w:rPr>
              <w:t>Circular potential and evidence confidence</w:t>
            </w:r>
          </w:p>
        </w:tc>
        <w:tc>
          <w:tcPr>
            <w:tcW w:w="1440" w:type="dxa"/>
            <w:shd w:val="clear" w:color="auto" w:fill="D9EAF7"/>
            <w:tcMar>
              <w:top w:w="70" w:type="dxa"/>
              <w:left w:w="80" w:type="dxa"/>
              <w:bottom w:w="70" w:type="dxa"/>
              <w:right w:w="80" w:type="dxa"/>
            </w:tcMar>
            <w:vAlign w:val="center"/>
          </w:tcPr>
          <w:p w14:paraId="70DD1FB7"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21CB4FC2" w14:textId="77777777">
        <w:trPr>
          <w:cantSplit/>
          <w:jc w:val="center"/>
        </w:trPr>
        <w:tc>
          <w:tcPr>
            <w:tcW w:w="1368" w:type="dxa"/>
            <w:tcMar>
              <w:top w:w="70" w:type="dxa"/>
              <w:left w:w="80" w:type="dxa"/>
              <w:bottom w:w="70" w:type="dxa"/>
              <w:right w:w="80" w:type="dxa"/>
            </w:tcMar>
            <w:vAlign w:val="center"/>
          </w:tcPr>
          <w:p w14:paraId="742E430C" w14:textId="77777777" w:rsidR="00747D28" w:rsidRPr="00F23CCF" w:rsidRDefault="00000000">
            <w:pPr>
              <w:spacing w:after="0" w:line="240" w:lineRule="auto"/>
            </w:pPr>
            <w:r w:rsidRPr="00F23CCF">
              <w:rPr>
                <w:rFonts w:ascii="Arial" w:hAnsi="Arial"/>
                <w:sz w:val="15"/>
              </w:rPr>
              <w:t>Clean crop-derived biomass</w:t>
            </w:r>
          </w:p>
        </w:tc>
        <w:tc>
          <w:tcPr>
            <w:tcW w:w="1440" w:type="dxa"/>
            <w:tcMar>
              <w:top w:w="70" w:type="dxa"/>
              <w:left w:w="80" w:type="dxa"/>
              <w:bottom w:w="70" w:type="dxa"/>
              <w:right w:w="80" w:type="dxa"/>
            </w:tcMar>
            <w:vAlign w:val="center"/>
          </w:tcPr>
          <w:p w14:paraId="2DCF1746" w14:textId="77777777" w:rsidR="00747D28" w:rsidRPr="00F23CCF" w:rsidRDefault="00000000">
            <w:pPr>
              <w:spacing w:after="0" w:line="240" w:lineRule="auto"/>
            </w:pPr>
            <w:r w:rsidRPr="00F23CCF">
              <w:rPr>
                <w:rFonts w:ascii="Arial" w:hAnsi="Arial"/>
                <w:sz w:val="15"/>
              </w:rPr>
              <w:t>Mulberry pruning, shoot management, leaf sorting</w:t>
            </w:r>
          </w:p>
        </w:tc>
        <w:tc>
          <w:tcPr>
            <w:tcW w:w="1800" w:type="dxa"/>
            <w:tcMar>
              <w:top w:w="70" w:type="dxa"/>
              <w:left w:w="80" w:type="dxa"/>
              <w:bottom w:w="70" w:type="dxa"/>
              <w:right w:w="80" w:type="dxa"/>
            </w:tcMar>
            <w:vAlign w:val="center"/>
          </w:tcPr>
          <w:p w14:paraId="7CBCB244" w14:textId="77777777" w:rsidR="00747D28" w:rsidRPr="00F23CCF" w:rsidRDefault="00000000">
            <w:pPr>
              <w:spacing w:after="0" w:line="240" w:lineRule="auto"/>
            </w:pPr>
            <w:r w:rsidRPr="00F23CCF">
              <w:rPr>
                <w:rFonts w:ascii="Arial" w:hAnsi="Arial"/>
                <w:sz w:val="15"/>
              </w:rPr>
              <w:t>Branches, twigs, stems, surplus or rejected clean leaves</w:t>
            </w:r>
          </w:p>
        </w:tc>
        <w:tc>
          <w:tcPr>
            <w:tcW w:w="1944" w:type="dxa"/>
            <w:tcMar>
              <w:top w:w="70" w:type="dxa"/>
              <w:left w:w="80" w:type="dxa"/>
              <w:bottom w:w="70" w:type="dxa"/>
              <w:right w:w="80" w:type="dxa"/>
            </w:tcMar>
            <w:vAlign w:val="center"/>
          </w:tcPr>
          <w:p w14:paraId="6E0FD2BC" w14:textId="77777777" w:rsidR="00747D28" w:rsidRPr="00F23CCF" w:rsidRDefault="00000000">
            <w:pPr>
              <w:spacing w:after="0" w:line="240" w:lineRule="auto"/>
            </w:pPr>
            <w:r w:rsidRPr="00F23CCF">
              <w:rPr>
                <w:rFonts w:ascii="Arial" w:hAnsi="Arial"/>
                <w:sz w:val="15"/>
              </w:rPr>
              <w:t>Moisture, storage, nutrient loss; avoid mixing with chemicals or diseased material</w:t>
            </w:r>
          </w:p>
        </w:tc>
        <w:tc>
          <w:tcPr>
            <w:tcW w:w="2088" w:type="dxa"/>
            <w:tcMar>
              <w:top w:w="70" w:type="dxa"/>
              <w:left w:w="80" w:type="dxa"/>
              <w:bottom w:w="70" w:type="dxa"/>
              <w:right w:w="80" w:type="dxa"/>
            </w:tcMar>
            <w:vAlign w:val="center"/>
          </w:tcPr>
          <w:p w14:paraId="70147632" w14:textId="77777777" w:rsidR="00747D28" w:rsidRPr="00F23CCF" w:rsidRDefault="00000000">
            <w:pPr>
              <w:spacing w:after="0" w:line="240" w:lineRule="auto"/>
            </w:pPr>
            <w:r w:rsidRPr="00F23CCF">
              <w:rPr>
                <w:rFonts w:ascii="Arial" w:hAnsi="Arial"/>
                <w:sz w:val="15"/>
              </w:rPr>
              <w:t>High potential for prevention, feed diversion of clean foliage, co-composting, or selected thermochemical use; evidence moderate to strong by pathway</w:t>
            </w:r>
          </w:p>
        </w:tc>
        <w:tc>
          <w:tcPr>
            <w:tcW w:w="1440" w:type="dxa"/>
            <w:tcMar>
              <w:top w:w="70" w:type="dxa"/>
              <w:left w:w="80" w:type="dxa"/>
              <w:bottom w:w="70" w:type="dxa"/>
              <w:right w:w="80" w:type="dxa"/>
            </w:tcMar>
            <w:vAlign w:val="center"/>
          </w:tcPr>
          <w:p w14:paraId="5C075EC3" w14:textId="77777777" w:rsidR="00747D28" w:rsidRPr="00F23CCF" w:rsidRDefault="00000000">
            <w:pPr>
              <w:spacing w:after="0" w:line="240" w:lineRule="auto"/>
            </w:pPr>
            <w:r w:rsidRPr="00F23CCF">
              <w:rPr>
                <w:rFonts w:ascii="Arial" w:hAnsi="Arial"/>
                <w:sz w:val="15"/>
              </w:rPr>
              <w:t>Cai et al., 2019; Geng et al., 2024; Liu, He, et al., 2022; Wu et al., 2012</w:t>
            </w:r>
          </w:p>
        </w:tc>
      </w:tr>
      <w:tr w:rsidR="00F23CCF" w:rsidRPr="00F23CCF" w14:paraId="59F591FE" w14:textId="77777777">
        <w:trPr>
          <w:cantSplit/>
          <w:jc w:val="center"/>
        </w:trPr>
        <w:tc>
          <w:tcPr>
            <w:tcW w:w="1368" w:type="dxa"/>
            <w:tcMar>
              <w:top w:w="70" w:type="dxa"/>
              <w:left w:w="80" w:type="dxa"/>
              <w:bottom w:w="70" w:type="dxa"/>
              <w:right w:w="80" w:type="dxa"/>
            </w:tcMar>
            <w:vAlign w:val="center"/>
          </w:tcPr>
          <w:p w14:paraId="0FBF950E" w14:textId="77777777" w:rsidR="00747D28" w:rsidRPr="00F23CCF" w:rsidRDefault="00000000">
            <w:pPr>
              <w:spacing w:after="0" w:line="240" w:lineRule="auto"/>
            </w:pPr>
            <w:r w:rsidRPr="00F23CCF">
              <w:rPr>
                <w:rFonts w:ascii="Arial" w:hAnsi="Arial"/>
                <w:sz w:val="15"/>
              </w:rPr>
              <w:lastRenderedPageBreak/>
              <w:t>Routine rearing-bed organics</w:t>
            </w:r>
          </w:p>
        </w:tc>
        <w:tc>
          <w:tcPr>
            <w:tcW w:w="1440" w:type="dxa"/>
            <w:tcMar>
              <w:top w:w="70" w:type="dxa"/>
              <w:left w:w="80" w:type="dxa"/>
              <w:bottom w:w="70" w:type="dxa"/>
              <w:right w:w="80" w:type="dxa"/>
            </w:tcMar>
            <w:vAlign w:val="center"/>
          </w:tcPr>
          <w:p w14:paraId="43C5E9D1" w14:textId="77777777" w:rsidR="00747D28" w:rsidRPr="00F23CCF" w:rsidRDefault="00000000">
            <w:pPr>
              <w:spacing w:after="0" w:line="240" w:lineRule="auto"/>
            </w:pPr>
            <w:r w:rsidRPr="00F23CCF">
              <w:rPr>
                <w:rFonts w:ascii="Arial" w:hAnsi="Arial"/>
                <w:sz w:val="15"/>
              </w:rPr>
              <w:t>Feeding and bed cleaning of apparently healthy batches</w:t>
            </w:r>
          </w:p>
        </w:tc>
        <w:tc>
          <w:tcPr>
            <w:tcW w:w="1800" w:type="dxa"/>
            <w:tcMar>
              <w:top w:w="70" w:type="dxa"/>
              <w:left w:w="80" w:type="dxa"/>
              <w:bottom w:w="70" w:type="dxa"/>
              <w:right w:w="80" w:type="dxa"/>
            </w:tcMar>
            <w:vAlign w:val="center"/>
          </w:tcPr>
          <w:p w14:paraId="1AA7C574" w14:textId="77777777" w:rsidR="00747D28" w:rsidRPr="00F23CCF" w:rsidRDefault="00000000">
            <w:pPr>
              <w:spacing w:after="0" w:line="240" w:lineRule="auto"/>
            </w:pPr>
            <w:r w:rsidRPr="00F23CCF">
              <w:rPr>
                <w:rFonts w:ascii="Arial" w:hAnsi="Arial"/>
                <w:sz w:val="15"/>
              </w:rPr>
              <w:t>Faeces, uneaten leaf, petioles, small shoots, exuviae and bed debris</w:t>
            </w:r>
          </w:p>
        </w:tc>
        <w:tc>
          <w:tcPr>
            <w:tcW w:w="1944" w:type="dxa"/>
            <w:tcMar>
              <w:top w:w="70" w:type="dxa"/>
              <w:left w:w="80" w:type="dxa"/>
              <w:bottom w:w="70" w:type="dxa"/>
              <w:right w:w="80" w:type="dxa"/>
            </w:tcMar>
            <w:vAlign w:val="center"/>
          </w:tcPr>
          <w:p w14:paraId="314EB468" w14:textId="77777777" w:rsidR="00747D28" w:rsidRPr="00F23CCF" w:rsidRDefault="00000000">
            <w:pPr>
              <w:spacing w:after="0" w:line="240" w:lineRule="auto"/>
            </w:pPr>
            <w:r w:rsidRPr="00F23CCF">
              <w:rPr>
                <w:rFonts w:ascii="Arial" w:hAnsi="Arial"/>
                <w:sz w:val="15"/>
              </w:rPr>
              <w:t>Rapid decomposition, odour, nitrogen loss, variable material definition and microbiology</w:t>
            </w:r>
          </w:p>
        </w:tc>
        <w:tc>
          <w:tcPr>
            <w:tcW w:w="2088" w:type="dxa"/>
            <w:tcMar>
              <w:top w:w="70" w:type="dxa"/>
              <w:left w:w="80" w:type="dxa"/>
              <w:bottom w:w="70" w:type="dxa"/>
              <w:right w:w="80" w:type="dxa"/>
            </w:tcMar>
            <w:vAlign w:val="center"/>
          </w:tcPr>
          <w:p w14:paraId="336BB547" w14:textId="77777777" w:rsidR="00747D28" w:rsidRPr="00F23CCF" w:rsidRDefault="00000000">
            <w:pPr>
              <w:spacing w:after="0" w:line="240" w:lineRule="auto"/>
            </w:pPr>
            <w:r w:rsidRPr="00F23CCF">
              <w:rPr>
                <w:rFonts w:ascii="Arial" w:hAnsi="Arial"/>
                <w:sz w:val="15"/>
              </w:rPr>
              <w:t>Strong technical evidence for controlled composting; agronomic use should follow maturity and safety checks</w:t>
            </w:r>
          </w:p>
        </w:tc>
        <w:tc>
          <w:tcPr>
            <w:tcW w:w="1440" w:type="dxa"/>
            <w:tcMar>
              <w:top w:w="70" w:type="dxa"/>
              <w:left w:w="80" w:type="dxa"/>
              <w:bottom w:w="70" w:type="dxa"/>
              <w:right w:w="80" w:type="dxa"/>
            </w:tcMar>
            <w:vAlign w:val="center"/>
          </w:tcPr>
          <w:p w14:paraId="461620CF" w14:textId="77777777" w:rsidR="00747D28" w:rsidRPr="00F23CCF" w:rsidRDefault="00000000">
            <w:pPr>
              <w:spacing w:after="0" w:line="240" w:lineRule="auto"/>
            </w:pPr>
            <w:r w:rsidRPr="00F23CCF">
              <w:rPr>
                <w:rFonts w:ascii="Arial" w:hAnsi="Arial"/>
                <w:sz w:val="15"/>
              </w:rPr>
              <w:t>Chen et al., 2011, 2016; Li et al., 2018; Sharma et al., 1999; Shen et al., 2024</w:t>
            </w:r>
          </w:p>
        </w:tc>
      </w:tr>
      <w:tr w:rsidR="00F23CCF" w:rsidRPr="00F23CCF" w14:paraId="4AC594C5" w14:textId="77777777">
        <w:trPr>
          <w:cantSplit/>
          <w:jc w:val="center"/>
        </w:trPr>
        <w:tc>
          <w:tcPr>
            <w:tcW w:w="1368" w:type="dxa"/>
            <w:tcMar>
              <w:top w:w="70" w:type="dxa"/>
              <w:left w:w="80" w:type="dxa"/>
              <w:bottom w:w="70" w:type="dxa"/>
              <w:right w:w="80" w:type="dxa"/>
            </w:tcMar>
            <w:vAlign w:val="center"/>
          </w:tcPr>
          <w:p w14:paraId="3CEEB396" w14:textId="77777777" w:rsidR="00747D28" w:rsidRPr="00F23CCF" w:rsidRDefault="00000000">
            <w:pPr>
              <w:spacing w:after="0" w:line="240" w:lineRule="auto"/>
            </w:pPr>
            <w:r w:rsidRPr="00F23CCF">
              <w:rPr>
                <w:rFonts w:ascii="Arial" w:hAnsi="Arial"/>
                <w:sz w:val="15"/>
              </w:rPr>
              <w:t>Disease-associated biological waste</w:t>
            </w:r>
          </w:p>
        </w:tc>
        <w:tc>
          <w:tcPr>
            <w:tcW w:w="1440" w:type="dxa"/>
            <w:tcMar>
              <w:top w:w="70" w:type="dxa"/>
              <w:left w:w="80" w:type="dxa"/>
              <w:bottom w:w="70" w:type="dxa"/>
              <w:right w:w="80" w:type="dxa"/>
            </w:tcMar>
            <w:vAlign w:val="center"/>
          </w:tcPr>
          <w:p w14:paraId="2C6C5411" w14:textId="77777777" w:rsidR="00747D28" w:rsidRPr="00F23CCF" w:rsidRDefault="00000000">
            <w:pPr>
              <w:spacing w:after="0" w:line="240" w:lineRule="auto"/>
            </w:pPr>
            <w:r w:rsidRPr="00F23CCF">
              <w:rPr>
                <w:rFonts w:ascii="Arial" w:hAnsi="Arial"/>
                <w:sz w:val="15"/>
              </w:rPr>
              <w:t>Diseased or suspect rearing batches</w:t>
            </w:r>
          </w:p>
        </w:tc>
        <w:tc>
          <w:tcPr>
            <w:tcW w:w="1800" w:type="dxa"/>
            <w:tcMar>
              <w:top w:w="70" w:type="dxa"/>
              <w:left w:w="80" w:type="dxa"/>
              <w:bottom w:w="70" w:type="dxa"/>
              <w:right w:w="80" w:type="dxa"/>
            </w:tcMar>
            <w:vAlign w:val="center"/>
          </w:tcPr>
          <w:p w14:paraId="52E1CA18" w14:textId="77777777" w:rsidR="00747D28" w:rsidRPr="00F23CCF" w:rsidRDefault="00000000">
            <w:pPr>
              <w:spacing w:after="0" w:line="240" w:lineRule="auto"/>
            </w:pPr>
            <w:r w:rsidRPr="00F23CCF">
              <w:rPr>
                <w:rFonts w:ascii="Arial" w:hAnsi="Arial"/>
                <w:sz w:val="15"/>
              </w:rPr>
              <w:t>Cadavers, abnormal excreta, contaminated bed refuse, body fluids and associated organic debris</w:t>
            </w:r>
          </w:p>
        </w:tc>
        <w:tc>
          <w:tcPr>
            <w:tcW w:w="1944" w:type="dxa"/>
            <w:tcMar>
              <w:top w:w="70" w:type="dxa"/>
              <w:left w:w="80" w:type="dxa"/>
              <w:bottom w:w="70" w:type="dxa"/>
              <w:right w:w="80" w:type="dxa"/>
            </w:tcMar>
            <w:vAlign w:val="center"/>
          </w:tcPr>
          <w:p w14:paraId="3B12E438" w14:textId="77777777" w:rsidR="00747D28" w:rsidRPr="00F23CCF" w:rsidRDefault="00000000">
            <w:pPr>
              <w:spacing w:after="0" w:line="240" w:lineRule="auto"/>
            </w:pPr>
            <w:r w:rsidRPr="00F23CCF">
              <w:rPr>
                <w:rFonts w:ascii="Arial" w:hAnsi="Arial"/>
                <w:sz w:val="15"/>
              </w:rPr>
              <w:t>Transmission of silkworm pathogens and cross-contamination of healthy batches</w:t>
            </w:r>
          </w:p>
        </w:tc>
        <w:tc>
          <w:tcPr>
            <w:tcW w:w="2088" w:type="dxa"/>
            <w:tcMar>
              <w:top w:w="70" w:type="dxa"/>
              <w:left w:w="80" w:type="dxa"/>
              <w:bottom w:w="70" w:type="dxa"/>
              <w:right w:w="80" w:type="dxa"/>
            </w:tcMar>
            <w:vAlign w:val="center"/>
          </w:tcPr>
          <w:p w14:paraId="5ECA0897" w14:textId="77777777" w:rsidR="00747D28" w:rsidRPr="00F23CCF" w:rsidRDefault="00000000">
            <w:pPr>
              <w:spacing w:after="0" w:line="240" w:lineRule="auto"/>
            </w:pPr>
            <w:r w:rsidRPr="00F23CCF">
              <w:rPr>
                <w:rFonts w:ascii="Arial" w:hAnsi="Arial"/>
                <w:sz w:val="15"/>
              </w:rPr>
              <w:t>Routine recycling should be withheld unless a validated sanitisation process is available; secure destruction may remain necessary</w:t>
            </w:r>
          </w:p>
        </w:tc>
        <w:tc>
          <w:tcPr>
            <w:tcW w:w="1440" w:type="dxa"/>
            <w:tcMar>
              <w:top w:w="70" w:type="dxa"/>
              <w:left w:w="80" w:type="dxa"/>
              <w:bottom w:w="70" w:type="dxa"/>
              <w:right w:w="80" w:type="dxa"/>
            </w:tcMar>
            <w:vAlign w:val="center"/>
          </w:tcPr>
          <w:p w14:paraId="07B8774E" w14:textId="77777777" w:rsidR="00747D28" w:rsidRPr="00F23CCF" w:rsidRDefault="00000000">
            <w:pPr>
              <w:spacing w:after="0" w:line="240" w:lineRule="auto"/>
            </w:pPr>
            <w:r w:rsidRPr="00F23CCF">
              <w:rPr>
                <w:rFonts w:ascii="Arial" w:hAnsi="Arial"/>
                <w:sz w:val="15"/>
              </w:rPr>
              <w:t>Central Silk Board, n.d.; Tamil Nadu Agricultural University, n.d.</w:t>
            </w:r>
          </w:p>
        </w:tc>
      </w:tr>
      <w:tr w:rsidR="00F23CCF" w:rsidRPr="00F23CCF" w14:paraId="65F3E0C5" w14:textId="77777777">
        <w:trPr>
          <w:cantSplit/>
          <w:jc w:val="center"/>
        </w:trPr>
        <w:tc>
          <w:tcPr>
            <w:tcW w:w="1368" w:type="dxa"/>
            <w:tcMar>
              <w:top w:w="70" w:type="dxa"/>
              <w:left w:w="80" w:type="dxa"/>
              <w:bottom w:w="70" w:type="dxa"/>
              <w:right w:w="80" w:type="dxa"/>
            </w:tcMar>
            <w:vAlign w:val="center"/>
          </w:tcPr>
          <w:p w14:paraId="18E93491" w14:textId="77777777" w:rsidR="00747D28" w:rsidRPr="00F23CCF" w:rsidRDefault="00000000">
            <w:pPr>
              <w:spacing w:after="0" w:line="240" w:lineRule="auto"/>
            </w:pPr>
            <w:r w:rsidRPr="00F23CCF">
              <w:rPr>
                <w:rFonts w:ascii="Arial" w:hAnsi="Arial"/>
                <w:sz w:val="15"/>
              </w:rPr>
              <w:t xml:space="preserve">Cocooning and </w:t>
            </w:r>
            <w:proofErr w:type="spellStart"/>
            <w:r w:rsidRPr="00F23CCF">
              <w:rPr>
                <w:rFonts w:ascii="Arial" w:hAnsi="Arial"/>
                <w:sz w:val="15"/>
              </w:rPr>
              <w:t>mountage</w:t>
            </w:r>
            <w:proofErr w:type="spellEnd"/>
            <w:r w:rsidRPr="00F23CCF">
              <w:rPr>
                <w:rFonts w:ascii="Arial" w:hAnsi="Arial"/>
                <w:sz w:val="15"/>
              </w:rPr>
              <w:t xml:space="preserve"> residues</w:t>
            </w:r>
          </w:p>
        </w:tc>
        <w:tc>
          <w:tcPr>
            <w:tcW w:w="1440" w:type="dxa"/>
            <w:tcMar>
              <w:top w:w="70" w:type="dxa"/>
              <w:left w:w="80" w:type="dxa"/>
              <w:bottom w:w="70" w:type="dxa"/>
              <w:right w:w="80" w:type="dxa"/>
            </w:tcMar>
            <w:vAlign w:val="center"/>
          </w:tcPr>
          <w:p w14:paraId="459260D6" w14:textId="77777777" w:rsidR="00747D28" w:rsidRPr="00F23CCF" w:rsidRDefault="00000000">
            <w:pPr>
              <w:spacing w:after="0" w:line="240" w:lineRule="auto"/>
            </w:pPr>
            <w:r w:rsidRPr="00F23CCF">
              <w:rPr>
                <w:rFonts w:ascii="Arial" w:hAnsi="Arial"/>
                <w:sz w:val="15"/>
              </w:rPr>
              <w:t>Mounting and farm-level cocoon harvest</w:t>
            </w:r>
          </w:p>
        </w:tc>
        <w:tc>
          <w:tcPr>
            <w:tcW w:w="1800" w:type="dxa"/>
            <w:tcMar>
              <w:top w:w="70" w:type="dxa"/>
              <w:left w:w="80" w:type="dxa"/>
              <w:bottom w:w="70" w:type="dxa"/>
              <w:right w:w="80" w:type="dxa"/>
            </w:tcMar>
            <w:vAlign w:val="center"/>
          </w:tcPr>
          <w:p w14:paraId="1B99DA7F" w14:textId="77777777" w:rsidR="00747D28" w:rsidRPr="00F23CCF" w:rsidRDefault="00000000">
            <w:pPr>
              <w:spacing w:after="0" w:line="240" w:lineRule="auto"/>
            </w:pPr>
            <w:r w:rsidRPr="00F23CCF">
              <w:rPr>
                <w:rFonts w:ascii="Arial" w:hAnsi="Arial"/>
                <w:sz w:val="15"/>
              </w:rPr>
              <w:t>Minor plant or mounting debris, faecal remnants, defective material at the farm boundary</w:t>
            </w:r>
          </w:p>
        </w:tc>
        <w:tc>
          <w:tcPr>
            <w:tcW w:w="1944" w:type="dxa"/>
            <w:tcMar>
              <w:top w:w="70" w:type="dxa"/>
              <w:left w:w="80" w:type="dxa"/>
              <w:bottom w:w="70" w:type="dxa"/>
              <w:right w:w="80" w:type="dxa"/>
            </w:tcMar>
            <w:vAlign w:val="center"/>
          </w:tcPr>
          <w:p w14:paraId="785FEB10" w14:textId="77777777" w:rsidR="00747D28" w:rsidRPr="00F23CCF" w:rsidRDefault="00000000">
            <w:pPr>
              <w:spacing w:after="0" w:line="240" w:lineRule="auto"/>
            </w:pPr>
            <w:r w:rsidRPr="00F23CCF">
              <w:rPr>
                <w:rFonts w:ascii="Arial" w:hAnsi="Arial"/>
                <w:sz w:val="15"/>
              </w:rPr>
              <w:t>Mixed composition and possible disease association; boundary with post-cocoon processing</w:t>
            </w:r>
          </w:p>
        </w:tc>
        <w:tc>
          <w:tcPr>
            <w:tcW w:w="2088" w:type="dxa"/>
            <w:tcMar>
              <w:top w:w="70" w:type="dxa"/>
              <w:left w:w="80" w:type="dxa"/>
              <w:bottom w:w="70" w:type="dxa"/>
              <w:right w:w="80" w:type="dxa"/>
            </w:tcMar>
            <w:vAlign w:val="center"/>
          </w:tcPr>
          <w:p w14:paraId="12C9B61B" w14:textId="77777777" w:rsidR="00747D28" w:rsidRPr="00F23CCF" w:rsidRDefault="00000000">
            <w:pPr>
              <w:spacing w:after="0" w:line="240" w:lineRule="auto"/>
            </w:pPr>
            <w:r w:rsidRPr="00F23CCF">
              <w:rPr>
                <w:rFonts w:ascii="Arial" w:hAnsi="Arial"/>
                <w:sz w:val="15"/>
              </w:rPr>
              <w:t>Clean biodegradable fractions may join controlled organic treatment; defective/diseased material requires risk-based segregation</w:t>
            </w:r>
          </w:p>
        </w:tc>
        <w:tc>
          <w:tcPr>
            <w:tcW w:w="1440" w:type="dxa"/>
            <w:tcMar>
              <w:top w:w="70" w:type="dxa"/>
              <w:left w:w="80" w:type="dxa"/>
              <w:bottom w:w="70" w:type="dxa"/>
              <w:right w:w="80" w:type="dxa"/>
            </w:tcMar>
            <w:vAlign w:val="center"/>
          </w:tcPr>
          <w:p w14:paraId="5F5BF5DC" w14:textId="77777777" w:rsidR="00747D28" w:rsidRPr="00F23CCF" w:rsidRDefault="00000000">
            <w:pPr>
              <w:spacing w:after="0" w:line="240" w:lineRule="auto"/>
            </w:pPr>
            <w:r w:rsidRPr="00F23CCF">
              <w:rPr>
                <w:rFonts w:ascii="Arial" w:hAnsi="Arial"/>
                <w:sz w:val="15"/>
              </w:rPr>
              <w:t>Altman &amp; Farrell, 2022; Kaushik et al., 2025</w:t>
            </w:r>
          </w:p>
        </w:tc>
      </w:tr>
      <w:tr w:rsidR="00F23CCF" w:rsidRPr="00F23CCF" w14:paraId="0527E32E" w14:textId="77777777">
        <w:trPr>
          <w:cantSplit/>
          <w:jc w:val="center"/>
        </w:trPr>
        <w:tc>
          <w:tcPr>
            <w:tcW w:w="1368" w:type="dxa"/>
            <w:tcMar>
              <w:top w:w="70" w:type="dxa"/>
              <w:left w:w="80" w:type="dxa"/>
              <w:bottom w:w="70" w:type="dxa"/>
              <w:right w:w="80" w:type="dxa"/>
            </w:tcMar>
            <w:vAlign w:val="center"/>
          </w:tcPr>
          <w:p w14:paraId="5802DC54" w14:textId="77777777" w:rsidR="00747D28" w:rsidRPr="00F23CCF" w:rsidRDefault="00000000">
            <w:pPr>
              <w:spacing w:after="0" w:line="240" w:lineRule="auto"/>
            </w:pPr>
            <w:r w:rsidRPr="00F23CCF">
              <w:rPr>
                <w:rFonts w:ascii="Arial" w:hAnsi="Arial"/>
                <w:sz w:val="15"/>
              </w:rPr>
              <w:t>Auxiliary and chemical residues</w:t>
            </w:r>
          </w:p>
        </w:tc>
        <w:tc>
          <w:tcPr>
            <w:tcW w:w="1440" w:type="dxa"/>
            <w:tcMar>
              <w:top w:w="70" w:type="dxa"/>
              <w:left w:w="80" w:type="dxa"/>
              <w:bottom w:w="70" w:type="dxa"/>
              <w:right w:w="80" w:type="dxa"/>
            </w:tcMar>
            <w:vAlign w:val="center"/>
          </w:tcPr>
          <w:p w14:paraId="00CB588A" w14:textId="77777777" w:rsidR="00747D28" w:rsidRPr="00F23CCF" w:rsidRDefault="00000000">
            <w:pPr>
              <w:spacing w:after="0" w:line="240" w:lineRule="auto"/>
            </w:pPr>
            <w:r w:rsidRPr="00F23CCF">
              <w:rPr>
                <w:rFonts w:ascii="Arial" w:hAnsi="Arial"/>
                <w:sz w:val="15"/>
              </w:rPr>
              <w:t>Mulberry inputs, rearing-house disinfection, packaging and equipment use</w:t>
            </w:r>
          </w:p>
        </w:tc>
        <w:tc>
          <w:tcPr>
            <w:tcW w:w="1800" w:type="dxa"/>
            <w:tcMar>
              <w:top w:w="70" w:type="dxa"/>
              <w:left w:w="80" w:type="dxa"/>
              <w:bottom w:w="70" w:type="dxa"/>
              <w:right w:w="80" w:type="dxa"/>
            </w:tcMar>
            <w:vAlign w:val="center"/>
          </w:tcPr>
          <w:p w14:paraId="14104754" w14:textId="77777777" w:rsidR="00747D28" w:rsidRPr="00F23CCF" w:rsidRDefault="00000000">
            <w:pPr>
              <w:spacing w:after="0" w:line="240" w:lineRule="auto"/>
            </w:pPr>
            <w:r w:rsidRPr="00F23CCF">
              <w:rPr>
                <w:rFonts w:ascii="Arial" w:hAnsi="Arial"/>
                <w:sz w:val="15"/>
              </w:rPr>
              <w:t>Plastic and paper packaging, chemical containers, synthetic bed or net material, broken accessories</w:t>
            </w:r>
          </w:p>
        </w:tc>
        <w:tc>
          <w:tcPr>
            <w:tcW w:w="1944" w:type="dxa"/>
            <w:tcMar>
              <w:top w:w="70" w:type="dxa"/>
              <w:left w:w="80" w:type="dxa"/>
              <w:bottom w:w="70" w:type="dxa"/>
              <w:right w:w="80" w:type="dxa"/>
            </w:tcMar>
            <w:vAlign w:val="center"/>
          </w:tcPr>
          <w:p w14:paraId="4F8D26E6" w14:textId="77777777" w:rsidR="00747D28" w:rsidRPr="00F23CCF" w:rsidRDefault="00000000">
            <w:pPr>
              <w:spacing w:after="0" w:line="240" w:lineRule="auto"/>
            </w:pPr>
            <w:r w:rsidRPr="00F23CCF">
              <w:rPr>
                <w:rFonts w:ascii="Arial" w:hAnsi="Arial"/>
                <w:sz w:val="15"/>
              </w:rPr>
              <w:t>Chemical contamination, non-biodegradability and inappropriate entry into compost streams</w:t>
            </w:r>
          </w:p>
        </w:tc>
        <w:tc>
          <w:tcPr>
            <w:tcW w:w="2088" w:type="dxa"/>
            <w:tcMar>
              <w:top w:w="70" w:type="dxa"/>
              <w:left w:w="80" w:type="dxa"/>
              <w:bottom w:w="70" w:type="dxa"/>
              <w:right w:w="80" w:type="dxa"/>
            </w:tcMar>
            <w:vAlign w:val="center"/>
          </w:tcPr>
          <w:p w14:paraId="751A3289" w14:textId="77777777" w:rsidR="00747D28" w:rsidRPr="00F23CCF" w:rsidRDefault="00000000">
            <w:pPr>
              <w:spacing w:after="0" w:line="240" w:lineRule="auto"/>
            </w:pPr>
            <w:r w:rsidRPr="00F23CCF">
              <w:rPr>
                <w:rFonts w:ascii="Arial" w:hAnsi="Arial"/>
                <w:sz w:val="15"/>
              </w:rPr>
              <w:t>Prioritise reverse logistics or material recycling for clean items and regulated disposal for contaminated containers</w:t>
            </w:r>
          </w:p>
        </w:tc>
        <w:tc>
          <w:tcPr>
            <w:tcW w:w="1440" w:type="dxa"/>
            <w:tcMar>
              <w:top w:w="70" w:type="dxa"/>
              <w:left w:w="80" w:type="dxa"/>
              <w:bottom w:w="70" w:type="dxa"/>
              <w:right w:w="80" w:type="dxa"/>
            </w:tcMar>
            <w:vAlign w:val="center"/>
          </w:tcPr>
          <w:p w14:paraId="0911A65D" w14:textId="77777777" w:rsidR="00747D28" w:rsidRPr="00F23CCF" w:rsidRDefault="00000000">
            <w:pPr>
              <w:spacing w:after="0" w:line="240" w:lineRule="auto"/>
            </w:pPr>
            <w:r w:rsidRPr="00F23CCF">
              <w:rPr>
                <w:rFonts w:ascii="Arial" w:hAnsi="Arial"/>
                <w:sz w:val="15"/>
              </w:rPr>
              <w:t>Barcelos et al., 2020</w:t>
            </w:r>
          </w:p>
        </w:tc>
      </w:tr>
    </w:tbl>
    <w:p w14:paraId="66430153" w14:textId="77777777" w:rsidR="00747D28" w:rsidRPr="00F23CCF" w:rsidRDefault="00000000">
      <w:pPr>
        <w:pStyle w:val="TableNote"/>
        <w:rPr>
          <w:color w:val="auto"/>
        </w:rPr>
      </w:pPr>
      <w:r w:rsidRPr="00F23CCF">
        <w:rPr>
          <w:color w:val="auto"/>
        </w:rPr>
        <w:t>Note. Categories are operational rather than exhaustive. “Routine rearing-bed organics” should not be assumed equivalent to chemically separated silkworm excrement used in some experiments.</w:t>
      </w:r>
    </w:p>
    <w:p w14:paraId="3396AE09" w14:textId="77777777" w:rsidR="00747D28" w:rsidRPr="00F23CCF" w:rsidRDefault="00000000">
      <w:pPr>
        <w:jc w:val="both"/>
      </w:pPr>
      <w:r w:rsidRPr="00F23CCF">
        <w:t>This taxonomy also clarifies the relationship between pre-cocoon waste and the wider circular bioeconomy. Whole-chain sericulture reviews legitimately describe pupae, silk protein, reeling wastes and textile residues as valuable secondary resources (Kaushik et al., 2025; Meena et al., 2026). Within the farm boundary, though, the dominant circular opportunity is different: return nutrients and carbon to agricultural production without returning pathogens or contaminants to the rearing environment. This gives source segregation a higher priority than downstream technological sophistication. A high-value conversion route cannot compensate for poor separation if diseased litter, packaging, chemical residues and clean plant biomass are mixed at generation.</w:t>
      </w:r>
    </w:p>
    <w:p w14:paraId="369F63CA" w14:textId="77777777" w:rsidR="00747D28" w:rsidRPr="00F23CCF" w:rsidRDefault="00000000">
      <w:pPr>
        <w:pStyle w:val="Heading1"/>
        <w:rPr>
          <w:color w:val="auto"/>
        </w:rPr>
      </w:pPr>
      <w:r w:rsidRPr="00F23CCF">
        <w:rPr>
          <w:color w:val="auto"/>
        </w:rPr>
        <w:t>4. Generation and Characteristics of Major Pre-Cocoon Waste Streams</w:t>
      </w:r>
    </w:p>
    <w:p w14:paraId="1BC41207" w14:textId="77777777" w:rsidR="00747D28" w:rsidRPr="00F23CCF" w:rsidRDefault="00000000">
      <w:pPr>
        <w:pStyle w:val="Heading2"/>
        <w:rPr>
          <w:color w:val="auto"/>
        </w:rPr>
      </w:pPr>
      <w:r w:rsidRPr="00F23CCF">
        <w:rPr>
          <w:color w:val="auto"/>
        </w:rPr>
        <w:t>4.1 Mulberry cultivation and shoot-management residues</w:t>
      </w:r>
    </w:p>
    <w:p w14:paraId="4BF4619F" w14:textId="77777777" w:rsidR="00747D28" w:rsidRPr="00F23CCF" w:rsidRDefault="00000000">
      <w:pPr>
        <w:jc w:val="both"/>
      </w:pPr>
      <w:r w:rsidRPr="00F23CCF">
        <w:t>Mulberry cultivation generates woody and herbaceous residues through pruning, shoot thinning, harvest management and rejection of damaged or surplus leaves. Their quantity is strongly dependent on cultivation system, plant density, cutting schedule, climate, cultivar and whether foliage is harvested by leaf picking, shoot feeding or mixed methods. These contextual determinants make it unsafe to transfer a single residue-generation coefficient across sericulture regions. Life-cycle studies also show that mulberry production can be a major environmental hotspot because fertiliser, energy and field operations influence impacts independently of waste generation (Astudillo et al., 2014; Barcelos et al., 2020; Wu et al., 2025). Residue management should therefore be integrated with agronomic planning rather than viewed only as disposal.</w:t>
      </w:r>
    </w:p>
    <w:p w14:paraId="7951EABF" w14:textId="77777777" w:rsidR="00747D28" w:rsidRPr="00F23CCF" w:rsidRDefault="00000000">
      <w:pPr>
        <w:jc w:val="both"/>
      </w:pPr>
      <w:r w:rsidRPr="00F23CCF">
        <w:t>Mulberry branches are lignocellulosic and can function as a carbon-rich bulking material in composting systems. Liu, He, et al. (2022) examined lignocellulose degradation during composting of mulberry branches with animal-derived nutrient sources including silkworm excrement, illustrating how woody residue and nitrogen-rich material can be co-managed. Yang et al. (2024) used a related composting context to examine how inoculating cellulose- and hemicellulose-degrading microorganisms affected nitrous oxide emissions. These studies are important because they connect a field residue directly to a rearing residue, but they also show that accelerating decomposition can create gaseous-emission trade-offs. The appropriate objective is therefore stable, low-loss biological conversion rather than maximum degradation rate alone.</w:t>
      </w:r>
    </w:p>
    <w:p w14:paraId="56A7A75C" w14:textId="77777777" w:rsidR="00747D28" w:rsidRPr="00F23CCF" w:rsidRDefault="00000000">
      <w:pPr>
        <w:jc w:val="both"/>
      </w:pPr>
      <w:r w:rsidRPr="00F23CCF">
        <w:lastRenderedPageBreak/>
        <w:t xml:space="preserve">Thermochemical conversion provides another use pathway. Wu et al. (2012) converted mulberry branches into activated biomass char and evaluated adsorption of ammonium and metals from water. This establishes that pruned wood can serve as a functional carbon precursor. A separate study quantified </w:t>
      </w:r>
      <w:r w:rsidRPr="00F23CCF">
        <w:rPr>
          <w:i/>
        </w:rPr>
        <w:t>Morus alba</w:t>
      </w:r>
      <w:r w:rsidRPr="00F23CCF">
        <w:t xml:space="preserve"> pruning biomass in urban plantings and explored its energy potential (Velázquez-Martí et al., 2013). The latter evidence is not sericulture-specific and should not be used to estimate farm waste production, but it confirms that mulberry pruning creates a woody biomass stream whose logistics and conversion value depend on pruning regime and local aggregation. In sericulture, high-temperature char production is more likely to be feasible at cooperative or industrial scale than at individual smallholder scale unless simple, emissions-controlled equipment and a reliable product market are available.</w:t>
      </w:r>
    </w:p>
    <w:p w14:paraId="78CC4591" w14:textId="77777777" w:rsidR="00747D28" w:rsidRPr="00F23CCF" w:rsidRDefault="00000000">
      <w:pPr>
        <w:jc w:val="both"/>
      </w:pPr>
      <w:r w:rsidRPr="00F23CCF">
        <w:t>Surplus or rejected clean foliage represents a different resource class. Mulberry leaf has recognised nutritional value for livestock and poultry, although composition and feeding response vary by cultivar, inclusion level, processing and animal species (Cai et al., 2019; Geng et al., 2024; Medhi et al., 2016; Mwai et al., 2021). This creates an avoidance pathway superior to waste treatment when clean foliage can be diverted before contamination in the rearing house. The evidence does not support feeding spent litter, faeces-contaminated leaves or disease-associated plant material on the basis of mulberry-feed studies. The practical implication is that segregation should occur at harvest or feeding preparation, not after bed cleaning.</w:t>
      </w:r>
    </w:p>
    <w:p w14:paraId="4F95C103" w14:textId="77777777" w:rsidR="00747D28" w:rsidRPr="00F23CCF" w:rsidRDefault="00000000">
      <w:pPr>
        <w:pStyle w:val="Heading2"/>
        <w:rPr>
          <w:color w:val="auto"/>
        </w:rPr>
      </w:pPr>
      <w:r w:rsidRPr="00F23CCF">
        <w:rPr>
          <w:color w:val="auto"/>
        </w:rPr>
        <w:t>4.2 Rearing-bed waste and silkworm excrement</w:t>
      </w:r>
    </w:p>
    <w:p w14:paraId="3F1A7B50" w14:textId="77777777" w:rsidR="00747D28" w:rsidRPr="00F23CCF" w:rsidRDefault="00000000">
      <w:pPr>
        <w:jc w:val="both"/>
      </w:pPr>
      <w:r w:rsidRPr="00F23CCF">
        <w:t>Routine rearing-bed waste is the largest biologically active residual category discussed in the literature, but its exact composition is often under-specified. It may contain faeces, unconsumed leaf fragments, petioles, small shoots, moulted cuticle, bed paper or net debris, and dust. Material composition also changes with larval instar because feed quantity, leaf maturity and bed-cleaning frequency differ through the rearing cycle. Studies that isolate or standardise silkworm excrement therefore provide valuable mechanistic information but may not represent the heterogeneous material collected from a commercial bed.</w:t>
      </w:r>
    </w:p>
    <w:p w14:paraId="75F98320" w14:textId="77777777" w:rsidR="00747D28" w:rsidRPr="00F23CCF" w:rsidRDefault="00000000">
      <w:pPr>
        <w:jc w:val="both"/>
      </w:pPr>
      <w:r w:rsidRPr="00F23CCF">
        <w:t xml:space="preserve">Controlled fermentation work provides evidence that excrement can be transformed into an agronomically useful product. Chen et al. (2011) reported improved nutrient characteristics after fermentation and favourable germination and pot-plant responses. Chen et al. (2016) compared composting treatments with lime, microbial inoculant and mulberry sawdust and found that additives altered composting conditions and biological characteristics. More recent work has focused on the organisms and biochemistry responsible for degradation. Liu, He, et al. (2022) identified bacterial groups associated with lignocellulose breakdown in the thermophilic phase, while Li et al. (2023) isolated a cellulose-degrading </w:t>
      </w:r>
      <w:r w:rsidRPr="00F23CCF">
        <w:rPr>
          <w:i/>
        </w:rPr>
        <w:t>Bacillus subtilis</w:t>
      </w:r>
      <w:r w:rsidRPr="00F23CCF">
        <w:t xml:space="preserve"> strain from silkworm excrement and assessed its cellulase production. These studies support biological treatability but do not establish a single standard recipe, because feedstock ratios, moisture, aeration, inoculum and maturity criteria differ.</w:t>
      </w:r>
    </w:p>
    <w:p w14:paraId="00286561" w14:textId="77777777" w:rsidR="00747D28" w:rsidRPr="00F23CCF" w:rsidRDefault="00000000">
      <w:pPr>
        <w:jc w:val="both"/>
      </w:pPr>
      <w:r w:rsidRPr="00F23CCF">
        <w:t xml:space="preserve">The microbiome of composted excrement can contribute useful functions. Li et al. (2019) isolated </w:t>
      </w:r>
      <w:r w:rsidRPr="00F23CCF">
        <w:rPr>
          <w:i/>
        </w:rPr>
        <w:t>Bacillus subtilis</w:t>
      </w:r>
      <w:r w:rsidRPr="00F23CCF">
        <w:t xml:space="preserve"> SEM-9 from the high-temperature stage of silkworm-excrement composting and documented phosphorus-solubilising, plant-growth-promoting and antifungal properties. Li et al. (2020) similarly characterised strain SEM-2 and its antagonistic activity against </w:t>
      </w:r>
      <w:r w:rsidRPr="00F23CCF">
        <w:rPr>
          <w:i/>
        </w:rPr>
        <w:t>Fusarium</w:t>
      </w:r>
      <w:r w:rsidRPr="00F23CCF">
        <w:t xml:space="preserve"> spp. These findings indicate that composting can select microorganisms with potential agricultural value. They should not be over-interpreted as evidence that every silkworm-excrement compost functions as a biofertiliser or biocontrol product. Strain-level activity does not substitute for whole-product quality assurance, and intentionally marketing microbial functions would require identity, efficacy and safety standards beyond ordinary compost maturity.</w:t>
      </w:r>
    </w:p>
    <w:p w14:paraId="28C5EC5E" w14:textId="77777777" w:rsidR="00747D28" w:rsidRPr="00F23CCF" w:rsidRDefault="00000000">
      <w:pPr>
        <w:pStyle w:val="Heading2"/>
        <w:rPr>
          <w:color w:val="auto"/>
        </w:rPr>
      </w:pPr>
      <w:r w:rsidRPr="00F23CCF">
        <w:rPr>
          <w:color w:val="auto"/>
        </w:rPr>
        <w:lastRenderedPageBreak/>
        <w:t>4.3 Disease-associated biological waste</w:t>
      </w:r>
    </w:p>
    <w:p w14:paraId="4C09997B" w14:textId="77777777" w:rsidR="00747D28" w:rsidRPr="00F23CCF" w:rsidRDefault="00000000">
      <w:pPr>
        <w:jc w:val="both"/>
      </w:pPr>
      <w:r w:rsidRPr="00F23CCF">
        <w:t>Diseased larvae, cadavers, abnormal excreta, contaminated bedding and residues from infected rearing lots require a different management logic from routine litter. Silkworm disease agents can be spread through infected bodies, faecal matter and contaminated surfaces. Tamil Nadu Agricultural University guidance explicitly recommends collecting and burning infected larvae, faecal matter and bed refuse for relevant diseases, alongside disinfection and removal of sick worms (Tamil Nadu Agricultural University, n.d.). Central Silk Board guidance likewise describes diseased larvae, gut juice, faecal material and body fluids as infection sources and emphasises removal, destruction and hygiene (Central Silk Board, n.d.). Although local regulations and recommended destruction technologies may differ, the underlying principle is clear: disease containment takes priority over nutrient recycling.</w:t>
      </w:r>
    </w:p>
    <w:p w14:paraId="2751E8EA" w14:textId="77777777" w:rsidR="00747D28" w:rsidRPr="00F23CCF" w:rsidRDefault="00000000">
      <w:pPr>
        <w:jc w:val="both"/>
      </w:pPr>
      <w:r w:rsidRPr="00F23CCF">
        <w:t>This creates an important evidence gap. Composting can reach thermophilic temperatures, but the sericulture literature rarely validates pathogen-specific inactivation across the entire mass, nor does it routinely report time-temperature profiles against the full range of silkworm pathogens. A composting study can therefore demonstrate maturity or cellulose degradation without proving that material from a diseased lot is safe to return near a rearing facility. Where pathogen status is uncertain, conservative segregation and treatment are justified. Future circular systems need validated sanitisation criteria linked to specific silkworm pathogens rather than assuming that generic thermophilic composting conditions are sufficient.</w:t>
      </w:r>
    </w:p>
    <w:p w14:paraId="0C611BB3" w14:textId="77777777" w:rsidR="00747D28" w:rsidRPr="00F23CCF" w:rsidRDefault="00000000">
      <w:pPr>
        <w:pStyle w:val="Heading2"/>
        <w:rPr>
          <w:color w:val="auto"/>
        </w:rPr>
      </w:pPr>
      <w:r w:rsidRPr="00F23CCF">
        <w:rPr>
          <w:color w:val="auto"/>
        </w:rPr>
        <w:t>4.4 Auxiliary and chemical residues</w:t>
      </w:r>
    </w:p>
    <w:p w14:paraId="04704878" w14:textId="77777777" w:rsidR="00747D28" w:rsidRPr="00F23CCF" w:rsidRDefault="00000000">
      <w:pPr>
        <w:jc w:val="both"/>
      </w:pPr>
      <w:r w:rsidRPr="00F23CCF">
        <w:t>Non-biodegradable and chemically contaminated wastes are less visible in the research literature but matter operationally. Rearing and mulberry cultivation can generate fertiliser and pesticide containers, plastic packaging, disinfectant containers, paper or synthetic bed materials, nets, broken rearing accessories and other small-volume residues. Barcelos et al. (2020) specifically identified reverse logistics for plastic and paper packaging as an environmental improvement opportunity in Brazilian cocoon production. These streams should not be shredded indiscriminately into compost feedstock. Containers that have held pesticides or disinfectants require handling according to applicable chemical-waste and agricultural-container rules, while clean paper or plastic may enter ordinary recycling only if contamination is absent.</w:t>
      </w:r>
    </w:p>
    <w:p w14:paraId="6298DE09" w14:textId="77777777" w:rsidR="00747D28" w:rsidRPr="00F23CCF" w:rsidRDefault="00000000">
      <w:pPr>
        <w:jc w:val="both"/>
      </w:pPr>
      <w:r w:rsidRPr="00F23CCF">
        <w:t>The limited research attention to auxiliary wastes illustrates a recurring bias: studies concentrate on material with obvious valorisation potential, particularly nutrient-rich organics, while management systems must also deal with low-volume hazardous or non-recyclable residues. A complete farm waste plan therefore needs an inventory that is broader than the publishable “waste-to-resource” fraction. It should identify both mass-dominant organic streams and risk-dominant minor streams.</w:t>
      </w:r>
    </w:p>
    <w:p w14:paraId="1D8AF330" w14:textId="77777777" w:rsidR="00747D28" w:rsidRPr="00F23CCF" w:rsidRDefault="00000000">
      <w:pPr>
        <w:jc w:val="both"/>
      </w:pPr>
      <w:r w:rsidRPr="00F23CCF">
        <w:t>Table 2 synthesises what can be said confidently about generation and composition. It deliberately avoids universal tonnes-per-unit-cocoon estimates because the accessible evidence does not provide a harmonised, transferable coefficient across production systems. The most defensible conclusion is that physical and chemical characterisation is considerably more developed than generation accounting. This imbalance limits life-cycle modelling, infrastructure sizing and economic analysis.</w:t>
      </w:r>
    </w:p>
    <w:p w14:paraId="76A02BD6" w14:textId="77777777" w:rsidR="00747D28" w:rsidRPr="00F23CCF" w:rsidRDefault="00000000">
      <w:pPr>
        <w:pStyle w:val="TableCaption"/>
        <w:rPr>
          <w:color w:val="auto"/>
        </w:rPr>
      </w:pPr>
      <w:r w:rsidRPr="00F23CCF">
        <w:rPr>
          <w:color w:val="auto"/>
        </w:rPr>
        <w:t>Table 2. What is known—and not known—about generation and composition of major pre-cocoon residues</w:t>
      </w:r>
    </w:p>
    <w:tbl>
      <w:tblPr>
        <w:tblStyle w:val="TableGrid"/>
        <w:tblW w:w="0" w:type="auto"/>
        <w:jc w:val="center"/>
        <w:tblLayout w:type="fixed"/>
        <w:tblLook w:val="04A0" w:firstRow="1" w:lastRow="0" w:firstColumn="1" w:lastColumn="0" w:noHBand="0" w:noVBand="1"/>
      </w:tblPr>
      <w:tblGrid>
        <w:gridCol w:w="1512"/>
        <w:gridCol w:w="1944"/>
        <w:gridCol w:w="1800"/>
        <w:gridCol w:w="1728"/>
        <w:gridCol w:w="1655"/>
        <w:gridCol w:w="1440"/>
      </w:tblGrid>
      <w:tr w:rsidR="00F23CCF" w:rsidRPr="00F23CCF" w14:paraId="75986AF3" w14:textId="77777777">
        <w:trPr>
          <w:cantSplit/>
          <w:tblHeader/>
          <w:jc w:val="center"/>
        </w:trPr>
        <w:tc>
          <w:tcPr>
            <w:tcW w:w="1512" w:type="dxa"/>
            <w:shd w:val="clear" w:color="auto" w:fill="D9EAF7"/>
            <w:tcMar>
              <w:top w:w="70" w:type="dxa"/>
              <w:left w:w="80" w:type="dxa"/>
              <w:bottom w:w="70" w:type="dxa"/>
              <w:right w:w="80" w:type="dxa"/>
            </w:tcMar>
            <w:vAlign w:val="center"/>
          </w:tcPr>
          <w:p w14:paraId="79BEA1CE" w14:textId="77777777" w:rsidR="00747D28" w:rsidRPr="00F23CCF" w:rsidRDefault="00000000">
            <w:pPr>
              <w:spacing w:after="0" w:line="240" w:lineRule="auto"/>
              <w:jc w:val="center"/>
            </w:pPr>
            <w:r w:rsidRPr="00F23CCF">
              <w:rPr>
                <w:rFonts w:ascii="Arial" w:hAnsi="Arial"/>
                <w:b/>
                <w:sz w:val="16"/>
              </w:rPr>
              <w:t>Residue</w:t>
            </w:r>
          </w:p>
        </w:tc>
        <w:tc>
          <w:tcPr>
            <w:tcW w:w="1944" w:type="dxa"/>
            <w:shd w:val="clear" w:color="auto" w:fill="D9EAF7"/>
            <w:tcMar>
              <w:top w:w="70" w:type="dxa"/>
              <w:left w:w="80" w:type="dxa"/>
              <w:bottom w:w="70" w:type="dxa"/>
              <w:right w:w="80" w:type="dxa"/>
            </w:tcMar>
            <w:vAlign w:val="center"/>
          </w:tcPr>
          <w:p w14:paraId="21525FC9" w14:textId="77777777" w:rsidR="00747D28" w:rsidRPr="00F23CCF" w:rsidRDefault="00000000">
            <w:pPr>
              <w:spacing w:after="0" w:line="240" w:lineRule="auto"/>
              <w:jc w:val="center"/>
            </w:pPr>
            <w:r w:rsidRPr="00F23CCF">
              <w:rPr>
                <w:rFonts w:ascii="Arial" w:hAnsi="Arial"/>
                <w:b/>
                <w:sz w:val="16"/>
              </w:rPr>
              <w:t>Current evidence on characteristics</w:t>
            </w:r>
          </w:p>
        </w:tc>
        <w:tc>
          <w:tcPr>
            <w:tcW w:w="1800" w:type="dxa"/>
            <w:shd w:val="clear" w:color="auto" w:fill="D9EAF7"/>
            <w:tcMar>
              <w:top w:w="70" w:type="dxa"/>
              <w:left w:w="80" w:type="dxa"/>
              <w:bottom w:w="70" w:type="dxa"/>
              <w:right w:w="80" w:type="dxa"/>
            </w:tcMar>
            <w:vAlign w:val="center"/>
          </w:tcPr>
          <w:p w14:paraId="703176E9" w14:textId="77777777" w:rsidR="00747D28" w:rsidRPr="00F23CCF" w:rsidRDefault="00000000">
            <w:pPr>
              <w:spacing w:after="0" w:line="240" w:lineRule="auto"/>
              <w:jc w:val="center"/>
            </w:pPr>
            <w:r w:rsidRPr="00F23CCF">
              <w:rPr>
                <w:rFonts w:ascii="Arial" w:hAnsi="Arial"/>
                <w:b/>
                <w:sz w:val="16"/>
              </w:rPr>
              <w:t>Evidence on generation quantity</w:t>
            </w:r>
          </w:p>
        </w:tc>
        <w:tc>
          <w:tcPr>
            <w:tcW w:w="1728" w:type="dxa"/>
            <w:shd w:val="clear" w:color="auto" w:fill="D9EAF7"/>
            <w:tcMar>
              <w:top w:w="70" w:type="dxa"/>
              <w:left w:w="80" w:type="dxa"/>
              <w:bottom w:w="70" w:type="dxa"/>
              <w:right w:w="80" w:type="dxa"/>
            </w:tcMar>
            <w:vAlign w:val="center"/>
          </w:tcPr>
          <w:p w14:paraId="34ABC121" w14:textId="77777777" w:rsidR="00747D28" w:rsidRPr="00F23CCF" w:rsidRDefault="00000000">
            <w:pPr>
              <w:spacing w:after="0" w:line="240" w:lineRule="auto"/>
              <w:jc w:val="center"/>
            </w:pPr>
            <w:r w:rsidRPr="00F23CCF">
              <w:rPr>
                <w:rFonts w:ascii="Arial" w:hAnsi="Arial"/>
                <w:b/>
                <w:sz w:val="16"/>
              </w:rPr>
              <w:t>Main source of variability</w:t>
            </w:r>
          </w:p>
        </w:tc>
        <w:tc>
          <w:tcPr>
            <w:tcW w:w="1655" w:type="dxa"/>
            <w:shd w:val="clear" w:color="auto" w:fill="D9EAF7"/>
            <w:tcMar>
              <w:top w:w="70" w:type="dxa"/>
              <w:left w:w="80" w:type="dxa"/>
              <w:bottom w:w="70" w:type="dxa"/>
              <w:right w:w="80" w:type="dxa"/>
            </w:tcMar>
            <w:vAlign w:val="center"/>
          </w:tcPr>
          <w:p w14:paraId="3C1CEBD3" w14:textId="77777777" w:rsidR="00747D28" w:rsidRPr="00F23CCF" w:rsidRDefault="00000000">
            <w:pPr>
              <w:spacing w:after="0" w:line="240" w:lineRule="auto"/>
              <w:jc w:val="center"/>
            </w:pPr>
            <w:r w:rsidRPr="00F23CCF">
              <w:rPr>
                <w:rFonts w:ascii="Arial" w:hAnsi="Arial"/>
                <w:b/>
                <w:sz w:val="16"/>
              </w:rPr>
              <w:t>Key reporting limitation</w:t>
            </w:r>
          </w:p>
        </w:tc>
        <w:tc>
          <w:tcPr>
            <w:tcW w:w="1440" w:type="dxa"/>
            <w:shd w:val="clear" w:color="auto" w:fill="D9EAF7"/>
            <w:tcMar>
              <w:top w:w="70" w:type="dxa"/>
              <w:left w:w="80" w:type="dxa"/>
              <w:bottom w:w="70" w:type="dxa"/>
              <w:right w:w="80" w:type="dxa"/>
            </w:tcMar>
            <w:vAlign w:val="center"/>
          </w:tcPr>
          <w:p w14:paraId="3C8FD984"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278EAE94" w14:textId="77777777">
        <w:trPr>
          <w:cantSplit/>
          <w:jc w:val="center"/>
        </w:trPr>
        <w:tc>
          <w:tcPr>
            <w:tcW w:w="1512" w:type="dxa"/>
            <w:tcMar>
              <w:top w:w="70" w:type="dxa"/>
              <w:left w:w="80" w:type="dxa"/>
              <w:bottom w:w="70" w:type="dxa"/>
              <w:right w:w="80" w:type="dxa"/>
            </w:tcMar>
            <w:vAlign w:val="center"/>
          </w:tcPr>
          <w:p w14:paraId="734BEFD9" w14:textId="77777777" w:rsidR="00747D28" w:rsidRPr="00F23CCF" w:rsidRDefault="00000000">
            <w:pPr>
              <w:spacing w:after="0" w:line="240" w:lineRule="auto"/>
            </w:pPr>
            <w:r w:rsidRPr="00F23CCF">
              <w:rPr>
                <w:rFonts w:ascii="Arial" w:hAnsi="Arial"/>
                <w:sz w:val="15"/>
              </w:rPr>
              <w:t>Mulberry pruning biomass</w:t>
            </w:r>
          </w:p>
        </w:tc>
        <w:tc>
          <w:tcPr>
            <w:tcW w:w="1944" w:type="dxa"/>
            <w:tcMar>
              <w:top w:w="70" w:type="dxa"/>
              <w:left w:w="80" w:type="dxa"/>
              <w:bottom w:w="70" w:type="dxa"/>
              <w:right w:w="80" w:type="dxa"/>
            </w:tcMar>
            <w:vAlign w:val="center"/>
          </w:tcPr>
          <w:p w14:paraId="433D5689" w14:textId="77777777" w:rsidR="00747D28" w:rsidRPr="00F23CCF" w:rsidRDefault="00000000">
            <w:pPr>
              <w:spacing w:after="0" w:line="240" w:lineRule="auto"/>
            </w:pPr>
            <w:r w:rsidRPr="00F23CCF">
              <w:rPr>
                <w:rFonts w:ascii="Arial" w:hAnsi="Arial"/>
                <w:sz w:val="15"/>
              </w:rPr>
              <w:t>Lignocellulosic woody material suitable as bulking carbon or thermochemical feedstock</w:t>
            </w:r>
          </w:p>
        </w:tc>
        <w:tc>
          <w:tcPr>
            <w:tcW w:w="1800" w:type="dxa"/>
            <w:tcMar>
              <w:top w:w="70" w:type="dxa"/>
              <w:left w:w="80" w:type="dxa"/>
              <w:bottom w:w="70" w:type="dxa"/>
              <w:right w:w="80" w:type="dxa"/>
            </w:tcMar>
            <w:vAlign w:val="center"/>
          </w:tcPr>
          <w:p w14:paraId="232DA59B" w14:textId="77777777" w:rsidR="00747D28" w:rsidRPr="00F23CCF" w:rsidRDefault="00000000">
            <w:pPr>
              <w:spacing w:after="0" w:line="240" w:lineRule="auto"/>
            </w:pPr>
            <w:r w:rsidRPr="00F23CCF">
              <w:rPr>
                <w:rFonts w:ascii="Arial" w:hAnsi="Arial"/>
                <w:sz w:val="15"/>
              </w:rPr>
              <w:t>Sericulture-specific, transferable mass coefficients remain poorly standardised</w:t>
            </w:r>
          </w:p>
        </w:tc>
        <w:tc>
          <w:tcPr>
            <w:tcW w:w="1728" w:type="dxa"/>
            <w:tcMar>
              <w:top w:w="70" w:type="dxa"/>
              <w:left w:w="80" w:type="dxa"/>
              <w:bottom w:w="70" w:type="dxa"/>
              <w:right w:w="80" w:type="dxa"/>
            </w:tcMar>
            <w:vAlign w:val="center"/>
          </w:tcPr>
          <w:p w14:paraId="2936EB00" w14:textId="77777777" w:rsidR="00747D28" w:rsidRPr="00F23CCF" w:rsidRDefault="00000000">
            <w:pPr>
              <w:spacing w:after="0" w:line="240" w:lineRule="auto"/>
            </w:pPr>
            <w:r w:rsidRPr="00F23CCF">
              <w:rPr>
                <w:rFonts w:ascii="Arial" w:hAnsi="Arial"/>
                <w:sz w:val="15"/>
              </w:rPr>
              <w:t>Cultivar, pruning regime, plant density, climate and harvest system</w:t>
            </w:r>
          </w:p>
        </w:tc>
        <w:tc>
          <w:tcPr>
            <w:tcW w:w="1655" w:type="dxa"/>
            <w:tcMar>
              <w:top w:w="70" w:type="dxa"/>
              <w:left w:w="80" w:type="dxa"/>
              <w:bottom w:w="70" w:type="dxa"/>
              <w:right w:w="80" w:type="dxa"/>
            </w:tcMar>
            <w:vAlign w:val="center"/>
          </w:tcPr>
          <w:p w14:paraId="3AE2219D" w14:textId="77777777" w:rsidR="00747D28" w:rsidRPr="00F23CCF" w:rsidRDefault="00000000">
            <w:pPr>
              <w:spacing w:after="0" w:line="240" w:lineRule="auto"/>
            </w:pPr>
            <w:r w:rsidRPr="00F23CCF">
              <w:rPr>
                <w:rFonts w:ascii="Arial" w:hAnsi="Arial"/>
                <w:sz w:val="15"/>
              </w:rPr>
              <w:t>Non-sericulture pruning studies cannot be used directly to estimate farm residue generation</w:t>
            </w:r>
          </w:p>
        </w:tc>
        <w:tc>
          <w:tcPr>
            <w:tcW w:w="1440" w:type="dxa"/>
            <w:tcMar>
              <w:top w:w="70" w:type="dxa"/>
              <w:left w:w="80" w:type="dxa"/>
              <w:bottom w:w="70" w:type="dxa"/>
              <w:right w:w="80" w:type="dxa"/>
            </w:tcMar>
            <w:vAlign w:val="center"/>
          </w:tcPr>
          <w:p w14:paraId="103049DF" w14:textId="77777777" w:rsidR="00747D28" w:rsidRPr="00F23CCF" w:rsidRDefault="00000000">
            <w:pPr>
              <w:spacing w:after="0" w:line="240" w:lineRule="auto"/>
            </w:pPr>
            <w:r w:rsidRPr="00F23CCF">
              <w:rPr>
                <w:rFonts w:ascii="Arial" w:hAnsi="Arial"/>
                <w:sz w:val="15"/>
              </w:rPr>
              <w:t>Liu, He, et al., 2022; Velázquez-Martí et al., 2013; Wu et al., 2012</w:t>
            </w:r>
          </w:p>
        </w:tc>
      </w:tr>
      <w:tr w:rsidR="00F23CCF" w:rsidRPr="00F23CCF" w14:paraId="45A7225B" w14:textId="77777777">
        <w:trPr>
          <w:cantSplit/>
          <w:jc w:val="center"/>
        </w:trPr>
        <w:tc>
          <w:tcPr>
            <w:tcW w:w="1512" w:type="dxa"/>
            <w:tcMar>
              <w:top w:w="70" w:type="dxa"/>
              <w:left w:w="80" w:type="dxa"/>
              <w:bottom w:w="70" w:type="dxa"/>
              <w:right w:w="80" w:type="dxa"/>
            </w:tcMar>
            <w:vAlign w:val="center"/>
          </w:tcPr>
          <w:p w14:paraId="27CC30F2" w14:textId="77777777" w:rsidR="00747D28" w:rsidRPr="00F23CCF" w:rsidRDefault="00000000">
            <w:pPr>
              <w:spacing w:after="0" w:line="240" w:lineRule="auto"/>
            </w:pPr>
            <w:r w:rsidRPr="00F23CCF">
              <w:rPr>
                <w:rFonts w:ascii="Arial" w:hAnsi="Arial"/>
                <w:sz w:val="15"/>
              </w:rPr>
              <w:lastRenderedPageBreak/>
              <w:t>Clean surplus foliage</w:t>
            </w:r>
          </w:p>
        </w:tc>
        <w:tc>
          <w:tcPr>
            <w:tcW w:w="1944" w:type="dxa"/>
            <w:tcMar>
              <w:top w:w="70" w:type="dxa"/>
              <w:left w:w="80" w:type="dxa"/>
              <w:bottom w:w="70" w:type="dxa"/>
              <w:right w:w="80" w:type="dxa"/>
            </w:tcMar>
            <w:vAlign w:val="center"/>
          </w:tcPr>
          <w:p w14:paraId="5F7E6AD6" w14:textId="77777777" w:rsidR="00747D28" w:rsidRPr="00F23CCF" w:rsidRDefault="00000000">
            <w:pPr>
              <w:spacing w:after="0" w:line="240" w:lineRule="auto"/>
            </w:pPr>
            <w:r w:rsidRPr="00F23CCF">
              <w:rPr>
                <w:rFonts w:ascii="Arial" w:hAnsi="Arial"/>
                <w:sz w:val="15"/>
              </w:rPr>
              <w:t>Nutrient-rich leaf biomass with documented livestock-feed value when uncontaminated</w:t>
            </w:r>
          </w:p>
        </w:tc>
        <w:tc>
          <w:tcPr>
            <w:tcW w:w="1800" w:type="dxa"/>
            <w:tcMar>
              <w:top w:w="70" w:type="dxa"/>
              <w:left w:w="80" w:type="dxa"/>
              <w:bottom w:w="70" w:type="dxa"/>
              <w:right w:w="80" w:type="dxa"/>
            </w:tcMar>
            <w:vAlign w:val="center"/>
          </w:tcPr>
          <w:p w14:paraId="0FD5730E" w14:textId="77777777" w:rsidR="00747D28" w:rsidRPr="00F23CCF" w:rsidRDefault="00000000">
            <w:pPr>
              <w:spacing w:after="0" w:line="240" w:lineRule="auto"/>
            </w:pPr>
            <w:r w:rsidRPr="00F23CCF">
              <w:rPr>
                <w:rFonts w:ascii="Arial" w:hAnsi="Arial"/>
                <w:sz w:val="15"/>
              </w:rPr>
              <w:t>Surplus fraction is rarely reported as a standard share of harvested leaf</w:t>
            </w:r>
          </w:p>
        </w:tc>
        <w:tc>
          <w:tcPr>
            <w:tcW w:w="1728" w:type="dxa"/>
            <w:tcMar>
              <w:top w:w="70" w:type="dxa"/>
              <w:left w:w="80" w:type="dxa"/>
              <w:bottom w:w="70" w:type="dxa"/>
              <w:right w:w="80" w:type="dxa"/>
            </w:tcMar>
            <w:vAlign w:val="center"/>
          </w:tcPr>
          <w:p w14:paraId="0AAB955D" w14:textId="77777777" w:rsidR="00747D28" w:rsidRPr="00F23CCF" w:rsidRDefault="00000000">
            <w:pPr>
              <w:spacing w:after="0" w:line="240" w:lineRule="auto"/>
            </w:pPr>
            <w:r w:rsidRPr="00F23CCF">
              <w:rPr>
                <w:rFonts w:ascii="Arial" w:hAnsi="Arial"/>
                <w:sz w:val="15"/>
              </w:rPr>
              <w:t>Leaf demand, season, rearing schedule, quality rejection and storage losses</w:t>
            </w:r>
          </w:p>
        </w:tc>
        <w:tc>
          <w:tcPr>
            <w:tcW w:w="1655" w:type="dxa"/>
            <w:tcMar>
              <w:top w:w="70" w:type="dxa"/>
              <w:left w:w="80" w:type="dxa"/>
              <w:bottom w:w="70" w:type="dxa"/>
              <w:right w:w="80" w:type="dxa"/>
            </w:tcMar>
            <w:vAlign w:val="center"/>
          </w:tcPr>
          <w:p w14:paraId="738DC9E1" w14:textId="77777777" w:rsidR="00747D28" w:rsidRPr="00F23CCF" w:rsidRDefault="00000000">
            <w:pPr>
              <w:spacing w:after="0" w:line="240" w:lineRule="auto"/>
            </w:pPr>
            <w:r w:rsidRPr="00F23CCF">
              <w:rPr>
                <w:rFonts w:ascii="Arial" w:hAnsi="Arial"/>
                <w:sz w:val="15"/>
              </w:rPr>
              <w:t>Feed studies do not describe spent rearing-bed leaf residues</w:t>
            </w:r>
          </w:p>
        </w:tc>
        <w:tc>
          <w:tcPr>
            <w:tcW w:w="1440" w:type="dxa"/>
            <w:tcMar>
              <w:top w:w="70" w:type="dxa"/>
              <w:left w:w="80" w:type="dxa"/>
              <w:bottom w:w="70" w:type="dxa"/>
              <w:right w:w="80" w:type="dxa"/>
            </w:tcMar>
            <w:vAlign w:val="center"/>
          </w:tcPr>
          <w:p w14:paraId="2186A650" w14:textId="77777777" w:rsidR="00747D28" w:rsidRPr="00F23CCF" w:rsidRDefault="00000000">
            <w:pPr>
              <w:spacing w:after="0" w:line="240" w:lineRule="auto"/>
            </w:pPr>
            <w:r w:rsidRPr="00F23CCF">
              <w:rPr>
                <w:rFonts w:ascii="Arial" w:hAnsi="Arial"/>
                <w:sz w:val="15"/>
              </w:rPr>
              <w:t>Cai et al., 2019; Geng et al., 2024; Medhi et al., 2016; Mwai et al., 2021</w:t>
            </w:r>
          </w:p>
        </w:tc>
      </w:tr>
      <w:tr w:rsidR="00F23CCF" w:rsidRPr="00F23CCF" w14:paraId="1F7485F9" w14:textId="77777777">
        <w:trPr>
          <w:cantSplit/>
          <w:jc w:val="center"/>
        </w:trPr>
        <w:tc>
          <w:tcPr>
            <w:tcW w:w="1512" w:type="dxa"/>
            <w:tcMar>
              <w:top w:w="70" w:type="dxa"/>
              <w:left w:w="80" w:type="dxa"/>
              <w:bottom w:w="70" w:type="dxa"/>
              <w:right w:w="80" w:type="dxa"/>
            </w:tcMar>
            <w:vAlign w:val="center"/>
          </w:tcPr>
          <w:p w14:paraId="37DDC7FD" w14:textId="77777777" w:rsidR="00747D28" w:rsidRPr="00F23CCF" w:rsidRDefault="00000000">
            <w:pPr>
              <w:spacing w:after="0" w:line="240" w:lineRule="auto"/>
            </w:pPr>
            <w:r w:rsidRPr="00F23CCF">
              <w:rPr>
                <w:rFonts w:ascii="Arial" w:hAnsi="Arial"/>
                <w:sz w:val="15"/>
              </w:rPr>
              <w:t>Silkworm excrement</w:t>
            </w:r>
          </w:p>
        </w:tc>
        <w:tc>
          <w:tcPr>
            <w:tcW w:w="1944" w:type="dxa"/>
            <w:tcMar>
              <w:top w:w="70" w:type="dxa"/>
              <w:left w:w="80" w:type="dxa"/>
              <w:bottom w:w="70" w:type="dxa"/>
              <w:right w:w="80" w:type="dxa"/>
            </w:tcMar>
            <w:vAlign w:val="center"/>
          </w:tcPr>
          <w:p w14:paraId="524E00F6" w14:textId="77777777" w:rsidR="00747D28" w:rsidRPr="00F23CCF" w:rsidRDefault="00000000">
            <w:pPr>
              <w:spacing w:after="0" w:line="240" w:lineRule="auto"/>
            </w:pPr>
            <w:r w:rsidRPr="00F23CCF">
              <w:rPr>
                <w:rFonts w:ascii="Arial" w:hAnsi="Arial"/>
                <w:sz w:val="15"/>
              </w:rPr>
              <w:t>Organic, nutrient-bearing substrate amenable to fermentation, composting, biochar and soil applications</w:t>
            </w:r>
          </w:p>
        </w:tc>
        <w:tc>
          <w:tcPr>
            <w:tcW w:w="1800" w:type="dxa"/>
            <w:tcMar>
              <w:top w:w="70" w:type="dxa"/>
              <w:left w:w="80" w:type="dxa"/>
              <w:bottom w:w="70" w:type="dxa"/>
              <w:right w:w="80" w:type="dxa"/>
            </w:tcMar>
            <w:vAlign w:val="center"/>
          </w:tcPr>
          <w:p w14:paraId="1587C539" w14:textId="77777777" w:rsidR="00747D28" w:rsidRPr="00F23CCF" w:rsidRDefault="00000000">
            <w:pPr>
              <w:spacing w:after="0" w:line="240" w:lineRule="auto"/>
            </w:pPr>
            <w:r w:rsidRPr="00F23CCF">
              <w:rPr>
                <w:rFonts w:ascii="Arial" w:hAnsi="Arial"/>
                <w:sz w:val="15"/>
              </w:rPr>
              <w:t>No universal generation coefficient can be transferred confidently across systems from the reviewed evidence</w:t>
            </w:r>
          </w:p>
        </w:tc>
        <w:tc>
          <w:tcPr>
            <w:tcW w:w="1728" w:type="dxa"/>
            <w:tcMar>
              <w:top w:w="70" w:type="dxa"/>
              <w:left w:w="80" w:type="dxa"/>
              <w:bottom w:w="70" w:type="dxa"/>
              <w:right w:w="80" w:type="dxa"/>
            </w:tcMar>
            <w:vAlign w:val="center"/>
          </w:tcPr>
          <w:p w14:paraId="14A5C5BF" w14:textId="77777777" w:rsidR="00747D28" w:rsidRPr="00F23CCF" w:rsidRDefault="00000000">
            <w:pPr>
              <w:spacing w:after="0" w:line="240" w:lineRule="auto"/>
            </w:pPr>
            <w:r w:rsidRPr="00F23CCF">
              <w:rPr>
                <w:rFonts w:ascii="Arial" w:hAnsi="Arial"/>
                <w:sz w:val="15"/>
              </w:rPr>
              <w:t>Larval stage, diet, collection method, moisture and degree of separation from litter</w:t>
            </w:r>
          </w:p>
        </w:tc>
        <w:tc>
          <w:tcPr>
            <w:tcW w:w="1655" w:type="dxa"/>
            <w:tcMar>
              <w:top w:w="70" w:type="dxa"/>
              <w:left w:w="80" w:type="dxa"/>
              <w:bottom w:w="70" w:type="dxa"/>
              <w:right w:w="80" w:type="dxa"/>
            </w:tcMar>
            <w:vAlign w:val="center"/>
          </w:tcPr>
          <w:p w14:paraId="369FE00B" w14:textId="77777777" w:rsidR="00747D28" w:rsidRPr="00F23CCF" w:rsidRDefault="00000000">
            <w:pPr>
              <w:spacing w:after="0" w:line="240" w:lineRule="auto"/>
            </w:pPr>
            <w:r w:rsidRPr="00F23CCF">
              <w:rPr>
                <w:rFonts w:ascii="Arial" w:hAnsi="Arial"/>
                <w:sz w:val="15"/>
              </w:rPr>
              <w:t>“Excrement” is variably defined and often conflated with mixed litter</w:t>
            </w:r>
          </w:p>
        </w:tc>
        <w:tc>
          <w:tcPr>
            <w:tcW w:w="1440" w:type="dxa"/>
            <w:tcMar>
              <w:top w:w="70" w:type="dxa"/>
              <w:left w:w="80" w:type="dxa"/>
              <w:bottom w:w="70" w:type="dxa"/>
              <w:right w:w="80" w:type="dxa"/>
            </w:tcMar>
            <w:vAlign w:val="center"/>
          </w:tcPr>
          <w:p w14:paraId="2E62CD8E" w14:textId="77777777" w:rsidR="00747D28" w:rsidRPr="00F23CCF" w:rsidRDefault="00000000">
            <w:pPr>
              <w:spacing w:after="0" w:line="240" w:lineRule="auto"/>
            </w:pPr>
            <w:r w:rsidRPr="00F23CCF">
              <w:rPr>
                <w:rFonts w:ascii="Arial" w:hAnsi="Arial"/>
                <w:sz w:val="15"/>
              </w:rPr>
              <w:t>Chen et al., 2011; Jiang et al., 2025; Shen et al., 2024</w:t>
            </w:r>
          </w:p>
        </w:tc>
      </w:tr>
      <w:tr w:rsidR="00F23CCF" w:rsidRPr="00F23CCF" w14:paraId="667DE71F" w14:textId="77777777">
        <w:trPr>
          <w:cantSplit/>
          <w:jc w:val="center"/>
        </w:trPr>
        <w:tc>
          <w:tcPr>
            <w:tcW w:w="1512" w:type="dxa"/>
            <w:tcMar>
              <w:top w:w="70" w:type="dxa"/>
              <w:left w:w="80" w:type="dxa"/>
              <w:bottom w:w="70" w:type="dxa"/>
              <w:right w:w="80" w:type="dxa"/>
            </w:tcMar>
            <w:vAlign w:val="center"/>
          </w:tcPr>
          <w:p w14:paraId="54445C93" w14:textId="77777777" w:rsidR="00747D28" w:rsidRPr="00F23CCF" w:rsidRDefault="00000000">
            <w:pPr>
              <w:spacing w:after="0" w:line="240" w:lineRule="auto"/>
            </w:pPr>
            <w:r w:rsidRPr="00F23CCF">
              <w:rPr>
                <w:rFonts w:ascii="Arial" w:hAnsi="Arial"/>
                <w:sz w:val="15"/>
              </w:rPr>
              <w:t>Mixed rearing litter</w:t>
            </w:r>
          </w:p>
        </w:tc>
        <w:tc>
          <w:tcPr>
            <w:tcW w:w="1944" w:type="dxa"/>
            <w:tcMar>
              <w:top w:w="70" w:type="dxa"/>
              <w:left w:w="80" w:type="dxa"/>
              <w:bottom w:w="70" w:type="dxa"/>
              <w:right w:w="80" w:type="dxa"/>
            </w:tcMar>
            <w:vAlign w:val="center"/>
          </w:tcPr>
          <w:p w14:paraId="5DA0594E" w14:textId="77777777" w:rsidR="00747D28" w:rsidRPr="00F23CCF" w:rsidRDefault="00000000">
            <w:pPr>
              <w:spacing w:after="0" w:line="240" w:lineRule="auto"/>
            </w:pPr>
            <w:r w:rsidRPr="00F23CCF">
              <w:rPr>
                <w:rFonts w:ascii="Arial" w:hAnsi="Arial"/>
                <w:sz w:val="15"/>
              </w:rPr>
              <w:t>Faeces plus uneaten foliage, stem fragments and other rearing debris; composition supports biological treatment</w:t>
            </w:r>
          </w:p>
        </w:tc>
        <w:tc>
          <w:tcPr>
            <w:tcW w:w="1800" w:type="dxa"/>
            <w:tcMar>
              <w:top w:w="70" w:type="dxa"/>
              <w:left w:w="80" w:type="dxa"/>
              <w:bottom w:w="70" w:type="dxa"/>
              <w:right w:w="80" w:type="dxa"/>
            </w:tcMar>
            <w:vAlign w:val="center"/>
          </w:tcPr>
          <w:p w14:paraId="6B8EE05F" w14:textId="77777777" w:rsidR="00747D28" w:rsidRPr="00F23CCF" w:rsidRDefault="00000000">
            <w:pPr>
              <w:spacing w:after="0" w:line="240" w:lineRule="auto"/>
            </w:pPr>
            <w:r w:rsidRPr="00F23CCF">
              <w:rPr>
                <w:rFonts w:ascii="Arial" w:hAnsi="Arial"/>
                <w:sz w:val="15"/>
              </w:rPr>
              <w:t>Farm-scale mass-balance reporting is sparse and methodologically inconsistent</w:t>
            </w:r>
          </w:p>
        </w:tc>
        <w:tc>
          <w:tcPr>
            <w:tcW w:w="1728" w:type="dxa"/>
            <w:tcMar>
              <w:top w:w="70" w:type="dxa"/>
              <w:left w:w="80" w:type="dxa"/>
              <w:bottom w:w="70" w:type="dxa"/>
              <w:right w:w="80" w:type="dxa"/>
            </w:tcMar>
            <w:vAlign w:val="center"/>
          </w:tcPr>
          <w:p w14:paraId="634290F3" w14:textId="77777777" w:rsidR="00747D28" w:rsidRPr="00F23CCF" w:rsidRDefault="00000000">
            <w:pPr>
              <w:spacing w:after="0" w:line="240" w:lineRule="auto"/>
            </w:pPr>
            <w:r w:rsidRPr="00F23CCF">
              <w:rPr>
                <w:rFonts w:ascii="Arial" w:hAnsi="Arial"/>
                <w:sz w:val="15"/>
              </w:rPr>
              <w:t>Bed-cleaning frequency, feeding system, instar, bedding and batch health</w:t>
            </w:r>
          </w:p>
        </w:tc>
        <w:tc>
          <w:tcPr>
            <w:tcW w:w="1655" w:type="dxa"/>
            <w:tcMar>
              <w:top w:w="70" w:type="dxa"/>
              <w:left w:w="80" w:type="dxa"/>
              <w:bottom w:w="70" w:type="dxa"/>
              <w:right w:w="80" w:type="dxa"/>
            </w:tcMar>
            <w:vAlign w:val="center"/>
          </w:tcPr>
          <w:p w14:paraId="0BBF9E9C" w14:textId="77777777" w:rsidR="00747D28" w:rsidRPr="00F23CCF" w:rsidRDefault="00000000">
            <w:pPr>
              <w:spacing w:after="0" w:line="240" w:lineRule="auto"/>
            </w:pPr>
            <w:r w:rsidRPr="00F23CCF">
              <w:rPr>
                <w:rFonts w:ascii="Arial" w:hAnsi="Arial"/>
                <w:sz w:val="15"/>
              </w:rPr>
              <w:t>Wet mass without composition and moisture is difficult to compare across studies</w:t>
            </w:r>
          </w:p>
        </w:tc>
        <w:tc>
          <w:tcPr>
            <w:tcW w:w="1440" w:type="dxa"/>
            <w:tcMar>
              <w:top w:w="70" w:type="dxa"/>
              <w:left w:w="80" w:type="dxa"/>
              <w:bottom w:w="70" w:type="dxa"/>
              <w:right w:w="80" w:type="dxa"/>
            </w:tcMar>
            <w:vAlign w:val="center"/>
          </w:tcPr>
          <w:p w14:paraId="51348277" w14:textId="77777777" w:rsidR="00747D28" w:rsidRPr="00F23CCF" w:rsidRDefault="00000000">
            <w:pPr>
              <w:spacing w:after="0" w:line="240" w:lineRule="auto"/>
            </w:pPr>
            <w:r w:rsidRPr="00F23CCF">
              <w:rPr>
                <w:rFonts w:ascii="Arial" w:hAnsi="Arial"/>
                <w:sz w:val="15"/>
              </w:rPr>
              <w:t>Sharma et al., 1999; Li et al., 2018</w:t>
            </w:r>
          </w:p>
        </w:tc>
      </w:tr>
      <w:tr w:rsidR="00F23CCF" w:rsidRPr="00F23CCF" w14:paraId="689949E1" w14:textId="77777777">
        <w:trPr>
          <w:cantSplit/>
          <w:jc w:val="center"/>
        </w:trPr>
        <w:tc>
          <w:tcPr>
            <w:tcW w:w="1512" w:type="dxa"/>
            <w:tcMar>
              <w:top w:w="70" w:type="dxa"/>
              <w:left w:w="80" w:type="dxa"/>
              <w:bottom w:w="70" w:type="dxa"/>
              <w:right w:w="80" w:type="dxa"/>
            </w:tcMar>
            <w:vAlign w:val="center"/>
          </w:tcPr>
          <w:p w14:paraId="07186C94" w14:textId="77777777" w:rsidR="00747D28" w:rsidRPr="00F23CCF" w:rsidRDefault="00000000">
            <w:pPr>
              <w:spacing w:after="0" w:line="240" w:lineRule="auto"/>
            </w:pPr>
            <w:r w:rsidRPr="00F23CCF">
              <w:rPr>
                <w:rFonts w:ascii="Arial" w:hAnsi="Arial"/>
                <w:sz w:val="15"/>
              </w:rPr>
              <w:t>Disease-associated waste</w:t>
            </w:r>
          </w:p>
        </w:tc>
        <w:tc>
          <w:tcPr>
            <w:tcW w:w="1944" w:type="dxa"/>
            <w:tcMar>
              <w:top w:w="70" w:type="dxa"/>
              <w:left w:w="80" w:type="dxa"/>
              <w:bottom w:w="70" w:type="dxa"/>
              <w:right w:w="80" w:type="dxa"/>
            </w:tcMar>
            <w:vAlign w:val="center"/>
          </w:tcPr>
          <w:p w14:paraId="4F0A14D9" w14:textId="77777777" w:rsidR="00747D28" w:rsidRPr="00F23CCF" w:rsidRDefault="00000000">
            <w:pPr>
              <w:spacing w:after="0" w:line="240" w:lineRule="auto"/>
            </w:pPr>
            <w:r w:rsidRPr="00F23CCF">
              <w:rPr>
                <w:rFonts w:ascii="Arial" w:hAnsi="Arial"/>
                <w:sz w:val="15"/>
              </w:rPr>
              <w:t>Composition overlaps routine litter but hazard status is defined by infection risk rather than nutrient content</w:t>
            </w:r>
          </w:p>
        </w:tc>
        <w:tc>
          <w:tcPr>
            <w:tcW w:w="1800" w:type="dxa"/>
            <w:tcMar>
              <w:top w:w="70" w:type="dxa"/>
              <w:left w:w="80" w:type="dxa"/>
              <w:bottom w:w="70" w:type="dxa"/>
              <w:right w:w="80" w:type="dxa"/>
            </w:tcMar>
            <w:vAlign w:val="center"/>
          </w:tcPr>
          <w:p w14:paraId="50CEB3AE" w14:textId="77777777" w:rsidR="00747D28" w:rsidRPr="00F23CCF" w:rsidRDefault="00000000">
            <w:pPr>
              <w:spacing w:after="0" w:line="240" w:lineRule="auto"/>
            </w:pPr>
            <w:r w:rsidRPr="00F23CCF">
              <w:rPr>
                <w:rFonts w:ascii="Arial" w:hAnsi="Arial"/>
                <w:sz w:val="15"/>
              </w:rPr>
              <w:t>Quantity depends on disease incidence and outbreak severity</w:t>
            </w:r>
          </w:p>
        </w:tc>
        <w:tc>
          <w:tcPr>
            <w:tcW w:w="1728" w:type="dxa"/>
            <w:tcMar>
              <w:top w:w="70" w:type="dxa"/>
              <w:left w:w="80" w:type="dxa"/>
              <w:bottom w:w="70" w:type="dxa"/>
              <w:right w:w="80" w:type="dxa"/>
            </w:tcMar>
            <w:vAlign w:val="center"/>
          </w:tcPr>
          <w:p w14:paraId="24CFF4CD" w14:textId="77777777" w:rsidR="00747D28" w:rsidRPr="00F23CCF" w:rsidRDefault="00000000">
            <w:pPr>
              <w:spacing w:after="0" w:line="240" w:lineRule="auto"/>
            </w:pPr>
            <w:r w:rsidRPr="00F23CCF">
              <w:rPr>
                <w:rFonts w:ascii="Arial" w:hAnsi="Arial"/>
                <w:sz w:val="15"/>
              </w:rPr>
              <w:t>Pathogen, season, rearing hygiene and culling practice</w:t>
            </w:r>
          </w:p>
        </w:tc>
        <w:tc>
          <w:tcPr>
            <w:tcW w:w="1655" w:type="dxa"/>
            <w:tcMar>
              <w:top w:w="70" w:type="dxa"/>
              <w:left w:w="80" w:type="dxa"/>
              <w:bottom w:w="70" w:type="dxa"/>
              <w:right w:w="80" w:type="dxa"/>
            </w:tcMar>
            <w:vAlign w:val="center"/>
          </w:tcPr>
          <w:p w14:paraId="58EF271A" w14:textId="77777777" w:rsidR="00747D28" w:rsidRPr="00F23CCF" w:rsidRDefault="00000000">
            <w:pPr>
              <w:spacing w:after="0" w:line="240" w:lineRule="auto"/>
            </w:pPr>
            <w:r w:rsidRPr="00F23CCF">
              <w:rPr>
                <w:rFonts w:ascii="Arial" w:hAnsi="Arial"/>
                <w:sz w:val="15"/>
              </w:rPr>
              <w:t>Few waste studies report health status or pathogen load of the source batch</w:t>
            </w:r>
          </w:p>
        </w:tc>
        <w:tc>
          <w:tcPr>
            <w:tcW w:w="1440" w:type="dxa"/>
            <w:tcMar>
              <w:top w:w="70" w:type="dxa"/>
              <w:left w:w="80" w:type="dxa"/>
              <w:bottom w:w="70" w:type="dxa"/>
              <w:right w:w="80" w:type="dxa"/>
            </w:tcMar>
            <w:vAlign w:val="center"/>
          </w:tcPr>
          <w:p w14:paraId="69BBE6FC" w14:textId="77777777" w:rsidR="00747D28" w:rsidRPr="00F23CCF" w:rsidRDefault="00000000">
            <w:pPr>
              <w:spacing w:after="0" w:line="240" w:lineRule="auto"/>
            </w:pPr>
            <w:r w:rsidRPr="00F23CCF">
              <w:rPr>
                <w:rFonts w:ascii="Arial" w:hAnsi="Arial"/>
                <w:sz w:val="15"/>
              </w:rPr>
              <w:t>Central Silk Board, n.d.; Tamil Nadu Agricultural University, n.d.</w:t>
            </w:r>
          </w:p>
        </w:tc>
      </w:tr>
    </w:tbl>
    <w:p w14:paraId="5BB43200" w14:textId="77777777" w:rsidR="00747D28" w:rsidRPr="00F23CCF" w:rsidRDefault="00000000">
      <w:pPr>
        <w:pStyle w:val="TableNote"/>
        <w:rPr>
          <w:color w:val="auto"/>
        </w:rPr>
      </w:pPr>
      <w:r w:rsidRPr="00F23CCF">
        <w:rPr>
          <w:color w:val="auto"/>
        </w:rPr>
        <w:t>Note. The table intentionally avoids universal numerical generation factors because reviewed studies used inconsistent material definitions, moisture bases and production denominators.</w:t>
      </w:r>
    </w:p>
    <w:p w14:paraId="2AEF0E1B" w14:textId="77777777" w:rsidR="00747D28" w:rsidRPr="00F23CCF" w:rsidRDefault="00000000">
      <w:pPr>
        <w:jc w:val="both"/>
      </w:pPr>
      <w:r w:rsidRPr="00F23CCF">
        <w:t>The absence of standardised generation data has practical consequences. Composting capacity cannot be sized reliably without seasonal mass and moisture balances; transport economics cannot be evaluated without density and aggregation data; and environmental performance cannot be benchmarked if studies use different definitions of “litter” and “excrement”. A priority for the field is therefore basic measurement: weigh each residue stream at source, record moisture content and production unit, identify contamination status, and report outputs against a common denominator such as kilograms of dry residue per unit of cocoon or per unit of mulberry area. Such data would be more valuable for planning than additional lists of hypothetical uses.</w:t>
      </w:r>
    </w:p>
    <w:p w14:paraId="2FFCEF10" w14:textId="77777777" w:rsidR="00747D28" w:rsidRPr="00F23CCF" w:rsidRDefault="00000000">
      <w:pPr>
        <w:pStyle w:val="Heading1"/>
        <w:rPr>
          <w:color w:val="auto"/>
        </w:rPr>
      </w:pPr>
      <w:r w:rsidRPr="00F23CCF">
        <w:rPr>
          <w:color w:val="auto"/>
        </w:rPr>
        <w:t>5. Environmental, Agronomic and Biosecurity Risks of Unmanaged Waste</w:t>
      </w:r>
    </w:p>
    <w:p w14:paraId="156BF6B5" w14:textId="77777777" w:rsidR="00747D28" w:rsidRPr="00F23CCF" w:rsidRDefault="00000000">
      <w:pPr>
        <w:pStyle w:val="Heading2"/>
        <w:rPr>
          <w:color w:val="auto"/>
        </w:rPr>
      </w:pPr>
      <w:r w:rsidRPr="00F23CCF">
        <w:rPr>
          <w:color w:val="auto"/>
        </w:rPr>
        <w:t>5.1 Nutrient loss, organic loading and nuisance emissions</w:t>
      </w:r>
    </w:p>
    <w:p w14:paraId="69E43293" w14:textId="77777777" w:rsidR="00747D28" w:rsidRPr="00F23CCF" w:rsidRDefault="00000000">
      <w:pPr>
        <w:jc w:val="both"/>
      </w:pPr>
      <w:r w:rsidRPr="00F23CCF">
        <w:t>Clean organic residues are biodegradable, but biodegradability does not make unmanaged accumulation benign. Fresh litter and excrement contain readily decomposable organic matter and nutrients that can undergo anaerobic or poorly aerated decomposition, generating odour and nutrient losses. Li et al. (2018) characterised exhaust gases during silkworm-excrement composting and identified a complex odour profile in which ammonia and reduced or sulphurous gases were important concerns. Their work is valuable because it shifts attention from compost quality alone to process emissions. The implication is that centralised or farm-scale composting should manage aeration, moisture, carbon-to-nitrogen balance and gas exposure rather than simply pile material until it appears decomposed.</w:t>
      </w:r>
    </w:p>
    <w:p w14:paraId="727533C6" w14:textId="77777777" w:rsidR="00747D28" w:rsidRPr="00F23CCF" w:rsidRDefault="00000000">
      <w:pPr>
        <w:jc w:val="both"/>
      </w:pPr>
      <w:r w:rsidRPr="00F23CCF">
        <w:t>Nitrogen conservation is another trade-off. Microbial inoculants are often promoted as a way to accelerate lignocellulose decomposition, but Yang et al. (2024) found that inoculation with cellulose- and hemicellulose-degrading microorganisms increased nitrous oxide emissions during composting of silkworm excrement and mulberry branches. The mechanistic explanation involved changes in nitrifying and denitrifying microbial pathways. This evidence is especially important for sustainability claims: faster decomposition or higher enzymatic activity does not necessarily reduce climate impact. Optimisation should include gaseous nitrogen losses, not merely process duration and final maturity.</w:t>
      </w:r>
    </w:p>
    <w:p w14:paraId="1550353C" w14:textId="77777777" w:rsidR="00747D28" w:rsidRPr="00F23CCF" w:rsidRDefault="00000000">
      <w:pPr>
        <w:jc w:val="both"/>
      </w:pPr>
      <w:r w:rsidRPr="00F23CCF">
        <w:t xml:space="preserve">The chemistry of humification is likewise sensitive to additives. Liu et al. (2024) showed that corncob biochar and manganese dioxide altered the formation and electron-transfer capacity of humic fractions during silkworm-excrement composting, with additive-specific effects rather than a uniform improvement. </w:t>
      </w:r>
      <w:r w:rsidRPr="00F23CCF">
        <w:lastRenderedPageBreak/>
        <w:t>Li et al. (2025) later compared dissolved organic matter derived from silkworm-excrement compost with a protein-rich compost and demonstrated distinct electron-transfer properties. These studies deepen understanding of compost function but also reveal the limits of a generic “enhanced compost” label. Chemical transformations that are useful for one endpoint, such as redox activity in contaminated soil, may not be relevant to ordinary nutrient recycling.</w:t>
      </w:r>
    </w:p>
    <w:p w14:paraId="4116ED7A" w14:textId="77777777" w:rsidR="00747D28" w:rsidRPr="00F23CCF" w:rsidRDefault="00000000">
      <w:pPr>
        <w:pStyle w:val="Heading2"/>
        <w:rPr>
          <w:color w:val="auto"/>
        </w:rPr>
      </w:pPr>
      <w:r w:rsidRPr="00F23CCF">
        <w:rPr>
          <w:color w:val="auto"/>
        </w:rPr>
        <w:t>5.2 Disease cycling and microbiological hazards</w:t>
      </w:r>
    </w:p>
    <w:p w14:paraId="27A14161" w14:textId="77777777" w:rsidR="00747D28" w:rsidRPr="00F23CCF" w:rsidRDefault="00000000">
      <w:pPr>
        <w:jc w:val="both"/>
      </w:pPr>
      <w:r w:rsidRPr="00F23CCF">
        <w:t>The most immediate biological risk in a sericulture setting is cycling of silkworm pathogens back into the production environment. The risk is source-dependent: routine litter from a healthy batch is not equivalent to bed refuse from a diseased lot. Because infectious material may be present in faeces, body fluids or cadavers, mixing suspect residues with general compost feedstock can enlarge the contamination footprint before treatment. Institutional disease-management guidance therefore supports rapid removal of infected larvae and contaminated refuse from the rearing environment (Central Silk Board, n.d.; Tamil Nadu Agricultural University, n.d.). A circular-management scheme must preserve this separation from the point of generation through transport and final treatment.</w:t>
      </w:r>
    </w:p>
    <w:p w14:paraId="7055FAD4" w14:textId="77777777" w:rsidR="00747D28" w:rsidRPr="00F23CCF" w:rsidRDefault="00000000">
      <w:pPr>
        <w:jc w:val="both"/>
      </w:pPr>
      <w:r w:rsidRPr="00F23CCF">
        <w:t>A second microbiological question concerns human and environmental pathogens after land application. Zhu et al. (2022) compared multiple manure-amended soils and detected a broad profile of potential human bacterial pathogens, virulence-factor genes and antibiotic-resistance genes; silkworm excrement was among the amendments associated with higher microbiological risk. The study does not prove that all silkworm-excrement compost is unsafe, and its findings should not be transferred mechanically to treated material from different systems. It does show that biological origin and nutrient value cannot substitute for microbiological assessment. Land application near food crops or water pathways is particularly sensitive when treatment history is uncertain.</w:t>
      </w:r>
    </w:p>
    <w:p w14:paraId="2D8499FE" w14:textId="77777777" w:rsidR="00747D28" w:rsidRPr="00F23CCF" w:rsidRDefault="00000000">
      <w:pPr>
        <w:jc w:val="both"/>
      </w:pPr>
      <w:r w:rsidRPr="00F23CCF">
        <w:t xml:space="preserve">The beneficial-microbe literature creates an instructive contrast. Shen et al. (2024) characterised silkworm-excrement compost with favourable nutrient properties and isolated organisms associated with plant and animal production functions. Li et al. (2019, 2020) identified </w:t>
      </w:r>
      <w:r w:rsidRPr="00F23CCF">
        <w:rPr>
          <w:i/>
        </w:rPr>
        <w:t>Bacillus subtilis</w:t>
      </w:r>
      <w:r w:rsidRPr="00F23CCF">
        <w:t xml:space="preserve"> strains with plant-growth-promoting or antagonistic traits. These findings support the ecological complexity of composted excrement rather than a simple safe-versus-hazardous classification. The correct interpretation is endpoint-specific: a material may contain beneficial organisms and still require screening for pathogens, resistance determinants or opportunistic taxa. Product safety is an emergent property of the whole material and treatment process, not of selected isolates.</w:t>
      </w:r>
    </w:p>
    <w:p w14:paraId="53146C3B" w14:textId="77777777" w:rsidR="00747D28" w:rsidRPr="00F23CCF" w:rsidRDefault="00000000">
      <w:pPr>
        <w:pStyle w:val="Heading2"/>
        <w:rPr>
          <w:color w:val="auto"/>
        </w:rPr>
      </w:pPr>
      <w:r w:rsidRPr="00F23CCF">
        <w:rPr>
          <w:color w:val="auto"/>
        </w:rPr>
        <w:t>5.3 Chemical and heavy-metal carry-over</w:t>
      </w:r>
    </w:p>
    <w:p w14:paraId="5188EDCC" w14:textId="77777777" w:rsidR="00747D28" w:rsidRPr="00F23CCF" w:rsidRDefault="00000000">
      <w:pPr>
        <w:jc w:val="both"/>
      </w:pPr>
      <w:r w:rsidRPr="00F23CCF">
        <w:t>Chemical contamination can arise from the production environment rather than from the waste itself. Jiang et al. (2025) examined silkworm excrement from cadmium-polluted sericulture and showed that contaminated excrement creates a management challenge because the metal accumulated through the production system. Converting that material to biochar reduced cadmium phytoavailability in the tested soil-mulberry system, illustrating how treatment can change contaminant mobility without eliminating the element. This is a critical distinction: pyrolysis may immobilise or redistribute metals, but the resulting char remains a contaminant-bearing material that requires controlled use and monitoring.</w:t>
      </w:r>
    </w:p>
    <w:p w14:paraId="0D178733" w14:textId="77777777" w:rsidR="00747D28" w:rsidRPr="00F23CCF" w:rsidRDefault="00000000">
      <w:pPr>
        <w:jc w:val="both"/>
      </w:pPr>
      <w:r w:rsidRPr="00F23CCF">
        <w:t xml:space="preserve">Other studies have intentionally used silkworm excrement in contaminated-soil remediation. Wang et al. (2016) found that excrement affected soil properties, plant growth and metal availability in pakchoi grown in multi-metal-contaminated soil. Shi et al. (2023) tested excrement-derived materials in heavily contaminated mining soil and observed effects on vegetation and soil microbial recovery. These studies show functional interactions between organic amendments and metals, but they should not be interpreted as evidence that </w:t>
      </w:r>
      <w:r w:rsidRPr="00F23CCF">
        <w:lastRenderedPageBreak/>
        <w:t>contaminated sericulture waste is universally suitable for land application. The direction of metal mobilisation depends on pH, organic ligands, mineralogy, element speciation, dose, crop and time. Source testing remains essential.</w:t>
      </w:r>
    </w:p>
    <w:p w14:paraId="5AAA6C11" w14:textId="77777777" w:rsidR="00747D28" w:rsidRPr="00F23CCF" w:rsidRDefault="00000000">
      <w:pPr>
        <w:jc w:val="both"/>
      </w:pPr>
      <w:r w:rsidRPr="00F23CCF">
        <w:t>Pesticide and disinfectant residues receive much less direct study in the pre-cocoon waste literature. Their potential relevance is nonetheless clear because mulberry protection and rearing-house hygiene use chemical inputs whose containers or residues may contact waste streams. Without measured residue data, it is inappropriate to assert either negligible or substantial contamination. The defensible management response is source segregation, adherence to label and local disposal requirements, and avoidance of incorporating chemical containers or visibly contaminated materials into biological treatment.</w:t>
      </w:r>
    </w:p>
    <w:p w14:paraId="5700BF63" w14:textId="77777777" w:rsidR="00747D28" w:rsidRPr="00F23CCF" w:rsidRDefault="00000000">
      <w:pPr>
        <w:pStyle w:val="Heading2"/>
        <w:rPr>
          <w:color w:val="auto"/>
        </w:rPr>
      </w:pPr>
      <w:r w:rsidRPr="00F23CCF">
        <w:rPr>
          <w:color w:val="auto"/>
        </w:rPr>
        <w:t>5.4 System-level environmental burden</w:t>
      </w:r>
    </w:p>
    <w:p w14:paraId="52BB126E" w14:textId="77777777" w:rsidR="00747D28" w:rsidRPr="00F23CCF" w:rsidRDefault="00000000">
      <w:pPr>
        <w:jc w:val="both"/>
      </w:pPr>
      <w:r w:rsidRPr="00F23CCF">
        <w:t>Waste management should be judged against the environmental profile of the whole pre-cocoon system. Astudillo et al. (2014), Barcelos et al. (2020) and Wu et al. (2025) all demonstrate that field inputs and cocoon-production operations can dominate important impact categories. Thus, a technically successful composting programme may yield only modest system-level improvement if fertiliser rates, energy use, irrigation, leaf transport or rearing efficiency remain poor. Conversely, nutrient return from compost may create a larger benefit where it measurably displaces mineral fertiliser and maintains mulberry productivity. Few studies quantify that substitution over multiple seasons.</w:t>
      </w:r>
    </w:p>
    <w:p w14:paraId="6DBEDB27" w14:textId="77777777" w:rsidR="00747D28" w:rsidRPr="00F23CCF" w:rsidRDefault="00000000">
      <w:pPr>
        <w:jc w:val="both"/>
      </w:pPr>
      <w:r w:rsidRPr="00F23CCF">
        <w:t>The systems perspective also changes how “waste-to-wealth” claims should be evaluated. Valorisation can create revenue or avoid purchase of fertiliser, but preprocessing, drying, transport, controlled composting, pyrolysis or product testing also consume resources. Advanced products such as functional biochar may be economically attractive only when feedstock is aggregated and a market exists. The environmental benefit depends on the counterfactual: replacing an existing product with a residue-derived one can be beneficial, whereas adding a novel processing chain without displacing another burden may not be. Robust comparison therefore requires consequential or carefully scoped attributional analysis rather than assuming that diversion from disposal is automatically net-positive.</w:t>
      </w:r>
    </w:p>
    <w:p w14:paraId="4DEA552A" w14:textId="77777777" w:rsidR="00747D28" w:rsidRPr="00F23CCF" w:rsidRDefault="00000000">
      <w:pPr>
        <w:jc w:val="both"/>
      </w:pPr>
      <w:r w:rsidRPr="00F23CCF">
        <w:t>Table 3 places these risks into a control framework. The strongest evidence supports three principles: prevent disease residues from entering ordinary recycling, manage composting as an emission-producing biological process rather than a passive pile, and test contaminant-bearing material before land application. Evidence for specific thresholds remains less developed and should be adapted to local regulation and validated treatment standards.</w:t>
      </w:r>
    </w:p>
    <w:p w14:paraId="31D1F89C" w14:textId="77777777" w:rsidR="00747D28" w:rsidRPr="00F23CCF" w:rsidRDefault="00000000">
      <w:pPr>
        <w:pStyle w:val="TableCaption"/>
        <w:rPr>
          <w:color w:val="auto"/>
        </w:rPr>
      </w:pPr>
      <w:r w:rsidRPr="00F23CCF">
        <w:rPr>
          <w:color w:val="auto"/>
        </w:rPr>
        <w:t>Table 3. Risk pathways associated with unmanaged or poorly managed pre-cocoon sericulture residues</w:t>
      </w:r>
    </w:p>
    <w:tbl>
      <w:tblPr>
        <w:tblStyle w:val="TableGrid"/>
        <w:tblW w:w="0" w:type="auto"/>
        <w:jc w:val="center"/>
        <w:tblLayout w:type="fixed"/>
        <w:tblLook w:val="04A0" w:firstRow="1" w:lastRow="0" w:firstColumn="1" w:lastColumn="0" w:noHBand="0" w:noVBand="1"/>
      </w:tblPr>
      <w:tblGrid>
        <w:gridCol w:w="1512"/>
        <w:gridCol w:w="1584"/>
        <w:gridCol w:w="1800"/>
        <w:gridCol w:w="1944"/>
        <w:gridCol w:w="1800"/>
        <w:gridCol w:w="1440"/>
      </w:tblGrid>
      <w:tr w:rsidR="00F23CCF" w:rsidRPr="00F23CCF" w14:paraId="44F7CABB" w14:textId="77777777">
        <w:trPr>
          <w:cantSplit/>
          <w:tblHeader/>
          <w:jc w:val="center"/>
        </w:trPr>
        <w:tc>
          <w:tcPr>
            <w:tcW w:w="1512" w:type="dxa"/>
            <w:shd w:val="clear" w:color="auto" w:fill="D9EAF7"/>
            <w:tcMar>
              <w:top w:w="70" w:type="dxa"/>
              <w:left w:w="80" w:type="dxa"/>
              <w:bottom w:w="70" w:type="dxa"/>
              <w:right w:w="80" w:type="dxa"/>
            </w:tcMar>
            <w:vAlign w:val="center"/>
          </w:tcPr>
          <w:p w14:paraId="5F3B5608" w14:textId="77777777" w:rsidR="00747D28" w:rsidRPr="00F23CCF" w:rsidRDefault="00000000">
            <w:pPr>
              <w:spacing w:after="0" w:line="240" w:lineRule="auto"/>
              <w:jc w:val="center"/>
            </w:pPr>
            <w:r w:rsidRPr="00F23CCF">
              <w:rPr>
                <w:rFonts w:ascii="Arial" w:hAnsi="Arial"/>
                <w:b/>
                <w:sz w:val="16"/>
              </w:rPr>
              <w:t>Hazard source</w:t>
            </w:r>
          </w:p>
        </w:tc>
        <w:tc>
          <w:tcPr>
            <w:tcW w:w="1584" w:type="dxa"/>
            <w:shd w:val="clear" w:color="auto" w:fill="D9EAF7"/>
            <w:tcMar>
              <w:top w:w="70" w:type="dxa"/>
              <w:left w:w="80" w:type="dxa"/>
              <w:bottom w:w="70" w:type="dxa"/>
              <w:right w:w="80" w:type="dxa"/>
            </w:tcMar>
            <w:vAlign w:val="center"/>
          </w:tcPr>
          <w:p w14:paraId="02605730" w14:textId="77777777" w:rsidR="00747D28" w:rsidRPr="00F23CCF" w:rsidRDefault="00000000">
            <w:pPr>
              <w:spacing w:after="0" w:line="240" w:lineRule="auto"/>
              <w:jc w:val="center"/>
            </w:pPr>
            <w:r w:rsidRPr="00F23CCF">
              <w:rPr>
                <w:rFonts w:ascii="Arial" w:hAnsi="Arial"/>
                <w:b/>
                <w:sz w:val="16"/>
              </w:rPr>
              <w:t>Principal pathway</w:t>
            </w:r>
          </w:p>
        </w:tc>
        <w:tc>
          <w:tcPr>
            <w:tcW w:w="1800" w:type="dxa"/>
            <w:shd w:val="clear" w:color="auto" w:fill="D9EAF7"/>
            <w:tcMar>
              <w:top w:w="70" w:type="dxa"/>
              <w:left w:w="80" w:type="dxa"/>
              <w:bottom w:w="70" w:type="dxa"/>
              <w:right w:w="80" w:type="dxa"/>
            </w:tcMar>
            <w:vAlign w:val="center"/>
          </w:tcPr>
          <w:p w14:paraId="44FD7D97" w14:textId="77777777" w:rsidR="00747D28" w:rsidRPr="00F23CCF" w:rsidRDefault="00000000">
            <w:pPr>
              <w:spacing w:after="0" w:line="240" w:lineRule="auto"/>
              <w:jc w:val="center"/>
            </w:pPr>
            <w:r w:rsidRPr="00F23CCF">
              <w:rPr>
                <w:rFonts w:ascii="Arial" w:hAnsi="Arial"/>
                <w:b/>
                <w:sz w:val="16"/>
              </w:rPr>
              <w:t>Potential adverse endpoint</w:t>
            </w:r>
          </w:p>
        </w:tc>
        <w:tc>
          <w:tcPr>
            <w:tcW w:w="1944" w:type="dxa"/>
            <w:shd w:val="clear" w:color="auto" w:fill="D9EAF7"/>
            <w:tcMar>
              <w:top w:w="70" w:type="dxa"/>
              <w:left w:w="80" w:type="dxa"/>
              <w:bottom w:w="70" w:type="dxa"/>
              <w:right w:w="80" w:type="dxa"/>
            </w:tcMar>
            <w:vAlign w:val="center"/>
          </w:tcPr>
          <w:p w14:paraId="4BC7E9B1" w14:textId="77777777" w:rsidR="00747D28" w:rsidRPr="00F23CCF" w:rsidRDefault="00000000">
            <w:pPr>
              <w:spacing w:after="0" w:line="240" w:lineRule="auto"/>
              <w:jc w:val="center"/>
            </w:pPr>
            <w:r w:rsidRPr="00F23CCF">
              <w:rPr>
                <w:rFonts w:ascii="Arial" w:hAnsi="Arial"/>
                <w:b/>
                <w:sz w:val="16"/>
              </w:rPr>
              <w:t>Strength and limits of evidence</w:t>
            </w:r>
          </w:p>
        </w:tc>
        <w:tc>
          <w:tcPr>
            <w:tcW w:w="1800" w:type="dxa"/>
            <w:shd w:val="clear" w:color="auto" w:fill="D9EAF7"/>
            <w:tcMar>
              <w:top w:w="70" w:type="dxa"/>
              <w:left w:w="80" w:type="dxa"/>
              <w:bottom w:w="70" w:type="dxa"/>
              <w:right w:w="80" w:type="dxa"/>
            </w:tcMar>
            <w:vAlign w:val="center"/>
          </w:tcPr>
          <w:p w14:paraId="4F5D01FE" w14:textId="77777777" w:rsidR="00747D28" w:rsidRPr="00F23CCF" w:rsidRDefault="00000000">
            <w:pPr>
              <w:spacing w:after="0" w:line="240" w:lineRule="auto"/>
              <w:jc w:val="center"/>
            </w:pPr>
            <w:r w:rsidRPr="00F23CCF">
              <w:rPr>
                <w:rFonts w:ascii="Arial" w:hAnsi="Arial"/>
                <w:b/>
                <w:sz w:val="16"/>
              </w:rPr>
              <w:t>Control implication</w:t>
            </w:r>
          </w:p>
        </w:tc>
        <w:tc>
          <w:tcPr>
            <w:tcW w:w="1440" w:type="dxa"/>
            <w:shd w:val="clear" w:color="auto" w:fill="D9EAF7"/>
            <w:tcMar>
              <w:top w:w="70" w:type="dxa"/>
              <w:left w:w="80" w:type="dxa"/>
              <w:bottom w:w="70" w:type="dxa"/>
              <w:right w:w="80" w:type="dxa"/>
            </w:tcMar>
            <w:vAlign w:val="center"/>
          </w:tcPr>
          <w:p w14:paraId="3E224D2F"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65B482A7" w14:textId="77777777">
        <w:trPr>
          <w:cantSplit/>
          <w:jc w:val="center"/>
        </w:trPr>
        <w:tc>
          <w:tcPr>
            <w:tcW w:w="1512" w:type="dxa"/>
            <w:tcMar>
              <w:top w:w="70" w:type="dxa"/>
              <w:left w:w="80" w:type="dxa"/>
              <w:bottom w:w="70" w:type="dxa"/>
              <w:right w:w="80" w:type="dxa"/>
            </w:tcMar>
            <w:vAlign w:val="center"/>
          </w:tcPr>
          <w:p w14:paraId="71294CC9" w14:textId="77777777" w:rsidR="00747D28" w:rsidRPr="00F23CCF" w:rsidRDefault="00000000">
            <w:pPr>
              <w:spacing w:after="0" w:line="240" w:lineRule="auto"/>
            </w:pPr>
            <w:r w:rsidRPr="00F23CCF">
              <w:rPr>
                <w:rFonts w:ascii="Arial" w:hAnsi="Arial"/>
                <w:sz w:val="15"/>
              </w:rPr>
              <w:t>Fresh excrement and mixed litter</w:t>
            </w:r>
          </w:p>
        </w:tc>
        <w:tc>
          <w:tcPr>
            <w:tcW w:w="1584" w:type="dxa"/>
            <w:tcMar>
              <w:top w:w="70" w:type="dxa"/>
              <w:left w:w="80" w:type="dxa"/>
              <w:bottom w:w="70" w:type="dxa"/>
              <w:right w:w="80" w:type="dxa"/>
            </w:tcMar>
            <w:vAlign w:val="center"/>
          </w:tcPr>
          <w:p w14:paraId="5873A797" w14:textId="77777777" w:rsidR="00747D28" w:rsidRPr="00F23CCF" w:rsidRDefault="00000000">
            <w:pPr>
              <w:spacing w:after="0" w:line="240" w:lineRule="auto"/>
            </w:pPr>
            <w:r w:rsidRPr="00F23CCF">
              <w:rPr>
                <w:rFonts w:ascii="Arial" w:hAnsi="Arial"/>
                <w:sz w:val="15"/>
              </w:rPr>
              <w:t>Uncontrolled decomposition and volatilisation</w:t>
            </w:r>
          </w:p>
        </w:tc>
        <w:tc>
          <w:tcPr>
            <w:tcW w:w="1800" w:type="dxa"/>
            <w:tcMar>
              <w:top w:w="70" w:type="dxa"/>
              <w:left w:w="80" w:type="dxa"/>
              <w:bottom w:w="70" w:type="dxa"/>
              <w:right w:w="80" w:type="dxa"/>
            </w:tcMar>
            <w:vAlign w:val="center"/>
          </w:tcPr>
          <w:p w14:paraId="67F12D56" w14:textId="77777777" w:rsidR="00747D28" w:rsidRPr="00F23CCF" w:rsidRDefault="00000000">
            <w:pPr>
              <w:spacing w:after="0" w:line="240" w:lineRule="auto"/>
            </w:pPr>
            <w:r w:rsidRPr="00F23CCF">
              <w:rPr>
                <w:rFonts w:ascii="Arial" w:hAnsi="Arial"/>
                <w:sz w:val="15"/>
              </w:rPr>
              <w:t>Odour, ammonia and other gaseous emissions; nutrient loss</w:t>
            </w:r>
          </w:p>
        </w:tc>
        <w:tc>
          <w:tcPr>
            <w:tcW w:w="1944" w:type="dxa"/>
            <w:tcMar>
              <w:top w:w="70" w:type="dxa"/>
              <w:left w:w="80" w:type="dxa"/>
              <w:bottom w:w="70" w:type="dxa"/>
              <w:right w:w="80" w:type="dxa"/>
            </w:tcMar>
            <w:vAlign w:val="center"/>
          </w:tcPr>
          <w:p w14:paraId="2A652225" w14:textId="77777777" w:rsidR="00747D28" w:rsidRPr="00F23CCF" w:rsidRDefault="00000000">
            <w:pPr>
              <w:spacing w:after="0" w:line="240" w:lineRule="auto"/>
            </w:pPr>
            <w:r w:rsidRPr="00F23CCF">
              <w:rPr>
                <w:rFonts w:ascii="Arial" w:hAnsi="Arial"/>
                <w:sz w:val="15"/>
              </w:rPr>
              <w:t>Direct gas-characterisation evidence exists, but farm-scale exposure data are limited</w:t>
            </w:r>
          </w:p>
        </w:tc>
        <w:tc>
          <w:tcPr>
            <w:tcW w:w="1800" w:type="dxa"/>
            <w:tcMar>
              <w:top w:w="70" w:type="dxa"/>
              <w:left w:w="80" w:type="dxa"/>
              <w:bottom w:w="70" w:type="dxa"/>
              <w:right w:w="80" w:type="dxa"/>
            </w:tcMar>
            <w:vAlign w:val="center"/>
          </w:tcPr>
          <w:p w14:paraId="04DBC07C" w14:textId="77777777" w:rsidR="00747D28" w:rsidRPr="00F23CCF" w:rsidRDefault="00000000">
            <w:pPr>
              <w:spacing w:after="0" w:line="240" w:lineRule="auto"/>
            </w:pPr>
            <w:r w:rsidRPr="00F23CCF">
              <w:rPr>
                <w:rFonts w:ascii="Arial" w:hAnsi="Arial"/>
                <w:sz w:val="15"/>
              </w:rPr>
              <w:t>Manage moisture, aeration, carbon balance, location and worker exposure during treatment</w:t>
            </w:r>
          </w:p>
        </w:tc>
        <w:tc>
          <w:tcPr>
            <w:tcW w:w="1440" w:type="dxa"/>
            <w:tcMar>
              <w:top w:w="70" w:type="dxa"/>
              <w:left w:w="80" w:type="dxa"/>
              <w:bottom w:w="70" w:type="dxa"/>
              <w:right w:w="80" w:type="dxa"/>
            </w:tcMar>
            <w:vAlign w:val="center"/>
          </w:tcPr>
          <w:p w14:paraId="7D73FCC1" w14:textId="77777777" w:rsidR="00747D28" w:rsidRPr="00F23CCF" w:rsidRDefault="00000000">
            <w:pPr>
              <w:spacing w:after="0" w:line="240" w:lineRule="auto"/>
            </w:pPr>
            <w:r w:rsidRPr="00F23CCF">
              <w:rPr>
                <w:rFonts w:ascii="Arial" w:hAnsi="Arial"/>
                <w:sz w:val="15"/>
              </w:rPr>
              <w:t>Li et al., 2018</w:t>
            </w:r>
          </w:p>
        </w:tc>
      </w:tr>
      <w:tr w:rsidR="00F23CCF" w:rsidRPr="00F23CCF" w14:paraId="5273D686" w14:textId="77777777">
        <w:trPr>
          <w:cantSplit/>
          <w:jc w:val="center"/>
        </w:trPr>
        <w:tc>
          <w:tcPr>
            <w:tcW w:w="1512" w:type="dxa"/>
            <w:tcMar>
              <w:top w:w="70" w:type="dxa"/>
              <w:left w:w="80" w:type="dxa"/>
              <w:bottom w:w="70" w:type="dxa"/>
              <w:right w:w="80" w:type="dxa"/>
            </w:tcMar>
            <w:vAlign w:val="center"/>
          </w:tcPr>
          <w:p w14:paraId="59053B53" w14:textId="77777777" w:rsidR="00747D28" w:rsidRPr="00F23CCF" w:rsidRDefault="00000000">
            <w:pPr>
              <w:spacing w:after="0" w:line="240" w:lineRule="auto"/>
            </w:pPr>
            <w:r w:rsidRPr="00F23CCF">
              <w:rPr>
                <w:rFonts w:ascii="Arial" w:hAnsi="Arial"/>
                <w:sz w:val="15"/>
              </w:rPr>
              <w:t>Microbially intensified composting</w:t>
            </w:r>
          </w:p>
        </w:tc>
        <w:tc>
          <w:tcPr>
            <w:tcW w:w="1584" w:type="dxa"/>
            <w:tcMar>
              <w:top w:w="70" w:type="dxa"/>
              <w:left w:w="80" w:type="dxa"/>
              <w:bottom w:w="70" w:type="dxa"/>
              <w:right w:w="80" w:type="dxa"/>
            </w:tcMar>
            <w:vAlign w:val="center"/>
          </w:tcPr>
          <w:p w14:paraId="38C1C641" w14:textId="77777777" w:rsidR="00747D28" w:rsidRPr="00F23CCF" w:rsidRDefault="00000000">
            <w:pPr>
              <w:spacing w:after="0" w:line="240" w:lineRule="auto"/>
            </w:pPr>
            <w:r w:rsidRPr="00F23CCF">
              <w:rPr>
                <w:rFonts w:ascii="Arial" w:hAnsi="Arial"/>
                <w:sz w:val="15"/>
              </w:rPr>
              <w:t>Altered nitrification and denitrification</w:t>
            </w:r>
          </w:p>
        </w:tc>
        <w:tc>
          <w:tcPr>
            <w:tcW w:w="1800" w:type="dxa"/>
            <w:tcMar>
              <w:top w:w="70" w:type="dxa"/>
              <w:left w:w="80" w:type="dxa"/>
              <w:bottom w:w="70" w:type="dxa"/>
              <w:right w:w="80" w:type="dxa"/>
            </w:tcMar>
            <w:vAlign w:val="center"/>
          </w:tcPr>
          <w:p w14:paraId="7CDF830D" w14:textId="77777777" w:rsidR="00747D28" w:rsidRPr="00F23CCF" w:rsidRDefault="00000000">
            <w:pPr>
              <w:spacing w:after="0" w:line="240" w:lineRule="auto"/>
            </w:pPr>
            <w:r w:rsidRPr="00F23CCF">
              <w:rPr>
                <w:rFonts w:ascii="Arial" w:hAnsi="Arial"/>
                <w:sz w:val="15"/>
              </w:rPr>
              <w:t>Higher nitrous oxide emission despite faster degradation</w:t>
            </w:r>
          </w:p>
        </w:tc>
        <w:tc>
          <w:tcPr>
            <w:tcW w:w="1944" w:type="dxa"/>
            <w:tcMar>
              <w:top w:w="70" w:type="dxa"/>
              <w:left w:w="80" w:type="dxa"/>
              <w:bottom w:w="70" w:type="dxa"/>
              <w:right w:w="80" w:type="dxa"/>
            </w:tcMar>
            <w:vAlign w:val="center"/>
          </w:tcPr>
          <w:p w14:paraId="25B388F4" w14:textId="77777777" w:rsidR="00747D28" w:rsidRPr="00F23CCF" w:rsidRDefault="00000000">
            <w:pPr>
              <w:spacing w:after="0" w:line="240" w:lineRule="auto"/>
            </w:pPr>
            <w:r w:rsidRPr="00F23CCF">
              <w:rPr>
                <w:rFonts w:ascii="Arial" w:hAnsi="Arial"/>
                <w:sz w:val="15"/>
              </w:rPr>
              <w:t>Controlled composting experiment provides mechanistic evidence; transferability depends on recipe and scale</w:t>
            </w:r>
          </w:p>
        </w:tc>
        <w:tc>
          <w:tcPr>
            <w:tcW w:w="1800" w:type="dxa"/>
            <w:tcMar>
              <w:top w:w="70" w:type="dxa"/>
              <w:left w:w="80" w:type="dxa"/>
              <w:bottom w:w="70" w:type="dxa"/>
              <w:right w:w="80" w:type="dxa"/>
            </w:tcMar>
            <w:vAlign w:val="center"/>
          </w:tcPr>
          <w:p w14:paraId="7399BC99" w14:textId="77777777" w:rsidR="00747D28" w:rsidRPr="00F23CCF" w:rsidRDefault="00000000">
            <w:pPr>
              <w:spacing w:after="0" w:line="240" w:lineRule="auto"/>
            </w:pPr>
            <w:r w:rsidRPr="00F23CCF">
              <w:rPr>
                <w:rFonts w:ascii="Arial" w:hAnsi="Arial"/>
                <w:sz w:val="15"/>
              </w:rPr>
              <w:t>Evaluate greenhouse-gas endpoints when selecting inoculants or additives</w:t>
            </w:r>
          </w:p>
        </w:tc>
        <w:tc>
          <w:tcPr>
            <w:tcW w:w="1440" w:type="dxa"/>
            <w:tcMar>
              <w:top w:w="70" w:type="dxa"/>
              <w:left w:w="80" w:type="dxa"/>
              <w:bottom w:w="70" w:type="dxa"/>
              <w:right w:w="80" w:type="dxa"/>
            </w:tcMar>
            <w:vAlign w:val="center"/>
          </w:tcPr>
          <w:p w14:paraId="6BE5301E" w14:textId="77777777" w:rsidR="00747D28" w:rsidRPr="00F23CCF" w:rsidRDefault="00000000">
            <w:pPr>
              <w:spacing w:after="0" w:line="240" w:lineRule="auto"/>
            </w:pPr>
            <w:r w:rsidRPr="00F23CCF">
              <w:rPr>
                <w:rFonts w:ascii="Arial" w:hAnsi="Arial"/>
                <w:sz w:val="15"/>
              </w:rPr>
              <w:t>Yang et al., 2024</w:t>
            </w:r>
          </w:p>
        </w:tc>
      </w:tr>
      <w:tr w:rsidR="00F23CCF" w:rsidRPr="00F23CCF" w14:paraId="6A3DE1C9" w14:textId="77777777">
        <w:trPr>
          <w:cantSplit/>
          <w:jc w:val="center"/>
        </w:trPr>
        <w:tc>
          <w:tcPr>
            <w:tcW w:w="1512" w:type="dxa"/>
            <w:tcMar>
              <w:top w:w="70" w:type="dxa"/>
              <w:left w:w="80" w:type="dxa"/>
              <w:bottom w:w="70" w:type="dxa"/>
              <w:right w:w="80" w:type="dxa"/>
            </w:tcMar>
            <w:vAlign w:val="center"/>
          </w:tcPr>
          <w:p w14:paraId="40F9B49C" w14:textId="77777777" w:rsidR="00747D28" w:rsidRPr="00F23CCF" w:rsidRDefault="00000000">
            <w:pPr>
              <w:spacing w:after="0" w:line="240" w:lineRule="auto"/>
            </w:pPr>
            <w:r w:rsidRPr="00F23CCF">
              <w:rPr>
                <w:rFonts w:ascii="Arial" w:hAnsi="Arial"/>
                <w:sz w:val="15"/>
              </w:rPr>
              <w:lastRenderedPageBreak/>
              <w:t>Diseased larvae and contaminated bed refuse</w:t>
            </w:r>
          </w:p>
        </w:tc>
        <w:tc>
          <w:tcPr>
            <w:tcW w:w="1584" w:type="dxa"/>
            <w:tcMar>
              <w:top w:w="70" w:type="dxa"/>
              <w:left w:w="80" w:type="dxa"/>
              <w:bottom w:w="70" w:type="dxa"/>
              <w:right w:w="80" w:type="dxa"/>
            </w:tcMar>
            <w:vAlign w:val="center"/>
          </w:tcPr>
          <w:p w14:paraId="4692AE05" w14:textId="77777777" w:rsidR="00747D28" w:rsidRPr="00F23CCF" w:rsidRDefault="00000000">
            <w:pPr>
              <w:spacing w:after="0" w:line="240" w:lineRule="auto"/>
            </w:pPr>
            <w:r w:rsidRPr="00F23CCF">
              <w:rPr>
                <w:rFonts w:ascii="Arial" w:hAnsi="Arial"/>
                <w:sz w:val="15"/>
              </w:rPr>
              <w:t>Return to rearing environment through surfaces, soil, tools or leaves</w:t>
            </w:r>
          </w:p>
        </w:tc>
        <w:tc>
          <w:tcPr>
            <w:tcW w:w="1800" w:type="dxa"/>
            <w:tcMar>
              <w:top w:w="70" w:type="dxa"/>
              <w:left w:w="80" w:type="dxa"/>
              <w:bottom w:w="70" w:type="dxa"/>
              <w:right w:w="80" w:type="dxa"/>
            </w:tcMar>
            <w:vAlign w:val="center"/>
          </w:tcPr>
          <w:p w14:paraId="042ADE7F" w14:textId="77777777" w:rsidR="00747D28" w:rsidRPr="00F23CCF" w:rsidRDefault="00000000">
            <w:pPr>
              <w:spacing w:after="0" w:line="240" w:lineRule="auto"/>
            </w:pPr>
            <w:r w:rsidRPr="00F23CCF">
              <w:rPr>
                <w:rFonts w:ascii="Arial" w:hAnsi="Arial"/>
                <w:sz w:val="15"/>
              </w:rPr>
              <w:t>Silkworm pathogen transmission and production loss</w:t>
            </w:r>
          </w:p>
        </w:tc>
        <w:tc>
          <w:tcPr>
            <w:tcW w:w="1944" w:type="dxa"/>
            <w:tcMar>
              <w:top w:w="70" w:type="dxa"/>
              <w:left w:w="80" w:type="dxa"/>
              <w:bottom w:w="70" w:type="dxa"/>
              <w:right w:w="80" w:type="dxa"/>
            </w:tcMar>
            <w:vAlign w:val="center"/>
          </w:tcPr>
          <w:p w14:paraId="7BA65818" w14:textId="77777777" w:rsidR="00747D28" w:rsidRPr="00F23CCF" w:rsidRDefault="00000000">
            <w:pPr>
              <w:spacing w:after="0" w:line="240" w:lineRule="auto"/>
            </w:pPr>
            <w:r w:rsidRPr="00F23CCF">
              <w:rPr>
                <w:rFonts w:ascii="Arial" w:hAnsi="Arial"/>
                <w:sz w:val="15"/>
              </w:rPr>
              <w:t>Strong biological plausibility and authoritative disease-control guidance; treatment-specific inactivation data are scarce</w:t>
            </w:r>
          </w:p>
        </w:tc>
        <w:tc>
          <w:tcPr>
            <w:tcW w:w="1800" w:type="dxa"/>
            <w:tcMar>
              <w:top w:w="70" w:type="dxa"/>
              <w:left w:w="80" w:type="dxa"/>
              <w:bottom w:w="70" w:type="dxa"/>
              <w:right w:w="80" w:type="dxa"/>
            </w:tcMar>
            <w:vAlign w:val="center"/>
          </w:tcPr>
          <w:p w14:paraId="378E8622" w14:textId="77777777" w:rsidR="00747D28" w:rsidRPr="00F23CCF" w:rsidRDefault="00000000">
            <w:pPr>
              <w:spacing w:after="0" w:line="240" w:lineRule="auto"/>
            </w:pPr>
            <w:r w:rsidRPr="00F23CCF">
              <w:rPr>
                <w:rFonts w:ascii="Arial" w:hAnsi="Arial"/>
                <w:sz w:val="15"/>
              </w:rPr>
              <w:t>Immediate segregation; validated sanitisation or secure destruction before any reuse</w:t>
            </w:r>
          </w:p>
        </w:tc>
        <w:tc>
          <w:tcPr>
            <w:tcW w:w="1440" w:type="dxa"/>
            <w:tcMar>
              <w:top w:w="70" w:type="dxa"/>
              <w:left w:w="80" w:type="dxa"/>
              <w:bottom w:w="70" w:type="dxa"/>
              <w:right w:w="80" w:type="dxa"/>
            </w:tcMar>
            <w:vAlign w:val="center"/>
          </w:tcPr>
          <w:p w14:paraId="71BC921A" w14:textId="77777777" w:rsidR="00747D28" w:rsidRPr="00F23CCF" w:rsidRDefault="00000000">
            <w:pPr>
              <w:spacing w:after="0" w:line="240" w:lineRule="auto"/>
            </w:pPr>
            <w:r w:rsidRPr="00F23CCF">
              <w:rPr>
                <w:rFonts w:ascii="Arial" w:hAnsi="Arial"/>
                <w:sz w:val="15"/>
              </w:rPr>
              <w:t>Central Silk Board, n.d.; Tamil Nadu Agricultural University, n.d.</w:t>
            </w:r>
          </w:p>
        </w:tc>
      </w:tr>
      <w:tr w:rsidR="00F23CCF" w:rsidRPr="00F23CCF" w14:paraId="4ECE99B5" w14:textId="77777777">
        <w:trPr>
          <w:cantSplit/>
          <w:jc w:val="center"/>
        </w:trPr>
        <w:tc>
          <w:tcPr>
            <w:tcW w:w="1512" w:type="dxa"/>
            <w:tcMar>
              <w:top w:w="70" w:type="dxa"/>
              <w:left w:w="80" w:type="dxa"/>
              <w:bottom w:w="70" w:type="dxa"/>
              <w:right w:w="80" w:type="dxa"/>
            </w:tcMar>
            <w:vAlign w:val="center"/>
          </w:tcPr>
          <w:p w14:paraId="630BBD0D" w14:textId="77777777" w:rsidR="00747D28" w:rsidRPr="00F23CCF" w:rsidRDefault="00000000">
            <w:pPr>
              <w:spacing w:after="0" w:line="240" w:lineRule="auto"/>
            </w:pPr>
            <w:r w:rsidRPr="00F23CCF">
              <w:rPr>
                <w:rFonts w:ascii="Arial" w:hAnsi="Arial"/>
                <w:sz w:val="15"/>
              </w:rPr>
              <w:t>Raw or insufficiently treated excrement</w:t>
            </w:r>
          </w:p>
        </w:tc>
        <w:tc>
          <w:tcPr>
            <w:tcW w:w="1584" w:type="dxa"/>
            <w:tcMar>
              <w:top w:w="70" w:type="dxa"/>
              <w:left w:w="80" w:type="dxa"/>
              <w:bottom w:w="70" w:type="dxa"/>
              <w:right w:w="80" w:type="dxa"/>
            </w:tcMar>
            <w:vAlign w:val="center"/>
          </w:tcPr>
          <w:p w14:paraId="54607E2D" w14:textId="77777777" w:rsidR="00747D28" w:rsidRPr="00F23CCF" w:rsidRDefault="00000000">
            <w:pPr>
              <w:spacing w:after="0" w:line="240" w:lineRule="auto"/>
            </w:pPr>
            <w:r w:rsidRPr="00F23CCF">
              <w:rPr>
                <w:rFonts w:ascii="Arial" w:hAnsi="Arial"/>
                <w:sz w:val="15"/>
              </w:rPr>
              <w:t>Soil application and microbial persistence</w:t>
            </w:r>
          </w:p>
        </w:tc>
        <w:tc>
          <w:tcPr>
            <w:tcW w:w="1800" w:type="dxa"/>
            <w:tcMar>
              <w:top w:w="70" w:type="dxa"/>
              <w:left w:w="80" w:type="dxa"/>
              <w:bottom w:w="70" w:type="dxa"/>
              <w:right w:w="80" w:type="dxa"/>
            </w:tcMar>
            <w:vAlign w:val="center"/>
          </w:tcPr>
          <w:p w14:paraId="14D5781D" w14:textId="77777777" w:rsidR="00747D28" w:rsidRPr="00F23CCF" w:rsidRDefault="00000000">
            <w:pPr>
              <w:spacing w:after="0" w:line="240" w:lineRule="auto"/>
            </w:pPr>
            <w:r w:rsidRPr="00F23CCF">
              <w:rPr>
                <w:rFonts w:ascii="Arial" w:hAnsi="Arial"/>
                <w:sz w:val="15"/>
              </w:rPr>
              <w:t>Human/environmental pathogens, virulence and antibiotic-resistance genes</w:t>
            </w:r>
          </w:p>
        </w:tc>
        <w:tc>
          <w:tcPr>
            <w:tcW w:w="1944" w:type="dxa"/>
            <w:tcMar>
              <w:top w:w="70" w:type="dxa"/>
              <w:left w:w="80" w:type="dxa"/>
              <w:bottom w:w="70" w:type="dxa"/>
              <w:right w:w="80" w:type="dxa"/>
            </w:tcMar>
            <w:vAlign w:val="center"/>
          </w:tcPr>
          <w:p w14:paraId="5C6DBC5C" w14:textId="77777777" w:rsidR="00747D28" w:rsidRPr="00F23CCF" w:rsidRDefault="00000000">
            <w:pPr>
              <w:spacing w:after="0" w:line="240" w:lineRule="auto"/>
            </w:pPr>
            <w:r w:rsidRPr="00F23CCF">
              <w:rPr>
                <w:rFonts w:ascii="Arial" w:hAnsi="Arial"/>
                <w:sz w:val="15"/>
              </w:rPr>
              <w:t>Comparative soil study demonstrates risk signals; does not represent every treated compost</w:t>
            </w:r>
          </w:p>
        </w:tc>
        <w:tc>
          <w:tcPr>
            <w:tcW w:w="1800" w:type="dxa"/>
            <w:tcMar>
              <w:top w:w="70" w:type="dxa"/>
              <w:left w:w="80" w:type="dxa"/>
              <w:bottom w:w="70" w:type="dxa"/>
              <w:right w:w="80" w:type="dxa"/>
            </w:tcMar>
            <w:vAlign w:val="center"/>
          </w:tcPr>
          <w:p w14:paraId="78E00EBA" w14:textId="77777777" w:rsidR="00747D28" w:rsidRPr="00F23CCF" w:rsidRDefault="00000000">
            <w:pPr>
              <w:spacing w:after="0" w:line="240" w:lineRule="auto"/>
            </w:pPr>
            <w:r w:rsidRPr="00F23CCF">
              <w:rPr>
                <w:rFonts w:ascii="Arial" w:hAnsi="Arial"/>
                <w:sz w:val="15"/>
              </w:rPr>
              <w:t>Require source control and microbiological safety appropriate to intended use</w:t>
            </w:r>
          </w:p>
        </w:tc>
        <w:tc>
          <w:tcPr>
            <w:tcW w:w="1440" w:type="dxa"/>
            <w:tcMar>
              <w:top w:w="70" w:type="dxa"/>
              <w:left w:w="80" w:type="dxa"/>
              <w:bottom w:w="70" w:type="dxa"/>
              <w:right w:w="80" w:type="dxa"/>
            </w:tcMar>
            <w:vAlign w:val="center"/>
          </w:tcPr>
          <w:p w14:paraId="46A1F8B2" w14:textId="77777777" w:rsidR="00747D28" w:rsidRPr="00F23CCF" w:rsidRDefault="00000000">
            <w:pPr>
              <w:spacing w:after="0" w:line="240" w:lineRule="auto"/>
            </w:pPr>
            <w:r w:rsidRPr="00F23CCF">
              <w:rPr>
                <w:rFonts w:ascii="Arial" w:hAnsi="Arial"/>
                <w:sz w:val="15"/>
              </w:rPr>
              <w:t>Zhu et al., 2022</w:t>
            </w:r>
          </w:p>
        </w:tc>
      </w:tr>
      <w:tr w:rsidR="00F23CCF" w:rsidRPr="00F23CCF" w14:paraId="3961C1FC" w14:textId="77777777">
        <w:trPr>
          <w:cantSplit/>
          <w:jc w:val="center"/>
        </w:trPr>
        <w:tc>
          <w:tcPr>
            <w:tcW w:w="1512" w:type="dxa"/>
            <w:tcMar>
              <w:top w:w="70" w:type="dxa"/>
              <w:left w:w="80" w:type="dxa"/>
              <w:bottom w:w="70" w:type="dxa"/>
              <w:right w:w="80" w:type="dxa"/>
            </w:tcMar>
            <w:vAlign w:val="center"/>
          </w:tcPr>
          <w:p w14:paraId="66EB94CF" w14:textId="77777777" w:rsidR="00747D28" w:rsidRPr="00F23CCF" w:rsidRDefault="00000000">
            <w:pPr>
              <w:spacing w:after="0" w:line="240" w:lineRule="auto"/>
            </w:pPr>
            <w:r w:rsidRPr="00F23CCF">
              <w:rPr>
                <w:rFonts w:ascii="Arial" w:hAnsi="Arial"/>
                <w:sz w:val="15"/>
              </w:rPr>
              <w:t>Contaminated production environment</w:t>
            </w:r>
          </w:p>
        </w:tc>
        <w:tc>
          <w:tcPr>
            <w:tcW w:w="1584" w:type="dxa"/>
            <w:tcMar>
              <w:top w:w="70" w:type="dxa"/>
              <w:left w:w="80" w:type="dxa"/>
              <w:bottom w:w="70" w:type="dxa"/>
              <w:right w:w="80" w:type="dxa"/>
            </w:tcMar>
            <w:vAlign w:val="center"/>
          </w:tcPr>
          <w:p w14:paraId="76B8C427" w14:textId="77777777" w:rsidR="00747D28" w:rsidRPr="00F23CCF" w:rsidRDefault="00000000">
            <w:pPr>
              <w:spacing w:after="0" w:line="240" w:lineRule="auto"/>
            </w:pPr>
            <w:r w:rsidRPr="00F23CCF">
              <w:rPr>
                <w:rFonts w:ascii="Arial" w:hAnsi="Arial"/>
                <w:sz w:val="15"/>
              </w:rPr>
              <w:t>Transfer of metals into excrement and subsequent land application</w:t>
            </w:r>
          </w:p>
        </w:tc>
        <w:tc>
          <w:tcPr>
            <w:tcW w:w="1800" w:type="dxa"/>
            <w:tcMar>
              <w:top w:w="70" w:type="dxa"/>
              <w:left w:w="80" w:type="dxa"/>
              <w:bottom w:w="70" w:type="dxa"/>
              <w:right w:w="80" w:type="dxa"/>
            </w:tcMar>
            <w:vAlign w:val="center"/>
          </w:tcPr>
          <w:p w14:paraId="294A0F25" w14:textId="77777777" w:rsidR="00747D28" w:rsidRPr="00F23CCF" w:rsidRDefault="00000000">
            <w:pPr>
              <w:spacing w:after="0" w:line="240" w:lineRule="auto"/>
            </w:pPr>
            <w:r w:rsidRPr="00F23CCF">
              <w:rPr>
                <w:rFonts w:ascii="Arial" w:hAnsi="Arial"/>
                <w:sz w:val="15"/>
              </w:rPr>
              <w:t>Contaminant recirculation through soil–mulberry–silkworm pathways</w:t>
            </w:r>
          </w:p>
        </w:tc>
        <w:tc>
          <w:tcPr>
            <w:tcW w:w="1944" w:type="dxa"/>
            <w:tcMar>
              <w:top w:w="70" w:type="dxa"/>
              <w:left w:w="80" w:type="dxa"/>
              <w:bottom w:w="70" w:type="dxa"/>
              <w:right w:w="80" w:type="dxa"/>
            </w:tcMar>
            <w:vAlign w:val="center"/>
          </w:tcPr>
          <w:p w14:paraId="1933C567" w14:textId="77777777" w:rsidR="00747D28" w:rsidRPr="00F23CCF" w:rsidRDefault="00000000">
            <w:pPr>
              <w:spacing w:after="0" w:line="240" w:lineRule="auto"/>
            </w:pPr>
            <w:r w:rsidRPr="00F23CCF">
              <w:rPr>
                <w:rFonts w:ascii="Arial" w:hAnsi="Arial"/>
                <w:sz w:val="15"/>
              </w:rPr>
              <w:t>Cadmium-specific sericulture evidence is direct; generalisation to other contaminants requires testing</w:t>
            </w:r>
          </w:p>
        </w:tc>
        <w:tc>
          <w:tcPr>
            <w:tcW w:w="1800" w:type="dxa"/>
            <w:tcMar>
              <w:top w:w="70" w:type="dxa"/>
              <w:left w:w="80" w:type="dxa"/>
              <w:bottom w:w="70" w:type="dxa"/>
              <w:right w:w="80" w:type="dxa"/>
            </w:tcMar>
            <w:vAlign w:val="center"/>
          </w:tcPr>
          <w:p w14:paraId="7228B46A" w14:textId="77777777" w:rsidR="00747D28" w:rsidRPr="00F23CCF" w:rsidRDefault="00000000">
            <w:pPr>
              <w:spacing w:after="0" w:line="240" w:lineRule="auto"/>
            </w:pPr>
            <w:r w:rsidRPr="00F23CCF">
              <w:rPr>
                <w:rFonts w:ascii="Arial" w:hAnsi="Arial"/>
                <w:sz w:val="15"/>
              </w:rPr>
              <w:t>Test suspect feedstock; use controlled treatment and track contaminant mass</w:t>
            </w:r>
          </w:p>
        </w:tc>
        <w:tc>
          <w:tcPr>
            <w:tcW w:w="1440" w:type="dxa"/>
            <w:tcMar>
              <w:top w:w="70" w:type="dxa"/>
              <w:left w:w="80" w:type="dxa"/>
              <w:bottom w:w="70" w:type="dxa"/>
              <w:right w:w="80" w:type="dxa"/>
            </w:tcMar>
            <w:vAlign w:val="center"/>
          </w:tcPr>
          <w:p w14:paraId="1E9E48F6" w14:textId="77777777" w:rsidR="00747D28" w:rsidRPr="00F23CCF" w:rsidRDefault="00000000">
            <w:pPr>
              <w:spacing w:after="0" w:line="240" w:lineRule="auto"/>
            </w:pPr>
            <w:r w:rsidRPr="00F23CCF">
              <w:rPr>
                <w:rFonts w:ascii="Arial" w:hAnsi="Arial"/>
                <w:sz w:val="15"/>
              </w:rPr>
              <w:t>Jiang et al., 2025</w:t>
            </w:r>
          </w:p>
        </w:tc>
      </w:tr>
      <w:tr w:rsidR="00F23CCF" w:rsidRPr="00F23CCF" w14:paraId="07183F1E" w14:textId="77777777">
        <w:trPr>
          <w:cantSplit/>
          <w:jc w:val="center"/>
        </w:trPr>
        <w:tc>
          <w:tcPr>
            <w:tcW w:w="1512" w:type="dxa"/>
            <w:tcMar>
              <w:top w:w="70" w:type="dxa"/>
              <w:left w:w="80" w:type="dxa"/>
              <w:bottom w:w="70" w:type="dxa"/>
              <w:right w:w="80" w:type="dxa"/>
            </w:tcMar>
            <w:vAlign w:val="center"/>
          </w:tcPr>
          <w:p w14:paraId="765BB85C" w14:textId="77777777" w:rsidR="00747D28" w:rsidRPr="00F23CCF" w:rsidRDefault="00000000">
            <w:pPr>
              <w:spacing w:after="0" w:line="240" w:lineRule="auto"/>
            </w:pPr>
            <w:r w:rsidRPr="00F23CCF">
              <w:rPr>
                <w:rFonts w:ascii="Arial" w:hAnsi="Arial"/>
                <w:sz w:val="15"/>
              </w:rPr>
              <w:t>Whole pre-cocoon production system</w:t>
            </w:r>
          </w:p>
        </w:tc>
        <w:tc>
          <w:tcPr>
            <w:tcW w:w="1584" w:type="dxa"/>
            <w:tcMar>
              <w:top w:w="70" w:type="dxa"/>
              <w:left w:w="80" w:type="dxa"/>
              <w:bottom w:w="70" w:type="dxa"/>
              <w:right w:w="80" w:type="dxa"/>
            </w:tcMar>
            <w:vAlign w:val="center"/>
          </w:tcPr>
          <w:p w14:paraId="37BC9D21" w14:textId="77777777" w:rsidR="00747D28" w:rsidRPr="00F23CCF" w:rsidRDefault="00000000">
            <w:pPr>
              <w:spacing w:after="0" w:line="240" w:lineRule="auto"/>
            </w:pPr>
            <w:r w:rsidRPr="00F23CCF">
              <w:rPr>
                <w:rFonts w:ascii="Arial" w:hAnsi="Arial"/>
                <w:sz w:val="15"/>
              </w:rPr>
              <w:t>Upstream fertiliser, energy and field/rearing inputs</w:t>
            </w:r>
          </w:p>
        </w:tc>
        <w:tc>
          <w:tcPr>
            <w:tcW w:w="1800" w:type="dxa"/>
            <w:tcMar>
              <w:top w:w="70" w:type="dxa"/>
              <w:left w:w="80" w:type="dxa"/>
              <w:bottom w:w="70" w:type="dxa"/>
              <w:right w:w="80" w:type="dxa"/>
            </w:tcMar>
            <w:vAlign w:val="center"/>
          </w:tcPr>
          <w:p w14:paraId="59E4D0A1" w14:textId="77777777" w:rsidR="00747D28" w:rsidRPr="00F23CCF" w:rsidRDefault="00000000">
            <w:pPr>
              <w:spacing w:after="0" w:line="240" w:lineRule="auto"/>
            </w:pPr>
            <w:r w:rsidRPr="00F23CCF">
              <w:rPr>
                <w:rFonts w:ascii="Arial" w:hAnsi="Arial"/>
                <w:sz w:val="15"/>
              </w:rPr>
              <w:t>Environmental burdens not solved by waste diversion alone</w:t>
            </w:r>
          </w:p>
        </w:tc>
        <w:tc>
          <w:tcPr>
            <w:tcW w:w="1944" w:type="dxa"/>
            <w:tcMar>
              <w:top w:w="70" w:type="dxa"/>
              <w:left w:w="80" w:type="dxa"/>
              <w:bottom w:w="70" w:type="dxa"/>
              <w:right w:w="80" w:type="dxa"/>
            </w:tcMar>
            <w:vAlign w:val="center"/>
          </w:tcPr>
          <w:p w14:paraId="3A24A1EE" w14:textId="77777777" w:rsidR="00747D28" w:rsidRPr="00F23CCF" w:rsidRDefault="00000000">
            <w:pPr>
              <w:spacing w:after="0" w:line="240" w:lineRule="auto"/>
            </w:pPr>
            <w:r w:rsidRPr="00F23CCF">
              <w:rPr>
                <w:rFonts w:ascii="Arial" w:hAnsi="Arial"/>
                <w:sz w:val="15"/>
              </w:rPr>
              <w:t>LCA evidence from India, Brazil and China shows context-dependent hotspots</w:t>
            </w:r>
          </w:p>
        </w:tc>
        <w:tc>
          <w:tcPr>
            <w:tcW w:w="1800" w:type="dxa"/>
            <w:tcMar>
              <w:top w:w="70" w:type="dxa"/>
              <w:left w:w="80" w:type="dxa"/>
              <w:bottom w:w="70" w:type="dxa"/>
              <w:right w:w="80" w:type="dxa"/>
            </w:tcMar>
            <w:vAlign w:val="center"/>
          </w:tcPr>
          <w:p w14:paraId="2A650174" w14:textId="77777777" w:rsidR="00747D28" w:rsidRPr="00F23CCF" w:rsidRDefault="00000000">
            <w:pPr>
              <w:spacing w:after="0" w:line="240" w:lineRule="auto"/>
            </w:pPr>
            <w:r w:rsidRPr="00F23CCF">
              <w:rPr>
                <w:rFonts w:ascii="Arial" w:hAnsi="Arial"/>
                <w:sz w:val="15"/>
              </w:rPr>
              <w:t>Integrate waste recovery with input efficiency and nutrient substitution</w:t>
            </w:r>
          </w:p>
        </w:tc>
        <w:tc>
          <w:tcPr>
            <w:tcW w:w="1440" w:type="dxa"/>
            <w:tcMar>
              <w:top w:w="70" w:type="dxa"/>
              <w:left w:w="80" w:type="dxa"/>
              <w:bottom w:w="70" w:type="dxa"/>
              <w:right w:w="80" w:type="dxa"/>
            </w:tcMar>
            <w:vAlign w:val="center"/>
          </w:tcPr>
          <w:p w14:paraId="7FF57862" w14:textId="77777777" w:rsidR="00747D28" w:rsidRPr="00F23CCF" w:rsidRDefault="00000000">
            <w:pPr>
              <w:spacing w:after="0" w:line="240" w:lineRule="auto"/>
            </w:pPr>
            <w:r w:rsidRPr="00F23CCF">
              <w:rPr>
                <w:rFonts w:ascii="Arial" w:hAnsi="Arial"/>
                <w:sz w:val="15"/>
              </w:rPr>
              <w:t>Astudillo et al., 2014; Barcelos et al., 2020; Wu et al., 2025</w:t>
            </w:r>
          </w:p>
        </w:tc>
      </w:tr>
    </w:tbl>
    <w:p w14:paraId="483A0A96" w14:textId="77777777" w:rsidR="00747D28" w:rsidRPr="00F23CCF" w:rsidRDefault="00000000">
      <w:pPr>
        <w:pStyle w:val="TableNote"/>
        <w:rPr>
          <w:color w:val="auto"/>
        </w:rPr>
      </w:pPr>
      <w:r w:rsidRPr="00F23CCF">
        <w:rPr>
          <w:color w:val="auto"/>
        </w:rPr>
        <w:t>Note. LCA = life-cycle assessment. Risk magnitude is context-specific; the table summarises documented pathways rather than universal thresholds.</w:t>
      </w:r>
    </w:p>
    <w:p w14:paraId="75B4E82B" w14:textId="77777777" w:rsidR="00747D28" w:rsidRPr="00F23CCF" w:rsidRDefault="00000000">
      <w:pPr>
        <w:jc w:val="both"/>
      </w:pPr>
      <w:r w:rsidRPr="00F23CCF">
        <w:t>These risk categories reinforce the case for source separation. If clean pruning residues, routine litter, diseased material and chemical packaging are mixed, the highest-risk component can determine the management requirements for the entire batch. Segregation preserves the possibility of low-cost biological recycling for clean organics while containing smaller hazardous streams. This is the central operational principle on which a circular pre-cocoon waste system should be built.</w:t>
      </w:r>
    </w:p>
    <w:p w14:paraId="383BA4FF" w14:textId="77777777" w:rsidR="00747D28" w:rsidRPr="00F23CCF" w:rsidRDefault="00000000">
      <w:pPr>
        <w:pStyle w:val="Heading1"/>
        <w:rPr>
          <w:color w:val="auto"/>
        </w:rPr>
      </w:pPr>
      <w:r w:rsidRPr="00F23CCF">
        <w:rPr>
          <w:color w:val="auto"/>
        </w:rPr>
        <w:t>6. Management and Valorisation Pathways</w:t>
      </w:r>
    </w:p>
    <w:p w14:paraId="6335895A" w14:textId="77777777" w:rsidR="00747D28" w:rsidRPr="00F23CCF" w:rsidRDefault="00000000">
      <w:pPr>
        <w:pStyle w:val="Heading2"/>
        <w:rPr>
          <w:color w:val="auto"/>
        </w:rPr>
      </w:pPr>
      <w:r w:rsidRPr="00F23CCF">
        <w:rPr>
          <w:color w:val="auto"/>
        </w:rPr>
        <w:t>6.1 Source segregation and hygiene as the first management gate</w:t>
      </w:r>
    </w:p>
    <w:p w14:paraId="17E31CD0" w14:textId="77777777" w:rsidR="00747D28" w:rsidRPr="00F23CCF" w:rsidRDefault="00000000">
      <w:pPr>
        <w:jc w:val="both"/>
      </w:pPr>
      <w:r w:rsidRPr="00F23CCF">
        <w:t>The most defensible management intervention is not a conversion technology but separation at the point of generation. Clean pruning biomass, clean rejected foliage, ordinary rearing-bed organics, disease-associated residues and auxiliary wastes should follow different containers or storage zones. This principle is consistent with sericulture disease control, which requires suspect larvae and contaminated refuse to be removed promptly rather than mixed back into the production environment (Central Silk Board, n.d.; Tamil Nadu Agricultural University, n.d.). It is also consistent with circular-resource logic because contamination introduced during collection can eliminate lower-cost uses that would otherwise be available to clean material.</w:t>
      </w:r>
    </w:p>
    <w:p w14:paraId="7ED5063D" w14:textId="77777777" w:rsidR="00747D28" w:rsidRPr="00F23CCF" w:rsidRDefault="00000000">
      <w:pPr>
        <w:jc w:val="both"/>
      </w:pPr>
      <w:r w:rsidRPr="00F23CCF">
        <w:t>Segregation should be based on observable process events rather than laboratory information that farmers cannot access immediately. Clean surplus leaves can be separated before feeding. Pruning residues can be kept away from pesticide containers and other non-compostable material. Litter from apparently healthy batches can enter a routine treatment stream, whereas material from a batch with diagnosed or suspected disease should be isolated. When soil or foliage is known to be exposed to heavy metals or other persistent contaminants, the resulting excrement should be treated as a potentially contaminated feedstock until testing shows otherwise, as the cadmium-sericulture study of Jiang et al. (2025) demonstrates. This approach converts risk management into a practical decision tree rather than an unrealistic requirement to analyse every handful of waste.</w:t>
      </w:r>
    </w:p>
    <w:p w14:paraId="4D5D5895" w14:textId="77777777" w:rsidR="00747D28" w:rsidRPr="00F23CCF" w:rsidRDefault="00000000">
      <w:pPr>
        <w:jc w:val="both"/>
      </w:pPr>
      <w:r w:rsidRPr="00F23CCF">
        <w:t xml:space="preserve">Temporary storage matters because fresh organic material can deteriorate rapidly. High-moisture litter stored in compact heaps can become anaerobic, lose nitrogen and generate odour, while wet plant biomass becomes </w:t>
      </w:r>
      <w:r w:rsidRPr="00F23CCF">
        <w:lastRenderedPageBreak/>
        <w:t>more difficult to transport and process. Storage should therefore minimise rain entry, leachate escape and access by pests while preserving identification of the waste class. These requirements are routine in manure management but are rarely reported explicitly in sericulture-waste studies. The research gap is operational: laboratory conversion studies tend to begin with feedstock already delivered to the experiment, leaving the pre-treatment logistics largely invisible.</w:t>
      </w:r>
    </w:p>
    <w:p w14:paraId="111C20E0" w14:textId="77777777" w:rsidR="00747D28" w:rsidRPr="00F23CCF" w:rsidRDefault="00000000">
      <w:pPr>
        <w:pStyle w:val="Heading2"/>
        <w:rPr>
          <w:color w:val="auto"/>
        </w:rPr>
      </w:pPr>
      <w:r w:rsidRPr="00F23CCF">
        <w:rPr>
          <w:color w:val="auto"/>
        </w:rPr>
        <w:t>6.2 Composting and vermicomposting</w:t>
      </w:r>
    </w:p>
    <w:p w14:paraId="7F25F58E" w14:textId="77777777" w:rsidR="00747D28" w:rsidRPr="00F23CCF" w:rsidRDefault="00000000">
      <w:pPr>
        <w:jc w:val="both"/>
      </w:pPr>
      <w:r w:rsidRPr="00F23CCF">
        <w:t>Composting is the most mature valorisation pathway for routine organic pre-cocoon residues because it can combine nutrient-rich excrement with carbon-rich plant fractions, reduce volume, transform unstable organic matter and produce a soil amendment. Sharma et al. (1999) provided early evidence that sericulture culture waste could support aerobic, anaerobic and vermicomposting and that vermicomposted material could benefit mulberry growth. Chen et al. (2011) later demonstrated that controlled fermentation of silkworm excrement improved fertiliser characteristics and supported plant growth in pot experiments. Together, these studies establish biological stabilisation as more than a theoretical possibility.</w:t>
      </w:r>
    </w:p>
    <w:p w14:paraId="6E4A5406" w14:textId="77777777" w:rsidR="00747D28" w:rsidRPr="00F23CCF" w:rsidRDefault="00000000">
      <w:pPr>
        <w:jc w:val="both"/>
      </w:pPr>
      <w:r w:rsidRPr="00F23CCF">
        <w:t xml:space="preserve">The maturity of the general pathway should not be confused with standardisation of the process. Chen et al. (2016) showed that lime, effective-microorganism preparations and mulberry sawdust changed composting behaviour and final characteristics. Liu, He, et al. (2022) found that bacterial community structure and lignocellulose-degrading functions were strongly linked to substrate and composting phase. Li et al. (2023) identified a cellulose-degrading </w:t>
      </w:r>
      <w:r w:rsidRPr="00F23CCF">
        <w:rPr>
          <w:i/>
        </w:rPr>
        <w:t>Bacillus subtilis</w:t>
      </w:r>
      <w:r w:rsidRPr="00F23CCF">
        <w:t xml:space="preserve"> isolate with potential to accelerate breakdown. These studies explain why recipe transfer can fail: the balance of branch material, leaf residue and excrement affects porosity, carbon availability, moisture, nitrogen and microbial succession. Locally optimised recipes should therefore be based on measurable process variables rather than on a universal inoculant dose.</w:t>
      </w:r>
    </w:p>
    <w:p w14:paraId="34866BBB" w14:textId="77777777" w:rsidR="00747D28" w:rsidRPr="00F23CCF" w:rsidRDefault="00000000">
      <w:pPr>
        <w:jc w:val="both"/>
      </w:pPr>
      <w:r w:rsidRPr="00F23CCF">
        <w:t>Vermicomposting may be attractive for small or medium-scale farms where feedstock can be preconditioned and protected from excessive heat, but its applicability depends on hygienic status. Earthworms are process organisms, not pathogen-validation tools. A diseased rearing residue should not be routed directly to vermicomposting merely because routine litter supports earthworm growth. Similarly, claims that vermicompost is automatically “organic” or “safe” are not a substitute for maturity, contaminant and microbiological criteria. The most appropriate use is source-separated, non-suspect organic material that has undergone any necessary pre-composting or sanitisation.</w:t>
      </w:r>
    </w:p>
    <w:p w14:paraId="23DFC106" w14:textId="77777777" w:rsidR="00747D28" w:rsidRPr="00F23CCF" w:rsidRDefault="00000000">
      <w:pPr>
        <w:jc w:val="both"/>
      </w:pPr>
      <w:r w:rsidRPr="00F23CCF">
        <w:t>Compost quality should be assessed using more than appearance. Temperature history, moisture, stability, phytotoxicity or germination indicators, nutrient content and relevant contaminant parameters are all useful, but no single measure proves suitability for every use. Chen et al. (2011) used germination and pot-response indicators, while Chen et al. (2016) reported process temperature and germination performance. Shen et al. (2024) added nutrient and microbial characterisation. A practical quality framework should combine maturity with intended-use safety: a product intended for mulberry fields adjacent to rearing houses may need a stricter biosecurity standard than one used on a non-sericultural landscape crop.</w:t>
      </w:r>
    </w:p>
    <w:p w14:paraId="59FCBFB8" w14:textId="77777777" w:rsidR="00747D28" w:rsidRPr="00F23CCF" w:rsidRDefault="00000000">
      <w:pPr>
        <w:pStyle w:val="Heading2"/>
        <w:rPr>
          <w:color w:val="auto"/>
        </w:rPr>
      </w:pPr>
      <w:r w:rsidRPr="00F23CCF">
        <w:rPr>
          <w:color w:val="auto"/>
        </w:rPr>
        <w:t>6.3 Microbial and additive-assisted composting: gains and trade-offs</w:t>
      </w:r>
    </w:p>
    <w:p w14:paraId="5053ED0E" w14:textId="77777777" w:rsidR="00747D28" w:rsidRPr="00F23CCF" w:rsidRDefault="00000000">
      <w:pPr>
        <w:jc w:val="both"/>
      </w:pPr>
      <w:r w:rsidRPr="00F23CCF">
        <w:t xml:space="preserve">Bioaugmentation and additives are often presented as ways to shorten composting or improve product quality. The evidence shows real functional effects, but also trade-offs. Isolation of cellulose-degrading bacteria from silkworm excrement and identification of lignocellulose-active communities support the biological plausibility of targeted inoculation (Li et al., 2023; Liu, He, et al., 2022). Compost-derived </w:t>
      </w:r>
      <w:r w:rsidRPr="00F23CCF">
        <w:rPr>
          <w:i/>
        </w:rPr>
        <w:t>Bacillus subtilis</w:t>
      </w:r>
      <w:r w:rsidRPr="00F23CCF">
        <w:t xml:space="preserve"> strains SEM-9 and SEM-2 also demonstrate that useful plant-associated traits can emerge within this ecological niche (Li et al., 2019, 2020). These findings support further process design but do not establish that commercial inoculation is always necessary or cost-effective.</w:t>
      </w:r>
    </w:p>
    <w:p w14:paraId="3EBA0B8D" w14:textId="77777777" w:rsidR="00747D28" w:rsidRPr="00F23CCF" w:rsidRDefault="00000000">
      <w:pPr>
        <w:jc w:val="both"/>
      </w:pPr>
      <w:r w:rsidRPr="00F23CCF">
        <w:lastRenderedPageBreak/>
        <w:t>Yang et al. (2024) provide a particularly important counterexample to one-dimensional optimisation. In their composting experiment, inoculation with cellulose- or hemicellulose-degrading microorganisms increased nitrous oxide emissions. The result means that an intervention that accelerates breakdown can worsen a greenhouse-gas endpoint. It also suggests that compost trials should monitor nitrogen transformation alongside maturity. A process marketed as “microbially enhanced” should therefore demonstrate net performance across time, nutrient retention and gaseous emissions rather than only a faster temperature rise or higher cellulase activity.</w:t>
      </w:r>
    </w:p>
    <w:p w14:paraId="0259F56C" w14:textId="77777777" w:rsidR="00747D28" w:rsidRPr="00F23CCF" w:rsidRDefault="00000000">
      <w:pPr>
        <w:jc w:val="both"/>
      </w:pPr>
      <w:r w:rsidRPr="00F23CCF">
        <w:t>Additives that alter humification are similarly context-dependent. Liu et al. (2024) reported that corncob biochar and manganese dioxide affected humic-substance formation and electron-transfer capacity in different ways. Such changes may be valuable where compost is designed for redox-sensitive soil remediation, but there is no reason to assume that an additive improving one chemical function improves overall fertiliser value. The evidence favours purpose-designed composting: select amendments for a defined target, measure possible trade-offs and avoid extrapolating from laboratory chemistry to farm profitability without validation.</w:t>
      </w:r>
    </w:p>
    <w:p w14:paraId="5028D180" w14:textId="77777777" w:rsidR="00747D28" w:rsidRPr="00F23CCF" w:rsidRDefault="00000000">
      <w:pPr>
        <w:jc w:val="both"/>
      </w:pPr>
      <w:r w:rsidRPr="00F23CCF">
        <w:t>Odour control is another underdeveloped performance criterion. Li et al. (2018) documented diverse gaseous pollutants during silkworm-excrement composting and linked the process to characteristic microbial communities. Their findings imply that location, ventilation, aeration and worker exposure should be part of process design. Turning untreated waste into compost can reduce some disposal problems while transferring environmental burden to air if the operation is poorly managed. Covered systems, passive or forced aeration, appropriate bulking material and, where justified, biofilters warrant direct testing in sericulture settings.</w:t>
      </w:r>
    </w:p>
    <w:p w14:paraId="48FA0E38" w14:textId="77777777" w:rsidR="00747D28" w:rsidRPr="00F23CCF" w:rsidRDefault="00000000">
      <w:pPr>
        <w:pStyle w:val="Heading2"/>
        <w:rPr>
          <w:color w:val="auto"/>
        </w:rPr>
      </w:pPr>
      <w:r w:rsidRPr="00F23CCF">
        <w:rPr>
          <w:color w:val="auto"/>
        </w:rPr>
        <w:t>6.4 Direct agronomic use and soil remediation</w:t>
      </w:r>
    </w:p>
    <w:p w14:paraId="3C004858" w14:textId="77777777" w:rsidR="00747D28" w:rsidRPr="00F23CCF" w:rsidRDefault="00000000">
      <w:pPr>
        <w:jc w:val="both"/>
      </w:pPr>
      <w:r w:rsidRPr="00F23CCF">
        <w:t>The nutrient content and organic matter of silkworm excrement create an obvious incentive for soil application. Controlled fermentation studies support its fertiliser potential (Chen et al., 2011), and Shen et al. (2024) observed plant-promoting effects from composted material. Yet the evidence base spans very different products: raw or lightly treated excrement, mature compost, modified excrement, microorganism-immobilised composites and biochar. Grouping these as a single “organic fertiliser” obscures material-specific risk and mechanism.</w:t>
      </w:r>
    </w:p>
    <w:p w14:paraId="71E4352D" w14:textId="77777777" w:rsidR="00747D28" w:rsidRPr="00F23CCF" w:rsidRDefault="00000000">
      <w:pPr>
        <w:jc w:val="both"/>
      </w:pPr>
      <w:r w:rsidRPr="00F23CCF">
        <w:t>Studies in contaminated soils illustrate both opportunity and complexity. Wang et al. (2016) reported that silkworm excrement improved pakchoi growth and influenced availability and uptake of multiple metals in a contaminated soil. Shi et al. (2023) used silkworm-excrement-derived materials to support vegetation and ecological recovery in mining soils contaminated by multiple metal(loid)s. Liu et al. (2019) used silkworm excrement as a carrier for a diuron-degrading microorganism and reported improved degradation in a sugarcane field. These applications extend beyond nutrient recycling: the residue functions as sorbent, carbon source, microbial habitat or soil conditioner.</w:t>
      </w:r>
    </w:p>
    <w:p w14:paraId="5AD8FE0D" w14:textId="77777777" w:rsidR="00747D28" w:rsidRPr="00F23CCF" w:rsidRDefault="00000000">
      <w:pPr>
        <w:jc w:val="both"/>
      </w:pPr>
      <w:r w:rsidRPr="00F23CCF">
        <w:t xml:space="preserve">The remediation literature should not be translated into routine recommendations without site-specific assessment. Organic amendments can immobilise some metals by increasing pH or sorption, but dissolved organic matter can also mobilise metals under other conditions. A carrier that improves survival of a degradative microorganism may introduce a new organism requiring ecological assessment. Chen et al. (2026), for example, used silkworm excrement to immobilise a phthalate-degrading strain of </w:t>
      </w:r>
      <w:r w:rsidRPr="00F23CCF">
        <w:rPr>
          <w:i/>
        </w:rPr>
        <w:t>Pseudomonas aeruginosa</w:t>
      </w:r>
      <w:r w:rsidRPr="00F23CCF">
        <w:t xml:space="preserve"> in an agricultural-soil remediation study. The proof of concept is scientifically valuable, but deployment of an opportunistic human pathogen as an environmental inoculant raises biosafety questions that must be evaluated independently of contaminant-removal performance.</w:t>
      </w:r>
    </w:p>
    <w:p w14:paraId="5197188E" w14:textId="77777777" w:rsidR="00747D28" w:rsidRPr="00F23CCF" w:rsidRDefault="00000000">
      <w:pPr>
        <w:jc w:val="both"/>
      </w:pPr>
      <w:r w:rsidRPr="00F23CCF">
        <w:lastRenderedPageBreak/>
        <w:t>Microbiological evidence also argues against untreated blanket application. Zhu et al. (2022) found human bacterial pathogens and resistance-related genes across manure-amended soils, with silkworm-excrement treatments among those of concern. The safest interpretation is not that silkworm excrement should never be used agronomically, but that treatment and product verification matter. Mature, source-controlled compost with appropriate testing is a different material from raw excrement collected from an unknown rearing environment.</w:t>
      </w:r>
    </w:p>
    <w:p w14:paraId="2C95E5A4" w14:textId="77777777" w:rsidR="00747D28" w:rsidRPr="00F23CCF" w:rsidRDefault="00000000">
      <w:pPr>
        <w:pStyle w:val="Heading2"/>
        <w:rPr>
          <w:color w:val="auto"/>
        </w:rPr>
      </w:pPr>
      <w:r w:rsidRPr="00F23CCF">
        <w:rPr>
          <w:color w:val="auto"/>
        </w:rPr>
        <w:t>6.5 Pyrolysis, biochar and thermochemical conversion</w:t>
      </w:r>
    </w:p>
    <w:p w14:paraId="0D978731" w14:textId="77777777" w:rsidR="00747D28" w:rsidRPr="00F23CCF" w:rsidRDefault="00000000">
      <w:pPr>
        <w:jc w:val="both"/>
      </w:pPr>
      <w:r w:rsidRPr="00F23CCF">
        <w:t>Pyrolysis can stabilise carbon, reduce biological activity and create a porous material whose surface chemistry supports sorption. Bian et al. (2022) prepared modified biochar from silkworm excrement and demonstrated removal of cadmium, lead and copper from water. Liu, Zhao, et al. (2022) converted excrement to a biochar nanozyme with radical-scavenging properties, illustrating a high-value material application far removed from ordinary agricultural use. These studies show that silkworm excrement is a viable carbon precursor, but they represent engineered products requiring controlled temperatures, modification chemistry and downstream performance testing.</w:t>
      </w:r>
    </w:p>
    <w:p w14:paraId="092A28A3" w14:textId="77777777" w:rsidR="00747D28" w:rsidRPr="00F23CCF" w:rsidRDefault="00000000">
      <w:pPr>
        <w:jc w:val="both"/>
      </w:pPr>
      <w:r w:rsidRPr="00F23CCF">
        <w:t>The most compelling rationale for pyrolysis within waste management may be feedstocks that are unsuitable for direct biological recycling. Jiang et al. (2025) studied biochar made from cadmium-polluted silkworm excrement and observed reduced cadmium phytoavailability and accumulation in a soil-mulberry experiment. The metal was not destroyed; rather, treatment altered its environmental behaviour. This suggests a risk-management hierarchy in which contaminated biological waste can be converted into a more stable, monitorable material when an appropriate end use exists. The approach requires mass-balance accounting for contaminants, quality standards for the char and restrictions that prevent contaminant redistribution.</w:t>
      </w:r>
    </w:p>
    <w:p w14:paraId="3165B3C8" w14:textId="77777777" w:rsidR="00747D28" w:rsidRPr="00F23CCF" w:rsidRDefault="00000000">
      <w:pPr>
        <w:jc w:val="both"/>
      </w:pPr>
      <w:r w:rsidRPr="00F23CCF">
        <w:t>Mulberry branches offer a cleaner lignocellulosic feedstock. Wu et al. (2012) demonstrated activated char production and adsorption performance from mulberry branch biomass. Compared with moist excrement, woody branches may require less drying and may be easier to store. Nevertheless, high-temperature conversion consumes energy and can generate air emissions if equipment is rudimentary. Farm-scale adoption should therefore be assessed against simpler alternatives such as chipping, co-composting or use as a structural bulking agent. The “best” pathway depends on local energy, product market, scale and environmental controls.</w:t>
      </w:r>
    </w:p>
    <w:p w14:paraId="25AECCD6" w14:textId="77777777" w:rsidR="00747D28" w:rsidRPr="00F23CCF" w:rsidRDefault="00000000">
      <w:pPr>
        <w:jc w:val="both"/>
      </w:pPr>
      <w:r w:rsidRPr="00F23CCF">
        <w:t>Thermochemical systems are frequently described as circular because they convert residue into a marketable carbon product. A stricter circularity test asks whether the product displaces virgin material, whether process energy and emissions are acceptable, and whether contaminants remain controlled over the product life cycle. Few sericulture studies report these system-level comparisons. Advanced biochar applications should therefore be classified as promising, application-specific routes rather than default recommendations for all pre-cocoon residues.</w:t>
      </w:r>
    </w:p>
    <w:p w14:paraId="3DF4E4AA" w14:textId="77777777" w:rsidR="00747D28" w:rsidRPr="00F23CCF" w:rsidRDefault="00000000">
      <w:pPr>
        <w:pStyle w:val="Heading2"/>
        <w:rPr>
          <w:color w:val="auto"/>
        </w:rPr>
      </w:pPr>
      <w:r w:rsidRPr="00F23CCF">
        <w:rPr>
          <w:color w:val="auto"/>
        </w:rPr>
        <w:t>6.6 Clean mulberry-residue feed pathways</w:t>
      </w:r>
    </w:p>
    <w:p w14:paraId="76F52D10" w14:textId="77777777" w:rsidR="00747D28" w:rsidRPr="00F23CCF" w:rsidRDefault="00000000">
      <w:pPr>
        <w:jc w:val="both"/>
      </w:pPr>
      <w:r w:rsidRPr="00F23CCF">
        <w:t>The feed value of mulberry foliage is supported by a broader animal-nutrition literature. Cai et al. (2019) reviewed and assessed mulberry leaf as a feed supplement in China, while Mwai et al. (2021) synthesised evidence relevant to livestock feeding in Kenya. Medhi et al. (2016) experimentally evaluated mulberry leaf-based diets in Corriedale lambs. A systematic review and meta-analysis by Geng et al. (2024) further examined production, gut-microbiota and immunological outcomes in livestock and poultry receiving mulberry leaf. This evidence establishes that clean mulberry biomass has a productive use outside silkworm feeding.</w:t>
      </w:r>
    </w:p>
    <w:p w14:paraId="36CEC0D0" w14:textId="77777777" w:rsidR="00747D28" w:rsidRPr="00F23CCF" w:rsidRDefault="00000000">
      <w:pPr>
        <w:jc w:val="both"/>
      </w:pPr>
      <w:r w:rsidRPr="00F23CCF">
        <w:lastRenderedPageBreak/>
        <w:t>From a waste-management perspective, the distinction between prevention and recycling is important. Surplus leaves diverted directly to animal feed have not yet become waste and avoid the losses involved in collecting, composting and redistributing them. This route is most defensible for clean foliage rejected for logistical or sericulture-quality reasons but still suitable for the target animal. It is not evidence for feeding bed refuse, faeces-contaminated leaves or disease-associated biomass. Nor does it mean that all mulberry foliage has the same nutritional quality. Variety, maturity, drying method, inclusion rate and animal species influence response (Cai et al., 2019; Geng et al., 2024).</w:t>
      </w:r>
    </w:p>
    <w:p w14:paraId="34C7CB19" w14:textId="77777777" w:rsidR="00747D28" w:rsidRPr="00F23CCF" w:rsidRDefault="00000000">
      <w:pPr>
        <w:jc w:val="both"/>
      </w:pPr>
      <w:r w:rsidRPr="00F23CCF">
        <w:t>The feed pathway also needs separation from pesticide-residue concerns. Mulberry cultivated for silkworms is managed under residue-sensitive conditions because silkworm larvae are highly susceptible to many chemicals, but this does not automatically establish compliance with feed standards for other species or jurisdictions. Where a formal livestock feed chain is contemplated, ordinary feed-safety and residue regulations remain applicable. The strongest practical recommendation is therefore early segregation of clean surplus foliage and use only where feed quality and regulatory requirements are met.</w:t>
      </w:r>
    </w:p>
    <w:p w14:paraId="6FC74842" w14:textId="77777777" w:rsidR="00747D28" w:rsidRPr="00F23CCF" w:rsidRDefault="00000000">
      <w:pPr>
        <w:pStyle w:val="Heading2"/>
        <w:rPr>
          <w:color w:val="auto"/>
        </w:rPr>
      </w:pPr>
      <w:r w:rsidRPr="00F23CCF">
        <w:rPr>
          <w:color w:val="auto"/>
        </w:rPr>
        <w:t>6.7 Emerging high-value and bioremediation applications</w:t>
      </w:r>
    </w:p>
    <w:p w14:paraId="4B2C056F" w14:textId="77777777" w:rsidR="00747D28" w:rsidRPr="00F23CCF" w:rsidRDefault="00000000">
      <w:pPr>
        <w:jc w:val="both"/>
      </w:pPr>
      <w:r w:rsidRPr="00F23CCF">
        <w:t>Silkworm excrement has been explored as a platform material for several specialised uses. Liu et al. (2019) immobilised a diuron-degrading bacterium on excrement and tested the composite in a sugarcane field. Bian et al. (2022) chemically modified excrement-derived biochar for metal adsorption. Liu, Zhao, et al. (2022) demonstrated catalytic radical-scavenging activity from an excrement-derived carbon material. Chen et al. (2026) used excrement as a carrier for bacteria targeting phthalate esters in soil. These applications confirm that the residue can provide porosity, carbon, nutrients or surface functional groups useful in engineered systems.</w:t>
      </w:r>
    </w:p>
    <w:p w14:paraId="72D95E18" w14:textId="77777777" w:rsidR="00747D28" w:rsidRPr="00F23CCF" w:rsidRDefault="00000000">
      <w:pPr>
        <w:jc w:val="both"/>
      </w:pPr>
      <w:r w:rsidRPr="00F23CCF">
        <w:t>Their relevance to farm waste management is limited by evidence maturity. Each pathway is tailored to a specific contaminant or function and may require chemicals, sterile culture, high-temperature equipment or precise quality control. Most do not yet demonstrate cost, lifecycle benefit, operator safety or performance across variable farm feedstocks. They should therefore be viewed as potential outlets for aggregated, standardised material rather than as immediate smallholder recommendations. The value of this research lies in expanding the option set, particularly for residues that cannot enter ordinary nutrient recycling, while highlighting the need for technology assessment beyond laboratory efficacy.</w:t>
      </w:r>
    </w:p>
    <w:p w14:paraId="17FBB8B4" w14:textId="77777777" w:rsidR="00747D28" w:rsidRPr="00F23CCF" w:rsidRDefault="00000000">
      <w:pPr>
        <w:jc w:val="both"/>
      </w:pPr>
      <w:r w:rsidRPr="00F23CCF">
        <w:t>Table 4 compares the principal management routes according to suitable feedstock, evidence maturity, benefits, limitations and safeguards. The comparison shows a clear gradient: source segregation, composting of clean organics and diversion of clean foliage to feed have the strongest proximity to current farm practice; direct raw land application has greater safety uncertainty; engineered biochar and bioremediation applications have promising functional evidence but require more infrastructure and governance.</w:t>
      </w:r>
    </w:p>
    <w:p w14:paraId="2EE9A024" w14:textId="77777777" w:rsidR="00747D28" w:rsidRPr="00F23CCF" w:rsidRDefault="00000000">
      <w:pPr>
        <w:pStyle w:val="TableCaption"/>
        <w:rPr>
          <w:color w:val="auto"/>
        </w:rPr>
      </w:pPr>
      <w:r w:rsidRPr="00F23CCF">
        <w:rPr>
          <w:color w:val="auto"/>
        </w:rPr>
        <w:t>Table 4. Comparison of management and valorisation routes for pre-cocoon sericulture residues</w:t>
      </w:r>
    </w:p>
    <w:tbl>
      <w:tblPr>
        <w:tblStyle w:val="TableGrid"/>
        <w:tblW w:w="0" w:type="auto"/>
        <w:jc w:val="center"/>
        <w:tblLayout w:type="fixed"/>
        <w:tblLook w:val="04A0" w:firstRow="1" w:lastRow="0" w:firstColumn="1" w:lastColumn="0" w:noHBand="0" w:noVBand="1"/>
      </w:tblPr>
      <w:tblGrid>
        <w:gridCol w:w="1512"/>
        <w:gridCol w:w="1728"/>
        <w:gridCol w:w="1584"/>
        <w:gridCol w:w="1728"/>
        <w:gridCol w:w="2015"/>
        <w:gridCol w:w="1512"/>
      </w:tblGrid>
      <w:tr w:rsidR="00F23CCF" w:rsidRPr="00F23CCF" w14:paraId="7A6275A0" w14:textId="77777777">
        <w:trPr>
          <w:cantSplit/>
          <w:tblHeader/>
          <w:jc w:val="center"/>
        </w:trPr>
        <w:tc>
          <w:tcPr>
            <w:tcW w:w="1512" w:type="dxa"/>
            <w:shd w:val="clear" w:color="auto" w:fill="D9EAF7"/>
            <w:tcMar>
              <w:top w:w="70" w:type="dxa"/>
              <w:left w:w="80" w:type="dxa"/>
              <w:bottom w:w="70" w:type="dxa"/>
              <w:right w:w="80" w:type="dxa"/>
            </w:tcMar>
            <w:vAlign w:val="center"/>
          </w:tcPr>
          <w:p w14:paraId="53B15B3F" w14:textId="77777777" w:rsidR="00747D28" w:rsidRPr="00F23CCF" w:rsidRDefault="00000000">
            <w:pPr>
              <w:spacing w:after="0" w:line="240" w:lineRule="auto"/>
              <w:jc w:val="center"/>
            </w:pPr>
            <w:r w:rsidRPr="00F23CCF">
              <w:rPr>
                <w:rFonts w:ascii="Arial" w:hAnsi="Arial"/>
                <w:b/>
                <w:sz w:val="16"/>
              </w:rPr>
              <w:t>Route</w:t>
            </w:r>
          </w:p>
        </w:tc>
        <w:tc>
          <w:tcPr>
            <w:tcW w:w="1728" w:type="dxa"/>
            <w:shd w:val="clear" w:color="auto" w:fill="D9EAF7"/>
            <w:tcMar>
              <w:top w:w="70" w:type="dxa"/>
              <w:left w:w="80" w:type="dxa"/>
              <w:bottom w:w="70" w:type="dxa"/>
              <w:right w:w="80" w:type="dxa"/>
            </w:tcMar>
            <w:vAlign w:val="center"/>
          </w:tcPr>
          <w:p w14:paraId="56065561" w14:textId="77777777" w:rsidR="00747D28" w:rsidRPr="00F23CCF" w:rsidRDefault="00000000">
            <w:pPr>
              <w:spacing w:after="0" w:line="240" w:lineRule="auto"/>
              <w:jc w:val="center"/>
            </w:pPr>
            <w:r w:rsidRPr="00F23CCF">
              <w:rPr>
                <w:rFonts w:ascii="Arial" w:hAnsi="Arial"/>
                <w:b/>
                <w:sz w:val="16"/>
              </w:rPr>
              <w:t>Most suitable feedstock</w:t>
            </w:r>
          </w:p>
        </w:tc>
        <w:tc>
          <w:tcPr>
            <w:tcW w:w="1584" w:type="dxa"/>
            <w:shd w:val="clear" w:color="auto" w:fill="D9EAF7"/>
            <w:tcMar>
              <w:top w:w="70" w:type="dxa"/>
              <w:left w:w="80" w:type="dxa"/>
              <w:bottom w:w="70" w:type="dxa"/>
              <w:right w:w="80" w:type="dxa"/>
            </w:tcMar>
            <w:vAlign w:val="center"/>
          </w:tcPr>
          <w:p w14:paraId="4C064DBE" w14:textId="77777777" w:rsidR="00747D28" w:rsidRPr="00F23CCF" w:rsidRDefault="00000000">
            <w:pPr>
              <w:spacing w:after="0" w:line="240" w:lineRule="auto"/>
              <w:jc w:val="center"/>
            </w:pPr>
            <w:r w:rsidRPr="00F23CCF">
              <w:rPr>
                <w:rFonts w:ascii="Arial" w:hAnsi="Arial"/>
                <w:b/>
                <w:sz w:val="16"/>
              </w:rPr>
              <w:t>Evidence maturity</w:t>
            </w:r>
          </w:p>
        </w:tc>
        <w:tc>
          <w:tcPr>
            <w:tcW w:w="1728" w:type="dxa"/>
            <w:shd w:val="clear" w:color="auto" w:fill="D9EAF7"/>
            <w:tcMar>
              <w:top w:w="70" w:type="dxa"/>
              <w:left w:w="80" w:type="dxa"/>
              <w:bottom w:w="70" w:type="dxa"/>
              <w:right w:w="80" w:type="dxa"/>
            </w:tcMar>
            <w:vAlign w:val="center"/>
          </w:tcPr>
          <w:p w14:paraId="28E15442" w14:textId="77777777" w:rsidR="00747D28" w:rsidRPr="00F23CCF" w:rsidRDefault="00000000">
            <w:pPr>
              <w:spacing w:after="0" w:line="240" w:lineRule="auto"/>
              <w:jc w:val="center"/>
            </w:pPr>
            <w:r w:rsidRPr="00F23CCF">
              <w:rPr>
                <w:rFonts w:ascii="Arial" w:hAnsi="Arial"/>
                <w:b/>
                <w:sz w:val="16"/>
              </w:rPr>
              <w:t>Principal benefit</w:t>
            </w:r>
          </w:p>
        </w:tc>
        <w:tc>
          <w:tcPr>
            <w:tcW w:w="2015" w:type="dxa"/>
            <w:shd w:val="clear" w:color="auto" w:fill="D9EAF7"/>
            <w:tcMar>
              <w:top w:w="70" w:type="dxa"/>
              <w:left w:w="80" w:type="dxa"/>
              <w:bottom w:w="70" w:type="dxa"/>
              <w:right w:w="80" w:type="dxa"/>
            </w:tcMar>
            <w:vAlign w:val="center"/>
          </w:tcPr>
          <w:p w14:paraId="676A2078" w14:textId="77777777" w:rsidR="00747D28" w:rsidRPr="00F23CCF" w:rsidRDefault="00000000">
            <w:pPr>
              <w:spacing w:after="0" w:line="240" w:lineRule="auto"/>
              <w:jc w:val="center"/>
            </w:pPr>
            <w:r w:rsidRPr="00F23CCF">
              <w:rPr>
                <w:rFonts w:ascii="Arial" w:hAnsi="Arial"/>
                <w:b/>
                <w:sz w:val="16"/>
              </w:rPr>
              <w:t>Main limitations and safeguards</w:t>
            </w:r>
          </w:p>
        </w:tc>
        <w:tc>
          <w:tcPr>
            <w:tcW w:w="1512" w:type="dxa"/>
            <w:shd w:val="clear" w:color="auto" w:fill="D9EAF7"/>
            <w:tcMar>
              <w:top w:w="70" w:type="dxa"/>
              <w:left w:w="80" w:type="dxa"/>
              <w:bottom w:w="70" w:type="dxa"/>
              <w:right w:w="80" w:type="dxa"/>
            </w:tcMar>
            <w:vAlign w:val="center"/>
          </w:tcPr>
          <w:p w14:paraId="6D6C9A25"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71236313" w14:textId="77777777">
        <w:trPr>
          <w:cantSplit/>
          <w:jc w:val="center"/>
        </w:trPr>
        <w:tc>
          <w:tcPr>
            <w:tcW w:w="1512" w:type="dxa"/>
            <w:tcMar>
              <w:top w:w="70" w:type="dxa"/>
              <w:left w:w="80" w:type="dxa"/>
              <w:bottom w:w="70" w:type="dxa"/>
              <w:right w:w="80" w:type="dxa"/>
            </w:tcMar>
            <w:vAlign w:val="center"/>
          </w:tcPr>
          <w:p w14:paraId="2E476274" w14:textId="77777777" w:rsidR="00747D28" w:rsidRPr="00F23CCF" w:rsidRDefault="00000000">
            <w:pPr>
              <w:spacing w:after="0" w:line="240" w:lineRule="auto"/>
            </w:pPr>
            <w:r w:rsidRPr="00F23CCF">
              <w:rPr>
                <w:rFonts w:ascii="Arial" w:hAnsi="Arial"/>
                <w:sz w:val="15"/>
              </w:rPr>
              <w:t>Prevention and direct diversion</w:t>
            </w:r>
          </w:p>
        </w:tc>
        <w:tc>
          <w:tcPr>
            <w:tcW w:w="1728" w:type="dxa"/>
            <w:tcMar>
              <w:top w:w="70" w:type="dxa"/>
              <w:left w:w="80" w:type="dxa"/>
              <w:bottom w:w="70" w:type="dxa"/>
              <w:right w:w="80" w:type="dxa"/>
            </w:tcMar>
            <w:vAlign w:val="center"/>
          </w:tcPr>
          <w:p w14:paraId="0398C234" w14:textId="77777777" w:rsidR="00747D28" w:rsidRPr="00F23CCF" w:rsidRDefault="00000000">
            <w:pPr>
              <w:spacing w:after="0" w:line="240" w:lineRule="auto"/>
            </w:pPr>
            <w:r w:rsidRPr="00F23CCF">
              <w:rPr>
                <w:rFonts w:ascii="Arial" w:hAnsi="Arial"/>
                <w:sz w:val="15"/>
              </w:rPr>
              <w:t>Clean surplus mulberry leaves and usable crop biomass</w:t>
            </w:r>
          </w:p>
        </w:tc>
        <w:tc>
          <w:tcPr>
            <w:tcW w:w="1584" w:type="dxa"/>
            <w:tcMar>
              <w:top w:w="70" w:type="dxa"/>
              <w:left w:w="80" w:type="dxa"/>
              <w:bottom w:w="70" w:type="dxa"/>
              <w:right w:w="80" w:type="dxa"/>
            </w:tcMar>
            <w:vAlign w:val="center"/>
          </w:tcPr>
          <w:p w14:paraId="165EF200" w14:textId="77777777" w:rsidR="00747D28" w:rsidRPr="00F23CCF" w:rsidRDefault="00000000">
            <w:pPr>
              <w:spacing w:after="0" w:line="240" w:lineRule="auto"/>
            </w:pPr>
            <w:r w:rsidRPr="00F23CCF">
              <w:rPr>
                <w:rFonts w:ascii="Arial" w:hAnsi="Arial"/>
                <w:sz w:val="15"/>
              </w:rPr>
              <w:t>High for mulberry leaf feed value; limited sericulture logistics evidence</w:t>
            </w:r>
          </w:p>
        </w:tc>
        <w:tc>
          <w:tcPr>
            <w:tcW w:w="1728" w:type="dxa"/>
            <w:tcMar>
              <w:top w:w="70" w:type="dxa"/>
              <w:left w:w="80" w:type="dxa"/>
              <w:bottom w:w="70" w:type="dxa"/>
              <w:right w:w="80" w:type="dxa"/>
            </w:tcMar>
            <w:vAlign w:val="center"/>
          </w:tcPr>
          <w:p w14:paraId="5376AAD0" w14:textId="77777777" w:rsidR="00747D28" w:rsidRPr="00F23CCF" w:rsidRDefault="00000000">
            <w:pPr>
              <w:spacing w:after="0" w:line="240" w:lineRule="auto"/>
            </w:pPr>
            <w:r w:rsidRPr="00F23CCF">
              <w:rPr>
                <w:rFonts w:ascii="Arial" w:hAnsi="Arial"/>
                <w:sz w:val="15"/>
              </w:rPr>
              <w:t>Avoids waste formation and preserves nutritional value</w:t>
            </w:r>
          </w:p>
        </w:tc>
        <w:tc>
          <w:tcPr>
            <w:tcW w:w="2015" w:type="dxa"/>
            <w:tcMar>
              <w:top w:w="70" w:type="dxa"/>
              <w:left w:w="80" w:type="dxa"/>
              <w:bottom w:w="70" w:type="dxa"/>
              <w:right w:w="80" w:type="dxa"/>
            </w:tcMar>
            <w:vAlign w:val="center"/>
          </w:tcPr>
          <w:p w14:paraId="0A83CBFA" w14:textId="77777777" w:rsidR="00747D28" w:rsidRPr="00F23CCF" w:rsidRDefault="00000000">
            <w:pPr>
              <w:spacing w:after="0" w:line="240" w:lineRule="auto"/>
            </w:pPr>
            <w:r w:rsidRPr="00F23CCF">
              <w:rPr>
                <w:rFonts w:ascii="Arial" w:hAnsi="Arial"/>
                <w:sz w:val="15"/>
              </w:rPr>
              <w:t>Segregate before rearing-bed contamination; comply with feed-safety and residue requirements</w:t>
            </w:r>
          </w:p>
        </w:tc>
        <w:tc>
          <w:tcPr>
            <w:tcW w:w="1512" w:type="dxa"/>
            <w:tcMar>
              <w:top w:w="70" w:type="dxa"/>
              <w:left w:w="80" w:type="dxa"/>
              <w:bottom w:w="70" w:type="dxa"/>
              <w:right w:w="80" w:type="dxa"/>
            </w:tcMar>
            <w:vAlign w:val="center"/>
          </w:tcPr>
          <w:p w14:paraId="7D34E433" w14:textId="77777777" w:rsidR="00747D28" w:rsidRPr="00F23CCF" w:rsidRDefault="00000000">
            <w:pPr>
              <w:spacing w:after="0" w:line="240" w:lineRule="auto"/>
            </w:pPr>
            <w:r w:rsidRPr="00F23CCF">
              <w:rPr>
                <w:rFonts w:ascii="Arial" w:hAnsi="Arial"/>
                <w:sz w:val="15"/>
              </w:rPr>
              <w:t>Cai et al., 2019; Geng et al., 2024; Medhi et al., 2016; Mwai et al., 2021</w:t>
            </w:r>
          </w:p>
        </w:tc>
      </w:tr>
      <w:tr w:rsidR="00F23CCF" w:rsidRPr="00F23CCF" w14:paraId="6D192D8D" w14:textId="77777777">
        <w:trPr>
          <w:cantSplit/>
          <w:jc w:val="center"/>
        </w:trPr>
        <w:tc>
          <w:tcPr>
            <w:tcW w:w="1512" w:type="dxa"/>
            <w:tcMar>
              <w:top w:w="70" w:type="dxa"/>
              <w:left w:w="80" w:type="dxa"/>
              <w:bottom w:w="70" w:type="dxa"/>
              <w:right w:w="80" w:type="dxa"/>
            </w:tcMar>
            <w:vAlign w:val="center"/>
          </w:tcPr>
          <w:p w14:paraId="759CB521" w14:textId="77777777" w:rsidR="00747D28" w:rsidRPr="00F23CCF" w:rsidRDefault="00000000">
            <w:pPr>
              <w:spacing w:after="0" w:line="240" w:lineRule="auto"/>
            </w:pPr>
            <w:r w:rsidRPr="00F23CCF">
              <w:rPr>
                <w:rFonts w:ascii="Arial" w:hAnsi="Arial"/>
                <w:sz w:val="15"/>
              </w:rPr>
              <w:t>Controlled composting / fermentation</w:t>
            </w:r>
          </w:p>
        </w:tc>
        <w:tc>
          <w:tcPr>
            <w:tcW w:w="1728" w:type="dxa"/>
            <w:tcMar>
              <w:top w:w="70" w:type="dxa"/>
              <w:left w:w="80" w:type="dxa"/>
              <w:bottom w:w="70" w:type="dxa"/>
              <w:right w:w="80" w:type="dxa"/>
            </w:tcMar>
            <w:vAlign w:val="center"/>
          </w:tcPr>
          <w:p w14:paraId="17DD9C1E" w14:textId="77777777" w:rsidR="00747D28" w:rsidRPr="00F23CCF" w:rsidRDefault="00000000">
            <w:pPr>
              <w:spacing w:after="0" w:line="240" w:lineRule="auto"/>
            </w:pPr>
            <w:r w:rsidRPr="00F23CCF">
              <w:rPr>
                <w:rFonts w:ascii="Arial" w:hAnsi="Arial"/>
                <w:sz w:val="15"/>
              </w:rPr>
              <w:t>Routine source-separated litter, excrement and compatible plant residues</w:t>
            </w:r>
          </w:p>
        </w:tc>
        <w:tc>
          <w:tcPr>
            <w:tcW w:w="1584" w:type="dxa"/>
            <w:tcMar>
              <w:top w:w="70" w:type="dxa"/>
              <w:left w:w="80" w:type="dxa"/>
              <w:bottom w:w="70" w:type="dxa"/>
              <w:right w:w="80" w:type="dxa"/>
            </w:tcMar>
            <w:vAlign w:val="center"/>
          </w:tcPr>
          <w:p w14:paraId="2BBAD862" w14:textId="77777777" w:rsidR="00747D28" w:rsidRPr="00F23CCF" w:rsidRDefault="00000000">
            <w:pPr>
              <w:spacing w:after="0" w:line="240" w:lineRule="auto"/>
            </w:pPr>
            <w:r w:rsidRPr="00F23CCF">
              <w:rPr>
                <w:rFonts w:ascii="Arial" w:hAnsi="Arial"/>
                <w:sz w:val="15"/>
              </w:rPr>
              <w:t>Strong technical feasibility; variable standardisation</w:t>
            </w:r>
          </w:p>
        </w:tc>
        <w:tc>
          <w:tcPr>
            <w:tcW w:w="1728" w:type="dxa"/>
            <w:tcMar>
              <w:top w:w="70" w:type="dxa"/>
              <w:left w:w="80" w:type="dxa"/>
              <w:bottom w:w="70" w:type="dxa"/>
              <w:right w:w="80" w:type="dxa"/>
            </w:tcMar>
            <w:vAlign w:val="center"/>
          </w:tcPr>
          <w:p w14:paraId="3A0BE4E5" w14:textId="77777777" w:rsidR="00747D28" w:rsidRPr="00F23CCF" w:rsidRDefault="00000000">
            <w:pPr>
              <w:spacing w:after="0" w:line="240" w:lineRule="auto"/>
            </w:pPr>
            <w:r w:rsidRPr="00F23CCF">
              <w:rPr>
                <w:rFonts w:ascii="Arial" w:hAnsi="Arial"/>
                <w:sz w:val="15"/>
              </w:rPr>
              <w:t>Stabilises organics and can return nutrients and carbon to soil</w:t>
            </w:r>
          </w:p>
        </w:tc>
        <w:tc>
          <w:tcPr>
            <w:tcW w:w="2015" w:type="dxa"/>
            <w:tcMar>
              <w:top w:w="70" w:type="dxa"/>
              <w:left w:w="80" w:type="dxa"/>
              <w:bottom w:w="70" w:type="dxa"/>
              <w:right w:w="80" w:type="dxa"/>
            </w:tcMar>
            <w:vAlign w:val="center"/>
          </w:tcPr>
          <w:p w14:paraId="7558EEFE" w14:textId="77777777" w:rsidR="00747D28" w:rsidRPr="00F23CCF" w:rsidRDefault="00000000">
            <w:pPr>
              <w:spacing w:after="0" w:line="240" w:lineRule="auto"/>
            </w:pPr>
            <w:r w:rsidRPr="00F23CCF">
              <w:rPr>
                <w:rFonts w:ascii="Arial" w:hAnsi="Arial"/>
                <w:sz w:val="15"/>
              </w:rPr>
              <w:t>Control maturity, odour, moisture, nitrogen loss, contaminants and microbiology; disease waste requires validated sanitisation</w:t>
            </w:r>
          </w:p>
        </w:tc>
        <w:tc>
          <w:tcPr>
            <w:tcW w:w="1512" w:type="dxa"/>
            <w:tcMar>
              <w:top w:w="70" w:type="dxa"/>
              <w:left w:w="80" w:type="dxa"/>
              <w:bottom w:w="70" w:type="dxa"/>
              <w:right w:w="80" w:type="dxa"/>
            </w:tcMar>
            <w:vAlign w:val="center"/>
          </w:tcPr>
          <w:p w14:paraId="6FD58340" w14:textId="77777777" w:rsidR="00747D28" w:rsidRPr="00F23CCF" w:rsidRDefault="00000000">
            <w:pPr>
              <w:spacing w:after="0" w:line="240" w:lineRule="auto"/>
            </w:pPr>
            <w:r w:rsidRPr="00F23CCF">
              <w:rPr>
                <w:rFonts w:ascii="Arial" w:hAnsi="Arial"/>
                <w:sz w:val="15"/>
              </w:rPr>
              <w:t>Chen et al., 2011, 2016; Li et al., 2018; Sharma et al., 1999; Shen et al., 2024</w:t>
            </w:r>
          </w:p>
        </w:tc>
      </w:tr>
      <w:tr w:rsidR="00F23CCF" w:rsidRPr="00F23CCF" w14:paraId="25B68847" w14:textId="77777777">
        <w:trPr>
          <w:cantSplit/>
          <w:jc w:val="center"/>
        </w:trPr>
        <w:tc>
          <w:tcPr>
            <w:tcW w:w="1512" w:type="dxa"/>
            <w:tcMar>
              <w:top w:w="70" w:type="dxa"/>
              <w:left w:w="80" w:type="dxa"/>
              <w:bottom w:w="70" w:type="dxa"/>
              <w:right w:w="80" w:type="dxa"/>
            </w:tcMar>
            <w:vAlign w:val="center"/>
          </w:tcPr>
          <w:p w14:paraId="79F56B70" w14:textId="77777777" w:rsidR="00747D28" w:rsidRPr="00F23CCF" w:rsidRDefault="00000000">
            <w:pPr>
              <w:spacing w:after="0" w:line="240" w:lineRule="auto"/>
            </w:pPr>
            <w:r w:rsidRPr="00F23CCF">
              <w:rPr>
                <w:rFonts w:ascii="Arial" w:hAnsi="Arial"/>
                <w:sz w:val="15"/>
              </w:rPr>
              <w:lastRenderedPageBreak/>
              <w:t>Vermicomposting</w:t>
            </w:r>
          </w:p>
        </w:tc>
        <w:tc>
          <w:tcPr>
            <w:tcW w:w="1728" w:type="dxa"/>
            <w:tcMar>
              <w:top w:w="70" w:type="dxa"/>
              <w:left w:w="80" w:type="dxa"/>
              <w:bottom w:w="70" w:type="dxa"/>
              <w:right w:w="80" w:type="dxa"/>
            </w:tcMar>
            <w:vAlign w:val="center"/>
          </w:tcPr>
          <w:p w14:paraId="57279335" w14:textId="77777777" w:rsidR="00747D28" w:rsidRPr="00F23CCF" w:rsidRDefault="00000000">
            <w:pPr>
              <w:spacing w:after="0" w:line="240" w:lineRule="auto"/>
            </w:pPr>
            <w:r w:rsidRPr="00F23CCF">
              <w:rPr>
                <w:rFonts w:ascii="Arial" w:hAnsi="Arial"/>
                <w:sz w:val="15"/>
              </w:rPr>
              <w:t>Preconditioned, non-suspect organic litter</w:t>
            </w:r>
          </w:p>
        </w:tc>
        <w:tc>
          <w:tcPr>
            <w:tcW w:w="1584" w:type="dxa"/>
            <w:tcMar>
              <w:top w:w="70" w:type="dxa"/>
              <w:left w:w="80" w:type="dxa"/>
              <w:bottom w:w="70" w:type="dxa"/>
              <w:right w:w="80" w:type="dxa"/>
            </w:tcMar>
            <w:vAlign w:val="center"/>
          </w:tcPr>
          <w:p w14:paraId="24474B45" w14:textId="77777777" w:rsidR="00747D28" w:rsidRPr="00F23CCF" w:rsidRDefault="00000000">
            <w:pPr>
              <w:spacing w:after="0" w:line="240" w:lineRule="auto"/>
            </w:pPr>
            <w:r w:rsidRPr="00F23CCF">
              <w:rPr>
                <w:rFonts w:ascii="Arial" w:hAnsi="Arial"/>
                <w:sz w:val="15"/>
              </w:rPr>
              <w:t>Established proof of concept but limited modern field-scale comparison</w:t>
            </w:r>
          </w:p>
        </w:tc>
        <w:tc>
          <w:tcPr>
            <w:tcW w:w="1728" w:type="dxa"/>
            <w:tcMar>
              <w:top w:w="70" w:type="dxa"/>
              <w:left w:w="80" w:type="dxa"/>
              <w:bottom w:w="70" w:type="dxa"/>
              <w:right w:w="80" w:type="dxa"/>
            </w:tcMar>
            <w:vAlign w:val="center"/>
          </w:tcPr>
          <w:p w14:paraId="5E1F68F0" w14:textId="77777777" w:rsidR="00747D28" w:rsidRPr="00F23CCF" w:rsidRDefault="00000000">
            <w:pPr>
              <w:spacing w:after="0" w:line="240" w:lineRule="auto"/>
            </w:pPr>
            <w:r w:rsidRPr="00F23CCF">
              <w:rPr>
                <w:rFonts w:ascii="Arial" w:hAnsi="Arial"/>
                <w:sz w:val="15"/>
              </w:rPr>
              <w:t>Low-complexity biological conversion and soil-amendment production</w:t>
            </w:r>
          </w:p>
        </w:tc>
        <w:tc>
          <w:tcPr>
            <w:tcW w:w="2015" w:type="dxa"/>
            <w:tcMar>
              <w:top w:w="70" w:type="dxa"/>
              <w:left w:w="80" w:type="dxa"/>
              <w:bottom w:w="70" w:type="dxa"/>
              <w:right w:w="80" w:type="dxa"/>
            </w:tcMar>
            <w:vAlign w:val="center"/>
          </w:tcPr>
          <w:p w14:paraId="760994FA" w14:textId="77777777" w:rsidR="00747D28" w:rsidRPr="00F23CCF" w:rsidRDefault="00000000">
            <w:pPr>
              <w:spacing w:after="0" w:line="240" w:lineRule="auto"/>
            </w:pPr>
            <w:r w:rsidRPr="00F23CCF">
              <w:rPr>
                <w:rFonts w:ascii="Arial" w:hAnsi="Arial"/>
                <w:sz w:val="15"/>
              </w:rPr>
              <w:t>Not a substitute for pathogen inactivation; requires moisture and temperature control</w:t>
            </w:r>
          </w:p>
        </w:tc>
        <w:tc>
          <w:tcPr>
            <w:tcW w:w="1512" w:type="dxa"/>
            <w:tcMar>
              <w:top w:w="70" w:type="dxa"/>
              <w:left w:w="80" w:type="dxa"/>
              <w:bottom w:w="70" w:type="dxa"/>
              <w:right w:w="80" w:type="dxa"/>
            </w:tcMar>
            <w:vAlign w:val="center"/>
          </w:tcPr>
          <w:p w14:paraId="68A53A32" w14:textId="77777777" w:rsidR="00747D28" w:rsidRPr="00F23CCF" w:rsidRDefault="00000000">
            <w:pPr>
              <w:spacing w:after="0" w:line="240" w:lineRule="auto"/>
            </w:pPr>
            <w:r w:rsidRPr="00F23CCF">
              <w:rPr>
                <w:rFonts w:ascii="Arial" w:hAnsi="Arial"/>
                <w:sz w:val="15"/>
              </w:rPr>
              <w:t>Sharma et al., 1999</w:t>
            </w:r>
          </w:p>
        </w:tc>
      </w:tr>
      <w:tr w:rsidR="00F23CCF" w:rsidRPr="00F23CCF" w14:paraId="5ADA136C" w14:textId="77777777">
        <w:trPr>
          <w:cantSplit/>
          <w:jc w:val="center"/>
        </w:trPr>
        <w:tc>
          <w:tcPr>
            <w:tcW w:w="1512" w:type="dxa"/>
            <w:tcMar>
              <w:top w:w="70" w:type="dxa"/>
              <w:left w:w="80" w:type="dxa"/>
              <w:bottom w:w="70" w:type="dxa"/>
              <w:right w:w="80" w:type="dxa"/>
            </w:tcMar>
            <w:vAlign w:val="center"/>
          </w:tcPr>
          <w:p w14:paraId="6696C5C9" w14:textId="77777777" w:rsidR="00747D28" w:rsidRPr="00F23CCF" w:rsidRDefault="00000000">
            <w:pPr>
              <w:spacing w:after="0" w:line="240" w:lineRule="auto"/>
            </w:pPr>
            <w:r w:rsidRPr="00F23CCF">
              <w:rPr>
                <w:rFonts w:ascii="Arial" w:hAnsi="Arial"/>
                <w:sz w:val="15"/>
              </w:rPr>
              <w:t>Microbial/additive-assisted composting</w:t>
            </w:r>
          </w:p>
        </w:tc>
        <w:tc>
          <w:tcPr>
            <w:tcW w:w="1728" w:type="dxa"/>
            <w:tcMar>
              <w:top w:w="70" w:type="dxa"/>
              <w:left w:w="80" w:type="dxa"/>
              <w:bottom w:w="70" w:type="dxa"/>
              <w:right w:w="80" w:type="dxa"/>
            </w:tcMar>
            <w:vAlign w:val="center"/>
          </w:tcPr>
          <w:p w14:paraId="412EA07D" w14:textId="77777777" w:rsidR="00747D28" w:rsidRPr="00F23CCF" w:rsidRDefault="00000000">
            <w:pPr>
              <w:spacing w:after="0" w:line="240" w:lineRule="auto"/>
            </w:pPr>
            <w:r w:rsidRPr="00F23CCF">
              <w:rPr>
                <w:rFonts w:ascii="Arial" w:hAnsi="Arial"/>
                <w:sz w:val="15"/>
              </w:rPr>
              <w:t>Defined compost mixtures with a specific process objective</w:t>
            </w:r>
          </w:p>
        </w:tc>
        <w:tc>
          <w:tcPr>
            <w:tcW w:w="1584" w:type="dxa"/>
            <w:tcMar>
              <w:top w:w="70" w:type="dxa"/>
              <w:left w:w="80" w:type="dxa"/>
              <w:bottom w:w="70" w:type="dxa"/>
              <w:right w:w="80" w:type="dxa"/>
            </w:tcMar>
            <w:vAlign w:val="center"/>
          </w:tcPr>
          <w:p w14:paraId="34CFA78A" w14:textId="77777777" w:rsidR="00747D28" w:rsidRPr="00F23CCF" w:rsidRDefault="00000000">
            <w:pPr>
              <w:spacing w:after="0" w:line="240" w:lineRule="auto"/>
            </w:pPr>
            <w:r w:rsidRPr="00F23CCF">
              <w:rPr>
                <w:rFonts w:ascii="Arial" w:hAnsi="Arial"/>
                <w:sz w:val="15"/>
              </w:rPr>
              <w:t>Moderate mechanistic evidence</w:t>
            </w:r>
          </w:p>
        </w:tc>
        <w:tc>
          <w:tcPr>
            <w:tcW w:w="1728" w:type="dxa"/>
            <w:tcMar>
              <w:top w:w="70" w:type="dxa"/>
              <w:left w:w="80" w:type="dxa"/>
              <w:bottom w:w="70" w:type="dxa"/>
              <w:right w:w="80" w:type="dxa"/>
            </w:tcMar>
            <w:vAlign w:val="center"/>
          </w:tcPr>
          <w:p w14:paraId="1D5B2197" w14:textId="77777777" w:rsidR="00747D28" w:rsidRPr="00F23CCF" w:rsidRDefault="00000000">
            <w:pPr>
              <w:spacing w:after="0" w:line="240" w:lineRule="auto"/>
            </w:pPr>
            <w:r w:rsidRPr="00F23CCF">
              <w:rPr>
                <w:rFonts w:ascii="Arial" w:hAnsi="Arial"/>
                <w:sz w:val="15"/>
              </w:rPr>
              <w:t>Can modify lignocellulose degradation, humification or functional microbiota</w:t>
            </w:r>
          </w:p>
        </w:tc>
        <w:tc>
          <w:tcPr>
            <w:tcW w:w="2015" w:type="dxa"/>
            <w:tcMar>
              <w:top w:w="70" w:type="dxa"/>
              <w:left w:w="80" w:type="dxa"/>
              <w:bottom w:w="70" w:type="dxa"/>
              <w:right w:w="80" w:type="dxa"/>
            </w:tcMar>
            <w:vAlign w:val="center"/>
          </w:tcPr>
          <w:p w14:paraId="4C246A22" w14:textId="77777777" w:rsidR="00747D28" w:rsidRPr="00F23CCF" w:rsidRDefault="00000000">
            <w:pPr>
              <w:spacing w:after="0" w:line="240" w:lineRule="auto"/>
            </w:pPr>
            <w:r w:rsidRPr="00F23CCF">
              <w:rPr>
                <w:rFonts w:ascii="Arial" w:hAnsi="Arial"/>
                <w:sz w:val="15"/>
              </w:rPr>
              <w:t>May increase nitrous oxide or shift chemistry undesirably; assess net performance and cost</w:t>
            </w:r>
          </w:p>
        </w:tc>
        <w:tc>
          <w:tcPr>
            <w:tcW w:w="1512" w:type="dxa"/>
            <w:tcMar>
              <w:top w:w="70" w:type="dxa"/>
              <w:left w:w="80" w:type="dxa"/>
              <w:bottom w:w="70" w:type="dxa"/>
              <w:right w:w="80" w:type="dxa"/>
            </w:tcMar>
            <w:vAlign w:val="center"/>
          </w:tcPr>
          <w:p w14:paraId="2C0870BF" w14:textId="77777777" w:rsidR="00747D28" w:rsidRPr="00F23CCF" w:rsidRDefault="00000000">
            <w:pPr>
              <w:spacing w:after="0" w:line="240" w:lineRule="auto"/>
            </w:pPr>
            <w:r w:rsidRPr="00F23CCF">
              <w:rPr>
                <w:rFonts w:ascii="Arial" w:hAnsi="Arial"/>
                <w:sz w:val="15"/>
              </w:rPr>
              <w:t>Li et al., 2019, 2020, 2023; Liu et al., 2024; Yang et al., 2024</w:t>
            </w:r>
          </w:p>
        </w:tc>
      </w:tr>
      <w:tr w:rsidR="00F23CCF" w:rsidRPr="00F23CCF" w14:paraId="1E8B6736" w14:textId="77777777">
        <w:trPr>
          <w:cantSplit/>
          <w:jc w:val="center"/>
        </w:trPr>
        <w:tc>
          <w:tcPr>
            <w:tcW w:w="1512" w:type="dxa"/>
            <w:tcMar>
              <w:top w:w="70" w:type="dxa"/>
              <w:left w:w="80" w:type="dxa"/>
              <w:bottom w:w="70" w:type="dxa"/>
              <w:right w:w="80" w:type="dxa"/>
            </w:tcMar>
            <w:vAlign w:val="center"/>
          </w:tcPr>
          <w:p w14:paraId="7B27ED5F" w14:textId="77777777" w:rsidR="00747D28" w:rsidRPr="00F23CCF" w:rsidRDefault="00000000">
            <w:pPr>
              <w:spacing w:after="0" w:line="240" w:lineRule="auto"/>
            </w:pPr>
            <w:r w:rsidRPr="00F23CCF">
              <w:rPr>
                <w:rFonts w:ascii="Arial" w:hAnsi="Arial"/>
                <w:sz w:val="15"/>
              </w:rPr>
              <w:t>Direct or treated soil amendment / remediation</w:t>
            </w:r>
          </w:p>
        </w:tc>
        <w:tc>
          <w:tcPr>
            <w:tcW w:w="1728" w:type="dxa"/>
            <w:tcMar>
              <w:top w:w="70" w:type="dxa"/>
              <w:left w:w="80" w:type="dxa"/>
              <w:bottom w:w="70" w:type="dxa"/>
              <w:right w:w="80" w:type="dxa"/>
            </w:tcMar>
            <w:vAlign w:val="center"/>
          </w:tcPr>
          <w:p w14:paraId="45CA5F3B" w14:textId="77777777" w:rsidR="00747D28" w:rsidRPr="00F23CCF" w:rsidRDefault="00000000">
            <w:pPr>
              <w:spacing w:after="0" w:line="240" w:lineRule="auto"/>
            </w:pPr>
            <w:r w:rsidRPr="00F23CCF">
              <w:rPr>
                <w:rFonts w:ascii="Arial" w:hAnsi="Arial"/>
                <w:sz w:val="15"/>
              </w:rPr>
              <w:t>Source-characterised excrement or compost; site-specific contaminated soils</w:t>
            </w:r>
          </w:p>
        </w:tc>
        <w:tc>
          <w:tcPr>
            <w:tcW w:w="1584" w:type="dxa"/>
            <w:tcMar>
              <w:top w:w="70" w:type="dxa"/>
              <w:left w:w="80" w:type="dxa"/>
              <w:bottom w:w="70" w:type="dxa"/>
              <w:right w:w="80" w:type="dxa"/>
            </w:tcMar>
            <w:vAlign w:val="center"/>
          </w:tcPr>
          <w:p w14:paraId="7FB42EE0" w14:textId="77777777" w:rsidR="00747D28" w:rsidRPr="00F23CCF" w:rsidRDefault="00000000">
            <w:pPr>
              <w:spacing w:after="0" w:line="240" w:lineRule="auto"/>
            </w:pPr>
            <w:r w:rsidRPr="00F23CCF">
              <w:rPr>
                <w:rFonts w:ascii="Arial" w:hAnsi="Arial"/>
                <w:sz w:val="15"/>
              </w:rPr>
              <w:t>Moderate; several pot/field and remediation studies</w:t>
            </w:r>
          </w:p>
        </w:tc>
        <w:tc>
          <w:tcPr>
            <w:tcW w:w="1728" w:type="dxa"/>
            <w:tcMar>
              <w:top w:w="70" w:type="dxa"/>
              <w:left w:w="80" w:type="dxa"/>
              <w:bottom w:w="70" w:type="dxa"/>
              <w:right w:w="80" w:type="dxa"/>
            </w:tcMar>
            <w:vAlign w:val="center"/>
          </w:tcPr>
          <w:p w14:paraId="3E773C6A" w14:textId="77777777" w:rsidR="00747D28" w:rsidRPr="00F23CCF" w:rsidRDefault="00000000">
            <w:pPr>
              <w:spacing w:after="0" w:line="240" w:lineRule="auto"/>
            </w:pPr>
            <w:r w:rsidRPr="00F23CCF">
              <w:rPr>
                <w:rFonts w:ascii="Arial" w:hAnsi="Arial"/>
                <w:sz w:val="15"/>
              </w:rPr>
              <w:t>Nutrient supply, soil conditioning or contaminant management</w:t>
            </w:r>
          </w:p>
        </w:tc>
        <w:tc>
          <w:tcPr>
            <w:tcW w:w="2015" w:type="dxa"/>
            <w:tcMar>
              <w:top w:w="70" w:type="dxa"/>
              <w:left w:w="80" w:type="dxa"/>
              <w:bottom w:w="70" w:type="dxa"/>
              <w:right w:w="80" w:type="dxa"/>
            </w:tcMar>
            <w:vAlign w:val="center"/>
          </w:tcPr>
          <w:p w14:paraId="7F557DDA" w14:textId="77777777" w:rsidR="00747D28" w:rsidRPr="00F23CCF" w:rsidRDefault="00000000">
            <w:pPr>
              <w:spacing w:after="0" w:line="240" w:lineRule="auto"/>
            </w:pPr>
            <w:r w:rsidRPr="00F23CCF">
              <w:rPr>
                <w:rFonts w:ascii="Arial" w:hAnsi="Arial"/>
                <w:sz w:val="15"/>
              </w:rPr>
              <w:t>Avoid untreated blanket use; monitor pathogens, resistance genes, metals and pollutant fate</w:t>
            </w:r>
          </w:p>
        </w:tc>
        <w:tc>
          <w:tcPr>
            <w:tcW w:w="1512" w:type="dxa"/>
            <w:tcMar>
              <w:top w:w="70" w:type="dxa"/>
              <w:left w:w="80" w:type="dxa"/>
              <w:bottom w:w="70" w:type="dxa"/>
              <w:right w:w="80" w:type="dxa"/>
            </w:tcMar>
            <w:vAlign w:val="center"/>
          </w:tcPr>
          <w:p w14:paraId="0DCA221D" w14:textId="77777777" w:rsidR="00747D28" w:rsidRPr="00F23CCF" w:rsidRDefault="00000000">
            <w:pPr>
              <w:spacing w:after="0" w:line="240" w:lineRule="auto"/>
            </w:pPr>
            <w:r w:rsidRPr="00F23CCF">
              <w:rPr>
                <w:rFonts w:ascii="Arial" w:hAnsi="Arial"/>
                <w:sz w:val="15"/>
              </w:rPr>
              <w:t>Liu et al., 2019; Shi et al., 2023; Wang et al., 2016; Zhu et al., 2022</w:t>
            </w:r>
          </w:p>
        </w:tc>
      </w:tr>
      <w:tr w:rsidR="00F23CCF" w:rsidRPr="00F23CCF" w14:paraId="0D55476D" w14:textId="77777777">
        <w:trPr>
          <w:cantSplit/>
          <w:jc w:val="center"/>
        </w:trPr>
        <w:tc>
          <w:tcPr>
            <w:tcW w:w="1512" w:type="dxa"/>
            <w:tcMar>
              <w:top w:w="70" w:type="dxa"/>
              <w:left w:w="80" w:type="dxa"/>
              <w:bottom w:w="70" w:type="dxa"/>
              <w:right w:w="80" w:type="dxa"/>
            </w:tcMar>
            <w:vAlign w:val="center"/>
          </w:tcPr>
          <w:p w14:paraId="650350B1" w14:textId="77777777" w:rsidR="00747D28" w:rsidRPr="00F23CCF" w:rsidRDefault="00000000">
            <w:pPr>
              <w:spacing w:after="0" w:line="240" w:lineRule="auto"/>
            </w:pPr>
            <w:r w:rsidRPr="00F23CCF">
              <w:rPr>
                <w:rFonts w:ascii="Arial" w:hAnsi="Arial"/>
                <w:sz w:val="15"/>
              </w:rPr>
              <w:t>Pyrolysis and biochar</w:t>
            </w:r>
          </w:p>
        </w:tc>
        <w:tc>
          <w:tcPr>
            <w:tcW w:w="1728" w:type="dxa"/>
            <w:tcMar>
              <w:top w:w="70" w:type="dxa"/>
              <w:left w:w="80" w:type="dxa"/>
              <w:bottom w:w="70" w:type="dxa"/>
              <w:right w:w="80" w:type="dxa"/>
            </w:tcMar>
            <w:vAlign w:val="center"/>
          </w:tcPr>
          <w:p w14:paraId="4B3B7A7B" w14:textId="77777777" w:rsidR="00747D28" w:rsidRPr="00F23CCF" w:rsidRDefault="00000000">
            <w:pPr>
              <w:spacing w:after="0" w:line="240" w:lineRule="auto"/>
            </w:pPr>
            <w:r w:rsidRPr="00F23CCF">
              <w:rPr>
                <w:rFonts w:ascii="Arial" w:hAnsi="Arial"/>
                <w:sz w:val="15"/>
              </w:rPr>
              <w:t>Woody mulberry residues or selected excrement, including some contaminated feedstocks</w:t>
            </w:r>
          </w:p>
        </w:tc>
        <w:tc>
          <w:tcPr>
            <w:tcW w:w="1584" w:type="dxa"/>
            <w:tcMar>
              <w:top w:w="70" w:type="dxa"/>
              <w:left w:w="80" w:type="dxa"/>
              <w:bottom w:w="70" w:type="dxa"/>
              <w:right w:w="80" w:type="dxa"/>
            </w:tcMar>
            <w:vAlign w:val="center"/>
          </w:tcPr>
          <w:p w14:paraId="43D694E7" w14:textId="77777777" w:rsidR="00747D28" w:rsidRPr="00F23CCF" w:rsidRDefault="00000000">
            <w:pPr>
              <w:spacing w:after="0" w:line="240" w:lineRule="auto"/>
            </w:pPr>
            <w:r w:rsidRPr="00F23CCF">
              <w:rPr>
                <w:rFonts w:ascii="Arial" w:hAnsi="Arial"/>
                <w:sz w:val="15"/>
              </w:rPr>
              <w:t>Strong laboratory functionality; limited farm-scale systems evidence</w:t>
            </w:r>
          </w:p>
        </w:tc>
        <w:tc>
          <w:tcPr>
            <w:tcW w:w="1728" w:type="dxa"/>
            <w:tcMar>
              <w:top w:w="70" w:type="dxa"/>
              <w:left w:w="80" w:type="dxa"/>
              <w:bottom w:w="70" w:type="dxa"/>
              <w:right w:w="80" w:type="dxa"/>
            </w:tcMar>
            <w:vAlign w:val="center"/>
          </w:tcPr>
          <w:p w14:paraId="1A1B420E" w14:textId="77777777" w:rsidR="00747D28" w:rsidRPr="00F23CCF" w:rsidRDefault="00000000">
            <w:pPr>
              <w:spacing w:after="0" w:line="240" w:lineRule="auto"/>
            </w:pPr>
            <w:r w:rsidRPr="00F23CCF">
              <w:rPr>
                <w:rFonts w:ascii="Arial" w:hAnsi="Arial"/>
                <w:sz w:val="15"/>
              </w:rPr>
              <w:t>Produces sorptive/stable carbon materials and can reduce biological activity</w:t>
            </w:r>
          </w:p>
        </w:tc>
        <w:tc>
          <w:tcPr>
            <w:tcW w:w="2015" w:type="dxa"/>
            <w:tcMar>
              <w:top w:w="70" w:type="dxa"/>
              <w:left w:w="80" w:type="dxa"/>
              <w:bottom w:w="70" w:type="dxa"/>
              <w:right w:w="80" w:type="dxa"/>
            </w:tcMar>
            <w:vAlign w:val="center"/>
          </w:tcPr>
          <w:p w14:paraId="22C1C84A" w14:textId="77777777" w:rsidR="00747D28" w:rsidRPr="00F23CCF" w:rsidRDefault="00000000">
            <w:pPr>
              <w:spacing w:after="0" w:line="240" w:lineRule="auto"/>
            </w:pPr>
            <w:r w:rsidRPr="00F23CCF">
              <w:rPr>
                <w:rFonts w:ascii="Arial" w:hAnsi="Arial"/>
                <w:sz w:val="15"/>
              </w:rPr>
              <w:t>Energy and emissions, contaminant concentration, product standards and markets require evaluation</w:t>
            </w:r>
          </w:p>
        </w:tc>
        <w:tc>
          <w:tcPr>
            <w:tcW w:w="1512" w:type="dxa"/>
            <w:tcMar>
              <w:top w:w="70" w:type="dxa"/>
              <w:left w:w="80" w:type="dxa"/>
              <w:bottom w:w="70" w:type="dxa"/>
              <w:right w:w="80" w:type="dxa"/>
            </w:tcMar>
            <w:vAlign w:val="center"/>
          </w:tcPr>
          <w:p w14:paraId="7F2D7102" w14:textId="77777777" w:rsidR="00747D28" w:rsidRPr="00F23CCF" w:rsidRDefault="00000000">
            <w:pPr>
              <w:spacing w:after="0" w:line="240" w:lineRule="auto"/>
            </w:pPr>
            <w:r w:rsidRPr="00F23CCF">
              <w:rPr>
                <w:rFonts w:ascii="Arial" w:hAnsi="Arial"/>
                <w:sz w:val="15"/>
              </w:rPr>
              <w:t>Bian et al., 2022; Jiang et al., 2025; Liu, Zhao, et al., 2022; Wu et al., 2012</w:t>
            </w:r>
          </w:p>
        </w:tc>
      </w:tr>
      <w:tr w:rsidR="00F23CCF" w:rsidRPr="00F23CCF" w14:paraId="719407CA" w14:textId="77777777">
        <w:trPr>
          <w:cantSplit/>
          <w:jc w:val="center"/>
        </w:trPr>
        <w:tc>
          <w:tcPr>
            <w:tcW w:w="1512" w:type="dxa"/>
            <w:tcMar>
              <w:top w:w="70" w:type="dxa"/>
              <w:left w:w="80" w:type="dxa"/>
              <w:bottom w:w="70" w:type="dxa"/>
              <w:right w:w="80" w:type="dxa"/>
            </w:tcMar>
            <w:vAlign w:val="center"/>
          </w:tcPr>
          <w:p w14:paraId="1BA1D114" w14:textId="77777777" w:rsidR="00747D28" w:rsidRPr="00F23CCF" w:rsidRDefault="00000000">
            <w:pPr>
              <w:spacing w:after="0" w:line="240" w:lineRule="auto"/>
            </w:pPr>
            <w:r w:rsidRPr="00F23CCF">
              <w:rPr>
                <w:rFonts w:ascii="Arial" w:hAnsi="Arial"/>
                <w:sz w:val="15"/>
              </w:rPr>
              <w:t>Engineered bioremediation carriers</w:t>
            </w:r>
          </w:p>
        </w:tc>
        <w:tc>
          <w:tcPr>
            <w:tcW w:w="1728" w:type="dxa"/>
            <w:tcMar>
              <w:top w:w="70" w:type="dxa"/>
              <w:left w:w="80" w:type="dxa"/>
              <w:bottom w:w="70" w:type="dxa"/>
              <w:right w:w="80" w:type="dxa"/>
            </w:tcMar>
            <w:vAlign w:val="center"/>
          </w:tcPr>
          <w:p w14:paraId="29DEB3C0" w14:textId="77777777" w:rsidR="00747D28" w:rsidRPr="00F23CCF" w:rsidRDefault="00000000">
            <w:pPr>
              <w:spacing w:after="0" w:line="240" w:lineRule="auto"/>
            </w:pPr>
            <w:r w:rsidRPr="00F23CCF">
              <w:rPr>
                <w:rFonts w:ascii="Arial" w:hAnsi="Arial"/>
                <w:sz w:val="15"/>
              </w:rPr>
              <w:t>Standardised excrement-derived carrier material</w:t>
            </w:r>
          </w:p>
        </w:tc>
        <w:tc>
          <w:tcPr>
            <w:tcW w:w="1584" w:type="dxa"/>
            <w:tcMar>
              <w:top w:w="70" w:type="dxa"/>
              <w:left w:w="80" w:type="dxa"/>
              <w:bottom w:w="70" w:type="dxa"/>
              <w:right w:w="80" w:type="dxa"/>
            </w:tcMar>
            <w:vAlign w:val="center"/>
          </w:tcPr>
          <w:p w14:paraId="5FA28B2A" w14:textId="77777777" w:rsidR="00747D28" w:rsidRPr="00F23CCF" w:rsidRDefault="00000000">
            <w:pPr>
              <w:spacing w:after="0" w:line="240" w:lineRule="auto"/>
            </w:pPr>
            <w:r w:rsidRPr="00F23CCF">
              <w:rPr>
                <w:rFonts w:ascii="Arial" w:hAnsi="Arial"/>
                <w:sz w:val="15"/>
              </w:rPr>
              <w:t>Experimental to early field evidence</w:t>
            </w:r>
          </w:p>
        </w:tc>
        <w:tc>
          <w:tcPr>
            <w:tcW w:w="1728" w:type="dxa"/>
            <w:tcMar>
              <w:top w:w="70" w:type="dxa"/>
              <w:left w:w="80" w:type="dxa"/>
              <w:bottom w:w="70" w:type="dxa"/>
              <w:right w:w="80" w:type="dxa"/>
            </w:tcMar>
            <w:vAlign w:val="center"/>
          </w:tcPr>
          <w:p w14:paraId="79C1AFDB" w14:textId="77777777" w:rsidR="00747D28" w:rsidRPr="00F23CCF" w:rsidRDefault="00000000">
            <w:pPr>
              <w:spacing w:after="0" w:line="240" w:lineRule="auto"/>
            </w:pPr>
            <w:r w:rsidRPr="00F23CCF">
              <w:rPr>
                <w:rFonts w:ascii="Arial" w:hAnsi="Arial"/>
                <w:sz w:val="15"/>
              </w:rPr>
              <w:t>Supports specialised pollutant-degrading microorganisms</w:t>
            </w:r>
          </w:p>
        </w:tc>
        <w:tc>
          <w:tcPr>
            <w:tcW w:w="2015" w:type="dxa"/>
            <w:tcMar>
              <w:top w:w="70" w:type="dxa"/>
              <w:left w:w="80" w:type="dxa"/>
              <w:bottom w:w="70" w:type="dxa"/>
              <w:right w:w="80" w:type="dxa"/>
            </w:tcMar>
            <w:vAlign w:val="center"/>
          </w:tcPr>
          <w:p w14:paraId="16847074" w14:textId="77777777" w:rsidR="00747D28" w:rsidRPr="00F23CCF" w:rsidRDefault="00000000">
            <w:pPr>
              <w:spacing w:after="0" w:line="240" w:lineRule="auto"/>
            </w:pPr>
            <w:r w:rsidRPr="00F23CCF">
              <w:rPr>
                <w:rFonts w:ascii="Arial" w:hAnsi="Arial"/>
                <w:sz w:val="15"/>
              </w:rPr>
              <w:t>Biosafety of inoculants, process control and site-specific efficacy are critical</w:t>
            </w:r>
          </w:p>
        </w:tc>
        <w:tc>
          <w:tcPr>
            <w:tcW w:w="1512" w:type="dxa"/>
            <w:tcMar>
              <w:top w:w="70" w:type="dxa"/>
              <w:left w:w="80" w:type="dxa"/>
              <w:bottom w:w="70" w:type="dxa"/>
              <w:right w:w="80" w:type="dxa"/>
            </w:tcMar>
            <w:vAlign w:val="center"/>
          </w:tcPr>
          <w:p w14:paraId="71DACA69" w14:textId="77777777" w:rsidR="00747D28" w:rsidRPr="00F23CCF" w:rsidRDefault="00000000">
            <w:pPr>
              <w:spacing w:after="0" w:line="240" w:lineRule="auto"/>
            </w:pPr>
            <w:r w:rsidRPr="00F23CCF">
              <w:rPr>
                <w:rFonts w:ascii="Arial" w:hAnsi="Arial"/>
                <w:sz w:val="15"/>
              </w:rPr>
              <w:t>Chen et al., 2026; Liu et al., 2019</w:t>
            </w:r>
          </w:p>
        </w:tc>
      </w:tr>
    </w:tbl>
    <w:p w14:paraId="56FBD514" w14:textId="77777777" w:rsidR="00747D28" w:rsidRPr="00F23CCF" w:rsidRDefault="00000000">
      <w:pPr>
        <w:pStyle w:val="TableNote"/>
        <w:rPr>
          <w:color w:val="auto"/>
        </w:rPr>
      </w:pPr>
      <w:r w:rsidRPr="00F23CCF">
        <w:rPr>
          <w:color w:val="auto"/>
        </w:rPr>
        <w:t>Note. Evidence maturity describes proximity to practical pre-cocoon management, not technological sophistication. Routes can be combined within a source-segregated system.</w:t>
      </w:r>
    </w:p>
    <w:p w14:paraId="162A547B" w14:textId="77777777" w:rsidR="00747D28" w:rsidRPr="00F23CCF" w:rsidRDefault="00000000">
      <w:pPr>
        <w:jc w:val="both"/>
      </w:pPr>
      <w:r w:rsidRPr="00F23CCF">
        <w:t>The practical implication is that management should not be organised around a single technology. A farm or cluster requires a portfolio in which each stream is routed according to quality and hazard. Biological recycling is appropriate for much of the clean organic fraction, whereas disease-associated or contaminant-bearing material needs more controlled treatment. High-value conversion is optional rather than foundational. This portfolio approach is more robust than a universal “zero waste” target because it allows secure disposal when safe recovery cannot be demonstrated.</w:t>
      </w:r>
    </w:p>
    <w:p w14:paraId="70F7C1F4" w14:textId="77777777" w:rsidR="00747D28" w:rsidRPr="00F23CCF" w:rsidRDefault="00000000">
      <w:pPr>
        <w:pStyle w:val="Heading1"/>
        <w:rPr>
          <w:color w:val="auto"/>
        </w:rPr>
      </w:pPr>
      <w:r w:rsidRPr="00F23CCF">
        <w:rPr>
          <w:color w:val="auto"/>
        </w:rPr>
        <w:t>7. Toward a Closed-Loop Pre-Cocoon Sericulture System</w:t>
      </w:r>
    </w:p>
    <w:p w14:paraId="6BD8B496" w14:textId="77777777" w:rsidR="00747D28" w:rsidRPr="00F23CCF" w:rsidRDefault="00000000">
      <w:pPr>
        <w:jc w:val="both"/>
      </w:pPr>
      <w:r w:rsidRPr="00F23CCF">
        <w:t>A closed-loop pre-cocoon system should be defined by controlled nutrient and material cycles rather than by the absence of any discarded material. The core loop is agronomic: mulberry takes up nutrients and carbon is fixed into biomass; leaves feed silkworms; routine excrement and plant residues are stabilised; and a quality-controlled amendment returns part of those nutrients and organic matter to soil. This loop can reduce dependence on external inputs only to the extent that nutrient content is quantified and mineral fertiliser is actually displaced. Applying compost in addition to unchanged fertiliser rates may increase nutrient loading without delivering the intended substitution benefit.</w:t>
      </w:r>
    </w:p>
    <w:p w14:paraId="7394BD93" w14:textId="77777777" w:rsidR="00747D28" w:rsidRPr="00F23CCF" w:rsidRDefault="00000000">
      <w:pPr>
        <w:jc w:val="both"/>
      </w:pPr>
      <w:r w:rsidRPr="00F23CCF">
        <w:t>Nutrient planning is therefore central. Compost should be analysed for plant-available and total nutrient content and applied according to soil condition, crop demand and local recommendations. Silkworm-excrement compost can be nutrient-rich (Chen et al., 2011; Shen et al., 2024), but nutrient concentration varies with feedstock and treatment. A circular programme should record how much compost is produced, where it is applied and how mineral fertilisation changes. Without that bookkeeping, nutrient “recycling” remains a qualitative claim rather than a demonstrated resource-efficiency gain.</w:t>
      </w:r>
    </w:p>
    <w:p w14:paraId="2C399D93" w14:textId="77777777" w:rsidR="00747D28" w:rsidRPr="00F23CCF" w:rsidRDefault="00000000">
      <w:pPr>
        <w:jc w:val="both"/>
      </w:pPr>
      <w:r w:rsidRPr="00F23CCF">
        <w:t xml:space="preserve">The second loop is carbon management. Mulberry branches and other lignocellulosic residues can provide structural carbon for composting, thereby improving the balance of wetter, nitrogen-rich rearing waste (Liu, He, et al., 2022). Alternatively, selected woody material can be pyrolysed, creating more persistent carbon and a sorptive product (Wu et al., 2012). The choice should consider local soil organic matter, composting requirements, energy recovery, char markets and emissions control. Diverting all branches to char could </w:t>
      </w:r>
      <w:r w:rsidRPr="00F23CCF">
        <w:lastRenderedPageBreak/>
        <w:t>deprive compost systems of necessary bulking material, while composting all branches may forgo a higher-value use where reliable char infrastructure exists.</w:t>
      </w:r>
    </w:p>
    <w:p w14:paraId="395EDCE8" w14:textId="77777777" w:rsidR="00747D28" w:rsidRPr="00F23CCF" w:rsidRDefault="00000000">
      <w:pPr>
        <w:jc w:val="both"/>
      </w:pPr>
      <w:r w:rsidRPr="00F23CCF">
        <w:t>A third loop involves biological function. Compost can host organisms with lignocellulose-degrading, nutrient-mobilising or antagonistic traits (Li et al., 2019, 2020, 2023). Harnessing these functions could reduce the need for separate inoculants or support biofertiliser development. Yet a circular microbiome is not automatically desirable. The same material can also carry pathogens, resistance genes or opportunistic bacteria (Shen et al., 2024; Zhu et al., 2022). Biological circularity therefore requires selection and safety verification, not indiscriminate recirculation of microorganisms between rearing house, compost and field.</w:t>
      </w:r>
    </w:p>
    <w:p w14:paraId="074D7538" w14:textId="77777777" w:rsidR="00747D28" w:rsidRPr="00F23CCF" w:rsidRDefault="00000000">
      <w:pPr>
        <w:jc w:val="both"/>
      </w:pPr>
      <w:r w:rsidRPr="00F23CCF">
        <w:t>Biosecurity places a hard boundary around the closed loop. Material from diseased or suspect batches should exit the routine nutrient cycle until sanitised through a validated process. This requirement protects the very system that circularity is intended to support. If infected bed refuse is returned to mulberry fields without adequate inactivation, soil, workers, equipment or leaf surfaces may become part of an infection pathway back to the rearing house. Disease prevention therefore has a higher priority than material recovery (Central Silk Board, n.d.; Tamil Nadu Agricultural University, n.d.).</w:t>
      </w:r>
    </w:p>
    <w:p w14:paraId="41969D04" w14:textId="77777777" w:rsidR="00747D28" w:rsidRPr="00F23CCF" w:rsidRDefault="00000000">
      <w:pPr>
        <w:jc w:val="both"/>
      </w:pPr>
      <w:r w:rsidRPr="00F23CCF">
        <w:t>Spatial organisation matters for implementation. Individual farms may not generate enough woody biomass or routine litter to justify advanced processing equipment, while centralised treatment can create transport costs and cross-farm biosecurity risks. A cluster model can be appropriate if collection routes keep healthy and suspect material separate, receiving criteria are clear, and central treatment has better process control than household piles. Conversely, simple on-farm composting may be preferable where residues are clean, land is available and process management can be maintained. The optimal scale is an empirical question shaped by farm density, road access, labour, moisture, market demand and disease status.</w:t>
      </w:r>
    </w:p>
    <w:p w14:paraId="4A127AB8" w14:textId="77777777" w:rsidR="00747D28" w:rsidRPr="00F23CCF" w:rsidRDefault="00000000">
      <w:pPr>
        <w:jc w:val="both"/>
      </w:pPr>
      <w:r w:rsidRPr="00F23CCF">
        <w:t>Traceability is especially important when material moves between farms. A basic batch record should identify source, date, residue class, disease status, treatment process and final destination. This is not necessarily a digital system; paper or cooperative records may suffice. Digital tools become useful when they solve a real coordination problem, such as scheduling collection, documenting temperature history or linking compost analysis to application fields. Technology should support control rather than become an additional cost without a clear decision function.</w:t>
      </w:r>
    </w:p>
    <w:p w14:paraId="41FABDA2" w14:textId="77777777" w:rsidR="00747D28" w:rsidRPr="00F23CCF" w:rsidRDefault="00000000">
      <w:pPr>
        <w:jc w:val="both"/>
      </w:pPr>
      <w:r w:rsidRPr="00F23CCF">
        <w:t>Economic evaluation must distinguish avoided costs from hypothetical product value. Compost can save fertiliser purchases only if its nutrients replace purchased inputs. Biochar generates revenue only if a consistent buyer accepts the product specification. Clean surplus foliage has value as feed only when drying, transport and substitution economics are favourable. Disease waste treatment may have no direct revenue but can prevent catastrophic production losses. A complete economic analysis therefore includes waste handling, infrastructure, labour, testing, transport, product substitution, market price uncertainty and biosecurity benefits. The existing literature seldom integrates all of these components.</w:t>
      </w:r>
    </w:p>
    <w:p w14:paraId="4B49D30E" w14:textId="77777777" w:rsidR="00747D28" w:rsidRPr="00F23CCF" w:rsidRDefault="00000000">
      <w:pPr>
        <w:jc w:val="both"/>
      </w:pPr>
      <w:r w:rsidRPr="00F23CCF">
        <w:t>Environmental evaluation should likewise compare complete management systems. Composting emits gases but can stabilise organic matter and displace fertiliser. Pyrolysis can retain carbon but requires energy and may concentrate contaminants. Direct application saves processing but can increase pathogen or nutrient-loss risks. Life-cycle studies of silk production demonstrate the value of identifying hotspots across the full chain (Astudillo et al., 2014; Barcelos et al., 2020; Wu et al., 2025), but specific life-cycle comparisons among pre-cocoon waste routes remain limited. This is a major opportunity for future research.</w:t>
      </w:r>
    </w:p>
    <w:p w14:paraId="6A32ACCE" w14:textId="77777777" w:rsidR="00747D28" w:rsidRPr="00F23CCF" w:rsidRDefault="00000000">
      <w:pPr>
        <w:jc w:val="both"/>
      </w:pPr>
      <w:r w:rsidRPr="00F23CCF">
        <w:t xml:space="preserve">A risk-tiered hierarchy emerges from the synthesis. The first preference is prevention of avoidable waste, such as aligning leaf harvest with feeding demand and diverting clean surplus foliage before contamination. The second is source segregation. The third is low-complexity biological recycling of clean organic residues </w:t>
      </w:r>
      <w:r w:rsidRPr="00F23CCF">
        <w:lastRenderedPageBreak/>
        <w:t>under controlled conditions. The fourth is more intensive treatment, including pyrolysis or engineered remediation, for feedstocks that justify it. The final option is secure disposal when contamination, disease or economics make recovery unsafe or unreasonable. This hierarchy treats disposal as a legitimate safety function rather than a failure of circularity.</w:t>
      </w:r>
    </w:p>
    <w:p w14:paraId="351C4A2E" w14:textId="77777777" w:rsidR="00747D28" w:rsidRPr="00F23CCF" w:rsidRDefault="00000000">
      <w:pPr>
        <w:jc w:val="both"/>
      </w:pPr>
      <w:r w:rsidRPr="00F23CCF">
        <w:t>Table 5 translates that hierarchy into decision points and identifies the minimum information needed before a residue moves to the next stage. The framework is intentionally conservative: it makes recovery conditional on feedstock identity and treatment evidence. Its purpose is to preserve the benefits of circular use without converting uncertain biological or chemical hazards into new farm exposures.</w:t>
      </w:r>
    </w:p>
    <w:p w14:paraId="19569D68" w14:textId="77777777" w:rsidR="00747D28" w:rsidRPr="00F23CCF" w:rsidRDefault="00000000">
      <w:pPr>
        <w:pStyle w:val="TableCaption"/>
        <w:rPr>
          <w:color w:val="auto"/>
        </w:rPr>
      </w:pPr>
      <w:r w:rsidRPr="00F23CCF">
        <w:rPr>
          <w:color w:val="auto"/>
        </w:rPr>
        <w:t>Table 5. Decision framework and research priorities for risk-tiered circular management</w:t>
      </w:r>
    </w:p>
    <w:tbl>
      <w:tblPr>
        <w:tblStyle w:val="TableGrid"/>
        <w:tblW w:w="0" w:type="auto"/>
        <w:jc w:val="center"/>
        <w:tblLayout w:type="fixed"/>
        <w:tblLook w:val="04A0" w:firstRow="1" w:lastRow="0" w:firstColumn="1" w:lastColumn="0" w:noHBand="0" w:noVBand="1"/>
      </w:tblPr>
      <w:tblGrid>
        <w:gridCol w:w="1440"/>
        <w:gridCol w:w="1800"/>
        <w:gridCol w:w="1944"/>
        <w:gridCol w:w="1655"/>
        <w:gridCol w:w="1800"/>
        <w:gridCol w:w="1440"/>
      </w:tblGrid>
      <w:tr w:rsidR="00F23CCF" w:rsidRPr="00F23CCF" w14:paraId="34847D47" w14:textId="77777777">
        <w:trPr>
          <w:cantSplit/>
          <w:tblHeader/>
          <w:jc w:val="center"/>
        </w:trPr>
        <w:tc>
          <w:tcPr>
            <w:tcW w:w="1440" w:type="dxa"/>
            <w:shd w:val="clear" w:color="auto" w:fill="D9EAF7"/>
            <w:tcMar>
              <w:top w:w="70" w:type="dxa"/>
              <w:left w:w="80" w:type="dxa"/>
              <w:bottom w:w="70" w:type="dxa"/>
              <w:right w:w="80" w:type="dxa"/>
            </w:tcMar>
            <w:vAlign w:val="center"/>
          </w:tcPr>
          <w:p w14:paraId="2AE15854" w14:textId="77777777" w:rsidR="00747D28" w:rsidRPr="00F23CCF" w:rsidRDefault="00000000">
            <w:pPr>
              <w:spacing w:after="0" w:line="240" w:lineRule="auto"/>
              <w:jc w:val="center"/>
            </w:pPr>
            <w:r w:rsidRPr="00F23CCF">
              <w:rPr>
                <w:rFonts w:ascii="Arial" w:hAnsi="Arial"/>
                <w:b/>
                <w:sz w:val="16"/>
              </w:rPr>
              <w:t>Decision point</w:t>
            </w:r>
          </w:p>
        </w:tc>
        <w:tc>
          <w:tcPr>
            <w:tcW w:w="1800" w:type="dxa"/>
            <w:shd w:val="clear" w:color="auto" w:fill="D9EAF7"/>
            <w:tcMar>
              <w:top w:w="70" w:type="dxa"/>
              <w:left w:w="80" w:type="dxa"/>
              <w:bottom w:w="70" w:type="dxa"/>
              <w:right w:w="80" w:type="dxa"/>
            </w:tcMar>
            <w:vAlign w:val="center"/>
          </w:tcPr>
          <w:p w14:paraId="2206552D" w14:textId="77777777" w:rsidR="00747D28" w:rsidRPr="00F23CCF" w:rsidRDefault="00000000">
            <w:pPr>
              <w:spacing w:after="0" w:line="240" w:lineRule="auto"/>
              <w:jc w:val="center"/>
            </w:pPr>
            <w:r w:rsidRPr="00F23CCF">
              <w:rPr>
                <w:rFonts w:ascii="Arial" w:hAnsi="Arial"/>
                <w:b/>
                <w:sz w:val="16"/>
              </w:rPr>
              <w:t>Evidence-informed action</w:t>
            </w:r>
          </w:p>
        </w:tc>
        <w:tc>
          <w:tcPr>
            <w:tcW w:w="1944" w:type="dxa"/>
            <w:shd w:val="clear" w:color="auto" w:fill="D9EAF7"/>
            <w:tcMar>
              <w:top w:w="70" w:type="dxa"/>
              <w:left w:w="80" w:type="dxa"/>
              <w:bottom w:w="70" w:type="dxa"/>
              <w:right w:w="80" w:type="dxa"/>
            </w:tcMar>
            <w:vAlign w:val="center"/>
          </w:tcPr>
          <w:p w14:paraId="67FE5DD6" w14:textId="77777777" w:rsidR="00747D28" w:rsidRPr="00F23CCF" w:rsidRDefault="00000000">
            <w:pPr>
              <w:spacing w:after="0" w:line="240" w:lineRule="auto"/>
              <w:jc w:val="center"/>
            </w:pPr>
            <w:r w:rsidRPr="00F23CCF">
              <w:rPr>
                <w:rFonts w:ascii="Arial" w:hAnsi="Arial"/>
                <w:b/>
                <w:sz w:val="16"/>
              </w:rPr>
              <w:t>Minimum information or monitoring</w:t>
            </w:r>
          </w:p>
        </w:tc>
        <w:tc>
          <w:tcPr>
            <w:tcW w:w="1655" w:type="dxa"/>
            <w:shd w:val="clear" w:color="auto" w:fill="D9EAF7"/>
            <w:tcMar>
              <w:top w:w="70" w:type="dxa"/>
              <w:left w:w="80" w:type="dxa"/>
              <w:bottom w:w="70" w:type="dxa"/>
              <w:right w:w="80" w:type="dxa"/>
            </w:tcMar>
            <w:vAlign w:val="center"/>
          </w:tcPr>
          <w:p w14:paraId="2462C751" w14:textId="77777777" w:rsidR="00747D28" w:rsidRPr="00F23CCF" w:rsidRDefault="00000000">
            <w:pPr>
              <w:spacing w:after="0" w:line="240" w:lineRule="auto"/>
              <w:jc w:val="center"/>
            </w:pPr>
            <w:r w:rsidRPr="00F23CCF">
              <w:rPr>
                <w:rFonts w:ascii="Arial" w:hAnsi="Arial"/>
                <w:b/>
                <w:sz w:val="16"/>
              </w:rPr>
              <w:t>Current uncertainty</w:t>
            </w:r>
          </w:p>
        </w:tc>
        <w:tc>
          <w:tcPr>
            <w:tcW w:w="1800" w:type="dxa"/>
            <w:shd w:val="clear" w:color="auto" w:fill="D9EAF7"/>
            <w:tcMar>
              <w:top w:w="70" w:type="dxa"/>
              <w:left w:w="80" w:type="dxa"/>
              <w:bottom w:w="70" w:type="dxa"/>
              <w:right w:w="80" w:type="dxa"/>
            </w:tcMar>
            <w:vAlign w:val="center"/>
          </w:tcPr>
          <w:p w14:paraId="7C852977" w14:textId="77777777" w:rsidR="00747D28" w:rsidRPr="00F23CCF" w:rsidRDefault="00000000">
            <w:pPr>
              <w:spacing w:after="0" w:line="240" w:lineRule="auto"/>
              <w:jc w:val="center"/>
            </w:pPr>
            <w:r w:rsidRPr="00F23CCF">
              <w:rPr>
                <w:rFonts w:ascii="Arial" w:hAnsi="Arial"/>
                <w:b/>
                <w:sz w:val="16"/>
              </w:rPr>
              <w:t>Priority study design</w:t>
            </w:r>
          </w:p>
        </w:tc>
        <w:tc>
          <w:tcPr>
            <w:tcW w:w="1440" w:type="dxa"/>
            <w:shd w:val="clear" w:color="auto" w:fill="D9EAF7"/>
            <w:tcMar>
              <w:top w:w="70" w:type="dxa"/>
              <w:left w:w="80" w:type="dxa"/>
              <w:bottom w:w="70" w:type="dxa"/>
              <w:right w:w="80" w:type="dxa"/>
            </w:tcMar>
            <w:vAlign w:val="center"/>
          </w:tcPr>
          <w:p w14:paraId="1B94BF88"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4935637C" w14:textId="77777777">
        <w:trPr>
          <w:cantSplit/>
          <w:jc w:val="center"/>
        </w:trPr>
        <w:tc>
          <w:tcPr>
            <w:tcW w:w="1440" w:type="dxa"/>
            <w:tcMar>
              <w:top w:w="70" w:type="dxa"/>
              <w:left w:w="80" w:type="dxa"/>
              <w:bottom w:w="70" w:type="dxa"/>
              <w:right w:w="80" w:type="dxa"/>
            </w:tcMar>
            <w:vAlign w:val="center"/>
          </w:tcPr>
          <w:p w14:paraId="59C6E176" w14:textId="77777777" w:rsidR="00747D28" w:rsidRPr="00F23CCF" w:rsidRDefault="00000000">
            <w:pPr>
              <w:spacing w:after="0" w:line="240" w:lineRule="auto"/>
            </w:pPr>
            <w:r w:rsidRPr="00F23CCF">
              <w:rPr>
                <w:rFonts w:ascii="Arial" w:hAnsi="Arial"/>
                <w:sz w:val="15"/>
              </w:rPr>
              <w:t>Can generation be avoided?</w:t>
            </w:r>
          </w:p>
        </w:tc>
        <w:tc>
          <w:tcPr>
            <w:tcW w:w="1800" w:type="dxa"/>
            <w:tcMar>
              <w:top w:w="70" w:type="dxa"/>
              <w:left w:w="80" w:type="dxa"/>
              <w:bottom w:w="70" w:type="dxa"/>
              <w:right w:w="80" w:type="dxa"/>
            </w:tcMar>
            <w:vAlign w:val="center"/>
          </w:tcPr>
          <w:p w14:paraId="3DC44F73" w14:textId="77777777" w:rsidR="00747D28" w:rsidRPr="00F23CCF" w:rsidRDefault="00000000">
            <w:pPr>
              <w:spacing w:after="0" w:line="240" w:lineRule="auto"/>
            </w:pPr>
            <w:r w:rsidRPr="00F23CCF">
              <w:rPr>
                <w:rFonts w:ascii="Arial" w:hAnsi="Arial"/>
                <w:sz w:val="15"/>
              </w:rPr>
              <w:t>Match leaf harvest to rearing demand and divert clean surplus biomass before contamination</w:t>
            </w:r>
          </w:p>
        </w:tc>
        <w:tc>
          <w:tcPr>
            <w:tcW w:w="1944" w:type="dxa"/>
            <w:tcMar>
              <w:top w:w="70" w:type="dxa"/>
              <w:left w:w="80" w:type="dxa"/>
              <w:bottom w:w="70" w:type="dxa"/>
              <w:right w:w="80" w:type="dxa"/>
            </w:tcMar>
            <w:vAlign w:val="center"/>
          </w:tcPr>
          <w:p w14:paraId="2F28B19D" w14:textId="77777777" w:rsidR="00747D28" w:rsidRPr="00F23CCF" w:rsidRDefault="00000000">
            <w:pPr>
              <w:spacing w:after="0" w:line="240" w:lineRule="auto"/>
            </w:pPr>
            <w:r w:rsidRPr="00F23CCF">
              <w:rPr>
                <w:rFonts w:ascii="Arial" w:hAnsi="Arial"/>
                <w:sz w:val="15"/>
              </w:rPr>
              <w:t>Source, cleanliness, alternative use, feed or market suitability</w:t>
            </w:r>
          </w:p>
        </w:tc>
        <w:tc>
          <w:tcPr>
            <w:tcW w:w="1655" w:type="dxa"/>
            <w:tcMar>
              <w:top w:w="70" w:type="dxa"/>
              <w:left w:w="80" w:type="dxa"/>
              <w:bottom w:w="70" w:type="dxa"/>
              <w:right w:w="80" w:type="dxa"/>
            </w:tcMar>
            <w:vAlign w:val="center"/>
          </w:tcPr>
          <w:p w14:paraId="4732AEC6" w14:textId="77777777" w:rsidR="00747D28" w:rsidRPr="00F23CCF" w:rsidRDefault="00000000">
            <w:pPr>
              <w:spacing w:after="0" w:line="240" w:lineRule="auto"/>
            </w:pPr>
            <w:r w:rsidRPr="00F23CCF">
              <w:rPr>
                <w:rFonts w:ascii="Arial" w:hAnsi="Arial"/>
                <w:sz w:val="15"/>
              </w:rPr>
              <w:t>Magnitude and seasonality of avoidable leaf surplus</w:t>
            </w:r>
          </w:p>
        </w:tc>
        <w:tc>
          <w:tcPr>
            <w:tcW w:w="1800" w:type="dxa"/>
            <w:tcMar>
              <w:top w:w="70" w:type="dxa"/>
              <w:left w:w="80" w:type="dxa"/>
              <w:bottom w:w="70" w:type="dxa"/>
              <w:right w:w="80" w:type="dxa"/>
            </w:tcMar>
            <w:vAlign w:val="center"/>
          </w:tcPr>
          <w:p w14:paraId="7E67BA7E" w14:textId="77777777" w:rsidR="00747D28" w:rsidRPr="00F23CCF" w:rsidRDefault="00000000">
            <w:pPr>
              <w:spacing w:after="0" w:line="240" w:lineRule="auto"/>
            </w:pPr>
            <w:r w:rsidRPr="00F23CCF">
              <w:rPr>
                <w:rFonts w:ascii="Arial" w:hAnsi="Arial"/>
                <w:sz w:val="15"/>
              </w:rPr>
              <w:t>Multi-farm material-flow and logistics study</w:t>
            </w:r>
          </w:p>
        </w:tc>
        <w:tc>
          <w:tcPr>
            <w:tcW w:w="1440" w:type="dxa"/>
            <w:tcMar>
              <w:top w:w="70" w:type="dxa"/>
              <w:left w:w="80" w:type="dxa"/>
              <w:bottom w:w="70" w:type="dxa"/>
              <w:right w:w="80" w:type="dxa"/>
            </w:tcMar>
            <w:vAlign w:val="center"/>
          </w:tcPr>
          <w:p w14:paraId="6C6A686F" w14:textId="77777777" w:rsidR="00747D28" w:rsidRPr="00F23CCF" w:rsidRDefault="00000000">
            <w:pPr>
              <w:spacing w:after="0" w:line="240" w:lineRule="auto"/>
            </w:pPr>
            <w:r w:rsidRPr="00F23CCF">
              <w:rPr>
                <w:rFonts w:ascii="Arial" w:hAnsi="Arial"/>
                <w:sz w:val="15"/>
              </w:rPr>
              <w:t>Cai et al., 2019; Geng et al., 2024</w:t>
            </w:r>
          </w:p>
        </w:tc>
      </w:tr>
      <w:tr w:rsidR="00F23CCF" w:rsidRPr="00F23CCF" w14:paraId="2504D4DD" w14:textId="77777777">
        <w:trPr>
          <w:cantSplit/>
          <w:jc w:val="center"/>
        </w:trPr>
        <w:tc>
          <w:tcPr>
            <w:tcW w:w="1440" w:type="dxa"/>
            <w:tcMar>
              <w:top w:w="70" w:type="dxa"/>
              <w:left w:w="80" w:type="dxa"/>
              <w:bottom w:w="70" w:type="dxa"/>
              <w:right w:w="80" w:type="dxa"/>
            </w:tcMar>
            <w:vAlign w:val="center"/>
          </w:tcPr>
          <w:p w14:paraId="20365AF3" w14:textId="77777777" w:rsidR="00747D28" w:rsidRPr="00F23CCF" w:rsidRDefault="00000000">
            <w:pPr>
              <w:spacing w:after="0" w:line="240" w:lineRule="auto"/>
            </w:pPr>
            <w:r w:rsidRPr="00F23CCF">
              <w:rPr>
                <w:rFonts w:ascii="Arial" w:hAnsi="Arial"/>
                <w:sz w:val="15"/>
              </w:rPr>
              <w:t>Is the residue clean and source-separated?</w:t>
            </w:r>
          </w:p>
        </w:tc>
        <w:tc>
          <w:tcPr>
            <w:tcW w:w="1800" w:type="dxa"/>
            <w:tcMar>
              <w:top w:w="70" w:type="dxa"/>
              <w:left w:w="80" w:type="dxa"/>
              <w:bottom w:w="70" w:type="dxa"/>
              <w:right w:w="80" w:type="dxa"/>
            </w:tcMar>
            <w:vAlign w:val="center"/>
          </w:tcPr>
          <w:p w14:paraId="604BDA04" w14:textId="77777777" w:rsidR="00747D28" w:rsidRPr="00F23CCF" w:rsidRDefault="00000000">
            <w:pPr>
              <w:spacing w:after="0" w:line="240" w:lineRule="auto"/>
            </w:pPr>
            <w:r w:rsidRPr="00F23CCF">
              <w:rPr>
                <w:rFonts w:ascii="Arial" w:hAnsi="Arial"/>
                <w:sz w:val="15"/>
              </w:rPr>
              <w:t>Keep pruning biomass, healthy-batch litter, disease waste and auxiliary waste in distinct streams</w:t>
            </w:r>
          </w:p>
        </w:tc>
        <w:tc>
          <w:tcPr>
            <w:tcW w:w="1944" w:type="dxa"/>
            <w:tcMar>
              <w:top w:w="70" w:type="dxa"/>
              <w:left w:w="80" w:type="dxa"/>
              <w:bottom w:w="70" w:type="dxa"/>
              <w:right w:w="80" w:type="dxa"/>
            </w:tcMar>
            <w:vAlign w:val="center"/>
          </w:tcPr>
          <w:p w14:paraId="58F7BF11" w14:textId="77777777" w:rsidR="00747D28" w:rsidRPr="00F23CCF" w:rsidRDefault="00000000">
            <w:pPr>
              <w:spacing w:after="0" w:line="240" w:lineRule="auto"/>
            </w:pPr>
            <w:r w:rsidRPr="00F23CCF">
              <w:rPr>
                <w:rFonts w:ascii="Arial" w:hAnsi="Arial"/>
                <w:sz w:val="15"/>
              </w:rPr>
              <w:t>Origin, date, batch health, chemical exposure and moisture</w:t>
            </w:r>
          </w:p>
        </w:tc>
        <w:tc>
          <w:tcPr>
            <w:tcW w:w="1655" w:type="dxa"/>
            <w:tcMar>
              <w:top w:w="70" w:type="dxa"/>
              <w:left w:w="80" w:type="dxa"/>
              <w:bottom w:w="70" w:type="dxa"/>
              <w:right w:w="80" w:type="dxa"/>
            </w:tcMar>
            <w:vAlign w:val="center"/>
          </w:tcPr>
          <w:p w14:paraId="3369D36E" w14:textId="77777777" w:rsidR="00747D28" w:rsidRPr="00F23CCF" w:rsidRDefault="00000000">
            <w:pPr>
              <w:spacing w:after="0" w:line="240" w:lineRule="auto"/>
            </w:pPr>
            <w:r w:rsidRPr="00F23CCF">
              <w:rPr>
                <w:rFonts w:ascii="Arial" w:hAnsi="Arial"/>
                <w:sz w:val="15"/>
              </w:rPr>
              <w:t>Farm compliance and practical segregation burden</w:t>
            </w:r>
          </w:p>
        </w:tc>
        <w:tc>
          <w:tcPr>
            <w:tcW w:w="1800" w:type="dxa"/>
            <w:tcMar>
              <w:top w:w="70" w:type="dxa"/>
              <w:left w:w="80" w:type="dxa"/>
              <w:bottom w:w="70" w:type="dxa"/>
              <w:right w:w="80" w:type="dxa"/>
            </w:tcMar>
            <w:vAlign w:val="center"/>
          </w:tcPr>
          <w:p w14:paraId="7DE0FE25" w14:textId="77777777" w:rsidR="00747D28" w:rsidRPr="00F23CCF" w:rsidRDefault="00000000">
            <w:pPr>
              <w:spacing w:after="0" w:line="240" w:lineRule="auto"/>
            </w:pPr>
            <w:r w:rsidRPr="00F23CCF">
              <w:rPr>
                <w:rFonts w:ascii="Arial" w:hAnsi="Arial"/>
                <w:sz w:val="15"/>
              </w:rPr>
              <w:t>Participatory implementation trial comparing collection systems</w:t>
            </w:r>
          </w:p>
        </w:tc>
        <w:tc>
          <w:tcPr>
            <w:tcW w:w="1440" w:type="dxa"/>
            <w:tcMar>
              <w:top w:w="70" w:type="dxa"/>
              <w:left w:w="80" w:type="dxa"/>
              <w:bottom w:w="70" w:type="dxa"/>
              <w:right w:w="80" w:type="dxa"/>
            </w:tcMar>
            <w:vAlign w:val="center"/>
          </w:tcPr>
          <w:p w14:paraId="3B82D3D1" w14:textId="77777777" w:rsidR="00747D28" w:rsidRPr="00F23CCF" w:rsidRDefault="00000000">
            <w:pPr>
              <w:spacing w:after="0" w:line="240" w:lineRule="auto"/>
            </w:pPr>
            <w:r w:rsidRPr="00F23CCF">
              <w:rPr>
                <w:rFonts w:ascii="Arial" w:hAnsi="Arial"/>
                <w:sz w:val="15"/>
              </w:rPr>
              <w:t>Central Silk Board, n.d.; Tamil Nadu Agricultural University, n.d.</w:t>
            </w:r>
          </w:p>
        </w:tc>
      </w:tr>
      <w:tr w:rsidR="00F23CCF" w:rsidRPr="00F23CCF" w14:paraId="5C16DD54" w14:textId="77777777">
        <w:trPr>
          <w:cantSplit/>
          <w:jc w:val="center"/>
        </w:trPr>
        <w:tc>
          <w:tcPr>
            <w:tcW w:w="1440" w:type="dxa"/>
            <w:tcMar>
              <w:top w:w="70" w:type="dxa"/>
              <w:left w:w="80" w:type="dxa"/>
              <w:bottom w:w="70" w:type="dxa"/>
              <w:right w:w="80" w:type="dxa"/>
            </w:tcMar>
            <w:vAlign w:val="center"/>
          </w:tcPr>
          <w:p w14:paraId="4566F741" w14:textId="77777777" w:rsidR="00747D28" w:rsidRPr="00F23CCF" w:rsidRDefault="00000000">
            <w:pPr>
              <w:spacing w:after="0" w:line="240" w:lineRule="auto"/>
            </w:pPr>
            <w:r w:rsidRPr="00F23CCF">
              <w:rPr>
                <w:rFonts w:ascii="Arial" w:hAnsi="Arial"/>
                <w:sz w:val="15"/>
              </w:rPr>
              <w:t>Is biological recycling appropriate?</w:t>
            </w:r>
          </w:p>
        </w:tc>
        <w:tc>
          <w:tcPr>
            <w:tcW w:w="1800" w:type="dxa"/>
            <w:tcMar>
              <w:top w:w="70" w:type="dxa"/>
              <w:left w:w="80" w:type="dxa"/>
              <w:bottom w:w="70" w:type="dxa"/>
              <w:right w:w="80" w:type="dxa"/>
            </w:tcMar>
            <w:vAlign w:val="center"/>
          </w:tcPr>
          <w:p w14:paraId="1A2851B5" w14:textId="77777777" w:rsidR="00747D28" w:rsidRPr="00F23CCF" w:rsidRDefault="00000000">
            <w:pPr>
              <w:spacing w:after="0" w:line="240" w:lineRule="auto"/>
            </w:pPr>
            <w:r w:rsidRPr="00F23CCF">
              <w:rPr>
                <w:rFonts w:ascii="Arial" w:hAnsi="Arial"/>
                <w:sz w:val="15"/>
              </w:rPr>
              <w:t>Compost or vermicompost non-suspect organic material under controlled conditions</w:t>
            </w:r>
          </w:p>
        </w:tc>
        <w:tc>
          <w:tcPr>
            <w:tcW w:w="1944" w:type="dxa"/>
            <w:tcMar>
              <w:top w:w="70" w:type="dxa"/>
              <w:left w:w="80" w:type="dxa"/>
              <w:bottom w:w="70" w:type="dxa"/>
              <w:right w:w="80" w:type="dxa"/>
            </w:tcMar>
            <w:vAlign w:val="center"/>
          </w:tcPr>
          <w:p w14:paraId="17D33F1C" w14:textId="77777777" w:rsidR="00747D28" w:rsidRPr="00F23CCF" w:rsidRDefault="00000000">
            <w:pPr>
              <w:spacing w:after="0" w:line="240" w:lineRule="auto"/>
            </w:pPr>
            <w:r w:rsidRPr="00F23CCF">
              <w:rPr>
                <w:rFonts w:ascii="Arial" w:hAnsi="Arial"/>
                <w:sz w:val="15"/>
              </w:rPr>
              <w:t>Temperature history, moisture, maturity, relevant microbiology and contaminants</w:t>
            </w:r>
          </w:p>
        </w:tc>
        <w:tc>
          <w:tcPr>
            <w:tcW w:w="1655" w:type="dxa"/>
            <w:tcMar>
              <w:top w:w="70" w:type="dxa"/>
              <w:left w:w="80" w:type="dxa"/>
              <w:bottom w:w="70" w:type="dxa"/>
              <w:right w:w="80" w:type="dxa"/>
            </w:tcMar>
            <w:vAlign w:val="center"/>
          </w:tcPr>
          <w:p w14:paraId="1E28CB0C" w14:textId="77777777" w:rsidR="00747D28" w:rsidRPr="00F23CCF" w:rsidRDefault="00000000">
            <w:pPr>
              <w:spacing w:after="0" w:line="240" w:lineRule="auto"/>
            </w:pPr>
            <w:r w:rsidRPr="00F23CCF">
              <w:rPr>
                <w:rFonts w:ascii="Arial" w:hAnsi="Arial"/>
                <w:sz w:val="15"/>
              </w:rPr>
              <w:t>Validated silkworm-pathogen inactivation criteria and long-term field safety</w:t>
            </w:r>
          </w:p>
        </w:tc>
        <w:tc>
          <w:tcPr>
            <w:tcW w:w="1800" w:type="dxa"/>
            <w:tcMar>
              <w:top w:w="70" w:type="dxa"/>
              <w:left w:w="80" w:type="dxa"/>
              <w:bottom w:w="70" w:type="dxa"/>
              <w:right w:w="80" w:type="dxa"/>
            </w:tcMar>
            <w:vAlign w:val="center"/>
          </w:tcPr>
          <w:p w14:paraId="1E0255D7" w14:textId="77777777" w:rsidR="00747D28" w:rsidRPr="00F23CCF" w:rsidRDefault="00000000">
            <w:pPr>
              <w:spacing w:after="0" w:line="240" w:lineRule="auto"/>
            </w:pPr>
            <w:r w:rsidRPr="00F23CCF">
              <w:rPr>
                <w:rFonts w:ascii="Arial" w:hAnsi="Arial"/>
                <w:sz w:val="15"/>
              </w:rPr>
              <w:t>Full-scale compost trial with pathogen, gas and field endpoints</w:t>
            </w:r>
          </w:p>
        </w:tc>
        <w:tc>
          <w:tcPr>
            <w:tcW w:w="1440" w:type="dxa"/>
            <w:tcMar>
              <w:top w:w="70" w:type="dxa"/>
              <w:left w:w="80" w:type="dxa"/>
              <w:bottom w:w="70" w:type="dxa"/>
              <w:right w:w="80" w:type="dxa"/>
            </w:tcMar>
            <w:vAlign w:val="center"/>
          </w:tcPr>
          <w:p w14:paraId="5AA3E1B6" w14:textId="77777777" w:rsidR="00747D28" w:rsidRPr="00F23CCF" w:rsidRDefault="00000000">
            <w:pPr>
              <w:spacing w:after="0" w:line="240" w:lineRule="auto"/>
            </w:pPr>
            <w:r w:rsidRPr="00F23CCF">
              <w:rPr>
                <w:rFonts w:ascii="Arial" w:hAnsi="Arial"/>
                <w:sz w:val="15"/>
              </w:rPr>
              <w:t>Chen et al., 2016; Li et al., 2018; Sharma et al., 1999; Yang et al., 2024</w:t>
            </w:r>
          </w:p>
        </w:tc>
      </w:tr>
      <w:tr w:rsidR="00F23CCF" w:rsidRPr="00F23CCF" w14:paraId="320FF7DC" w14:textId="77777777">
        <w:trPr>
          <w:cantSplit/>
          <w:jc w:val="center"/>
        </w:trPr>
        <w:tc>
          <w:tcPr>
            <w:tcW w:w="1440" w:type="dxa"/>
            <w:tcMar>
              <w:top w:w="70" w:type="dxa"/>
              <w:left w:w="80" w:type="dxa"/>
              <w:bottom w:w="70" w:type="dxa"/>
              <w:right w:w="80" w:type="dxa"/>
            </w:tcMar>
            <w:vAlign w:val="center"/>
          </w:tcPr>
          <w:p w14:paraId="7435D407" w14:textId="77777777" w:rsidR="00747D28" w:rsidRPr="00F23CCF" w:rsidRDefault="00000000">
            <w:pPr>
              <w:spacing w:after="0" w:line="240" w:lineRule="auto"/>
            </w:pPr>
            <w:r w:rsidRPr="00F23CCF">
              <w:rPr>
                <w:rFonts w:ascii="Arial" w:hAnsi="Arial"/>
                <w:sz w:val="15"/>
              </w:rPr>
              <w:t>Is contamination present or suspected?</w:t>
            </w:r>
          </w:p>
        </w:tc>
        <w:tc>
          <w:tcPr>
            <w:tcW w:w="1800" w:type="dxa"/>
            <w:tcMar>
              <w:top w:w="70" w:type="dxa"/>
              <w:left w:w="80" w:type="dxa"/>
              <w:bottom w:w="70" w:type="dxa"/>
              <w:right w:w="80" w:type="dxa"/>
            </w:tcMar>
            <w:vAlign w:val="center"/>
          </w:tcPr>
          <w:p w14:paraId="5013FBB1" w14:textId="77777777" w:rsidR="00747D28" w:rsidRPr="00F23CCF" w:rsidRDefault="00000000">
            <w:pPr>
              <w:spacing w:after="0" w:line="240" w:lineRule="auto"/>
            </w:pPr>
            <w:r w:rsidRPr="00F23CCF">
              <w:rPr>
                <w:rFonts w:ascii="Arial" w:hAnsi="Arial"/>
                <w:sz w:val="15"/>
              </w:rPr>
              <w:t>Quantify contaminant and select treatment that controls mobility and final exposure</w:t>
            </w:r>
          </w:p>
        </w:tc>
        <w:tc>
          <w:tcPr>
            <w:tcW w:w="1944" w:type="dxa"/>
            <w:tcMar>
              <w:top w:w="70" w:type="dxa"/>
              <w:left w:w="80" w:type="dxa"/>
              <w:bottom w:w="70" w:type="dxa"/>
              <w:right w:w="80" w:type="dxa"/>
            </w:tcMar>
            <w:vAlign w:val="center"/>
          </w:tcPr>
          <w:p w14:paraId="29AB858D" w14:textId="77777777" w:rsidR="00747D28" w:rsidRPr="00F23CCF" w:rsidRDefault="00000000">
            <w:pPr>
              <w:spacing w:after="0" w:line="240" w:lineRule="auto"/>
            </w:pPr>
            <w:r w:rsidRPr="00F23CCF">
              <w:rPr>
                <w:rFonts w:ascii="Arial" w:hAnsi="Arial"/>
                <w:sz w:val="15"/>
              </w:rPr>
              <w:t>Total contaminant mass, speciation/bioavailability where relevant, end-use restriction</w:t>
            </w:r>
          </w:p>
        </w:tc>
        <w:tc>
          <w:tcPr>
            <w:tcW w:w="1655" w:type="dxa"/>
            <w:tcMar>
              <w:top w:w="70" w:type="dxa"/>
              <w:left w:w="80" w:type="dxa"/>
              <w:bottom w:w="70" w:type="dxa"/>
              <w:right w:w="80" w:type="dxa"/>
            </w:tcMar>
            <w:vAlign w:val="center"/>
          </w:tcPr>
          <w:p w14:paraId="342F3A4E" w14:textId="77777777" w:rsidR="00747D28" w:rsidRPr="00F23CCF" w:rsidRDefault="00000000">
            <w:pPr>
              <w:spacing w:after="0" w:line="240" w:lineRule="auto"/>
            </w:pPr>
            <w:r w:rsidRPr="00F23CCF">
              <w:rPr>
                <w:rFonts w:ascii="Arial" w:hAnsi="Arial"/>
                <w:sz w:val="15"/>
              </w:rPr>
              <w:t>Transfer of diverse agrochemicals and metals through the sericulture cycle</w:t>
            </w:r>
          </w:p>
        </w:tc>
        <w:tc>
          <w:tcPr>
            <w:tcW w:w="1800" w:type="dxa"/>
            <w:tcMar>
              <w:top w:w="70" w:type="dxa"/>
              <w:left w:w="80" w:type="dxa"/>
              <w:bottom w:w="70" w:type="dxa"/>
              <w:right w:w="80" w:type="dxa"/>
            </w:tcMar>
            <w:vAlign w:val="center"/>
          </w:tcPr>
          <w:p w14:paraId="12DC9223" w14:textId="77777777" w:rsidR="00747D28" w:rsidRPr="00F23CCF" w:rsidRDefault="00000000">
            <w:pPr>
              <w:spacing w:after="0" w:line="240" w:lineRule="auto"/>
            </w:pPr>
            <w:r w:rsidRPr="00F23CCF">
              <w:rPr>
                <w:rFonts w:ascii="Arial" w:hAnsi="Arial"/>
                <w:sz w:val="15"/>
              </w:rPr>
              <w:t>Soil–mulberry–silkworm–residue mass-balance study</w:t>
            </w:r>
          </w:p>
        </w:tc>
        <w:tc>
          <w:tcPr>
            <w:tcW w:w="1440" w:type="dxa"/>
            <w:tcMar>
              <w:top w:w="70" w:type="dxa"/>
              <w:left w:w="80" w:type="dxa"/>
              <w:bottom w:w="70" w:type="dxa"/>
              <w:right w:w="80" w:type="dxa"/>
            </w:tcMar>
            <w:vAlign w:val="center"/>
          </w:tcPr>
          <w:p w14:paraId="32DF0D5A" w14:textId="77777777" w:rsidR="00747D28" w:rsidRPr="00F23CCF" w:rsidRDefault="00000000">
            <w:pPr>
              <w:spacing w:after="0" w:line="240" w:lineRule="auto"/>
            </w:pPr>
            <w:r w:rsidRPr="00F23CCF">
              <w:rPr>
                <w:rFonts w:ascii="Arial" w:hAnsi="Arial"/>
                <w:sz w:val="15"/>
              </w:rPr>
              <w:t>Jiang et al., 2025; Wang et al., 2016</w:t>
            </w:r>
          </w:p>
        </w:tc>
      </w:tr>
      <w:tr w:rsidR="00F23CCF" w:rsidRPr="00F23CCF" w14:paraId="78334704" w14:textId="77777777">
        <w:trPr>
          <w:cantSplit/>
          <w:jc w:val="center"/>
        </w:trPr>
        <w:tc>
          <w:tcPr>
            <w:tcW w:w="1440" w:type="dxa"/>
            <w:tcMar>
              <w:top w:w="70" w:type="dxa"/>
              <w:left w:w="80" w:type="dxa"/>
              <w:bottom w:w="70" w:type="dxa"/>
              <w:right w:w="80" w:type="dxa"/>
            </w:tcMar>
            <w:vAlign w:val="center"/>
          </w:tcPr>
          <w:p w14:paraId="29A4754F" w14:textId="77777777" w:rsidR="00747D28" w:rsidRPr="00F23CCF" w:rsidRDefault="00000000">
            <w:pPr>
              <w:spacing w:after="0" w:line="240" w:lineRule="auto"/>
            </w:pPr>
            <w:r w:rsidRPr="00F23CCF">
              <w:rPr>
                <w:rFonts w:ascii="Arial" w:hAnsi="Arial"/>
                <w:sz w:val="15"/>
              </w:rPr>
              <w:t>Is advanced conversion justified?</w:t>
            </w:r>
          </w:p>
        </w:tc>
        <w:tc>
          <w:tcPr>
            <w:tcW w:w="1800" w:type="dxa"/>
            <w:tcMar>
              <w:top w:w="70" w:type="dxa"/>
              <w:left w:w="80" w:type="dxa"/>
              <w:bottom w:w="70" w:type="dxa"/>
              <w:right w:w="80" w:type="dxa"/>
            </w:tcMar>
            <w:vAlign w:val="center"/>
          </w:tcPr>
          <w:p w14:paraId="25352EFE" w14:textId="77777777" w:rsidR="00747D28" w:rsidRPr="00F23CCF" w:rsidRDefault="00000000">
            <w:pPr>
              <w:spacing w:after="0" w:line="240" w:lineRule="auto"/>
            </w:pPr>
            <w:r w:rsidRPr="00F23CCF">
              <w:rPr>
                <w:rFonts w:ascii="Arial" w:hAnsi="Arial"/>
                <w:sz w:val="15"/>
              </w:rPr>
              <w:t>Use pyrolysis or engineered applications only when feedstock, scale, controls and market are suitable</w:t>
            </w:r>
          </w:p>
        </w:tc>
        <w:tc>
          <w:tcPr>
            <w:tcW w:w="1944" w:type="dxa"/>
            <w:tcMar>
              <w:top w:w="70" w:type="dxa"/>
              <w:left w:w="80" w:type="dxa"/>
              <w:bottom w:w="70" w:type="dxa"/>
              <w:right w:w="80" w:type="dxa"/>
            </w:tcMar>
            <w:vAlign w:val="center"/>
          </w:tcPr>
          <w:p w14:paraId="04589135" w14:textId="77777777" w:rsidR="00747D28" w:rsidRPr="00F23CCF" w:rsidRDefault="00000000">
            <w:pPr>
              <w:spacing w:after="0" w:line="240" w:lineRule="auto"/>
            </w:pPr>
            <w:r w:rsidRPr="00F23CCF">
              <w:rPr>
                <w:rFonts w:ascii="Arial" w:hAnsi="Arial"/>
                <w:sz w:val="15"/>
              </w:rPr>
              <w:t>Energy use, emissions, product specification, contaminant fate, cost and displaced product</w:t>
            </w:r>
          </w:p>
        </w:tc>
        <w:tc>
          <w:tcPr>
            <w:tcW w:w="1655" w:type="dxa"/>
            <w:tcMar>
              <w:top w:w="70" w:type="dxa"/>
              <w:left w:w="80" w:type="dxa"/>
              <w:bottom w:w="70" w:type="dxa"/>
              <w:right w:w="80" w:type="dxa"/>
            </w:tcMar>
            <w:vAlign w:val="center"/>
          </w:tcPr>
          <w:p w14:paraId="54C743F1" w14:textId="77777777" w:rsidR="00747D28" w:rsidRPr="00F23CCF" w:rsidRDefault="00000000">
            <w:pPr>
              <w:spacing w:after="0" w:line="240" w:lineRule="auto"/>
            </w:pPr>
            <w:r w:rsidRPr="00F23CCF">
              <w:rPr>
                <w:rFonts w:ascii="Arial" w:hAnsi="Arial"/>
                <w:sz w:val="15"/>
              </w:rPr>
              <w:t>Lifecycle advantage and cooperative-scale economics</w:t>
            </w:r>
          </w:p>
        </w:tc>
        <w:tc>
          <w:tcPr>
            <w:tcW w:w="1800" w:type="dxa"/>
            <w:tcMar>
              <w:top w:w="70" w:type="dxa"/>
              <w:left w:w="80" w:type="dxa"/>
              <w:bottom w:w="70" w:type="dxa"/>
              <w:right w:w="80" w:type="dxa"/>
            </w:tcMar>
            <w:vAlign w:val="center"/>
          </w:tcPr>
          <w:p w14:paraId="7B865C66" w14:textId="77777777" w:rsidR="00747D28" w:rsidRPr="00F23CCF" w:rsidRDefault="00000000">
            <w:pPr>
              <w:spacing w:after="0" w:line="240" w:lineRule="auto"/>
            </w:pPr>
            <w:r w:rsidRPr="00F23CCF">
              <w:rPr>
                <w:rFonts w:ascii="Arial" w:hAnsi="Arial"/>
                <w:sz w:val="15"/>
              </w:rPr>
              <w:t>Comparative LCA and techno-economic assessment</w:t>
            </w:r>
          </w:p>
        </w:tc>
        <w:tc>
          <w:tcPr>
            <w:tcW w:w="1440" w:type="dxa"/>
            <w:tcMar>
              <w:top w:w="70" w:type="dxa"/>
              <w:left w:w="80" w:type="dxa"/>
              <w:bottom w:w="70" w:type="dxa"/>
              <w:right w:w="80" w:type="dxa"/>
            </w:tcMar>
            <w:vAlign w:val="center"/>
          </w:tcPr>
          <w:p w14:paraId="6C93ABD0" w14:textId="77777777" w:rsidR="00747D28" w:rsidRPr="00F23CCF" w:rsidRDefault="00000000">
            <w:pPr>
              <w:spacing w:after="0" w:line="240" w:lineRule="auto"/>
            </w:pPr>
            <w:r w:rsidRPr="00F23CCF">
              <w:rPr>
                <w:rFonts w:ascii="Arial" w:hAnsi="Arial"/>
                <w:sz w:val="15"/>
              </w:rPr>
              <w:t>Bian et al., 2022; Wu et al., 2012</w:t>
            </w:r>
          </w:p>
        </w:tc>
      </w:tr>
      <w:tr w:rsidR="00F23CCF" w:rsidRPr="00F23CCF" w14:paraId="6AA30863" w14:textId="77777777">
        <w:trPr>
          <w:cantSplit/>
          <w:jc w:val="center"/>
        </w:trPr>
        <w:tc>
          <w:tcPr>
            <w:tcW w:w="1440" w:type="dxa"/>
            <w:tcMar>
              <w:top w:w="70" w:type="dxa"/>
              <w:left w:w="80" w:type="dxa"/>
              <w:bottom w:w="70" w:type="dxa"/>
              <w:right w:w="80" w:type="dxa"/>
            </w:tcMar>
            <w:vAlign w:val="center"/>
          </w:tcPr>
          <w:p w14:paraId="6238596A" w14:textId="77777777" w:rsidR="00747D28" w:rsidRPr="00F23CCF" w:rsidRDefault="00000000">
            <w:pPr>
              <w:spacing w:after="0" w:line="240" w:lineRule="auto"/>
            </w:pPr>
            <w:r w:rsidRPr="00F23CCF">
              <w:rPr>
                <w:rFonts w:ascii="Arial" w:hAnsi="Arial"/>
                <w:sz w:val="15"/>
              </w:rPr>
              <w:t>Does circular use improve the whole farm?</w:t>
            </w:r>
          </w:p>
        </w:tc>
        <w:tc>
          <w:tcPr>
            <w:tcW w:w="1800" w:type="dxa"/>
            <w:tcMar>
              <w:top w:w="70" w:type="dxa"/>
              <w:left w:w="80" w:type="dxa"/>
              <w:bottom w:w="70" w:type="dxa"/>
              <w:right w:w="80" w:type="dxa"/>
            </w:tcMar>
            <w:vAlign w:val="center"/>
          </w:tcPr>
          <w:p w14:paraId="26CB262E" w14:textId="77777777" w:rsidR="00747D28" w:rsidRPr="00F23CCF" w:rsidRDefault="00000000">
            <w:pPr>
              <w:spacing w:after="0" w:line="240" w:lineRule="auto"/>
            </w:pPr>
            <w:r w:rsidRPr="00F23CCF">
              <w:rPr>
                <w:rFonts w:ascii="Arial" w:hAnsi="Arial"/>
                <w:sz w:val="15"/>
              </w:rPr>
              <w:t>Track nutrient substitution, soil response, cocoon performance, costs and disease outcomes over time</w:t>
            </w:r>
          </w:p>
        </w:tc>
        <w:tc>
          <w:tcPr>
            <w:tcW w:w="1944" w:type="dxa"/>
            <w:tcMar>
              <w:top w:w="70" w:type="dxa"/>
              <w:left w:w="80" w:type="dxa"/>
              <w:bottom w:w="70" w:type="dxa"/>
              <w:right w:w="80" w:type="dxa"/>
            </w:tcMar>
            <w:vAlign w:val="center"/>
          </w:tcPr>
          <w:p w14:paraId="5A84710D" w14:textId="77777777" w:rsidR="00747D28" w:rsidRPr="00F23CCF" w:rsidRDefault="00000000">
            <w:pPr>
              <w:spacing w:after="0" w:line="240" w:lineRule="auto"/>
            </w:pPr>
            <w:r w:rsidRPr="00F23CCF">
              <w:rPr>
                <w:rFonts w:ascii="Arial" w:hAnsi="Arial"/>
                <w:sz w:val="15"/>
              </w:rPr>
              <w:t>Input displacement, yields, soil metrics, waste throughput, biosecurity events and economics</w:t>
            </w:r>
          </w:p>
        </w:tc>
        <w:tc>
          <w:tcPr>
            <w:tcW w:w="1655" w:type="dxa"/>
            <w:tcMar>
              <w:top w:w="70" w:type="dxa"/>
              <w:left w:w="80" w:type="dxa"/>
              <w:bottom w:w="70" w:type="dxa"/>
              <w:right w:w="80" w:type="dxa"/>
            </w:tcMar>
            <w:vAlign w:val="center"/>
          </w:tcPr>
          <w:p w14:paraId="25F1DE5C" w14:textId="77777777" w:rsidR="00747D28" w:rsidRPr="00F23CCF" w:rsidRDefault="00000000">
            <w:pPr>
              <w:spacing w:after="0" w:line="240" w:lineRule="auto"/>
            </w:pPr>
            <w:r w:rsidRPr="00F23CCF">
              <w:rPr>
                <w:rFonts w:ascii="Arial" w:hAnsi="Arial"/>
                <w:sz w:val="15"/>
              </w:rPr>
              <w:t>Multi-year system performance</w:t>
            </w:r>
          </w:p>
        </w:tc>
        <w:tc>
          <w:tcPr>
            <w:tcW w:w="1800" w:type="dxa"/>
            <w:tcMar>
              <w:top w:w="70" w:type="dxa"/>
              <w:left w:w="80" w:type="dxa"/>
              <w:bottom w:w="70" w:type="dxa"/>
              <w:right w:w="80" w:type="dxa"/>
            </w:tcMar>
            <w:vAlign w:val="center"/>
          </w:tcPr>
          <w:p w14:paraId="4AEC32B5" w14:textId="77777777" w:rsidR="00747D28" w:rsidRPr="00F23CCF" w:rsidRDefault="00000000">
            <w:pPr>
              <w:spacing w:after="0" w:line="240" w:lineRule="auto"/>
            </w:pPr>
            <w:r w:rsidRPr="00F23CCF">
              <w:rPr>
                <w:rFonts w:ascii="Arial" w:hAnsi="Arial"/>
                <w:sz w:val="15"/>
              </w:rPr>
              <w:t>Cluster-randomised or matched multi-farm longitudinal study</w:t>
            </w:r>
          </w:p>
        </w:tc>
        <w:tc>
          <w:tcPr>
            <w:tcW w:w="1440" w:type="dxa"/>
            <w:tcMar>
              <w:top w:w="70" w:type="dxa"/>
              <w:left w:w="80" w:type="dxa"/>
              <w:bottom w:w="70" w:type="dxa"/>
              <w:right w:w="80" w:type="dxa"/>
            </w:tcMar>
            <w:vAlign w:val="center"/>
          </w:tcPr>
          <w:p w14:paraId="626227F0" w14:textId="77777777" w:rsidR="00747D28" w:rsidRPr="00F23CCF" w:rsidRDefault="00000000">
            <w:pPr>
              <w:spacing w:after="0" w:line="240" w:lineRule="auto"/>
            </w:pPr>
            <w:r w:rsidRPr="00F23CCF">
              <w:rPr>
                <w:rFonts w:ascii="Arial" w:hAnsi="Arial"/>
                <w:sz w:val="15"/>
              </w:rPr>
              <w:t>Astudillo et al., 2014; Barcelos et al., 2020; Wu et al., 2025</w:t>
            </w:r>
          </w:p>
        </w:tc>
      </w:tr>
    </w:tbl>
    <w:p w14:paraId="0B85B4E1" w14:textId="77777777" w:rsidR="00747D28" w:rsidRPr="00F23CCF" w:rsidRDefault="00000000">
      <w:pPr>
        <w:pStyle w:val="TableNote"/>
        <w:rPr>
          <w:color w:val="auto"/>
        </w:rPr>
      </w:pPr>
      <w:r w:rsidRPr="00F23CCF">
        <w:rPr>
          <w:color w:val="auto"/>
        </w:rPr>
        <w:t>Note. LCA = life-cycle assessment. The framework prioritises safe resource recovery; secure disposal remains appropriate when recovery cannot be validated.</w:t>
      </w:r>
    </w:p>
    <w:p w14:paraId="2378D955" w14:textId="77777777" w:rsidR="00747D28" w:rsidRPr="00F23CCF" w:rsidRDefault="00000000">
      <w:pPr>
        <w:jc w:val="both"/>
      </w:pPr>
      <w:r w:rsidRPr="00F23CCF">
        <w:t>The framework also clarifies policy needs. Extension programmes should teach source classification and safe treatment before promoting product recipes. Compost standards should address feedstock history and relevant hygiene criteria, not only nutrient content. Cooperative infrastructure should be designed around separate collection and treatment lines where disease status differs. Research grants and pilot programmes should require mass balances and counterfactual comparisons so that “waste-to-wealth” claims can be evaluated quantitatively. These measures are more likely to produce durable improvement than introducing isolated technologies without a system of control.</w:t>
      </w:r>
    </w:p>
    <w:p w14:paraId="6E365131" w14:textId="77777777" w:rsidR="00747D28" w:rsidRPr="00F23CCF" w:rsidRDefault="00000000">
      <w:pPr>
        <w:pStyle w:val="Heading1"/>
        <w:rPr>
          <w:color w:val="auto"/>
        </w:rPr>
      </w:pPr>
      <w:r w:rsidRPr="00F23CCF">
        <w:rPr>
          <w:color w:val="auto"/>
        </w:rPr>
        <w:t>8. Evidence Quality, Transferability and Implementation Constraints</w:t>
      </w:r>
    </w:p>
    <w:p w14:paraId="34D5B14C" w14:textId="77777777" w:rsidR="00747D28" w:rsidRPr="00F23CCF" w:rsidRDefault="00000000">
      <w:pPr>
        <w:jc w:val="both"/>
      </w:pPr>
      <w:r w:rsidRPr="00F23CCF">
        <w:t xml:space="preserve">The evidence base is strongest for the technical feasibility of converting clean organic pre-cocoon residues into useful materials. Composting, controlled fermentation and vermicomposting have been demonstrated over several decades (Chen et al., 2011, 2016; Sharma et al., 1999). More recent molecular and chemical </w:t>
      </w:r>
      <w:r w:rsidRPr="00F23CCF">
        <w:lastRenderedPageBreak/>
        <w:t>studies provide mechanistic detail on microbial succession, cellulose degradation, humification and compost function (Li et al., 2019, 2020, 2023, 2025; Liu, He, et al., 2022; Liu et al., 2024). This convergence supports biological treatment as an established pathway in principle. Confidence is lower for standard operating conditions because experimental recipes and feedstock definitions vary.</w:t>
      </w:r>
    </w:p>
    <w:p w14:paraId="04FF8B0D" w14:textId="77777777" w:rsidR="00747D28" w:rsidRPr="00F23CCF" w:rsidRDefault="00000000">
      <w:pPr>
        <w:jc w:val="both"/>
      </w:pPr>
      <w:r w:rsidRPr="00F23CCF">
        <w:t>Evidence for environmental safety is more fragmented. Odour and nitrous oxide emissions have been measured in dedicated composting studies (Li et al., 2018; Yang et al., 2024), showing that the treatment process itself can create environmental burdens. Microbiological risk has been documented in soil-amendment research (Zhu et al., 2022), while disease-control guidance clearly identifies infected rearing material as hazardous to silkworm production (Central Silk Board, n.d.; Tamil Nadu Agricultural University, n.d.). What is missing is an integrated trial that starts with a defined sericulture waste stream, applies a realistic treatment, measures pathogen inactivation, greenhouse-gas and odour emissions, assesses compost maturity and contaminants, and then follows field performance over multiple crop or rearing cycles.</w:t>
      </w:r>
    </w:p>
    <w:p w14:paraId="5A862E6A" w14:textId="77777777" w:rsidR="00747D28" w:rsidRPr="00F23CCF" w:rsidRDefault="00000000">
      <w:pPr>
        <w:jc w:val="both"/>
      </w:pPr>
      <w:r w:rsidRPr="00F23CCF">
        <w:t>Geographical concentration limits generalisability. A substantial proportion of the detailed silkworm-excrement composting and remediation literature originates from China, while early compost work and much practical sericulture guidance come from India. Life-cycle studies from India, Brazil and China show that environmental hotspots vary with production context (Astudillo et al., 2014; Barcelos et al., 2020; Wu et al., 2025). Feedstock composition, climate, mulberry management, disease pressure, labour systems and waste-handling infrastructure also differ by region. Technologies that perform well in humid subtropical experimental settings may require different moisture control or logistics in dry or high-altitude sericulture zones.</w:t>
      </w:r>
    </w:p>
    <w:p w14:paraId="68AF774A" w14:textId="77777777" w:rsidR="00747D28" w:rsidRPr="00F23CCF" w:rsidRDefault="00000000">
      <w:pPr>
        <w:jc w:val="both"/>
      </w:pPr>
      <w:r w:rsidRPr="00F23CCF">
        <w:t>Scale is another limitation. Pot studies are useful for detecting phytotoxicity or amendment effects, but they cannot establish long-term nutrient accumulation, soil structural change, pathogen persistence or farm economics. Laboratory adsorption experiments can identify binding mechanisms but do not show whether biochar production and regeneration are economically viable. Field demonstrations, such as the diuron-remediation work of Liu et al. (2019), increase practical relevance but remain pollutant- and site-specific. The literature would benefit from more mesocosm and multi-farm studies that preserve real variability rather than standardising it away.</w:t>
      </w:r>
    </w:p>
    <w:p w14:paraId="2E804978" w14:textId="77777777" w:rsidR="00747D28" w:rsidRPr="00F23CCF" w:rsidRDefault="00000000">
      <w:pPr>
        <w:jc w:val="both"/>
      </w:pPr>
      <w:r w:rsidRPr="00F23CCF">
        <w:t>Terminology remains a methodological weakness. Studies may use “excrement”, “litter”, “manure”, “sericulture waste” and “bed refuse” with limited compositional description. This makes evidence synthesis vulnerable to false equivalence. Future studies should report the fraction of faeces, leaf residue, woody material, bedding or other components where feasible, and should state whether the source batch was clinically healthy, diseased, disinfectant-exposed or produced on contaminated soil. Moisture and dry-matter basis should be specified for any quantitative generation or composition data.</w:t>
      </w:r>
    </w:p>
    <w:p w14:paraId="0A8F568A" w14:textId="77777777" w:rsidR="00747D28" w:rsidRPr="00F23CCF" w:rsidRDefault="00000000">
      <w:pPr>
        <w:jc w:val="both"/>
      </w:pPr>
      <w:r w:rsidRPr="00F23CCF">
        <w:t>The economics of treatment are also underdeveloped. Technical studies rarely include capital cost, labour, testing, rejected batches, transport and product-market sensitivity. A composting process that works experimentally may be unattractive if turning frequency or monitoring is labour-intensive. Conversely, a low-cost process may be acceptable even with a modest product value if it reduces odour, disease risk and fertiliser purchases. Economic evaluation should therefore use farm and cooperative decision metrics rather than only the theoretical market price of recovered products.</w:t>
      </w:r>
    </w:p>
    <w:p w14:paraId="37F7ACB9" w14:textId="77777777" w:rsidR="00747D28" w:rsidRPr="00F23CCF" w:rsidRDefault="00000000">
      <w:pPr>
        <w:jc w:val="both"/>
      </w:pPr>
      <w:r w:rsidRPr="00F23CCF">
        <w:t xml:space="preserve">Policy transferability requires caution. Disease-waste destruction practices, compost standards, biochar quality standards, pesticide-container rules and feed regulations differ across jurisdictions. This review therefore does not prescribe a universal disposal technology or contaminant threshold. The evidence supports a process principle—segregate, sanitise where necessary, test according to intended use and comply with local requirements—rather than a single numerical standard. Where official guidance recommends </w:t>
      </w:r>
      <w:r w:rsidRPr="00F23CCF">
        <w:lastRenderedPageBreak/>
        <w:t>destruction of infected material, circular-use proposals should not override that guidance without validated alternative treatment.</w:t>
      </w:r>
    </w:p>
    <w:p w14:paraId="33A9FEB6" w14:textId="77777777" w:rsidR="00747D28" w:rsidRPr="00F23CCF" w:rsidRDefault="00000000">
      <w:pPr>
        <w:jc w:val="both"/>
      </w:pPr>
      <w:r w:rsidRPr="00F23CCF">
        <w:t>Existing broad reviews have increased awareness of the many possible uses of sericulture by-products, but their whole-chain scope can make it difficult to distinguish mature pre-cocoon management from post-cocoon product development (Kaushik et al., 2025; Meena et al., 2026). The present synthesis therefore places greater weight on source identity, hazard status and evidence maturity. Its central finding is deliberately less promotional: the technical option set is already large, but the quality of waste-generation data, safety validation, field-scale comparison and implementation economics is not yet sufficient to support universal closed-loop claims.</w:t>
      </w:r>
    </w:p>
    <w:p w14:paraId="1B9D6D3A" w14:textId="77777777" w:rsidR="00747D28" w:rsidRPr="00F23CCF" w:rsidRDefault="00000000">
      <w:pPr>
        <w:pStyle w:val="Heading1"/>
        <w:rPr>
          <w:color w:val="auto"/>
        </w:rPr>
      </w:pPr>
      <w:r w:rsidRPr="00F23CCF">
        <w:rPr>
          <w:color w:val="auto"/>
        </w:rPr>
        <w:t>9. Future Directions</w:t>
      </w:r>
    </w:p>
    <w:p w14:paraId="01740D23" w14:textId="77777777" w:rsidR="00747D28" w:rsidRPr="00F23CCF" w:rsidRDefault="00000000">
      <w:pPr>
        <w:jc w:val="both"/>
      </w:pPr>
      <w:r w:rsidRPr="00F23CCF">
        <w:t>The immediate research priority is a harmonised material-flow inventory for pre-cocoon sericulture. Multi-site studies should measure mulberry pruning residues, clean rejected foliage, routine bed waste, separated excrement where relevant, disease-associated material and auxiliary waste using common definitions and dry-matter conversion. Results should be normalised to both mulberry area and cocoon output so agronomic and production efficiencies can be compared. Seasonal replication is essential because leaf yield, rearing frequency and disease incidence are not constant. Without this basic inventory, treatment capacity, transport systems and environmental gains cannot be designed quantitatively.</w:t>
      </w:r>
    </w:p>
    <w:p w14:paraId="5C289AA1" w14:textId="77777777" w:rsidR="00747D28" w:rsidRPr="00F23CCF" w:rsidRDefault="00000000">
      <w:pPr>
        <w:jc w:val="both"/>
      </w:pPr>
      <w:r w:rsidRPr="00F23CCF">
        <w:t>A second priority is to validate treatment against biosecurity endpoints. Composting trials should use defined pathogen surrogates or, where ethically and practically appropriate, representative silkworm pathogens under containment to determine whether time-temperature and moisture profiles achieve reliable inactivation throughout the pile. Sampling should include cold spots and post-treatment recontamination risk. The outcome should be a process standard linking feedstock risk class to validated sanitisation conditions, rather than assuming that any thermophilic phase is sufficient. This work has direct implementation value because it would determine whether disease-associated residues can ever re-enter agricultural use safely.</w:t>
      </w:r>
    </w:p>
    <w:p w14:paraId="1CC1050F" w14:textId="77777777" w:rsidR="00747D28" w:rsidRPr="00F23CCF" w:rsidRDefault="00000000">
      <w:pPr>
        <w:jc w:val="both"/>
      </w:pPr>
      <w:r w:rsidRPr="00F23CCF">
        <w:t>Composting studies should also broaden their performance metrics. Trials comparing inoculants, bulking materials or additives should measure mass loss, nitrogen retention, methane and nitrous oxide, ammonia and odour, maturity, pathogen indicators, relevant contaminants and agronomic performance. Yang et al. (2024) demonstrate why this is necessary: an intervention that accelerates decomposition can increase nitrous oxide emissions. Future experiments should therefore optimise multiple outcomes and report trade-offs explicitly. Factorial or response-surface designs can identify combinations of moisture, aeration, carbon-rich residue and inoculation that minimise losses rather than maximising a single biochemical response.</w:t>
      </w:r>
    </w:p>
    <w:p w14:paraId="33EBC4FA" w14:textId="77777777" w:rsidR="00747D28" w:rsidRPr="00F23CCF" w:rsidRDefault="00000000">
      <w:pPr>
        <w:jc w:val="both"/>
      </w:pPr>
      <w:r w:rsidRPr="00F23CCF">
        <w:t>Long-term field trials are needed for compost and other soil amendments. Most current evidence is short-term, pot-based or focused on contaminated soils. Multi-year mulberry trials should compare source-controlled silkworm-excrement compost with conventional nutrient management under equivalent crop-nutrient targets. Outcomes should include leaf yield and quality, soil organic carbon, nutrient budgets, mineral-fertiliser displacement, trace contaminants, microbial indicators, disease incidence in subsequent silkworm rearing and economic return. Such trials would directly test whether nutrient recirculation improves whole-farm performance rather than only plant growth in a pot.</w:t>
      </w:r>
    </w:p>
    <w:p w14:paraId="76F06AF5" w14:textId="77777777" w:rsidR="00747D28" w:rsidRPr="00F23CCF" w:rsidRDefault="00000000">
      <w:pPr>
        <w:jc w:val="both"/>
      </w:pPr>
      <w:r w:rsidRPr="00F23CCF">
        <w:t xml:space="preserve">Microbiological safety deserves a broader framework than pathogen presence alone. Metagenomic and culture-based studies should distinguish beneficial functional groups from human or animal pathogens, opportunistic organisms, virulence determinants and antibiotic-resistance genes. Zhu et al. (2022) shows that resistance and virulence profiles can be relevant in manure-amended soils, while Li et al. (2019, 2020) and Shen et al. (2024) demonstrate potentially beneficial microbial functions. Future work should test how </w:t>
      </w:r>
      <w:r w:rsidRPr="00F23CCF">
        <w:lastRenderedPageBreak/>
        <w:t>composting conditions shift these groups together and whether maturation reliably reduces unwanted genes or taxa. The appropriate endpoint is a product-level safety profile, not the presence of one desirable isolate.</w:t>
      </w:r>
    </w:p>
    <w:p w14:paraId="0044256E" w14:textId="77777777" w:rsidR="00747D28" w:rsidRPr="00F23CCF" w:rsidRDefault="00000000">
      <w:pPr>
        <w:jc w:val="both"/>
      </w:pPr>
      <w:r w:rsidRPr="00F23CCF">
        <w:t>Chemical-contaminant research should focus on exposure pathways that are plausible in real sericulture. The cadmium work of Jiang et al. (2025) demonstrates that soil contamination can propagate into silkworm excrement, making downstream management part of a wider agro-environmental cycle. Comparable studies are needed for other locally relevant metals and persistent agrochemicals. Research should quantify transfer from soil to mulberry, from leaf to silkworm and excrement, and from treated residue back to soil. Treatment studies should report total contaminant mass as well as changes in bioavailability so immobilisation is not misrepresented as removal.</w:t>
      </w:r>
    </w:p>
    <w:p w14:paraId="515C9A24" w14:textId="77777777" w:rsidR="00747D28" w:rsidRPr="00F23CCF" w:rsidRDefault="00000000">
      <w:pPr>
        <w:jc w:val="both"/>
      </w:pPr>
      <w:r w:rsidRPr="00F23CCF">
        <w:t>Thermochemical conversion requires comparative lifecycle and techno-economic evaluation. Studies should compare co-composting, direct controlled application, pyrolysis and, where relevant, secure disposal using the same feedstock and system boundary. For biochar, outcomes should include process energy, emissions, carbon stability, contaminant concentration, product value and end-of-life considerations. Woody mulberry residues and silkworm excrement should be evaluated separately because their moisture, ash and contamination profiles differ. Smallholder-scale devices should be assessed under real operating conditions rather than assuming industrial reactor performance.</w:t>
      </w:r>
    </w:p>
    <w:p w14:paraId="68924539" w14:textId="77777777" w:rsidR="00747D28" w:rsidRPr="00F23CCF" w:rsidRDefault="00000000">
      <w:pPr>
        <w:jc w:val="both"/>
      </w:pPr>
      <w:r w:rsidRPr="00F23CCF">
        <w:t>The feed pathway for clean surplus mulberry foliage should be evaluated as a waste-prevention strategy within integrated farms. The animal-nutrition literature already establishes potential feed value (Cai et al., 2019; Geng et al., 2024; Medhi et al., 2016; Mwai et al., 2021). What is missing is an operational study that connects sericulture leaf-surplus patterns to safe diversion, storage, drying, livestock substitution and economics without compromising silkworm feed security. This would clarify when prevention is more efficient than composting.</w:t>
      </w:r>
    </w:p>
    <w:p w14:paraId="4E768462" w14:textId="77777777" w:rsidR="00747D28" w:rsidRPr="00F23CCF" w:rsidRDefault="00000000">
      <w:pPr>
        <w:jc w:val="both"/>
      </w:pPr>
      <w:r w:rsidRPr="00F23CCF">
        <w:t>Implementation research should compare individual-farm, village-cluster and cooperative treatment models. Such studies should include contamination-control performance, collection distance, seasonal throughput, labour, equipment utilisation, product marketing and the consequences of disease outbreaks. A cluster system may improve process control but also creates a shared biosecurity network; that trade-off should be measured. Participatory designs involving farmers, extension staff and waste processors could reveal why technically effective systems are adopted or abandoned.</w:t>
      </w:r>
    </w:p>
    <w:p w14:paraId="33C173ED" w14:textId="77777777" w:rsidR="00747D28" w:rsidRPr="00F23CCF" w:rsidRDefault="00000000">
      <w:pPr>
        <w:jc w:val="both"/>
      </w:pPr>
      <w:r w:rsidRPr="00F23CCF">
        <w:t>Finally, the field needs agreed reporting standards. Every intervention study should describe feedstock origin, system stage, health status, composition, moisture basis, treatment conditions, mass balance, analytical methods and final-use context. Generation studies should state the denominator and sampling period. Advanced valorisation papers should report whether the material was representative of real farm waste or laboratory-prepared. These reporting practices would greatly improve comparability without requiring a new technology. They are an immediate, low-cost priority that journal reviewers, research programmes and sericulture institutions can implement.</w:t>
      </w:r>
    </w:p>
    <w:p w14:paraId="1F891A26" w14:textId="77777777" w:rsidR="00747D28" w:rsidRPr="00F23CCF" w:rsidRDefault="00000000">
      <w:pPr>
        <w:pStyle w:val="Heading1"/>
        <w:rPr>
          <w:color w:val="auto"/>
        </w:rPr>
      </w:pPr>
      <w:r w:rsidRPr="00F23CCF">
        <w:rPr>
          <w:color w:val="auto"/>
        </w:rPr>
        <w:t>10. Conclusions</w:t>
      </w:r>
    </w:p>
    <w:p w14:paraId="69BCEF7B" w14:textId="77777777" w:rsidR="00747D28" w:rsidRPr="00F23CCF" w:rsidRDefault="00000000">
      <w:pPr>
        <w:jc w:val="both"/>
      </w:pPr>
      <w:r w:rsidRPr="00F23CCF">
        <w:t>Waste management in pre-cocoon sericulture is best understood as a source-control and biosecurity problem followed by a resource-recovery problem. The major material streams arise from mulberry pruning and leaf management, routine silkworm rearing, disease-related losses, cocooning operations and auxiliary inputs. Their physical similarity does not imply equivalent risk. Clean plant biomass, routine rearing organics and disease-associated residues require different decisions, and the literature is often weakened by terminology that does not make these distinctions explicit.</w:t>
      </w:r>
    </w:p>
    <w:p w14:paraId="103C2D0F" w14:textId="77777777" w:rsidR="00747D28" w:rsidRPr="00F23CCF" w:rsidRDefault="00000000">
      <w:pPr>
        <w:jc w:val="both"/>
      </w:pPr>
      <w:r w:rsidRPr="00F23CCF">
        <w:lastRenderedPageBreak/>
        <w:t>The most defensible current recovery pathway is controlled biological stabilisation of source-separated organic residues. Composting and vermicomposting are supported by direct experimental evidence, and modern microbiological studies explain many of the processes that drive lignocellulose degradation and humification. Yet composting is not environmentally neutral. Odour, nitrogen loss, greenhouse-gas emissions, variable maturity and microbiological safety must be managed as process outcomes. Microbial inoculants and additives can improve selected characteristics but can also create trade-offs, so their value should be judged by integrated performance rather than by degradation rate alone.</w:t>
      </w:r>
    </w:p>
    <w:p w14:paraId="6F995716" w14:textId="77777777" w:rsidR="00747D28" w:rsidRPr="00F23CCF" w:rsidRDefault="00000000">
      <w:pPr>
        <w:jc w:val="both"/>
      </w:pPr>
      <w:r w:rsidRPr="00F23CCF">
        <w:t>Agronomic application of treated silkworm excrement and use of residue-derived materials in soil remediation are promising but conditional. Contaminant source, treatment history and intended use determine safety. Evidence that silkworm excrement can support plant growth or bind contaminants does not justify untreated universal land application, particularly because microbiological hazards and contaminant carry-over have been demonstrated in relevant contexts. Thermochemical conversion and engineered biochar applications can provide controlled routes for selected feedstocks, including contaminated material, but their farm-level sustainability remains less established than their laboratory functionality.</w:t>
      </w:r>
    </w:p>
    <w:p w14:paraId="68AEE17F" w14:textId="77777777" w:rsidR="00747D28" w:rsidRPr="00F23CCF" w:rsidRDefault="00000000">
      <w:pPr>
        <w:jc w:val="both"/>
      </w:pPr>
      <w:r w:rsidRPr="00F23CCF">
        <w:t>The largest research deficit is quantitative system evidence. Standardised generation factors, source-specific mass balances, validated pathogen-inactivation criteria, contaminant specifications, long-term field trials, greenhouse-gas accounting and comparative economics are scarce. Consequently, the field is better supplied with valorisation concepts than with evidence for choosing among them. A risk-tiered hierarchy—prevention, segregation, verified biological recycling, controlled advanced treatment and secure disposal when necessary—provides the most defensible basis for practice. The goal should not be to force every residue into a product, but to recover clean resources while preventing pathogens, chemicals and contaminants from circulating back into mulberry fields and rearing houses.</w:t>
      </w:r>
    </w:p>
    <w:p w14:paraId="180DC4BE" w14:textId="77777777" w:rsidR="00747D28" w:rsidRPr="00F23CCF" w:rsidRDefault="00000000">
      <w:pPr>
        <w:pStyle w:val="Heading1"/>
        <w:rPr>
          <w:color w:val="auto"/>
        </w:rPr>
      </w:pPr>
      <w:r w:rsidRPr="00F23CCF">
        <w:rPr>
          <w:color w:val="auto"/>
        </w:rPr>
        <w:t>11. Limitations</w:t>
      </w:r>
    </w:p>
    <w:p w14:paraId="63416D4F" w14:textId="77777777" w:rsidR="00747D28" w:rsidRDefault="00000000">
      <w:pPr>
        <w:jc w:val="both"/>
      </w:pPr>
      <w:r w:rsidRPr="00F23CCF">
        <w:t>As a critical narrative review, this synthesis is intrinsically vulnerable to selection and interpretive bias despite a transparent search strategy and explicit appraisal criteria. The literature spans heterogeneous experimental designs, feedstock definitions, treatment conditions and outcomes, preventing quantitative pooling and limiting direct comparison among studies. Access was concentrated on open or otherwise accessible scholarly records, and relevant evidence in subscription-only databases, local-language journals or unindexed technical literature may therefore have been missed. Geographic representation is uneven, with detailed composting and remediation evidence concentrated especially in China and practical sericulture guidance and early composting evidence strongly represented by India. Several important management questions are supported mainly by laboratory, pot or short-duration field studies rather than long-term multi-farm evidence. Terminological inconsistency around silkworm excrement, litter and bed refuse further constrains source-to-source comparison. The review consequently emphasises evidence-calibrated principles and avoids universal generation rates, treatment thresholds or economic claims that the available literature cannot support reliably.</w:t>
      </w:r>
    </w:p>
    <w:p w14:paraId="600B6A0E" w14:textId="77777777" w:rsidR="00964A2D" w:rsidRDefault="00964A2D">
      <w:pPr>
        <w:jc w:val="both"/>
      </w:pPr>
    </w:p>
    <w:p w14:paraId="30F08CAE" w14:textId="77777777" w:rsidR="00964A2D" w:rsidRPr="00964A2D" w:rsidRDefault="00964A2D" w:rsidP="00964A2D">
      <w:pPr>
        <w:spacing w:after="0" w:line="240" w:lineRule="auto"/>
        <w:rPr>
          <w:rFonts w:ascii="Arial" w:eastAsia="Calibri" w:hAnsi="Arial" w:cs="Arial"/>
          <w:b/>
          <w:sz w:val="20"/>
          <w:szCs w:val="20"/>
        </w:rPr>
      </w:pPr>
      <w:r w:rsidRPr="00964A2D">
        <w:rPr>
          <w:rFonts w:ascii="Arial" w:eastAsia="Calibri" w:hAnsi="Arial" w:cs="Arial"/>
          <w:b/>
          <w:sz w:val="20"/>
          <w:szCs w:val="20"/>
        </w:rPr>
        <w:t>Declaration of AI Use</w:t>
      </w:r>
    </w:p>
    <w:p w14:paraId="1751B0C7" w14:textId="77777777" w:rsidR="00964A2D" w:rsidRPr="00964A2D" w:rsidRDefault="00964A2D" w:rsidP="00964A2D">
      <w:pPr>
        <w:spacing w:after="0" w:line="240" w:lineRule="auto"/>
        <w:rPr>
          <w:rFonts w:ascii="Arial" w:eastAsia="Calibri" w:hAnsi="Arial" w:cs="Arial"/>
          <w:sz w:val="20"/>
          <w:szCs w:val="20"/>
        </w:rPr>
      </w:pPr>
    </w:p>
    <w:p w14:paraId="33F7734C" w14:textId="77777777" w:rsidR="00964A2D" w:rsidRPr="00964A2D" w:rsidRDefault="00964A2D" w:rsidP="00964A2D">
      <w:pPr>
        <w:spacing w:after="0" w:line="240" w:lineRule="auto"/>
        <w:rPr>
          <w:rFonts w:ascii="Arial" w:eastAsia="Calibri" w:hAnsi="Arial" w:cs="Arial"/>
          <w:sz w:val="20"/>
          <w:szCs w:val="20"/>
        </w:rPr>
      </w:pPr>
      <w:r w:rsidRPr="00964A2D">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70EFC82" w14:textId="77777777" w:rsidR="00964A2D" w:rsidRPr="00964A2D" w:rsidRDefault="00964A2D" w:rsidP="00964A2D">
      <w:pPr>
        <w:spacing w:after="0" w:line="240" w:lineRule="auto"/>
        <w:jc w:val="both"/>
        <w:rPr>
          <w:rFonts w:eastAsia="Calibri" w:cs="Times New Roman"/>
          <w:sz w:val="22"/>
        </w:rPr>
      </w:pPr>
    </w:p>
    <w:p w14:paraId="54F9CF28" w14:textId="77777777" w:rsidR="00964A2D" w:rsidRPr="00964A2D" w:rsidRDefault="00964A2D" w:rsidP="00964A2D">
      <w:pPr>
        <w:spacing w:after="0" w:line="240" w:lineRule="auto"/>
        <w:jc w:val="both"/>
        <w:rPr>
          <w:rFonts w:eastAsia="Calibri" w:cs="Times New Roman"/>
          <w:sz w:val="22"/>
        </w:rPr>
      </w:pPr>
    </w:p>
    <w:p w14:paraId="0E8D19C3" w14:textId="77777777" w:rsidR="00964A2D" w:rsidRPr="00964A2D" w:rsidRDefault="00964A2D" w:rsidP="00964A2D">
      <w:pPr>
        <w:spacing w:after="200" w:line="276" w:lineRule="auto"/>
        <w:rPr>
          <w:rFonts w:ascii="Cambria" w:eastAsia="Times New Roman" w:hAnsi="Cambria" w:cs="Arial"/>
          <w:b/>
          <w:bCs/>
          <w:sz w:val="22"/>
          <w:lang w:val="en-GB" w:eastAsia="en-GB"/>
        </w:rPr>
      </w:pPr>
      <w:r w:rsidRPr="00964A2D">
        <w:rPr>
          <w:rFonts w:ascii="Cambria" w:eastAsia="Times New Roman" w:hAnsi="Cambria" w:cs="Arial"/>
          <w:b/>
          <w:bCs/>
          <w:sz w:val="22"/>
          <w:lang w:val="en-GB" w:eastAsia="en-GB"/>
        </w:rPr>
        <w:t>COMPETING INTERESTS DISCLAIMER:</w:t>
      </w:r>
    </w:p>
    <w:p w14:paraId="5621F45A" w14:textId="77777777" w:rsidR="00964A2D" w:rsidRPr="00964A2D" w:rsidRDefault="00964A2D" w:rsidP="00964A2D">
      <w:pPr>
        <w:spacing w:after="200" w:line="276" w:lineRule="auto"/>
        <w:rPr>
          <w:rFonts w:ascii="Cambria" w:eastAsia="Times New Roman" w:hAnsi="Cambria" w:cs="Times New Roman"/>
          <w:sz w:val="22"/>
          <w:lang w:val="en-GB" w:eastAsia="en-GB"/>
        </w:rPr>
      </w:pPr>
      <w:r w:rsidRPr="00964A2D">
        <w:rPr>
          <w:rFonts w:ascii="Cambria" w:eastAsia="Times New Roman"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6FA80878" w14:textId="77777777" w:rsidR="00964A2D" w:rsidRPr="00F23CCF" w:rsidRDefault="00964A2D">
      <w:pPr>
        <w:jc w:val="both"/>
      </w:pPr>
    </w:p>
    <w:p w14:paraId="1C59D364" w14:textId="77777777" w:rsidR="00747D28" w:rsidRDefault="00000000">
      <w:pPr>
        <w:pStyle w:val="Heading1"/>
        <w:rPr>
          <w:color w:val="auto"/>
        </w:rPr>
      </w:pPr>
      <w:r w:rsidRPr="00F23CCF">
        <w:rPr>
          <w:color w:val="auto"/>
        </w:rPr>
        <w:t>References</w:t>
      </w:r>
    </w:p>
    <w:p w14:paraId="360DFF7D" w14:textId="77777777" w:rsidR="002B51AB" w:rsidRDefault="002B51AB" w:rsidP="002B51AB">
      <w:pPr>
        <w:pStyle w:val="NormalWeb"/>
      </w:pPr>
      <w:r>
        <w:t xml:space="preserve">Altman, G. H., &amp; Farrell, B. D. (2022). Sericulture as a sustainable agroindustry. Cleaner and Circular Bioeconomy, 2, Article 100011. </w:t>
      </w:r>
      <w:hyperlink r:id="rId8" w:history="1">
        <w:r>
          <w:rPr>
            <w:rStyle w:val="Hyperlink"/>
          </w:rPr>
          <w:t>https://doi.org/10.1016/j.clcb.2022.100011</w:t>
        </w:r>
      </w:hyperlink>
    </w:p>
    <w:p w14:paraId="520F25F7" w14:textId="77777777" w:rsidR="002B51AB" w:rsidRDefault="002B51AB" w:rsidP="002B51AB">
      <w:pPr>
        <w:pStyle w:val="NormalWeb"/>
      </w:pPr>
      <w:r>
        <w:t xml:space="preserve">Astudillo, M. F., Thalwitz, G., &amp; Vollrath, F. (2014). Life cycle assessment of Indian silk. Journal of Cleaner Production, 81, 158–167. </w:t>
      </w:r>
      <w:hyperlink r:id="rId9" w:history="1">
        <w:r>
          <w:rPr>
            <w:rStyle w:val="Hyperlink"/>
          </w:rPr>
          <w:t>https://doi.org/10.1016/j.jclepro.2014.06.007</w:t>
        </w:r>
      </w:hyperlink>
    </w:p>
    <w:p w14:paraId="2A30607B" w14:textId="77777777" w:rsidR="002B51AB" w:rsidRDefault="002B51AB" w:rsidP="002B51AB">
      <w:pPr>
        <w:pStyle w:val="NormalWeb"/>
      </w:pPr>
      <w:proofErr w:type="spellStart"/>
      <w:r>
        <w:t>Baethge</w:t>
      </w:r>
      <w:proofErr w:type="spellEnd"/>
      <w:r>
        <w:t xml:space="preserve">, C., Goldbeck-Wood, S., &amp; Mertens, S. (2019). SANRA—A scale for the quality assessment of narrative review articles. Research Integrity and Peer Review, 4, Article 5. </w:t>
      </w:r>
      <w:hyperlink r:id="rId10" w:history="1">
        <w:r>
          <w:rPr>
            <w:rStyle w:val="Hyperlink"/>
          </w:rPr>
          <w:t>https://doi.org/10.1186/s41073-019-0064-8</w:t>
        </w:r>
      </w:hyperlink>
    </w:p>
    <w:p w14:paraId="1CF209CE" w14:textId="77777777" w:rsidR="002B51AB" w:rsidRDefault="002B51AB" w:rsidP="002B51AB">
      <w:pPr>
        <w:pStyle w:val="NormalWeb"/>
      </w:pPr>
      <w:r>
        <w:t xml:space="preserve">Barcelos, S. M. B. D., Salvador, R., Guedes, M. d. G., &amp; de Francisco, A. C. (2020). Opportunities for improving the environmental profile of silk cocoon production under Brazilian conditions. Sustainability, 12(8), Article 3214. </w:t>
      </w:r>
      <w:hyperlink r:id="rId11" w:history="1">
        <w:r>
          <w:rPr>
            <w:rStyle w:val="Hyperlink"/>
          </w:rPr>
          <w:t>https://doi.org/10.3390/su12083214</w:t>
        </w:r>
      </w:hyperlink>
    </w:p>
    <w:p w14:paraId="0C6EE361" w14:textId="77777777" w:rsidR="002B51AB" w:rsidRDefault="002B51AB" w:rsidP="002B51AB">
      <w:pPr>
        <w:pStyle w:val="NormalWeb"/>
      </w:pPr>
      <w:r>
        <w:t xml:space="preserve">Bian, P., Liu, Y., Zheng, X., &amp; Shen, W. (2022). Removal and mechanism of cadmium, lead and copper in water by functional modification of silkworm excrement biochar. Polymers, 14(14), Article 2889. </w:t>
      </w:r>
      <w:hyperlink r:id="rId12" w:history="1">
        <w:r>
          <w:rPr>
            <w:rStyle w:val="Hyperlink"/>
          </w:rPr>
          <w:t>https://doi.org/10.3390/polym14142889</w:t>
        </w:r>
      </w:hyperlink>
    </w:p>
    <w:p w14:paraId="1515B4EA" w14:textId="77777777" w:rsidR="002B51AB" w:rsidRDefault="002B51AB" w:rsidP="002B51AB">
      <w:pPr>
        <w:pStyle w:val="NormalWeb"/>
      </w:pPr>
      <w:r>
        <w:t xml:space="preserve">Cai, M., Mu, L., Wang, Z.-L., Liu, J.-Y., Liu, T.-L., </w:t>
      </w:r>
      <w:proofErr w:type="spellStart"/>
      <w:r>
        <w:t>Wanapat</w:t>
      </w:r>
      <w:proofErr w:type="spellEnd"/>
      <w:r>
        <w:t xml:space="preserve">, M., &amp; Huang, B.-Z. (2019). Assessment of mulberry leaf as a potential feed supplement for animal feeding in P.R. China. Asian-Australasian Journal of Animal Sciences, 32(8), 1145–1152. </w:t>
      </w:r>
      <w:hyperlink r:id="rId13" w:history="1">
        <w:r>
          <w:rPr>
            <w:rStyle w:val="Hyperlink"/>
          </w:rPr>
          <w:t>https://doi.org/10.5713/ajas.18.0671</w:t>
        </w:r>
      </w:hyperlink>
    </w:p>
    <w:p w14:paraId="7CCA4314" w14:textId="77777777" w:rsidR="002B51AB" w:rsidRDefault="002B51AB" w:rsidP="002B51AB">
      <w:pPr>
        <w:pStyle w:val="NormalWeb"/>
      </w:pPr>
      <w:r>
        <w:t xml:space="preserve">Central Silk Board. (n.d.). Diseases and pests of silkworms. Ministry of Textiles, Government of India. </w:t>
      </w:r>
      <w:hyperlink r:id="rId14" w:history="1">
        <w:r>
          <w:rPr>
            <w:rStyle w:val="Hyperlink"/>
          </w:rPr>
          <w:t>https://silks.csb.gov.in/reasi/diseases-and-pests-of-silkworms/</w:t>
        </w:r>
      </w:hyperlink>
    </w:p>
    <w:p w14:paraId="767C60CE" w14:textId="77777777" w:rsidR="002B51AB" w:rsidRDefault="002B51AB" w:rsidP="002B51AB">
      <w:pPr>
        <w:pStyle w:val="NormalWeb"/>
      </w:pPr>
      <w:r>
        <w:t xml:space="preserve">Chen, F., Shi, C., Zhong, Y., Li, W., Wang, Y., &amp; Lin, J. (2016). Impacts of various materials on composting of silkworm excrement. Journal of South China Agricultural University, 37(3), 1–8. </w:t>
      </w:r>
      <w:hyperlink r:id="rId15" w:history="1">
        <w:r>
          <w:rPr>
            <w:rStyle w:val="Hyperlink"/>
          </w:rPr>
          <w:t>https://doi.org/10.7671/j.issn.1001-411X.2016.03.001</w:t>
        </w:r>
      </w:hyperlink>
    </w:p>
    <w:p w14:paraId="1C9AB97F" w14:textId="77777777" w:rsidR="002B51AB" w:rsidRDefault="002B51AB" w:rsidP="002B51AB">
      <w:pPr>
        <w:pStyle w:val="NormalWeb"/>
      </w:pPr>
      <w:r>
        <w:t xml:space="preserve">Chen, X.-P., Xie, Y.-J., Luo, G.-E., &amp; Shi, W.-Y. (2011). Silkworm excrement organic fertilizer: Its nutrient properties and application effect. Chinese Journal of Applied Ecology, 22(7), 1803–1809. </w:t>
      </w:r>
      <w:hyperlink r:id="rId16" w:history="1">
        <w:r>
          <w:rPr>
            <w:rStyle w:val="Hyperlink"/>
          </w:rPr>
          <w:t>https://www.cjae.net/EN/Y2011/V22/I07/1803</w:t>
        </w:r>
      </w:hyperlink>
    </w:p>
    <w:p w14:paraId="76CAFDF2" w14:textId="77777777" w:rsidR="002B51AB" w:rsidRDefault="002B51AB" w:rsidP="002B51AB">
      <w:pPr>
        <w:pStyle w:val="NormalWeb"/>
      </w:pPr>
      <w:r>
        <w:t xml:space="preserve">Chen, Y.-H., Du, H., Liu, Y.-X., Xu, K., Ye, J.-C., Liu, B.-L., Feng, N.-X., Xiang, L., Li, Y.-W., Cai, Q.-Y., Mo, C.-H., &amp; Zhao, H.-M. (2026). Silkworm excrement–immobilized bacteria for synergistic remediation of phthalate esters in agricultural soil. Journal of Hazardous Materials, 507, Article 141703. </w:t>
      </w:r>
      <w:hyperlink r:id="rId17" w:history="1">
        <w:r>
          <w:rPr>
            <w:rStyle w:val="Hyperlink"/>
          </w:rPr>
          <w:t>https://doi.org/10.1016/j.jhazmat.2026.141703</w:t>
        </w:r>
      </w:hyperlink>
    </w:p>
    <w:p w14:paraId="647D31AF" w14:textId="77777777" w:rsidR="002B51AB" w:rsidRDefault="002B51AB" w:rsidP="002B51AB">
      <w:pPr>
        <w:pStyle w:val="NormalWeb"/>
      </w:pPr>
      <w:r>
        <w:lastRenderedPageBreak/>
        <w:t xml:space="preserve">Geng, B., Gao, J., Cheng, H., Guo, G., &amp; Wang, Z. (2024). Effects of dietary mulberry leaves on growth, production performance, gut microbiota, and immunological parameters in poultry and livestock: A systematic review and meta-analysis. Animal Bioscience, 37(6), 1065–1076. </w:t>
      </w:r>
      <w:hyperlink r:id="rId18" w:history="1">
        <w:r>
          <w:rPr>
            <w:rStyle w:val="Hyperlink"/>
          </w:rPr>
          <w:t>https://doi.org/10.5713/ab.23.0449</w:t>
        </w:r>
      </w:hyperlink>
    </w:p>
    <w:p w14:paraId="31E801AF" w14:textId="77777777" w:rsidR="002B51AB" w:rsidRDefault="002B51AB" w:rsidP="002B51AB">
      <w:pPr>
        <w:pStyle w:val="NormalWeb"/>
      </w:pPr>
      <w:r>
        <w:t xml:space="preserve">Jiang, Y., Yang, X., Jiang, S., Cao, H., Wang, M., &amp; Li, Z. (2025). Influence of biochar derived from Cd polluted silkworm excrement on the </w:t>
      </w:r>
      <w:proofErr w:type="spellStart"/>
      <w:r>
        <w:t>phytoavailability</w:t>
      </w:r>
      <w:proofErr w:type="spellEnd"/>
      <w:r>
        <w:t xml:space="preserve"> of Cd in a paddy soil and its accumulation in mulberry. Ecotoxicology and Environmental Safety, 289, Article 117455. </w:t>
      </w:r>
      <w:hyperlink r:id="rId19" w:history="1">
        <w:r>
          <w:rPr>
            <w:rStyle w:val="Hyperlink"/>
          </w:rPr>
          <w:t>https://doi.org/10.1016/j.ecoenv.2024.117455</w:t>
        </w:r>
      </w:hyperlink>
    </w:p>
    <w:p w14:paraId="2C955AC3" w14:textId="77777777" w:rsidR="002B51AB" w:rsidRDefault="002B51AB" w:rsidP="002B51AB">
      <w:pPr>
        <w:pStyle w:val="NormalWeb"/>
      </w:pPr>
      <w:r>
        <w:t xml:space="preserve">Kaushik, A., Saikia, S., Gogoi, C., &amp; Kaushiki, B. (2025). Circular strategies and eco-innovations for sustainable sericulture waste management. Journal of Experimental Agriculture International, 47(8), 569–580. </w:t>
      </w:r>
      <w:hyperlink r:id="rId20" w:history="1">
        <w:r>
          <w:rPr>
            <w:rStyle w:val="Hyperlink"/>
          </w:rPr>
          <w:t>https://doi.org/10.9734/jeai/2025/v47i83698</w:t>
        </w:r>
      </w:hyperlink>
    </w:p>
    <w:p w14:paraId="78C7A98D" w14:textId="77777777" w:rsidR="002B51AB" w:rsidRDefault="002B51AB" w:rsidP="002B51AB">
      <w:pPr>
        <w:pStyle w:val="NormalWeb"/>
      </w:pPr>
      <w:r>
        <w:t xml:space="preserve">Li, H., Zhang, M., Zhang, Y., Xu, X., Zhao, Y., Jiang, X., Zhang, R., &amp; Gui, Z. (2023). Characterization of cellulose-degrading bacteria isolated from silkworm excrement and optimization of its cellulase production. Polymers, 15(20), Article 4142. </w:t>
      </w:r>
      <w:hyperlink r:id="rId21" w:history="1">
        <w:r>
          <w:rPr>
            <w:rStyle w:val="Hyperlink"/>
          </w:rPr>
          <w:t>https://doi.org/10.3390/polym15204142</w:t>
        </w:r>
      </w:hyperlink>
    </w:p>
    <w:p w14:paraId="1EC087B3" w14:textId="77777777" w:rsidR="002B51AB" w:rsidRDefault="002B51AB" w:rsidP="002B51AB">
      <w:pPr>
        <w:pStyle w:val="NormalWeb"/>
      </w:pPr>
      <w:r>
        <w:t xml:space="preserve">Li, L., Liao, S., Li, W., Xing, D., Luo, G., Li, Q., Ye, M., Xiao, Y., &amp; Yang, Q. (2018). Fingerprint of exhaust gases and database of microbial diversity during silkworm excrement composting. Compost Science &amp; Utilization, 26(1), 40–51. </w:t>
      </w:r>
      <w:hyperlink r:id="rId22" w:history="1">
        <w:r>
          <w:rPr>
            <w:rStyle w:val="Hyperlink"/>
          </w:rPr>
          <w:t>https://doi.org/10.1080/1065657X.2017.1344593</w:t>
        </w:r>
      </w:hyperlink>
    </w:p>
    <w:p w14:paraId="5B22B312" w14:textId="77777777" w:rsidR="002B51AB" w:rsidRDefault="002B51AB" w:rsidP="002B51AB">
      <w:pPr>
        <w:pStyle w:val="NormalWeb"/>
      </w:pPr>
      <w:r>
        <w:t xml:space="preserve">Li, Q., Liao, S., Zhi, H., Xing, D., Xiao, Y., &amp; Yang, Q. (2019). Characterization and sequence analysis of potential biofertilizer and biocontrol agent Bacillus subtilis strain SEM-9 from silkworm excrement. Canadian Journal of Microbiology, 65(1), 45–58. </w:t>
      </w:r>
      <w:hyperlink r:id="rId23" w:history="1">
        <w:r>
          <w:rPr>
            <w:rStyle w:val="Hyperlink"/>
          </w:rPr>
          <w:t>https://doi.org/10.1139/cjm-2018-0350</w:t>
        </w:r>
      </w:hyperlink>
    </w:p>
    <w:p w14:paraId="5D3C9998" w14:textId="77777777" w:rsidR="002B51AB" w:rsidRDefault="002B51AB" w:rsidP="002B51AB">
      <w:pPr>
        <w:pStyle w:val="NormalWeb"/>
      </w:pPr>
      <w:r>
        <w:t xml:space="preserve">Li, Q., Liao, S., Wei, J., Xing, D., Xiao, Y., &amp; Yang, Q. (2020). Isolation of Bacillus subtilis strain SEM-2 from silkworm excrement and </w:t>
      </w:r>
      <w:proofErr w:type="spellStart"/>
      <w:r>
        <w:t>characterisation</w:t>
      </w:r>
      <w:proofErr w:type="spellEnd"/>
      <w:r>
        <w:t xml:space="preserve"> of its antagonistic effect against Fusarium spp. Canadian Journal of Microbiology, 66(6), 401–412. </w:t>
      </w:r>
      <w:hyperlink r:id="rId24" w:history="1">
        <w:r>
          <w:rPr>
            <w:rStyle w:val="Hyperlink"/>
          </w:rPr>
          <w:t>https://doi.org/10.1139/cjm-2019-0621</w:t>
        </w:r>
      </w:hyperlink>
    </w:p>
    <w:p w14:paraId="78DD572C" w14:textId="77777777" w:rsidR="002B51AB" w:rsidRDefault="002B51AB" w:rsidP="002B51AB">
      <w:pPr>
        <w:pStyle w:val="NormalWeb"/>
      </w:pPr>
      <w:r>
        <w:t xml:space="preserve">Li, S., Mo, J., Lian, S., Sun, X., Liu, H., &amp; Zhang, J. (2025). Enhanced electron transfer capacity in lignin-rich compost-derived dissolved organic matter: A comparison with protein-rich compost. Journal of Environmental Management, 393, Article 126879. </w:t>
      </w:r>
      <w:hyperlink r:id="rId25" w:history="1">
        <w:r>
          <w:rPr>
            <w:rStyle w:val="Hyperlink"/>
          </w:rPr>
          <w:t>https://doi.org/10.1016/j.jenvman.2025.126879</w:t>
        </w:r>
      </w:hyperlink>
    </w:p>
    <w:p w14:paraId="5E6635F5" w14:textId="77777777" w:rsidR="002B51AB" w:rsidRDefault="002B51AB" w:rsidP="002B51AB">
      <w:pPr>
        <w:pStyle w:val="NormalWeb"/>
      </w:pPr>
      <w:r>
        <w:t xml:space="preserve">Liu, J., Yang, M., Wang, Y., Qu, L., &amp; Zhong, G. (2019). Enhanced diuron remediation by microorganism-immobilized silkworm excrement composites and their impact on soil microbial communities. Journal of Hazardous Materials, 376, 29–36. </w:t>
      </w:r>
      <w:hyperlink r:id="rId26" w:history="1">
        <w:r>
          <w:rPr>
            <w:rStyle w:val="Hyperlink"/>
          </w:rPr>
          <w:t>https://doi.org/10.1016/j.jhazmat.2019.05.014</w:t>
        </w:r>
      </w:hyperlink>
    </w:p>
    <w:p w14:paraId="1230E554" w14:textId="77777777" w:rsidR="002B51AB" w:rsidRDefault="002B51AB" w:rsidP="002B51AB">
      <w:pPr>
        <w:pStyle w:val="NormalWeb"/>
      </w:pPr>
      <w:r>
        <w:t xml:space="preserve">Liu, Q., He, X., Luo, G., Wang, K., &amp; Li, D. (2022). Deciphering the dominant components and functions of bacterial communities for lignocellulose degradation at the composting thermophilic phase. Bioresource Technology, 348, Article 126808. </w:t>
      </w:r>
      <w:hyperlink r:id="rId27" w:history="1">
        <w:r>
          <w:rPr>
            <w:rStyle w:val="Hyperlink"/>
          </w:rPr>
          <w:t>https://doi.org/10.1016/j.biortech.2022.126808</w:t>
        </w:r>
      </w:hyperlink>
    </w:p>
    <w:p w14:paraId="78DA7B83" w14:textId="77777777" w:rsidR="002B51AB" w:rsidRDefault="002B51AB" w:rsidP="002B51AB">
      <w:pPr>
        <w:pStyle w:val="NormalWeb"/>
      </w:pPr>
      <w:r>
        <w:t xml:space="preserve">Liu, Q., Zhao, S., Zhang, Y., An, X., Wang, Q., Li, S., Lin, A., Du, Y., &amp; Wei, H. (2022). Biochar nanozyme from silkworm excrement for scavenging vapor-phase free radicals in cigarette smoke. ACS Applied Bio Materials, 5(5), 1831–1838. </w:t>
      </w:r>
      <w:hyperlink r:id="rId28" w:history="1">
        <w:r>
          <w:rPr>
            <w:rStyle w:val="Hyperlink"/>
          </w:rPr>
          <w:t>https://doi.org/10.1021/acsabm.1c01080</w:t>
        </w:r>
      </w:hyperlink>
    </w:p>
    <w:p w14:paraId="70C1530A" w14:textId="77777777" w:rsidR="002B51AB" w:rsidRDefault="002B51AB" w:rsidP="002B51AB">
      <w:pPr>
        <w:pStyle w:val="NormalWeb"/>
      </w:pPr>
      <w:r>
        <w:t xml:space="preserve">Liu, Z., Dai, Y., Zhu, H., Liu, H., &amp; Zhang, J. (2024). Effects of additive on formation and electron transfer capacity of humic substances derived from silkworm-excrement compost during composting. </w:t>
      </w:r>
      <w:r>
        <w:lastRenderedPageBreak/>
        <w:t xml:space="preserve">Journal of Environmental Management, 351, Article 119673. </w:t>
      </w:r>
      <w:hyperlink r:id="rId29" w:history="1">
        <w:r>
          <w:rPr>
            <w:rStyle w:val="Hyperlink"/>
          </w:rPr>
          <w:t>https://doi.org/10.1016/j.jenvman.2023.119673</w:t>
        </w:r>
      </w:hyperlink>
    </w:p>
    <w:p w14:paraId="439B899D" w14:textId="77777777" w:rsidR="002B51AB" w:rsidRDefault="002B51AB" w:rsidP="002B51AB">
      <w:pPr>
        <w:pStyle w:val="NormalWeb"/>
      </w:pPr>
      <w:r>
        <w:t xml:space="preserve">Lu, F., Wei, J., Guan, D., Peng, Y., Song, J., &amp; Qian, F. (2025). 16S rDNA sequencing </w:t>
      </w:r>
      <w:proofErr w:type="gramStart"/>
      <w:r>
        <w:t>reveal</w:t>
      </w:r>
      <w:proofErr w:type="gramEnd"/>
      <w:r>
        <w:t xml:space="preserve"> synergistic effects of silkworm feces and earthworms on nutrient-poor soil microbial community structure and function in Guangxi. Genomics, 117(3), Article 111025. </w:t>
      </w:r>
      <w:hyperlink r:id="rId30" w:history="1">
        <w:r>
          <w:rPr>
            <w:rStyle w:val="Hyperlink"/>
          </w:rPr>
          <w:t>https://doi.org/10.1016/j.ygeno.2025.111025</w:t>
        </w:r>
      </w:hyperlink>
    </w:p>
    <w:p w14:paraId="40FB23ED" w14:textId="77777777" w:rsidR="002B51AB" w:rsidRDefault="002B51AB" w:rsidP="002B51AB">
      <w:pPr>
        <w:pStyle w:val="NormalWeb"/>
      </w:pPr>
      <w:r>
        <w:t xml:space="preserve">Luan, T., Yan, J., Zhao, X., </w:t>
      </w:r>
      <w:proofErr w:type="spellStart"/>
      <w:r>
        <w:t>Tuoheti</w:t>
      </w:r>
      <w:proofErr w:type="spellEnd"/>
      <w:r>
        <w:t xml:space="preserve">, T., Xu, Y., Gan, T., Zhao, X., He, L., Gustave, W., Zhang, X., &amp; He, F. (2025). Combined effects of biochar and silkworm excrement compost applications on soil properties and vegetable growth. Applied Soil Ecology, 210, Article 106067. </w:t>
      </w:r>
      <w:hyperlink r:id="rId31" w:history="1">
        <w:r>
          <w:rPr>
            <w:rStyle w:val="Hyperlink"/>
          </w:rPr>
          <w:t>https://doi.org/10.1016/j.apsoil.2025.106067</w:t>
        </w:r>
      </w:hyperlink>
    </w:p>
    <w:p w14:paraId="7D9E1768" w14:textId="77777777" w:rsidR="002B51AB" w:rsidRDefault="002B51AB" w:rsidP="002B51AB">
      <w:pPr>
        <w:pStyle w:val="NormalWeb"/>
      </w:pPr>
      <w:r>
        <w:t xml:space="preserve">Medhi, D., Bhat, N. A., &amp; Afzal, Y. (2016). Evaluation of mulberry tree leaves based diets in Corriedale lambs. The Indian Journal of Animal Sciences, 86(11), 1306–1310. </w:t>
      </w:r>
      <w:hyperlink r:id="rId32" w:history="1">
        <w:r>
          <w:rPr>
            <w:rStyle w:val="Hyperlink"/>
          </w:rPr>
          <w:t>https://doi.org/10.56093/ijans.v86i11.63396</w:t>
        </w:r>
      </w:hyperlink>
    </w:p>
    <w:p w14:paraId="34F4E898" w14:textId="77777777" w:rsidR="002B51AB" w:rsidRDefault="002B51AB" w:rsidP="002B51AB">
      <w:pPr>
        <w:pStyle w:val="NormalWeb"/>
      </w:pPr>
      <w:r>
        <w:t xml:space="preserve">Meena, A. G., Vinodha, K., Sunil, A. S., Sujith, A. S., Riya, E., &amp; </w:t>
      </w:r>
      <w:proofErr w:type="spellStart"/>
      <w:r>
        <w:t>Venothini</w:t>
      </w:r>
      <w:proofErr w:type="spellEnd"/>
      <w:r>
        <w:t xml:space="preserve">, S. (2026). Waste to wealth: Repurposing the sericulture wastes as agricultural inputs. Archives of Current Research International, 26(4), 536–550. </w:t>
      </w:r>
      <w:hyperlink r:id="rId33" w:history="1">
        <w:r>
          <w:rPr>
            <w:rStyle w:val="Hyperlink"/>
          </w:rPr>
          <w:t>https://doi.org/10.9734/acri/2026/v26i41844</w:t>
        </w:r>
      </w:hyperlink>
    </w:p>
    <w:p w14:paraId="328BD3C7" w14:textId="77777777" w:rsidR="002B51AB" w:rsidRDefault="002B51AB" w:rsidP="002B51AB">
      <w:pPr>
        <w:pStyle w:val="NormalWeb"/>
      </w:pPr>
      <w:r>
        <w:t xml:space="preserve">Mwai, L. M., King’ori, A. M., &amp; </w:t>
      </w:r>
      <w:proofErr w:type="spellStart"/>
      <w:r>
        <w:t>Ambula</w:t>
      </w:r>
      <w:proofErr w:type="spellEnd"/>
      <w:r>
        <w:t xml:space="preserve">, M. K. (2021). Mulberry leaves as a feed source for livestock in Kenya: A review. International Journal of Agricultural Research, Innovation and Technology, 11(2), 1–9. </w:t>
      </w:r>
      <w:hyperlink r:id="rId34" w:history="1">
        <w:r>
          <w:rPr>
            <w:rStyle w:val="Hyperlink"/>
          </w:rPr>
          <w:t>https://doi.org/10.3329/ijarit.v11i2.57249</w:t>
        </w:r>
      </w:hyperlink>
    </w:p>
    <w:p w14:paraId="39485ADA" w14:textId="77777777" w:rsidR="002B51AB" w:rsidRDefault="002B51AB" w:rsidP="002B51AB">
      <w:pPr>
        <w:pStyle w:val="NormalWeb"/>
      </w:pPr>
      <w:proofErr w:type="spellStart"/>
      <w:r>
        <w:t>Pimsawat</w:t>
      </w:r>
      <w:proofErr w:type="spellEnd"/>
      <w:r>
        <w:t xml:space="preserve">, A., </w:t>
      </w:r>
      <w:proofErr w:type="spellStart"/>
      <w:r>
        <w:t>Tangtrakarn</w:t>
      </w:r>
      <w:proofErr w:type="spellEnd"/>
      <w:r>
        <w:t xml:space="preserve">, A., </w:t>
      </w:r>
      <w:proofErr w:type="spellStart"/>
      <w:r>
        <w:t>Pimsawat</w:t>
      </w:r>
      <w:proofErr w:type="spellEnd"/>
      <w:r>
        <w:t xml:space="preserve">, N., </w:t>
      </w:r>
      <w:proofErr w:type="spellStart"/>
      <w:r>
        <w:t>Khamkongkaeo</w:t>
      </w:r>
      <w:proofErr w:type="spellEnd"/>
      <w:r>
        <w:t xml:space="preserve">, A., &amp; </w:t>
      </w:r>
      <w:proofErr w:type="spellStart"/>
      <w:r>
        <w:t>Daengsakul</w:t>
      </w:r>
      <w:proofErr w:type="spellEnd"/>
      <w:r>
        <w:t xml:space="preserve">, S. (2025). Super activated carbon-silica composite from silkworm excrement by microwave-assisted KOH activation for adsorption and supercapacitor. Environmental Technology &amp; Innovation, 37, Article 104034. </w:t>
      </w:r>
      <w:hyperlink r:id="rId35" w:history="1">
        <w:r>
          <w:rPr>
            <w:rStyle w:val="Hyperlink"/>
          </w:rPr>
          <w:t>https://doi.org/10.1016/j.eti.2025.104034</w:t>
        </w:r>
      </w:hyperlink>
    </w:p>
    <w:p w14:paraId="27D223B4" w14:textId="77777777" w:rsidR="002B51AB" w:rsidRDefault="002B51AB" w:rsidP="002B51AB">
      <w:pPr>
        <w:pStyle w:val="NormalWeb"/>
      </w:pPr>
      <w:r>
        <w:t xml:space="preserve">Sharma, S., Mathur, R. C., &amp; Vasudevan, P. (1999). Composting silkworm culture waste. Compost Science &amp; Utilization, 7(2), 74–81. </w:t>
      </w:r>
      <w:hyperlink r:id="rId36" w:history="1">
        <w:r>
          <w:rPr>
            <w:rStyle w:val="Hyperlink"/>
          </w:rPr>
          <w:t>https://doi.org/10.1080/1065657X.1999.10701967</w:t>
        </w:r>
      </w:hyperlink>
    </w:p>
    <w:p w14:paraId="43B0874F" w14:textId="77777777" w:rsidR="002B51AB" w:rsidRDefault="002B51AB" w:rsidP="002B51AB">
      <w:pPr>
        <w:pStyle w:val="NormalWeb"/>
      </w:pPr>
      <w:r>
        <w:t xml:space="preserve">Shen, X., He, J., Zhang, N., Li, Y., Lei, X., Sun, C., Muhammad, A., &amp; Shao, Y. (2024). Assessing the quality and eco-beneficial microbes in the use of silkworm excrement compost. Waste Management, 183, 163–173. </w:t>
      </w:r>
      <w:hyperlink r:id="rId37" w:history="1">
        <w:r>
          <w:rPr>
            <w:rStyle w:val="Hyperlink"/>
          </w:rPr>
          <w:t>https://doi.org/10.1016/j.wasman.2024.05.015</w:t>
        </w:r>
      </w:hyperlink>
    </w:p>
    <w:p w14:paraId="6643B026" w14:textId="77777777" w:rsidR="002B51AB" w:rsidRDefault="002B51AB" w:rsidP="002B51AB">
      <w:pPr>
        <w:pStyle w:val="NormalWeb"/>
      </w:pPr>
      <w:r>
        <w:t xml:space="preserve">Shi, S., Yang, J., Lin, M., Chen, Q., Wang, B., Zhao, J., Rensing, C., Liu, H., Fan, Z., &amp; Feng, R. (2023). Using silkworm excrement to restore vegetation and soil ecology in heavily contaminated mining soils by multiple metal(loid)s: A recyclable sericulture measure. Journal of Hazardous Materials, 459, Article 132184. </w:t>
      </w:r>
      <w:hyperlink r:id="rId38" w:history="1">
        <w:r>
          <w:rPr>
            <w:rStyle w:val="Hyperlink"/>
          </w:rPr>
          <w:t>https://doi.org/10.1016/j.jhazmat.2023.132184</w:t>
        </w:r>
      </w:hyperlink>
    </w:p>
    <w:p w14:paraId="4DC98276" w14:textId="77777777" w:rsidR="002B51AB" w:rsidRDefault="002B51AB" w:rsidP="002B51AB">
      <w:pPr>
        <w:pStyle w:val="NormalWeb"/>
      </w:pPr>
      <w:r>
        <w:t xml:space="preserve">Tamil Nadu Agricultural University. (n.d.). Sericulture: Silkworm disease management. </w:t>
      </w:r>
      <w:proofErr w:type="spellStart"/>
      <w:r>
        <w:t>Agritech</w:t>
      </w:r>
      <w:proofErr w:type="spellEnd"/>
      <w:r>
        <w:t xml:space="preserve"> Portal. </w:t>
      </w:r>
      <w:hyperlink r:id="rId39" w:history="1">
        <w:r>
          <w:rPr>
            <w:rStyle w:val="Hyperlink"/>
          </w:rPr>
          <w:t>https://agritech.tnau.ac.in/sericulture/disese%20mgt_silkworm.html</w:t>
        </w:r>
      </w:hyperlink>
    </w:p>
    <w:p w14:paraId="469ECED8" w14:textId="77777777" w:rsidR="002B51AB" w:rsidRDefault="002B51AB" w:rsidP="002B51AB">
      <w:pPr>
        <w:pStyle w:val="NormalWeb"/>
      </w:pPr>
      <w:r>
        <w:t xml:space="preserve">Velázquez-Martí, B., Sajdak, M., &amp; López-Cortés, I. (2013). Available residual biomass obtained from pruning Morus alba L. trees cultivated in urban forest. Renewable Energy, 60, 27–33. </w:t>
      </w:r>
      <w:hyperlink r:id="rId40" w:history="1">
        <w:r>
          <w:rPr>
            <w:rStyle w:val="Hyperlink"/>
          </w:rPr>
          <w:t>https://doi.org/10.1016/j.renene.2013.04.001</w:t>
        </w:r>
      </w:hyperlink>
    </w:p>
    <w:p w14:paraId="55721679" w14:textId="77777777" w:rsidR="002B51AB" w:rsidRDefault="002B51AB" w:rsidP="002B51AB">
      <w:pPr>
        <w:pStyle w:val="NormalWeb"/>
      </w:pPr>
      <w:r>
        <w:lastRenderedPageBreak/>
        <w:t xml:space="preserve">Wang, R., Guo, J., Xu, Y., Ding, Y., Shen, Y., Zheng, X., &amp; Feng, R. (2016). Evaluation of silkworm excrement and mushroom dreg for the remediation of multiple heavy metal/metalloid contaminated soil using </w:t>
      </w:r>
      <w:proofErr w:type="spellStart"/>
      <w:r>
        <w:t>pakchoi</w:t>
      </w:r>
      <w:proofErr w:type="spellEnd"/>
      <w:r>
        <w:t xml:space="preserve">. Ecotoxicology and Environmental Safety, 124, 239–247. </w:t>
      </w:r>
      <w:hyperlink r:id="rId41" w:history="1">
        <w:r>
          <w:rPr>
            <w:rStyle w:val="Hyperlink"/>
          </w:rPr>
          <w:t>https://doi.org/10.1016/j.ecoenv.2015.10.014</w:t>
        </w:r>
      </w:hyperlink>
    </w:p>
    <w:p w14:paraId="14D51047" w14:textId="77777777" w:rsidR="002B51AB" w:rsidRDefault="002B51AB" w:rsidP="002B51AB">
      <w:pPr>
        <w:pStyle w:val="NormalWeb"/>
      </w:pPr>
      <w:r>
        <w:t xml:space="preserve">Wu, D. L., Wang, W., Zhang, J. H., Fu, H., </w:t>
      </w:r>
      <w:proofErr w:type="spellStart"/>
      <w:r>
        <w:t>Lv</w:t>
      </w:r>
      <w:proofErr w:type="spellEnd"/>
      <w:r>
        <w:t xml:space="preserve">, X. S., &amp; Xu, X. H. (2012). Preparation of mulberry branch biomass char and its usage in wastewater treatment. Water Environment Research, 84(11), 2060–2069. </w:t>
      </w:r>
      <w:hyperlink r:id="rId42" w:history="1">
        <w:r>
          <w:rPr>
            <w:rStyle w:val="Hyperlink"/>
          </w:rPr>
          <w:t>https://doi.org/10.2175/106143012X13415215906898</w:t>
        </w:r>
      </w:hyperlink>
    </w:p>
    <w:p w14:paraId="4CDE31FC" w14:textId="77777777" w:rsidR="002B51AB" w:rsidRDefault="002B51AB" w:rsidP="002B51AB">
      <w:pPr>
        <w:pStyle w:val="NormalWeb"/>
      </w:pPr>
      <w:r>
        <w:t xml:space="preserve">Wu, Z., Xu, W., Wu, X., &amp; Ding, X. (2025). Life cycle environmental and economic assessment of raw silk production in China. Sustainable Production and Consumption, 55, 11–23. </w:t>
      </w:r>
      <w:hyperlink r:id="rId43" w:history="1">
        <w:r>
          <w:rPr>
            <w:rStyle w:val="Hyperlink"/>
          </w:rPr>
          <w:t>https://doi.org/10.1016/j.spc.2025.02.002</w:t>
        </w:r>
      </w:hyperlink>
    </w:p>
    <w:p w14:paraId="03306140" w14:textId="77777777" w:rsidR="002B51AB" w:rsidRDefault="002B51AB" w:rsidP="002B51AB">
      <w:pPr>
        <w:pStyle w:val="NormalWeb"/>
      </w:pPr>
      <w:r>
        <w:t xml:space="preserve">Yang, X., Duan, P., Liu, Q., Wang, K., &amp; Li, D. (2024). Addition of cellulose and hemicellulose degrading microorganisms intensified nitrous oxide emission during composting. Bioresource Technology, 393, Article 130100. </w:t>
      </w:r>
      <w:hyperlink r:id="rId44" w:history="1">
        <w:r>
          <w:rPr>
            <w:rStyle w:val="Hyperlink"/>
          </w:rPr>
          <w:t>https://doi.org/10.1016/j.biortech.2023.130100</w:t>
        </w:r>
      </w:hyperlink>
    </w:p>
    <w:p w14:paraId="720F7969" w14:textId="77777777" w:rsidR="002B51AB" w:rsidRDefault="002B51AB" w:rsidP="002B51AB">
      <w:pPr>
        <w:pStyle w:val="NormalWeb"/>
      </w:pPr>
      <w:r>
        <w:t xml:space="preserve">Yang, Z., Zhao, J., &amp; Ni, H. (2025). Silkworm excrement organic fertilizer substitution compound fertilizer improves bamboo shoot yield by altering soil properties and bacterial communities of Moso bamboo (Phyllostachys edulis) forests in subtropical China. Frontiers in Plant Science, 16, Article 1550946. </w:t>
      </w:r>
      <w:hyperlink r:id="rId45" w:history="1">
        <w:r>
          <w:rPr>
            <w:rStyle w:val="Hyperlink"/>
          </w:rPr>
          <w:t>https://doi.org/10.3389/fpls.2025.1550946</w:t>
        </w:r>
      </w:hyperlink>
    </w:p>
    <w:p w14:paraId="56B1B4F2" w14:textId="77777777" w:rsidR="002B51AB" w:rsidRDefault="002B51AB" w:rsidP="002B51AB">
      <w:pPr>
        <w:pStyle w:val="NormalWeb"/>
      </w:pPr>
      <w:r>
        <w:t xml:space="preserve">Zhu, L., Lian, Y., Lin, D., Huang, D., Yao, Y., Ju, F., &amp; Wang, M. (2022). Insights into microbial contamination in multi-type manure-amended soils: The profile of human bacterial pathogens, virulence factor genes and antibiotic resistance genes. Journal of Hazardous Materials, 437, Article 129356. </w:t>
      </w:r>
      <w:hyperlink r:id="rId46" w:history="1">
        <w:r>
          <w:rPr>
            <w:rStyle w:val="Hyperlink"/>
          </w:rPr>
          <w:t>https://doi.org/10.1016/j.jhazmat.2022.129356</w:t>
        </w:r>
      </w:hyperlink>
    </w:p>
    <w:p w14:paraId="3E90A1A8" w14:textId="77777777" w:rsidR="002B51AB" w:rsidRPr="002B51AB" w:rsidRDefault="002B51AB" w:rsidP="002B51AB"/>
    <w:sectPr w:rsidR="002B51AB" w:rsidRPr="002B51AB" w:rsidSect="00034616">
      <w:headerReference w:type="even" r:id="rId47"/>
      <w:headerReference w:type="default" r:id="rId48"/>
      <w:footerReference w:type="even" r:id="rId49"/>
      <w:footerReference w:type="default" r:id="rId50"/>
      <w:headerReference w:type="first" r:id="rId51"/>
      <w:footerReference w:type="first" r:id="rId52"/>
      <w:pgSz w:w="12240" w:h="15840"/>
      <w:pgMar w:top="1080" w:right="1080" w:bottom="1008" w:left="108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37E4A" w14:textId="77777777" w:rsidR="00EA139E" w:rsidRDefault="00EA139E">
      <w:pPr>
        <w:spacing w:after="0" w:line="240" w:lineRule="auto"/>
      </w:pPr>
      <w:r>
        <w:separator/>
      </w:r>
    </w:p>
  </w:endnote>
  <w:endnote w:type="continuationSeparator" w:id="0">
    <w:p w14:paraId="2455FEDE" w14:textId="77777777" w:rsidR="00EA139E" w:rsidRDefault="00EA1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57D3C" w14:textId="77777777" w:rsidR="00464931" w:rsidRDefault="00464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8F91" w14:textId="77777777" w:rsidR="00747D28" w:rsidRDefault="00000000">
    <w:pPr>
      <w:pStyle w:val="Footer"/>
      <w:jc w:val="center"/>
    </w:pPr>
    <w:r>
      <w:rPr>
        <w:sz w:val="18"/>
      </w:rPr>
      <w:t xml:space="preserve">Page </w:t>
    </w:r>
    <w:r>
      <w:fldChar w:fldCharType="begin"/>
    </w:r>
    <w:r>
      <w:instrText>PAGE</w:instrText>
    </w:r>
    <w:r>
      <w:fldChar w:fldCharType="separate"/>
    </w:r>
    <w:r w:rsidR="00F23CC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D35EB" w14:textId="77777777" w:rsidR="00464931" w:rsidRDefault="00464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37BC7" w14:textId="77777777" w:rsidR="00EA139E" w:rsidRDefault="00EA139E">
      <w:pPr>
        <w:spacing w:after="0" w:line="240" w:lineRule="auto"/>
      </w:pPr>
      <w:r>
        <w:separator/>
      </w:r>
    </w:p>
  </w:footnote>
  <w:footnote w:type="continuationSeparator" w:id="0">
    <w:p w14:paraId="30AC892D" w14:textId="77777777" w:rsidR="00EA139E" w:rsidRDefault="00EA1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A1055" w14:textId="77777777" w:rsidR="00464931" w:rsidRDefault="00000000">
    <w:pPr>
      <w:pStyle w:val="Header"/>
    </w:pPr>
    <w:r>
      <w:rPr>
        <w:noProof/>
      </w:rPr>
      <w:pict w14:anchorId="26B47E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0886391"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E15" w14:textId="77777777" w:rsidR="00464931" w:rsidRDefault="00000000">
    <w:pPr>
      <w:pStyle w:val="Header"/>
    </w:pPr>
    <w:r>
      <w:rPr>
        <w:noProof/>
      </w:rPr>
      <w:pict w14:anchorId="60B6CF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0886392"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18C8" w14:textId="77777777" w:rsidR="00464931" w:rsidRDefault="00000000">
    <w:pPr>
      <w:pStyle w:val="Header"/>
    </w:pPr>
    <w:r>
      <w:rPr>
        <w:noProof/>
      </w:rPr>
      <w:pict w14:anchorId="74514F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0886390"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1055388">
    <w:abstractNumId w:val="8"/>
  </w:num>
  <w:num w:numId="2" w16cid:durableId="1281568426">
    <w:abstractNumId w:val="6"/>
  </w:num>
  <w:num w:numId="3" w16cid:durableId="437794713">
    <w:abstractNumId w:val="5"/>
  </w:num>
  <w:num w:numId="4" w16cid:durableId="1614357371">
    <w:abstractNumId w:val="4"/>
  </w:num>
  <w:num w:numId="5" w16cid:durableId="926576856">
    <w:abstractNumId w:val="7"/>
  </w:num>
  <w:num w:numId="6" w16cid:durableId="1163816630">
    <w:abstractNumId w:val="3"/>
  </w:num>
  <w:num w:numId="7" w16cid:durableId="1666544635">
    <w:abstractNumId w:val="2"/>
  </w:num>
  <w:num w:numId="8" w16cid:durableId="1102068693">
    <w:abstractNumId w:val="1"/>
  </w:num>
  <w:num w:numId="9" w16cid:durableId="56414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02B"/>
    <w:rsid w:val="0006063C"/>
    <w:rsid w:val="0015074B"/>
    <w:rsid w:val="0029639D"/>
    <w:rsid w:val="002B51AB"/>
    <w:rsid w:val="00326F90"/>
    <w:rsid w:val="0037249B"/>
    <w:rsid w:val="003D6849"/>
    <w:rsid w:val="00464931"/>
    <w:rsid w:val="006A2263"/>
    <w:rsid w:val="00747D28"/>
    <w:rsid w:val="00921F5A"/>
    <w:rsid w:val="00964A2D"/>
    <w:rsid w:val="00A64F42"/>
    <w:rsid w:val="00AA1D8D"/>
    <w:rsid w:val="00B47730"/>
    <w:rsid w:val="00CB0664"/>
    <w:rsid w:val="00DC6F47"/>
    <w:rsid w:val="00E2520A"/>
    <w:rsid w:val="00EA139E"/>
    <w:rsid w:val="00F23C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76A54B"/>
  <w14:defaultImageDpi w14:val="300"/>
  <w15:docId w15:val="{DCD77819-589D-47BE-948A-FACCC47D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scriptTitle">
    <w:name w:val="Manuscript Title"/>
    <w:pPr>
      <w:keepNext/>
      <w:spacing w:after="240" w:line="259" w:lineRule="auto"/>
      <w:jc w:val="center"/>
    </w:pPr>
    <w:rPr>
      <w:rFonts w:ascii="Times New Roman" w:hAnsi="Times New Roman"/>
      <w:b/>
      <w:color w:val="17365D"/>
      <w:sz w:val="32"/>
    </w:rPr>
  </w:style>
  <w:style w:type="paragraph" w:customStyle="1" w:styleId="TableCaption">
    <w:name w:val="Table Caption"/>
    <w:pPr>
      <w:keepNext/>
      <w:spacing w:after="80" w:line="240" w:lineRule="auto"/>
    </w:pPr>
    <w:rPr>
      <w:rFonts w:ascii="Times New Roman" w:hAnsi="Times New Roman"/>
      <w:b/>
      <w:color w:val="17365D"/>
      <w:sz w:val="21"/>
    </w:rPr>
  </w:style>
  <w:style w:type="paragraph" w:customStyle="1" w:styleId="TableNote">
    <w:name w:val="Table Note"/>
    <w:pPr>
      <w:spacing w:before="40" w:after="80" w:line="240" w:lineRule="auto"/>
    </w:pPr>
    <w:rPr>
      <w:rFonts w:ascii="Times New Roman" w:hAnsi="Times New Roman"/>
      <w:color w:val="404040"/>
      <w:sz w:val="17"/>
    </w:rPr>
  </w:style>
  <w:style w:type="paragraph" w:customStyle="1" w:styleId="Reference">
    <w:name w:val="Reference"/>
    <w:pPr>
      <w:spacing w:after="80" w:line="240" w:lineRule="auto"/>
      <w:ind w:left="360" w:hanging="360"/>
    </w:pPr>
    <w:rPr>
      <w:rFonts w:ascii="Times New Roman" w:hAnsi="Times New Roman"/>
      <w:color w:val="000000"/>
      <w:sz w:val="20"/>
    </w:rPr>
  </w:style>
  <w:style w:type="paragraph" w:styleId="NormalWeb">
    <w:name w:val="Normal (Web)"/>
    <w:basedOn w:val="Normal"/>
    <w:uiPriority w:val="99"/>
    <w:semiHidden/>
    <w:unhideWhenUsed/>
    <w:rsid w:val="002B51AB"/>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2B51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713/ajas.18.0671" TargetMode="External"/><Relationship Id="rId18" Type="http://schemas.openxmlformats.org/officeDocument/2006/relationships/hyperlink" Target="https://doi.org/10.5713/ab.23.0449" TargetMode="External"/><Relationship Id="rId26" Type="http://schemas.openxmlformats.org/officeDocument/2006/relationships/hyperlink" Target="https://doi.org/10.1016/j.jhazmat.2019.05.014" TargetMode="External"/><Relationship Id="rId39" Type="http://schemas.openxmlformats.org/officeDocument/2006/relationships/hyperlink" Target="https://agritech.tnau.ac.in/sericulture/disese%20mgt_silkworm.html" TargetMode="External"/><Relationship Id="rId21" Type="http://schemas.openxmlformats.org/officeDocument/2006/relationships/hyperlink" Target="https://doi.org/10.3390/polym15204142" TargetMode="External"/><Relationship Id="rId34" Type="http://schemas.openxmlformats.org/officeDocument/2006/relationships/hyperlink" Target="https://doi.org/10.3329/ijarit.v11i2.57249" TargetMode="External"/><Relationship Id="rId42" Type="http://schemas.openxmlformats.org/officeDocument/2006/relationships/hyperlink" Target="https://doi.org/10.2175/106143012X13415215906898"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jae.net/EN/Y2011/V22/I07/1803" TargetMode="External"/><Relationship Id="rId29" Type="http://schemas.openxmlformats.org/officeDocument/2006/relationships/hyperlink" Target="https://doi.org/10.1016/j.jenvman.2023.119673" TargetMode="External"/><Relationship Id="rId11" Type="http://schemas.openxmlformats.org/officeDocument/2006/relationships/hyperlink" Target="https://doi.org/10.3390/su12083214" TargetMode="External"/><Relationship Id="rId24" Type="http://schemas.openxmlformats.org/officeDocument/2006/relationships/hyperlink" Target="https://doi.org/10.1139/cjm-2019-0621" TargetMode="External"/><Relationship Id="rId32" Type="http://schemas.openxmlformats.org/officeDocument/2006/relationships/hyperlink" Target="https://doi.org/10.56093/ijans.v86i11.63396" TargetMode="External"/><Relationship Id="rId37" Type="http://schemas.openxmlformats.org/officeDocument/2006/relationships/hyperlink" Target="https://doi.org/10.1016/j.wasman.2024.05.015" TargetMode="External"/><Relationship Id="rId40" Type="http://schemas.openxmlformats.org/officeDocument/2006/relationships/hyperlink" Target="https://doi.org/10.1016/j.renene.2013.04.001" TargetMode="External"/><Relationship Id="rId45" Type="http://schemas.openxmlformats.org/officeDocument/2006/relationships/hyperlink" Target="https://doi.org/10.3389/fpls.2025.1550946"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186/s41073-019-0064-8" TargetMode="External"/><Relationship Id="rId19" Type="http://schemas.openxmlformats.org/officeDocument/2006/relationships/hyperlink" Target="https://doi.org/10.1016/j.ecoenv.2024.117455" TargetMode="External"/><Relationship Id="rId31" Type="http://schemas.openxmlformats.org/officeDocument/2006/relationships/hyperlink" Target="https://doi.org/10.1016/j.apsoil.2025.106067" TargetMode="External"/><Relationship Id="rId44" Type="http://schemas.openxmlformats.org/officeDocument/2006/relationships/hyperlink" Target="https://doi.org/10.1016/j.biortech.2023.130100"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016/j.jclepro.2014.06.007" TargetMode="External"/><Relationship Id="rId14" Type="http://schemas.openxmlformats.org/officeDocument/2006/relationships/hyperlink" Target="https://silks.csb.gov.in/reasi/diseases-and-pests-of-silkworms/" TargetMode="External"/><Relationship Id="rId22" Type="http://schemas.openxmlformats.org/officeDocument/2006/relationships/hyperlink" Target="https://doi.org/10.1080/1065657X.2017.1344593" TargetMode="External"/><Relationship Id="rId27" Type="http://schemas.openxmlformats.org/officeDocument/2006/relationships/hyperlink" Target="https://doi.org/10.1016/j.biortech.2022.126808" TargetMode="External"/><Relationship Id="rId30" Type="http://schemas.openxmlformats.org/officeDocument/2006/relationships/hyperlink" Target="https://doi.org/10.1016/j.ygeno.2025.111025" TargetMode="External"/><Relationship Id="rId35" Type="http://schemas.openxmlformats.org/officeDocument/2006/relationships/hyperlink" Target="https://doi.org/10.1016/j.eti.2025.104034" TargetMode="External"/><Relationship Id="rId43" Type="http://schemas.openxmlformats.org/officeDocument/2006/relationships/hyperlink" Target="https://doi.org/10.1016/j.spc.2025.02.002" TargetMode="External"/><Relationship Id="rId48" Type="http://schemas.openxmlformats.org/officeDocument/2006/relationships/header" Target="header2.xml"/><Relationship Id="rId8" Type="http://schemas.openxmlformats.org/officeDocument/2006/relationships/hyperlink" Target="https://doi.org/10.1016/j.clcb.2022.100011"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doi.org/10.3390/polym14142889" TargetMode="External"/><Relationship Id="rId17" Type="http://schemas.openxmlformats.org/officeDocument/2006/relationships/hyperlink" Target="https://doi.org/10.1016/j.jhazmat.2026.141703" TargetMode="External"/><Relationship Id="rId25" Type="http://schemas.openxmlformats.org/officeDocument/2006/relationships/hyperlink" Target="https://doi.org/10.1016/j.jenvman.2025.126879" TargetMode="External"/><Relationship Id="rId33" Type="http://schemas.openxmlformats.org/officeDocument/2006/relationships/hyperlink" Target="https://doi.org/10.9734/acri/2026/v26i41844" TargetMode="External"/><Relationship Id="rId38" Type="http://schemas.openxmlformats.org/officeDocument/2006/relationships/hyperlink" Target="https://doi.org/10.1016/j.jhazmat.2023.132184" TargetMode="External"/><Relationship Id="rId46" Type="http://schemas.openxmlformats.org/officeDocument/2006/relationships/hyperlink" Target="https://doi.org/10.1016/j.jhazmat.2022.129356" TargetMode="External"/><Relationship Id="rId20" Type="http://schemas.openxmlformats.org/officeDocument/2006/relationships/hyperlink" Target="https://doi.org/10.9734/jeai/2025/v47i83698" TargetMode="External"/><Relationship Id="rId41" Type="http://schemas.openxmlformats.org/officeDocument/2006/relationships/hyperlink" Target="https://doi.org/10.1016/j.ecoenv.2015.10.01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7671/j.issn.1001-411X.2016.03.001" TargetMode="External"/><Relationship Id="rId23" Type="http://schemas.openxmlformats.org/officeDocument/2006/relationships/hyperlink" Target="https://doi.org/10.1139/cjm-2018-0350" TargetMode="External"/><Relationship Id="rId28" Type="http://schemas.openxmlformats.org/officeDocument/2006/relationships/hyperlink" Target="https://doi.org/10.1021/acsabm.1c01080" TargetMode="External"/><Relationship Id="rId36" Type="http://schemas.openxmlformats.org/officeDocument/2006/relationships/hyperlink" Target="https://doi.org/10.1080/1065657X.1999.10701967"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16868</Words>
  <Characters>96149</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Generation and Management in Pre-Cocoon Sericulture: A Critical Narrative Review of Material Flows, Risks and Circular Resource Pathways</dc:title>
  <dc:subject>Critical narrative review</dc:subject>
  <dc:creator/>
  <cp:keywords>sericulture; pre-cocoon waste; silkworm excrement; composting; biochar; biosecurity</cp:keywords>
  <dc:description>generated by python-docx</dc:description>
  <cp:lastModifiedBy>SDI 1087</cp:lastModifiedBy>
  <cp:revision>5</cp:revision>
  <dcterms:created xsi:type="dcterms:W3CDTF">2013-12-23T23:15:00Z</dcterms:created>
  <dcterms:modified xsi:type="dcterms:W3CDTF">2026-10-13T08:22:00Z</dcterms:modified>
  <cp:category/>
</cp:coreProperties>
</file>