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08C72" w14:textId="77777777" w:rsidR="00880900" w:rsidRDefault="00880900" w:rsidP="00A50007">
      <w:pPr>
        <w:spacing w:before="100" w:beforeAutospacing="1" w:after="100" w:afterAutospacing="1"/>
        <w:jc w:val="both"/>
        <w:outlineLvl w:val="0"/>
        <w:rPr>
          <w:rFonts w:ascii="Times" w:eastAsia="Times New Roman" w:hAnsi="Times" w:cs="Times New Roman"/>
          <w:b/>
          <w:bCs/>
          <w:kern w:val="36"/>
          <w:lang w:val="en-IN"/>
        </w:rPr>
      </w:pPr>
    </w:p>
    <w:p w14:paraId="2A58D3F2" w14:textId="77777777" w:rsidR="00A50007" w:rsidRPr="00FA6665" w:rsidRDefault="00A50007" w:rsidP="00A50007">
      <w:pPr>
        <w:spacing w:before="100" w:beforeAutospacing="1" w:after="100" w:afterAutospacing="1"/>
        <w:jc w:val="both"/>
        <w:outlineLvl w:val="0"/>
        <w:rPr>
          <w:rFonts w:ascii="Times" w:eastAsia="Times New Roman" w:hAnsi="Times" w:cs="Times New Roman"/>
          <w:b/>
          <w:bCs/>
          <w:i/>
          <w:iCs/>
          <w:kern w:val="36"/>
          <w:lang w:val="en-IN"/>
        </w:rPr>
      </w:pPr>
      <w:r w:rsidRPr="00FA6665">
        <w:rPr>
          <w:rFonts w:ascii="Times" w:eastAsia="Times New Roman" w:hAnsi="Times" w:cs="Times New Roman"/>
          <w:b/>
          <w:bCs/>
          <w:kern w:val="36"/>
          <w:lang w:val="en-IN"/>
        </w:rPr>
        <w:t xml:space="preserve">In Silico Homology </w:t>
      </w:r>
      <w:proofErr w:type="spellStart"/>
      <w:r w:rsidRPr="00FA6665">
        <w:rPr>
          <w:rFonts w:ascii="Times" w:eastAsia="Times New Roman" w:hAnsi="Times" w:cs="Times New Roman"/>
          <w:b/>
          <w:bCs/>
          <w:kern w:val="36"/>
          <w:lang w:val="en-IN"/>
        </w:rPr>
        <w:t>Modeling</w:t>
      </w:r>
      <w:proofErr w:type="spellEnd"/>
      <w:r w:rsidRPr="00FA6665">
        <w:rPr>
          <w:rFonts w:ascii="Times" w:eastAsia="Times New Roman" w:hAnsi="Times" w:cs="Times New Roman"/>
          <w:b/>
          <w:bCs/>
          <w:kern w:val="36"/>
          <w:lang w:val="en-IN"/>
        </w:rPr>
        <w:t xml:space="preserve">, Quality Validation, and Molecular Docking Analysis of Hemocyanins from </w:t>
      </w:r>
      <w:r w:rsidRPr="00FA6665">
        <w:rPr>
          <w:rFonts w:ascii="Times" w:eastAsia="Times New Roman" w:hAnsi="Times" w:cs="Times New Roman"/>
          <w:b/>
          <w:bCs/>
          <w:i/>
          <w:iCs/>
          <w:kern w:val="36"/>
          <w:lang w:val="en-IN"/>
        </w:rPr>
        <w:t>Scylla olivacea</w:t>
      </w:r>
      <w:r w:rsidRPr="00FA6665">
        <w:rPr>
          <w:rFonts w:ascii="Times" w:eastAsia="Times New Roman" w:hAnsi="Times" w:cs="Times New Roman"/>
          <w:b/>
          <w:bCs/>
          <w:kern w:val="36"/>
          <w:lang w:val="en-IN"/>
        </w:rPr>
        <w:t xml:space="preserve"> and </w:t>
      </w:r>
      <w:r w:rsidRPr="00FA6665">
        <w:rPr>
          <w:rFonts w:ascii="Times" w:eastAsia="Times New Roman" w:hAnsi="Times" w:cs="Times New Roman"/>
          <w:b/>
          <w:bCs/>
          <w:i/>
          <w:iCs/>
          <w:kern w:val="36"/>
          <w:lang w:val="en-IN"/>
        </w:rPr>
        <w:t>Scylla serrata</w:t>
      </w:r>
    </w:p>
    <w:p w14:paraId="2CC7BF49" w14:textId="77777777" w:rsidR="00CF556B" w:rsidRPr="00FA6665" w:rsidRDefault="00E54392" w:rsidP="00775706">
      <w:pPr>
        <w:jc w:val="center"/>
        <w:rPr>
          <w:rFonts w:ascii="Times" w:eastAsia="Times New Roman" w:hAnsi="Times" w:cs="Times New Roman"/>
          <w:sz w:val="16"/>
          <w:szCs w:val="16"/>
          <w:lang w:val="en-IN"/>
        </w:rPr>
      </w:pPr>
      <w:r w:rsidRPr="00FA6665">
        <w:rPr>
          <w:rFonts w:ascii="Times" w:eastAsia="Times New Roman" w:hAnsi="Times" w:cs="Times New Roman"/>
          <w:b/>
          <w:sz w:val="36"/>
          <w:szCs w:val="36"/>
          <w:lang w:val="en-IN"/>
        </w:rPr>
        <w:t xml:space="preserve"> </w:t>
      </w:r>
    </w:p>
    <w:p w14:paraId="06021B3B" w14:textId="77777777" w:rsidR="00CF556B" w:rsidRPr="00FA6665" w:rsidRDefault="00CF556B" w:rsidP="00A36248">
      <w:pPr>
        <w:jc w:val="center"/>
        <w:rPr>
          <w:sz w:val="20"/>
          <w:szCs w:val="20"/>
        </w:rPr>
      </w:pPr>
    </w:p>
    <w:p w14:paraId="19DB5365" w14:textId="77777777" w:rsidR="008B46D7" w:rsidRPr="00FA6665" w:rsidRDefault="008B46D7" w:rsidP="008B46D7">
      <w:pPr>
        <w:rPr>
          <w:sz w:val="20"/>
          <w:szCs w:val="20"/>
        </w:rPr>
      </w:pPr>
    </w:p>
    <w:p w14:paraId="0E1AFC92" w14:textId="77777777" w:rsidR="00A50007" w:rsidRPr="00FA6665" w:rsidRDefault="00A50007" w:rsidP="00A50007">
      <w:pPr>
        <w:spacing w:before="100" w:beforeAutospacing="1" w:after="100" w:afterAutospacing="1"/>
        <w:jc w:val="both"/>
        <w:outlineLvl w:val="1"/>
        <w:rPr>
          <w:rFonts w:ascii="Times" w:eastAsia="Times New Roman" w:hAnsi="Times" w:cs="Times New Roman"/>
          <w:b/>
          <w:bCs/>
          <w:lang w:val="en-IN"/>
        </w:rPr>
      </w:pPr>
      <w:r w:rsidRPr="00FA6665">
        <w:rPr>
          <w:rFonts w:ascii="Times" w:eastAsia="Times New Roman" w:hAnsi="Times" w:cs="Times New Roman"/>
          <w:b/>
          <w:bCs/>
          <w:lang w:val="en-IN"/>
        </w:rPr>
        <w:t>Abstract</w:t>
      </w:r>
    </w:p>
    <w:p w14:paraId="3C582D54"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Pr>
          <w:rFonts w:ascii="Times" w:eastAsia="Times New Roman" w:hAnsi="Times" w:cs="Times New Roman"/>
          <w:lang w:val="en-IN"/>
        </w:rPr>
        <w:t xml:space="preserve">Hemocyanins play a crucial role in oxygen transport and innate immune </w:t>
      </w:r>
      <w:r>
        <w:rPr>
          <w:rFonts w:ascii="Times" w:eastAsia="Times New Roman" w:hAnsi="Times" w:cs="Times New Roman"/>
          <w:highlight w:val="yellow"/>
          <w:lang w:val="en-IN"/>
        </w:rPr>
        <w:t>defence</w:t>
      </w:r>
      <w:r>
        <w:rPr>
          <w:rFonts w:ascii="Times" w:eastAsia="Times New Roman" w:hAnsi="Times" w:cs="Times New Roman"/>
          <w:lang w:val="en-IN"/>
        </w:rPr>
        <w:t xml:space="preserve"> in decapod crustaceans. Due to the lack of experimentally resolved three-dimensional structures for hemocyanins from </w:t>
      </w:r>
      <w:r w:rsidRPr="00FA6665">
        <w:rPr>
          <w:rFonts w:ascii="Times" w:eastAsia="Times New Roman" w:hAnsi="Times" w:cs="Times New Roman"/>
          <w:i/>
          <w:iCs/>
          <w:lang w:val="en-IN"/>
        </w:rPr>
        <w:t>Scylla olivacea</w:t>
      </w:r>
      <w:r w:rsidRPr="00FA6665">
        <w:rPr>
          <w:rFonts w:ascii="Times" w:eastAsia="Times New Roman" w:hAnsi="Times" w:cs="Times New Roman"/>
          <w:lang w:val="en-IN"/>
        </w:rPr>
        <w:t xml:space="preserve"> and </w:t>
      </w:r>
      <w:r w:rsidRPr="00FA6665">
        <w:rPr>
          <w:rFonts w:ascii="Times" w:eastAsia="Times New Roman" w:hAnsi="Times" w:cs="Times New Roman"/>
          <w:i/>
          <w:iCs/>
          <w:lang w:val="en-IN"/>
        </w:rPr>
        <w:t>Scylla serrata</w:t>
      </w:r>
      <w:r w:rsidRPr="00FA6665">
        <w:rPr>
          <w:rFonts w:ascii="Times" w:eastAsia="Times New Roman" w:hAnsi="Times" w:cs="Times New Roman"/>
          <w:lang w:val="en-IN"/>
        </w:rPr>
        <w:t xml:space="preserve">, this study employed homology modelling and molecular docking approaches to construct, validate, and evaluate their molecular interactions. Sequence data obtained via tandem mass spectrometry (MS/MS) were aligned using BLASTp and ClustalW. Theoretical 3D models were built using MODELLER based on template structures from </w:t>
      </w:r>
      <w:r w:rsidRPr="00FA6665">
        <w:rPr>
          <w:rFonts w:ascii="Times" w:eastAsia="Times New Roman" w:hAnsi="Times" w:cs="Times New Roman"/>
          <w:i/>
          <w:iCs/>
          <w:lang w:val="en-IN"/>
        </w:rPr>
        <w:t>Panulirus interruptus</w:t>
      </w:r>
      <w:r w:rsidRPr="00FA6665">
        <w:rPr>
          <w:rFonts w:ascii="Times" w:eastAsia="Times New Roman" w:hAnsi="Times" w:cs="Times New Roman"/>
          <w:lang w:val="en-IN"/>
        </w:rPr>
        <w:t xml:space="preserve"> (PDB ID: 1HC1) and </w:t>
      </w:r>
      <w:r w:rsidRPr="00FA6665">
        <w:rPr>
          <w:rFonts w:ascii="Times" w:eastAsia="Times New Roman" w:hAnsi="Times" w:cs="Times New Roman"/>
          <w:i/>
          <w:iCs/>
          <w:lang w:val="en-IN"/>
        </w:rPr>
        <w:t>Panulirus japonicus</w:t>
      </w:r>
      <w:r>
        <w:rPr>
          <w:rFonts w:ascii="Times" w:eastAsia="Times New Roman" w:hAnsi="Times" w:cs="Times New Roman"/>
          <w:lang w:val="en-IN"/>
        </w:rPr>
        <w:t xml:space="preserve"> (PDB ID: 6L8S). Model evaluation via PROCHECK demonstrated high stereochemical quality, with 87.8% and 86.9% of residues occupying the most </w:t>
      </w:r>
      <w:r>
        <w:rPr>
          <w:rFonts w:ascii="Times" w:eastAsia="Times New Roman" w:hAnsi="Times" w:cs="Times New Roman"/>
          <w:highlight w:val="yellow"/>
          <w:lang w:val="en-IN"/>
        </w:rPr>
        <w:t>favoured</w:t>
      </w:r>
      <w:r>
        <w:rPr>
          <w:rFonts w:ascii="Times" w:eastAsia="Times New Roman" w:hAnsi="Times" w:cs="Times New Roman"/>
          <w:lang w:val="en-IN"/>
        </w:rPr>
        <w:t xml:space="preserve"> regions of the Ramachandran plot for </w:t>
      </w:r>
      <w:r w:rsidRPr="00FA6665">
        <w:rPr>
          <w:rFonts w:ascii="Times" w:eastAsia="Times New Roman" w:hAnsi="Times" w:cs="Times New Roman"/>
          <w:i/>
          <w:iCs/>
          <w:lang w:val="en-IN"/>
        </w:rPr>
        <w:t>S. olivacea</w:t>
      </w:r>
      <w:r w:rsidRPr="00FA6665">
        <w:rPr>
          <w:rFonts w:ascii="Times" w:eastAsia="Times New Roman" w:hAnsi="Times" w:cs="Times New Roman"/>
          <w:lang w:val="en-IN"/>
        </w:rPr>
        <w:t xml:space="preserve"> hemocyanin protein (SOHP) and </w:t>
      </w:r>
      <w:r w:rsidRPr="00FA6665">
        <w:rPr>
          <w:rFonts w:ascii="Times" w:eastAsia="Times New Roman" w:hAnsi="Times" w:cs="Times New Roman"/>
          <w:i/>
          <w:iCs/>
          <w:lang w:val="en-IN"/>
        </w:rPr>
        <w:t>S. serrata</w:t>
      </w:r>
      <w:r>
        <w:rPr>
          <w:rFonts w:ascii="Times" w:eastAsia="Times New Roman" w:hAnsi="Times" w:cs="Times New Roman"/>
          <w:lang w:val="en-IN"/>
        </w:rPr>
        <w:t xml:space="preserve"> hemocyanin protein (SSHP), respectively. Structural superimposition yielded root-mean-square deviations (RMSD) of 0.271 Å (SOHP vs. 1HC1) and 0.593 Å (SSHP vs. 6L8S). Molecular docking with AutoDock Vina revealed robust binding affinities toward reactive oxygen species (H2​O2​), sodium dodecyl sulfate (SDS), bacterial peptidoglycan constituents (N-acetylglucosamine [NAG] and N-acetylmuramic acid [NAM]), and fungal cell wall component (β-glucan). </w:t>
      </w:r>
      <w:r>
        <w:rPr>
          <w:rFonts w:ascii="Times" w:eastAsia="Times New Roman" w:hAnsi="Times" w:cs="Times New Roman"/>
          <w:highlight w:val="yellow"/>
          <w:lang w:val="en-IN"/>
        </w:rPr>
        <w:t>SSHP exhibited more favourable binding energies towards NAG (−8.1 kcal/mol) and β-glucan (−7.8 kcal/mol), whereas SOHP showed a slightly more favourable binding energy towards NAM (−6.7 kcal/mol).</w:t>
      </w:r>
      <w:r>
        <w:rPr>
          <w:rFonts w:ascii="Times" w:eastAsia="Times New Roman" w:hAnsi="Times" w:cs="Times New Roman"/>
          <w:lang w:val="en-IN"/>
        </w:rPr>
        <w:t xml:space="preserve"> Active site interaction analysis identified key catalytic residues involved in hydrogen bonding and hydrophobic contacts. These structural insights clarify the pathogen-recognition and physiological capabilities of mud crab hemocyanins.</w:t>
      </w:r>
    </w:p>
    <w:p w14:paraId="1DCFC383" w14:textId="37F43B20"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b/>
          <w:bCs/>
          <w:lang w:val="en-IN"/>
        </w:rPr>
        <w:t>Keywords:</w:t>
      </w:r>
      <w:r w:rsidRPr="00FA6665">
        <w:rPr>
          <w:rFonts w:ascii="Times" w:eastAsia="Times New Roman" w:hAnsi="Times" w:cs="Times New Roman"/>
          <w:lang w:val="en-IN"/>
        </w:rPr>
        <w:t xml:space="preserve"> </w:t>
      </w:r>
      <w:r w:rsidRPr="00FA6665">
        <w:rPr>
          <w:rFonts w:ascii="Times" w:eastAsia="Times New Roman" w:hAnsi="Times" w:cs="Times New Roman"/>
          <w:i/>
          <w:iCs/>
          <w:lang w:val="en-IN"/>
        </w:rPr>
        <w:t>Scylla olivacea</w:t>
      </w:r>
      <w:r w:rsidRPr="00FA6665">
        <w:rPr>
          <w:rFonts w:ascii="Times" w:eastAsia="Times New Roman" w:hAnsi="Times" w:cs="Times New Roman"/>
          <w:lang w:val="en-IN"/>
        </w:rPr>
        <w:t xml:space="preserve">, </w:t>
      </w:r>
      <w:r w:rsidRPr="00FA6665">
        <w:rPr>
          <w:rFonts w:ascii="Times" w:eastAsia="Times New Roman" w:hAnsi="Times" w:cs="Times New Roman"/>
          <w:i/>
          <w:iCs/>
          <w:lang w:val="en-IN"/>
        </w:rPr>
        <w:t>Scylla serrata</w:t>
      </w:r>
      <w:r w:rsidRPr="00FA6665">
        <w:rPr>
          <w:rFonts w:ascii="Times" w:eastAsia="Times New Roman" w:hAnsi="Times" w:cs="Times New Roman"/>
          <w:lang w:val="en-IN"/>
        </w:rPr>
        <w:t>, Homology Modelling, Hemocyanin, Molecular Docking,</w:t>
      </w:r>
      <w:r w:rsidR="00880900">
        <w:rPr>
          <w:rFonts w:ascii="Times" w:eastAsia="Times New Roman" w:hAnsi="Times" w:cs="Times New Roman"/>
          <w:lang w:val="en-IN"/>
        </w:rPr>
        <w:t xml:space="preserve"> </w:t>
      </w:r>
      <w:r w:rsidRPr="00FA6665">
        <w:rPr>
          <w:rFonts w:ascii="Times" w:eastAsia="Times New Roman" w:hAnsi="Times" w:cs="Times New Roman"/>
          <w:lang w:val="en-IN"/>
        </w:rPr>
        <w:t>Antimicrobial Immunity.</w:t>
      </w:r>
    </w:p>
    <w:p w14:paraId="468C43D1" w14:textId="77777777" w:rsidR="00A36248" w:rsidRPr="00FA6665" w:rsidRDefault="00A36248" w:rsidP="00A50007">
      <w:pPr>
        <w:spacing w:before="100" w:beforeAutospacing="1" w:after="100" w:afterAutospacing="1"/>
        <w:jc w:val="both"/>
        <w:rPr>
          <w:rFonts w:ascii="Times" w:eastAsia="Times New Roman" w:hAnsi="Times" w:cs="Times New Roman"/>
          <w:lang w:val="en-IN"/>
        </w:rPr>
      </w:pPr>
    </w:p>
    <w:p w14:paraId="0E1290DB" w14:textId="77777777" w:rsidR="00A36248" w:rsidRPr="00FA6665" w:rsidRDefault="00A36248" w:rsidP="00A50007">
      <w:pPr>
        <w:spacing w:before="100" w:beforeAutospacing="1" w:after="100" w:afterAutospacing="1"/>
        <w:jc w:val="both"/>
        <w:rPr>
          <w:rFonts w:ascii="Times" w:eastAsia="Times New Roman" w:hAnsi="Times" w:cs="Times New Roman"/>
          <w:lang w:val="en-IN"/>
        </w:rPr>
      </w:pPr>
    </w:p>
    <w:p w14:paraId="794BD28F" w14:textId="77777777" w:rsidR="00A36248" w:rsidRPr="00FA6665" w:rsidRDefault="00A36248" w:rsidP="00A50007">
      <w:pPr>
        <w:spacing w:before="100" w:beforeAutospacing="1" w:after="100" w:afterAutospacing="1"/>
        <w:jc w:val="both"/>
        <w:rPr>
          <w:rFonts w:ascii="Times" w:eastAsia="Times New Roman" w:hAnsi="Times" w:cs="Times New Roman"/>
          <w:lang w:val="en-IN"/>
        </w:rPr>
      </w:pPr>
    </w:p>
    <w:p w14:paraId="6CD9B035" w14:textId="77777777" w:rsidR="00A50007" w:rsidRPr="00FA6665" w:rsidRDefault="00A50007" w:rsidP="00A50007">
      <w:pPr>
        <w:spacing w:before="100" w:beforeAutospacing="1" w:after="100" w:afterAutospacing="1"/>
        <w:jc w:val="both"/>
        <w:outlineLvl w:val="1"/>
        <w:rPr>
          <w:rFonts w:ascii="Times" w:eastAsia="Times New Roman" w:hAnsi="Times" w:cs="Times New Roman"/>
          <w:b/>
          <w:bCs/>
          <w:lang w:val="en-IN"/>
        </w:rPr>
      </w:pPr>
      <w:r w:rsidRPr="00FA6665">
        <w:rPr>
          <w:rFonts w:ascii="Times" w:eastAsia="Times New Roman" w:hAnsi="Times" w:cs="Times New Roman"/>
          <w:b/>
          <w:bCs/>
          <w:lang w:val="en-IN"/>
        </w:rPr>
        <w:t>1. Introduction</w:t>
      </w:r>
    </w:p>
    <w:p w14:paraId="7649CF9F"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Mud crabs belonging to the genus </w:t>
      </w:r>
      <w:r w:rsidRPr="00FA6665">
        <w:rPr>
          <w:rFonts w:ascii="Times" w:eastAsia="Times New Roman" w:hAnsi="Times" w:cs="Times New Roman"/>
          <w:i/>
          <w:iCs/>
          <w:lang w:val="en-IN"/>
        </w:rPr>
        <w:t>Scylla</w:t>
      </w:r>
      <w:r w:rsidRPr="00FA6665">
        <w:rPr>
          <w:rFonts w:ascii="Times" w:eastAsia="Times New Roman" w:hAnsi="Times" w:cs="Times New Roman"/>
          <w:lang w:val="en-IN"/>
        </w:rPr>
        <w:t xml:space="preserve">, predominantly </w:t>
      </w:r>
      <w:r w:rsidRPr="00FA6665">
        <w:rPr>
          <w:rFonts w:ascii="Times" w:eastAsia="Times New Roman" w:hAnsi="Times" w:cs="Times New Roman"/>
          <w:i/>
          <w:iCs/>
          <w:lang w:val="en-IN"/>
        </w:rPr>
        <w:t>Scylla serrata</w:t>
      </w:r>
      <w:r w:rsidRPr="00FA6665">
        <w:rPr>
          <w:rFonts w:ascii="Times" w:eastAsia="Times New Roman" w:hAnsi="Times" w:cs="Times New Roman"/>
          <w:lang w:val="en-IN"/>
        </w:rPr>
        <w:t xml:space="preserve"> and </w:t>
      </w:r>
      <w:r w:rsidRPr="00FA6665">
        <w:rPr>
          <w:rFonts w:ascii="Times" w:eastAsia="Times New Roman" w:hAnsi="Times" w:cs="Times New Roman"/>
          <w:i/>
          <w:iCs/>
          <w:lang w:val="en-IN"/>
        </w:rPr>
        <w:t>Scylla olivacea</w:t>
      </w:r>
      <w:r>
        <w:rPr>
          <w:rFonts w:ascii="Times" w:eastAsia="Times New Roman" w:hAnsi="Times" w:cs="Times New Roman"/>
          <w:lang w:val="en-IN"/>
        </w:rPr>
        <w:t xml:space="preserve">, represent ecologically and economically vital marine invertebrates. Invertebrates lack adaptive immune systems and rely strictly on innate immune mechanisms to </w:t>
      </w:r>
      <w:r>
        <w:rPr>
          <w:rFonts w:ascii="Times" w:eastAsia="Times New Roman" w:hAnsi="Times" w:cs="Times New Roman"/>
          <w:highlight w:val="yellow"/>
          <w:lang w:val="en-IN"/>
        </w:rPr>
        <w:t>neutralise</w:t>
      </w:r>
      <w:r>
        <w:rPr>
          <w:rFonts w:ascii="Times" w:eastAsia="Times New Roman" w:hAnsi="Times" w:cs="Times New Roman"/>
          <w:lang w:val="en-IN"/>
        </w:rPr>
        <w:t xml:space="preserve"> invading pathogens and environmental stress. Hemocyanin, a copper-containing respiratory protein circulating in the haemolymph, functions as an oxygen carrier and exhibits multifunctional immunological properties, including phenoloxidase-like activity, antiviral </w:t>
      </w:r>
      <w:r>
        <w:rPr>
          <w:rFonts w:ascii="Times" w:eastAsia="Times New Roman" w:hAnsi="Times" w:cs="Times New Roman"/>
          <w:highlight w:val="yellow"/>
          <w:lang w:val="en-IN"/>
        </w:rPr>
        <w:t>defence</w:t>
      </w:r>
      <w:r>
        <w:rPr>
          <w:rFonts w:ascii="Times" w:eastAsia="Times New Roman" w:hAnsi="Times" w:cs="Times New Roman"/>
          <w:lang w:val="en-IN"/>
        </w:rPr>
        <w:t>, and direct microbicidal activity.</w:t>
      </w:r>
    </w:p>
    <w:p w14:paraId="3B2160B5" w14:textId="1E6415D1" w:rsidR="00C517D9" w:rsidRPr="00880900" w:rsidRDefault="00000000">
      <w:pPr>
        <w:spacing w:before="100" w:beforeAutospacing="1" w:after="100" w:afterAutospacing="1"/>
        <w:jc w:val="both"/>
        <w:rPr>
          <w:rFonts w:ascii="Times" w:eastAsia="Times New Roman" w:hAnsi="Times" w:cs="Times New Roman"/>
          <w:lang w:val="en-IN"/>
        </w:rPr>
      </w:pPr>
      <w:r w:rsidRPr="00FA6665">
        <w:rPr>
          <w:rFonts w:ascii="Times" w:hAnsi="Times"/>
        </w:rPr>
        <w:lastRenderedPageBreak/>
        <w:t xml:space="preserve">Experimental work in </w:t>
      </w:r>
      <w:r w:rsidRPr="00FA6665">
        <w:rPr>
          <w:rFonts w:ascii="Times" w:hAnsi="Times"/>
          <w:i/>
        </w:rPr>
        <w:t>S. serrata</w:t>
      </w:r>
      <w:r w:rsidRPr="00FA6665">
        <w:rPr>
          <w:rFonts w:ascii="Times" w:hAnsi="Times"/>
        </w:rPr>
        <w:t xml:space="preserve"> has shown that hemocyanin can agglutinate bacteria and contribute to humoral antibacterial responses, supporting a role beyond oxygen transport in </w:t>
      </w:r>
      <w:r>
        <w:rPr>
          <w:rFonts w:ascii="Times" w:hAnsi="Times"/>
        </w:rPr>
        <w:t xml:space="preserve">mud-crab innate immunity (Yan et al., 2011; Velayutham &amp; Munusamy, 2016). More broadly, crustacean immunity depends on soluble and cell-associated pattern-recognition systems that detect conserved microbial motifs and trigger downstream humoral </w:t>
      </w:r>
      <w:r>
        <w:rPr>
          <w:rFonts w:ascii="Times" w:hAnsi="Times"/>
          <w:highlight w:val="yellow"/>
        </w:rPr>
        <w:t>defences</w:t>
      </w:r>
      <w:r>
        <w:rPr>
          <w:rFonts w:ascii="Times" w:hAnsi="Times"/>
        </w:rPr>
        <w:t xml:space="preserve"> (Patnaik et al., 2024).</w:t>
      </w:r>
      <w:r w:rsidR="00880900">
        <w:rPr>
          <w:rFonts w:ascii="Times" w:eastAsia="Times New Roman" w:hAnsi="Times" w:cs="Times New Roman"/>
          <w:lang w:val="en-IN"/>
        </w:rPr>
        <w:t xml:space="preserve"> </w:t>
      </w:r>
      <w:r w:rsidRPr="00880900">
        <w:rPr>
          <w:rFonts w:ascii="Times" w:hAnsi="Times" w:cs="Times"/>
          <w:bCs/>
          <w:highlight w:val="yellow"/>
        </w:rPr>
        <w:t>Recent evidence further supports hemocyanin as a multifunctional protein that contributes to crustacean immune defence in addition to oxygen transport (Ji et al., 2024; Li et al., 2025).</w:t>
      </w:r>
    </w:p>
    <w:p w14:paraId="0A87C464"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Despite the functional significance of hemocyanin in mud crab survival, three-dimensional (3D) structural details for </w:t>
      </w:r>
      <w:r w:rsidRPr="00FA6665">
        <w:rPr>
          <w:rFonts w:ascii="Times" w:eastAsia="Times New Roman" w:hAnsi="Times" w:cs="Times New Roman"/>
          <w:i/>
          <w:iCs/>
          <w:lang w:val="en-IN"/>
        </w:rPr>
        <w:t>S. olivacea</w:t>
      </w:r>
      <w:r w:rsidRPr="00FA6665">
        <w:rPr>
          <w:rFonts w:ascii="Times" w:eastAsia="Times New Roman" w:hAnsi="Times" w:cs="Times New Roman"/>
          <w:lang w:val="en-IN"/>
        </w:rPr>
        <w:t xml:space="preserve"> and </w:t>
      </w:r>
      <w:r w:rsidRPr="00FA6665">
        <w:rPr>
          <w:rFonts w:ascii="Times" w:eastAsia="Times New Roman" w:hAnsi="Times" w:cs="Times New Roman"/>
          <w:i/>
          <w:iCs/>
          <w:lang w:val="en-IN"/>
        </w:rPr>
        <w:t>S. serrata</w:t>
      </w:r>
      <w:r>
        <w:rPr>
          <w:rFonts w:ascii="Times" w:eastAsia="Times New Roman" w:hAnsi="Times" w:cs="Times New Roman"/>
          <w:lang w:val="en-IN"/>
        </w:rPr>
        <w:t xml:space="preserve"> hemocyanins remain </w:t>
      </w:r>
      <w:r>
        <w:rPr>
          <w:rFonts w:ascii="Times" w:eastAsia="Times New Roman" w:hAnsi="Times" w:cs="Times New Roman"/>
          <w:highlight w:val="yellow"/>
          <w:lang w:val="en-IN"/>
        </w:rPr>
        <w:t>uncharacterised</w:t>
      </w:r>
      <w:r>
        <w:rPr>
          <w:rFonts w:ascii="Times" w:eastAsia="Times New Roman" w:hAnsi="Times" w:cs="Times New Roman"/>
          <w:lang w:val="en-IN"/>
        </w:rPr>
        <w:t xml:space="preserve"> in public structural repositories such as the Protein Data Bank (PDB). </w:t>
      </w:r>
      <w:r>
        <w:rPr>
          <w:rFonts w:ascii="Times" w:eastAsia="Times New Roman" w:hAnsi="Times" w:cs="Times New Roman"/>
          <w:highlight w:val="yellow"/>
          <w:lang w:val="en-IN"/>
        </w:rPr>
        <w:t>Structural elucidation is a prerequisite to understanding</w:t>
      </w:r>
      <w:r>
        <w:rPr>
          <w:rFonts w:ascii="Times" w:eastAsia="Times New Roman" w:hAnsi="Times" w:cs="Times New Roman"/>
          <w:lang w:val="en-IN"/>
        </w:rPr>
        <w:t xml:space="preserve"> their catalytic mechanisms, substrate specificity, and molecular interactions with pathogen-associated molecular patterns (PAMPs) and reactive oxygen species (ROS).</w:t>
      </w:r>
    </w:p>
    <w:p w14:paraId="4EB48E29" w14:textId="6F382037" w:rsidR="00C517D9" w:rsidRPr="00880900"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At the structural level, arthropod hemocyanins are type-3 copper proteins whose active-site architecture is closely related to phenoloxidases, and experimentally resolved lobster hemocyanin structures provide suitable structural comparators for comparative analyses (Volbeda &amp; Hol, 1989; Masuda et al., 2020).</w:t>
      </w:r>
      <w:r w:rsidR="00880900">
        <w:rPr>
          <w:rFonts w:ascii="Times" w:eastAsia="Times New Roman" w:hAnsi="Times" w:cs="Times New Roman"/>
          <w:lang w:val="en-IN"/>
        </w:rPr>
        <w:t xml:space="preserve"> </w:t>
      </w:r>
      <w:r w:rsidRPr="00880900">
        <w:rPr>
          <w:rFonts w:ascii="Times" w:hAnsi="Times" w:cs="Times"/>
          <w:bCs/>
          <w:highlight w:val="yellow"/>
        </w:rPr>
        <w:t>Comparable in silico studies have combined three-dimensional protein modelling, stereochemical validation, and molecular docking to assess protein structure and ligand interactions (Annadurai et al., 2026). Molecular docking is also recognised as a computational approach for examining protein-ligand binding orientations and interactions (Ray et al., 2022).</w:t>
      </w:r>
    </w:p>
    <w:p w14:paraId="7FBE922F" w14:textId="77777777" w:rsidR="00C517D9" w:rsidRDefault="00000000">
      <w:pPr>
        <w:spacing w:before="100" w:beforeAutospacing="1" w:after="100" w:afterAutospacing="1"/>
        <w:jc w:val="both"/>
        <w:rPr>
          <w:rFonts w:ascii="Times" w:eastAsia="Times New Roman" w:hAnsi="Times" w:cs="Times New Roman"/>
          <w:lang w:val="en-IN"/>
        </w:rPr>
      </w:pPr>
      <w:r>
        <w:rPr>
          <w:rFonts w:ascii="Times" w:eastAsia="Times New Roman" w:hAnsi="Times" w:cs="Times New Roman"/>
          <w:highlight w:val="yellow"/>
          <w:lang w:val="en-IN"/>
        </w:rPr>
        <w:t xml:space="preserve">However, a comparative structural assessment of </w:t>
      </w:r>
      <w:r>
        <w:rPr>
          <w:rFonts w:ascii="Times" w:eastAsia="Times New Roman" w:hAnsi="Times" w:cs="Times New Roman"/>
          <w:i/>
          <w:highlight w:val="yellow"/>
          <w:lang w:val="en-IN"/>
        </w:rPr>
        <w:t>S. olivacea</w:t>
      </w:r>
      <w:r>
        <w:rPr>
          <w:rFonts w:ascii="Times" w:eastAsia="Times New Roman" w:hAnsi="Times" w:cs="Times New Roman"/>
          <w:highlight w:val="yellow"/>
          <w:lang w:val="en-IN"/>
        </w:rPr>
        <w:t xml:space="preserve"> and </w:t>
      </w:r>
      <w:r>
        <w:rPr>
          <w:rFonts w:ascii="Times" w:eastAsia="Times New Roman" w:hAnsi="Times" w:cs="Times New Roman"/>
          <w:i/>
          <w:highlight w:val="yellow"/>
          <w:lang w:val="en-IN"/>
        </w:rPr>
        <w:t>S. serrata</w:t>
      </w:r>
      <w:r>
        <w:rPr>
          <w:rFonts w:ascii="Times" w:eastAsia="Times New Roman" w:hAnsi="Times" w:cs="Times New Roman"/>
          <w:highlight w:val="yellow"/>
          <w:lang w:val="en-IN"/>
        </w:rPr>
        <w:t xml:space="preserve"> hemocyanins that combines validated homology modelling with docking against a common ligand set remains limited.</w:t>
      </w:r>
    </w:p>
    <w:p w14:paraId="4CFB065E"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In this study, theoretical 3D structural models of hemocyanin from both male and female specimens of </w:t>
      </w:r>
      <w:r w:rsidRPr="00FA6665">
        <w:rPr>
          <w:rFonts w:ascii="Times" w:eastAsia="Times New Roman" w:hAnsi="Times" w:cs="Times New Roman"/>
          <w:i/>
          <w:iCs/>
          <w:lang w:val="en-IN"/>
        </w:rPr>
        <w:t>S. olivacea</w:t>
      </w:r>
      <w:r w:rsidRPr="00FA6665">
        <w:rPr>
          <w:rFonts w:ascii="Times" w:eastAsia="Times New Roman" w:hAnsi="Times" w:cs="Times New Roman"/>
          <w:lang w:val="en-IN"/>
        </w:rPr>
        <w:t xml:space="preserve"> (SOHP) and </w:t>
      </w:r>
      <w:r w:rsidRPr="00FA6665">
        <w:rPr>
          <w:rFonts w:ascii="Times" w:eastAsia="Times New Roman" w:hAnsi="Times" w:cs="Times New Roman"/>
          <w:i/>
          <w:iCs/>
          <w:lang w:val="en-IN"/>
        </w:rPr>
        <w:t>S. serrata</w:t>
      </w:r>
      <w:r>
        <w:rPr>
          <w:rFonts w:ascii="Times" w:eastAsia="Times New Roman" w:hAnsi="Times" w:cs="Times New Roman"/>
          <w:lang w:val="en-IN"/>
        </w:rPr>
        <w:t xml:space="preserve"> (SSHP) were generated using homology modelling techniques. Structural models were refined and validated through stereochemical evaluation servers. Furthermore, molecular docking experiments were performed with various ligands—including H2​O2​, SDS, bacterial peptidoglycan components (NAG and NAM), and fungal β-glucan—to </w:t>
      </w:r>
      <w:r>
        <w:rPr>
          <w:rFonts w:ascii="Times" w:eastAsia="Times New Roman" w:hAnsi="Times" w:cs="Times New Roman"/>
          <w:highlight w:val="yellow"/>
          <w:lang w:val="en-IN"/>
        </w:rPr>
        <w:t>characterise</w:t>
      </w:r>
      <w:r>
        <w:rPr>
          <w:rFonts w:ascii="Times" w:eastAsia="Times New Roman" w:hAnsi="Times" w:cs="Times New Roman"/>
          <w:lang w:val="en-IN"/>
        </w:rPr>
        <w:t xml:space="preserve"> active site interactions and evaluate the biochemical basis of their host </w:t>
      </w:r>
      <w:r>
        <w:rPr>
          <w:rFonts w:ascii="Times" w:eastAsia="Times New Roman" w:hAnsi="Times" w:cs="Times New Roman"/>
          <w:highlight w:val="yellow"/>
          <w:lang w:val="en-IN"/>
        </w:rPr>
        <w:t>defence</w:t>
      </w:r>
      <w:r>
        <w:rPr>
          <w:rFonts w:ascii="Times" w:eastAsia="Times New Roman" w:hAnsi="Times" w:cs="Times New Roman"/>
          <w:lang w:val="en-IN"/>
        </w:rPr>
        <w:t xml:space="preserve"> capabilities.</w:t>
      </w:r>
    </w:p>
    <w:p w14:paraId="55301033" w14:textId="77777777" w:rsidR="00A50007" w:rsidRPr="00FA6665" w:rsidRDefault="00A50007" w:rsidP="00A50007">
      <w:pPr>
        <w:spacing w:before="100" w:beforeAutospacing="1" w:after="100" w:afterAutospacing="1"/>
        <w:jc w:val="both"/>
        <w:outlineLvl w:val="1"/>
        <w:rPr>
          <w:rFonts w:ascii="Times" w:eastAsia="Times New Roman" w:hAnsi="Times" w:cs="Times New Roman"/>
          <w:b/>
          <w:bCs/>
          <w:lang w:val="en-IN"/>
        </w:rPr>
      </w:pPr>
      <w:r w:rsidRPr="00FA6665">
        <w:rPr>
          <w:rFonts w:ascii="Times" w:eastAsia="Times New Roman" w:hAnsi="Times" w:cs="Times New Roman"/>
          <w:b/>
          <w:bCs/>
          <w:lang w:val="en-IN"/>
        </w:rPr>
        <w:t>2. Materials and Methods</w:t>
      </w:r>
    </w:p>
    <w:p w14:paraId="2FEA5C61" w14:textId="77777777" w:rsidR="00A50007" w:rsidRPr="00FA6665" w:rsidRDefault="00A50007" w:rsidP="00A50007">
      <w:pPr>
        <w:spacing w:before="100" w:beforeAutospacing="1" w:after="100" w:afterAutospacing="1"/>
        <w:jc w:val="both"/>
        <w:outlineLvl w:val="2"/>
        <w:rPr>
          <w:rFonts w:ascii="Times" w:eastAsia="Times New Roman" w:hAnsi="Times" w:cs="Times New Roman"/>
          <w:b/>
          <w:bCs/>
          <w:lang w:val="en-IN"/>
        </w:rPr>
      </w:pPr>
      <w:r w:rsidRPr="00FA6665">
        <w:rPr>
          <w:rFonts w:ascii="Times" w:eastAsia="Times New Roman" w:hAnsi="Times" w:cs="Times New Roman"/>
          <w:b/>
          <w:bCs/>
          <w:lang w:val="en-IN"/>
        </w:rPr>
        <w:t>2.1 Target Sequence Procurement and Template Selection</w:t>
      </w:r>
    </w:p>
    <w:p w14:paraId="4CE6C5A3"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The amino acid sequences of hemocyanin proteins from </w:t>
      </w:r>
      <w:r w:rsidRPr="00FA6665">
        <w:rPr>
          <w:rFonts w:ascii="Times" w:eastAsia="Times New Roman" w:hAnsi="Times" w:cs="Times New Roman"/>
          <w:i/>
          <w:iCs/>
          <w:lang w:val="en-IN"/>
        </w:rPr>
        <w:t>S. serrata</w:t>
      </w:r>
      <w:r w:rsidRPr="00FA6665">
        <w:rPr>
          <w:rFonts w:ascii="Times" w:eastAsia="Times New Roman" w:hAnsi="Times" w:cs="Times New Roman"/>
          <w:lang w:val="en-IN"/>
        </w:rPr>
        <w:t xml:space="preserve"> and </w:t>
      </w:r>
      <w:r w:rsidRPr="00FA6665">
        <w:rPr>
          <w:rFonts w:ascii="Times" w:eastAsia="Times New Roman" w:hAnsi="Times" w:cs="Times New Roman"/>
          <w:i/>
          <w:iCs/>
          <w:lang w:val="en-IN"/>
        </w:rPr>
        <w:t>S. olivacea</w:t>
      </w:r>
      <w:r w:rsidRPr="00FA6665">
        <w:rPr>
          <w:rFonts w:ascii="Times" w:eastAsia="Times New Roman" w:hAnsi="Times" w:cs="Times New Roman"/>
          <w:lang w:val="en-IN"/>
        </w:rPr>
        <w:t xml:space="preserve"> were obtained through tandem mass spectrometry (MS/MS) sequencing. To identify appropriate structural templates for homology modelling, basic local alignment search tool for proteins (BLASTp) (Altschul et al., 1990) searches were executed against the Protein Data Bank (PDB) (Berman et al., 2000) using default parameters. High-scoring crystal structures with maximum sequence identity and low E-values were chosen as templates. Sequence alignments between target sequences and selected templates were performed using ClustalW (Thompson et al., 1994).</w:t>
      </w:r>
    </w:p>
    <w:p w14:paraId="4C38D43B" w14:textId="77777777" w:rsidR="00A50007" w:rsidRPr="00FA6665" w:rsidRDefault="00A50007" w:rsidP="00A50007">
      <w:pPr>
        <w:spacing w:before="100" w:beforeAutospacing="1" w:after="100" w:afterAutospacing="1"/>
        <w:jc w:val="both"/>
        <w:outlineLvl w:val="2"/>
        <w:rPr>
          <w:rFonts w:ascii="Times" w:eastAsia="Times New Roman" w:hAnsi="Times" w:cs="Times New Roman"/>
          <w:b/>
          <w:bCs/>
          <w:lang w:val="en-IN"/>
        </w:rPr>
      </w:pPr>
      <w:r w:rsidRPr="00FA6665">
        <w:rPr>
          <w:rFonts w:ascii="Times" w:eastAsia="Times New Roman" w:hAnsi="Times" w:cs="Times New Roman"/>
          <w:b/>
          <w:bCs/>
          <w:lang w:val="en-IN"/>
        </w:rPr>
        <w:lastRenderedPageBreak/>
        <w:t>2.2 3D Model Generation</w:t>
      </w:r>
    </w:p>
    <w:p w14:paraId="3B32C95B"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Pr>
          <w:rFonts w:ascii="Times" w:eastAsia="Times New Roman" w:hAnsi="Times" w:cs="Times New Roman"/>
          <w:lang w:val="en-IN"/>
        </w:rPr>
        <w:t xml:space="preserve">Three-dimensional models were constructed using the academic version of MODELLER 9v1 </w:t>
      </w:r>
      <w:r>
        <w:rPr>
          <w:rFonts w:ascii="Times" w:eastAsia="Times New Roman" w:hAnsi="Times" w:cs="Times New Roman"/>
          <w:highlight w:val="yellow"/>
          <w:lang w:val="en-IN"/>
        </w:rPr>
        <w:t>(Sali &amp; Blundell, 1993)</w:t>
      </w:r>
      <w:r>
        <w:rPr>
          <w:rFonts w:ascii="Times" w:eastAsia="Times New Roman" w:hAnsi="Times" w:cs="Times New Roman"/>
          <w:lang w:val="en-IN"/>
        </w:rPr>
        <w:t xml:space="preserve">. MODELLER generates models by </w:t>
      </w:r>
      <w:r>
        <w:rPr>
          <w:rFonts w:ascii="Times" w:eastAsia="Times New Roman" w:hAnsi="Times" w:cs="Times New Roman"/>
          <w:highlight w:val="yellow"/>
          <w:lang w:val="en-IN"/>
        </w:rPr>
        <w:t>optimising</w:t>
      </w:r>
      <w:r>
        <w:rPr>
          <w:rFonts w:ascii="Times" w:eastAsia="Times New Roman" w:hAnsi="Times" w:cs="Times New Roman"/>
          <w:lang w:val="en-IN"/>
        </w:rPr>
        <w:t xml:space="preserve"> molecular spatial restraints using probability density functions (PDFs) </w:t>
      </w:r>
      <w:r>
        <w:rPr>
          <w:rFonts w:ascii="Times" w:eastAsia="Times New Roman" w:hAnsi="Times" w:cs="Times New Roman"/>
          <w:highlight w:val="yellow"/>
          <w:lang w:val="en-IN"/>
        </w:rPr>
        <w:t>(Sali &amp; Blundell, 1993; Sali &amp; Overington, 1994)</w:t>
      </w:r>
      <w:r>
        <w:rPr>
          <w:rFonts w:ascii="Times" w:eastAsia="Times New Roman" w:hAnsi="Times" w:cs="Times New Roman"/>
          <w:lang w:val="en-IN"/>
        </w:rPr>
        <w:t>. Input sequence alignment files (</w:t>
      </w:r>
      <w:r w:rsidRPr="00FA6665">
        <w:rPr>
          <w:rFonts w:ascii="Times" w:eastAsia="Times New Roman" w:hAnsi="Times" w:cs="Courier New"/>
          <w:lang w:val="en-IN"/>
        </w:rPr>
        <w:t>qseq1-tseq1.ali</w:t>
      </w:r>
      <w:r w:rsidRPr="00FA6665">
        <w:rPr>
          <w:rFonts w:ascii="Times" w:eastAsia="Times New Roman" w:hAnsi="Times" w:cs="Times New Roman"/>
          <w:lang w:val="en-IN"/>
        </w:rPr>
        <w:t xml:space="preserve">) were prepared in PIR format. Five candidate models were generated per target protein using the </w:t>
      </w:r>
      <w:r w:rsidRPr="00FA6665">
        <w:rPr>
          <w:rFonts w:ascii="Times" w:eastAsia="Times New Roman" w:hAnsi="Times" w:cs="Courier New"/>
          <w:lang w:val="en-IN"/>
        </w:rPr>
        <w:t>automodel</w:t>
      </w:r>
      <w:r>
        <w:rPr>
          <w:rFonts w:ascii="Times" w:eastAsia="Times New Roman" w:hAnsi="Times" w:cs="Times New Roman"/>
          <w:lang w:val="en-IN"/>
        </w:rPr>
        <w:t xml:space="preserve"> class. Candidate structures were evaluated using Discrete Optimized Protein Energy (DOPE) profiles to select the </w:t>
      </w:r>
      <w:r>
        <w:rPr>
          <w:rFonts w:ascii="Times" w:eastAsia="Times New Roman" w:hAnsi="Times" w:cs="Times New Roman"/>
          <w:highlight w:val="yellow"/>
          <w:lang w:val="en-IN"/>
        </w:rPr>
        <w:t>lowest-energy model</w:t>
      </w:r>
      <w:r>
        <w:rPr>
          <w:rFonts w:ascii="Times" w:eastAsia="Times New Roman" w:hAnsi="Times" w:cs="Times New Roman"/>
          <w:lang w:val="en-IN"/>
        </w:rPr>
        <w:t xml:space="preserve"> representing the most stable conformation.</w:t>
      </w:r>
    </w:p>
    <w:p w14:paraId="26636D72" w14:textId="77777777" w:rsidR="00A50007" w:rsidRPr="00FA6665" w:rsidRDefault="00A50007" w:rsidP="00A50007">
      <w:pPr>
        <w:spacing w:before="100" w:beforeAutospacing="1" w:after="100" w:afterAutospacing="1"/>
        <w:jc w:val="both"/>
        <w:outlineLvl w:val="2"/>
        <w:rPr>
          <w:rFonts w:ascii="Times" w:eastAsia="Times New Roman" w:hAnsi="Times" w:cs="Times New Roman"/>
          <w:b/>
          <w:bCs/>
          <w:lang w:val="en-IN"/>
        </w:rPr>
      </w:pPr>
      <w:r w:rsidRPr="00FA6665">
        <w:rPr>
          <w:rFonts w:ascii="Times" w:eastAsia="Times New Roman" w:hAnsi="Times" w:cs="Times New Roman"/>
          <w:b/>
          <w:bCs/>
          <w:lang w:val="en-IN"/>
        </w:rPr>
        <w:t>2.3 Model Quality Assessment and Validation</w:t>
      </w:r>
    </w:p>
    <w:p w14:paraId="4F6A6988"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Pr>
          <w:rFonts w:ascii="Times" w:eastAsia="Times New Roman" w:hAnsi="Times" w:cs="Times New Roman"/>
          <w:highlight w:val="yellow"/>
          <w:lang w:val="en-IN"/>
        </w:rPr>
        <w:t>Stereochemical quality</w:t>
      </w:r>
      <w:r>
        <w:rPr>
          <w:rFonts w:ascii="Times" w:eastAsia="Times New Roman" w:hAnsi="Times" w:cs="Times New Roman"/>
          <w:lang w:val="en-IN"/>
        </w:rPr>
        <w:t xml:space="preserve"> and residue environment profiles of the primary candidate models (SOHP and SSHP) were assessed using PROCHECK (Laskowski et al., 1993) for Ramachandran plot analysis (Φ/Ψ dihedral angle distribution), Verify3D (Eisenberg et al., 1997), and ERRAT servers. Structural superimposition and Root Mean Square Deviation (RMSD) calculations relative to template coordinates were performed using PyMOL.</w:t>
      </w:r>
    </w:p>
    <w:p w14:paraId="405F6C4F" w14:textId="77777777" w:rsidR="00A50007" w:rsidRPr="00FA6665" w:rsidRDefault="00A50007" w:rsidP="00A50007">
      <w:pPr>
        <w:spacing w:before="100" w:beforeAutospacing="1" w:after="100" w:afterAutospacing="1"/>
        <w:jc w:val="both"/>
        <w:outlineLvl w:val="2"/>
        <w:rPr>
          <w:rFonts w:ascii="Times" w:eastAsia="Times New Roman" w:hAnsi="Times" w:cs="Times New Roman"/>
          <w:b/>
          <w:bCs/>
          <w:lang w:val="en-IN"/>
        </w:rPr>
      </w:pPr>
      <w:r w:rsidRPr="00FA6665">
        <w:rPr>
          <w:rFonts w:ascii="Times" w:eastAsia="Times New Roman" w:hAnsi="Times" w:cs="Times New Roman"/>
          <w:b/>
          <w:bCs/>
          <w:lang w:val="en-IN"/>
        </w:rPr>
        <w:t>2.4 Molecular Ligand Docking and Interaction Analysis</w:t>
      </w:r>
    </w:p>
    <w:p w14:paraId="27CAEDBD"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Ligand structures—hydrogen peroxide (H2​O2​), sodium dodecyl sulfate (SDS), N-acetylglucosamine (NAG), N-acetylmuramic acid (NAM), and β-glucan—were downloaded in 2D SDF format from PubChem and converted to 3D coordinates.</w:t>
      </w:r>
    </w:p>
    <w:p w14:paraId="2F0F39BD"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Pr>
          <w:rFonts w:ascii="Times" w:eastAsia="Times New Roman" w:hAnsi="Times" w:cs="Times New Roman"/>
          <w:lang w:val="en-IN"/>
        </w:rPr>
        <w:t xml:space="preserve">Protein receptors and ligands were prepared using AutoDock Tools (Morris et al., 2009). Molecular docking studies were executed with AutoDock Vina using standard default parameters and genetic search algorithms. Grid boxes encompassing active site regions were established around target coordinates. Post-docking interaction geometries, hydrogen bonding patterns, and hydrophobic contacts were evaluated and visualized using PyMOL, LigPlot+ (Wallace et al., 1995), and </w:t>
      </w:r>
      <w:r>
        <w:rPr>
          <w:rFonts w:ascii="Times" w:eastAsia="Times New Roman" w:hAnsi="Times" w:cs="Times New Roman"/>
          <w:highlight w:val="yellow"/>
          <w:lang w:val="en-IN"/>
        </w:rPr>
        <w:t>BIOVIA Discovery Studio Visualizer (Yuan et al., 2017).</w:t>
      </w:r>
    </w:p>
    <w:p w14:paraId="7626C579" w14:textId="77777777" w:rsidR="00A50007" w:rsidRPr="00FA6665" w:rsidRDefault="00A50007" w:rsidP="00A50007">
      <w:pPr>
        <w:spacing w:before="100" w:beforeAutospacing="1" w:after="100" w:afterAutospacing="1"/>
        <w:jc w:val="both"/>
        <w:outlineLvl w:val="1"/>
        <w:rPr>
          <w:rFonts w:ascii="Times" w:eastAsia="Times New Roman" w:hAnsi="Times" w:cs="Times New Roman"/>
          <w:b/>
          <w:bCs/>
          <w:lang w:val="en-IN"/>
        </w:rPr>
      </w:pPr>
      <w:r w:rsidRPr="00FA6665">
        <w:rPr>
          <w:rFonts w:ascii="Times" w:eastAsia="Times New Roman" w:hAnsi="Times" w:cs="Times New Roman"/>
          <w:b/>
          <w:bCs/>
          <w:lang w:val="en-IN"/>
        </w:rPr>
        <w:t>3. Results</w:t>
      </w:r>
    </w:p>
    <w:p w14:paraId="4872AD8A" w14:textId="77777777" w:rsidR="00A50007" w:rsidRPr="00FA6665" w:rsidRDefault="00A50007" w:rsidP="00A50007">
      <w:pPr>
        <w:spacing w:before="100" w:beforeAutospacing="1" w:after="100" w:afterAutospacing="1"/>
        <w:jc w:val="both"/>
        <w:outlineLvl w:val="2"/>
        <w:rPr>
          <w:rFonts w:ascii="Times" w:eastAsia="Times New Roman" w:hAnsi="Times" w:cs="Times New Roman"/>
          <w:b/>
          <w:bCs/>
          <w:lang w:val="en-IN"/>
        </w:rPr>
      </w:pPr>
      <w:r w:rsidRPr="00FA6665">
        <w:rPr>
          <w:rFonts w:ascii="Times" w:eastAsia="Times New Roman" w:hAnsi="Times" w:cs="Times New Roman"/>
          <w:b/>
          <w:bCs/>
          <w:lang w:val="en-IN"/>
        </w:rPr>
        <w:t>3.1 Identification of Homology Templates</w:t>
      </w:r>
    </w:p>
    <w:p w14:paraId="72786743"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BLASTp searches identified suitable crystallographic templates for both target proteins. For </w:t>
      </w:r>
      <w:r w:rsidRPr="00FA6665">
        <w:rPr>
          <w:rFonts w:ascii="Times" w:eastAsia="Times New Roman" w:hAnsi="Times" w:cs="Times New Roman"/>
          <w:i/>
          <w:iCs/>
          <w:lang w:val="en-IN"/>
        </w:rPr>
        <w:t>S. olivacea</w:t>
      </w:r>
      <w:r w:rsidRPr="00FA6665">
        <w:rPr>
          <w:rFonts w:ascii="Times" w:eastAsia="Times New Roman" w:hAnsi="Times" w:cs="Times New Roman"/>
          <w:lang w:val="en-IN"/>
        </w:rPr>
        <w:t xml:space="preserve"> hemocyanin (SOHP sequence), the hemocyanin crystal structure from </w:t>
      </w:r>
      <w:r w:rsidRPr="00FA6665">
        <w:rPr>
          <w:rFonts w:ascii="Times" w:eastAsia="Times New Roman" w:hAnsi="Times" w:cs="Times New Roman"/>
          <w:i/>
          <w:iCs/>
          <w:lang w:val="en-IN"/>
        </w:rPr>
        <w:t>Panulirus interruptus</w:t>
      </w:r>
      <w:r w:rsidRPr="00FA6665">
        <w:rPr>
          <w:rFonts w:ascii="Times" w:eastAsia="Times New Roman" w:hAnsi="Times" w:cs="Times New Roman"/>
          <w:lang w:val="en-IN"/>
        </w:rPr>
        <w:t xml:space="preserve"> (PDB code: 1HC1, Chain A) yielded the highest sequence identity at 61.16%. For </w:t>
      </w:r>
      <w:r w:rsidRPr="00FA6665">
        <w:rPr>
          <w:rFonts w:ascii="Times" w:eastAsia="Times New Roman" w:hAnsi="Times" w:cs="Times New Roman"/>
          <w:i/>
          <w:iCs/>
          <w:lang w:val="en-IN"/>
        </w:rPr>
        <w:t>S. serrata</w:t>
      </w:r>
      <w:r w:rsidRPr="00FA6665">
        <w:rPr>
          <w:rFonts w:ascii="Times" w:eastAsia="Times New Roman" w:hAnsi="Times" w:cs="Times New Roman"/>
          <w:lang w:val="en-IN"/>
        </w:rPr>
        <w:t xml:space="preserve"> hemocyanin (SSHP sequence), the crystal structure of hemocyanin from </w:t>
      </w:r>
      <w:r w:rsidRPr="00FA6665">
        <w:rPr>
          <w:rFonts w:ascii="Times" w:eastAsia="Times New Roman" w:hAnsi="Times" w:cs="Times New Roman"/>
          <w:i/>
          <w:iCs/>
          <w:lang w:val="en-IN"/>
        </w:rPr>
        <w:t>Panulirus japonicus</w:t>
      </w:r>
      <w:r w:rsidRPr="00FA6665">
        <w:rPr>
          <w:rFonts w:ascii="Times" w:eastAsia="Times New Roman" w:hAnsi="Times" w:cs="Times New Roman"/>
          <w:lang w:val="en-IN"/>
        </w:rPr>
        <w:t xml:space="preserve"> (PDB code: 6L8S, Chain B) provided the highest sequence identity at 53.55%.</w:t>
      </w:r>
    </w:p>
    <w:p w14:paraId="101E7745"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The selection of 1HC1 and 6L8S is structurally plausible because both are experimentally resolved crustacean hemocyanins: the </w:t>
      </w:r>
      <w:r w:rsidRPr="00FA6665">
        <w:rPr>
          <w:rFonts w:ascii="Times" w:hAnsi="Times"/>
          <w:i/>
        </w:rPr>
        <w:t>Panulirus interruptus</w:t>
      </w:r>
      <w:r w:rsidRPr="00FA6665">
        <w:rPr>
          <w:rFonts w:ascii="Times" w:hAnsi="Times"/>
        </w:rPr>
        <w:t xml:space="preserve"> hexamer was refined at 3.2 Å resolution, whereas the </w:t>
      </w:r>
      <w:r w:rsidRPr="00FA6665">
        <w:rPr>
          <w:rFonts w:ascii="Times" w:hAnsi="Times"/>
          <w:i/>
        </w:rPr>
        <w:t>Panulirus japonicus</w:t>
      </w:r>
      <w:r>
        <w:rPr>
          <w:rFonts w:ascii="Times" w:hAnsi="Times"/>
        </w:rPr>
        <w:t xml:space="preserve"> hemocyanin structure was determined at 1.58 Å resolution (Volbeda &amp; Hol, 1989; Masuda et al., 2020). The use of homologous experimental structures as templates is consistent with </w:t>
      </w:r>
      <w:r>
        <w:rPr>
          <w:rFonts w:ascii="Times" w:hAnsi="Times"/>
          <w:highlight w:val="yellow"/>
        </w:rPr>
        <w:t>comparative-modelling practice</w:t>
      </w:r>
      <w:r>
        <w:rPr>
          <w:rFonts w:ascii="Times" w:hAnsi="Times"/>
        </w:rPr>
        <w:t>, in which model accuracy is strongly influenced by target-template similarity and alignment quality (Sali et al., 1995; Wallner &amp; Elofsson, 2003).</w:t>
      </w:r>
    </w:p>
    <w:p w14:paraId="7BD24457"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b/>
          <w:bCs/>
          <w:lang w:val="en-IN"/>
        </w:rPr>
        <w:lastRenderedPageBreak/>
        <w:t>Table 1.</w:t>
      </w:r>
      <w:r w:rsidRPr="00FA6665">
        <w:rPr>
          <w:rFonts w:ascii="Times" w:eastAsia="Times New Roman" w:hAnsi="Times" w:cs="Times New Roman"/>
          <w:lang w:val="en-IN"/>
        </w:rPr>
        <w:t xml:space="preserve"> Homology search results for </w:t>
      </w:r>
      <w:r w:rsidRPr="00FA6665">
        <w:rPr>
          <w:rFonts w:ascii="Times" w:eastAsia="Times New Roman" w:hAnsi="Times" w:cs="Times New Roman"/>
          <w:i/>
          <w:iCs/>
          <w:lang w:val="en-IN"/>
        </w:rPr>
        <w:t>Scylla olivacea</w:t>
      </w:r>
      <w:r w:rsidRPr="00FA6665">
        <w:rPr>
          <w:rFonts w:ascii="Times" w:eastAsia="Times New Roman" w:hAnsi="Times" w:cs="Times New Roman"/>
          <w:lang w:val="en-IN"/>
        </w:rPr>
        <w:t xml:space="preserve"> hemocyanin (SOHP sequence) against PDB.</w:t>
      </w:r>
    </w:p>
    <w:tbl>
      <w:tblPr>
        <w:tblW w:w="9807" w:type="dxa"/>
        <w:tblCellSpacing w:w="15" w:type="dxa"/>
        <w:tblCellMar>
          <w:top w:w="15" w:type="dxa"/>
          <w:left w:w="15" w:type="dxa"/>
          <w:bottom w:w="15" w:type="dxa"/>
          <w:right w:w="15" w:type="dxa"/>
        </w:tblCellMar>
        <w:tblLook w:val="04A0" w:firstRow="1" w:lastRow="0" w:firstColumn="1" w:lastColumn="0" w:noHBand="0" w:noVBand="1"/>
      </w:tblPr>
      <w:tblGrid>
        <w:gridCol w:w="666"/>
        <w:gridCol w:w="1034"/>
        <w:gridCol w:w="5680"/>
        <w:gridCol w:w="818"/>
        <w:gridCol w:w="1609"/>
      </w:tblGrid>
      <w:tr w:rsidR="00A50007" w:rsidRPr="00FA6665" w14:paraId="5EC2AB32" w14:textId="77777777" w:rsidTr="00A50007">
        <w:trPr>
          <w:trHeight w:val="289"/>
          <w:tblHeader/>
          <w:tblCellSpacing w:w="15" w:type="dxa"/>
        </w:trPr>
        <w:tc>
          <w:tcPr>
            <w:tcW w:w="0" w:type="auto"/>
            <w:vAlign w:val="center"/>
            <w:hideMark/>
          </w:tcPr>
          <w:p w14:paraId="4C94B93D" w14:textId="77777777" w:rsidR="00A50007" w:rsidRPr="00FA6665" w:rsidRDefault="00A50007" w:rsidP="00A50007">
            <w:pPr>
              <w:jc w:val="both"/>
              <w:rPr>
                <w:rFonts w:ascii="Times" w:eastAsia="Times New Roman" w:hAnsi="Times" w:cs="Times New Roman"/>
                <w:b/>
                <w:bCs/>
                <w:lang w:val="en-IN"/>
              </w:rPr>
            </w:pPr>
            <w:proofErr w:type="gramStart"/>
            <w:r w:rsidRPr="00FA6665">
              <w:rPr>
                <w:rFonts w:ascii="Times" w:eastAsia="Times New Roman" w:hAnsi="Times" w:cs="Times New Roman"/>
                <w:b/>
                <w:bCs/>
                <w:lang w:val="en-IN"/>
              </w:rPr>
              <w:t>S.No</w:t>
            </w:r>
            <w:proofErr w:type="gramEnd"/>
          </w:p>
        </w:tc>
        <w:tc>
          <w:tcPr>
            <w:tcW w:w="0" w:type="auto"/>
            <w:vAlign w:val="center"/>
            <w:hideMark/>
          </w:tcPr>
          <w:p w14:paraId="009327EA"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PDB ID</w:t>
            </w:r>
          </w:p>
        </w:tc>
        <w:tc>
          <w:tcPr>
            <w:tcW w:w="0" w:type="auto"/>
            <w:vAlign w:val="center"/>
            <w:hideMark/>
          </w:tcPr>
          <w:p w14:paraId="286EEBD0"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Protein Name</w:t>
            </w:r>
          </w:p>
        </w:tc>
        <w:tc>
          <w:tcPr>
            <w:tcW w:w="0" w:type="auto"/>
            <w:vAlign w:val="center"/>
            <w:hideMark/>
          </w:tcPr>
          <w:p w14:paraId="4259600F"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Chain</w:t>
            </w:r>
          </w:p>
        </w:tc>
        <w:tc>
          <w:tcPr>
            <w:tcW w:w="0" w:type="auto"/>
            <w:vAlign w:val="center"/>
            <w:hideMark/>
          </w:tcPr>
          <w:p w14:paraId="79C6E817"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Identity (%)</w:t>
            </w:r>
          </w:p>
        </w:tc>
      </w:tr>
      <w:tr w:rsidR="00A50007" w:rsidRPr="00FA6665" w14:paraId="0C7DCDC6" w14:textId="77777777" w:rsidTr="00A50007">
        <w:trPr>
          <w:trHeight w:val="248"/>
          <w:tblCellSpacing w:w="15" w:type="dxa"/>
        </w:trPr>
        <w:tc>
          <w:tcPr>
            <w:tcW w:w="0" w:type="auto"/>
            <w:vAlign w:val="center"/>
            <w:hideMark/>
          </w:tcPr>
          <w:p w14:paraId="6D2E8C48"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1</w:t>
            </w:r>
          </w:p>
        </w:tc>
        <w:tc>
          <w:tcPr>
            <w:tcW w:w="0" w:type="auto"/>
            <w:vAlign w:val="center"/>
            <w:hideMark/>
          </w:tcPr>
          <w:p w14:paraId="2DC88E4F"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b/>
                <w:bCs/>
                <w:lang w:val="en-IN"/>
              </w:rPr>
              <w:t>1HC1</w:t>
            </w:r>
          </w:p>
        </w:tc>
        <w:tc>
          <w:tcPr>
            <w:tcW w:w="0" w:type="auto"/>
            <w:vAlign w:val="center"/>
            <w:hideMark/>
          </w:tcPr>
          <w:p w14:paraId="020832C3"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Haemocyanin [</w:t>
            </w:r>
            <w:r w:rsidRPr="00FA6665">
              <w:rPr>
                <w:rFonts w:ascii="Times" w:eastAsia="Times New Roman" w:hAnsi="Times" w:cs="Times New Roman"/>
                <w:i/>
                <w:iCs/>
                <w:lang w:val="en-IN"/>
              </w:rPr>
              <w:t>Panulirus interruptus</w:t>
            </w:r>
            <w:r w:rsidRPr="00FA6665">
              <w:rPr>
                <w:rFonts w:ascii="Times" w:eastAsia="Times New Roman" w:hAnsi="Times" w:cs="Times New Roman"/>
                <w:lang w:val="en-IN"/>
              </w:rPr>
              <w:t>]</w:t>
            </w:r>
          </w:p>
        </w:tc>
        <w:tc>
          <w:tcPr>
            <w:tcW w:w="0" w:type="auto"/>
            <w:vAlign w:val="center"/>
            <w:hideMark/>
          </w:tcPr>
          <w:p w14:paraId="0F900FF3"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A</w:t>
            </w:r>
          </w:p>
        </w:tc>
        <w:tc>
          <w:tcPr>
            <w:tcW w:w="0" w:type="auto"/>
            <w:vAlign w:val="center"/>
            <w:hideMark/>
          </w:tcPr>
          <w:p w14:paraId="24C09E18"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b/>
                <w:bCs/>
                <w:lang w:val="en-IN"/>
              </w:rPr>
              <w:t>61.16</w:t>
            </w:r>
          </w:p>
        </w:tc>
      </w:tr>
      <w:tr w:rsidR="00A50007" w:rsidRPr="00FA6665" w14:paraId="5EB0481E" w14:textId="77777777" w:rsidTr="00A50007">
        <w:trPr>
          <w:trHeight w:val="269"/>
          <w:tblCellSpacing w:w="15" w:type="dxa"/>
        </w:trPr>
        <w:tc>
          <w:tcPr>
            <w:tcW w:w="0" w:type="auto"/>
            <w:vAlign w:val="center"/>
            <w:hideMark/>
          </w:tcPr>
          <w:p w14:paraId="514BCA3E"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2</w:t>
            </w:r>
          </w:p>
        </w:tc>
        <w:tc>
          <w:tcPr>
            <w:tcW w:w="0" w:type="auto"/>
            <w:vAlign w:val="center"/>
            <w:hideMark/>
          </w:tcPr>
          <w:p w14:paraId="639A97E5"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6L8S</w:t>
            </w:r>
          </w:p>
        </w:tc>
        <w:tc>
          <w:tcPr>
            <w:tcW w:w="0" w:type="auto"/>
            <w:vAlign w:val="center"/>
            <w:hideMark/>
          </w:tcPr>
          <w:p w14:paraId="3CC21132"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Hemocyanin [</w:t>
            </w:r>
            <w:r w:rsidRPr="00FA6665">
              <w:rPr>
                <w:rFonts w:ascii="Times" w:eastAsia="Times New Roman" w:hAnsi="Times" w:cs="Times New Roman"/>
                <w:i/>
                <w:iCs/>
                <w:lang w:val="en-IN"/>
              </w:rPr>
              <w:t>Panulirus japonicus</w:t>
            </w:r>
            <w:r w:rsidRPr="00FA6665">
              <w:rPr>
                <w:rFonts w:ascii="Times" w:eastAsia="Times New Roman" w:hAnsi="Times" w:cs="Times New Roman"/>
                <w:lang w:val="en-IN"/>
              </w:rPr>
              <w:t>]</w:t>
            </w:r>
          </w:p>
        </w:tc>
        <w:tc>
          <w:tcPr>
            <w:tcW w:w="0" w:type="auto"/>
            <w:vAlign w:val="center"/>
            <w:hideMark/>
          </w:tcPr>
          <w:p w14:paraId="7C1A7F4E"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C</w:t>
            </w:r>
          </w:p>
        </w:tc>
        <w:tc>
          <w:tcPr>
            <w:tcW w:w="0" w:type="auto"/>
            <w:vAlign w:val="center"/>
            <w:hideMark/>
          </w:tcPr>
          <w:p w14:paraId="1F92D2DE"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60.83</w:t>
            </w:r>
          </w:p>
        </w:tc>
      </w:tr>
      <w:tr w:rsidR="00A50007" w:rsidRPr="00FA6665" w14:paraId="71E26998" w14:textId="77777777" w:rsidTr="00A50007">
        <w:trPr>
          <w:trHeight w:val="269"/>
          <w:tblCellSpacing w:w="15" w:type="dxa"/>
        </w:trPr>
        <w:tc>
          <w:tcPr>
            <w:tcW w:w="0" w:type="auto"/>
            <w:vAlign w:val="center"/>
            <w:hideMark/>
          </w:tcPr>
          <w:p w14:paraId="2BCB8CF4"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3</w:t>
            </w:r>
          </w:p>
        </w:tc>
        <w:tc>
          <w:tcPr>
            <w:tcW w:w="0" w:type="auto"/>
            <w:vAlign w:val="center"/>
            <w:hideMark/>
          </w:tcPr>
          <w:p w14:paraId="3AEB2F41"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3IXV</w:t>
            </w:r>
          </w:p>
        </w:tc>
        <w:tc>
          <w:tcPr>
            <w:tcW w:w="0" w:type="auto"/>
            <w:vAlign w:val="center"/>
            <w:hideMark/>
          </w:tcPr>
          <w:p w14:paraId="6B809672"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Hemocyanin AA6 chain [</w:t>
            </w:r>
            <w:r w:rsidRPr="00FA6665">
              <w:rPr>
                <w:rFonts w:ascii="Times" w:eastAsia="Times New Roman" w:hAnsi="Times" w:cs="Times New Roman"/>
                <w:i/>
                <w:iCs/>
                <w:lang w:val="en-IN"/>
              </w:rPr>
              <w:t>Androctonus australis</w:t>
            </w:r>
            <w:r w:rsidRPr="00FA6665">
              <w:rPr>
                <w:rFonts w:ascii="Times" w:eastAsia="Times New Roman" w:hAnsi="Times" w:cs="Times New Roman"/>
                <w:lang w:val="en-IN"/>
              </w:rPr>
              <w:t>]</w:t>
            </w:r>
          </w:p>
        </w:tc>
        <w:tc>
          <w:tcPr>
            <w:tcW w:w="0" w:type="auto"/>
            <w:vAlign w:val="center"/>
            <w:hideMark/>
          </w:tcPr>
          <w:p w14:paraId="3F187858"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A</w:t>
            </w:r>
          </w:p>
        </w:tc>
        <w:tc>
          <w:tcPr>
            <w:tcW w:w="0" w:type="auto"/>
            <w:vAlign w:val="center"/>
            <w:hideMark/>
          </w:tcPr>
          <w:p w14:paraId="28CD9539"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35.50</w:t>
            </w:r>
          </w:p>
        </w:tc>
      </w:tr>
      <w:tr w:rsidR="00A50007" w:rsidRPr="00FA6665" w14:paraId="7A94B0AC" w14:textId="77777777" w:rsidTr="00A50007">
        <w:trPr>
          <w:trHeight w:val="289"/>
          <w:tblCellSpacing w:w="15" w:type="dxa"/>
        </w:trPr>
        <w:tc>
          <w:tcPr>
            <w:tcW w:w="0" w:type="auto"/>
            <w:vAlign w:val="center"/>
            <w:hideMark/>
          </w:tcPr>
          <w:p w14:paraId="15F9EDC6"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4</w:t>
            </w:r>
          </w:p>
        </w:tc>
        <w:tc>
          <w:tcPr>
            <w:tcW w:w="0" w:type="auto"/>
            <w:vAlign w:val="center"/>
            <w:hideMark/>
          </w:tcPr>
          <w:p w14:paraId="30237AA8"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1LL1</w:t>
            </w:r>
          </w:p>
        </w:tc>
        <w:tc>
          <w:tcPr>
            <w:tcW w:w="0" w:type="auto"/>
            <w:vAlign w:val="center"/>
            <w:hideMark/>
          </w:tcPr>
          <w:p w14:paraId="5C253B92"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Metcyanin II [</w:t>
            </w:r>
            <w:r w:rsidRPr="00FA6665">
              <w:rPr>
                <w:rFonts w:ascii="Times" w:eastAsia="Times New Roman" w:hAnsi="Times" w:cs="Times New Roman"/>
                <w:i/>
                <w:iCs/>
                <w:lang w:val="en-IN"/>
              </w:rPr>
              <w:t>Limulus polyphemus</w:t>
            </w:r>
            <w:r w:rsidRPr="00FA6665">
              <w:rPr>
                <w:rFonts w:ascii="Times" w:eastAsia="Times New Roman" w:hAnsi="Times" w:cs="Times New Roman"/>
                <w:lang w:val="en-IN"/>
              </w:rPr>
              <w:t>]</w:t>
            </w:r>
          </w:p>
        </w:tc>
        <w:tc>
          <w:tcPr>
            <w:tcW w:w="0" w:type="auto"/>
            <w:vAlign w:val="center"/>
            <w:hideMark/>
          </w:tcPr>
          <w:p w14:paraId="1B6B4741"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A</w:t>
            </w:r>
          </w:p>
        </w:tc>
        <w:tc>
          <w:tcPr>
            <w:tcW w:w="0" w:type="auto"/>
            <w:vAlign w:val="center"/>
            <w:hideMark/>
          </w:tcPr>
          <w:p w14:paraId="7D993BB6"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34.60</w:t>
            </w:r>
          </w:p>
        </w:tc>
      </w:tr>
    </w:tbl>
    <w:p w14:paraId="354AA48E"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b/>
          <w:bCs/>
          <w:lang w:val="en-IN"/>
        </w:rPr>
        <w:t>Table 2.</w:t>
      </w:r>
      <w:r w:rsidRPr="00FA6665">
        <w:rPr>
          <w:rFonts w:ascii="Times" w:eastAsia="Times New Roman" w:hAnsi="Times" w:cs="Times New Roman"/>
          <w:lang w:val="en-IN"/>
        </w:rPr>
        <w:t xml:space="preserve"> Homology search results for </w:t>
      </w:r>
      <w:r w:rsidRPr="00FA6665">
        <w:rPr>
          <w:rFonts w:ascii="Times" w:eastAsia="Times New Roman" w:hAnsi="Times" w:cs="Times New Roman"/>
          <w:i/>
          <w:iCs/>
          <w:lang w:val="en-IN"/>
        </w:rPr>
        <w:t>Scylla serrata</w:t>
      </w:r>
      <w:r w:rsidRPr="00FA6665">
        <w:rPr>
          <w:rFonts w:ascii="Times" w:eastAsia="Times New Roman" w:hAnsi="Times" w:cs="Times New Roman"/>
          <w:lang w:val="en-IN"/>
        </w:rPr>
        <w:t xml:space="preserve"> hemocyanin (SSHP sequence) against PDB.</w:t>
      </w:r>
    </w:p>
    <w:tbl>
      <w:tblPr>
        <w:tblW w:w="10195" w:type="dxa"/>
        <w:tblCellSpacing w:w="15" w:type="dxa"/>
        <w:tblCellMar>
          <w:top w:w="15" w:type="dxa"/>
          <w:left w:w="15" w:type="dxa"/>
          <w:bottom w:w="15" w:type="dxa"/>
          <w:right w:w="15" w:type="dxa"/>
        </w:tblCellMar>
        <w:tblLook w:val="04A0" w:firstRow="1" w:lastRow="0" w:firstColumn="1" w:lastColumn="0" w:noHBand="0" w:noVBand="1"/>
      </w:tblPr>
      <w:tblGrid>
        <w:gridCol w:w="788"/>
        <w:gridCol w:w="1232"/>
        <w:gridCol w:w="5283"/>
        <w:gridCol w:w="974"/>
        <w:gridCol w:w="1918"/>
      </w:tblGrid>
      <w:tr w:rsidR="00A50007" w:rsidRPr="00FA6665" w14:paraId="2CC67CF6" w14:textId="77777777" w:rsidTr="00A50007">
        <w:trPr>
          <w:trHeight w:val="309"/>
          <w:tblHeader/>
          <w:tblCellSpacing w:w="15" w:type="dxa"/>
        </w:trPr>
        <w:tc>
          <w:tcPr>
            <w:tcW w:w="0" w:type="auto"/>
            <w:vAlign w:val="center"/>
            <w:hideMark/>
          </w:tcPr>
          <w:p w14:paraId="0B97AEFC" w14:textId="77777777" w:rsidR="00A50007" w:rsidRPr="00FA6665" w:rsidRDefault="00A50007" w:rsidP="00A50007">
            <w:pPr>
              <w:jc w:val="both"/>
              <w:rPr>
                <w:rFonts w:ascii="Times" w:eastAsia="Times New Roman" w:hAnsi="Times" w:cs="Times New Roman"/>
                <w:b/>
                <w:bCs/>
                <w:lang w:val="en-IN"/>
              </w:rPr>
            </w:pPr>
            <w:proofErr w:type="gramStart"/>
            <w:r w:rsidRPr="00FA6665">
              <w:rPr>
                <w:rFonts w:ascii="Times" w:eastAsia="Times New Roman" w:hAnsi="Times" w:cs="Times New Roman"/>
                <w:b/>
                <w:bCs/>
                <w:lang w:val="en-IN"/>
              </w:rPr>
              <w:t>S.No</w:t>
            </w:r>
            <w:proofErr w:type="gramEnd"/>
          </w:p>
        </w:tc>
        <w:tc>
          <w:tcPr>
            <w:tcW w:w="0" w:type="auto"/>
            <w:vAlign w:val="center"/>
            <w:hideMark/>
          </w:tcPr>
          <w:p w14:paraId="5520B364"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PDB ID</w:t>
            </w:r>
          </w:p>
        </w:tc>
        <w:tc>
          <w:tcPr>
            <w:tcW w:w="0" w:type="auto"/>
            <w:vAlign w:val="center"/>
            <w:hideMark/>
          </w:tcPr>
          <w:p w14:paraId="628EE5DB"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Protein Name</w:t>
            </w:r>
          </w:p>
        </w:tc>
        <w:tc>
          <w:tcPr>
            <w:tcW w:w="0" w:type="auto"/>
            <w:vAlign w:val="center"/>
            <w:hideMark/>
          </w:tcPr>
          <w:p w14:paraId="1F14FD4B"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Chain</w:t>
            </w:r>
          </w:p>
        </w:tc>
        <w:tc>
          <w:tcPr>
            <w:tcW w:w="0" w:type="auto"/>
            <w:vAlign w:val="center"/>
            <w:hideMark/>
          </w:tcPr>
          <w:p w14:paraId="0345EDF5"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Identity (%)</w:t>
            </w:r>
          </w:p>
        </w:tc>
      </w:tr>
      <w:tr w:rsidR="00A50007" w:rsidRPr="00FA6665" w14:paraId="47C5C81A" w14:textId="77777777" w:rsidTr="00A50007">
        <w:trPr>
          <w:trHeight w:val="265"/>
          <w:tblCellSpacing w:w="15" w:type="dxa"/>
        </w:trPr>
        <w:tc>
          <w:tcPr>
            <w:tcW w:w="0" w:type="auto"/>
            <w:vAlign w:val="center"/>
            <w:hideMark/>
          </w:tcPr>
          <w:p w14:paraId="55B4C29C"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1</w:t>
            </w:r>
          </w:p>
        </w:tc>
        <w:tc>
          <w:tcPr>
            <w:tcW w:w="0" w:type="auto"/>
            <w:vAlign w:val="center"/>
            <w:hideMark/>
          </w:tcPr>
          <w:p w14:paraId="129AB1F7"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b/>
                <w:bCs/>
                <w:lang w:val="en-IN"/>
              </w:rPr>
              <w:t>6L8S</w:t>
            </w:r>
          </w:p>
        </w:tc>
        <w:tc>
          <w:tcPr>
            <w:tcW w:w="0" w:type="auto"/>
            <w:vAlign w:val="center"/>
            <w:hideMark/>
          </w:tcPr>
          <w:p w14:paraId="53AA1BA8"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Hemocyanin [</w:t>
            </w:r>
            <w:r w:rsidRPr="00FA6665">
              <w:rPr>
                <w:rFonts w:ascii="Times" w:eastAsia="Times New Roman" w:hAnsi="Times" w:cs="Times New Roman"/>
                <w:i/>
                <w:iCs/>
                <w:lang w:val="en-IN"/>
              </w:rPr>
              <w:t>Panulirus japonicus</w:t>
            </w:r>
            <w:r w:rsidRPr="00FA6665">
              <w:rPr>
                <w:rFonts w:ascii="Times" w:eastAsia="Times New Roman" w:hAnsi="Times" w:cs="Times New Roman"/>
                <w:lang w:val="en-IN"/>
              </w:rPr>
              <w:t>]</w:t>
            </w:r>
          </w:p>
        </w:tc>
        <w:tc>
          <w:tcPr>
            <w:tcW w:w="0" w:type="auto"/>
            <w:vAlign w:val="center"/>
            <w:hideMark/>
          </w:tcPr>
          <w:p w14:paraId="3FF3EE72"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B</w:t>
            </w:r>
          </w:p>
        </w:tc>
        <w:tc>
          <w:tcPr>
            <w:tcW w:w="0" w:type="auto"/>
            <w:vAlign w:val="center"/>
            <w:hideMark/>
          </w:tcPr>
          <w:p w14:paraId="0C0F7345"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b/>
                <w:bCs/>
                <w:lang w:val="en-IN"/>
              </w:rPr>
              <w:t>53.55</w:t>
            </w:r>
          </w:p>
        </w:tc>
      </w:tr>
      <w:tr w:rsidR="00A50007" w:rsidRPr="00FA6665" w14:paraId="78D853A7" w14:textId="77777777" w:rsidTr="00A50007">
        <w:trPr>
          <w:trHeight w:val="287"/>
          <w:tblCellSpacing w:w="15" w:type="dxa"/>
        </w:trPr>
        <w:tc>
          <w:tcPr>
            <w:tcW w:w="0" w:type="auto"/>
            <w:vAlign w:val="center"/>
            <w:hideMark/>
          </w:tcPr>
          <w:p w14:paraId="099A6377"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2</w:t>
            </w:r>
          </w:p>
        </w:tc>
        <w:tc>
          <w:tcPr>
            <w:tcW w:w="0" w:type="auto"/>
            <w:vAlign w:val="center"/>
            <w:hideMark/>
          </w:tcPr>
          <w:p w14:paraId="02E693CB"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1HC1</w:t>
            </w:r>
          </w:p>
        </w:tc>
        <w:tc>
          <w:tcPr>
            <w:tcW w:w="0" w:type="auto"/>
            <w:vAlign w:val="center"/>
            <w:hideMark/>
          </w:tcPr>
          <w:p w14:paraId="62C071C4"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Haemocyanin [</w:t>
            </w:r>
            <w:r w:rsidRPr="00FA6665">
              <w:rPr>
                <w:rFonts w:ascii="Times" w:eastAsia="Times New Roman" w:hAnsi="Times" w:cs="Times New Roman"/>
                <w:i/>
                <w:iCs/>
                <w:lang w:val="en-IN"/>
              </w:rPr>
              <w:t>Panulirus interruptus</w:t>
            </w:r>
            <w:r w:rsidRPr="00FA6665">
              <w:rPr>
                <w:rFonts w:ascii="Times" w:eastAsia="Times New Roman" w:hAnsi="Times" w:cs="Times New Roman"/>
                <w:lang w:val="en-IN"/>
              </w:rPr>
              <w:t>]</w:t>
            </w:r>
          </w:p>
        </w:tc>
        <w:tc>
          <w:tcPr>
            <w:tcW w:w="0" w:type="auto"/>
            <w:vAlign w:val="center"/>
            <w:hideMark/>
          </w:tcPr>
          <w:p w14:paraId="0BD94DB1"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A</w:t>
            </w:r>
          </w:p>
        </w:tc>
        <w:tc>
          <w:tcPr>
            <w:tcW w:w="0" w:type="auto"/>
            <w:vAlign w:val="center"/>
            <w:hideMark/>
          </w:tcPr>
          <w:p w14:paraId="2A862F7B"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52.20</w:t>
            </w:r>
          </w:p>
        </w:tc>
      </w:tr>
      <w:tr w:rsidR="00A50007" w:rsidRPr="00FA6665" w14:paraId="230CDF7C" w14:textId="77777777" w:rsidTr="00A50007">
        <w:trPr>
          <w:trHeight w:val="287"/>
          <w:tblCellSpacing w:w="15" w:type="dxa"/>
        </w:trPr>
        <w:tc>
          <w:tcPr>
            <w:tcW w:w="0" w:type="auto"/>
            <w:vAlign w:val="center"/>
            <w:hideMark/>
          </w:tcPr>
          <w:p w14:paraId="1E0E22EF"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3</w:t>
            </w:r>
          </w:p>
        </w:tc>
        <w:tc>
          <w:tcPr>
            <w:tcW w:w="0" w:type="auto"/>
            <w:vAlign w:val="center"/>
            <w:hideMark/>
          </w:tcPr>
          <w:p w14:paraId="1F5EE8A4"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1LL1</w:t>
            </w:r>
          </w:p>
        </w:tc>
        <w:tc>
          <w:tcPr>
            <w:tcW w:w="0" w:type="auto"/>
            <w:vAlign w:val="center"/>
            <w:hideMark/>
          </w:tcPr>
          <w:p w14:paraId="170FAFCD"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Metcyanin II [</w:t>
            </w:r>
            <w:r w:rsidRPr="00FA6665">
              <w:rPr>
                <w:rFonts w:ascii="Times" w:eastAsia="Times New Roman" w:hAnsi="Times" w:cs="Times New Roman"/>
                <w:i/>
                <w:iCs/>
                <w:lang w:val="en-IN"/>
              </w:rPr>
              <w:t>Limulus polyphemus</w:t>
            </w:r>
            <w:r w:rsidRPr="00FA6665">
              <w:rPr>
                <w:rFonts w:ascii="Times" w:eastAsia="Times New Roman" w:hAnsi="Times" w:cs="Times New Roman"/>
                <w:lang w:val="en-IN"/>
              </w:rPr>
              <w:t>]</w:t>
            </w:r>
          </w:p>
        </w:tc>
        <w:tc>
          <w:tcPr>
            <w:tcW w:w="0" w:type="auto"/>
            <w:vAlign w:val="center"/>
            <w:hideMark/>
          </w:tcPr>
          <w:p w14:paraId="4FD8053E"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A</w:t>
            </w:r>
          </w:p>
        </w:tc>
        <w:tc>
          <w:tcPr>
            <w:tcW w:w="0" w:type="auto"/>
            <w:vAlign w:val="center"/>
            <w:hideMark/>
          </w:tcPr>
          <w:p w14:paraId="2D4DF716"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32.08</w:t>
            </w:r>
          </w:p>
        </w:tc>
      </w:tr>
      <w:tr w:rsidR="00A50007" w:rsidRPr="00FA6665" w14:paraId="71F58A43" w14:textId="77777777" w:rsidTr="00A50007">
        <w:trPr>
          <w:trHeight w:val="309"/>
          <w:tblCellSpacing w:w="15" w:type="dxa"/>
        </w:trPr>
        <w:tc>
          <w:tcPr>
            <w:tcW w:w="0" w:type="auto"/>
            <w:vAlign w:val="center"/>
            <w:hideMark/>
          </w:tcPr>
          <w:p w14:paraId="3FE65F61"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4</w:t>
            </w:r>
          </w:p>
        </w:tc>
        <w:tc>
          <w:tcPr>
            <w:tcW w:w="0" w:type="auto"/>
            <w:vAlign w:val="center"/>
            <w:hideMark/>
          </w:tcPr>
          <w:p w14:paraId="03E5E316"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1OXY</w:t>
            </w:r>
          </w:p>
        </w:tc>
        <w:tc>
          <w:tcPr>
            <w:tcW w:w="0" w:type="auto"/>
            <w:vAlign w:val="center"/>
            <w:hideMark/>
          </w:tcPr>
          <w:p w14:paraId="2545641D"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Hemocyanin [</w:t>
            </w:r>
            <w:r w:rsidRPr="00FA6665">
              <w:rPr>
                <w:rFonts w:ascii="Times" w:eastAsia="Times New Roman" w:hAnsi="Times" w:cs="Times New Roman"/>
                <w:i/>
                <w:iCs/>
                <w:lang w:val="en-IN"/>
              </w:rPr>
              <w:t>Limulus polyphemus</w:t>
            </w:r>
            <w:r w:rsidRPr="00FA6665">
              <w:rPr>
                <w:rFonts w:ascii="Times" w:eastAsia="Times New Roman" w:hAnsi="Times" w:cs="Times New Roman"/>
                <w:lang w:val="en-IN"/>
              </w:rPr>
              <w:t>]</w:t>
            </w:r>
          </w:p>
        </w:tc>
        <w:tc>
          <w:tcPr>
            <w:tcW w:w="0" w:type="auto"/>
            <w:vAlign w:val="center"/>
            <w:hideMark/>
          </w:tcPr>
          <w:p w14:paraId="721E6AF3"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A</w:t>
            </w:r>
          </w:p>
        </w:tc>
        <w:tc>
          <w:tcPr>
            <w:tcW w:w="0" w:type="auto"/>
            <w:vAlign w:val="center"/>
            <w:hideMark/>
          </w:tcPr>
          <w:p w14:paraId="13F9D1E2"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32.08</w:t>
            </w:r>
          </w:p>
        </w:tc>
      </w:tr>
    </w:tbl>
    <w:p w14:paraId="73C63143" w14:textId="77777777" w:rsidR="00A50007" w:rsidRPr="00FA6665" w:rsidRDefault="00A50007" w:rsidP="00A50007">
      <w:pPr>
        <w:spacing w:before="100" w:beforeAutospacing="1" w:after="100" w:afterAutospacing="1"/>
        <w:jc w:val="both"/>
        <w:outlineLvl w:val="2"/>
        <w:rPr>
          <w:rFonts w:ascii="Times" w:eastAsia="Times New Roman" w:hAnsi="Times" w:cs="Times New Roman"/>
          <w:b/>
          <w:bCs/>
          <w:lang w:val="en-IN"/>
        </w:rPr>
      </w:pPr>
      <w:r w:rsidRPr="00FA6665">
        <w:rPr>
          <w:rFonts w:ascii="Times" w:eastAsia="Times New Roman" w:hAnsi="Times" w:cs="Times New Roman"/>
          <w:b/>
          <w:bCs/>
          <w:lang w:val="en-IN"/>
        </w:rPr>
        <w:t>3.2 3D Structure Generation and Model Validation</w:t>
      </w:r>
    </w:p>
    <w:p w14:paraId="155CBA2C"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Among the generated candidate models, Model 1 (SOHP) and Model 2 (SSHP) exhibited the lowest DOPE scores (−72155.39 and −69653.12, respectively) and were selected for full structural evaluation.</w:t>
      </w:r>
    </w:p>
    <w:p w14:paraId="215EF3F1"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b/>
          <w:bCs/>
          <w:lang w:val="en-IN"/>
        </w:rPr>
        <w:t>SOHP (</w:t>
      </w:r>
      <w:r w:rsidRPr="00FA6665">
        <w:rPr>
          <w:rFonts w:ascii="Times" w:eastAsia="Times New Roman" w:hAnsi="Times" w:cs="Times New Roman"/>
          <w:b/>
          <w:bCs/>
          <w:i/>
          <w:iCs/>
          <w:lang w:val="en-IN"/>
        </w:rPr>
        <w:t>S. olivacea</w:t>
      </w:r>
      <w:r w:rsidRPr="00FA6665">
        <w:rPr>
          <w:rFonts w:ascii="Times" w:eastAsia="Times New Roman" w:hAnsi="Times" w:cs="Times New Roman"/>
          <w:b/>
          <w:bCs/>
          <w:lang w:val="en-IN"/>
        </w:rPr>
        <w:t>):</w:t>
      </w:r>
      <w:r>
        <w:rPr>
          <w:rFonts w:ascii="Times" w:eastAsia="Times New Roman" w:hAnsi="Times" w:cs="Times New Roman"/>
          <w:lang w:val="en-IN"/>
        </w:rPr>
        <w:t xml:space="preserve"> PROCHECK Ramachandran plot analysis revealed 87.8% (506 residues) in the most </w:t>
      </w:r>
      <w:r>
        <w:rPr>
          <w:rFonts w:ascii="Times" w:eastAsia="Times New Roman" w:hAnsi="Times" w:cs="Times New Roman"/>
          <w:highlight w:val="yellow"/>
          <w:lang w:val="en-IN"/>
        </w:rPr>
        <w:t>favoured</w:t>
      </w:r>
      <w:r>
        <w:rPr>
          <w:rFonts w:ascii="Times" w:eastAsia="Times New Roman" w:hAnsi="Times" w:cs="Times New Roman"/>
          <w:lang w:val="en-IN"/>
        </w:rPr>
        <w:t xml:space="preserve"> regions, 9.7% (56 residues) in additional allowed regions, 2.1% (12 residues) in generously allowed regions, and 0.3% (2 residues) in disallowed regions </w:t>
      </w:r>
      <w:r>
        <w:rPr>
          <w:rFonts w:ascii="Times" w:eastAsia="Times New Roman" w:hAnsi="Times" w:cs="Times New Roman"/>
          <w:highlight w:val="yellow"/>
          <w:lang w:val="en-IN"/>
        </w:rPr>
        <w:t>out of 576 non-glycine/non-proline residues</w:t>
      </w:r>
      <w:r>
        <w:rPr>
          <w:rFonts w:ascii="Times" w:eastAsia="Times New Roman" w:hAnsi="Times" w:cs="Times New Roman"/>
          <w:lang w:val="en-IN"/>
        </w:rPr>
        <w:t>.</w:t>
      </w:r>
    </w:p>
    <w:p w14:paraId="52C122BE"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b/>
          <w:bCs/>
          <w:lang w:val="en-IN"/>
        </w:rPr>
        <w:t>SSHP (</w:t>
      </w:r>
      <w:r w:rsidRPr="00FA6665">
        <w:rPr>
          <w:rFonts w:ascii="Times" w:eastAsia="Times New Roman" w:hAnsi="Times" w:cs="Times New Roman"/>
          <w:b/>
          <w:bCs/>
          <w:i/>
          <w:iCs/>
          <w:lang w:val="en-IN"/>
        </w:rPr>
        <w:t>S. serrata</w:t>
      </w:r>
      <w:r w:rsidRPr="00FA6665">
        <w:rPr>
          <w:rFonts w:ascii="Times" w:eastAsia="Times New Roman" w:hAnsi="Times" w:cs="Times New Roman"/>
          <w:b/>
          <w:bCs/>
          <w:lang w:val="en-IN"/>
        </w:rPr>
        <w:t>):</w:t>
      </w:r>
      <w:r>
        <w:rPr>
          <w:rFonts w:ascii="Times" w:eastAsia="Times New Roman" w:hAnsi="Times" w:cs="Times New Roman"/>
          <w:lang w:val="en-IN"/>
        </w:rPr>
        <w:t xml:space="preserve"> PROCHECK Ramachandran plot analysis revealed 86.9% (512 residues) in the most </w:t>
      </w:r>
      <w:r>
        <w:rPr>
          <w:rFonts w:ascii="Times" w:eastAsia="Times New Roman" w:hAnsi="Times" w:cs="Times New Roman"/>
          <w:highlight w:val="yellow"/>
          <w:lang w:val="en-IN"/>
        </w:rPr>
        <w:t>favoured</w:t>
      </w:r>
      <w:r>
        <w:rPr>
          <w:rFonts w:ascii="Times" w:eastAsia="Times New Roman" w:hAnsi="Times" w:cs="Times New Roman"/>
          <w:lang w:val="en-IN"/>
        </w:rPr>
        <w:t xml:space="preserve"> regions, 10.5% (62 residues) in additional allowed regions, 1.5% (9 residues) in generously allowed regions, and 1.0% (6 residues) in disallowed regions </w:t>
      </w:r>
      <w:r>
        <w:rPr>
          <w:rFonts w:ascii="Times" w:eastAsia="Times New Roman" w:hAnsi="Times" w:cs="Times New Roman"/>
          <w:highlight w:val="yellow"/>
          <w:lang w:val="en-IN"/>
        </w:rPr>
        <w:t>out of 589 non-glycine/non-proline residues</w:t>
      </w:r>
      <w:r>
        <w:rPr>
          <w:rFonts w:ascii="Times" w:eastAsia="Times New Roman" w:hAnsi="Times" w:cs="Times New Roman"/>
          <w:lang w:val="en-IN"/>
        </w:rPr>
        <w:t>.</w:t>
      </w:r>
    </w:p>
    <w:p w14:paraId="565EA3B8"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Structural alignment of SOHP with template 1HC1 demonstrated an RMSD value of 0.271 Å. Alignment of SSHP with template 6L8S yielded an RMSD value of 0.593 Å, demonstrating high structural fidelity to experimental frameworks.</w:t>
      </w:r>
    </w:p>
    <w:p w14:paraId="07BBBBBD"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The low template-alignment RMSD values are consistent with close global similarity to the selected templates; however, model reliability should be interpreted jointly with stereochemical and environment-based quality metrics rather than from a single score (Sali et al., 1995; Wallner &amp; Elofsson, 2003; Benkert et al., 2008).</w:t>
      </w:r>
    </w:p>
    <w:p w14:paraId="481DF8BB" w14:textId="77777777" w:rsidR="00A50007" w:rsidRPr="00FA6665" w:rsidRDefault="00A50007" w:rsidP="00A50007">
      <w:pPr>
        <w:spacing w:before="100" w:beforeAutospacing="1" w:after="100" w:afterAutospacing="1"/>
        <w:jc w:val="both"/>
        <w:outlineLvl w:val="2"/>
        <w:rPr>
          <w:rFonts w:ascii="Times" w:eastAsia="Times New Roman" w:hAnsi="Times" w:cs="Times New Roman"/>
          <w:b/>
          <w:bCs/>
          <w:lang w:val="en-IN"/>
        </w:rPr>
      </w:pPr>
    </w:p>
    <w:p w14:paraId="40DC0B2E" w14:textId="77777777" w:rsidR="00A50007" w:rsidRPr="00FA6665" w:rsidRDefault="00A50007" w:rsidP="00A50007">
      <w:pPr>
        <w:spacing w:before="100" w:beforeAutospacing="1" w:after="100" w:afterAutospacing="1"/>
        <w:jc w:val="both"/>
        <w:outlineLvl w:val="2"/>
        <w:rPr>
          <w:rFonts w:ascii="Times" w:eastAsia="Times New Roman" w:hAnsi="Times" w:cs="Times New Roman"/>
          <w:b/>
          <w:bCs/>
          <w:lang w:val="en-IN"/>
        </w:rPr>
      </w:pPr>
      <w:r w:rsidRPr="00FA6665">
        <w:rPr>
          <w:rFonts w:ascii="Times" w:eastAsia="Times New Roman" w:hAnsi="Times" w:cs="Times New Roman"/>
          <w:b/>
          <w:bCs/>
          <w:lang w:val="en-IN"/>
        </w:rPr>
        <w:t>3.3 Molecular Docking and Active Site Interactions</w:t>
      </w:r>
    </w:p>
    <w:p w14:paraId="54A5B71B"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Pr>
          <w:rFonts w:ascii="Times" w:eastAsia="Times New Roman" w:hAnsi="Times" w:cs="Times New Roman"/>
          <w:lang w:val="en-IN"/>
        </w:rPr>
        <w:lastRenderedPageBreak/>
        <w:t xml:space="preserve">Molecular docking via AutoDock Vina established strong binding affinities between modelled hemocyanin structures and </w:t>
      </w:r>
      <w:r>
        <w:rPr>
          <w:rFonts w:ascii="Times" w:eastAsia="Times New Roman" w:hAnsi="Times" w:cs="Times New Roman"/>
          <w:highlight w:val="yellow"/>
          <w:lang w:val="en-IN"/>
        </w:rPr>
        <w:t>target ligands</w:t>
      </w:r>
      <w:r>
        <w:rPr>
          <w:rFonts w:ascii="Times" w:eastAsia="Times New Roman" w:hAnsi="Times" w:cs="Times New Roman"/>
          <w:lang w:val="en-IN"/>
        </w:rPr>
        <w:t>. Binding energies for all complexes are presented in Table 3.</w:t>
      </w:r>
    </w:p>
    <w:p w14:paraId="746E6703"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AutoDock Vina is designed for efficient pose prediction and scoring, but docking scores are approximate and should be interpreted primarily as comparative computational estimates rather than direct experimental binding free energies (Trott &amp; Olson, 2010; Nguyen et al., 2020).</w:t>
      </w:r>
    </w:p>
    <w:p w14:paraId="4A72E6FC"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b/>
          <w:bCs/>
          <w:lang w:val="en-IN"/>
        </w:rPr>
        <w:t>Table 3.</w:t>
      </w:r>
      <w:r w:rsidRPr="00FA6665">
        <w:rPr>
          <w:rFonts w:ascii="Times" w:eastAsia="Times New Roman" w:hAnsi="Times" w:cs="Times New Roman"/>
          <w:lang w:val="en-IN"/>
        </w:rPr>
        <w:t xml:space="preserve"> Calculated docking binding energies of target ligands with modelled hemocyanin proteins.</w:t>
      </w:r>
    </w:p>
    <w:tbl>
      <w:tblPr>
        <w:tblW w:w="10221" w:type="dxa"/>
        <w:tblCellSpacing w:w="15" w:type="dxa"/>
        <w:tblCellMar>
          <w:top w:w="15" w:type="dxa"/>
          <w:left w:w="15" w:type="dxa"/>
          <w:bottom w:w="15" w:type="dxa"/>
          <w:right w:w="15" w:type="dxa"/>
        </w:tblCellMar>
        <w:tblLook w:val="04A0" w:firstRow="1" w:lastRow="0" w:firstColumn="1" w:lastColumn="0" w:noHBand="0" w:noVBand="1"/>
      </w:tblPr>
      <w:tblGrid>
        <w:gridCol w:w="684"/>
        <w:gridCol w:w="2186"/>
        <w:gridCol w:w="1370"/>
        <w:gridCol w:w="2533"/>
        <w:gridCol w:w="3448"/>
      </w:tblGrid>
      <w:tr w:rsidR="00A50007" w:rsidRPr="00FA6665" w14:paraId="146C0265" w14:textId="77777777" w:rsidTr="00A50007">
        <w:trPr>
          <w:trHeight w:val="290"/>
          <w:tblHeader/>
          <w:tblCellSpacing w:w="15" w:type="dxa"/>
        </w:trPr>
        <w:tc>
          <w:tcPr>
            <w:tcW w:w="0" w:type="auto"/>
            <w:vAlign w:val="center"/>
            <w:hideMark/>
          </w:tcPr>
          <w:p w14:paraId="351425FE" w14:textId="77777777" w:rsidR="00A50007" w:rsidRPr="00FA6665" w:rsidRDefault="00A50007" w:rsidP="00A50007">
            <w:pPr>
              <w:jc w:val="both"/>
              <w:rPr>
                <w:rFonts w:ascii="Times" w:eastAsia="Times New Roman" w:hAnsi="Times" w:cs="Times New Roman"/>
                <w:b/>
                <w:bCs/>
                <w:lang w:val="en-IN"/>
              </w:rPr>
            </w:pPr>
            <w:proofErr w:type="gramStart"/>
            <w:r w:rsidRPr="00FA6665">
              <w:rPr>
                <w:rFonts w:ascii="Times" w:eastAsia="Times New Roman" w:hAnsi="Times" w:cs="Times New Roman"/>
                <w:b/>
                <w:bCs/>
                <w:lang w:val="en-IN"/>
              </w:rPr>
              <w:t>S.No</w:t>
            </w:r>
            <w:proofErr w:type="gramEnd"/>
          </w:p>
        </w:tc>
        <w:tc>
          <w:tcPr>
            <w:tcW w:w="0" w:type="auto"/>
            <w:vAlign w:val="center"/>
            <w:hideMark/>
          </w:tcPr>
          <w:p w14:paraId="61024FF2" w14:textId="77777777" w:rsidR="00A50007" w:rsidRPr="00FA6665" w:rsidRDefault="00A50007" w:rsidP="00A50007">
            <w:pPr>
              <w:jc w:val="both"/>
              <w:rPr>
                <w:rFonts w:ascii="Times" w:eastAsia="Times New Roman" w:hAnsi="Times" w:cs="Times New Roman"/>
                <w:b/>
                <w:bCs/>
                <w:lang w:val="en-IN"/>
              </w:rPr>
            </w:pPr>
            <w:proofErr w:type="spellStart"/>
            <w:r w:rsidRPr="00FA6665">
              <w:rPr>
                <w:rFonts w:ascii="Times" w:eastAsia="Times New Roman" w:hAnsi="Times" w:cs="Times New Roman"/>
                <w:b/>
                <w:bCs/>
                <w:lang w:val="en-IN"/>
              </w:rPr>
              <w:t>Modeled</w:t>
            </w:r>
            <w:proofErr w:type="spellEnd"/>
            <w:r w:rsidRPr="00FA6665">
              <w:rPr>
                <w:rFonts w:ascii="Times" w:eastAsia="Times New Roman" w:hAnsi="Times" w:cs="Times New Roman"/>
                <w:b/>
                <w:bCs/>
                <w:lang w:val="en-IN"/>
              </w:rPr>
              <w:t xml:space="preserve"> Protein</w:t>
            </w:r>
          </w:p>
        </w:tc>
        <w:tc>
          <w:tcPr>
            <w:tcW w:w="0" w:type="auto"/>
            <w:vAlign w:val="center"/>
            <w:hideMark/>
          </w:tcPr>
          <w:p w14:paraId="30C1EC7A"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Species</w:t>
            </w:r>
          </w:p>
        </w:tc>
        <w:tc>
          <w:tcPr>
            <w:tcW w:w="0" w:type="auto"/>
            <w:vAlign w:val="center"/>
            <w:hideMark/>
          </w:tcPr>
          <w:p w14:paraId="1A99DDF0"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Ligand Component</w:t>
            </w:r>
          </w:p>
        </w:tc>
        <w:tc>
          <w:tcPr>
            <w:tcW w:w="0" w:type="auto"/>
            <w:vAlign w:val="center"/>
            <w:hideMark/>
          </w:tcPr>
          <w:p w14:paraId="1BE3FCF5" w14:textId="77777777" w:rsidR="00A50007" w:rsidRPr="00FA6665" w:rsidRDefault="00A50007" w:rsidP="00A50007">
            <w:pPr>
              <w:jc w:val="both"/>
              <w:rPr>
                <w:rFonts w:ascii="Times" w:eastAsia="Times New Roman" w:hAnsi="Times" w:cs="Times New Roman"/>
                <w:b/>
                <w:bCs/>
                <w:lang w:val="en-IN"/>
              </w:rPr>
            </w:pPr>
            <w:r w:rsidRPr="00FA6665">
              <w:rPr>
                <w:rFonts w:ascii="Times" w:eastAsia="Times New Roman" w:hAnsi="Times" w:cs="Times New Roman"/>
                <w:b/>
                <w:bCs/>
                <w:lang w:val="en-IN"/>
              </w:rPr>
              <w:t>Binding Energy (kcal/mol)</w:t>
            </w:r>
          </w:p>
        </w:tc>
      </w:tr>
      <w:tr w:rsidR="00A50007" w:rsidRPr="00FA6665" w14:paraId="666C62E4" w14:textId="77777777" w:rsidTr="00A50007">
        <w:trPr>
          <w:trHeight w:val="249"/>
          <w:tblCellSpacing w:w="15" w:type="dxa"/>
        </w:trPr>
        <w:tc>
          <w:tcPr>
            <w:tcW w:w="0" w:type="auto"/>
            <w:vAlign w:val="center"/>
            <w:hideMark/>
          </w:tcPr>
          <w:p w14:paraId="0EA4A9CC"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1</w:t>
            </w:r>
          </w:p>
        </w:tc>
        <w:tc>
          <w:tcPr>
            <w:tcW w:w="0" w:type="auto"/>
            <w:vAlign w:val="center"/>
            <w:hideMark/>
          </w:tcPr>
          <w:p w14:paraId="5E12A710"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SOHP</w:t>
            </w:r>
          </w:p>
        </w:tc>
        <w:tc>
          <w:tcPr>
            <w:tcW w:w="0" w:type="auto"/>
            <w:vAlign w:val="center"/>
            <w:hideMark/>
          </w:tcPr>
          <w:p w14:paraId="0C9FF43F"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i/>
                <w:iCs/>
                <w:lang w:val="en-IN"/>
              </w:rPr>
              <w:t>S. olivacea</w:t>
            </w:r>
          </w:p>
        </w:tc>
        <w:tc>
          <w:tcPr>
            <w:tcW w:w="0" w:type="auto"/>
            <w:vAlign w:val="center"/>
            <w:hideMark/>
          </w:tcPr>
          <w:p w14:paraId="6F69C9C9"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H2​O2​</w:t>
            </w:r>
          </w:p>
        </w:tc>
        <w:tc>
          <w:tcPr>
            <w:tcW w:w="0" w:type="auto"/>
            <w:vAlign w:val="center"/>
            <w:hideMark/>
          </w:tcPr>
          <w:p w14:paraId="486F0700"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−3.4</w:t>
            </w:r>
          </w:p>
        </w:tc>
      </w:tr>
      <w:tr w:rsidR="00A50007" w:rsidRPr="00FA6665" w14:paraId="75EF0D39" w14:textId="77777777" w:rsidTr="00A50007">
        <w:trPr>
          <w:trHeight w:val="269"/>
          <w:tblCellSpacing w:w="15" w:type="dxa"/>
        </w:trPr>
        <w:tc>
          <w:tcPr>
            <w:tcW w:w="0" w:type="auto"/>
            <w:vAlign w:val="center"/>
            <w:hideMark/>
          </w:tcPr>
          <w:p w14:paraId="671AA123"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2</w:t>
            </w:r>
          </w:p>
        </w:tc>
        <w:tc>
          <w:tcPr>
            <w:tcW w:w="0" w:type="auto"/>
            <w:vAlign w:val="center"/>
            <w:hideMark/>
          </w:tcPr>
          <w:p w14:paraId="03A4B387"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SSHP</w:t>
            </w:r>
          </w:p>
        </w:tc>
        <w:tc>
          <w:tcPr>
            <w:tcW w:w="0" w:type="auto"/>
            <w:vAlign w:val="center"/>
            <w:hideMark/>
          </w:tcPr>
          <w:p w14:paraId="60880687"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i/>
                <w:iCs/>
                <w:lang w:val="en-IN"/>
              </w:rPr>
              <w:t>S. serrata</w:t>
            </w:r>
          </w:p>
        </w:tc>
        <w:tc>
          <w:tcPr>
            <w:tcW w:w="0" w:type="auto"/>
            <w:vAlign w:val="center"/>
            <w:hideMark/>
          </w:tcPr>
          <w:p w14:paraId="5D6F43A1"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H2​O2​</w:t>
            </w:r>
          </w:p>
        </w:tc>
        <w:tc>
          <w:tcPr>
            <w:tcW w:w="0" w:type="auto"/>
            <w:vAlign w:val="center"/>
            <w:hideMark/>
          </w:tcPr>
          <w:p w14:paraId="1082687C"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−3.3</w:t>
            </w:r>
          </w:p>
        </w:tc>
      </w:tr>
      <w:tr w:rsidR="00A50007" w:rsidRPr="00FA6665" w14:paraId="2279E75E" w14:textId="77777777" w:rsidTr="00A50007">
        <w:trPr>
          <w:trHeight w:val="269"/>
          <w:tblCellSpacing w:w="15" w:type="dxa"/>
        </w:trPr>
        <w:tc>
          <w:tcPr>
            <w:tcW w:w="0" w:type="auto"/>
            <w:vAlign w:val="center"/>
            <w:hideMark/>
          </w:tcPr>
          <w:p w14:paraId="6EDB3C0A"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3</w:t>
            </w:r>
          </w:p>
        </w:tc>
        <w:tc>
          <w:tcPr>
            <w:tcW w:w="0" w:type="auto"/>
            <w:vAlign w:val="center"/>
            <w:hideMark/>
          </w:tcPr>
          <w:p w14:paraId="6B9B410B"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SOHP</w:t>
            </w:r>
          </w:p>
        </w:tc>
        <w:tc>
          <w:tcPr>
            <w:tcW w:w="0" w:type="auto"/>
            <w:vAlign w:val="center"/>
            <w:hideMark/>
          </w:tcPr>
          <w:p w14:paraId="3E1B351D"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i/>
                <w:iCs/>
                <w:lang w:val="en-IN"/>
              </w:rPr>
              <w:t>S. olivacea</w:t>
            </w:r>
          </w:p>
        </w:tc>
        <w:tc>
          <w:tcPr>
            <w:tcW w:w="0" w:type="auto"/>
            <w:vAlign w:val="center"/>
            <w:hideMark/>
          </w:tcPr>
          <w:p w14:paraId="34D16597"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SDS</w:t>
            </w:r>
          </w:p>
        </w:tc>
        <w:tc>
          <w:tcPr>
            <w:tcW w:w="0" w:type="auto"/>
            <w:vAlign w:val="center"/>
            <w:hideMark/>
          </w:tcPr>
          <w:p w14:paraId="60331357"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−5.9</w:t>
            </w:r>
          </w:p>
        </w:tc>
      </w:tr>
      <w:tr w:rsidR="00A50007" w:rsidRPr="00FA6665" w14:paraId="18B82900" w14:textId="77777777" w:rsidTr="00A50007">
        <w:trPr>
          <w:trHeight w:val="269"/>
          <w:tblCellSpacing w:w="15" w:type="dxa"/>
        </w:trPr>
        <w:tc>
          <w:tcPr>
            <w:tcW w:w="0" w:type="auto"/>
            <w:vAlign w:val="center"/>
            <w:hideMark/>
          </w:tcPr>
          <w:p w14:paraId="39ADD72B"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4</w:t>
            </w:r>
          </w:p>
        </w:tc>
        <w:tc>
          <w:tcPr>
            <w:tcW w:w="0" w:type="auto"/>
            <w:vAlign w:val="center"/>
            <w:hideMark/>
          </w:tcPr>
          <w:p w14:paraId="5D24542D"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SSHP</w:t>
            </w:r>
          </w:p>
        </w:tc>
        <w:tc>
          <w:tcPr>
            <w:tcW w:w="0" w:type="auto"/>
            <w:vAlign w:val="center"/>
            <w:hideMark/>
          </w:tcPr>
          <w:p w14:paraId="55BE2E18"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i/>
                <w:iCs/>
                <w:lang w:val="en-IN"/>
              </w:rPr>
              <w:t>S. serrata</w:t>
            </w:r>
          </w:p>
        </w:tc>
        <w:tc>
          <w:tcPr>
            <w:tcW w:w="0" w:type="auto"/>
            <w:vAlign w:val="center"/>
            <w:hideMark/>
          </w:tcPr>
          <w:p w14:paraId="7BFB3032"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SDS</w:t>
            </w:r>
          </w:p>
        </w:tc>
        <w:tc>
          <w:tcPr>
            <w:tcW w:w="0" w:type="auto"/>
            <w:vAlign w:val="center"/>
            <w:hideMark/>
          </w:tcPr>
          <w:p w14:paraId="6E74FA6D"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−7.2</w:t>
            </w:r>
          </w:p>
        </w:tc>
      </w:tr>
      <w:tr w:rsidR="00A50007" w:rsidRPr="00FA6665" w14:paraId="3FF16120" w14:textId="77777777" w:rsidTr="00A50007">
        <w:trPr>
          <w:trHeight w:val="269"/>
          <w:tblCellSpacing w:w="15" w:type="dxa"/>
        </w:trPr>
        <w:tc>
          <w:tcPr>
            <w:tcW w:w="0" w:type="auto"/>
            <w:vAlign w:val="center"/>
            <w:hideMark/>
          </w:tcPr>
          <w:p w14:paraId="6C09B326"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5</w:t>
            </w:r>
          </w:p>
        </w:tc>
        <w:tc>
          <w:tcPr>
            <w:tcW w:w="0" w:type="auto"/>
            <w:vAlign w:val="center"/>
            <w:hideMark/>
          </w:tcPr>
          <w:p w14:paraId="4B2AA3F4"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SOHP</w:t>
            </w:r>
          </w:p>
        </w:tc>
        <w:tc>
          <w:tcPr>
            <w:tcW w:w="0" w:type="auto"/>
            <w:vAlign w:val="center"/>
            <w:hideMark/>
          </w:tcPr>
          <w:p w14:paraId="3DE097E4"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i/>
                <w:iCs/>
                <w:lang w:val="en-IN"/>
              </w:rPr>
              <w:t>S. olivacea</w:t>
            </w:r>
          </w:p>
        </w:tc>
        <w:tc>
          <w:tcPr>
            <w:tcW w:w="0" w:type="auto"/>
            <w:vAlign w:val="center"/>
            <w:hideMark/>
          </w:tcPr>
          <w:p w14:paraId="6C2FCDE8"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NAM</w:t>
            </w:r>
          </w:p>
        </w:tc>
        <w:tc>
          <w:tcPr>
            <w:tcW w:w="0" w:type="auto"/>
            <w:vAlign w:val="center"/>
            <w:hideMark/>
          </w:tcPr>
          <w:p w14:paraId="00FB3373"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−6.7</w:t>
            </w:r>
          </w:p>
        </w:tc>
      </w:tr>
      <w:tr w:rsidR="00A50007" w:rsidRPr="00FA6665" w14:paraId="3786707E" w14:textId="77777777" w:rsidTr="00A50007">
        <w:trPr>
          <w:trHeight w:val="269"/>
          <w:tblCellSpacing w:w="15" w:type="dxa"/>
        </w:trPr>
        <w:tc>
          <w:tcPr>
            <w:tcW w:w="0" w:type="auto"/>
            <w:vAlign w:val="center"/>
            <w:hideMark/>
          </w:tcPr>
          <w:p w14:paraId="2A27D1C2"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6</w:t>
            </w:r>
          </w:p>
        </w:tc>
        <w:tc>
          <w:tcPr>
            <w:tcW w:w="0" w:type="auto"/>
            <w:vAlign w:val="center"/>
            <w:hideMark/>
          </w:tcPr>
          <w:p w14:paraId="54A6C934"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SSHP</w:t>
            </w:r>
          </w:p>
        </w:tc>
        <w:tc>
          <w:tcPr>
            <w:tcW w:w="0" w:type="auto"/>
            <w:vAlign w:val="center"/>
            <w:hideMark/>
          </w:tcPr>
          <w:p w14:paraId="1D81C5E8"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i/>
                <w:iCs/>
                <w:lang w:val="en-IN"/>
              </w:rPr>
              <w:t>S. serrata</w:t>
            </w:r>
          </w:p>
        </w:tc>
        <w:tc>
          <w:tcPr>
            <w:tcW w:w="0" w:type="auto"/>
            <w:vAlign w:val="center"/>
            <w:hideMark/>
          </w:tcPr>
          <w:p w14:paraId="16920BFB"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NAM</w:t>
            </w:r>
          </w:p>
        </w:tc>
        <w:tc>
          <w:tcPr>
            <w:tcW w:w="0" w:type="auto"/>
            <w:vAlign w:val="center"/>
            <w:hideMark/>
          </w:tcPr>
          <w:p w14:paraId="7BE26696"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−6.5</w:t>
            </w:r>
          </w:p>
        </w:tc>
      </w:tr>
      <w:tr w:rsidR="00A50007" w:rsidRPr="00FA6665" w14:paraId="78528FBC" w14:textId="77777777" w:rsidTr="00A50007">
        <w:trPr>
          <w:trHeight w:val="269"/>
          <w:tblCellSpacing w:w="15" w:type="dxa"/>
        </w:trPr>
        <w:tc>
          <w:tcPr>
            <w:tcW w:w="0" w:type="auto"/>
            <w:vAlign w:val="center"/>
            <w:hideMark/>
          </w:tcPr>
          <w:p w14:paraId="3B96701C"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7</w:t>
            </w:r>
          </w:p>
        </w:tc>
        <w:tc>
          <w:tcPr>
            <w:tcW w:w="0" w:type="auto"/>
            <w:vAlign w:val="center"/>
            <w:hideMark/>
          </w:tcPr>
          <w:p w14:paraId="1557AFF3"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SOHP</w:t>
            </w:r>
          </w:p>
        </w:tc>
        <w:tc>
          <w:tcPr>
            <w:tcW w:w="0" w:type="auto"/>
            <w:vAlign w:val="center"/>
            <w:hideMark/>
          </w:tcPr>
          <w:p w14:paraId="6005C595"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i/>
                <w:iCs/>
                <w:lang w:val="en-IN"/>
              </w:rPr>
              <w:t>S. olivacea</w:t>
            </w:r>
          </w:p>
        </w:tc>
        <w:tc>
          <w:tcPr>
            <w:tcW w:w="0" w:type="auto"/>
            <w:vAlign w:val="center"/>
            <w:hideMark/>
          </w:tcPr>
          <w:p w14:paraId="5879C9D5"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NAG</w:t>
            </w:r>
          </w:p>
        </w:tc>
        <w:tc>
          <w:tcPr>
            <w:tcW w:w="0" w:type="auto"/>
            <w:vAlign w:val="center"/>
            <w:hideMark/>
          </w:tcPr>
          <w:p w14:paraId="5340CF03"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−7.5</w:t>
            </w:r>
          </w:p>
        </w:tc>
      </w:tr>
      <w:tr w:rsidR="00A50007" w:rsidRPr="00FA6665" w14:paraId="0B36FE52" w14:textId="77777777" w:rsidTr="00A50007">
        <w:trPr>
          <w:trHeight w:val="249"/>
          <w:tblCellSpacing w:w="15" w:type="dxa"/>
        </w:trPr>
        <w:tc>
          <w:tcPr>
            <w:tcW w:w="0" w:type="auto"/>
            <w:vAlign w:val="center"/>
            <w:hideMark/>
          </w:tcPr>
          <w:p w14:paraId="126123D9"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8</w:t>
            </w:r>
          </w:p>
        </w:tc>
        <w:tc>
          <w:tcPr>
            <w:tcW w:w="0" w:type="auto"/>
            <w:vAlign w:val="center"/>
            <w:hideMark/>
          </w:tcPr>
          <w:p w14:paraId="33A8FBBF"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SSHP</w:t>
            </w:r>
          </w:p>
        </w:tc>
        <w:tc>
          <w:tcPr>
            <w:tcW w:w="0" w:type="auto"/>
            <w:vAlign w:val="center"/>
            <w:hideMark/>
          </w:tcPr>
          <w:p w14:paraId="74CEA5E6"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i/>
                <w:iCs/>
                <w:lang w:val="en-IN"/>
              </w:rPr>
              <w:t>S. serrata</w:t>
            </w:r>
          </w:p>
        </w:tc>
        <w:tc>
          <w:tcPr>
            <w:tcW w:w="0" w:type="auto"/>
            <w:vAlign w:val="center"/>
            <w:hideMark/>
          </w:tcPr>
          <w:p w14:paraId="36BF6EC1"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NAG</w:t>
            </w:r>
          </w:p>
        </w:tc>
        <w:tc>
          <w:tcPr>
            <w:tcW w:w="0" w:type="auto"/>
            <w:vAlign w:val="center"/>
            <w:hideMark/>
          </w:tcPr>
          <w:p w14:paraId="6908A1E0"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−8.1</w:t>
            </w:r>
          </w:p>
        </w:tc>
      </w:tr>
      <w:tr w:rsidR="00A50007" w:rsidRPr="00FA6665" w14:paraId="2E58D32F" w14:textId="77777777" w:rsidTr="00A50007">
        <w:trPr>
          <w:trHeight w:val="269"/>
          <w:tblCellSpacing w:w="15" w:type="dxa"/>
        </w:trPr>
        <w:tc>
          <w:tcPr>
            <w:tcW w:w="0" w:type="auto"/>
            <w:vAlign w:val="center"/>
            <w:hideMark/>
          </w:tcPr>
          <w:p w14:paraId="57C75180"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9</w:t>
            </w:r>
          </w:p>
        </w:tc>
        <w:tc>
          <w:tcPr>
            <w:tcW w:w="0" w:type="auto"/>
            <w:vAlign w:val="center"/>
            <w:hideMark/>
          </w:tcPr>
          <w:p w14:paraId="148E80CE"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SOHP</w:t>
            </w:r>
          </w:p>
        </w:tc>
        <w:tc>
          <w:tcPr>
            <w:tcW w:w="0" w:type="auto"/>
            <w:vAlign w:val="center"/>
            <w:hideMark/>
          </w:tcPr>
          <w:p w14:paraId="39F0287E"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i/>
                <w:iCs/>
                <w:lang w:val="en-IN"/>
              </w:rPr>
              <w:t>S. olivacea</w:t>
            </w:r>
          </w:p>
        </w:tc>
        <w:tc>
          <w:tcPr>
            <w:tcW w:w="0" w:type="auto"/>
            <w:vAlign w:val="center"/>
            <w:hideMark/>
          </w:tcPr>
          <w:p w14:paraId="4D4E3274"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β-Glucan</w:t>
            </w:r>
          </w:p>
        </w:tc>
        <w:tc>
          <w:tcPr>
            <w:tcW w:w="0" w:type="auto"/>
            <w:vAlign w:val="center"/>
            <w:hideMark/>
          </w:tcPr>
          <w:p w14:paraId="4BF26D52"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−7.2</w:t>
            </w:r>
          </w:p>
        </w:tc>
      </w:tr>
      <w:tr w:rsidR="00A50007" w:rsidRPr="00FA6665" w14:paraId="4ECB3289" w14:textId="77777777" w:rsidTr="00A50007">
        <w:trPr>
          <w:trHeight w:val="290"/>
          <w:tblCellSpacing w:w="15" w:type="dxa"/>
        </w:trPr>
        <w:tc>
          <w:tcPr>
            <w:tcW w:w="0" w:type="auto"/>
            <w:vAlign w:val="center"/>
            <w:hideMark/>
          </w:tcPr>
          <w:p w14:paraId="20AA773C"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10</w:t>
            </w:r>
          </w:p>
        </w:tc>
        <w:tc>
          <w:tcPr>
            <w:tcW w:w="0" w:type="auto"/>
            <w:vAlign w:val="center"/>
            <w:hideMark/>
          </w:tcPr>
          <w:p w14:paraId="46AD0560"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SSHP</w:t>
            </w:r>
          </w:p>
        </w:tc>
        <w:tc>
          <w:tcPr>
            <w:tcW w:w="0" w:type="auto"/>
            <w:vAlign w:val="center"/>
            <w:hideMark/>
          </w:tcPr>
          <w:p w14:paraId="76B3FFC6"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i/>
                <w:iCs/>
                <w:lang w:val="en-IN"/>
              </w:rPr>
              <w:t>S. serrata</w:t>
            </w:r>
          </w:p>
        </w:tc>
        <w:tc>
          <w:tcPr>
            <w:tcW w:w="0" w:type="auto"/>
            <w:vAlign w:val="center"/>
            <w:hideMark/>
          </w:tcPr>
          <w:p w14:paraId="72684F34"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β-Glucan</w:t>
            </w:r>
          </w:p>
        </w:tc>
        <w:tc>
          <w:tcPr>
            <w:tcW w:w="0" w:type="auto"/>
            <w:vAlign w:val="center"/>
            <w:hideMark/>
          </w:tcPr>
          <w:p w14:paraId="26B37CE5" w14:textId="77777777" w:rsidR="00A50007" w:rsidRPr="00FA6665" w:rsidRDefault="00A50007" w:rsidP="00A50007">
            <w:pPr>
              <w:jc w:val="both"/>
              <w:rPr>
                <w:rFonts w:ascii="Times" w:eastAsia="Times New Roman" w:hAnsi="Times" w:cs="Times New Roman"/>
                <w:lang w:val="en-IN"/>
              </w:rPr>
            </w:pPr>
            <w:r w:rsidRPr="00FA6665">
              <w:rPr>
                <w:rFonts w:ascii="Times" w:eastAsia="Times New Roman" w:hAnsi="Times" w:cs="Times New Roman"/>
                <w:lang w:val="en-IN"/>
              </w:rPr>
              <w:t>−7.8</w:t>
            </w:r>
          </w:p>
        </w:tc>
      </w:tr>
    </w:tbl>
    <w:p w14:paraId="645E8756" w14:textId="77777777" w:rsidR="00A50007" w:rsidRPr="00FA6665" w:rsidRDefault="00A50007" w:rsidP="00A50007">
      <w:pPr>
        <w:spacing w:before="100" w:beforeAutospacing="1" w:after="100" w:afterAutospacing="1"/>
        <w:jc w:val="both"/>
        <w:outlineLvl w:val="3"/>
        <w:rPr>
          <w:rFonts w:ascii="Times" w:eastAsia="Times New Roman" w:hAnsi="Times" w:cs="Times New Roman"/>
          <w:b/>
          <w:bCs/>
          <w:lang w:val="en-IN"/>
        </w:rPr>
      </w:pPr>
      <w:r w:rsidRPr="00FA6665">
        <w:rPr>
          <w:rFonts w:ascii="Times" w:eastAsia="Times New Roman" w:hAnsi="Times" w:cs="Times New Roman"/>
          <w:b/>
          <w:bCs/>
          <w:lang w:val="en-IN"/>
        </w:rPr>
        <w:t>3.3.1 Interactions with H2​O2​ and SDS</w:t>
      </w:r>
    </w:p>
    <w:p w14:paraId="197AD8B8"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b/>
          <w:bCs/>
          <w:lang w:val="en-IN"/>
        </w:rPr>
        <w:t>H2​O2​ Interactions:</w:t>
      </w:r>
      <w:r w:rsidRPr="00FA6665">
        <w:rPr>
          <w:rFonts w:ascii="Times" w:eastAsia="Times New Roman" w:hAnsi="Times" w:cs="Times New Roman"/>
          <w:lang w:val="en-IN"/>
        </w:rPr>
        <w:t xml:space="preserve"> Hydrogen peroxide bound to SOHP with a binding energy of −3.4 kcal/mol, establishing key interactions at Thr381. In SSHP, H2​O2​ bound with −3.3 kcal/mol, forming hydrogen contacts at Asn190.</w:t>
      </w:r>
    </w:p>
    <w:p w14:paraId="18D8C298"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b/>
          <w:bCs/>
          <w:lang w:val="en-IN"/>
        </w:rPr>
        <w:t>SDS Interactions:</w:t>
      </w:r>
      <w:r>
        <w:rPr>
          <w:rFonts w:ascii="Times" w:eastAsia="Times New Roman" w:hAnsi="Times" w:cs="Times New Roman"/>
          <w:lang w:val="en-IN"/>
        </w:rPr>
        <w:t xml:space="preserve"> SDS exhibited binding energies of −5.9 kcal/mol (SOHP) and −7.2 kcal/mol (SSHP). </w:t>
      </w:r>
      <w:r>
        <w:rPr>
          <w:rFonts w:ascii="Times" w:eastAsia="Times New Roman" w:hAnsi="Times" w:cs="Times New Roman"/>
          <w:highlight w:val="yellow"/>
          <w:lang w:val="en-IN"/>
        </w:rPr>
        <w:t>SOHP interacted via the active residues Tyr619 and His625.</w:t>
      </w:r>
      <w:r>
        <w:rPr>
          <w:rFonts w:ascii="Times" w:eastAsia="Times New Roman" w:hAnsi="Times" w:cs="Times New Roman"/>
          <w:lang w:val="en-IN"/>
        </w:rPr>
        <w:t xml:space="preserve"> SSHP formed hydrogen and hydrophobic networks with Thr195, Arg533, Val561, and Phe558.</w:t>
      </w:r>
    </w:p>
    <w:p w14:paraId="4EADFA17"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Experimental studies in crustaceans have shown that SDS can activate latent hemocyanin-associated phenoloxidase activity, and crab hemocyanins can acquire phenoloxidase-like functions under appropriate activating conditions (García-Carreño et al., 2008; Fan et al., 2009; Masuda et al., 2020). Accordingly, the present H2O2 and SDS docking results are best regarded as hypotheses about possible contact sites that require biochemical validation.</w:t>
      </w:r>
    </w:p>
    <w:p w14:paraId="03601907" w14:textId="77777777" w:rsidR="00A50007" w:rsidRPr="00FA6665" w:rsidRDefault="00A50007" w:rsidP="00A50007">
      <w:pPr>
        <w:spacing w:before="100" w:beforeAutospacing="1" w:after="100" w:afterAutospacing="1"/>
        <w:jc w:val="both"/>
        <w:outlineLvl w:val="3"/>
        <w:rPr>
          <w:rFonts w:ascii="Times" w:eastAsia="Times New Roman" w:hAnsi="Times" w:cs="Times New Roman"/>
          <w:b/>
          <w:bCs/>
          <w:lang w:val="en-IN"/>
        </w:rPr>
      </w:pPr>
      <w:r w:rsidRPr="00FA6665">
        <w:rPr>
          <w:rFonts w:ascii="Times" w:eastAsia="Times New Roman" w:hAnsi="Times" w:cs="Times New Roman"/>
          <w:b/>
          <w:bCs/>
          <w:lang w:val="en-IN"/>
        </w:rPr>
        <w:t>3.3.2 Interactions with Bacterial Cell Wall Components (NAG and NAM)</w:t>
      </w:r>
    </w:p>
    <w:p w14:paraId="18ACDEC3"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b/>
          <w:bCs/>
          <w:lang w:val="en-IN"/>
        </w:rPr>
        <w:t>NAG:</w:t>
      </w:r>
      <w:r>
        <w:rPr>
          <w:rFonts w:ascii="Times" w:eastAsia="Times New Roman" w:hAnsi="Times" w:cs="Times New Roman"/>
          <w:highlight w:val="yellow"/>
          <w:lang w:val="en-IN"/>
        </w:rPr>
        <w:t xml:space="preserve"> It formed strong complexes</w:t>
      </w:r>
      <w:r>
        <w:rPr>
          <w:rFonts w:ascii="Times" w:eastAsia="Times New Roman" w:hAnsi="Times" w:cs="Times New Roman"/>
          <w:lang w:val="en-IN"/>
        </w:rPr>
        <w:t xml:space="preserve"> with SOHP (−7.5 kcal/mol) and SSHP (−8.1 kcal/mol). SOHP bound NAG through residues Ser533, Thr535, Asp563, Gly569, Glu606, and Arg513. SSHP anchored NAG via Asp525, Thr527, Thr529, Thr562, and Gly563.</w:t>
      </w:r>
    </w:p>
    <w:p w14:paraId="3AEAA1AD" w14:textId="77777777" w:rsidR="00EE3939" w:rsidRPr="00FA6665" w:rsidRDefault="00EE3939" w:rsidP="00A50007">
      <w:pPr>
        <w:spacing w:before="100" w:beforeAutospacing="1" w:after="100" w:afterAutospacing="1"/>
        <w:jc w:val="both"/>
        <w:rPr>
          <w:rFonts w:ascii="Times" w:eastAsia="Times New Roman" w:hAnsi="Times" w:cs="Times New Roman"/>
          <w:lang w:val="en-IN"/>
        </w:rPr>
      </w:pPr>
      <w:r w:rsidRPr="00FA6665">
        <w:rPr>
          <w:rFonts w:ascii="Bookman Old Style" w:eastAsia="Bookman Old Style" w:hAnsi="Bookman Old Style" w:cs="Bookman Old Style"/>
          <w:noProof/>
        </w:rPr>
        <w:lastRenderedPageBreak/>
        <w:drawing>
          <wp:anchor distT="0" distB="0" distL="114300" distR="114300" simplePos="0" relativeHeight="251659264" behindDoc="0" locked="0" layoutInCell="1" allowOverlap="1" wp14:anchorId="7B3BCA04" wp14:editId="3FC1FA9B">
            <wp:simplePos x="0" y="0"/>
            <wp:positionH relativeFrom="column">
              <wp:posOffset>0</wp:posOffset>
            </wp:positionH>
            <wp:positionV relativeFrom="paragraph">
              <wp:posOffset>824230</wp:posOffset>
            </wp:positionV>
            <wp:extent cx="5445760" cy="2930525"/>
            <wp:effectExtent l="12700" t="12700" r="15240" b="15875"/>
            <wp:wrapSquare wrapText="bothSides" distT="0" distB="0" distL="114300" distR="114300"/>
            <wp:docPr id="78"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7"/>
                    <a:srcRect/>
                    <a:stretch>
                      <a:fillRect/>
                    </a:stretch>
                  </pic:blipFill>
                  <pic:spPr>
                    <a:xfrm>
                      <a:off x="0" y="0"/>
                      <a:ext cx="5445760" cy="2930525"/>
                    </a:xfrm>
                    <a:prstGeom prst="rect">
                      <a:avLst/>
                    </a:prstGeom>
                    <a:ln w="6350">
                      <a:solidFill>
                        <a:srgbClr val="000000"/>
                      </a:solidFill>
                      <a:prstDash val="solid"/>
                    </a:ln>
                  </pic:spPr>
                </pic:pic>
              </a:graphicData>
            </a:graphic>
            <wp14:sizeRelH relativeFrom="margin">
              <wp14:pctWidth>0</wp14:pctWidth>
            </wp14:sizeRelH>
            <wp14:sizeRelV relativeFrom="margin">
              <wp14:pctHeight>0</wp14:pctHeight>
            </wp14:sizeRelV>
          </wp:anchor>
        </w:drawing>
      </w:r>
      <w:r w:rsidR="00A50007" w:rsidRPr="00FA6665">
        <w:rPr>
          <w:rFonts w:ascii="Times" w:eastAsia="Times New Roman" w:hAnsi="Times" w:cs="Times New Roman"/>
          <w:b/>
          <w:bCs/>
          <w:lang w:val="en-IN"/>
        </w:rPr>
        <w:t>NAM:</w:t>
      </w:r>
      <w:r>
        <w:rPr>
          <w:rFonts w:ascii="Times" w:eastAsia="Times New Roman" w:hAnsi="Times" w:cs="Times New Roman"/>
          <w:highlight w:val="yellow"/>
          <w:lang w:val="en-IN"/>
        </w:rPr>
        <w:t xml:space="preserve"> It displayed binding energies</w:t>
      </w:r>
      <w:r>
        <w:rPr>
          <w:rFonts w:ascii="Times" w:eastAsia="Times New Roman" w:hAnsi="Times" w:cs="Times New Roman"/>
          <w:lang w:val="en-IN"/>
        </w:rPr>
        <w:t xml:space="preserve"> of −6.7 kcal/mol (SOHP) and −6.5 kcal/mol (SSHP). SOHP formed hydrogen contacts with His76, Phe78, Thr147, and His376. SSHP interacted primarily through Arg521, Asp525, Thr527, Ser526, Thr562, and Ser601</w:t>
      </w:r>
      <w:r>
        <w:rPr>
          <w:rFonts w:ascii="Times" w:eastAsia="Times New Roman" w:hAnsi="Times" w:cs="Times New Roman"/>
          <w:highlight w:val="yellow"/>
          <w:lang w:val="en-IN"/>
        </w:rPr>
        <w:t>.</w:t>
      </w:r>
    </w:p>
    <w:p w14:paraId="56494496" w14:textId="77777777" w:rsidR="008343B7" w:rsidRPr="00FA6665" w:rsidRDefault="008343B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Fig 1: </w:t>
      </w:r>
      <w:r w:rsidR="00FA6665" w:rsidRPr="00FA6665">
        <w:rPr>
          <w:rFonts w:ascii="Times" w:eastAsia="Times New Roman" w:hAnsi="Times" w:cs="Times New Roman"/>
        </w:rPr>
        <w:t xml:space="preserve">Molecular interaction of hydrogen peroxide (H₂O₂) with the modelled </w:t>
      </w:r>
      <w:r w:rsidR="00FA6665" w:rsidRPr="00FA6665">
        <w:rPr>
          <w:rFonts w:ascii="Times" w:eastAsia="Times New Roman" w:hAnsi="Times" w:cs="Times New Roman"/>
          <w:i/>
          <w:iCs/>
        </w:rPr>
        <w:t>Scylla olivacea</w:t>
      </w:r>
      <w:r w:rsidR="00FA6665" w:rsidRPr="00FA6665">
        <w:rPr>
          <w:rFonts w:ascii="Times" w:eastAsia="Times New Roman" w:hAnsi="Times" w:cs="Times New Roman"/>
        </w:rPr>
        <w:t xml:space="preserve"> hemocyanin protein (SOHP), showing interacting active-site residues.</w:t>
      </w:r>
    </w:p>
    <w:p w14:paraId="53D9070E"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The predicted NAG/NAM contacts are compatible with the broader carbohydrate-recognition role of crustacean humoral immunity; in </w:t>
      </w:r>
      <w:r w:rsidRPr="00FA6665">
        <w:rPr>
          <w:rFonts w:ascii="Times" w:hAnsi="Times"/>
          <w:i/>
        </w:rPr>
        <w:t>S. serrata</w:t>
      </w:r>
      <w:r>
        <w:rPr>
          <w:rFonts w:ascii="Times" w:hAnsi="Times"/>
        </w:rPr>
        <w:t xml:space="preserve">, hemocyanin has experimentally demonstrated bacterial agglutination and antibacterial functions, while crustacean pattern-recognition receptors commonly </w:t>
      </w:r>
      <w:r>
        <w:rPr>
          <w:rFonts w:ascii="Times" w:hAnsi="Times"/>
          <w:highlight w:val="yellow"/>
        </w:rPr>
        <w:t>recognise</w:t>
      </w:r>
      <w:r>
        <w:rPr>
          <w:rFonts w:ascii="Times" w:hAnsi="Times"/>
        </w:rPr>
        <w:t xml:space="preserve"> microbial surface glycans (Yan et al., 2011; Velayutham &amp; Munusamy, 2016; Patnaik et al., 2024). Direct binding of isolated SOHP or SSHP to NAG or NAM nevertheless remains to be established experimentally.</w:t>
      </w:r>
    </w:p>
    <w:p w14:paraId="47F098C0" w14:textId="77777777" w:rsidR="00EE3939" w:rsidRPr="00FA6665" w:rsidRDefault="00EE3939" w:rsidP="00A50007">
      <w:pPr>
        <w:spacing w:before="100" w:beforeAutospacing="1" w:after="100" w:afterAutospacing="1"/>
        <w:jc w:val="both"/>
        <w:rPr>
          <w:rFonts w:ascii="Times" w:eastAsia="Times New Roman" w:hAnsi="Times" w:cs="Times New Roman"/>
          <w:lang w:val="en-IN"/>
        </w:rPr>
      </w:pPr>
    </w:p>
    <w:p w14:paraId="7420D078" w14:textId="77777777" w:rsidR="00A50007" w:rsidRPr="00FA6665" w:rsidRDefault="00A50007" w:rsidP="00A50007">
      <w:pPr>
        <w:spacing w:before="100" w:beforeAutospacing="1" w:after="100" w:afterAutospacing="1"/>
        <w:jc w:val="both"/>
        <w:outlineLvl w:val="3"/>
        <w:rPr>
          <w:rFonts w:ascii="Times" w:eastAsia="Times New Roman" w:hAnsi="Times" w:cs="Times New Roman"/>
          <w:b/>
          <w:bCs/>
          <w:lang w:val="en-IN"/>
        </w:rPr>
      </w:pPr>
      <w:r w:rsidRPr="00FA6665">
        <w:rPr>
          <w:rFonts w:ascii="Times" w:eastAsia="Times New Roman" w:hAnsi="Times" w:cs="Times New Roman"/>
          <w:b/>
          <w:bCs/>
          <w:lang w:val="en-IN"/>
        </w:rPr>
        <w:t>3.3.3 Interactions with Fungal Cell Wall Component (β-Glucan)</w:t>
      </w:r>
    </w:p>
    <w:p w14:paraId="29EA79D1"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Pr>
          <w:rFonts w:ascii="Times" w:eastAsia="Times New Roman" w:hAnsi="Times" w:cs="Times New Roman"/>
          <w:lang w:val="en-IN"/>
        </w:rPr>
        <w:t xml:space="preserve">Docking with β-glucan yielded binding energies of −7.2 kcal/mol for SOHP and −7.8 kcal/mol for SSHP. SOHP engaged β-glucan using active site residues Arg513, Arg527, Glu531, Ser533, Asp563, Ser566, Glu606, and His605. SSHP </w:t>
      </w:r>
      <w:r>
        <w:rPr>
          <w:rFonts w:ascii="Times" w:eastAsia="Times New Roman" w:hAnsi="Times" w:cs="Times New Roman"/>
          <w:highlight w:val="yellow"/>
          <w:lang w:val="en-IN"/>
        </w:rPr>
        <w:t>stabilised</w:t>
      </w:r>
      <w:r>
        <w:rPr>
          <w:rFonts w:ascii="Times" w:eastAsia="Times New Roman" w:hAnsi="Times" w:cs="Times New Roman"/>
          <w:lang w:val="en-IN"/>
        </w:rPr>
        <w:t xml:space="preserve"> β-glucan through Tyr23, His69, Phe71, Asn110, Thr140, and His370.</w:t>
      </w:r>
    </w:p>
    <w:p w14:paraId="235001E5" w14:textId="77777777" w:rsidR="00B16CC8" w:rsidRPr="00FA6665" w:rsidRDefault="00000000">
      <w:pPr>
        <w:spacing w:before="100" w:beforeAutospacing="1" w:after="100" w:afterAutospacing="1"/>
        <w:jc w:val="both"/>
        <w:rPr>
          <w:rFonts w:ascii="Times" w:eastAsia="Times New Roman" w:hAnsi="Times" w:cs="Times New Roman"/>
          <w:lang w:val="en-IN"/>
        </w:rPr>
      </w:pPr>
      <w:r>
        <w:rPr>
          <w:rFonts w:ascii="Times" w:hAnsi="Times"/>
        </w:rPr>
        <w:t xml:space="preserve">Recognition of β-1,3-glucan is a well-established component of crustacean innate immunity, and hemocyanin-derived peptides have also been linked to antifungal </w:t>
      </w:r>
      <w:r>
        <w:rPr>
          <w:rFonts w:ascii="Times" w:hAnsi="Times"/>
          <w:highlight w:val="yellow"/>
        </w:rPr>
        <w:t>defence</w:t>
      </w:r>
      <w:r>
        <w:rPr>
          <w:rFonts w:ascii="Times" w:hAnsi="Times"/>
        </w:rPr>
        <w:t xml:space="preserve"> in penaeid shrimp (Destoumieux-Garzón et al., 2001; Petit et al., 2016; Chai et al., 2018). Thus, the β-glucan docking poses provide a mechanistic hypothesis rather than proof of direct fungal recognition by the </w:t>
      </w:r>
      <w:r>
        <w:rPr>
          <w:rFonts w:ascii="Times" w:hAnsi="Times"/>
          <w:highlight w:val="yellow"/>
        </w:rPr>
        <w:t>modelled</w:t>
      </w:r>
      <w:r>
        <w:rPr>
          <w:rFonts w:ascii="Times" w:hAnsi="Times"/>
        </w:rPr>
        <w:t xml:space="preserve"> </w:t>
      </w:r>
      <w:r w:rsidRPr="00FA6665">
        <w:rPr>
          <w:rFonts w:ascii="Times" w:hAnsi="Times"/>
          <w:i/>
        </w:rPr>
        <w:t>Scylla</w:t>
      </w:r>
      <w:r w:rsidRPr="00FA6665">
        <w:rPr>
          <w:rFonts w:ascii="Times" w:hAnsi="Times"/>
        </w:rPr>
        <w:t xml:space="preserve"> hemocyanins.</w:t>
      </w:r>
    </w:p>
    <w:p w14:paraId="4F658628" w14:textId="77777777" w:rsidR="00EE3939" w:rsidRPr="00FA6665" w:rsidRDefault="00EE3939" w:rsidP="00A50007">
      <w:pPr>
        <w:spacing w:before="100" w:beforeAutospacing="1" w:after="100" w:afterAutospacing="1"/>
        <w:jc w:val="both"/>
        <w:rPr>
          <w:rFonts w:ascii="Times" w:eastAsia="Times New Roman" w:hAnsi="Times" w:cs="Times New Roman"/>
          <w:lang w:val="en-IN"/>
        </w:rPr>
      </w:pPr>
    </w:p>
    <w:p w14:paraId="04D88FD1" w14:textId="77777777" w:rsidR="00EE3939" w:rsidRPr="00FA6665" w:rsidRDefault="00EE3939" w:rsidP="00A50007">
      <w:pPr>
        <w:spacing w:before="100" w:beforeAutospacing="1" w:after="100" w:afterAutospacing="1"/>
        <w:jc w:val="both"/>
        <w:rPr>
          <w:rFonts w:ascii="Times" w:eastAsia="Times New Roman" w:hAnsi="Times" w:cs="Times New Roman"/>
          <w:lang w:val="en-IN"/>
        </w:rPr>
      </w:pPr>
    </w:p>
    <w:p w14:paraId="0311EBE4" w14:textId="77777777" w:rsidR="00EE3939" w:rsidRPr="00FA6665" w:rsidRDefault="00EE3939" w:rsidP="00A50007">
      <w:pPr>
        <w:spacing w:before="100" w:beforeAutospacing="1" w:after="100" w:afterAutospacing="1"/>
        <w:jc w:val="both"/>
        <w:rPr>
          <w:rFonts w:ascii="Times" w:eastAsia="Times New Roman" w:hAnsi="Times" w:cs="Times New Roman"/>
          <w:lang w:val="en-IN"/>
        </w:rPr>
      </w:pPr>
      <w:r w:rsidRPr="00FA6665">
        <w:rPr>
          <w:rFonts w:ascii="Bookman Old Style" w:eastAsia="Bookman Old Style" w:hAnsi="Bookman Old Style" w:cs="Bookman Old Style"/>
          <w:b/>
          <w:noProof/>
        </w:rPr>
        <w:lastRenderedPageBreak/>
        <w:drawing>
          <wp:anchor distT="0" distB="0" distL="114300" distR="114300" simplePos="0" relativeHeight="251661312" behindDoc="1" locked="0" layoutInCell="1" allowOverlap="1" wp14:anchorId="65D3C62F" wp14:editId="0866F263">
            <wp:simplePos x="0" y="0"/>
            <wp:positionH relativeFrom="column">
              <wp:posOffset>-635</wp:posOffset>
            </wp:positionH>
            <wp:positionV relativeFrom="paragraph">
              <wp:posOffset>368935</wp:posOffset>
            </wp:positionV>
            <wp:extent cx="5598160" cy="5394960"/>
            <wp:effectExtent l="12700" t="12700" r="15240" b="15240"/>
            <wp:wrapTight wrapText="bothSides">
              <wp:wrapPolygon edited="0">
                <wp:start x="-49" y="-51"/>
                <wp:lineTo x="-49" y="21610"/>
                <wp:lineTo x="21610" y="21610"/>
                <wp:lineTo x="21610" y="-51"/>
                <wp:lineTo x="-49" y="-51"/>
              </wp:wrapPolygon>
            </wp:wrapTight>
            <wp:docPr id="86" name="Picture 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8"/>
                    <a:srcRect/>
                    <a:stretch>
                      <a:fillRect/>
                    </a:stretch>
                  </pic:blipFill>
                  <pic:spPr bwMode="auto">
                    <a:xfrm>
                      <a:off x="0" y="0"/>
                      <a:ext cx="5598160" cy="5394960"/>
                    </a:xfrm>
                    <a:prstGeom prst="rect">
                      <a:avLst/>
                    </a:prstGeom>
                    <a:noFill/>
                    <a:ln w="9525">
                      <a:solidFill>
                        <a:schemeClr val="tx1"/>
                      </a:solidFill>
                      <a:miter lim="800000"/>
                      <a:headEnd/>
                      <a:tailEnd/>
                    </a:ln>
                    <a:effectLst/>
                  </pic:spPr>
                </pic:pic>
              </a:graphicData>
            </a:graphic>
            <wp14:sizeRelH relativeFrom="margin">
              <wp14:pctWidth>0</wp14:pctWidth>
            </wp14:sizeRelH>
          </wp:anchor>
        </w:drawing>
      </w:r>
    </w:p>
    <w:p w14:paraId="61934EAF" w14:textId="77777777" w:rsidR="00EE3939" w:rsidRPr="00FA6665" w:rsidRDefault="008343B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t xml:space="preserve">Fig 2: </w:t>
      </w:r>
      <w:r w:rsidR="00FA6665" w:rsidRPr="00FA6665">
        <w:rPr>
          <w:rFonts w:ascii="Times" w:eastAsia="Times New Roman" w:hAnsi="Times" w:cs="Times New Roman"/>
        </w:rPr>
        <w:t xml:space="preserve">Molecular interaction of β-glucan with the modelled </w:t>
      </w:r>
      <w:r w:rsidR="00FA6665" w:rsidRPr="00FA6665">
        <w:rPr>
          <w:rFonts w:ascii="Times" w:eastAsia="Times New Roman" w:hAnsi="Times" w:cs="Times New Roman"/>
          <w:i/>
          <w:iCs/>
        </w:rPr>
        <w:t>Scylla olivacea</w:t>
      </w:r>
      <w:r w:rsidR="00FA6665" w:rsidRPr="00FA6665">
        <w:rPr>
          <w:rFonts w:ascii="Times" w:eastAsia="Times New Roman" w:hAnsi="Times" w:cs="Times New Roman"/>
        </w:rPr>
        <w:t xml:space="preserve"> hemocyanin protein (SOHP), showing the key amino acid residues involved in ligand binding.</w:t>
      </w:r>
    </w:p>
    <w:p w14:paraId="6B3E8D01" w14:textId="77777777" w:rsidR="00EE3939" w:rsidRPr="00FA6665" w:rsidRDefault="00EE3939" w:rsidP="00A50007">
      <w:pPr>
        <w:spacing w:before="100" w:beforeAutospacing="1" w:after="100" w:afterAutospacing="1"/>
        <w:jc w:val="both"/>
        <w:rPr>
          <w:rFonts w:ascii="Times" w:eastAsia="Times New Roman" w:hAnsi="Times" w:cs="Times New Roman"/>
          <w:lang w:val="en-IN"/>
        </w:rPr>
      </w:pPr>
    </w:p>
    <w:p w14:paraId="59B452C0" w14:textId="77777777" w:rsidR="00A50007" w:rsidRPr="00FA6665" w:rsidRDefault="00A50007" w:rsidP="00A50007">
      <w:pPr>
        <w:spacing w:before="100" w:beforeAutospacing="1" w:after="100" w:afterAutospacing="1"/>
        <w:jc w:val="both"/>
        <w:outlineLvl w:val="1"/>
        <w:rPr>
          <w:rFonts w:ascii="Times" w:eastAsia="Times New Roman" w:hAnsi="Times" w:cs="Times New Roman"/>
          <w:b/>
          <w:bCs/>
          <w:lang w:val="en-IN"/>
        </w:rPr>
      </w:pPr>
      <w:r w:rsidRPr="00FA6665">
        <w:rPr>
          <w:rFonts w:ascii="Times" w:eastAsia="Times New Roman" w:hAnsi="Times" w:cs="Times New Roman"/>
          <w:b/>
          <w:bCs/>
          <w:lang w:val="en-IN"/>
        </w:rPr>
        <w:t>4. Discussion</w:t>
      </w:r>
    </w:p>
    <w:p w14:paraId="75D78576"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Pr>
          <w:rFonts w:ascii="Times" w:eastAsia="Times New Roman" w:hAnsi="Times" w:cs="Times New Roman"/>
          <w:lang w:val="en-IN"/>
        </w:rPr>
        <w:t xml:space="preserve">Decapod hemocyanins are complex oligomeric proteins responsible for respiratory functions and immune surveillance. Due to the lack of </w:t>
      </w:r>
      <w:r>
        <w:rPr>
          <w:rFonts w:ascii="Times" w:eastAsia="Times New Roman" w:hAnsi="Times" w:cs="Times New Roman"/>
          <w:highlight w:val="yellow"/>
          <w:lang w:val="en-IN"/>
        </w:rPr>
        <w:t>crystallised</w:t>
      </w:r>
      <w:r>
        <w:rPr>
          <w:rFonts w:ascii="Times" w:eastAsia="Times New Roman" w:hAnsi="Times" w:cs="Times New Roman"/>
          <w:lang w:val="en-IN"/>
        </w:rPr>
        <w:t xml:space="preserve"> structures for mud crab hemocyanins, computational modelling provides valuable structural details.</w:t>
      </w:r>
    </w:p>
    <w:p w14:paraId="6827E76A"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Studies on </w:t>
      </w:r>
      <w:r w:rsidRPr="00FA6665">
        <w:rPr>
          <w:rFonts w:ascii="Times" w:hAnsi="Times"/>
          <w:i/>
        </w:rPr>
        <w:t>S. serrata</w:t>
      </w:r>
      <w:r>
        <w:rPr>
          <w:rFonts w:ascii="Times" w:hAnsi="Times"/>
        </w:rPr>
        <w:t xml:space="preserve"> support this multifunctionality: hemocyanin can mediate bacterial agglutination, bacteriolytic or bacteriostatic activity, and phenoloxidase-like activity, linking the respiratory protein with humoral </w:t>
      </w:r>
      <w:r>
        <w:rPr>
          <w:rFonts w:ascii="Times" w:hAnsi="Times"/>
          <w:highlight w:val="yellow"/>
        </w:rPr>
        <w:t>defence</w:t>
      </w:r>
      <w:r>
        <w:rPr>
          <w:rFonts w:ascii="Times" w:hAnsi="Times"/>
        </w:rPr>
        <w:t xml:space="preserve"> (Yan et al., 2011; Velayutham &amp; Munusamy, 2016).</w:t>
      </w:r>
    </w:p>
    <w:p w14:paraId="5DE5CEE8"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sidRPr="00FA6665">
        <w:rPr>
          <w:rFonts w:ascii="Times" w:eastAsia="Times New Roman" w:hAnsi="Times" w:cs="Times New Roman"/>
          <w:lang w:val="en-IN"/>
        </w:rPr>
        <w:lastRenderedPageBreak/>
        <w:t xml:space="preserve">In this investigation, homology models for </w:t>
      </w:r>
      <w:r w:rsidRPr="00FA6665">
        <w:rPr>
          <w:rFonts w:ascii="Times" w:eastAsia="Times New Roman" w:hAnsi="Times" w:cs="Times New Roman"/>
          <w:i/>
          <w:iCs/>
          <w:lang w:val="en-IN"/>
        </w:rPr>
        <w:t>S. olivacea</w:t>
      </w:r>
      <w:r w:rsidRPr="00FA6665">
        <w:rPr>
          <w:rFonts w:ascii="Times" w:eastAsia="Times New Roman" w:hAnsi="Times" w:cs="Times New Roman"/>
          <w:lang w:val="en-IN"/>
        </w:rPr>
        <w:t xml:space="preserve"> (SOHP) and </w:t>
      </w:r>
      <w:r w:rsidRPr="00FA6665">
        <w:rPr>
          <w:rFonts w:ascii="Times" w:eastAsia="Times New Roman" w:hAnsi="Times" w:cs="Times New Roman"/>
          <w:i/>
          <w:iCs/>
          <w:lang w:val="en-IN"/>
        </w:rPr>
        <w:t>S. serrata</w:t>
      </w:r>
      <w:r>
        <w:rPr>
          <w:rFonts w:ascii="Times" w:eastAsia="Times New Roman" w:hAnsi="Times" w:cs="Times New Roman"/>
          <w:lang w:val="en-IN"/>
        </w:rPr>
        <w:t xml:space="preserve"> (SSHP) hemocyanins were constructed using templates 1HC1 and 6L8S, both of which share over 50% sequence identity with the target sequences. Validation metrics confirmed the structural reliability of both models. Ramachandran plot analysis placed &gt;86% of non-glycine and non-proline residues within the most </w:t>
      </w:r>
      <w:r>
        <w:rPr>
          <w:rFonts w:ascii="Times" w:eastAsia="Times New Roman" w:hAnsi="Times" w:cs="Times New Roman"/>
          <w:highlight w:val="yellow"/>
          <w:lang w:val="en-IN"/>
        </w:rPr>
        <w:t>favoured</w:t>
      </w:r>
      <w:r>
        <w:rPr>
          <w:rFonts w:ascii="Times" w:eastAsia="Times New Roman" w:hAnsi="Times" w:cs="Times New Roman"/>
          <w:lang w:val="en-IN"/>
        </w:rPr>
        <w:t xml:space="preserve"> regions, meeting established criteria for reliable molecular models. Low RMSD values (&lt;0.6 Å) upon structural superimposition further confirmed structural conservation within the decapod hemocyanin family.</w:t>
      </w:r>
    </w:p>
    <w:p w14:paraId="543F8EB8"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 xml:space="preserve">The use of experimentally resolved </w:t>
      </w:r>
      <w:r w:rsidRPr="00FA6665">
        <w:rPr>
          <w:rFonts w:ascii="Times" w:hAnsi="Times"/>
          <w:i/>
        </w:rPr>
        <w:t>Panulirus</w:t>
      </w:r>
      <w:r>
        <w:rPr>
          <w:rFonts w:ascii="Times" w:hAnsi="Times"/>
        </w:rPr>
        <w:t xml:space="preserve"> hemocyanins as templates is supported by their conserved type-3 copper-protein fold; nevertheless, even models with </w:t>
      </w:r>
      <w:r>
        <w:rPr>
          <w:rFonts w:ascii="Times" w:hAnsi="Times"/>
          <w:highlight w:val="yellow"/>
        </w:rPr>
        <w:t>favourable</w:t>
      </w:r>
      <w:r>
        <w:rPr>
          <w:rFonts w:ascii="Times" w:hAnsi="Times"/>
        </w:rPr>
        <w:t xml:space="preserve"> global geometry can contain locally uncertain regions, making multi-metric validation particularly important when putative ligand-binding residues are interpreted (Volbeda &amp; Hol, 1989; Masuda et al., 2020; Wallner &amp; Elofsson, 2003).</w:t>
      </w:r>
    </w:p>
    <w:p w14:paraId="25530D06"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Pr>
          <w:rFonts w:ascii="Times" w:eastAsia="Times New Roman" w:hAnsi="Times" w:cs="Times New Roman"/>
          <w:lang w:val="en-IN"/>
        </w:rPr>
        <w:t xml:space="preserve">Molecular docking experiments provided insights into the </w:t>
      </w:r>
      <w:r>
        <w:rPr>
          <w:rFonts w:ascii="Times" w:eastAsia="Times New Roman" w:hAnsi="Times" w:cs="Times New Roman"/>
          <w:highlight w:val="yellow"/>
          <w:lang w:val="en-IN"/>
        </w:rPr>
        <w:t>multifunctional</w:t>
      </w:r>
      <w:r>
        <w:rPr>
          <w:rFonts w:ascii="Times" w:eastAsia="Times New Roman" w:hAnsi="Times" w:cs="Times New Roman"/>
          <w:lang w:val="en-IN"/>
        </w:rPr>
        <w:t xml:space="preserve"> </w:t>
      </w:r>
      <w:r>
        <w:rPr>
          <w:rFonts w:ascii="Times" w:eastAsia="Times New Roman" w:hAnsi="Times" w:cs="Times New Roman"/>
          <w:highlight w:val="yellow"/>
          <w:lang w:val="en-IN"/>
        </w:rPr>
        <w:t>defence</w:t>
      </w:r>
      <w:r>
        <w:rPr>
          <w:rFonts w:ascii="Times" w:eastAsia="Times New Roman" w:hAnsi="Times" w:cs="Times New Roman"/>
          <w:lang w:val="en-IN"/>
        </w:rPr>
        <w:t xml:space="preserve"> capabilities of mud crab hemocyanins. The interaction of SOHP and SSHP with H2​O2​ highlights potential antioxidant mechanisms involved in regulating reactive oxygen species during oxidative stress responses. Robust binding interactions observed with SDS support the susceptibility of these structures to conformational changes induced by amphiphilic detergents, which may simulate lipid membrane dynamics.</w:t>
      </w:r>
    </w:p>
    <w:p w14:paraId="7E277365"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Because Vina scores are empirical approximations, differences of a few kcal/mol should not be equated directly with measured affinity or biological efficacy without additional conformational sampling and experimental binding assays (Trott &amp; Olson, 2010; Nguyen et al., 2020).</w:t>
      </w:r>
    </w:p>
    <w:p w14:paraId="4A82F030" w14:textId="77777777" w:rsidR="00A50007" w:rsidRPr="00FA6665" w:rsidRDefault="00A50007" w:rsidP="00A50007">
      <w:pPr>
        <w:spacing w:before="100" w:beforeAutospacing="1" w:after="100" w:afterAutospacing="1"/>
        <w:jc w:val="both"/>
        <w:rPr>
          <w:rFonts w:ascii="Times" w:eastAsia="Times New Roman" w:hAnsi="Times" w:cs="Times New Roman"/>
          <w:lang w:val="en-IN"/>
        </w:rPr>
      </w:pPr>
      <w:r>
        <w:rPr>
          <w:rFonts w:ascii="Times" w:eastAsia="Times New Roman" w:hAnsi="Times" w:cs="Times New Roman"/>
          <w:lang w:val="en-IN"/>
        </w:rPr>
        <w:t xml:space="preserve">Hemocyanins have been reported to function as pattern recognition proteins (PRPs) that </w:t>
      </w:r>
      <w:r>
        <w:rPr>
          <w:rFonts w:ascii="Times" w:eastAsia="Times New Roman" w:hAnsi="Times" w:cs="Times New Roman"/>
          <w:highlight w:val="yellow"/>
          <w:lang w:val="en-IN"/>
        </w:rPr>
        <w:t>recognise</w:t>
      </w:r>
      <w:r>
        <w:rPr>
          <w:rFonts w:ascii="Times" w:eastAsia="Times New Roman" w:hAnsi="Times" w:cs="Times New Roman"/>
          <w:lang w:val="en-IN"/>
        </w:rPr>
        <w:t xml:space="preserve"> microbial surface components. High binding affinities observed for bacterial cell wall units (NAG and NAM) and fungal wall polymers (β-glucan) demonstrate that mud crab hemocyanins possess functional binding pockets tailored for pathogen recognition. SSHP demonstrated higher binding energy toward NAG (−8.1 kcal/mol) and β-glucan (−7.8 kcal/mol) than SOHP, pointing to potential species-specific differences in pathogen binding efficacy. Active site residues such as His69, His370, Arg513, and Asp525 were consistently involved in </w:t>
      </w:r>
      <w:r>
        <w:rPr>
          <w:rFonts w:ascii="Times" w:eastAsia="Times New Roman" w:hAnsi="Times" w:cs="Times New Roman"/>
          <w:highlight w:val="yellow"/>
          <w:lang w:val="en-IN"/>
        </w:rPr>
        <w:t>stabilising</w:t>
      </w:r>
      <w:r>
        <w:rPr>
          <w:rFonts w:ascii="Times" w:eastAsia="Times New Roman" w:hAnsi="Times" w:cs="Times New Roman"/>
          <w:lang w:val="en-IN"/>
        </w:rPr>
        <w:t xml:space="preserve"> these carbohydrate complexes.</w:t>
      </w:r>
    </w:p>
    <w:p w14:paraId="1C453D14" w14:textId="77777777" w:rsidR="00B16CC8" w:rsidRPr="00FA6665" w:rsidRDefault="00000000">
      <w:pPr>
        <w:spacing w:before="100" w:beforeAutospacing="1" w:after="100" w:afterAutospacing="1"/>
        <w:jc w:val="both"/>
        <w:rPr>
          <w:rFonts w:ascii="Times" w:eastAsia="Times New Roman" w:hAnsi="Times" w:cs="Times New Roman"/>
          <w:lang w:val="en-IN"/>
        </w:rPr>
      </w:pPr>
      <w:r w:rsidRPr="00FA6665">
        <w:rPr>
          <w:rFonts w:ascii="Times" w:hAnsi="Times"/>
        </w:rPr>
        <w:t>The carbohydrate-related docking results are biologically plausible in the context of crustacean pattern recognition and hemocyanin-associated antimicrobial functions, but the present in silico analysis does not by itself establish that SOHP or SSHP act as dedicated pattern-recognition proteins for NAG, NAM, or β-glucan (Yan et al., 2011; Patnaik et al., 2024; Chai et al., 2018). Hemocyanin-derived antifungal peptides in shrimp further illustrate that immune activity may arise from hemocyanin processing rather than from the intact respiratory protein alone (Destoumieux-Garzón et al., 2001; Petit et al., 2016).</w:t>
      </w:r>
    </w:p>
    <w:p w14:paraId="2744E15D" w14:textId="77777777" w:rsidR="00A50007" w:rsidRPr="00FA6665" w:rsidRDefault="00A50007" w:rsidP="00A50007">
      <w:pPr>
        <w:spacing w:before="100" w:beforeAutospacing="1" w:after="100" w:afterAutospacing="1"/>
        <w:jc w:val="both"/>
        <w:outlineLvl w:val="1"/>
        <w:rPr>
          <w:rFonts w:ascii="Times" w:eastAsia="Times New Roman" w:hAnsi="Times" w:cs="Times New Roman"/>
          <w:b/>
          <w:bCs/>
          <w:lang w:val="en-IN"/>
        </w:rPr>
      </w:pPr>
      <w:r w:rsidRPr="00FA6665">
        <w:rPr>
          <w:rFonts w:ascii="Times" w:eastAsia="Times New Roman" w:hAnsi="Times" w:cs="Times New Roman"/>
          <w:b/>
          <w:bCs/>
          <w:lang w:val="en-IN"/>
        </w:rPr>
        <w:t>5. Conclusion</w:t>
      </w:r>
    </w:p>
    <w:p w14:paraId="18867000" w14:textId="6538E711" w:rsidR="00F50546" w:rsidRDefault="00F50546" w:rsidP="00F50546">
      <w:pPr>
        <w:spacing w:before="100" w:beforeAutospacing="1" w:after="100" w:afterAutospacing="1"/>
        <w:rPr>
          <w:rFonts w:ascii="Times New Roman" w:eastAsia="Times New Roman" w:hAnsi="Times New Roman" w:cs="Times New Roman"/>
          <w:lang w:eastAsia="en-GB"/>
        </w:rPr>
      </w:pPr>
      <w:r w:rsidRPr="00A673F2">
        <w:rPr>
          <w:rFonts w:ascii="Times New Roman" w:eastAsia="Times New Roman" w:hAnsi="Times New Roman" w:cs="Times New Roman"/>
          <w:lang w:eastAsia="en-GB"/>
        </w:rPr>
        <w:t xml:space="preserve">Homology modelling generated theoretical three-dimensional structures of </w:t>
      </w:r>
      <w:proofErr w:type="spellStart"/>
      <w:r w:rsidRPr="00A673F2">
        <w:rPr>
          <w:rFonts w:ascii="Times New Roman" w:eastAsia="Times New Roman" w:hAnsi="Times New Roman" w:cs="Times New Roman"/>
          <w:lang w:eastAsia="en-GB"/>
        </w:rPr>
        <w:t>hemocyanins</w:t>
      </w:r>
      <w:proofErr w:type="spellEnd"/>
      <w:r w:rsidRPr="00A673F2">
        <w:rPr>
          <w:rFonts w:ascii="Times New Roman" w:eastAsia="Times New Roman" w:hAnsi="Times New Roman" w:cs="Times New Roman"/>
          <w:lang w:eastAsia="en-GB"/>
        </w:rPr>
        <w:t xml:space="preserve"> from </w:t>
      </w:r>
      <w:r w:rsidRPr="00A673F2">
        <w:rPr>
          <w:rFonts w:ascii="Times New Roman" w:eastAsia="Times New Roman" w:hAnsi="Times New Roman" w:cs="Times New Roman"/>
          <w:i/>
          <w:iCs/>
          <w:lang w:eastAsia="en-GB"/>
        </w:rPr>
        <w:t>Scylla olivacea</w:t>
      </w:r>
      <w:r w:rsidRPr="00A673F2">
        <w:rPr>
          <w:rFonts w:ascii="Times New Roman" w:eastAsia="Times New Roman" w:hAnsi="Times New Roman" w:cs="Times New Roman"/>
          <w:lang w:eastAsia="en-GB"/>
        </w:rPr>
        <w:t xml:space="preserve"> and </w:t>
      </w:r>
      <w:r w:rsidRPr="00A673F2">
        <w:rPr>
          <w:rFonts w:ascii="Times New Roman" w:eastAsia="Times New Roman" w:hAnsi="Times New Roman" w:cs="Times New Roman"/>
          <w:i/>
          <w:iCs/>
          <w:lang w:eastAsia="en-GB"/>
        </w:rPr>
        <w:t>Scylla serrata</w:t>
      </w:r>
      <w:r w:rsidRPr="00A673F2">
        <w:rPr>
          <w:rFonts w:ascii="Times New Roman" w:eastAsia="Times New Roman" w:hAnsi="Times New Roman" w:cs="Times New Roman"/>
          <w:lang w:eastAsia="en-GB"/>
        </w:rPr>
        <w:t xml:space="preserve"> with close structural similarity to the selected crystallographic templates. Molecular docking predicted interactions of both models with hydrogen peroxide, sodium dodecyl </w:t>
      </w:r>
      <w:proofErr w:type="spellStart"/>
      <w:r w:rsidRPr="00A673F2">
        <w:rPr>
          <w:rFonts w:ascii="Times New Roman" w:eastAsia="Times New Roman" w:hAnsi="Times New Roman" w:cs="Times New Roman"/>
          <w:lang w:eastAsia="en-GB"/>
        </w:rPr>
        <w:t>sulfate</w:t>
      </w:r>
      <w:proofErr w:type="spellEnd"/>
      <w:r w:rsidRPr="00A673F2">
        <w:rPr>
          <w:rFonts w:ascii="Times New Roman" w:eastAsia="Times New Roman" w:hAnsi="Times New Roman" w:cs="Times New Roman"/>
          <w:lang w:eastAsia="en-GB"/>
        </w:rPr>
        <w:t xml:space="preserve">, N-acetylglucosamine, N-acetylmuramic acid and β-glucan. Among the investigated ligands, the </w:t>
      </w:r>
      <w:r w:rsidRPr="00A673F2">
        <w:rPr>
          <w:rFonts w:ascii="Times New Roman" w:eastAsia="Times New Roman" w:hAnsi="Times New Roman" w:cs="Times New Roman"/>
          <w:i/>
          <w:iCs/>
          <w:lang w:eastAsia="en-GB"/>
        </w:rPr>
        <w:t>S. serrata</w:t>
      </w:r>
      <w:r w:rsidRPr="00A673F2">
        <w:rPr>
          <w:rFonts w:ascii="Times New Roman" w:eastAsia="Times New Roman" w:hAnsi="Times New Roman" w:cs="Times New Roman"/>
          <w:lang w:eastAsia="en-GB"/>
        </w:rPr>
        <w:t xml:space="preserve"> model showed comparatively </w:t>
      </w:r>
      <w:r w:rsidRPr="00A673F2">
        <w:rPr>
          <w:rFonts w:ascii="Times New Roman" w:eastAsia="Times New Roman" w:hAnsi="Times New Roman" w:cs="Times New Roman"/>
          <w:lang w:eastAsia="en-GB"/>
        </w:rPr>
        <w:lastRenderedPageBreak/>
        <w:t>favourable docking energies with N-acetylglucosamine and β-glucan. The interaction analyses also identified several amino acid residues that may contribute to ligand recognition. These findings provide a computational basis for further examination of hemocyanin structure and molecular interactions in mud crabs. Experimental structural and biochemical studies are required to determine whether the predicted interactions correspond to physiological functions.</w:t>
      </w:r>
      <w:r w:rsidR="00880900">
        <w:rPr>
          <w:rFonts w:ascii="Times New Roman" w:eastAsia="Times New Roman" w:hAnsi="Times New Roman" w:cs="Times New Roman"/>
          <w:lang w:eastAsia="en-GB"/>
        </w:rPr>
        <w:t xml:space="preserve">  </w:t>
      </w:r>
    </w:p>
    <w:p w14:paraId="1EF0A9D7" w14:textId="2632BE9F" w:rsidR="00880900" w:rsidRPr="00880900" w:rsidRDefault="00880900" w:rsidP="00880900">
      <w:pPr>
        <w:spacing w:before="100" w:beforeAutospacing="1" w:after="100" w:afterAutospacing="1"/>
        <w:outlineLvl w:val="2"/>
        <w:rPr>
          <w:rFonts w:ascii="Times New Roman" w:eastAsia="Times New Roman" w:hAnsi="Times New Roman" w:cs="Times New Roman"/>
          <w:b/>
          <w:bCs/>
          <w:sz w:val="27"/>
          <w:szCs w:val="27"/>
          <w:lang w:val="en-US"/>
        </w:rPr>
      </w:pPr>
      <w:r w:rsidRPr="00880900">
        <w:rPr>
          <w:rFonts w:ascii="Times New Roman" w:eastAsia="Times New Roman" w:hAnsi="Times New Roman" w:cs="Times New Roman"/>
          <w:b/>
          <w:bCs/>
          <w:sz w:val="27"/>
          <w:szCs w:val="27"/>
          <w:lang w:val="en-US"/>
        </w:rPr>
        <w:t xml:space="preserve">Limitation </w:t>
      </w:r>
    </w:p>
    <w:p w14:paraId="11B06DF5" w14:textId="28100273" w:rsidR="00880900" w:rsidRPr="00880900" w:rsidRDefault="00880900" w:rsidP="00880900">
      <w:pPr>
        <w:spacing w:before="100" w:beforeAutospacing="1" w:after="100" w:afterAutospacing="1"/>
        <w:rPr>
          <w:rFonts w:ascii="Times New Roman" w:eastAsia="Times New Roman" w:hAnsi="Times New Roman" w:cs="Times New Roman"/>
          <w:lang w:val="en-US"/>
        </w:rPr>
      </w:pPr>
      <w:r w:rsidRPr="00880900">
        <w:rPr>
          <w:rFonts w:ascii="Times New Roman" w:eastAsia="Times New Roman" w:hAnsi="Times New Roman" w:cs="Times New Roman"/>
          <w:lang w:val="en-US"/>
        </w:rPr>
        <w:t xml:space="preserve">This study is limited by its reliance on homology models and molecular docking rather than experimentally resolved </w:t>
      </w:r>
      <w:r w:rsidRPr="00880900">
        <w:rPr>
          <w:rFonts w:ascii="Times New Roman" w:eastAsia="Times New Roman" w:hAnsi="Times New Roman" w:cs="Times New Roman"/>
          <w:i/>
          <w:iCs/>
          <w:lang w:val="en-US"/>
        </w:rPr>
        <w:t>Scylla</w:t>
      </w:r>
      <w:r w:rsidRPr="00880900">
        <w:rPr>
          <w:rFonts w:ascii="Times New Roman" w:eastAsia="Times New Roman" w:hAnsi="Times New Roman" w:cs="Times New Roman"/>
          <w:lang w:val="en-US"/>
        </w:rPr>
        <w:t xml:space="preserve"> hemocyanin structures or direct ligand-binding measurements. Docking scores are comparative computational estimates and do not represent experimental binding free energies. The predicted contact residues and ligand interactions therefore require biochemical and structural validation. </w:t>
      </w:r>
    </w:p>
    <w:p w14:paraId="0EB6EFFB" w14:textId="77777777" w:rsidR="00880900" w:rsidRDefault="00880900" w:rsidP="00F50546">
      <w:pPr>
        <w:spacing w:before="100" w:beforeAutospacing="1" w:after="100" w:afterAutospacing="1"/>
        <w:rPr>
          <w:rFonts w:ascii="Times New Roman" w:eastAsia="Times New Roman" w:hAnsi="Times New Roman" w:cs="Times New Roman"/>
          <w:lang w:eastAsia="en-GB"/>
        </w:rPr>
      </w:pPr>
    </w:p>
    <w:p w14:paraId="788360DA" w14:textId="77777777" w:rsidR="0091071E" w:rsidRDefault="0091071E" w:rsidP="00F50546">
      <w:pPr>
        <w:spacing w:before="100" w:beforeAutospacing="1" w:after="100" w:afterAutospacing="1"/>
        <w:rPr>
          <w:rFonts w:ascii="Times New Roman" w:eastAsia="Times New Roman" w:hAnsi="Times New Roman" w:cs="Times New Roman"/>
          <w:lang w:eastAsia="en-GB"/>
        </w:rPr>
      </w:pPr>
    </w:p>
    <w:p w14:paraId="63277584" w14:textId="77777777" w:rsidR="0091071E" w:rsidRPr="000839CE" w:rsidRDefault="0091071E" w:rsidP="0091071E">
      <w:pPr>
        <w:rPr>
          <w:rFonts w:ascii="Times New Roman" w:hAnsi="Times New Roman" w:cs="Times New Roman"/>
          <w:b/>
        </w:rPr>
      </w:pPr>
      <w:r w:rsidRPr="000839CE">
        <w:rPr>
          <w:rFonts w:ascii="Times New Roman" w:hAnsi="Times New Roman" w:cs="Times New Roman"/>
          <w:b/>
        </w:rPr>
        <w:t>Declaration of AI Use</w:t>
      </w:r>
    </w:p>
    <w:p w14:paraId="7BD43F90" w14:textId="77777777" w:rsidR="0091071E" w:rsidRPr="00082816" w:rsidRDefault="0091071E" w:rsidP="0091071E">
      <w:pPr>
        <w:rPr>
          <w:rFonts w:ascii="Times New Roman" w:hAnsi="Times New Roman" w:cs="Times New Roman"/>
          <w:lang w:val="en-US"/>
        </w:rPr>
      </w:pPr>
    </w:p>
    <w:p w14:paraId="189765C2" w14:textId="77777777" w:rsidR="0091071E" w:rsidRPr="00082816" w:rsidRDefault="0091071E" w:rsidP="0091071E">
      <w:pPr>
        <w:rPr>
          <w:rFonts w:ascii="Times New Roman" w:hAnsi="Times New Roman" w:cs="Times New Roman"/>
          <w:lang w:val="en-US"/>
        </w:rPr>
      </w:pPr>
      <w:r w:rsidRPr="00082816">
        <w:rPr>
          <w:rFonts w:ascii="Times New Roman" w:hAnsi="Times New Roman" w:cs="Times New Roman"/>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327936E" w14:textId="77777777" w:rsidR="0091071E" w:rsidRPr="00A673F2" w:rsidRDefault="0091071E" w:rsidP="00F50546">
      <w:pPr>
        <w:spacing w:before="100" w:beforeAutospacing="1" w:after="100" w:afterAutospacing="1"/>
        <w:rPr>
          <w:rFonts w:ascii="Times New Roman" w:eastAsia="Times New Roman" w:hAnsi="Times New Roman" w:cs="Times New Roman"/>
          <w:lang w:eastAsia="en-GB"/>
        </w:rPr>
      </w:pPr>
    </w:p>
    <w:p w14:paraId="204F8F2C" w14:textId="77777777" w:rsidR="00A50007" w:rsidRPr="00FA6665" w:rsidRDefault="00A50007" w:rsidP="00A50007">
      <w:pPr>
        <w:spacing w:before="100" w:beforeAutospacing="1" w:after="100" w:afterAutospacing="1"/>
        <w:jc w:val="both"/>
        <w:outlineLvl w:val="1"/>
        <w:rPr>
          <w:rFonts w:ascii="Times" w:eastAsia="Times New Roman" w:hAnsi="Times" w:cs="Times New Roman"/>
          <w:b/>
          <w:bCs/>
          <w:lang w:val="en-IN"/>
        </w:rPr>
      </w:pPr>
      <w:r w:rsidRPr="00FA6665">
        <w:rPr>
          <w:rFonts w:ascii="Times" w:eastAsia="Times New Roman" w:hAnsi="Times" w:cs="Times New Roman"/>
          <w:b/>
          <w:bCs/>
          <w:lang w:val="en-IN"/>
        </w:rPr>
        <w:t>References</w:t>
      </w:r>
    </w:p>
    <w:p w14:paraId="380608EB" w14:textId="5502565D"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t xml:space="preserve">Altschul, S. F., Gish, W., Miller, W., Myers, E. W., &amp; Lipman, D. J. (1990). Basic local alignment search tool. </w:t>
      </w:r>
      <w:r w:rsidRPr="002E5D50">
        <w:rPr>
          <w:rFonts w:ascii="Times New Roman" w:eastAsia="Times New Roman" w:hAnsi="Times New Roman" w:cs="Times New Roman"/>
          <w:i/>
          <w:iCs/>
        </w:rPr>
        <w:t>Journal of Molecular Biology, 215</w:t>
      </w:r>
      <w:r w:rsidRPr="002E5D50">
        <w:rPr>
          <w:rFonts w:ascii="Times New Roman" w:eastAsia="Times New Roman" w:hAnsi="Times New Roman" w:cs="Times New Roman"/>
        </w:rPr>
        <w:t xml:space="preserve">(3), 403–410. </w:t>
      </w:r>
      <w:hyperlink r:id="rId9" w:history="1">
        <w:r w:rsidRPr="002E5D50">
          <w:rPr>
            <w:rFonts w:ascii="Times New Roman" w:eastAsia="Times New Roman" w:hAnsi="Times New Roman" w:cs="Times New Roman"/>
            <w:color w:val="0000FF"/>
            <w:u w:val="single"/>
          </w:rPr>
          <w:t>https://doi.org/10.1016/S0022-2836(05)80360-2</w:t>
        </w:r>
      </w:hyperlink>
    </w:p>
    <w:p w14:paraId="5A90F6BC" w14:textId="28CAABFA"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t xml:space="preserve">Annadurai, S., Sundaram, S., Kannan, P., Ronald, S. M., </w:t>
      </w:r>
      <w:proofErr w:type="spellStart"/>
      <w:r w:rsidRPr="002E5D50">
        <w:rPr>
          <w:rFonts w:ascii="Times New Roman" w:eastAsia="Times New Roman" w:hAnsi="Times New Roman" w:cs="Times New Roman"/>
        </w:rPr>
        <w:t>Rajagunalan</w:t>
      </w:r>
      <w:proofErr w:type="spellEnd"/>
      <w:r w:rsidRPr="002E5D50">
        <w:rPr>
          <w:rFonts w:ascii="Times New Roman" w:eastAsia="Times New Roman" w:hAnsi="Times New Roman" w:cs="Times New Roman"/>
        </w:rPr>
        <w:t xml:space="preserve">, S., Rishikesavan, R., </w:t>
      </w:r>
      <w:proofErr w:type="spellStart"/>
      <w:r w:rsidRPr="002E5D50">
        <w:rPr>
          <w:rFonts w:ascii="Times New Roman" w:eastAsia="Times New Roman" w:hAnsi="Times New Roman" w:cs="Times New Roman"/>
        </w:rPr>
        <w:t>Sivachandiran</w:t>
      </w:r>
      <w:proofErr w:type="spellEnd"/>
      <w:r w:rsidRPr="002E5D50">
        <w:rPr>
          <w:rFonts w:ascii="Times New Roman" w:eastAsia="Times New Roman" w:hAnsi="Times New Roman" w:cs="Times New Roman"/>
        </w:rPr>
        <w:t xml:space="preserve">, R., &amp; Ayyasamy, E. (2026). In silico analysis of </w:t>
      </w:r>
      <w:proofErr w:type="spellStart"/>
      <w:r w:rsidRPr="002E5D50">
        <w:rPr>
          <w:rFonts w:ascii="Times New Roman" w:eastAsia="Times New Roman" w:hAnsi="Times New Roman" w:cs="Times New Roman"/>
        </w:rPr>
        <w:t>RpoB</w:t>
      </w:r>
      <w:proofErr w:type="spellEnd"/>
      <w:r w:rsidRPr="002E5D50">
        <w:rPr>
          <w:rFonts w:ascii="Times New Roman" w:eastAsia="Times New Roman" w:hAnsi="Times New Roman" w:cs="Times New Roman"/>
        </w:rPr>
        <w:t xml:space="preserve"> sequence variations and rifampicin binding interactions in mycobacterial strains. </w:t>
      </w:r>
      <w:r w:rsidRPr="002E5D50">
        <w:rPr>
          <w:rFonts w:ascii="Times New Roman" w:eastAsia="Times New Roman" w:hAnsi="Times New Roman" w:cs="Times New Roman"/>
          <w:i/>
          <w:iCs/>
        </w:rPr>
        <w:t>International Journal of Biochemistry Research &amp; Review, 35</w:t>
      </w:r>
      <w:r w:rsidRPr="002E5D50">
        <w:rPr>
          <w:rFonts w:ascii="Times New Roman" w:eastAsia="Times New Roman" w:hAnsi="Times New Roman" w:cs="Times New Roman"/>
        </w:rPr>
        <w:t xml:space="preserve">(3), 48–58. </w:t>
      </w:r>
      <w:hyperlink r:id="rId10" w:history="1">
        <w:r w:rsidRPr="002E5D50">
          <w:rPr>
            <w:rFonts w:ascii="Times New Roman" w:eastAsia="Times New Roman" w:hAnsi="Times New Roman" w:cs="Times New Roman"/>
            <w:color w:val="0000FF"/>
            <w:u w:val="single"/>
          </w:rPr>
          <w:t>https://doi.org/10.9734/ijbcrr/2026/v35i31123</w:t>
        </w:r>
      </w:hyperlink>
    </w:p>
    <w:p w14:paraId="06568290" w14:textId="149C4EBD"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t xml:space="preserve">Benkert, P., Tosatto, S. C. E., &amp; Schomburg, D. (2008). QMEAN: A comprehensive scoring function for model quality assessment. </w:t>
      </w:r>
      <w:r w:rsidRPr="002E5D50">
        <w:rPr>
          <w:rFonts w:ascii="Times New Roman" w:eastAsia="Times New Roman" w:hAnsi="Times New Roman" w:cs="Times New Roman"/>
          <w:i/>
          <w:iCs/>
        </w:rPr>
        <w:t>Proteins: Structure, Function, and Bioinformatics, 71</w:t>
      </w:r>
      <w:r w:rsidRPr="002E5D50">
        <w:rPr>
          <w:rFonts w:ascii="Times New Roman" w:eastAsia="Times New Roman" w:hAnsi="Times New Roman" w:cs="Times New Roman"/>
        </w:rPr>
        <w:t xml:space="preserve">(1), 261–277. </w:t>
      </w:r>
      <w:hyperlink r:id="rId11" w:history="1">
        <w:r w:rsidRPr="002E5D50">
          <w:rPr>
            <w:rFonts w:ascii="Times New Roman" w:eastAsia="Times New Roman" w:hAnsi="Times New Roman" w:cs="Times New Roman"/>
            <w:color w:val="0000FF"/>
            <w:u w:val="single"/>
          </w:rPr>
          <w:t>https://doi.org/10.1002/prot.21715</w:t>
        </w:r>
      </w:hyperlink>
    </w:p>
    <w:p w14:paraId="3FDB6FE1" w14:textId="10A532F6"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t xml:space="preserve">Berman, H. M., Westbrook, J., Feng, Z., Gilliland, G., Bhat, T. N., Weissig, H., Shindyalov, I. N., &amp; Bourne, P. E. (2000). The Protein Data Bank. </w:t>
      </w:r>
      <w:r w:rsidRPr="002E5D50">
        <w:rPr>
          <w:rFonts w:ascii="Times New Roman" w:eastAsia="Times New Roman" w:hAnsi="Times New Roman" w:cs="Times New Roman"/>
          <w:i/>
          <w:iCs/>
        </w:rPr>
        <w:t>Nucleic Acids Research, 28</w:t>
      </w:r>
      <w:r w:rsidRPr="002E5D50">
        <w:rPr>
          <w:rFonts w:ascii="Times New Roman" w:eastAsia="Times New Roman" w:hAnsi="Times New Roman" w:cs="Times New Roman"/>
        </w:rPr>
        <w:t xml:space="preserve">(1), 235–242. </w:t>
      </w:r>
      <w:hyperlink r:id="rId12" w:history="1">
        <w:r w:rsidRPr="002E5D50">
          <w:rPr>
            <w:rFonts w:ascii="Times New Roman" w:eastAsia="Times New Roman" w:hAnsi="Times New Roman" w:cs="Times New Roman"/>
            <w:color w:val="0000FF"/>
            <w:u w:val="single"/>
          </w:rPr>
          <w:t>https://doi.org/10.1093/nar/28.1.235</w:t>
        </w:r>
      </w:hyperlink>
    </w:p>
    <w:p w14:paraId="605FF2F6" w14:textId="553F4047"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lang w:val="nl-BE"/>
        </w:rPr>
        <w:t xml:space="preserve">Chai, L.-Q., Meng, J.-H., Gao, J., Xu, Y.-H., &amp; Wang, X.-W. (2018). </w:t>
      </w:r>
      <w:r w:rsidRPr="002E5D50">
        <w:rPr>
          <w:rFonts w:ascii="Times New Roman" w:eastAsia="Times New Roman" w:hAnsi="Times New Roman" w:cs="Times New Roman"/>
        </w:rPr>
        <w:t xml:space="preserve">Identification of a crustacean β-1,3-glucanase related protein as a pattern recognition protein in antibacterial response. </w:t>
      </w:r>
      <w:r w:rsidRPr="002E5D50">
        <w:rPr>
          <w:rFonts w:ascii="Times New Roman" w:eastAsia="Times New Roman" w:hAnsi="Times New Roman" w:cs="Times New Roman"/>
          <w:i/>
          <w:iCs/>
        </w:rPr>
        <w:t>Fish &amp; Shellfish Immunology, 80</w:t>
      </w:r>
      <w:r w:rsidRPr="002E5D50">
        <w:rPr>
          <w:rFonts w:ascii="Times New Roman" w:eastAsia="Times New Roman" w:hAnsi="Times New Roman" w:cs="Times New Roman"/>
        </w:rPr>
        <w:t xml:space="preserve">, 155–164. </w:t>
      </w:r>
      <w:hyperlink r:id="rId13" w:history="1">
        <w:r w:rsidRPr="002E5D50">
          <w:rPr>
            <w:rFonts w:ascii="Times New Roman" w:eastAsia="Times New Roman" w:hAnsi="Times New Roman" w:cs="Times New Roman"/>
            <w:color w:val="0000FF"/>
            <w:u w:val="single"/>
          </w:rPr>
          <w:t>https://doi.org/10.1016/j.fsi.2018.06.004</w:t>
        </w:r>
      </w:hyperlink>
    </w:p>
    <w:p w14:paraId="5BF8BA9B" w14:textId="09308B82"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lastRenderedPageBreak/>
        <w:t xml:space="preserve">Destoumieux-Garzón, D., Saulnier, D., Garnier, J., </w:t>
      </w:r>
      <w:proofErr w:type="spellStart"/>
      <w:r w:rsidRPr="002E5D50">
        <w:rPr>
          <w:rFonts w:ascii="Times New Roman" w:eastAsia="Times New Roman" w:hAnsi="Times New Roman" w:cs="Times New Roman"/>
        </w:rPr>
        <w:t>Jouffrey</w:t>
      </w:r>
      <w:proofErr w:type="spellEnd"/>
      <w:r w:rsidRPr="002E5D50">
        <w:rPr>
          <w:rFonts w:ascii="Times New Roman" w:eastAsia="Times New Roman" w:hAnsi="Times New Roman" w:cs="Times New Roman"/>
        </w:rPr>
        <w:t xml:space="preserve">, C., </w:t>
      </w:r>
      <w:proofErr w:type="spellStart"/>
      <w:r w:rsidRPr="002E5D50">
        <w:rPr>
          <w:rFonts w:ascii="Times New Roman" w:eastAsia="Times New Roman" w:hAnsi="Times New Roman" w:cs="Times New Roman"/>
        </w:rPr>
        <w:t>Bulet</w:t>
      </w:r>
      <w:proofErr w:type="spellEnd"/>
      <w:r w:rsidRPr="002E5D50">
        <w:rPr>
          <w:rFonts w:ascii="Times New Roman" w:eastAsia="Times New Roman" w:hAnsi="Times New Roman" w:cs="Times New Roman"/>
        </w:rPr>
        <w:t xml:space="preserve">, P., &amp; </w:t>
      </w:r>
      <w:proofErr w:type="spellStart"/>
      <w:r w:rsidRPr="002E5D50">
        <w:rPr>
          <w:rFonts w:ascii="Times New Roman" w:eastAsia="Times New Roman" w:hAnsi="Times New Roman" w:cs="Times New Roman"/>
        </w:rPr>
        <w:t>Bachère</w:t>
      </w:r>
      <w:proofErr w:type="spellEnd"/>
      <w:r w:rsidRPr="002E5D50">
        <w:rPr>
          <w:rFonts w:ascii="Times New Roman" w:eastAsia="Times New Roman" w:hAnsi="Times New Roman" w:cs="Times New Roman"/>
        </w:rPr>
        <w:t xml:space="preserve">, E. (2001). Crustacean immunity: Antifungal peptides are generated from the C terminus of shrimp hemocyanin in response to microbial challenge. </w:t>
      </w:r>
      <w:r w:rsidRPr="002E5D50">
        <w:rPr>
          <w:rFonts w:ascii="Times New Roman" w:eastAsia="Times New Roman" w:hAnsi="Times New Roman" w:cs="Times New Roman"/>
          <w:i/>
          <w:iCs/>
        </w:rPr>
        <w:t>Journal of Biological Chemistry, 276</w:t>
      </w:r>
      <w:r w:rsidRPr="002E5D50">
        <w:rPr>
          <w:rFonts w:ascii="Times New Roman" w:eastAsia="Times New Roman" w:hAnsi="Times New Roman" w:cs="Times New Roman"/>
        </w:rPr>
        <w:t xml:space="preserve">(50), 47070–47077. </w:t>
      </w:r>
      <w:hyperlink r:id="rId14" w:history="1">
        <w:r w:rsidRPr="002E5D50">
          <w:rPr>
            <w:rFonts w:ascii="Times New Roman" w:eastAsia="Times New Roman" w:hAnsi="Times New Roman" w:cs="Times New Roman"/>
            <w:color w:val="0000FF"/>
            <w:u w:val="single"/>
          </w:rPr>
          <w:t>https://doi.org/10.1074/jbc.M103817200</w:t>
        </w:r>
      </w:hyperlink>
    </w:p>
    <w:p w14:paraId="701BB415" w14:textId="7E8AF0D1"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lang w:val="nl-BE"/>
        </w:rPr>
        <w:t xml:space="preserve">Eisenberg, D., Lüthy, R., &amp; Bowie, J. U. (1997). </w:t>
      </w:r>
      <w:r w:rsidRPr="002E5D50">
        <w:rPr>
          <w:rFonts w:ascii="Times New Roman" w:eastAsia="Times New Roman" w:hAnsi="Times New Roman" w:cs="Times New Roman"/>
        </w:rPr>
        <w:t xml:space="preserve">VERIFY3D: Assessment of protein models with three-dimensional profiles. </w:t>
      </w:r>
      <w:r w:rsidRPr="002E5D50">
        <w:rPr>
          <w:rFonts w:ascii="Times New Roman" w:eastAsia="Times New Roman" w:hAnsi="Times New Roman" w:cs="Times New Roman"/>
          <w:i/>
          <w:iCs/>
        </w:rPr>
        <w:t>Methods in Enzymology, 277</w:t>
      </w:r>
      <w:r w:rsidRPr="002E5D50">
        <w:rPr>
          <w:rFonts w:ascii="Times New Roman" w:eastAsia="Times New Roman" w:hAnsi="Times New Roman" w:cs="Times New Roman"/>
        </w:rPr>
        <w:t xml:space="preserve">, 396–404. </w:t>
      </w:r>
      <w:hyperlink r:id="rId15" w:history="1">
        <w:r w:rsidRPr="002E5D50">
          <w:rPr>
            <w:rFonts w:ascii="Times New Roman" w:eastAsia="Times New Roman" w:hAnsi="Times New Roman" w:cs="Times New Roman"/>
            <w:color w:val="0000FF"/>
            <w:u w:val="single"/>
          </w:rPr>
          <w:t>https://doi.org/10.1016/S0076-6879(97)77022-8</w:t>
        </w:r>
      </w:hyperlink>
    </w:p>
    <w:p w14:paraId="71D8796B" w14:textId="34AFD08A"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t xml:space="preserve">Fan, T., Zhang, Y., Yang, L., Yang, X., Jiang, G., Yu, M., &amp; Cong, R. (2009). Identification and characterization of a hemocyanin-derived </w:t>
      </w:r>
      <w:proofErr w:type="spellStart"/>
      <w:r w:rsidRPr="002E5D50">
        <w:rPr>
          <w:rFonts w:ascii="Times New Roman" w:eastAsia="Times New Roman" w:hAnsi="Times New Roman" w:cs="Times New Roman"/>
        </w:rPr>
        <w:t>phenoloxidase</w:t>
      </w:r>
      <w:proofErr w:type="spellEnd"/>
      <w:r w:rsidRPr="002E5D50">
        <w:rPr>
          <w:rFonts w:ascii="Times New Roman" w:eastAsia="Times New Roman" w:hAnsi="Times New Roman" w:cs="Times New Roman"/>
        </w:rPr>
        <w:t xml:space="preserve"> from the crab </w:t>
      </w:r>
      <w:r w:rsidRPr="002E5D50">
        <w:rPr>
          <w:rFonts w:ascii="Times New Roman" w:eastAsia="Times New Roman" w:hAnsi="Times New Roman" w:cs="Times New Roman"/>
          <w:i/>
          <w:iCs/>
        </w:rPr>
        <w:t>Charybdis japonica</w:t>
      </w:r>
      <w:r w:rsidRPr="002E5D50">
        <w:rPr>
          <w:rFonts w:ascii="Times New Roman" w:eastAsia="Times New Roman" w:hAnsi="Times New Roman" w:cs="Times New Roman"/>
        </w:rPr>
        <w:t xml:space="preserve">. </w:t>
      </w:r>
      <w:r w:rsidRPr="002E5D50">
        <w:rPr>
          <w:rFonts w:ascii="Times New Roman" w:eastAsia="Times New Roman" w:hAnsi="Times New Roman" w:cs="Times New Roman"/>
          <w:i/>
          <w:iCs/>
        </w:rPr>
        <w:t>Comparative Biochemistry and Physiology Part B: Biochemistry and Molecular Biology, 152</w:t>
      </w:r>
      <w:r w:rsidRPr="002E5D50">
        <w:rPr>
          <w:rFonts w:ascii="Times New Roman" w:eastAsia="Times New Roman" w:hAnsi="Times New Roman" w:cs="Times New Roman"/>
        </w:rPr>
        <w:t xml:space="preserve">(2), 144–149. </w:t>
      </w:r>
      <w:hyperlink r:id="rId16" w:history="1">
        <w:r w:rsidRPr="002E5D50">
          <w:rPr>
            <w:rFonts w:ascii="Times New Roman" w:eastAsia="Times New Roman" w:hAnsi="Times New Roman" w:cs="Times New Roman"/>
            <w:color w:val="0000FF"/>
            <w:u w:val="single"/>
          </w:rPr>
          <w:t>https://doi.org/10.1016/j.cbpb.2008.10.010</w:t>
        </w:r>
      </w:hyperlink>
    </w:p>
    <w:p w14:paraId="18B6FE60" w14:textId="15E0527C"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t xml:space="preserve">García-Carreño, F. L., Cota, K., &amp; Navarrete del Toro, M. A. (2008). </w:t>
      </w:r>
      <w:proofErr w:type="spellStart"/>
      <w:r w:rsidRPr="002E5D50">
        <w:rPr>
          <w:rFonts w:ascii="Times New Roman" w:eastAsia="Times New Roman" w:hAnsi="Times New Roman" w:cs="Times New Roman"/>
        </w:rPr>
        <w:t>Phenoloxidase</w:t>
      </w:r>
      <w:proofErr w:type="spellEnd"/>
      <w:r w:rsidRPr="002E5D50">
        <w:rPr>
          <w:rFonts w:ascii="Times New Roman" w:eastAsia="Times New Roman" w:hAnsi="Times New Roman" w:cs="Times New Roman"/>
        </w:rPr>
        <w:t xml:space="preserve"> activity of hemocyanin in </w:t>
      </w:r>
      <w:proofErr w:type="spellStart"/>
      <w:r w:rsidRPr="002E5D50">
        <w:rPr>
          <w:rFonts w:ascii="Times New Roman" w:eastAsia="Times New Roman" w:hAnsi="Times New Roman" w:cs="Times New Roman"/>
        </w:rPr>
        <w:t>whiteleg</w:t>
      </w:r>
      <w:proofErr w:type="spellEnd"/>
      <w:r w:rsidRPr="002E5D50">
        <w:rPr>
          <w:rFonts w:ascii="Times New Roman" w:eastAsia="Times New Roman" w:hAnsi="Times New Roman" w:cs="Times New Roman"/>
        </w:rPr>
        <w:t xml:space="preserve"> shrimp </w:t>
      </w:r>
      <w:r w:rsidRPr="002E5D50">
        <w:rPr>
          <w:rFonts w:ascii="Times New Roman" w:eastAsia="Times New Roman" w:hAnsi="Times New Roman" w:cs="Times New Roman"/>
          <w:i/>
          <w:iCs/>
        </w:rPr>
        <w:t xml:space="preserve">Penaeus </w:t>
      </w:r>
      <w:proofErr w:type="spellStart"/>
      <w:r w:rsidRPr="002E5D50">
        <w:rPr>
          <w:rFonts w:ascii="Times New Roman" w:eastAsia="Times New Roman" w:hAnsi="Times New Roman" w:cs="Times New Roman"/>
          <w:i/>
          <w:iCs/>
        </w:rPr>
        <w:t>vannamei</w:t>
      </w:r>
      <w:proofErr w:type="spellEnd"/>
      <w:r w:rsidRPr="002E5D50">
        <w:rPr>
          <w:rFonts w:ascii="Times New Roman" w:eastAsia="Times New Roman" w:hAnsi="Times New Roman" w:cs="Times New Roman"/>
        </w:rPr>
        <w:t xml:space="preserve">: Conversion, characterization of catalytic properties, and role in postmortem melanosis. </w:t>
      </w:r>
      <w:r w:rsidRPr="002E5D50">
        <w:rPr>
          <w:rFonts w:ascii="Times New Roman" w:eastAsia="Times New Roman" w:hAnsi="Times New Roman" w:cs="Times New Roman"/>
          <w:i/>
          <w:iCs/>
        </w:rPr>
        <w:t>Journal of Agricultural and Food Chemistry, 56</w:t>
      </w:r>
      <w:r w:rsidRPr="002E5D50">
        <w:rPr>
          <w:rFonts w:ascii="Times New Roman" w:eastAsia="Times New Roman" w:hAnsi="Times New Roman" w:cs="Times New Roman"/>
        </w:rPr>
        <w:t xml:space="preserve">(15), 6454–6459. </w:t>
      </w:r>
      <w:hyperlink r:id="rId17" w:history="1">
        <w:r w:rsidRPr="002E5D50">
          <w:rPr>
            <w:rFonts w:ascii="Times New Roman" w:eastAsia="Times New Roman" w:hAnsi="Times New Roman" w:cs="Times New Roman"/>
            <w:color w:val="0000FF"/>
            <w:u w:val="single"/>
          </w:rPr>
          <w:t>https://doi.org/10.1021/jf800839x</w:t>
        </w:r>
      </w:hyperlink>
    </w:p>
    <w:p w14:paraId="3F497022" w14:textId="0AB6F858"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t xml:space="preserve">Ji, R., Guan, L., Hu, Z., Cheng, Y., Cai, M., Zhao, G., &amp; Zang, J. (2024). A comprehensive review on hemocyanin from marine products: Structure, functions, its implications for the food industry and beyond. </w:t>
      </w:r>
      <w:r w:rsidRPr="002E5D50">
        <w:rPr>
          <w:rFonts w:ascii="Times New Roman" w:eastAsia="Times New Roman" w:hAnsi="Times New Roman" w:cs="Times New Roman"/>
          <w:i/>
          <w:iCs/>
        </w:rPr>
        <w:t>International Journal of Biological Macromolecules, 269</w:t>
      </w:r>
      <w:r w:rsidRPr="002E5D50">
        <w:rPr>
          <w:rFonts w:ascii="Times New Roman" w:eastAsia="Times New Roman" w:hAnsi="Times New Roman" w:cs="Times New Roman"/>
        </w:rPr>
        <w:t xml:space="preserve">(Pt 1), 132041. </w:t>
      </w:r>
      <w:hyperlink r:id="rId18" w:history="1">
        <w:r w:rsidRPr="002E5D50">
          <w:rPr>
            <w:rFonts w:ascii="Times New Roman" w:eastAsia="Times New Roman" w:hAnsi="Times New Roman" w:cs="Times New Roman"/>
            <w:color w:val="0000FF"/>
            <w:u w:val="single"/>
          </w:rPr>
          <w:t>https://doi.org/10.1016/j.ijbiomac.2024.132041</w:t>
        </w:r>
      </w:hyperlink>
    </w:p>
    <w:p w14:paraId="7F5F9839" w14:textId="3798C082"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t xml:space="preserve">Laskowski, R. A., MacArthur, M. W., Moss, D. S., &amp; Thornton, J. M. (1993). PROCHECK: A program to check the stereochemical quality of protein structures. </w:t>
      </w:r>
      <w:r w:rsidRPr="002E5D50">
        <w:rPr>
          <w:rFonts w:ascii="Times New Roman" w:eastAsia="Times New Roman" w:hAnsi="Times New Roman" w:cs="Times New Roman"/>
          <w:i/>
          <w:iCs/>
        </w:rPr>
        <w:t>Journal of Applied Crystallography, 26</w:t>
      </w:r>
      <w:r w:rsidRPr="002E5D50">
        <w:rPr>
          <w:rFonts w:ascii="Times New Roman" w:eastAsia="Times New Roman" w:hAnsi="Times New Roman" w:cs="Times New Roman"/>
        </w:rPr>
        <w:t xml:space="preserve">(2), 283–291. </w:t>
      </w:r>
      <w:hyperlink r:id="rId19" w:history="1">
        <w:r w:rsidRPr="002E5D50">
          <w:rPr>
            <w:rFonts w:ascii="Times New Roman" w:eastAsia="Times New Roman" w:hAnsi="Times New Roman" w:cs="Times New Roman"/>
            <w:color w:val="0000FF"/>
            <w:u w:val="single"/>
          </w:rPr>
          <w:t>https://doi.org/10.1107/S0021889892009944</w:t>
        </w:r>
      </w:hyperlink>
    </w:p>
    <w:p w14:paraId="115FB4AD" w14:textId="1A5F1DFB"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t xml:space="preserve">Li, J., </w:t>
      </w:r>
      <w:proofErr w:type="spellStart"/>
      <w:r w:rsidRPr="002E5D50">
        <w:rPr>
          <w:rFonts w:ascii="Times New Roman" w:eastAsia="Times New Roman" w:hAnsi="Times New Roman" w:cs="Times New Roman"/>
        </w:rPr>
        <w:t>Aweya</w:t>
      </w:r>
      <w:proofErr w:type="spellEnd"/>
      <w:r w:rsidRPr="002E5D50">
        <w:rPr>
          <w:rFonts w:ascii="Times New Roman" w:eastAsia="Times New Roman" w:hAnsi="Times New Roman" w:cs="Times New Roman"/>
        </w:rPr>
        <w:t xml:space="preserve">, J. J., Zhao, M., Zhao, Y., Lin, Z., Chen, X., Zheng, Z., Li, P., Yao, D., &amp; Zhang, Y. (2025). Mannose-modified hemocyanin enhances pathogen endocytosis by crustacean </w:t>
      </w:r>
      <w:proofErr w:type="spellStart"/>
      <w:r w:rsidRPr="002E5D50">
        <w:rPr>
          <w:rFonts w:ascii="Times New Roman" w:eastAsia="Times New Roman" w:hAnsi="Times New Roman" w:cs="Times New Roman"/>
        </w:rPr>
        <w:t>hemocytes</w:t>
      </w:r>
      <w:proofErr w:type="spellEnd"/>
      <w:r w:rsidRPr="002E5D50">
        <w:rPr>
          <w:rFonts w:ascii="Times New Roman" w:eastAsia="Times New Roman" w:hAnsi="Times New Roman" w:cs="Times New Roman"/>
        </w:rPr>
        <w:t xml:space="preserve">. </w:t>
      </w:r>
      <w:r w:rsidRPr="002E5D50">
        <w:rPr>
          <w:rFonts w:ascii="Times New Roman" w:eastAsia="Times New Roman" w:hAnsi="Times New Roman" w:cs="Times New Roman"/>
          <w:i/>
          <w:iCs/>
        </w:rPr>
        <w:t>Journal of Biological Chemistry, 301</w:t>
      </w:r>
      <w:r w:rsidRPr="002E5D50">
        <w:rPr>
          <w:rFonts w:ascii="Times New Roman" w:eastAsia="Times New Roman" w:hAnsi="Times New Roman" w:cs="Times New Roman"/>
        </w:rPr>
        <w:t xml:space="preserve">(7), 110304. </w:t>
      </w:r>
      <w:hyperlink r:id="rId20" w:history="1">
        <w:r w:rsidRPr="002E5D50">
          <w:rPr>
            <w:rFonts w:ascii="Times New Roman" w:eastAsia="Times New Roman" w:hAnsi="Times New Roman" w:cs="Times New Roman"/>
            <w:color w:val="0000FF"/>
            <w:u w:val="single"/>
          </w:rPr>
          <w:t>https://doi.org/10.1016/j.jbc.2025.110304</w:t>
        </w:r>
      </w:hyperlink>
    </w:p>
    <w:p w14:paraId="1FA30EF7" w14:textId="548D2D96"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t xml:space="preserve">Masuda, T., Baba, S., Matsuo, K., Ito, S., &amp; Mikami, B. (2020). The high-resolution crystal structure of lobster hemocyanin shows its enzymatic capability as a </w:t>
      </w:r>
      <w:proofErr w:type="spellStart"/>
      <w:r w:rsidRPr="002E5D50">
        <w:rPr>
          <w:rFonts w:ascii="Times New Roman" w:eastAsia="Times New Roman" w:hAnsi="Times New Roman" w:cs="Times New Roman"/>
        </w:rPr>
        <w:t>phenoloxidase</w:t>
      </w:r>
      <w:proofErr w:type="spellEnd"/>
      <w:r w:rsidRPr="002E5D50">
        <w:rPr>
          <w:rFonts w:ascii="Times New Roman" w:eastAsia="Times New Roman" w:hAnsi="Times New Roman" w:cs="Times New Roman"/>
        </w:rPr>
        <w:t xml:space="preserve">. </w:t>
      </w:r>
      <w:r w:rsidRPr="002E5D50">
        <w:rPr>
          <w:rFonts w:ascii="Times New Roman" w:eastAsia="Times New Roman" w:hAnsi="Times New Roman" w:cs="Times New Roman"/>
          <w:i/>
          <w:iCs/>
        </w:rPr>
        <w:t>Archives of Biochemistry and Biophysics, 688</w:t>
      </w:r>
      <w:r w:rsidRPr="002E5D50">
        <w:rPr>
          <w:rFonts w:ascii="Times New Roman" w:eastAsia="Times New Roman" w:hAnsi="Times New Roman" w:cs="Times New Roman"/>
        </w:rPr>
        <w:t xml:space="preserve">, 108370. </w:t>
      </w:r>
      <w:hyperlink r:id="rId21" w:history="1">
        <w:r w:rsidRPr="002E5D50">
          <w:rPr>
            <w:rFonts w:ascii="Times New Roman" w:eastAsia="Times New Roman" w:hAnsi="Times New Roman" w:cs="Times New Roman"/>
            <w:color w:val="0000FF"/>
            <w:u w:val="single"/>
          </w:rPr>
          <w:t>https://doi.org/10.1016/j.abb.2020.108370</w:t>
        </w:r>
      </w:hyperlink>
    </w:p>
    <w:p w14:paraId="4D81E376" w14:textId="3F3FFC26"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t xml:space="preserve">Morris, G. M., Huey, R., Lindstrom, W., Sanner, M. F., Belew, R. K., Goodsell, D. S., &amp; Olson, A. J. (2009). AutoDock4 and AutoDockTools4: Automated docking with selective receptor flexibility. </w:t>
      </w:r>
      <w:r w:rsidRPr="002E5D50">
        <w:rPr>
          <w:rFonts w:ascii="Times New Roman" w:eastAsia="Times New Roman" w:hAnsi="Times New Roman" w:cs="Times New Roman"/>
          <w:i/>
          <w:iCs/>
        </w:rPr>
        <w:t>Journal of Computational Chemistry, 30</w:t>
      </w:r>
      <w:r w:rsidRPr="002E5D50">
        <w:rPr>
          <w:rFonts w:ascii="Times New Roman" w:eastAsia="Times New Roman" w:hAnsi="Times New Roman" w:cs="Times New Roman"/>
        </w:rPr>
        <w:t xml:space="preserve">(16), 2785–2791. </w:t>
      </w:r>
      <w:hyperlink r:id="rId22" w:history="1">
        <w:r w:rsidRPr="002E5D50">
          <w:rPr>
            <w:rFonts w:ascii="Times New Roman" w:eastAsia="Times New Roman" w:hAnsi="Times New Roman" w:cs="Times New Roman"/>
            <w:color w:val="0000FF"/>
            <w:u w:val="single"/>
          </w:rPr>
          <w:t>https://doi.org/10.1002/jcc.21256</w:t>
        </w:r>
      </w:hyperlink>
    </w:p>
    <w:p w14:paraId="0AFFF585" w14:textId="51DB0713"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t xml:space="preserve">Nguyen, N. T., Nguyen, T. H., Pham, T. N. H., Huy, N. T., Bay, M. V., Pham, M. Q., Nam, P. C., Vu, V. V., &amp; Ngo, S. T. (2020). </w:t>
      </w:r>
      <w:proofErr w:type="spellStart"/>
      <w:r w:rsidRPr="002E5D50">
        <w:rPr>
          <w:rFonts w:ascii="Times New Roman" w:eastAsia="Times New Roman" w:hAnsi="Times New Roman" w:cs="Times New Roman"/>
        </w:rPr>
        <w:t>AutoDock</w:t>
      </w:r>
      <w:proofErr w:type="spellEnd"/>
      <w:r w:rsidRPr="002E5D50">
        <w:rPr>
          <w:rFonts w:ascii="Times New Roman" w:eastAsia="Times New Roman" w:hAnsi="Times New Roman" w:cs="Times New Roman"/>
        </w:rPr>
        <w:t xml:space="preserve"> Vina adopts more accurate binding poses but AutoDock4 forms better binding affinity. </w:t>
      </w:r>
      <w:r w:rsidRPr="002E5D50">
        <w:rPr>
          <w:rFonts w:ascii="Times New Roman" w:eastAsia="Times New Roman" w:hAnsi="Times New Roman" w:cs="Times New Roman"/>
          <w:i/>
          <w:iCs/>
        </w:rPr>
        <w:t xml:space="preserve">Journal of Chemical Information and </w:t>
      </w:r>
      <w:proofErr w:type="spellStart"/>
      <w:r w:rsidRPr="002E5D50">
        <w:rPr>
          <w:rFonts w:ascii="Times New Roman" w:eastAsia="Times New Roman" w:hAnsi="Times New Roman" w:cs="Times New Roman"/>
          <w:i/>
          <w:iCs/>
        </w:rPr>
        <w:t>Modeling</w:t>
      </w:r>
      <w:proofErr w:type="spellEnd"/>
      <w:r w:rsidRPr="002E5D50">
        <w:rPr>
          <w:rFonts w:ascii="Times New Roman" w:eastAsia="Times New Roman" w:hAnsi="Times New Roman" w:cs="Times New Roman"/>
          <w:i/>
          <w:iCs/>
        </w:rPr>
        <w:t>, 60</w:t>
      </w:r>
      <w:r w:rsidRPr="002E5D50">
        <w:rPr>
          <w:rFonts w:ascii="Times New Roman" w:eastAsia="Times New Roman" w:hAnsi="Times New Roman" w:cs="Times New Roman"/>
        </w:rPr>
        <w:t xml:space="preserve">(1), 204–211. </w:t>
      </w:r>
      <w:hyperlink r:id="rId23" w:history="1">
        <w:r w:rsidRPr="002E5D50">
          <w:rPr>
            <w:rFonts w:ascii="Times New Roman" w:eastAsia="Times New Roman" w:hAnsi="Times New Roman" w:cs="Times New Roman"/>
            <w:color w:val="0000FF"/>
            <w:u w:val="single"/>
          </w:rPr>
          <w:t>https://doi.org/10.1021/acs.jcim.9b00778</w:t>
        </w:r>
      </w:hyperlink>
    </w:p>
    <w:p w14:paraId="187AA604" w14:textId="40244674"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t xml:space="preserve">Patnaik, B. B., </w:t>
      </w:r>
      <w:proofErr w:type="spellStart"/>
      <w:r w:rsidRPr="002E5D50">
        <w:rPr>
          <w:rFonts w:ascii="Times New Roman" w:eastAsia="Times New Roman" w:hAnsi="Times New Roman" w:cs="Times New Roman"/>
        </w:rPr>
        <w:t>Baliarsingh</w:t>
      </w:r>
      <w:proofErr w:type="spellEnd"/>
      <w:r w:rsidRPr="002E5D50">
        <w:rPr>
          <w:rFonts w:ascii="Times New Roman" w:eastAsia="Times New Roman" w:hAnsi="Times New Roman" w:cs="Times New Roman"/>
        </w:rPr>
        <w:t xml:space="preserve">, S., Sarkar, A., Hameed, A. S. S., Lee, Y. S., Jo, Y. H., Han, Y. S., &amp; Mohanty, J. (2024). The role of pattern recognition receptors in crustacean innate immunity. </w:t>
      </w:r>
      <w:r w:rsidRPr="002E5D50">
        <w:rPr>
          <w:rFonts w:ascii="Times New Roman" w:eastAsia="Times New Roman" w:hAnsi="Times New Roman" w:cs="Times New Roman"/>
          <w:i/>
          <w:iCs/>
        </w:rPr>
        <w:t>Reviews in Aquaculture, 16</w:t>
      </w:r>
      <w:r w:rsidRPr="002E5D50">
        <w:rPr>
          <w:rFonts w:ascii="Times New Roman" w:eastAsia="Times New Roman" w:hAnsi="Times New Roman" w:cs="Times New Roman"/>
        </w:rPr>
        <w:t xml:space="preserve">(1), 190–233. </w:t>
      </w:r>
      <w:hyperlink r:id="rId24" w:history="1">
        <w:r w:rsidRPr="002E5D50">
          <w:rPr>
            <w:rFonts w:ascii="Times New Roman" w:eastAsia="Times New Roman" w:hAnsi="Times New Roman" w:cs="Times New Roman"/>
            <w:color w:val="0000FF"/>
            <w:u w:val="single"/>
          </w:rPr>
          <w:t>https://doi.org/10.1111/raq.12829</w:t>
        </w:r>
      </w:hyperlink>
    </w:p>
    <w:p w14:paraId="343FB1DC" w14:textId="7C524E20"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t xml:space="preserve">Petit, V. W., Rolland, J.-L., Blond, A., </w:t>
      </w:r>
      <w:proofErr w:type="spellStart"/>
      <w:r w:rsidRPr="002E5D50">
        <w:rPr>
          <w:rFonts w:ascii="Times New Roman" w:eastAsia="Times New Roman" w:hAnsi="Times New Roman" w:cs="Times New Roman"/>
        </w:rPr>
        <w:t>Cazevieille</w:t>
      </w:r>
      <w:proofErr w:type="spellEnd"/>
      <w:r w:rsidRPr="002E5D50">
        <w:rPr>
          <w:rFonts w:ascii="Times New Roman" w:eastAsia="Times New Roman" w:hAnsi="Times New Roman" w:cs="Times New Roman"/>
        </w:rPr>
        <w:t xml:space="preserve">, C., </w:t>
      </w:r>
      <w:proofErr w:type="spellStart"/>
      <w:r w:rsidRPr="002E5D50">
        <w:rPr>
          <w:rFonts w:ascii="Times New Roman" w:eastAsia="Times New Roman" w:hAnsi="Times New Roman" w:cs="Times New Roman"/>
        </w:rPr>
        <w:t>Djediat</w:t>
      </w:r>
      <w:proofErr w:type="spellEnd"/>
      <w:r w:rsidRPr="002E5D50">
        <w:rPr>
          <w:rFonts w:ascii="Times New Roman" w:eastAsia="Times New Roman" w:hAnsi="Times New Roman" w:cs="Times New Roman"/>
        </w:rPr>
        <w:t xml:space="preserve">, C., Peduzzi, J., </w:t>
      </w:r>
      <w:proofErr w:type="spellStart"/>
      <w:r w:rsidRPr="002E5D50">
        <w:rPr>
          <w:rFonts w:ascii="Times New Roman" w:eastAsia="Times New Roman" w:hAnsi="Times New Roman" w:cs="Times New Roman"/>
        </w:rPr>
        <w:t>Goulard</w:t>
      </w:r>
      <w:proofErr w:type="spellEnd"/>
      <w:r w:rsidRPr="002E5D50">
        <w:rPr>
          <w:rFonts w:ascii="Times New Roman" w:eastAsia="Times New Roman" w:hAnsi="Times New Roman" w:cs="Times New Roman"/>
        </w:rPr>
        <w:t xml:space="preserve">, C., </w:t>
      </w:r>
      <w:proofErr w:type="spellStart"/>
      <w:r w:rsidRPr="002E5D50">
        <w:rPr>
          <w:rFonts w:ascii="Times New Roman" w:eastAsia="Times New Roman" w:hAnsi="Times New Roman" w:cs="Times New Roman"/>
        </w:rPr>
        <w:t>Bachère</w:t>
      </w:r>
      <w:proofErr w:type="spellEnd"/>
      <w:r w:rsidRPr="002E5D50">
        <w:rPr>
          <w:rFonts w:ascii="Times New Roman" w:eastAsia="Times New Roman" w:hAnsi="Times New Roman" w:cs="Times New Roman"/>
        </w:rPr>
        <w:t xml:space="preserve">, E., Dupont, J., Destoumieux-Garzón, D., &amp; </w:t>
      </w:r>
      <w:proofErr w:type="spellStart"/>
      <w:r w:rsidRPr="002E5D50">
        <w:rPr>
          <w:rFonts w:ascii="Times New Roman" w:eastAsia="Times New Roman" w:hAnsi="Times New Roman" w:cs="Times New Roman"/>
        </w:rPr>
        <w:t>Rebuffat</w:t>
      </w:r>
      <w:proofErr w:type="spellEnd"/>
      <w:r w:rsidRPr="002E5D50">
        <w:rPr>
          <w:rFonts w:ascii="Times New Roman" w:eastAsia="Times New Roman" w:hAnsi="Times New Roman" w:cs="Times New Roman"/>
        </w:rPr>
        <w:t xml:space="preserve">, S. (2016). A hemocyanin-derived antimicrobial peptide from the penaeid shrimp adopts an alpha-helical structure that specifically permeabilizes fungal membranes. </w:t>
      </w:r>
      <w:proofErr w:type="spellStart"/>
      <w:r w:rsidRPr="002E5D50">
        <w:rPr>
          <w:rFonts w:ascii="Times New Roman" w:eastAsia="Times New Roman" w:hAnsi="Times New Roman" w:cs="Times New Roman"/>
          <w:i/>
          <w:iCs/>
        </w:rPr>
        <w:t>Biochimica</w:t>
      </w:r>
      <w:proofErr w:type="spellEnd"/>
      <w:r w:rsidRPr="002E5D50">
        <w:rPr>
          <w:rFonts w:ascii="Times New Roman" w:eastAsia="Times New Roman" w:hAnsi="Times New Roman" w:cs="Times New Roman"/>
          <w:i/>
          <w:iCs/>
        </w:rPr>
        <w:t xml:space="preserve"> et </w:t>
      </w:r>
      <w:proofErr w:type="spellStart"/>
      <w:r w:rsidRPr="002E5D50">
        <w:rPr>
          <w:rFonts w:ascii="Times New Roman" w:eastAsia="Times New Roman" w:hAnsi="Times New Roman" w:cs="Times New Roman"/>
          <w:i/>
          <w:iCs/>
        </w:rPr>
        <w:t>Biophysica</w:t>
      </w:r>
      <w:proofErr w:type="spellEnd"/>
      <w:r w:rsidRPr="002E5D50">
        <w:rPr>
          <w:rFonts w:ascii="Times New Roman" w:eastAsia="Times New Roman" w:hAnsi="Times New Roman" w:cs="Times New Roman"/>
          <w:i/>
          <w:iCs/>
        </w:rPr>
        <w:t xml:space="preserve"> Acta (BBA) - General Subjects, 1860</w:t>
      </w:r>
      <w:r w:rsidRPr="002E5D50">
        <w:rPr>
          <w:rFonts w:ascii="Times New Roman" w:eastAsia="Times New Roman" w:hAnsi="Times New Roman" w:cs="Times New Roman"/>
        </w:rPr>
        <w:t xml:space="preserve">(3), 557–568. </w:t>
      </w:r>
      <w:hyperlink r:id="rId25" w:history="1">
        <w:r w:rsidRPr="002E5D50">
          <w:rPr>
            <w:rFonts w:ascii="Times New Roman" w:eastAsia="Times New Roman" w:hAnsi="Times New Roman" w:cs="Times New Roman"/>
            <w:color w:val="0000FF"/>
            <w:u w:val="single"/>
          </w:rPr>
          <w:t>https://doi.org/10.1016/j.bbagen.2015.12.010</w:t>
        </w:r>
      </w:hyperlink>
    </w:p>
    <w:p w14:paraId="0A970690" w14:textId="107E41A4"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t xml:space="preserve">Ray, B., Mishra, A., </w:t>
      </w:r>
      <w:proofErr w:type="spellStart"/>
      <w:r w:rsidRPr="002E5D50">
        <w:rPr>
          <w:rFonts w:ascii="Times New Roman" w:eastAsia="Times New Roman" w:hAnsi="Times New Roman" w:cs="Times New Roman"/>
        </w:rPr>
        <w:t>Palatasingh</w:t>
      </w:r>
      <w:proofErr w:type="spellEnd"/>
      <w:r w:rsidRPr="002E5D50">
        <w:rPr>
          <w:rFonts w:ascii="Times New Roman" w:eastAsia="Times New Roman" w:hAnsi="Times New Roman" w:cs="Times New Roman"/>
        </w:rPr>
        <w:t xml:space="preserve">, H. R., Tayab, S., &amp; Tripathy, R. (2022). Molecular docking: Concept and recent advances. </w:t>
      </w:r>
      <w:r w:rsidRPr="002E5D50">
        <w:rPr>
          <w:rFonts w:ascii="Times New Roman" w:eastAsia="Times New Roman" w:hAnsi="Times New Roman" w:cs="Times New Roman"/>
          <w:i/>
          <w:iCs/>
        </w:rPr>
        <w:t>Journal of Biochemistry International, 9</w:t>
      </w:r>
      <w:r w:rsidRPr="002E5D50">
        <w:rPr>
          <w:rFonts w:ascii="Times New Roman" w:eastAsia="Times New Roman" w:hAnsi="Times New Roman" w:cs="Times New Roman"/>
        </w:rPr>
        <w:t xml:space="preserve">(2), 26–33. </w:t>
      </w:r>
      <w:hyperlink r:id="rId26" w:history="1">
        <w:r w:rsidRPr="002E5D50">
          <w:rPr>
            <w:rFonts w:ascii="Times New Roman" w:eastAsia="Times New Roman" w:hAnsi="Times New Roman" w:cs="Times New Roman"/>
            <w:color w:val="0000FF"/>
            <w:u w:val="single"/>
          </w:rPr>
          <w:t>https://doi.org/10.56557/jobi/2022/v9i27492</w:t>
        </w:r>
      </w:hyperlink>
    </w:p>
    <w:p w14:paraId="5EE37A48" w14:textId="3E86DCA4"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lastRenderedPageBreak/>
        <w:t xml:space="preserve">Sali, A., &amp; Blundell, T. L. (1993). Comparative protein modelling by satisfaction of spatial restraints. </w:t>
      </w:r>
      <w:r w:rsidRPr="002E5D50">
        <w:rPr>
          <w:rFonts w:ascii="Times New Roman" w:eastAsia="Times New Roman" w:hAnsi="Times New Roman" w:cs="Times New Roman"/>
          <w:i/>
          <w:iCs/>
        </w:rPr>
        <w:t>Journal of Molecular Biology, 234</w:t>
      </w:r>
      <w:r w:rsidRPr="002E5D50">
        <w:rPr>
          <w:rFonts w:ascii="Times New Roman" w:eastAsia="Times New Roman" w:hAnsi="Times New Roman" w:cs="Times New Roman"/>
        </w:rPr>
        <w:t xml:space="preserve">(3), 779–815. </w:t>
      </w:r>
      <w:hyperlink r:id="rId27" w:history="1">
        <w:r w:rsidRPr="002E5D50">
          <w:rPr>
            <w:rFonts w:ascii="Times New Roman" w:eastAsia="Times New Roman" w:hAnsi="Times New Roman" w:cs="Times New Roman"/>
            <w:color w:val="0000FF"/>
            <w:u w:val="single"/>
          </w:rPr>
          <w:t>https://doi.org/10.1006/jmbi.1993.1626</w:t>
        </w:r>
      </w:hyperlink>
    </w:p>
    <w:p w14:paraId="57D7104B" w14:textId="3F2AD038" w:rsidR="002E5D50" w:rsidRPr="002E5D50" w:rsidRDefault="002E5D50" w:rsidP="002E5D50">
      <w:pPr>
        <w:ind w:left="540" w:hanging="540"/>
        <w:jc w:val="both"/>
        <w:rPr>
          <w:rFonts w:ascii="Times New Roman" w:eastAsia="Times New Roman" w:hAnsi="Times New Roman" w:cs="Times New Roman"/>
          <w:lang w:val="nl-BE"/>
        </w:rPr>
      </w:pPr>
      <w:r w:rsidRPr="002E5D50">
        <w:rPr>
          <w:rFonts w:ascii="Times New Roman" w:eastAsia="Times New Roman" w:hAnsi="Times New Roman" w:cs="Times New Roman"/>
        </w:rPr>
        <w:t xml:space="preserve">Sali, A., &amp; </w:t>
      </w:r>
      <w:proofErr w:type="spellStart"/>
      <w:r w:rsidRPr="002E5D50">
        <w:rPr>
          <w:rFonts w:ascii="Times New Roman" w:eastAsia="Times New Roman" w:hAnsi="Times New Roman" w:cs="Times New Roman"/>
        </w:rPr>
        <w:t>Overington</w:t>
      </w:r>
      <w:proofErr w:type="spellEnd"/>
      <w:r w:rsidRPr="002E5D50">
        <w:rPr>
          <w:rFonts w:ascii="Times New Roman" w:eastAsia="Times New Roman" w:hAnsi="Times New Roman" w:cs="Times New Roman"/>
        </w:rPr>
        <w:t xml:space="preserve">, J. P. (1994). Derivation of rules for comparative protein </w:t>
      </w:r>
      <w:proofErr w:type="spellStart"/>
      <w:r w:rsidRPr="002E5D50">
        <w:rPr>
          <w:rFonts w:ascii="Times New Roman" w:eastAsia="Times New Roman" w:hAnsi="Times New Roman" w:cs="Times New Roman"/>
        </w:rPr>
        <w:t>modeling</w:t>
      </w:r>
      <w:proofErr w:type="spellEnd"/>
      <w:r w:rsidRPr="002E5D50">
        <w:rPr>
          <w:rFonts w:ascii="Times New Roman" w:eastAsia="Times New Roman" w:hAnsi="Times New Roman" w:cs="Times New Roman"/>
        </w:rPr>
        <w:t xml:space="preserve"> from a database of protein structure alignments. </w:t>
      </w:r>
      <w:r w:rsidRPr="002E5D50">
        <w:rPr>
          <w:rFonts w:ascii="Times New Roman" w:eastAsia="Times New Roman" w:hAnsi="Times New Roman" w:cs="Times New Roman"/>
          <w:i/>
          <w:iCs/>
          <w:lang w:val="nl-BE"/>
        </w:rPr>
        <w:t>Protein Science, 3</w:t>
      </w:r>
      <w:r w:rsidRPr="002E5D50">
        <w:rPr>
          <w:rFonts w:ascii="Times New Roman" w:eastAsia="Times New Roman" w:hAnsi="Times New Roman" w:cs="Times New Roman"/>
          <w:lang w:val="nl-BE"/>
        </w:rPr>
        <w:t xml:space="preserve">(9), 1582–1596. </w:t>
      </w:r>
      <w:r w:rsidRPr="002E5D50">
        <w:rPr>
          <w:rFonts w:ascii="Times New Roman" w:eastAsia="Times New Roman" w:hAnsi="Times New Roman" w:cs="Times New Roman"/>
        </w:rPr>
        <w:fldChar w:fldCharType="begin"/>
      </w:r>
      <w:r w:rsidRPr="002E5D50">
        <w:rPr>
          <w:rFonts w:ascii="Times New Roman" w:eastAsia="Times New Roman" w:hAnsi="Times New Roman" w:cs="Times New Roman"/>
          <w:lang w:val="nl-BE"/>
        </w:rPr>
        <w:instrText>HYPERLINK "https://doi.org/10.1002/pro.5560030923"</w:instrText>
      </w:r>
      <w:r w:rsidRPr="002E5D50">
        <w:rPr>
          <w:rFonts w:ascii="Times New Roman" w:eastAsia="Times New Roman" w:hAnsi="Times New Roman" w:cs="Times New Roman"/>
        </w:rPr>
        <w:fldChar w:fldCharType="separate"/>
      </w:r>
      <w:r w:rsidRPr="002E5D50">
        <w:rPr>
          <w:rFonts w:ascii="Times New Roman" w:eastAsia="Times New Roman" w:hAnsi="Times New Roman" w:cs="Times New Roman"/>
          <w:color w:val="0000FF"/>
          <w:u w:val="single"/>
          <w:lang w:val="nl-BE"/>
        </w:rPr>
        <w:t>https://doi.org/10.1002/pro.5560030923</w:t>
      </w:r>
      <w:r w:rsidRPr="002E5D50">
        <w:rPr>
          <w:rFonts w:ascii="Times New Roman" w:eastAsia="Times New Roman" w:hAnsi="Times New Roman" w:cs="Times New Roman"/>
        </w:rPr>
        <w:fldChar w:fldCharType="end"/>
      </w:r>
    </w:p>
    <w:p w14:paraId="7098FBEA" w14:textId="73F9AA3A"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lang w:val="nl-BE"/>
        </w:rPr>
        <w:t xml:space="preserve">Sali, A., Potterton, L., Yuan, F., van Vlijmen, H., &amp; Karplus, M. (1995). </w:t>
      </w:r>
      <w:r w:rsidRPr="002E5D50">
        <w:rPr>
          <w:rFonts w:ascii="Times New Roman" w:eastAsia="Times New Roman" w:hAnsi="Times New Roman" w:cs="Times New Roman"/>
        </w:rPr>
        <w:t xml:space="preserve">Evaluation of comparative protein </w:t>
      </w:r>
      <w:proofErr w:type="spellStart"/>
      <w:r w:rsidRPr="002E5D50">
        <w:rPr>
          <w:rFonts w:ascii="Times New Roman" w:eastAsia="Times New Roman" w:hAnsi="Times New Roman" w:cs="Times New Roman"/>
        </w:rPr>
        <w:t>modeling</w:t>
      </w:r>
      <w:proofErr w:type="spellEnd"/>
      <w:r w:rsidRPr="002E5D50">
        <w:rPr>
          <w:rFonts w:ascii="Times New Roman" w:eastAsia="Times New Roman" w:hAnsi="Times New Roman" w:cs="Times New Roman"/>
        </w:rPr>
        <w:t xml:space="preserve"> by MODELLER. </w:t>
      </w:r>
      <w:r w:rsidRPr="002E5D50">
        <w:rPr>
          <w:rFonts w:ascii="Times New Roman" w:eastAsia="Times New Roman" w:hAnsi="Times New Roman" w:cs="Times New Roman"/>
          <w:i/>
          <w:iCs/>
        </w:rPr>
        <w:t>Proteins: Structure, Function, and Genetics, 23</w:t>
      </w:r>
      <w:r w:rsidRPr="002E5D50">
        <w:rPr>
          <w:rFonts w:ascii="Times New Roman" w:eastAsia="Times New Roman" w:hAnsi="Times New Roman" w:cs="Times New Roman"/>
        </w:rPr>
        <w:t xml:space="preserve">(3), 318–326. </w:t>
      </w:r>
      <w:hyperlink r:id="rId28" w:history="1">
        <w:r w:rsidRPr="002E5D50">
          <w:rPr>
            <w:rFonts w:ascii="Times New Roman" w:eastAsia="Times New Roman" w:hAnsi="Times New Roman" w:cs="Times New Roman"/>
            <w:color w:val="0000FF"/>
            <w:u w:val="single"/>
          </w:rPr>
          <w:t>https://doi.org/10.1002/prot.340230306</w:t>
        </w:r>
      </w:hyperlink>
    </w:p>
    <w:p w14:paraId="380524B6" w14:textId="6723A811"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t xml:space="preserve">Thompson, J. D., Higgins, D. G., &amp; Gibson, T. J. (1994). CLUSTAL W: Improving the sensitivity of progressive multiple sequence alignment through sequence weighting, position-specific gap penalties and weight matrix choice. </w:t>
      </w:r>
      <w:r w:rsidRPr="002E5D50">
        <w:rPr>
          <w:rFonts w:ascii="Times New Roman" w:eastAsia="Times New Roman" w:hAnsi="Times New Roman" w:cs="Times New Roman"/>
          <w:i/>
          <w:iCs/>
        </w:rPr>
        <w:t>Nucleic Acids Research, 22</w:t>
      </w:r>
      <w:r w:rsidRPr="002E5D50">
        <w:rPr>
          <w:rFonts w:ascii="Times New Roman" w:eastAsia="Times New Roman" w:hAnsi="Times New Roman" w:cs="Times New Roman"/>
        </w:rPr>
        <w:t xml:space="preserve">(22), 4673–4680. </w:t>
      </w:r>
      <w:hyperlink r:id="rId29" w:history="1">
        <w:r w:rsidRPr="002E5D50">
          <w:rPr>
            <w:rFonts w:ascii="Times New Roman" w:eastAsia="Times New Roman" w:hAnsi="Times New Roman" w:cs="Times New Roman"/>
            <w:color w:val="0000FF"/>
            <w:u w:val="single"/>
          </w:rPr>
          <w:t>https://doi.org/10.1093/nar/22.22.4673</w:t>
        </w:r>
      </w:hyperlink>
    </w:p>
    <w:p w14:paraId="385E38C1" w14:textId="14165F84"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t xml:space="preserve">Trott, O., &amp; Olson, A. J. (2010). </w:t>
      </w:r>
      <w:proofErr w:type="spellStart"/>
      <w:r w:rsidRPr="002E5D50">
        <w:rPr>
          <w:rFonts w:ascii="Times New Roman" w:eastAsia="Times New Roman" w:hAnsi="Times New Roman" w:cs="Times New Roman"/>
        </w:rPr>
        <w:t>AutoDock</w:t>
      </w:r>
      <w:proofErr w:type="spellEnd"/>
      <w:r w:rsidRPr="002E5D50">
        <w:rPr>
          <w:rFonts w:ascii="Times New Roman" w:eastAsia="Times New Roman" w:hAnsi="Times New Roman" w:cs="Times New Roman"/>
        </w:rPr>
        <w:t xml:space="preserve"> Vina: Improving the speed and accuracy of docking with a new scoring function, efficient optimization, and multithreading. </w:t>
      </w:r>
      <w:r w:rsidRPr="002E5D50">
        <w:rPr>
          <w:rFonts w:ascii="Times New Roman" w:eastAsia="Times New Roman" w:hAnsi="Times New Roman" w:cs="Times New Roman"/>
          <w:i/>
          <w:iCs/>
        </w:rPr>
        <w:t>Journal of Computational Chemistry, 31</w:t>
      </w:r>
      <w:r w:rsidRPr="002E5D50">
        <w:rPr>
          <w:rFonts w:ascii="Times New Roman" w:eastAsia="Times New Roman" w:hAnsi="Times New Roman" w:cs="Times New Roman"/>
        </w:rPr>
        <w:t xml:space="preserve">(2), 455–461. </w:t>
      </w:r>
      <w:hyperlink r:id="rId30" w:history="1">
        <w:r w:rsidRPr="002E5D50">
          <w:rPr>
            <w:rFonts w:ascii="Times New Roman" w:eastAsia="Times New Roman" w:hAnsi="Times New Roman" w:cs="Times New Roman"/>
            <w:color w:val="0000FF"/>
            <w:u w:val="single"/>
          </w:rPr>
          <w:t>https://doi.org/10.1002/jcc.21334</w:t>
        </w:r>
      </w:hyperlink>
    </w:p>
    <w:p w14:paraId="11B40767" w14:textId="4B2768BF" w:rsidR="002E5D50" w:rsidRPr="002E5D50" w:rsidRDefault="002E5D50" w:rsidP="002E5D50">
      <w:pPr>
        <w:ind w:left="540" w:hanging="540"/>
        <w:jc w:val="both"/>
        <w:rPr>
          <w:rFonts w:ascii="Times New Roman" w:eastAsia="Times New Roman" w:hAnsi="Times New Roman" w:cs="Times New Roman"/>
        </w:rPr>
      </w:pPr>
      <w:proofErr w:type="spellStart"/>
      <w:r w:rsidRPr="002E5D50">
        <w:rPr>
          <w:rFonts w:ascii="Times New Roman" w:eastAsia="Times New Roman" w:hAnsi="Times New Roman" w:cs="Times New Roman"/>
        </w:rPr>
        <w:t>Velayutham</w:t>
      </w:r>
      <w:proofErr w:type="spellEnd"/>
      <w:r w:rsidRPr="002E5D50">
        <w:rPr>
          <w:rFonts w:ascii="Times New Roman" w:eastAsia="Times New Roman" w:hAnsi="Times New Roman" w:cs="Times New Roman"/>
        </w:rPr>
        <w:t>, M., &amp; Munusamy, A. (2016). Humoral immune responses of antibacterial hemocyanin (Ab-</w:t>
      </w:r>
      <w:proofErr w:type="spellStart"/>
      <w:r w:rsidRPr="002E5D50">
        <w:rPr>
          <w:rFonts w:ascii="Times New Roman" w:eastAsia="Times New Roman" w:hAnsi="Times New Roman" w:cs="Times New Roman"/>
        </w:rPr>
        <w:t>Hcy</w:t>
      </w:r>
      <w:proofErr w:type="spellEnd"/>
      <w:r w:rsidRPr="002E5D50">
        <w:rPr>
          <w:rFonts w:ascii="Times New Roman" w:eastAsia="Times New Roman" w:hAnsi="Times New Roman" w:cs="Times New Roman"/>
        </w:rPr>
        <w:t xml:space="preserve">) in mud crab, </w:t>
      </w:r>
      <w:r w:rsidRPr="002E5D50">
        <w:rPr>
          <w:rFonts w:ascii="Times New Roman" w:eastAsia="Times New Roman" w:hAnsi="Times New Roman" w:cs="Times New Roman"/>
          <w:i/>
          <w:iCs/>
        </w:rPr>
        <w:t>Scylla serrata</w:t>
      </w:r>
      <w:r w:rsidRPr="002E5D50">
        <w:rPr>
          <w:rFonts w:ascii="Times New Roman" w:eastAsia="Times New Roman" w:hAnsi="Times New Roman" w:cs="Times New Roman"/>
        </w:rPr>
        <w:t xml:space="preserve">. </w:t>
      </w:r>
      <w:r w:rsidRPr="002E5D50">
        <w:rPr>
          <w:rFonts w:ascii="Times New Roman" w:eastAsia="Times New Roman" w:hAnsi="Times New Roman" w:cs="Times New Roman"/>
          <w:i/>
          <w:iCs/>
        </w:rPr>
        <w:t>Aquaculture, 464</w:t>
      </w:r>
      <w:r w:rsidRPr="002E5D50">
        <w:rPr>
          <w:rFonts w:ascii="Times New Roman" w:eastAsia="Times New Roman" w:hAnsi="Times New Roman" w:cs="Times New Roman"/>
        </w:rPr>
        <w:t xml:space="preserve">, 428–433. </w:t>
      </w:r>
      <w:hyperlink r:id="rId31" w:history="1">
        <w:r w:rsidRPr="002E5D50">
          <w:rPr>
            <w:rFonts w:ascii="Times New Roman" w:eastAsia="Times New Roman" w:hAnsi="Times New Roman" w:cs="Times New Roman"/>
            <w:color w:val="0000FF"/>
            <w:u w:val="single"/>
          </w:rPr>
          <w:t>https://doi.org/10.1016/j.aquaculture.2016.07.023</w:t>
        </w:r>
      </w:hyperlink>
    </w:p>
    <w:p w14:paraId="428CB23D" w14:textId="6B7B7512" w:rsidR="002E5D50" w:rsidRPr="002E5D50" w:rsidRDefault="002E5D50" w:rsidP="002E5D50">
      <w:pPr>
        <w:ind w:left="540" w:hanging="540"/>
        <w:jc w:val="both"/>
        <w:rPr>
          <w:rFonts w:ascii="Times New Roman" w:eastAsia="Times New Roman" w:hAnsi="Times New Roman" w:cs="Times New Roman"/>
        </w:rPr>
      </w:pPr>
      <w:proofErr w:type="spellStart"/>
      <w:r w:rsidRPr="002E5D50">
        <w:rPr>
          <w:rFonts w:ascii="Times New Roman" w:eastAsia="Times New Roman" w:hAnsi="Times New Roman" w:cs="Times New Roman"/>
        </w:rPr>
        <w:t>Volbeda</w:t>
      </w:r>
      <w:proofErr w:type="spellEnd"/>
      <w:r w:rsidRPr="002E5D50">
        <w:rPr>
          <w:rFonts w:ascii="Times New Roman" w:eastAsia="Times New Roman" w:hAnsi="Times New Roman" w:cs="Times New Roman"/>
        </w:rPr>
        <w:t xml:space="preserve">, A., &amp; Hol, W. G. J. (1989). Crystal structure of </w:t>
      </w:r>
      <w:proofErr w:type="spellStart"/>
      <w:r w:rsidRPr="002E5D50">
        <w:rPr>
          <w:rFonts w:ascii="Times New Roman" w:eastAsia="Times New Roman" w:hAnsi="Times New Roman" w:cs="Times New Roman"/>
        </w:rPr>
        <w:t>hexameric</w:t>
      </w:r>
      <w:proofErr w:type="spellEnd"/>
      <w:r w:rsidRPr="002E5D50">
        <w:rPr>
          <w:rFonts w:ascii="Times New Roman" w:eastAsia="Times New Roman" w:hAnsi="Times New Roman" w:cs="Times New Roman"/>
        </w:rPr>
        <w:t xml:space="preserve"> </w:t>
      </w:r>
      <w:proofErr w:type="spellStart"/>
      <w:r w:rsidRPr="002E5D50">
        <w:rPr>
          <w:rFonts w:ascii="Times New Roman" w:eastAsia="Times New Roman" w:hAnsi="Times New Roman" w:cs="Times New Roman"/>
        </w:rPr>
        <w:t>haemocyanin</w:t>
      </w:r>
      <w:proofErr w:type="spellEnd"/>
      <w:r w:rsidRPr="002E5D50">
        <w:rPr>
          <w:rFonts w:ascii="Times New Roman" w:eastAsia="Times New Roman" w:hAnsi="Times New Roman" w:cs="Times New Roman"/>
        </w:rPr>
        <w:t xml:space="preserve"> from </w:t>
      </w:r>
      <w:proofErr w:type="spellStart"/>
      <w:r w:rsidRPr="002E5D50">
        <w:rPr>
          <w:rFonts w:ascii="Times New Roman" w:eastAsia="Times New Roman" w:hAnsi="Times New Roman" w:cs="Times New Roman"/>
          <w:i/>
          <w:iCs/>
        </w:rPr>
        <w:t>Panulirus</w:t>
      </w:r>
      <w:proofErr w:type="spellEnd"/>
      <w:r w:rsidRPr="002E5D50">
        <w:rPr>
          <w:rFonts w:ascii="Times New Roman" w:eastAsia="Times New Roman" w:hAnsi="Times New Roman" w:cs="Times New Roman"/>
          <w:i/>
          <w:iCs/>
        </w:rPr>
        <w:t xml:space="preserve"> interruptus</w:t>
      </w:r>
      <w:r w:rsidRPr="002E5D50">
        <w:rPr>
          <w:rFonts w:ascii="Times New Roman" w:eastAsia="Times New Roman" w:hAnsi="Times New Roman" w:cs="Times New Roman"/>
        </w:rPr>
        <w:t xml:space="preserve"> refined at 3.2 Å resolution. </w:t>
      </w:r>
      <w:r w:rsidRPr="002E5D50">
        <w:rPr>
          <w:rFonts w:ascii="Times New Roman" w:eastAsia="Times New Roman" w:hAnsi="Times New Roman" w:cs="Times New Roman"/>
          <w:i/>
          <w:iCs/>
        </w:rPr>
        <w:t>Journal of Molecular Biology, 209</w:t>
      </w:r>
      <w:r w:rsidRPr="002E5D50">
        <w:rPr>
          <w:rFonts w:ascii="Times New Roman" w:eastAsia="Times New Roman" w:hAnsi="Times New Roman" w:cs="Times New Roman"/>
        </w:rPr>
        <w:t xml:space="preserve">(2), 249–279. </w:t>
      </w:r>
      <w:hyperlink r:id="rId32" w:history="1">
        <w:r w:rsidRPr="002E5D50">
          <w:rPr>
            <w:rFonts w:ascii="Times New Roman" w:eastAsia="Times New Roman" w:hAnsi="Times New Roman" w:cs="Times New Roman"/>
            <w:color w:val="0000FF"/>
            <w:u w:val="single"/>
          </w:rPr>
          <w:t>https://doi.org/10.1016/0022-2836(89)90276-3</w:t>
        </w:r>
      </w:hyperlink>
    </w:p>
    <w:p w14:paraId="2A9EB45D" w14:textId="142DA57A"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t xml:space="preserve">Wallace, A. C., Laskowski, R. A., &amp; Thornton, J. M. (1995). LIGPLOT: A program to generate schematic diagrams of protein-ligand interactions. </w:t>
      </w:r>
      <w:r w:rsidRPr="002E5D50">
        <w:rPr>
          <w:rFonts w:ascii="Times New Roman" w:eastAsia="Times New Roman" w:hAnsi="Times New Roman" w:cs="Times New Roman"/>
          <w:i/>
          <w:iCs/>
        </w:rPr>
        <w:t>Protein Engineering, 8</w:t>
      </w:r>
      <w:r w:rsidRPr="002E5D50">
        <w:rPr>
          <w:rFonts w:ascii="Times New Roman" w:eastAsia="Times New Roman" w:hAnsi="Times New Roman" w:cs="Times New Roman"/>
        </w:rPr>
        <w:t xml:space="preserve">(2), 127–134. </w:t>
      </w:r>
      <w:hyperlink r:id="rId33" w:history="1">
        <w:r w:rsidRPr="002E5D50">
          <w:rPr>
            <w:rFonts w:ascii="Times New Roman" w:eastAsia="Times New Roman" w:hAnsi="Times New Roman" w:cs="Times New Roman"/>
            <w:color w:val="0000FF"/>
            <w:u w:val="single"/>
          </w:rPr>
          <w:t>https://doi.org/10.1093/protein/8.2.127</w:t>
        </w:r>
      </w:hyperlink>
    </w:p>
    <w:p w14:paraId="257A2456" w14:textId="6B499D01"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t xml:space="preserve">Wallner, B., &amp; Elofsson, A. (2003). Can correct protein models be identified? </w:t>
      </w:r>
      <w:r w:rsidRPr="002E5D50">
        <w:rPr>
          <w:rFonts w:ascii="Times New Roman" w:eastAsia="Times New Roman" w:hAnsi="Times New Roman" w:cs="Times New Roman"/>
          <w:i/>
          <w:iCs/>
        </w:rPr>
        <w:t>Protein Science, 12</w:t>
      </w:r>
      <w:r w:rsidRPr="002E5D50">
        <w:rPr>
          <w:rFonts w:ascii="Times New Roman" w:eastAsia="Times New Roman" w:hAnsi="Times New Roman" w:cs="Times New Roman"/>
        </w:rPr>
        <w:t xml:space="preserve">(5), 1073–1086. </w:t>
      </w:r>
      <w:hyperlink r:id="rId34" w:history="1">
        <w:r w:rsidRPr="002E5D50">
          <w:rPr>
            <w:rFonts w:ascii="Times New Roman" w:eastAsia="Times New Roman" w:hAnsi="Times New Roman" w:cs="Times New Roman"/>
            <w:color w:val="0000FF"/>
            <w:u w:val="single"/>
          </w:rPr>
          <w:t>https://doi.org/10.1110/ps.0236803</w:t>
        </w:r>
      </w:hyperlink>
    </w:p>
    <w:p w14:paraId="59D0B4D5" w14:textId="54A15275" w:rsidR="002E5D50" w:rsidRPr="002E5D50" w:rsidRDefault="002E5D50" w:rsidP="002E5D50">
      <w:pPr>
        <w:ind w:left="540" w:hanging="540"/>
        <w:jc w:val="both"/>
        <w:rPr>
          <w:rFonts w:ascii="Times New Roman" w:eastAsia="Times New Roman" w:hAnsi="Times New Roman" w:cs="Times New Roman"/>
        </w:rPr>
      </w:pPr>
      <w:r w:rsidRPr="002E5D50">
        <w:rPr>
          <w:rFonts w:ascii="Times New Roman" w:eastAsia="Times New Roman" w:hAnsi="Times New Roman" w:cs="Times New Roman"/>
        </w:rPr>
        <w:t>Yan, F., Zhang, Y., Jiang, R., Zhong, M., Hu, Z., Du, H., Lun, J., Chen, J., &amp; Li, Y. (2011). Identification and agglutination properties of hemocyanin from the mud crab (</w:t>
      </w:r>
      <w:r w:rsidRPr="002E5D50">
        <w:rPr>
          <w:rFonts w:ascii="Times New Roman" w:eastAsia="Times New Roman" w:hAnsi="Times New Roman" w:cs="Times New Roman"/>
          <w:i/>
          <w:iCs/>
        </w:rPr>
        <w:t>Scylla serrata</w:t>
      </w:r>
      <w:r w:rsidRPr="002E5D50">
        <w:rPr>
          <w:rFonts w:ascii="Times New Roman" w:eastAsia="Times New Roman" w:hAnsi="Times New Roman" w:cs="Times New Roman"/>
        </w:rPr>
        <w:t xml:space="preserve">). </w:t>
      </w:r>
      <w:r w:rsidRPr="002E5D50">
        <w:rPr>
          <w:rFonts w:ascii="Times New Roman" w:eastAsia="Times New Roman" w:hAnsi="Times New Roman" w:cs="Times New Roman"/>
          <w:i/>
          <w:iCs/>
        </w:rPr>
        <w:t>Fish &amp; Shellfish Immunology, 30</w:t>
      </w:r>
      <w:r w:rsidRPr="002E5D50">
        <w:rPr>
          <w:rFonts w:ascii="Times New Roman" w:eastAsia="Times New Roman" w:hAnsi="Times New Roman" w:cs="Times New Roman"/>
        </w:rPr>
        <w:t xml:space="preserve">(1), 354–360. </w:t>
      </w:r>
      <w:hyperlink r:id="rId35" w:history="1">
        <w:r w:rsidRPr="002E5D50">
          <w:rPr>
            <w:rFonts w:ascii="Times New Roman" w:eastAsia="Times New Roman" w:hAnsi="Times New Roman" w:cs="Times New Roman"/>
            <w:color w:val="0000FF"/>
            <w:u w:val="single"/>
          </w:rPr>
          <w:t>https://doi.org/10.1016/j.fsi.2010.11.004</w:t>
        </w:r>
      </w:hyperlink>
    </w:p>
    <w:p w14:paraId="0A0AC203" w14:textId="4152C5CF" w:rsidR="00565482" w:rsidRPr="002E5D50" w:rsidRDefault="002E5D50" w:rsidP="002E5D50">
      <w:pPr>
        <w:ind w:left="540" w:hanging="540"/>
        <w:jc w:val="both"/>
        <w:rPr>
          <w:rFonts w:ascii="Times" w:hAnsi="Times"/>
        </w:rPr>
      </w:pPr>
      <w:r w:rsidRPr="002E5D50">
        <w:rPr>
          <w:rFonts w:ascii="Times New Roman" w:eastAsia="Times New Roman" w:hAnsi="Times New Roman" w:cs="Times New Roman"/>
        </w:rPr>
        <w:t xml:space="preserve">Yuan, S., Chan, H. C. S., &amp; Hu, Z. (2017). Using </w:t>
      </w:r>
      <w:proofErr w:type="spellStart"/>
      <w:r w:rsidRPr="002E5D50">
        <w:rPr>
          <w:rFonts w:ascii="Times New Roman" w:eastAsia="Times New Roman" w:hAnsi="Times New Roman" w:cs="Times New Roman"/>
        </w:rPr>
        <w:t>PyMOL</w:t>
      </w:r>
      <w:proofErr w:type="spellEnd"/>
      <w:r w:rsidRPr="002E5D50">
        <w:rPr>
          <w:rFonts w:ascii="Times New Roman" w:eastAsia="Times New Roman" w:hAnsi="Times New Roman" w:cs="Times New Roman"/>
        </w:rPr>
        <w:t xml:space="preserve"> as a platform for computational drug design. </w:t>
      </w:r>
      <w:r w:rsidRPr="002E5D50">
        <w:rPr>
          <w:rFonts w:ascii="Times New Roman" w:eastAsia="Times New Roman" w:hAnsi="Times New Roman" w:cs="Times New Roman"/>
          <w:i/>
          <w:iCs/>
        </w:rPr>
        <w:t>WIREs Computational Molecular Science, 7</w:t>
      </w:r>
      <w:r w:rsidRPr="002E5D50">
        <w:rPr>
          <w:rFonts w:ascii="Times New Roman" w:eastAsia="Times New Roman" w:hAnsi="Times New Roman" w:cs="Times New Roman"/>
        </w:rPr>
        <w:t xml:space="preserve">(2), e1298. </w:t>
      </w:r>
      <w:hyperlink r:id="rId36" w:history="1">
        <w:r w:rsidRPr="002E5D50">
          <w:rPr>
            <w:rFonts w:ascii="Times New Roman" w:eastAsia="Times New Roman" w:hAnsi="Times New Roman" w:cs="Times New Roman"/>
            <w:color w:val="0000FF"/>
            <w:u w:val="single"/>
          </w:rPr>
          <w:t>https://doi.org/10.1002/wcms.1298</w:t>
        </w:r>
      </w:hyperlink>
    </w:p>
    <w:sectPr w:rsidR="00565482" w:rsidRPr="002E5D50" w:rsidSect="0077601E">
      <w:headerReference w:type="even" r:id="rId37"/>
      <w:headerReference w:type="default" r:id="rId38"/>
      <w:footerReference w:type="even" r:id="rId39"/>
      <w:footerReference w:type="default" r:id="rId40"/>
      <w:headerReference w:type="first" r:id="rId41"/>
      <w:footerReference w:type="first" r:id="rId4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3E140" w14:textId="77777777" w:rsidR="00CF2204" w:rsidRDefault="00CF2204" w:rsidP="00775706">
      <w:r>
        <w:separator/>
      </w:r>
    </w:p>
  </w:endnote>
  <w:endnote w:type="continuationSeparator" w:id="0">
    <w:p w14:paraId="2CEB98BD" w14:textId="77777777" w:rsidR="00CF2204" w:rsidRDefault="00CF2204" w:rsidP="00775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77AFD" w14:textId="77777777" w:rsidR="00775706" w:rsidRDefault="007757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9D606" w14:textId="77777777" w:rsidR="00775706" w:rsidRDefault="007757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89CDF" w14:textId="77777777" w:rsidR="00775706" w:rsidRDefault="007757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108BD" w14:textId="77777777" w:rsidR="00CF2204" w:rsidRDefault="00CF2204" w:rsidP="00775706">
      <w:r>
        <w:separator/>
      </w:r>
    </w:p>
  </w:footnote>
  <w:footnote w:type="continuationSeparator" w:id="0">
    <w:p w14:paraId="5A62991F" w14:textId="77777777" w:rsidR="00CF2204" w:rsidRDefault="00CF2204" w:rsidP="007757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1502E" w14:textId="77777777" w:rsidR="00775706" w:rsidRDefault="00000000">
    <w:pPr>
      <w:pStyle w:val="Header"/>
    </w:pPr>
    <w:r>
      <w:rPr>
        <w:noProof/>
      </w:rPr>
      <w:pict w14:anchorId="7C04E0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1907" o:spid="_x0000_s1026" type="#_x0000_t136" style="position:absolute;margin-left:0;margin-top:0;width:535.4pt;height:100.3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EEB26" w14:textId="77777777" w:rsidR="00775706" w:rsidRDefault="00000000">
    <w:pPr>
      <w:pStyle w:val="Header"/>
    </w:pPr>
    <w:r>
      <w:rPr>
        <w:noProof/>
      </w:rPr>
      <w:pict w14:anchorId="10AFC9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1908" o:spid="_x0000_s1027" type="#_x0000_t136" style="position:absolute;margin-left:0;margin-top:0;width:535.4pt;height:100.3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FE49" w14:textId="77777777" w:rsidR="00775706" w:rsidRDefault="00000000">
    <w:pPr>
      <w:pStyle w:val="Header"/>
    </w:pPr>
    <w:r>
      <w:rPr>
        <w:noProof/>
      </w:rPr>
      <w:pict w14:anchorId="1392D2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1906" o:spid="_x0000_s1025" type="#_x0000_t136" style="position:absolute;margin-left:0;margin-top:0;width:535.4pt;height:100.3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1709"/>
    <w:multiLevelType w:val="multilevel"/>
    <w:tmpl w:val="DEE47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842A73"/>
    <w:multiLevelType w:val="multilevel"/>
    <w:tmpl w:val="50FE8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714076"/>
    <w:multiLevelType w:val="multilevel"/>
    <w:tmpl w:val="4ED47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661CA6"/>
    <w:multiLevelType w:val="hybridMultilevel"/>
    <w:tmpl w:val="6DAE1D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A04D77"/>
    <w:multiLevelType w:val="hybridMultilevel"/>
    <w:tmpl w:val="CFD2336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7266D2"/>
    <w:multiLevelType w:val="multilevel"/>
    <w:tmpl w:val="9BC20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781901">
    <w:abstractNumId w:val="0"/>
  </w:num>
  <w:num w:numId="2" w16cid:durableId="2055080457">
    <w:abstractNumId w:val="5"/>
  </w:num>
  <w:num w:numId="3" w16cid:durableId="1777554127">
    <w:abstractNumId w:val="1"/>
  </w:num>
  <w:num w:numId="4" w16cid:durableId="1707490250">
    <w:abstractNumId w:val="2"/>
  </w:num>
  <w:num w:numId="5" w16cid:durableId="2065367449">
    <w:abstractNumId w:val="3"/>
  </w:num>
  <w:num w:numId="6" w16cid:durableId="14839621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7"/>
    <w:rsid w:val="001059C9"/>
    <w:rsid w:val="001355DA"/>
    <w:rsid w:val="002E5D50"/>
    <w:rsid w:val="00487135"/>
    <w:rsid w:val="00546BEF"/>
    <w:rsid w:val="00555133"/>
    <w:rsid w:val="00565482"/>
    <w:rsid w:val="0071037F"/>
    <w:rsid w:val="00775706"/>
    <w:rsid w:val="0077601E"/>
    <w:rsid w:val="008343B7"/>
    <w:rsid w:val="00880900"/>
    <w:rsid w:val="008A1D61"/>
    <w:rsid w:val="008B46D7"/>
    <w:rsid w:val="0091071E"/>
    <w:rsid w:val="00A36248"/>
    <w:rsid w:val="00A50007"/>
    <w:rsid w:val="00B16CC8"/>
    <w:rsid w:val="00C517D9"/>
    <w:rsid w:val="00C946D3"/>
    <w:rsid w:val="00CF2204"/>
    <w:rsid w:val="00CF556B"/>
    <w:rsid w:val="00D70C1B"/>
    <w:rsid w:val="00E176A6"/>
    <w:rsid w:val="00E54392"/>
    <w:rsid w:val="00EE3939"/>
    <w:rsid w:val="00F34443"/>
    <w:rsid w:val="00F50546"/>
    <w:rsid w:val="00FA66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AB75B4"/>
  <w14:defaultImageDpi w14:val="32767"/>
  <w15:chartTrackingRefBased/>
  <w15:docId w15:val="{6851B8E0-BA93-4747-8638-1FC27C83F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50007"/>
    <w:pPr>
      <w:spacing w:before="100" w:beforeAutospacing="1" w:after="100" w:afterAutospacing="1"/>
      <w:outlineLvl w:val="0"/>
    </w:pPr>
    <w:rPr>
      <w:rFonts w:ascii="Times New Roman" w:eastAsia="Times New Roman" w:hAnsi="Times New Roman" w:cs="Times New Roman"/>
      <w:b/>
      <w:bCs/>
      <w:kern w:val="36"/>
      <w:sz w:val="48"/>
      <w:szCs w:val="48"/>
      <w:lang w:val="en-IN"/>
    </w:rPr>
  </w:style>
  <w:style w:type="paragraph" w:styleId="Heading2">
    <w:name w:val="heading 2"/>
    <w:basedOn w:val="Normal"/>
    <w:link w:val="Heading2Char"/>
    <w:uiPriority w:val="9"/>
    <w:qFormat/>
    <w:rsid w:val="00A50007"/>
    <w:pPr>
      <w:spacing w:before="100" w:beforeAutospacing="1" w:after="100" w:afterAutospacing="1"/>
      <w:outlineLvl w:val="1"/>
    </w:pPr>
    <w:rPr>
      <w:rFonts w:ascii="Times New Roman" w:eastAsia="Times New Roman" w:hAnsi="Times New Roman" w:cs="Times New Roman"/>
      <w:b/>
      <w:bCs/>
      <w:sz w:val="36"/>
      <w:szCs w:val="36"/>
      <w:lang w:val="en-IN"/>
    </w:rPr>
  </w:style>
  <w:style w:type="paragraph" w:styleId="Heading3">
    <w:name w:val="heading 3"/>
    <w:basedOn w:val="Normal"/>
    <w:link w:val="Heading3Char"/>
    <w:uiPriority w:val="9"/>
    <w:qFormat/>
    <w:rsid w:val="00A50007"/>
    <w:pPr>
      <w:spacing w:before="100" w:beforeAutospacing="1" w:after="100" w:afterAutospacing="1"/>
      <w:outlineLvl w:val="2"/>
    </w:pPr>
    <w:rPr>
      <w:rFonts w:ascii="Times New Roman" w:eastAsia="Times New Roman" w:hAnsi="Times New Roman" w:cs="Times New Roman"/>
      <w:b/>
      <w:bCs/>
      <w:sz w:val="27"/>
      <w:szCs w:val="27"/>
      <w:lang w:val="en-IN"/>
    </w:rPr>
  </w:style>
  <w:style w:type="paragraph" w:styleId="Heading4">
    <w:name w:val="heading 4"/>
    <w:basedOn w:val="Normal"/>
    <w:link w:val="Heading4Char"/>
    <w:uiPriority w:val="9"/>
    <w:qFormat/>
    <w:rsid w:val="00A50007"/>
    <w:pPr>
      <w:spacing w:before="100" w:beforeAutospacing="1" w:after="100" w:afterAutospacing="1"/>
      <w:outlineLvl w:val="3"/>
    </w:pPr>
    <w:rPr>
      <w:rFonts w:ascii="Times New Roman" w:eastAsia="Times New Roman" w:hAnsi="Times New Roman" w:cs="Times New Roman"/>
      <w:b/>
      <w:bCs/>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007"/>
    <w:rPr>
      <w:rFonts w:ascii="Times New Roman" w:eastAsia="Times New Roman" w:hAnsi="Times New Roman" w:cs="Times New Roman"/>
      <w:b/>
      <w:bCs/>
      <w:kern w:val="36"/>
      <w:sz w:val="48"/>
      <w:szCs w:val="48"/>
      <w:lang w:val="en-IN"/>
    </w:rPr>
  </w:style>
  <w:style w:type="character" w:customStyle="1" w:styleId="Heading2Char">
    <w:name w:val="Heading 2 Char"/>
    <w:basedOn w:val="DefaultParagraphFont"/>
    <w:link w:val="Heading2"/>
    <w:uiPriority w:val="9"/>
    <w:rsid w:val="00A50007"/>
    <w:rPr>
      <w:rFonts w:ascii="Times New Roman" w:eastAsia="Times New Roman" w:hAnsi="Times New Roman" w:cs="Times New Roman"/>
      <w:b/>
      <w:bCs/>
      <w:sz w:val="36"/>
      <w:szCs w:val="36"/>
      <w:lang w:val="en-IN"/>
    </w:rPr>
  </w:style>
  <w:style w:type="character" w:customStyle="1" w:styleId="Heading3Char">
    <w:name w:val="Heading 3 Char"/>
    <w:basedOn w:val="DefaultParagraphFont"/>
    <w:link w:val="Heading3"/>
    <w:uiPriority w:val="9"/>
    <w:rsid w:val="00A50007"/>
    <w:rPr>
      <w:rFonts w:ascii="Times New Roman" w:eastAsia="Times New Roman" w:hAnsi="Times New Roman" w:cs="Times New Roman"/>
      <w:b/>
      <w:bCs/>
      <w:sz w:val="27"/>
      <w:szCs w:val="27"/>
      <w:lang w:val="en-IN"/>
    </w:rPr>
  </w:style>
  <w:style w:type="character" w:customStyle="1" w:styleId="Heading4Char">
    <w:name w:val="Heading 4 Char"/>
    <w:basedOn w:val="DefaultParagraphFont"/>
    <w:link w:val="Heading4"/>
    <w:uiPriority w:val="9"/>
    <w:rsid w:val="00A50007"/>
    <w:rPr>
      <w:rFonts w:ascii="Times New Roman" w:eastAsia="Times New Roman" w:hAnsi="Times New Roman" w:cs="Times New Roman"/>
      <w:b/>
      <w:bCs/>
      <w:lang w:val="en-IN"/>
    </w:rPr>
  </w:style>
  <w:style w:type="paragraph" w:styleId="NormalWeb">
    <w:name w:val="Normal (Web)"/>
    <w:basedOn w:val="Normal"/>
    <w:uiPriority w:val="99"/>
    <w:semiHidden/>
    <w:unhideWhenUsed/>
    <w:rsid w:val="00A50007"/>
    <w:pPr>
      <w:spacing w:before="100" w:beforeAutospacing="1" w:after="100" w:afterAutospacing="1"/>
    </w:pPr>
    <w:rPr>
      <w:rFonts w:ascii="Times New Roman" w:eastAsia="Times New Roman" w:hAnsi="Times New Roman" w:cs="Times New Roman"/>
      <w:lang w:val="en-IN"/>
    </w:rPr>
  </w:style>
  <w:style w:type="character" w:customStyle="1" w:styleId="mord">
    <w:name w:val="mord"/>
    <w:basedOn w:val="DefaultParagraphFont"/>
    <w:rsid w:val="00A50007"/>
  </w:style>
  <w:style w:type="character" w:customStyle="1" w:styleId="vlist-s">
    <w:name w:val="vlist-s"/>
    <w:basedOn w:val="DefaultParagraphFont"/>
    <w:rsid w:val="00A50007"/>
  </w:style>
  <w:style w:type="character" w:styleId="HTMLCode">
    <w:name w:val="HTML Code"/>
    <w:basedOn w:val="DefaultParagraphFont"/>
    <w:uiPriority w:val="99"/>
    <w:semiHidden/>
    <w:unhideWhenUsed/>
    <w:rsid w:val="00A50007"/>
    <w:rPr>
      <w:rFonts w:ascii="Courier New" w:eastAsia="Times New Roman" w:hAnsi="Courier New" w:cs="Courier New"/>
      <w:sz w:val="20"/>
      <w:szCs w:val="20"/>
    </w:rPr>
  </w:style>
  <w:style w:type="character" w:customStyle="1" w:styleId="mrel">
    <w:name w:val="mrel"/>
    <w:basedOn w:val="DefaultParagraphFont"/>
    <w:rsid w:val="00A50007"/>
  </w:style>
  <w:style w:type="paragraph" w:styleId="BodyText">
    <w:name w:val="Body Text"/>
    <w:basedOn w:val="Normal"/>
    <w:link w:val="BodyTextChar"/>
    <w:uiPriority w:val="1"/>
    <w:qFormat/>
    <w:rsid w:val="00E54392"/>
    <w:pPr>
      <w:widowControl w:val="0"/>
      <w:autoSpaceDE w:val="0"/>
      <w:autoSpaceDN w:val="0"/>
    </w:pPr>
    <w:rPr>
      <w:rFonts w:ascii="Times New Roman" w:eastAsia="Times New Roman" w:hAnsi="Times New Roman" w:cs="Times New Roman"/>
      <w:lang w:val="en-US"/>
    </w:rPr>
  </w:style>
  <w:style w:type="character" w:customStyle="1" w:styleId="BodyTextChar">
    <w:name w:val="Body Text Char"/>
    <w:basedOn w:val="DefaultParagraphFont"/>
    <w:link w:val="BodyText"/>
    <w:uiPriority w:val="1"/>
    <w:rsid w:val="00E54392"/>
    <w:rPr>
      <w:rFonts w:ascii="Times New Roman" w:eastAsia="Times New Roman" w:hAnsi="Times New Roman" w:cs="Times New Roman"/>
      <w:lang w:val="en-US"/>
    </w:rPr>
  </w:style>
  <w:style w:type="paragraph" w:styleId="ListParagraph">
    <w:name w:val="List Paragraph"/>
    <w:basedOn w:val="Normal"/>
    <w:uiPriority w:val="34"/>
    <w:qFormat/>
    <w:rsid w:val="00A36248"/>
    <w:pPr>
      <w:spacing w:after="200" w:line="276" w:lineRule="auto"/>
      <w:ind w:left="720"/>
      <w:contextualSpacing/>
    </w:pPr>
    <w:rPr>
      <w:sz w:val="22"/>
      <w:szCs w:val="22"/>
      <w:lang w:val="en-US"/>
    </w:rPr>
  </w:style>
  <w:style w:type="character" w:styleId="Hyperlink">
    <w:name w:val="Hyperlink"/>
    <w:basedOn w:val="DefaultParagraphFont"/>
    <w:uiPriority w:val="99"/>
    <w:unhideWhenUsed/>
    <w:rsid w:val="00CF556B"/>
    <w:rPr>
      <w:color w:val="0563C1" w:themeColor="hyperlink"/>
      <w:u w:val="single"/>
    </w:rPr>
  </w:style>
  <w:style w:type="character" w:styleId="UnresolvedMention">
    <w:name w:val="Unresolved Mention"/>
    <w:basedOn w:val="DefaultParagraphFont"/>
    <w:uiPriority w:val="99"/>
    <w:rsid w:val="00CF556B"/>
    <w:rPr>
      <w:color w:val="605E5C"/>
      <w:shd w:val="clear" w:color="auto" w:fill="E1DFDD"/>
    </w:rPr>
  </w:style>
  <w:style w:type="paragraph" w:styleId="Header">
    <w:name w:val="header"/>
    <w:basedOn w:val="Normal"/>
    <w:link w:val="HeaderChar"/>
    <w:uiPriority w:val="99"/>
    <w:unhideWhenUsed/>
    <w:rsid w:val="00775706"/>
    <w:pPr>
      <w:tabs>
        <w:tab w:val="center" w:pos="4513"/>
        <w:tab w:val="right" w:pos="9026"/>
      </w:tabs>
    </w:pPr>
  </w:style>
  <w:style w:type="character" w:customStyle="1" w:styleId="HeaderChar">
    <w:name w:val="Header Char"/>
    <w:basedOn w:val="DefaultParagraphFont"/>
    <w:link w:val="Header"/>
    <w:uiPriority w:val="99"/>
    <w:rsid w:val="00775706"/>
  </w:style>
  <w:style w:type="paragraph" w:styleId="Footer">
    <w:name w:val="footer"/>
    <w:basedOn w:val="Normal"/>
    <w:link w:val="FooterChar"/>
    <w:uiPriority w:val="99"/>
    <w:unhideWhenUsed/>
    <w:rsid w:val="00775706"/>
    <w:pPr>
      <w:tabs>
        <w:tab w:val="center" w:pos="4513"/>
        <w:tab w:val="right" w:pos="9026"/>
      </w:tabs>
    </w:pPr>
  </w:style>
  <w:style w:type="character" w:customStyle="1" w:styleId="FooterChar">
    <w:name w:val="Footer Char"/>
    <w:basedOn w:val="DefaultParagraphFont"/>
    <w:link w:val="Footer"/>
    <w:uiPriority w:val="99"/>
    <w:rsid w:val="00775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88792">
      <w:bodyDiv w:val="1"/>
      <w:marLeft w:val="0"/>
      <w:marRight w:val="0"/>
      <w:marTop w:val="0"/>
      <w:marBottom w:val="0"/>
      <w:divBdr>
        <w:top w:val="none" w:sz="0" w:space="0" w:color="auto"/>
        <w:left w:val="none" w:sz="0" w:space="0" w:color="auto"/>
        <w:bottom w:val="none" w:sz="0" w:space="0" w:color="auto"/>
        <w:right w:val="none" w:sz="0" w:space="0" w:color="auto"/>
      </w:divBdr>
      <w:divsChild>
        <w:div w:id="1583641408">
          <w:marLeft w:val="0"/>
          <w:marRight w:val="0"/>
          <w:marTop w:val="0"/>
          <w:marBottom w:val="0"/>
          <w:divBdr>
            <w:top w:val="none" w:sz="0" w:space="0" w:color="auto"/>
            <w:left w:val="none" w:sz="0" w:space="0" w:color="auto"/>
            <w:bottom w:val="none" w:sz="0" w:space="0" w:color="auto"/>
            <w:right w:val="none" w:sz="0" w:space="0" w:color="auto"/>
          </w:divBdr>
          <w:divsChild>
            <w:div w:id="957948102">
              <w:marLeft w:val="0"/>
              <w:marRight w:val="0"/>
              <w:marTop w:val="0"/>
              <w:marBottom w:val="0"/>
              <w:divBdr>
                <w:top w:val="none" w:sz="0" w:space="0" w:color="auto"/>
                <w:left w:val="none" w:sz="0" w:space="0" w:color="auto"/>
                <w:bottom w:val="none" w:sz="0" w:space="0" w:color="auto"/>
                <w:right w:val="none" w:sz="0" w:space="0" w:color="auto"/>
              </w:divBdr>
              <w:divsChild>
                <w:div w:id="1235239721">
                  <w:marLeft w:val="0"/>
                  <w:marRight w:val="0"/>
                  <w:marTop w:val="0"/>
                  <w:marBottom w:val="0"/>
                  <w:divBdr>
                    <w:top w:val="none" w:sz="0" w:space="0" w:color="auto"/>
                    <w:left w:val="none" w:sz="0" w:space="0" w:color="auto"/>
                    <w:bottom w:val="none" w:sz="0" w:space="0" w:color="auto"/>
                    <w:right w:val="none" w:sz="0" w:space="0" w:color="auto"/>
                  </w:divBdr>
                  <w:divsChild>
                    <w:div w:id="542014164">
                      <w:marLeft w:val="0"/>
                      <w:marRight w:val="0"/>
                      <w:marTop w:val="0"/>
                      <w:marBottom w:val="0"/>
                      <w:divBdr>
                        <w:top w:val="none" w:sz="0" w:space="0" w:color="auto"/>
                        <w:left w:val="none" w:sz="0" w:space="0" w:color="auto"/>
                        <w:bottom w:val="none" w:sz="0" w:space="0" w:color="auto"/>
                        <w:right w:val="none" w:sz="0" w:space="0" w:color="auto"/>
                      </w:divBdr>
                      <w:divsChild>
                        <w:div w:id="944118600">
                          <w:marLeft w:val="0"/>
                          <w:marRight w:val="0"/>
                          <w:marTop w:val="0"/>
                          <w:marBottom w:val="0"/>
                          <w:divBdr>
                            <w:top w:val="none" w:sz="0" w:space="0" w:color="auto"/>
                            <w:left w:val="none" w:sz="0" w:space="0" w:color="auto"/>
                            <w:bottom w:val="none" w:sz="0" w:space="0" w:color="auto"/>
                            <w:right w:val="none" w:sz="0" w:space="0" w:color="auto"/>
                          </w:divBdr>
                          <w:divsChild>
                            <w:div w:id="137030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93623">
                  <w:marLeft w:val="0"/>
                  <w:marRight w:val="0"/>
                  <w:marTop w:val="0"/>
                  <w:marBottom w:val="0"/>
                  <w:divBdr>
                    <w:top w:val="none" w:sz="0" w:space="0" w:color="auto"/>
                    <w:left w:val="none" w:sz="0" w:space="0" w:color="auto"/>
                    <w:bottom w:val="none" w:sz="0" w:space="0" w:color="auto"/>
                    <w:right w:val="none" w:sz="0" w:space="0" w:color="auto"/>
                  </w:divBdr>
                  <w:divsChild>
                    <w:div w:id="1484809913">
                      <w:marLeft w:val="0"/>
                      <w:marRight w:val="0"/>
                      <w:marTop w:val="0"/>
                      <w:marBottom w:val="0"/>
                      <w:divBdr>
                        <w:top w:val="none" w:sz="0" w:space="0" w:color="auto"/>
                        <w:left w:val="none" w:sz="0" w:space="0" w:color="auto"/>
                        <w:bottom w:val="none" w:sz="0" w:space="0" w:color="auto"/>
                        <w:right w:val="none" w:sz="0" w:space="0" w:color="auto"/>
                      </w:divBdr>
                      <w:divsChild>
                        <w:div w:id="2138641291">
                          <w:marLeft w:val="0"/>
                          <w:marRight w:val="0"/>
                          <w:marTop w:val="0"/>
                          <w:marBottom w:val="0"/>
                          <w:divBdr>
                            <w:top w:val="none" w:sz="0" w:space="0" w:color="auto"/>
                            <w:left w:val="none" w:sz="0" w:space="0" w:color="auto"/>
                            <w:bottom w:val="none" w:sz="0" w:space="0" w:color="auto"/>
                            <w:right w:val="none" w:sz="0" w:space="0" w:color="auto"/>
                          </w:divBdr>
                          <w:divsChild>
                            <w:div w:id="48582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704470">
                  <w:marLeft w:val="0"/>
                  <w:marRight w:val="0"/>
                  <w:marTop w:val="0"/>
                  <w:marBottom w:val="0"/>
                  <w:divBdr>
                    <w:top w:val="none" w:sz="0" w:space="0" w:color="auto"/>
                    <w:left w:val="none" w:sz="0" w:space="0" w:color="auto"/>
                    <w:bottom w:val="none" w:sz="0" w:space="0" w:color="auto"/>
                    <w:right w:val="none" w:sz="0" w:space="0" w:color="auto"/>
                  </w:divBdr>
                  <w:divsChild>
                    <w:div w:id="886649364">
                      <w:marLeft w:val="0"/>
                      <w:marRight w:val="0"/>
                      <w:marTop w:val="0"/>
                      <w:marBottom w:val="0"/>
                      <w:divBdr>
                        <w:top w:val="none" w:sz="0" w:space="0" w:color="auto"/>
                        <w:left w:val="none" w:sz="0" w:space="0" w:color="auto"/>
                        <w:bottom w:val="none" w:sz="0" w:space="0" w:color="auto"/>
                        <w:right w:val="none" w:sz="0" w:space="0" w:color="auto"/>
                      </w:divBdr>
                      <w:divsChild>
                        <w:div w:id="1716613953">
                          <w:marLeft w:val="0"/>
                          <w:marRight w:val="0"/>
                          <w:marTop w:val="0"/>
                          <w:marBottom w:val="0"/>
                          <w:divBdr>
                            <w:top w:val="none" w:sz="0" w:space="0" w:color="auto"/>
                            <w:left w:val="none" w:sz="0" w:space="0" w:color="auto"/>
                            <w:bottom w:val="none" w:sz="0" w:space="0" w:color="auto"/>
                            <w:right w:val="none" w:sz="0" w:space="0" w:color="auto"/>
                          </w:divBdr>
                          <w:divsChild>
                            <w:div w:id="7801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5895521">
      <w:bodyDiv w:val="1"/>
      <w:marLeft w:val="0"/>
      <w:marRight w:val="0"/>
      <w:marTop w:val="0"/>
      <w:marBottom w:val="0"/>
      <w:divBdr>
        <w:top w:val="none" w:sz="0" w:space="0" w:color="auto"/>
        <w:left w:val="none" w:sz="0" w:space="0" w:color="auto"/>
        <w:bottom w:val="none" w:sz="0" w:space="0" w:color="auto"/>
        <w:right w:val="none" w:sz="0" w:space="0" w:color="auto"/>
      </w:divBdr>
      <w:divsChild>
        <w:div w:id="153451284">
          <w:marLeft w:val="0"/>
          <w:marRight w:val="0"/>
          <w:marTop w:val="0"/>
          <w:marBottom w:val="0"/>
          <w:divBdr>
            <w:top w:val="none" w:sz="0" w:space="0" w:color="auto"/>
            <w:left w:val="none" w:sz="0" w:space="0" w:color="auto"/>
            <w:bottom w:val="none" w:sz="0" w:space="0" w:color="auto"/>
            <w:right w:val="none" w:sz="0" w:space="0" w:color="auto"/>
          </w:divBdr>
          <w:divsChild>
            <w:div w:id="1535844314">
              <w:marLeft w:val="0"/>
              <w:marRight w:val="0"/>
              <w:marTop w:val="0"/>
              <w:marBottom w:val="0"/>
              <w:divBdr>
                <w:top w:val="none" w:sz="0" w:space="0" w:color="auto"/>
                <w:left w:val="none" w:sz="0" w:space="0" w:color="auto"/>
                <w:bottom w:val="none" w:sz="0" w:space="0" w:color="auto"/>
                <w:right w:val="none" w:sz="0" w:space="0" w:color="auto"/>
              </w:divBdr>
              <w:divsChild>
                <w:div w:id="698168863">
                  <w:marLeft w:val="0"/>
                  <w:marRight w:val="0"/>
                  <w:marTop w:val="0"/>
                  <w:marBottom w:val="0"/>
                  <w:divBdr>
                    <w:top w:val="none" w:sz="0" w:space="0" w:color="auto"/>
                    <w:left w:val="none" w:sz="0" w:space="0" w:color="auto"/>
                    <w:bottom w:val="none" w:sz="0" w:space="0" w:color="auto"/>
                    <w:right w:val="none" w:sz="0" w:space="0" w:color="auto"/>
                  </w:divBdr>
                  <w:divsChild>
                    <w:div w:id="1467312707">
                      <w:marLeft w:val="0"/>
                      <w:marRight w:val="0"/>
                      <w:marTop w:val="0"/>
                      <w:marBottom w:val="0"/>
                      <w:divBdr>
                        <w:top w:val="none" w:sz="0" w:space="0" w:color="auto"/>
                        <w:left w:val="none" w:sz="0" w:space="0" w:color="auto"/>
                        <w:bottom w:val="none" w:sz="0" w:space="0" w:color="auto"/>
                        <w:right w:val="none" w:sz="0" w:space="0" w:color="auto"/>
                      </w:divBdr>
                      <w:divsChild>
                        <w:div w:id="1163349540">
                          <w:marLeft w:val="0"/>
                          <w:marRight w:val="0"/>
                          <w:marTop w:val="0"/>
                          <w:marBottom w:val="0"/>
                          <w:divBdr>
                            <w:top w:val="none" w:sz="0" w:space="0" w:color="auto"/>
                            <w:left w:val="none" w:sz="0" w:space="0" w:color="auto"/>
                            <w:bottom w:val="none" w:sz="0" w:space="0" w:color="auto"/>
                            <w:right w:val="none" w:sz="0" w:space="0" w:color="auto"/>
                          </w:divBdr>
                          <w:divsChild>
                            <w:div w:id="122854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616817">
                  <w:marLeft w:val="0"/>
                  <w:marRight w:val="0"/>
                  <w:marTop w:val="0"/>
                  <w:marBottom w:val="0"/>
                  <w:divBdr>
                    <w:top w:val="none" w:sz="0" w:space="0" w:color="auto"/>
                    <w:left w:val="none" w:sz="0" w:space="0" w:color="auto"/>
                    <w:bottom w:val="none" w:sz="0" w:space="0" w:color="auto"/>
                    <w:right w:val="none" w:sz="0" w:space="0" w:color="auto"/>
                  </w:divBdr>
                  <w:divsChild>
                    <w:div w:id="930509176">
                      <w:marLeft w:val="0"/>
                      <w:marRight w:val="0"/>
                      <w:marTop w:val="0"/>
                      <w:marBottom w:val="0"/>
                      <w:divBdr>
                        <w:top w:val="none" w:sz="0" w:space="0" w:color="auto"/>
                        <w:left w:val="none" w:sz="0" w:space="0" w:color="auto"/>
                        <w:bottom w:val="none" w:sz="0" w:space="0" w:color="auto"/>
                        <w:right w:val="none" w:sz="0" w:space="0" w:color="auto"/>
                      </w:divBdr>
                      <w:divsChild>
                        <w:div w:id="2037851654">
                          <w:marLeft w:val="0"/>
                          <w:marRight w:val="0"/>
                          <w:marTop w:val="0"/>
                          <w:marBottom w:val="0"/>
                          <w:divBdr>
                            <w:top w:val="none" w:sz="0" w:space="0" w:color="auto"/>
                            <w:left w:val="none" w:sz="0" w:space="0" w:color="auto"/>
                            <w:bottom w:val="none" w:sz="0" w:space="0" w:color="auto"/>
                            <w:right w:val="none" w:sz="0" w:space="0" w:color="auto"/>
                          </w:divBdr>
                          <w:divsChild>
                            <w:div w:id="197999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434503">
                  <w:marLeft w:val="0"/>
                  <w:marRight w:val="0"/>
                  <w:marTop w:val="0"/>
                  <w:marBottom w:val="0"/>
                  <w:divBdr>
                    <w:top w:val="none" w:sz="0" w:space="0" w:color="auto"/>
                    <w:left w:val="none" w:sz="0" w:space="0" w:color="auto"/>
                    <w:bottom w:val="none" w:sz="0" w:space="0" w:color="auto"/>
                    <w:right w:val="none" w:sz="0" w:space="0" w:color="auto"/>
                  </w:divBdr>
                  <w:divsChild>
                    <w:div w:id="1396703857">
                      <w:marLeft w:val="0"/>
                      <w:marRight w:val="0"/>
                      <w:marTop w:val="0"/>
                      <w:marBottom w:val="0"/>
                      <w:divBdr>
                        <w:top w:val="none" w:sz="0" w:space="0" w:color="auto"/>
                        <w:left w:val="none" w:sz="0" w:space="0" w:color="auto"/>
                        <w:bottom w:val="none" w:sz="0" w:space="0" w:color="auto"/>
                        <w:right w:val="none" w:sz="0" w:space="0" w:color="auto"/>
                      </w:divBdr>
                      <w:divsChild>
                        <w:div w:id="1919705547">
                          <w:marLeft w:val="0"/>
                          <w:marRight w:val="0"/>
                          <w:marTop w:val="0"/>
                          <w:marBottom w:val="0"/>
                          <w:divBdr>
                            <w:top w:val="none" w:sz="0" w:space="0" w:color="auto"/>
                            <w:left w:val="none" w:sz="0" w:space="0" w:color="auto"/>
                            <w:bottom w:val="none" w:sz="0" w:space="0" w:color="auto"/>
                            <w:right w:val="none" w:sz="0" w:space="0" w:color="auto"/>
                          </w:divBdr>
                          <w:divsChild>
                            <w:div w:id="108248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8754695">
      <w:bodyDiv w:val="1"/>
      <w:marLeft w:val="0"/>
      <w:marRight w:val="0"/>
      <w:marTop w:val="0"/>
      <w:marBottom w:val="0"/>
      <w:divBdr>
        <w:top w:val="none" w:sz="0" w:space="0" w:color="auto"/>
        <w:left w:val="none" w:sz="0" w:space="0" w:color="auto"/>
        <w:bottom w:val="none" w:sz="0" w:space="0" w:color="auto"/>
        <w:right w:val="none" w:sz="0" w:space="0" w:color="auto"/>
      </w:divBdr>
      <w:divsChild>
        <w:div w:id="1254513139">
          <w:marLeft w:val="0"/>
          <w:marRight w:val="0"/>
          <w:marTop w:val="0"/>
          <w:marBottom w:val="0"/>
          <w:divBdr>
            <w:top w:val="none" w:sz="0" w:space="0" w:color="auto"/>
            <w:left w:val="none" w:sz="0" w:space="0" w:color="auto"/>
            <w:bottom w:val="none" w:sz="0" w:space="0" w:color="auto"/>
            <w:right w:val="none" w:sz="0" w:space="0" w:color="auto"/>
          </w:divBdr>
          <w:divsChild>
            <w:div w:id="1742024035">
              <w:marLeft w:val="0"/>
              <w:marRight w:val="0"/>
              <w:marTop w:val="0"/>
              <w:marBottom w:val="0"/>
              <w:divBdr>
                <w:top w:val="none" w:sz="0" w:space="0" w:color="auto"/>
                <w:left w:val="none" w:sz="0" w:space="0" w:color="auto"/>
                <w:bottom w:val="none" w:sz="0" w:space="0" w:color="auto"/>
                <w:right w:val="none" w:sz="0" w:space="0" w:color="auto"/>
              </w:divBdr>
              <w:divsChild>
                <w:div w:id="38930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fsi.2018.06.004" TargetMode="External"/><Relationship Id="rId18" Type="http://schemas.openxmlformats.org/officeDocument/2006/relationships/hyperlink" Target="https://doi.org/10.1016/j.ijbiomac.2024.132041" TargetMode="External"/><Relationship Id="rId26" Type="http://schemas.openxmlformats.org/officeDocument/2006/relationships/hyperlink" Target="https://doi.org/10.56557/jobi/2022/v9i27492" TargetMode="External"/><Relationship Id="rId39" Type="http://schemas.openxmlformats.org/officeDocument/2006/relationships/footer" Target="footer1.xml"/><Relationship Id="rId21" Type="http://schemas.openxmlformats.org/officeDocument/2006/relationships/hyperlink" Target="https://doi.org/10.1016/j.abb.2020.108370" TargetMode="External"/><Relationship Id="rId34" Type="http://schemas.openxmlformats.org/officeDocument/2006/relationships/hyperlink" Target="https://doi.org/10.1110/ps.0236803" TargetMode="External"/><Relationship Id="rId42" Type="http://schemas.openxmlformats.org/officeDocument/2006/relationships/footer" Target="foot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1016/j.cbpb.2008.10.010" TargetMode="External"/><Relationship Id="rId20" Type="http://schemas.openxmlformats.org/officeDocument/2006/relationships/hyperlink" Target="https://doi.org/10.1016/j.jbc.2025.110304" TargetMode="External"/><Relationship Id="rId29" Type="http://schemas.openxmlformats.org/officeDocument/2006/relationships/hyperlink" Target="https://doi.org/10.1093/nar/22.22.4673" TargetMode="External"/><Relationship Id="rId4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2/prot.21715" TargetMode="External"/><Relationship Id="rId24" Type="http://schemas.openxmlformats.org/officeDocument/2006/relationships/hyperlink" Target="https://doi.org/10.1111/raq.12829" TargetMode="External"/><Relationship Id="rId32" Type="http://schemas.openxmlformats.org/officeDocument/2006/relationships/hyperlink" Target="https://doi.org/10.1016/0022-2836(89)90276-3"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1016/S0076-6879(97)77022-8" TargetMode="External"/><Relationship Id="rId23" Type="http://schemas.openxmlformats.org/officeDocument/2006/relationships/hyperlink" Target="https://doi.org/10.1021/acs.jcim.9b00778" TargetMode="External"/><Relationship Id="rId28" Type="http://schemas.openxmlformats.org/officeDocument/2006/relationships/hyperlink" Target="https://doi.org/10.1002/prot.340230306" TargetMode="External"/><Relationship Id="rId36" Type="http://schemas.openxmlformats.org/officeDocument/2006/relationships/hyperlink" Target="https://doi.org/10.1002/wcms.1298" TargetMode="External"/><Relationship Id="rId10" Type="http://schemas.openxmlformats.org/officeDocument/2006/relationships/hyperlink" Target="https://doi.org/10.9734/ijbcrr/2026/v35i31123" TargetMode="External"/><Relationship Id="rId19" Type="http://schemas.openxmlformats.org/officeDocument/2006/relationships/hyperlink" Target="https://doi.org/10.1107/S0021889892009944" TargetMode="External"/><Relationship Id="rId31" Type="http://schemas.openxmlformats.org/officeDocument/2006/relationships/hyperlink" Target="https://doi.org/10.1016/j.aquaculture.2016.07.023"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16/S0022-2836(05)80360-2" TargetMode="External"/><Relationship Id="rId14" Type="http://schemas.openxmlformats.org/officeDocument/2006/relationships/hyperlink" Target="https://doi.org/10.1074/jbc.M103817200" TargetMode="External"/><Relationship Id="rId22" Type="http://schemas.openxmlformats.org/officeDocument/2006/relationships/hyperlink" Target="https://doi.org/10.1002/jcc.21256" TargetMode="External"/><Relationship Id="rId27" Type="http://schemas.openxmlformats.org/officeDocument/2006/relationships/hyperlink" Target="https://doi.org/10.1006/jmbi.1993.1626" TargetMode="External"/><Relationship Id="rId30" Type="http://schemas.openxmlformats.org/officeDocument/2006/relationships/hyperlink" Target="https://doi.org/10.1002/jcc.21334" TargetMode="External"/><Relationship Id="rId35" Type="http://schemas.openxmlformats.org/officeDocument/2006/relationships/hyperlink" Target="https://doi.org/10.1016/j.fsi.2010.11.004" TargetMode="External"/><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doi.org/10.1093/nar/28.1.235" TargetMode="External"/><Relationship Id="rId17" Type="http://schemas.openxmlformats.org/officeDocument/2006/relationships/hyperlink" Target="https://doi.org/10.1021/jf800839x" TargetMode="External"/><Relationship Id="rId25" Type="http://schemas.openxmlformats.org/officeDocument/2006/relationships/hyperlink" Target="https://doi.org/10.1016/j.bbagen.2015.12.010" TargetMode="External"/><Relationship Id="rId33" Type="http://schemas.openxmlformats.org/officeDocument/2006/relationships/hyperlink" Target="https://doi.org/10.1093/protein/8.2.127" TargetMode="External"/><Relationship Id="rId3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11</Pages>
  <Words>4413</Words>
  <Characters>25155</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Editor-90</cp:lastModifiedBy>
  <cp:revision>16</cp:revision>
  <dcterms:created xsi:type="dcterms:W3CDTF">2026-09-08T08:02:00Z</dcterms:created>
  <dcterms:modified xsi:type="dcterms:W3CDTF">2026-09-23T07:14:00Z</dcterms:modified>
</cp:coreProperties>
</file>