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E30581" w14:textId="77777777" w:rsidR="0077663A" w:rsidRDefault="0077663A" w:rsidP="00977408">
      <w:pPr>
        <w:spacing w:line="240" w:lineRule="auto"/>
        <w:ind w:left="0" w:firstLine="0"/>
        <w:jc w:val="right"/>
        <w:rPr>
          <w:rFonts w:ascii="Arial" w:eastAsia="Calibri" w:hAnsi="Arial" w:cs="Arial"/>
          <w:b/>
          <w:bCs/>
          <w:sz w:val="24"/>
          <w:szCs w:val="24"/>
          <w:lang w:val="en-US" w:eastAsia="zh-CN"/>
        </w:rPr>
      </w:pPr>
      <w:r w:rsidRPr="007B1647">
        <w:rPr>
          <w:rFonts w:ascii="Times New Roman" w:hAnsi="Times New Roman" w:cs="Times New Roman"/>
          <w:sz w:val="20"/>
          <w:szCs w:val="20"/>
        </w:rPr>
        <w:t>Original Research Article</w:t>
      </w:r>
    </w:p>
    <w:p w14:paraId="0A5712F6" w14:textId="77777777" w:rsidR="00A52FE9" w:rsidRPr="00651D2B" w:rsidRDefault="00A52FE9" w:rsidP="00977408">
      <w:pPr>
        <w:spacing w:line="240" w:lineRule="auto"/>
        <w:ind w:left="0" w:firstLine="0"/>
        <w:jc w:val="right"/>
        <w:rPr>
          <w:rFonts w:ascii="Arial" w:eastAsia="Calibri" w:hAnsi="Arial" w:cs="Arial"/>
          <w:b/>
          <w:bCs/>
          <w:sz w:val="24"/>
          <w:szCs w:val="24"/>
          <w:lang w:val="en-US" w:eastAsia="zh-CN"/>
        </w:rPr>
      </w:pPr>
      <w:r w:rsidRPr="00651D2B">
        <w:rPr>
          <w:rFonts w:ascii="Arial" w:eastAsia="Calibri" w:hAnsi="Arial" w:cs="Arial"/>
          <w:b/>
          <w:bCs/>
          <w:sz w:val="24"/>
          <w:szCs w:val="24"/>
          <w:lang w:val="en-US" w:eastAsia="zh-CN"/>
        </w:rPr>
        <w:t>His</w:t>
      </w:r>
      <w:r w:rsidR="00977408" w:rsidRPr="00651D2B">
        <w:rPr>
          <w:rFonts w:ascii="Arial" w:eastAsia="Calibri" w:hAnsi="Arial" w:cs="Arial"/>
          <w:b/>
          <w:bCs/>
          <w:sz w:val="24"/>
          <w:szCs w:val="24"/>
          <w:lang w:val="en-US" w:eastAsia="zh-CN"/>
        </w:rPr>
        <w:t xml:space="preserve">tological changes in the </w:t>
      </w:r>
      <w:proofErr w:type="spellStart"/>
      <w:r w:rsidR="00977408" w:rsidRPr="00651D2B">
        <w:rPr>
          <w:rFonts w:ascii="Arial" w:eastAsia="Calibri" w:hAnsi="Arial" w:cs="Arial"/>
          <w:b/>
          <w:bCs/>
          <w:sz w:val="24"/>
          <w:szCs w:val="24"/>
          <w:lang w:val="en-US" w:eastAsia="zh-CN"/>
        </w:rPr>
        <w:t>DuodenumacrossPostnatal</w:t>
      </w:r>
      <w:proofErr w:type="spellEnd"/>
      <w:r w:rsidR="00977408" w:rsidRPr="00651D2B">
        <w:rPr>
          <w:rFonts w:ascii="Arial" w:eastAsia="Calibri" w:hAnsi="Arial" w:cs="Arial"/>
          <w:b/>
          <w:bCs/>
          <w:sz w:val="24"/>
          <w:szCs w:val="24"/>
          <w:lang w:val="en-US" w:eastAsia="zh-CN"/>
        </w:rPr>
        <w:t xml:space="preserve"> </w:t>
      </w:r>
      <w:proofErr w:type="spellStart"/>
      <w:r w:rsidR="00977408" w:rsidRPr="00651D2B">
        <w:rPr>
          <w:rFonts w:ascii="Arial" w:eastAsia="Calibri" w:hAnsi="Arial" w:cs="Arial"/>
          <w:b/>
          <w:bCs/>
          <w:sz w:val="24"/>
          <w:szCs w:val="24"/>
          <w:lang w:val="en-US" w:eastAsia="zh-CN"/>
        </w:rPr>
        <w:t>Developmental</w:t>
      </w:r>
      <w:r w:rsidR="00282D45" w:rsidRPr="00651D2B">
        <w:rPr>
          <w:rFonts w:ascii="Arial" w:eastAsia="Calibri" w:hAnsi="Arial" w:cs="Arial"/>
          <w:b/>
          <w:bCs/>
          <w:sz w:val="24"/>
          <w:szCs w:val="24"/>
          <w:lang w:val="en-US" w:eastAsia="zh-CN"/>
        </w:rPr>
        <w:t>S</w:t>
      </w:r>
      <w:r w:rsidR="00977408" w:rsidRPr="00651D2B">
        <w:rPr>
          <w:rFonts w:ascii="Arial" w:eastAsia="Calibri" w:hAnsi="Arial" w:cs="Arial"/>
          <w:b/>
          <w:bCs/>
          <w:sz w:val="24"/>
          <w:szCs w:val="24"/>
          <w:lang w:val="en-US" w:eastAsia="zh-CN"/>
        </w:rPr>
        <w:t>tages</w:t>
      </w:r>
      <w:proofErr w:type="spellEnd"/>
      <w:r w:rsidRPr="00651D2B">
        <w:rPr>
          <w:rFonts w:ascii="Arial" w:eastAsia="Calibri" w:hAnsi="Arial" w:cs="Arial"/>
          <w:b/>
          <w:bCs/>
          <w:sz w:val="24"/>
          <w:szCs w:val="24"/>
          <w:lang w:val="en-US" w:eastAsia="zh-CN"/>
        </w:rPr>
        <w:t xml:space="preserve"> of Indian domestic </w:t>
      </w:r>
      <w:r w:rsidR="00CD61CF" w:rsidRPr="00651D2B">
        <w:rPr>
          <w:rFonts w:ascii="Arial" w:eastAsia="Calibri" w:hAnsi="Arial" w:cs="Arial"/>
          <w:b/>
          <w:bCs/>
          <w:sz w:val="24"/>
          <w:szCs w:val="24"/>
          <w:lang w:val="en-US" w:eastAsia="zh-CN"/>
        </w:rPr>
        <w:t>P</w:t>
      </w:r>
      <w:r w:rsidR="00977408" w:rsidRPr="00651D2B">
        <w:rPr>
          <w:rFonts w:ascii="Arial" w:eastAsia="Calibri" w:hAnsi="Arial" w:cs="Arial"/>
          <w:b/>
          <w:bCs/>
          <w:sz w:val="24"/>
          <w:szCs w:val="24"/>
          <w:lang w:val="en-US" w:eastAsia="zh-CN"/>
        </w:rPr>
        <w:t>ig</w:t>
      </w:r>
      <w:r w:rsidRPr="00651D2B">
        <w:rPr>
          <w:rFonts w:ascii="Arial" w:eastAsia="Calibri" w:hAnsi="Arial" w:cs="Arial"/>
          <w:b/>
          <w:bCs/>
          <w:sz w:val="24"/>
          <w:szCs w:val="24"/>
          <w:lang w:val="en-US" w:eastAsia="zh-CN"/>
        </w:rPr>
        <w:t xml:space="preserve"> (</w:t>
      </w:r>
      <w:r w:rsidRPr="00651D2B">
        <w:rPr>
          <w:rFonts w:ascii="Arial" w:eastAsia="Calibri" w:hAnsi="Arial" w:cs="Arial"/>
          <w:b/>
          <w:bCs/>
          <w:i/>
          <w:sz w:val="24"/>
          <w:szCs w:val="24"/>
          <w:lang w:val="en-US" w:eastAsia="zh-CN"/>
        </w:rPr>
        <w:t xml:space="preserve">Sus scrofa </w:t>
      </w:r>
      <w:proofErr w:type="spellStart"/>
      <w:r w:rsidRPr="00651D2B">
        <w:rPr>
          <w:rFonts w:ascii="Arial" w:eastAsia="Calibri" w:hAnsi="Arial" w:cs="Arial"/>
          <w:b/>
          <w:bCs/>
          <w:i/>
          <w:sz w:val="24"/>
          <w:szCs w:val="24"/>
          <w:lang w:val="en-US" w:eastAsia="zh-CN"/>
        </w:rPr>
        <w:t>domesticus</w:t>
      </w:r>
      <w:proofErr w:type="spellEnd"/>
      <w:r w:rsidRPr="00651D2B">
        <w:rPr>
          <w:rFonts w:ascii="Arial" w:eastAsia="Calibri" w:hAnsi="Arial" w:cs="Arial"/>
          <w:b/>
          <w:bCs/>
          <w:sz w:val="24"/>
          <w:szCs w:val="24"/>
          <w:lang w:val="en-US" w:eastAsia="zh-CN"/>
        </w:rPr>
        <w:t>)</w:t>
      </w:r>
    </w:p>
    <w:p w14:paraId="497F2CD3" w14:textId="77777777" w:rsidR="00977408" w:rsidRPr="00977408" w:rsidRDefault="00977408" w:rsidP="00977408">
      <w:pPr>
        <w:spacing w:line="240" w:lineRule="auto"/>
        <w:ind w:left="0" w:firstLine="0"/>
        <w:jc w:val="right"/>
        <w:rPr>
          <w:rFonts w:ascii="Arial" w:eastAsia="Calibri" w:hAnsi="Arial" w:cs="Arial"/>
          <w:b/>
          <w:bCs/>
          <w:lang w:val="en-US" w:eastAsia="zh-CN"/>
        </w:rPr>
      </w:pPr>
    </w:p>
    <w:p w14:paraId="2EE7831B" w14:textId="77777777" w:rsidR="009D7281" w:rsidRDefault="009D7281" w:rsidP="00977408">
      <w:pPr>
        <w:spacing w:line="240" w:lineRule="auto"/>
        <w:ind w:left="0" w:firstLine="0"/>
        <w:jc w:val="right"/>
        <w:rPr>
          <w:rFonts w:ascii="Arial" w:hAnsi="Arial" w:cs="Arial"/>
          <w:bCs/>
        </w:rPr>
      </w:pPr>
    </w:p>
    <w:p w14:paraId="029D5E3B" w14:textId="77777777" w:rsidR="00AC08F7" w:rsidRPr="00977408" w:rsidRDefault="00AC08F7" w:rsidP="00977408">
      <w:pPr>
        <w:spacing w:line="240" w:lineRule="auto"/>
        <w:ind w:left="0" w:firstLine="0"/>
        <w:jc w:val="right"/>
        <w:rPr>
          <w:rFonts w:ascii="Arial" w:hAnsi="Arial" w:cs="Arial"/>
          <w:bCs/>
        </w:rPr>
      </w:pPr>
    </w:p>
    <w:p w14:paraId="6A34B27B" w14:textId="77777777" w:rsidR="00977408" w:rsidRPr="00977408" w:rsidRDefault="00977408">
      <w:pPr>
        <w:spacing w:line="240" w:lineRule="auto"/>
        <w:ind w:left="0" w:firstLine="0"/>
        <w:jc w:val="both"/>
        <w:rPr>
          <w:rFonts w:ascii="Arial" w:hAnsi="Arial" w:cs="Arial"/>
          <w:bCs/>
        </w:rPr>
      </w:pPr>
    </w:p>
    <w:p w14:paraId="02B0099B" w14:textId="77777777" w:rsidR="00E40891" w:rsidRPr="00651D2B" w:rsidRDefault="00A73A8B">
      <w:pPr>
        <w:spacing w:line="240" w:lineRule="auto"/>
        <w:ind w:left="0" w:firstLine="0"/>
        <w:jc w:val="both"/>
        <w:rPr>
          <w:rFonts w:ascii="Arial" w:hAnsi="Arial" w:cs="Arial"/>
          <w:b/>
        </w:rPr>
      </w:pPr>
      <w:r w:rsidRPr="00651D2B">
        <w:rPr>
          <w:rFonts w:ascii="Arial" w:hAnsi="Arial" w:cs="Arial"/>
          <w:b/>
        </w:rPr>
        <w:t>ABSTRACT</w:t>
      </w:r>
    </w:p>
    <w:p w14:paraId="366D3F86" w14:textId="77777777" w:rsidR="00992574" w:rsidRDefault="00992574">
      <w:pPr>
        <w:spacing w:line="240" w:lineRule="auto"/>
        <w:ind w:left="0" w:firstLine="0"/>
        <w:jc w:val="both"/>
        <w:rPr>
          <w:rFonts w:ascii="Arial" w:hAnsi="Arial" w:cs="Arial"/>
          <w:lang w:val="en-US"/>
        </w:rPr>
      </w:pPr>
      <w:r>
        <w:rPr>
          <w:rFonts w:ascii="Arial" w:hAnsi="Arial" w:cs="Arial"/>
          <w:bCs/>
          <w:highlight w:val="yellow"/>
        </w:rPr>
        <w:t>The p</w:t>
      </w:r>
      <w:r>
        <w:rPr>
          <w:rFonts w:ascii="Arial" w:hAnsi="Arial" w:cs="Arial"/>
          <w:bCs/>
        </w:rPr>
        <w:t>resent study characteri</w:t>
      </w:r>
      <w:r>
        <w:rPr>
          <w:rFonts w:ascii="Arial" w:hAnsi="Arial" w:cs="Arial"/>
          <w:bCs/>
          <w:highlight w:val="yellow"/>
        </w:rPr>
        <w:t>s</w:t>
      </w:r>
      <w:r>
        <w:rPr>
          <w:rFonts w:ascii="Arial" w:hAnsi="Arial" w:cs="Arial"/>
          <w:bCs/>
        </w:rPr>
        <w:t>ed age-related histological changes in the duodenum of Indian domestic pigs across three postnatal developmental stages. Duodenal ti</w:t>
      </w:r>
      <w:r>
        <w:rPr>
          <w:rFonts w:ascii="Arial" w:hAnsi="Arial" w:cs="Arial"/>
          <w:bCs/>
          <w:highlight w:val="yellow"/>
        </w:rPr>
        <w:t>ssu</w:t>
      </w:r>
      <w:r>
        <w:rPr>
          <w:rFonts w:ascii="Arial" w:hAnsi="Arial" w:cs="Arial"/>
          <w:bCs/>
        </w:rPr>
        <w:t>e from 18 Indian domestic pigs was categori</w:t>
      </w:r>
      <w:r>
        <w:rPr>
          <w:rFonts w:ascii="Arial" w:hAnsi="Arial" w:cs="Arial"/>
          <w:bCs/>
          <w:highlight w:val="yellow"/>
        </w:rPr>
        <w:t>s</w:t>
      </w:r>
      <w:r>
        <w:rPr>
          <w:rFonts w:ascii="Arial" w:hAnsi="Arial" w:cs="Arial"/>
          <w:bCs/>
        </w:rPr>
        <w:t>ed into three age groups: Group I (piglets, 0–4 weeks; n=6), Group II (weaners, &gt;4–10 weeks; n=6), and Group III (&gt;10 weeks; n=6). Tissues from</w:t>
      </w:r>
      <w:r>
        <w:rPr>
          <w:rFonts w:ascii="Arial" w:hAnsi="Arial" w:cs="Arial"/>
          <w:bCs/>
          <w:highlight w:val="yellow"/>
        </w:rPr>
        <w:t xml:space="preserve"> the</w:t>
      </w:r>
      <w:r>
        <w:rPr>
          <w:rFonts w:ascii="Arial" w:hAnsi="Arial" w:cs="Arial"/>
          <w:bCs/>
        </w:rPr>
        <w:t xml:space="preserve"> duodenum were collected and fixed in 10% neutral buffered formalin and Bouin’s fluid, processed for paraffin embedding, and sectioned at 5–6 µm. Histological evaluation employed Haematoxylin–Eosin for general architecture, Masson’s Trichrome for collagen–muscle differentiation, Wilder’s method for reticular fibres, and Weigert’s stain for elastic fibres. The duodenal wall consistently exhibited four tunics (mucosa, submucosa, muscularis, </w:t>
      </w:r>
      <w:r>
        <w:rPr>
          <w:rFonts w:ascii="Arial" w:hAnsi="Arial" w:cs="Arial"/>
          <w:bCs/>
          <w:highlight w:val="yellow"/>
        </w:rPr>
        <w:t xml:space="preserve">and </w:t>
      </w:r>
      <w:r>
        <w:rPr>
          <w:rFonts w:ascii="Arial" w:hAnsi="Arial" w:cs="Arial"/>
          <w:bCs/>
        </w:rPr>
        <w:t xml:space="preserve">serosa) across all age groups. </w:t>
      </w:r>
      <w:r>
        <w:rPr>
          <w:rFonts w:ascii="Arial" w:hAnsi="Arial" w:cs="Arial"/>
          <w:bCs/>
          <w:highlight w:val="yellow"/>
        </w:rPr>
        <w:t>D</w:t>
      </w:r>
      <w:r>
        <w:rPr>
          <w:rFonts w:ascii="Arial" w:hAnsi="Arial" w:cs="Arial"/>
          <w:bCs/>
        </w:rPr>
        <w:t>uoden</w:t>
      </w:r>
      <w:r>
        <w:rPr>
          <w:rFonts w:ascii="Arial" w:hAnsi="Arial" w:cs="Arial"/>
          <w:bCs/>
          <w:highlight w:val="yellow"/>
        </w:rPr>
        <w:t>al villi</w:t>
      </w:r>
      <w:r>
        <w:rPr>
          <w:rFonts w:ascii="Arial" w:hAnsi="Arial" w:cs="Arial"/>
          <w:bCs/>
        </w:rPr>
        <w:t xml:space="preserve"> progressed from slender, tongue-shaped structures at birth to tall, ridge-like forms with broad bases and pointed apices. Enterocytes were columnar</w:t>
      </w:r>
      <w:r>
        <w:rPr>
          <w:rFonts w:ascii="Arial" w:hAnsi="Arial" w:cs="Arial"/>
          <w:bCs/>
          <w:highlight w:val="yellow"/>
        </w:rPr>
        <w:t xml:space="preserve"> and</w:t>
      </w:r>
      <w:r>
        <w:rPr>
          <w:rFonts w:ascii="Arial" w:hAnsi="Arial" w:cs="Arial"/>
          <w:bCs/>
        </w:rPr>
        <w:t xml:space="preserve"> displayed prominent brush borders</w:t>
      </w:r>
      <w:r>
        <w:rPr>
          <w:rFonts w:ascii="Arial" w:hAnsi="Arial" w:cs="Arial"/>
          <w:bCs/>
          <w:highlight w:val="yellow"/>
        </w:rPr>
        <w:t>,</w:t>
      </w:r>
      <w:r>
        <w:rPr>
          <w:rFonts w:ascii="Arial" w:hAnsi="Arial" w:cs="Arial"/>
          <w:bCs/>
        </w:rPr>
        <w:t xml:space="preserve"> w</w:t>
      </w:r>
      <w:r>
        <w:rPr>
          <w:rFonts w:ascii="Arial" w:hAnsi="Arial" w:cs="Arial"/>
          <w:bCs/>
          <w:highlight w:val="yellow"/>
        </w:rPr>
        <w:t>h</w:t>
      </w:r>
      <w:r>
        <w:rPr>
          <w:rFonts w:ascii="Arial" w:hAnsi="Arial" w:cs="Arial"/>
          <w:bCs/>
        </w:rPr>
        <w:t>i</w:t>
      </w:r>
      <w:r>
        <w:rPr>
          <w:rFonts w:ascii="Arial" w:hAnsi="Arial" w:cs="Arial"/>
          <w:bCs/>
          <w:highlight w:val="yellow"/>
        </w:rPr>
        <w:t>l</w:t>
      </w:r>
      <w:r>
        <w:rPr>
          <w:rFonts w:ascii="Arial" w:hAnsi="Arial" w:cs="Arial"/>
          <w:bCs/>
        </w:rPr>
        <w:t xml:space="preserve">e connective tissue support (collagen, reticular, </w:t>
      </w:r>
      <w:r>
        <w:rPr>
          <w:rFonts w:ascii="Arial" w:hAnsi="Arial" w:cs="Arial"/>
          <w:bCs/>
          <w:highlight w:val="yellow"/>
        </w:rPr>
        <w:t xml:space="preserve">and </w:t>
      </w:r>
      <w:r>
        <w:rPr>
          <w:rFonts w:ascii="Arial" w:hAnsi="Arial" w:cs="Arial"/>
          <w:bCs/>
        </w:rPr>
        <w:t xml:space="preserve">elastic fibres) </w:t>
      </w:r>
      <w:r>
        <w:rPr>
          <w:rFonts w:ascii="Arial" w:hAnsi="Arial" w:cs="Arial"/>
          <w:bCs/>
          <w:highlight w:val="yellow"/>
        </w:rPr>
        <w:t xml:space="preserve">increased </w:t>
      </w:r>
      <w:r>
        <w:rPr>
          <w:rFonts w:ascii="Arial" w:hAnsi="Arial" w:cs="Arial"/>
          <w:bCs/>
        </w:rPr>
        <w:t>from Group I to</w:t>
      </w:r>
      <w:r>
        <w:rPr>
          <w:rFonts w:ascii="Arial" w:hAnsi="Arial" w:cs="Arial"/>
          <w:bCs/>
          <w:highlight w:val="yellow"/>
        </w:rPr>
        <w:t xml:space="preserve"> Group</w:t>
      </w:r>
      <w:r>
        <w:rPr>
          <w:rFonts w:ascii="Arial" w:hAnsi="Arial" w:cs="Arial"/>
          <w:bCs/>
        </w:rPr>
        <w:t xml:space="preserve"> III. Goblet cell density and intraepithelial lymphocyte </w:t>
      </w:r>
      <w:proofErr w:type="gramStart"/>
      <w:r>
        <w:rPr>
          <w:rFonts w:ascii="Arial" w:hAnsi="Arial" w:cs="Arial"/>
          <w:bCs/>
        </w:rPr>
        <w:t>counts</w:t>
      </w:r>
      <w:proofErr w:type="gramEnd"/>
      <w:r>
        <w:rPr>
          <w:rFonts w:ascii="Arial" w:hAnsi="Arial" w:cs="Arial"/>
          <w:bCs/>
          <w:highlight w:val="yellow"/>
        </w:rPr>
        <w:t xml:space="preserve"> </w:t>
      </w:r>
      <w:r>
        <w:rPr>
          <w:rFonts w:ascii="Arial" w:hAnsi="Arial" w:cs="Arial"/>
          <w:bCs/>
        </w:rPr>
        <w:t xml:space="preserve">in the mucosa increased with age, particularly in crypt regions. Paneth cells were absent at birth but appeared from day 21 onwards and became more abundant in older groups. The lamina muscularis mucosae thickened progressively, while plicae circulares became evident from day 7 and increased </w:t>
      </w:r>
      <w:r>
        <w:rPr>
          <w:rFonts w:ascii="Arial" w:hAnsi="Arial" w:cs="Arial"/>
          <w:bCs/>
          <w:highlight w:val="yellow"/>
        </w:rPr>
        <w:t xml:space="preserve">in </w:t>
      </w:r>
      <w:r>
        <w:rPr>
          <w:rFonts w:ascii="Arial" w:hAnsi="Arial" w:cs="Arial"/>
          <w:bCs/>
        </w:rPr>
        <w:t>prominence with age. Brunner’s glands, sparse and isolated at birth, formed compact lobules by day 13 and dominated the submucosa in weaners and adult</w:t>
      </w:r>
      <w:r>
        <w:rPr>
          <w:rFonts w:ascii="Arial" w:hAnsi="Arial" w:cs="Arial"/>
          <w:bCs/>
          <w:highlight w:val="yellow"/>
        </w:rPr>
        <w:t xml:space="preserve"> </w:t>
      </w:r>
      <w:r>
        <w:rPr>
          <w:rFonts w:ascii="Arial" w:hAnsi="Arial" w:cs="Arial"/>
          <w:bCs/>
        </w:rPr>
        <w:t xml:space="preserve">pigs, especially in the cranial duodenum. Connective fibre intensity (collagen, reticular, </w:t>
      </w:r>
      <w:r>
        <w:rPr>
          <w:rFonts w:ascii="Arial" w:hAnsi="Arial" w:cs="Arial"/>
          <w:bCs/>
          <w:highlight w:val="yellow"/>
        </w:rPr>
        <w:t xml:space="preserve">and </w:t>
      </w:r>
      <w:r>
        <w:rPr>
          <w:rFonts w:ascii="Arial" w:hAnsi="Arial" w:cs="Arial"/>
          <w:bCs/>
        </w:rPr>
        <w:t>elastic) increased in all layers with advancing age.</w:t>
      </w:r>
      <w:r>
        <w:rPr>
          <w:rFonts w:ascii="Arial" w:hAnsi="Arial" w:cs="Arial"/>
          <w:highlight w:val="yellow"/>
          <w:lang w:val="en-US"/>
        </w:rPr>
        <w:t xml:space="preserve"> </w:t>
      </w:r>
      <w:r>
        <w:rPr>
          <w:rFonts w:ascii="Arial" w:hAnsi="Arial" w:cs="Arial"/>
          <w:lang w:val="en-US"/>
        </w:rPr>
        <w:t>The tunica muscularis consisted of inner circular and outer longitudinal smooth muscle layers with intervening connective tissue containing myenteric plexuses, while t</w:t>
      </w:r>
      <w:r>
        <w:rPr>
          <w:rFonts w:ascii="Arial" w:hAnsi="Arial" w:cs="Arial"/>
          <w:highlight w:val="yellow"/>
          <w:lang w:val="en-US"/>
        </w:rPr>
        <w:t>he t</w:t>
      </w:r>
      <w:r>
        <w:rPr>
          <w:rFonts w:ascii="Arial" w:hAnsi="Arial" w:cs="Arial"/>
          <w:lang w:val="en-US"/>
        </w:rPr>
        <w:t>unica serosa formed the outermost covering</w:t>
      </w:r>
      <w:r>
        <w:rPr>
          <w:rFonts w:ascii="Arial" w:hAnsi="Arial" w:cs="Arial"/>
          <w:highlight w:val="yellow"/>
          <w:lang w:val="en-US"/>
        </w:rPr>
        <w:t>,</w:t>
      </w:r>
      <w:r>
        <w:rPr>
          <w:rFonts w:ascii="Arial" w:hAnsi="Arial" w:cs="Arial"/>
          <w:lang w:val="en-US"/>
        </w:rPr>
        <w:t xml:space="preserve"> with loose connective tissue, blood capillaries, nerves, variable adipose tissue, and external flat mesothelium. These age</w:t>
      </w:r>
      <w:r>
        <w:rPr>
          <w:rFonts w:ascii="Arial" w:hAnsi="Arial" w:cs="Arial"/>
          <w:highlight w:val="yellow"/>
          <w:lang w:val="en-US"/>
        </w:rPr>
        <w:t>-</w:t>
      </w:r>
      <w:r>
        <w:rPr>
          <w:rFonts w:ascii="Arial" w:hAnsi="Arial" w:cs="Arial"/>
          <w:lang w:val="en-US"/>
        </w:rPr>
        <w:t>related histological changes in the duodenum r</w:t>
      </w:r>
      <w:r>
        <w:rPr>
          <w:rFonts w:ascii="Arial" w:hAnsi="Arial" w:cs="Arial"/>
          <w:highlight w:val="yellow"/>
          <w:lang w:val="en-US"/>
        </w:rPr>
        <w:t>epresent</w:t>
      </w:r>
      <w:r>
        <w:rPr>
          <w:rFonts w:ascii="Arial" w:hAnsi="Arial" w:cs="Arial"/>
          <w:lang w:val="en-US"/>
        </w:rPr>
        <w:t xml:space="preserve"> functional adaptation to postnatal digestive, absorptive</w:t>
      </w:r>
      <w:r>
        <w:rPr>
          <w:rFonts w:ascii="Arial" w:hAnsi="Arial" w:cs="Arial"/>
          <w:highlight w:val="yellow"/>
          <w:lang w:val="en-US"/>
        </w:rPr>
        <w:t>,</w:t>
      </w:r>
      <w:r>
        <w:rPr>
          <w:rFonts w:ascii="Arial" w:hAnsi="Arial" w:cs="Arial"/>
          <w:lang w:val="en-US"/>
        </w:rPr>
        <w:t xml:space="preserve"> and immune demands</w:t>
      </w:r>
      <w:r>
        <w:rPr>
          <w:rFonts w:ascii="Arial" w:hAnsi="Arial" w:cs="Arial"/>
          <w:highlight w:val="yellow"/>
          <w:lang w:val="en-US"/>
        </w:rPr>
        <w:t>,</w:t>
      </w:r>
      <w:r>
        <w:rPr>
          <w:rFonts w:ascii="Arial" w:hAnsi="Arial" w:cs="Arial"/>
          <w:lang w:val="en-US"/>
        </w:rPr>
        <w:t xml:space="preserve"> </w:t>
      </w:r>
      <w:r>
        <w:rPr>
          <w:rFonts w:ascii="Arial" w:hAnsi="Arial" w:cs="Arial"/>
          <w:highlight w:val="yellow"/>
          <w:lang w:val="en-US"/>
        </w:rPr>
        <w:t>pr</w:t>
      </w:r>
      <w:r>
        <w:rPr>
          <w:rFonts w:ascii="Arial" w:hAnsi="Arial" w:cs="Arial"/>
          <w:lang w:val="en-US"/>
        </w:rPr>
        <w:t>o</w:t>
      </w:r>
      <w:r>
        <w:rPr>
          <w:rFonts w:ascii="Arial" w:hAnsi="Arial" w:cs="Arial"/>
          <w:highlight w:val="yellow"/>
          <w:lang w:val="en-US"/>
        </w:rPr>
        <w:t>vid</w:t>
      </w:r>
      <w:r>
        <w:rPr>
          <w:rFonts w:ascii="Arial" w:hAnsi="Arial" w:cs="Arial"/>
          <w:lang w:val="en-US"/>
        </w:rPr>
        <w:t>ing a baseline for porcine models and comparative monogastric studies.</w:t>
      </w:r>
    </w:p>
    <w:p w14:paraId="182AC4B6" w14:textId="77777777" w:rsidR="00F80FA1" w:rsidRPr="00F80FA1" w:rsidRDefault="00F80FA1">
      <w:pPr>
        <w:spacing w:line="240" w:lineRule="auto"/>
        <w:ind w:left="0" w:firstLine="0"/>
        <w:jc w:val="both"/>
        <w:rPr>
          <w:rFonts w:ascii="Arial" w:hAnsi="Arial" w:cs="Arial"/>
          <w:b/>
          <w:lang w:val="en-US"/>
        </w:rPr>
      </w:pPr>
    </w:p>
    <w:p w14:paraId="3BC93A1B" w14:textId="77777777" w:rsidR="006231CE" w:rsidRDefault="006231CE">
      <w:pPr>
        <w:spacing w:line="240" w:lineRule="auto"/>
        <w:ind w:left="0" w:firstLine="0"/>
        <w:jc w:val="both"/>
        <w:rPr>
          <w:rFonts w:ascii="Arial" w:hAnsi="Arial" w:cs="Arial"/>
          <w:lang w:val="en-US"/>
        </w:rPr>
      </w:pPr>
      <w:r w:rsidRPr="00F80FA1">
        <w:rPr>
          <w:rFonts w:ascii="Arial" w:hAnsi="Arial" w:cs="Arial"/>
          <w:b/>
          <w:lang w:val="en-US"/>
        </w:rPr>
        <w:t>Key words:</w:t>
      </w:r>
      <w:r>
        <w:rPr>
          <w:rFonts w:ascii="Arial" w:hAnsi="Arial" w:cs="Arial"/>
          <w:lang w:val="en-US"/>
        </w:rPr>
        <w:t xml:space="preserve"> Indian domestic pig, Duodenum, Small intestine, Paneth cells</w:t>
      </w:r>
      <w:r w:rsidR="00175C23">
        <w:rPr>
          <w:rFonts w:ascii="Arial" w:hAnsi="Arial" w:cs="Arial"/>
          <w:lang w:val="en-US"/>
        </w:rPr>
        <w:t xml:space="preserve">, </w:t>
      </w:r>
      <w:r w:rsidR="00175C23" w:rsidRPr="00175C23">
        <w:rPr>
          <w:rFonts w:ascii="Arial" w:hAnsi="Arial" w:cs="Arial"/>
          <w:lang w:val="en-US"/>
        </w:rPr>
        <w:t>Brunner’s glands; goblet cells; intraepithelial lymphocytes; plicae circulares</w:t>
      </w:r>
    </w:p>
    <w:p w14:paraId="31C6FC4B" w14:textId="77777777" w:rsidR="000C12D0" w:rsidRPr="00651D2B" w:rsidRDefault="000C12D0">
      <w:pPr>
        <w:spacing w:line="240" w:lineRule="auto"/>
        <w:ind w:left="0" w:firstLine="0"/>
        <w:jc w:val="both"/>
        <w:rPr>
          <w:rFonts w:ascii="Arial" w:hAnsi="Arial" w:cs="Arial"/>
          <w:b/>
          <w:lang w:val="en-US"/>
        </w:rPr>
      </w:pPr>
    </w:p>
    <w:p w14:paraId="39C9A4F6" w14:textId="77777777" w:rsidR="00E40891" w:rsidRPr="00651D2B" w:rsidRDefault="00CB47E6">
      <w:pPr>
        <w:spacing w:line="240" w:lineRule="auto"/>
        <w:ind w:left="0" w:firstLine="0"/>
        <w:jc w:val="both"/>
        <w:rPr>
          <w:rFonts w:ascii="Arial" w:hAnsi="Arial" w:cs="Arial"/>
          <w:b/>
          <w:bCs/>
        </w:rPr>
      </w:pPr>
      <w:r>
        <w:rPr>
          <w:rFonts w:ascii="Arial" w:hAnsi="Arial" w:cs="Arial"/>
          <w:b/>
          <w:bCs/>
        </w:rPr>
        <w:t xml:space="preserve">1. </w:t>
      </w:r>
      <w:r w:rsidR="00651D2B">
        <w:rPr>
          <w:rFonts w:ascii="Arial" w:hAnsi="Arial" w:cs="Arial"/>
          <w:b/>
          <w:bCs/>
        </w:rPr>
        <w:t>INTRODUCTION</w:t>
      </w:r>
    </w:p>
    <w:p w14:paraId="07CA316F" w14:textId="77777777" w:rsidR="002C3139" w:rsidRPr="00330DD3" w:rsidRDefault="00A73A8B" w:rsidP="002C3139">
      <w:pPr>
        <w:spacing w:line="240" w:lineRule="auto"/>
        <w:ind w:left="0"/>
        <w:jc w:val="both"/>
        <w:rPr>
          <w:rFonts w:ascii="Arial" w:hAnsi="Arial" w:cs="Arial"/>
          <w:bCs/>
          <w:color w:val="000000" w:themeColor="text1"/>
        </w:rPr>
      </w:pPr>
      <w:r>
        <w:rPr>
          <w:rFonts w:ascii="Arial" w:hAnsi="Arial" w:cs="Arial"/>
        </w:rPr>
        <w:t xml:space="preserve">The porcine digestive system </w:t>
      </w:r>
      <w:r>
        <w:rPr>
          <w:rFonts w:ascii="Arial" w:hAnsi="Arial" w:cs="Arial"/>
          <w:highlight w:val="yellow"/>
        </w:rPr>
        <w:t>i</w:t>
      </w:r>
      <w:r>
        <w:rPr>
          <w:rFonts w:ascii="Arial" w:hAnsi="Arial" w:cs="Arial"/>
        </w:rPr>
        <w:t>s monogastric</w:t>
      </w:r>
      <w:r>
        <w:rPr>
          <w:rFonts w:ascii="Arial" w:hAnsi="Arial" w:cs="Arial"/>
          <w:highlight w:val="yellow"/>
        </w:rPr>
        <w:t>,</w:t>
      </w:r>
      <w:r>
        <w:rPr>
          <w:rFonts w:ascii="Arial" w:hAnsi="Arial" w:cs="Arial"/>
        </w:rPr>
        <w:t xml:space="preserve"> and</w:t>
      </w:r>
      <w:r>
        <w:rPr>
          <w:rFonts w:ascii="Arial" w:hAnsi="Arial" w:cs="Arial"/>
          <w:highlight w:val="yellow"/>
        </w:rPr>
        <w:t xml:space="preserve"> pigs are</w:t>
      </w:r>
      <w:r>
        <w:rPr>
          <w:rFonts w:ascii="Arial" w:hAnsi="Arial" w:cs="Arial"/>
        </w:rPr>
        <w:t xml:space="preserve"> omnivorous</w:t>
      </w:r>
      <w:r>
        <w:rPr>
          <w:rFonts w:ascii="Arial" w:hAnsi="Arial" w:cs="Arial"/>
          <w:highlight w:val="yellow"/>
        </w:rPr>
        <w:t>; accordingly,</w:t>
      </w:r>
      <w:r>
        <w:rPr>
          <w:rFonts w:ascii="Arial" w:hAnsi="Arial" w:cs="Arial"/>
        </w:rPr>
        <w:t xml:space="preserve"> t</w:t>
      </w:r>
      <w:r>
        <w:rPr>
          <w:rFonts w:ascii="Arial" w:hAnsi="Arial" w:cs="Arial"/>
          <w:highlight w:val="yellow"/>
        </w:rPr>
        <w:t>he</w:t>
      </w:r>
      <w:r>
        <w:rPr>
          <w:rFonts w:ascii="Arial" w:hAnsi="Arial" w:cs="Arial"/>
        </w:rPr>
        <w:t>y</w:t>
      </w:r>
      <w:r>
        <w:rPr>
          <w:rFonts w:ascii="Arial" w:hAnsi="Arial" w:cs="Arial"/>
          <w:highlight w:val="yellow"/>
        </w:rPr>
        <w:t xml:space="preserve"> ar</w:t>
      </w:r>
      <w:r>
        <w:rPr>
          <w:rFonts w:ascii="Arial" w:hAnsi="Arial" w:cs="Arial"/>
        </w:rPr>
        <w:t>e used as a preferred large</w:t>
      </w:r>
      <w:r>
        <w:rPr>
          <w:rFonts w:ascii="Arial" w:hAnsi="Arial" w:cs="Arial"/>
          <w:highlight w:val="yellow"/>
        </w:rPr>
        <w:t>-</w:t>
      </w:r>
      <w:r>
        <w:rPr>
          <w:rFonts w:ascii="Arial" w:hAnsi="Arial" w:cs="Arial"/>
        </w:rPr>
        <w:t xml:space="preserve">animal model for preclinical translational research </w:t>
      </w:r>
      <w:r>
        <w:rPr>
          <w:rFonts w:ascii="Arial" w:hAnsi="Arial" w:cs="Arial"/>
          <w:highlight w:val="yellow"/>
        </w:rPr>
        <w:t xml:space="preserve">on intestinal diseases </w:t>
      </w:r>
      <w:r>
        <w:rPr>
          <w:rFonts w:ascii="Arial" w:hAnsi="Arial" w:cs="Arial"/>
        </w:rPr>
        <w:t>(Kararli</w:t>
      </w:r>
      <w:r>
        <w:rPr>
          <w:rFonts w:ascii="Arial" w:hAnsi="Arial" w:cs="Arial"/>
          <w:b/>
          <w:bCs/>
        </w:rPr>
        <w:t>,</w:t>
      </w:r>
      <w:r>
        <w:rPr>
          <w:rFonts w:ascii="Arial" w:hAnsi="Arial" w:cs="Arial"/>
        </w:rPr>
        <w:t xml:space="preserve"> 1995; Schaaf</w:t>
      </w:r>
      <w:r>
        <w:rPr>
          <w:rFonts w:ascii="Arial" w:hAnsi="Arial" w:cs="Arial"/>
          <w:highlight w:val="yellow"/>
        </w:rPr>
        <w:t xml:space="preserve"> &amp;</w:t>
      </w:r>
      <w:r>
        <w:rPr>
          <w:rFonts w:ascii="Arial" w:hAnsi="Arial" w:cs="Arial"/>
        </w:rPr>
        <w:t xml:space="preserve"> Gonzalez</w:t>
      </w:r>
      <w:r>
        <w:rPr>
          <w:rFonts w:ascii="Arial" w:hAnsi="Arial" w:cs="Arial"/>
          <w:i/>
          <w:iCs/>
        </w:rPr>
        <w:t xml:space="preserve">, </w:t>
      </w:r>
      <w:r>
        <w:rPr>
          <w:rFonts w:ascii="Arial" w:hAnsi="Arial" w:cs="Arial"/>
        </w:rPr>
        <w:t>2022).</w:t>
      </w:r>
      <w:r>
        <w:rPr>
          <w:rFonts w:ascii="Arial" w:hAnsi="Arial" w:cs="Arial"/>
          <w:bCs/>
          <w:color w:val="000000" w:themeColor="text1"/>
          <w:highlight w:val="yellow"/>
        </w:rPr>
        <w:t xml:space="preserve"> </w:t>
      </w:r>
      <w:r>
        <w:rPr>
          <w:rFonts w:ascii="Arial" w:hAnsi="Arial" w:cs="Arial"/>
          <w:bCs/>
          <w:color w:val="000000" w:themeColor="text1"/>
        </w:rPr>
        <w:t>During</w:t>
      </w:r>
      <w:r>
        <w:rPr>
          <w:rFonts w:ascii="Arial" w:hAnsi="Arial" w:cs="Arial"/>
          <w:bCs/>
          <w:color w:val="000000" w:themeColor="text1"/>
          <w:highlight w:val="yellow"/>
        </w:rPr>
        <w:t xml:space="preserve"> the</w:t>
      </w:r>
      <w:r>
        <w:rPr>
          <w:rFonts w:ascii="Arial" w:hAnsi="Arial" w:cs="Arial"/>
          <w:bCs/>
          <w:color w:val="000000" w:themeColor="text1"/>
        </w:rPr>
        <w:t xml:space="preserve"> postnatal period, the gastrointestinal tract of the </w:t>
      </w:r>
      <w:r w:rsidRPr="00330DD3">
        <w:rPr>
          <w:rFonts w:ascii="Arial" w:hAnsi="Arial" w:cs="Arial"/>
          <w:bCs/>
          <w:color w:val="000000" w:themeColor="text1"/>
        </w:rPr>
        <w:t xml:space="preserve">neonatal pig encounters numerous challenges and severe stress, mainly at birth and weaning (Xu </w:t>
      </w:r>
      <w:r w:rsidRPr="00330DD3">
        <w:rPr>
          <w:rFonts w:ascii="Arial" w:hAnsi="Arial" w:cs="Arial"/>
          <w:bCs/>
          <w:i/>
          <w:iCs/>
          <w:color w:val="000000" w:themeColor="text1"/>
        </w:rPr>
        <w:t>et al</w:t>
      </w:r>
      <w:r w:rsidRPr="00330DD3">
        <w:rPr>
          <w:rFonts w:ascii="Arial" w:hAnsi="Arial" w:cs="Arial"/>
          <w:bCs/>
          <w:color w:val="000000" w:themeColor="text1"/>
        </w:rPr>
        <w:t xml:space="preserve">., 2000). The early growth stage is </w:t>
      </w:r>
      <w:r w:rsidRPr="00330DD3">
        <w:rPr>
          <w:rFonts w:ascii="Arial" w:hAnsi="Arial" w:cs="Arial"/>
          <w:bCs/>
          <w:color w:val="000000" w:themeColor="text1"/>
          <w:highlight w:val="yellow"/>
        </w:rPr>
        <w:t>a</w:t>
      </w:r>
      <w:r w:rsidRPr="00330DD3">
        <w:rPr>
          <w:rFonts w:ascii="Arial" w:hAnsi="Arial" w:cs="Arial"/>
          <w:bCs/>
          <w:color w:val="000000" w:themeColor="text1"/>
        </w:rPr>
        <w:t xml:space="preserve"> crucial period for major</w:t>
      </w:r>
      <w:r w:rsidRPr="00330DD3">
        <w:rPr>
          <w:rFonts w:ascii="Arial" w:hAnsi="Arial" w:cs="Arial"/>
          <w:bCs/>
          <w:color w:val="000000" w:themeColor="text1"/>
          <w:highlight w:val="yellow"/>
        </w:rPr>
        <w:t xml:space="preserve"> intestinal</w:t>
      </w:r>
      <w:r w:rsidRPr="00330DD3">
        <w:rPr>
          <w:rFonts w:ascii="Arial" w:hAnsi="Arial" w:cs="Arial"/>
          <w:bCs/>
          <w:color w:val="000000" w:themeColor="text1"/>
        </w:rPr>
        <w:t xml:space="preserve"> growth and development in</w:t>
      </w:r>
      <w:r w:rsidRPr="00330DD3">
        <w:rPr>
          <w:rFonts w:ascii="Arial" w:hAnsi="Arial" w:cs="Arial"/>
          <w:bCs/>
          <w:color w:val="000000" w:themeColor="text1"/>
          <w:highlight w:val="yellow"/>
        </w:rPr>
        <w:t xml:space="preserve"> pigle</w:t>
      </w:r>
      <w:r w:rsidRPr="00330DD3">
        <w:rPr>
          <w:rFonts w:ascii="Arial" w:hAnsi="Arial" w:cs="Arial"/>
          <w:bCs/>
          <w:color w:val="000000" w:themeColor="text1"/>
        </w:rPr>
        <w:t xml:space="preserve">ts (Hao </w:t>
      </w:r>
      <w:r w:rsidRPr="00330DD3">
        <w:rPr>
          <w:rFonts w:ascii="Arial" w:hAnsi="Arial" w:cs="Arial"/>
          <w:bCs/>
          <w:i/>
          <w:iCs/>
          <w:color w:val="000000" w:themeColor="text1"/>
        </w:rPr>
        <w:t>et al.,</w:t>
      </w:r>
      <w:r w:rsidRPr="00330DD3">
        <w:rPr>
          <w:rFonts w:ascii="Arial" w:hAnsi="Arial" w:cs="Arial"/>
          <w:bCs/>
          <w:color w:val="000000" w:themeColor="text1"/>
        </w:rPr>
        <w:t xml:space="preserve"> 2021). </w:t>
      </w:r>
      <w:r w:rsidRPr="00330DD3">
        <w:rPr>
          <w:rFonts w:ascii="Arial" w:hAnsi="Arial" w:cs="Arial"/>
          <w:bCs/>
          <w:color w:val="000000" w:themeColor="text1"/>
          <w:highlight w:val="yellow"/>
        </w:rPr>
        <w:t>Ch</w:t>
      </w:r>
      <w:r w:rsidRPr="00330DD3">
        <w:rPr>
          <w:rFonts w:ascii="Arial" w:hAnsi="Arial" w:cs="Arial"/>
          <w:bCs/>
          <w:color w:val="000000" w:themeColor="text1"/>
        </w:rPr>
        <w:t>an</w:t>
      </w:r>
      <w:r w:rsidRPr="00330DD3">
        <w:rPr>
          <w:rFonts w:ascii="Arial" w:hAnsi="Arial" w:cs="Arial"/>
          <w:bCs/>
          <w:color w:val="000000" w:themeColor="text1"/>
          <w:highlight w:val="yellow"/>
        </w:rPr>
        <w:t>ge</w:t>
      </w:r>
      <w:r w:rsidRPr="00330DD3">
        <w:rPr>
          <w:rFonts w:ascii="Arial" w:hAnsi="Arial" w:cs="Arial"/>
          <w:bCs/>
          <w:color w:val="000000" w:themeColor="text1"/>
        </w:rPr>
        <w:t xml:space="preserve">s </w:t>
      </w:r>
      <w:r w:rsidRPr="00330DD3">
        <w:rPr>
          <w:rFonts w:ascii="Arial" w:hAnsi="Arial" w:cs="Arial"/>
          <w:bCs/>
          <w:color w:val="000000" w:themeColor="text1"/>
          <w:highlight w:val="yellow"/>
        </w:rPr>
        <w:t>in</w:t>
      </w:r>
      <w:r w:rsidRPr="00330DD3">
        <w:rPr>
          <w:rFonts w:ascii="Arial" w:hAnsi="Arial" w:cs="Arial"/>
          <w:bCs/>
          <w:color w:val="000000" w:themeColor="text1"/>
        </w:rPr>
        <w:t xml:space="preserve"> gut mucosal architecture </w:t>
      </w:r>
      <w:r w:rsidRPr="00330DD3">
        <w:rPr>
          <w:rFonts w:ascii="Arial" w:hAnsi="Arial" w:cs="Arial"/>
          <w:bCs/>
          <w:color w:val="000000" w:themeColor="text1"/>
          <w:highlight w:val="yellow"/>
        </w:rPr>
        <w:t xml:space="preserve">are </w:t>
      </w:r>
      <w:r w:rsidRPr="00330DD3">
        <w:rPr>
          <w:rFonts w:ascii="Arial" w:hAnsi="Arial" w:cs="Arial"/>
          <w:bCs/>
          <w:color w:val="000000" w:themeColor="text1"/>
        </w:rPr>
        <w:t>often</w:t>
      </w:r>
      <w:r w:rsidRPr="00330DD3">
        <w:rPr>
          <w:rFonts w:ascii="Arial" w:hAnsi="Arial" w:cs="Arial"/>
          <w:bCs/>
          <w:color w:val="000000" w:themeColor="text1"/>
          <w:highlight w:val="yellow"/>
        </w:rPr>
        <w:t xml:space="preserve"> used to</w:t>
      </w:r>
      <w:r w:rsidRPr="00330DD3">
        <w:rPr>
          <w:rFonts w:ascii="Arial" w:hAnsi="Arial" w:cs="Arial"/>
          <w:bCs/>
          <w:color w:val="000000" w:themeColor="text1"/>
        </w:rPr>
        <w:t xml:space="preserve"> evaluate digestive function, notably during development or interactions with food components (Skrzypek</w:t>
      </w:r>
      <w:r w:rsidRPr="00330DD3">
        <w:rPr>
          <w:rFonts w:ascii="Arial" w:hAnsi="Arial" w:cs="Arial"/>
          <w:bCs/>
          <w:i/>
          <w:iCs/>
          <w:color w:val="000000" w:themeColor="text1"/>
          <w:highlight w:val="yellow"/>
        </w:rPr>
        <w:t xml:space="preserve"> </w:t>
      </w:r>
      <w:r w:rsidRPr="00330DD3">
        <w:rPr>
          <w:rFonts w:ascii="Arial" w:hAnsi="Arial" w:cs="Arial"/>
          <w:bCs/>
          <w:i/>
          <w:iCs/>
          <w:color w:val="000000" w:themeColor="text1"/>
        </w:rPr>
        <w:t xml:space="preserve">et al., </w:t>
      </w:r>
      <w:r w:rsidRPr="00330DD3">
        <w:rPr>
          <w:rFonts w:ascii="Arial" w:hAnsi="Arial" w:cs="Arial"/>
          <w:bCs/>
          <w:color w:val="000000" w:themeColor="text1"/>
        </w:rPr>
        <w:t>2005</w:t>
      </w:r>
      <w:r w:rsidRPr="00330DD3">
        <w:rPr>
          <w:rFonts w:ascii="Arial" w:hAnsi="Arial" w:cs="Arial"/>
          <w:bCs/>
          <w:color w:val="000000" w:themeColor="text1"/>
          <w:highlight w:val="yellow"/>
        </w:rPr>
        <w:t>, 2010</w:t>
      </w:r>
      <w:r w:rsidRPr="00330DD3">
        <w:rPr>
          <w:rFonts w:ascii="Arial" w:hAnsi="Arial" w:cs="Arial"/>
          <w:bCs/>
          <w:color w:val="000000" w:themeColor="text1"/>
        </w:rPr>
        <w:t>).</w:t>
      </w:r>
    </w:p>
    <w:p w14:paraId="72D72E69" w14:textId="77777777" w:rsidR="00640346" w:rsidRPr="00330DD3" w:rsidRDefault="00000000">
      <w:pPr>
        <w:spacing w:line="240" w:lineRule="auto"/>
        <w:ind w:left="0"/>
        <w:jc w:val="both"/>
        <w:rPr>
          <w:bCs/>
        </w:rPr>
      </w:pPr>
      <w:r w:rsidRPr="00330DD3">
        <w:rPr>
          <w:rFonts w:ascii="Arial" w:hAnsi="Arial"/>
          <w:bCs/>
          <w:highlight w:val="yellow"/>
        </w:rPr>
        <w:t>Recent gross-morphometrical evidence in Indian domestic pigs has likewise documented progressive age-related enlargement of the small-intestinal segments across postnatal groups (Gayathri et al., 2026).</w:t>
      </w:r>
    </w:p>
    <w:p w14:paraId="441C7019" w14:textId="77777777" w:rsidR="002C3139" w:rsidRPr="00330DD3" w:rsidRDefault="002C3139" w:rsidP="002C3139">
      <w:pPr>
        <w:spacing w:line="240" w:lineRule="auto"/>
        <w:ind w:left="0"/>
        <w:jc w:val="both"/>
        <w:rPr>
          <w:rFonts w:ascii="Arial" w:hAnsi="Arial" w:cs="Arial"/>
          <w:bCs/>
          <w:color w:val="000000" w:themeColor="text1"/>
          <w:lang w:val="en-US"/>
        </w:rPr>
      </w:pPr>
      <w:r w:rsidRPr="00330DD3">
        <w:rPr>
          <w:rFonts w:ascii="Arial" w:hAnsi="Arial" w:cs="Arial"/>
          <w:bCs/>
          <w:lang w:val="en-US"/>
        </w:rPr>
        <w:lastRenderedPageBreak/>
        <w:t xml:space="preserve">Histologically, the villi are lined by enterocytes whose brush border membrane (striated border) </w:t>
      </w:r>
      <w:r w:rsidRPr="00330DD3">
        <w:rPr>
          <w:rFonts w:ascii="Arial" w:hAnsi="Arial" w:cs="Arial"/>
          <w:bCs/>
          <w:highlight w:val="yellow"/>
          <w:lang w:val="en-US"/>
        </w:rPr>
        <w:t>form</w:t>
      </w:r>
      <w:r w:rsidRPr="00330DD3">
        <w:rPr>
          <w:rFonts w:ascii="Arial" w:hAnsi="Arial" w:cs="Arial"/>
          <w:bCs/>
          <w:lang w:val="en-US"/>
        </w:rPr>
        <w:t>s the apical surface of the intestinal epithelial cells</w:t>
      </w:r>
      <w:r w:rsidRPr="00330DD3">
        <w:rPr>
          <w:rFonts w:ascii="Arial" w:hAnsi="Arial" w:cs="Arial"/>
          <w:bCs/>
          <w:highlight w:val="yellow"/>
          <w:lang w:val="en-US"/>
        </w:rPr>
        <w:t xml:space="preserve"> and is</w:t>
      </w:r>
      <w:r w:rsidRPr="00330DD3">
        <w:rPr>
          <w:rFonts w:ascii="Arial" w:hAnsi="Arial" w:cs="Arial"/>
          <w:bCs/>
          <w:lang w:val="en-US"/>
        </w:rPr>
        <w:t xml:space="preserve"> covered with microvilli. These microvilli further amplify the absorptive surface area and contain a variety of digestive enzymes crucial for the final stages of nutrient digestion. This structural speciali</w:t>
      </w:r>
      <w:r w:rsidRPr="00330DD3">
        <w:rPr>
          <w:rFonts w:ascii="Arial" w:hAnsi="Arial" w:cs="Arial"/>
          <w:bCs/>
          <w:highlight w:val="yellow"/>
          <w:lang w:val="en-US"/>
        </w:rPr>
        <w:t>s</w:t>
      </w:r>
      <w:r w:rsidRPr="00330DD3">
        <w:rPr>
          <w:rFonts w:ascii="Arial" w:hAnsi="Arial" w:cs="Arial"/>
          <w:bCs/>
          <w:lang w:val="en-US"/>
        </w:rPr>
        <w:t>ation enhances the intestine’s ability to hydroly</w:t>
      </w:r>
      <w:r w:rsidRPr="00330DD3">
        <w:rPr>
          <w:rFonts w:ascii="Arial" w:hAnsi="Arial" w:cs="Arial"/>
          <w:bCs/>
          <w:highlight w:val="yellow"/>
          <w:lang w:val="en-US"/>
        </w:rPr>
        <w:t>s</w:t>
      </w:r>
      <w:r w:rsidRPr="00330DD3">
        <w:rPr>
          <w:rFonts w:ascii="Arial" w:hAnsi="Arial" w:cs="Arial"/>
          <w:bCs/>
          <w:lang w:val="en-US"/>
        </w:rPr>
        <w:t xml:space="preserve">e and absorb nutrients effectively (Tsukahara </w:t>
      </w:r>
      <w:r w:rsidRPr="00330DD3">
        <w:rPr>
          <w:rFonts w:ascii="Arial" w:hAnsi="Arial" w:cs="Arial"/>
          <w:bCs/>
          <w:i/>
          <w:iCs/>
          <w:lang w:val="en-US"/>
        </w:rPr>
        <w:t>et al.,</w:t>
      </w:r>
      <w:r w:rsidRPr="00330DD3">
        <w:rPr>
          <w:rFonts w:ascii="Arial" w:hAnsi="Arial" w:cs="Arial"/>
          <w:bCs/>
          <w:lang w:val="en-US"/>
        </w:rPr>
        <w:t xml:space="preserve"> 2013).</w:t>
      </w:r>
    </w:p>
    <w:p w14:paraId="120555F6" w14:textId="77777777" w:rsidR="00E40891" w:rsidRPr="00330DD3" w:rsidRDefault="002C3139" w:rsidP="00B841A3">
      <w:pPr>
        <w:spacing w:line="240" w:lineRule="auto"/>
        <w:ind w:left="0"/>
        <w:jc w:val="both"/>
        <w:rPr>
          <w:rFonts w:ascii="Arial" w:hAnsi="Arial" w:cs="Arial"/>
          <w:bCs/>
        </w:rPr>
      </w:pPr>
      <w:r w:rsidRPr="00330DD3">
        <w:rPr>
          <w:rFonts w:ascii="Arial" w:hAnsi="Arial" w:cs="Arial"/>
          <w:bCs/>
        </w:rPr>
        <w:t>The mucosa of the pig small intestine was lined by simple columnar epithelium with numerous goblet cells dispersed among the epitheli</w:t>
      </w:r>
      <w:r w:rsidRPr="00330DD3">
        <w:rPr>
          <w:rFonts w:ascii="Arial" w:hAnsi="Arial" w:cs="Arial"/>
          <w:bCs/>
          <w:highlight w:val="yellow"/>
        </w:rPr>
        <w:t>al cells</w:t>
      </w:r>
      <w:r w:rsidRPr="00330DD3">
        <w:rPr>
          <w:rFonts w:ascii="Arial" w:hAnsi="Arial" w:cs="Arial"/>
          <w:bCs/>
        </w:rPr>
        <w:t xml:space="preserve">. Pyramidal-shaped Paneth cells with round or oval nuclei were observed at the base and neck regions of the crypts (Singh </w:t>
      </w:r>
      <w:r w:rsidRPr="00330DD3">
        <w:rPr>
          <w:rFonts w:ascii="Arial" w:hAnsi="Arial" w:cs="Arial"/>
          <w:bCs/>
          <w:i/>
          <w:iCs/>
        </w:rPr>
        <w:t xml:space="preserve">et al., </w:t>
      </w:r>
      <w:r w:rsidRPr="00330DD3">
        <w:rPr>
          <w:rFonts w:ascii="Arial" w:hAnsi="Arial" w:cs="Arial"/>
          <w:bCs/>
        </w:rPr>
        <w:t>2021).</w:t>
      </w:r>
      <w:r w:rsidRPr="00330DD3">
        <w:rPr>
          <w:rFonts w:ascii="Arial" w:hAnsi="Arial" w:cs="Arial"/>
          <w:bCs/>
          <w:highlight w:val="yellow"/>
        </w:rPr>
        <w:t xml:space="preserve"> </w:t>
      </w:r>
      <w:r w:rsidRPr="00330DD3">
        <w:rPr>
          <w:rFonts w:ascii="Arial" w:hAnsi="Arial" w:cs="Arial"/>
          <w:bCs/>
        </w:rPr>
        <w:t xml:space="preserve">In eutherian mammals, the duodenal or Brunner’s glands represent a distinctive feature, residing within the submucosa of </w:t>
      </w:r>
      <w:r w:rsidRPr="00330DD3">
        <w:rPr>
          <w:rFonts w:ascii="Arial" w:hAnsi="Arial" w:cs="Arial"/>
          <w:bCs/>
          <w:highlight w:val="yellow"/>
        </w:rPr>
        <w:t xml:space="preserve">the </w:t>
      </w:r>
      <w:r w:rsidRPr="00330DD3">
        <w:rPr>
          <w:rFonts w:ascii="Arial" w:hAnsi="Arial" w:cs="Arial"/>
          <w:bCs/>
        </w:rPr>
        <w:t>proximal duodenum. These glands originate immediately distal to the pyloric sphincter</w:t>
      </w:r>
      <w:r w:rsidRPr="00330DD3">
        <w:rPr>
          <w:rFonts w:ascii="Arial" w:hAnsi="Arial" w:cs="Arial"/>
          <w:bCs/>
          <w:highlight w:val="yellow"/>
        </w:rPr>
        <w:t xml:space="preserve"> and</w:t>
      </w:r>
      <w:r w:rsidRPr="00330DD3">
        <w:rPr>
          <w:rFonts w:ascii="Arial" w:hAnsi="Arial" w:cs="Arial"/>
          <w:bCs/>
        </w:rPr>
        <w:t xml:space="preserve"> extend with variable distribution along the length of the duodenum from </w:t>
      </w:r>
      <w:r w:rsidRPr="00330DD3">
        <w:rPr>
          <w:rFonts w:ascii="Arial" w:hAnsi="Arial" w:cs="Arial"/>
          <w:bCs/>
          <w:highlight w:val="yellow"/>
        </w:rPr>
        <w:t xml:space="preserve">the </w:t>
      </w:r>
      <w:r w:rsidRPr="00330DD3">
        <w:rPr>
          <w:rFonts w:ascii="Arial" w:hAnsi="Arial" w:cs="Arial"/>
          <w:bCs/>
        </w:rPr>
        <w:t>proximal to</w:t>
      </w:r>
      <w:r w:rsidRPr="00330DD3">
        <w:rPr>
          <w:rFonts w:ascii="Arial" w:hAnsi="Arial" w:cs="Arial"/>
          <w:bCs/>
          <w:highlight w:val="yellow"/>
        </w:rPr>
        <w:t xml:space="preserve"> the</w:t>
      </w:r>
      <w:r w:rsidRPr="00330DD3">
        <w:rPr>
          <w:rFonts w:ascii="Arial" w:hAnsi="Arial" w:cs="Arial"/>
          <w:bCs/>
        </w:rPr>
        <w:t xml:space="preserve"> distal end. Their ducts typically open directly into the intestinal lumen or merge with the overlying crypts of Lieberkuhn. The glands</w:t>
      </w:r>
      <w:r w:rsidRPr="00330DD3">
        <w:rPr>
          <w:rFonts w:ascii="Arial" w:hAnsi="Arial" w:cs="Arial"/>
          <w:bCs/>
          <w:highlight w:val="yellow"/>
        </w:rPr>
        <w:t>,</w:t>
      </w:r>
      <w:r w:rsidRPr="00330DD3">
        <w:rPr>
          <w:rFonts w:ascii="Arial" w:hAnsi="Arial" w:cs="Arial"/>
          <w:bCs/>
        </w:rPr>
        <w:t xml:space="preserve"> which are chiefly populated by mucin-secreting cells</w:t>
      </w:r>
      <w:r w:rsidRPr="00330DD3">
        <w:rPr>
          <w:rFonts w:ascii="Arial" w:hAnsi="Arial" w:cs="Arial"/>
          <w:bCs/>
          <w:highlight w:val="yellow"/>
        </w:rPr>
        <w:t>,</w:t>
      </w:r>
      <w:r w:rsidRPr="00330DD3">
        <w:rPr>
          <w:rFonts w:ascii="Arial" w:hAnsi="Arial" w:cs="Arial"/>
          <w:bCs/>
        </w:rPr>
        <w:t xml:space="preserve"> provide</w:t>
      </w:r>
      <w:r w:rsidRPr="00330DD3">
        <w:rPr>
          <w:rFonts w:ascii="Arial" w:hAnsi="Arial" w:cs="Arial"/>
          <w:bCs/>
          <w:highlight w:val="yellow"/>
        </w:rPr>
        <w:t xml:space="preserve"> a</w:t>
      </w:r>
      <w:r w:rsidRPr="00330DD3">
        <w:rPr>
          <w:rFonts w:ascii="Arial" w:hAnsi="Arial" w:cs="Arial"/>
          <w:bCs/>
        </w:rPr>
        <w:t xml:space="preserve"> viscoelastic mucous layer that coats and lubricates </w:t>
      </w:r>
      <w:r w:rsidRPr="00330DD3">
        <w:rPr>
          <w:rFonts w:ascii="Arial" w:hAnsi="Arial" w:cs="Arial"/>
          <w:bCs/>
          <w:highlight w:val="yellow"/>
        </w:rPr>
        <w:t xml:space="preserve">the surface </w:t>
      </w:r>
      <w:r w:rsidRPr="00330DD3">
        <w:rPr>
          <w:rFonts w:ascii="Arial" w:hAnsi="Arial" w:cs="Arial"/>
          <w:bCs/>
        </w:rPr>
        <w:t>(Krause, 2000).</w:t>
      </w:r>
      <w:r w:rsidRPr="00330DD3">
        <w:rPr>
          <w:rFonts w:ascii="Arial" w:hAnsi="Arial" w:cs="Arial"/>
          <w:bCs/>
          <w:highlight w:val="yellow"/>
        </w:rPr>
        <w:t xml:space="preserve"> </w:t>
      </w:r>
      <w:r w:rsidRPr="00330DD3">
        <w:rPr>
          <w:rFonts w:ascii="Arial" w:hAnsi="Arial" w:cs="Arial"/>
          <w:bCs/>
        </w:rPr>
        <w:t>The first line of defence against pathogens is the mucous layer covering the intestine,</w:t>
      </w:r>
      <w:r w:rsidRPr="00330DD3">
        <w:rPr>
          <w:rFonts w:ascii="Arial" w:hAnsi="Arial" w:cs="Arial"/>
          <w:bCs/>
          <w:highlight w:val="yellow"/>
        </w:rPr>
        <w:t xml:space="preserve"> which</w:t>
      </w:r>
      <w:r w:rsidRPr="00330DD3">
        <w:rPr>
          <w:rFonts w:ascii="Arial" w:hAnsi="Arial" w:cs="Arial"/>
          <w:bCs/>
        </w:rPr>
        <w:t xml:space="preserve"> consists of mucins and glycoproteins secreted by goblet cells a</w:t>
      </w:r>
      <w:r w:rsidRPr="00330DD3">
        <w:rPr>
          <w:rFonts w:ascii="Arial" w:hAnsi="Arial" w:cs="Arial"/>
          <w:bCs/>
          <w:highlight w:val="yellow"/>
        </w:rPr>
        <w:t>nd act</w:t>
      </w:r>
      <w:r w:rsidRPr="00330DD3">
        <w:rPr>
          <w:rFonts w:ascii="Arial" w:hAnsi="Arial" w:cs="Arial"/>
          <w:bCs/>
        </w:rPr>
        <w:t>s a</w:t>
      </w:r>
      <w:r w:rsidRPr="00330DD3">
        <w:rPr>
          <w:rFonts w:ascii="Arial" w:hAnsi="Arial" w:cs="Arial"/>
          <w:bCs/>
          <w:highlight w:val="yellow"/>
        </w:rPr>
        <w:t>s a mucosal</w:t>
      </w:r>
      <w:r w:rsidRPr="00330DD3">
        <w:rPr>
          <w:rFonts w:ascii="Arial" w:hAnsi="Arial" w:cs="Arial"/>
          <w:bCs/>
        </w:rPr>
        <w:t xml:space="preserve"> surfactant or protective barrier (Barszcz </w:t>
      </w:r>
      <w:r w:rsidRPr="00330DD3">
        <w:rPr>
          <w:rFonts w:ascii="Arial" w:hAnsi="Arial" w:cs="Arial"/>
          <w:bCs/>
          <w:highlight w:val="yellow"/>
        </w:rPr>
        <w:t>&amp;</w:t>
      </w:r>
      <w:r w:rsidRPr="00330DD3">
        <w:rPr>
          <w:rFonts w:ascii="Arial" w:hAnsi="Arial" w:cs="Arial"/>
          <w:bCs/>
        </w:rPr>
        <w:t xml:space="preserve"> Skomia</w:t>
      </w:r>
      <w:r w:rsidRPr="00330DD3">
        <w:rPr>
          <w:rFonts w:ascii="Arial" w:hAnsi="Arial" w:cs="Arial"/>
          <w:bCs/>
          <w:highlight w:val="yellow"/>
        </w:rPr>
        <w:t>ł</w:t>
      </w:r>
      <w:r w:rsidRPr="00330DD3">
        <w:rPr>
          <w:rFonts w:ascii="Arial" w:hAnsi="Arial" w:cs="Arial"/>
          <w:bCs/>
        </w:rPr>
        <w:t>, 2011).</w:t>
      </w:r>
    </w:p>
    <w:p w14:paraId="71BF80E7" w14:textId="77777777" w:rsidR="00640346" w:rsidRPr="00330DD3" w:rsidRDefault="00000000">
      <w:pPr>
        <w:spacing w:line="240" w:lineRule="auto"/>
        <w:ind w:left="0"/>
        <w:jc w:val="both"/>
        <w:rPr>
          <w:bCs/>
        </w:rPr>
      </w:pPr>
      <w:r w:rsidRPr="00330DD3">
        <w:rPr>
          <w:rFonts w:ascii="Arial" w:hAnsi="Arial"/>
          <w:bCs/>
          <w:highlight w:val="yellow"/>
        </w:rPr>
        <w:t>Recent quantitative histopathology of piglets from multiple age groups has further demonstrated age-associated heterogeneity in intestinal wall morphology, particularly in younger animals with immature tissue architecture (Becker et al., 2025).</w:t>
      </w:r>
    </w:p>
    <w:p w14:paraId="5AC10325" w14:textId="77777777" w:rsidR="00640346" w:rsidRPr="00330DD3" w:rsidRDefault="00000000">
      <w:pPr>
        <w:spacing w:line="240" w:lineRule="auto"/>
        <w:ind w:left="0"/>
        <w:jc w:val="both"/>
        <w:rPr>
          <w:bCs/>
        </w:rPr>
      </w:pPr>
      <w:r w:rsidRPr="00330DD3">
        <w:rPr>
          <w:rFonts w:ascii="Arial" w:hAnsi="Arial"/>
          <w:bCs/>
          <w:highlight w:val="yellow"/>
        </w:rPr>
        <w:t>Recent work has also shown age-dependent variation in porcine Paneth-cell abundance, with these cells occurring predominantly in the duodenum and increasing during postnatal growth (Cui et al., 2026).</w:t>
      </w:r>
    </w:p>
    <w:p w14:paraId="39A28B91" w14:textId="77777777" w:rsidR="00640346" w:rsidRPr="00330DD3" w:rsidRDefault="00000000">
      <w:pPr>
        <w:spacing w:line="240" w:lineRule="auto"/>
        <w:ind w:left="0"/>
        <w:jc w:val="both"/>
        <w:rPr>
          <w:bCs/>
        </w:rPr>
      </w:pPr>
      <w:r w:rsidRPr="00330DD3">
        <w:rPr>
          <w:rFonts w:ascii="Arial" w:hAnsi="Arial"/>
          <w:bCs/>
          <w:highlight w:val="yellow"/>
        </w:rPr>
        <w:t>Despite these advances, detailed descriptive information on age-related histological maturation of the duodenum in Indian domestic pigs remains limited, particularly for coordinated changes in villous architecture, mucosal cell populations, Brunner’s glands, connective tissue fibres, and the muscular layers across distinct postnatal stages.</w:t>
      </w:r>
    </w:p>
    <w:p w14:paraId="2BD10D72" w14:textId="77777777" w:rsidR="00640346" w:rsidRPr="00330DD3" w:rsidRDefault="00000000">
      <w:pPr>
        <w:spacing w:line="240" w:lineRule="auto"/>
        <w:ind w:left="0"/>
        <w:jc w:val="both"/>
        <w:rPr>
          <w:bCs/>
        </w:rPr>
      </w:pPr>
      <w:r w:rsidRPr="00330DD3">
        <w:rPr>
          <w:rFonts w:ascii="Arial" w:hAnsi="Arial"/>
          <w:bCs/>
          <w:highlight w:val="yellow"/>
        </w:rPr>
        <w:t>Objective: The present study aimed to characterize the histological changes in the duodenum of Indian domestic pigs across defined postnatal developmental stages, with emphasis on age-associated maturation of the mucosa, submucosa, muscularis, and serosa.</w:t>
      </w:r>
    </w:p>
    <w:p w14:paraId="0DFDAB1B" w14:textId="77777777" w:rsidR="000F4706" w:rsidRPr="00330DD3" w:rsidRDefault="000F4706" w:rsidP="00B841A3">
      <w:pPr>
        <w:spacing w:line="240" w:lineRule="auto"/>
        <w:ind w:left="0"/>
        <w:jc w:val="both"/>
        <w:rPr>
          <w:rFonts w:ascii="Arial" w:hAnsi="Arial" w:cs="Arial"/>
          <w:bCs/>
        </w:rPr>
      </w:pPr>
    </w:p>
    <w:p w14:paraId="5799D25F" w14:textId="77777777" w:rsidR="00E40891" w:rsidRPr="00651D2B" w:rsidRDefault="00CB47E6">
      <w:pPr>
        <w:spacing w:line="240" w:lineRule="auto"/>
        <w:ind w:left="0" w:firstLine="0"/>
        <w:jc w:val="both"/>
        <w:rPr>
          <w:rFonts w:ascii="Arial" w:hAnsi="Arial" w:cs="Arial"/>
        </w:rPr>
      </w:pPr>
      <w:r>
        <w:rPr>
          <w:rFonts w:ascii="Arial" w:hAnsi="Arial" w:cs="Arial"/>
          <w:b/>
          <w:bCs/>
        </w:rPr>
        <w:t xml:space="preserve">2. </w:t>
      </w:r>
      <w:r w:rsidR="00651D2B" w:rsidRPr="00651D2B">
        <w:rPr>
          <w:rFonts w:ascii="Arial" w:hAnsi="Arial" w:cs="Arial"/>
          <w:b/>
          <w:bCs/>
        </w:rPr>
        <w:t>MATERIALS AND METHODS</w:t>
      </w:r>
    </w:p>
    <w:p w14:paraId="43285CC1" w14:textId="77777777" w:rsidR="0066062B" w:rsidRDefault="00000000">
      <w:pPr>
        <w:spacing w:line="240" w:lineRule="auto"/>
        <w:ind w:left="0" w:right="0" w:firstLine="0"/>
      </w:pPr>
      <w:r>
        <w:rPr>
          <w:rFonts w:ascii="Arial" w:hAnsi="Arial"/>
          <w:b/>
          <w:highlight w:val="yellow"/>
        </w:rPr>
        <w:t>2.1 Experimental animals and grouping</w:t>
      </w:r>
    </w:p>
    <w:p w14:paraId="7E7B3492" w14:textId="77777777" w:rsidR="0066062B" w:rsidRDefault="00000000">
      <w:pPr>
        <w:spacing w:line="240" w:lineRule="auto"/>
        <w:ind w:left="0" w:firstLine="360"/>
        <w:jc w:val="both"/>
      </w:pPr>
      <w:r>
        <w:rPr>
          <w:rFonts w:ascii="Arial" w:hAnsi="Arial"/>
          <w:highlight w:val="yellow"/>
        </w:rPr>
        <w:t>The study included 18 Indian domestic pigs of known postnatal age. Animals were included irrespective of sex, body weight, and nutritional status because the primary objective was to describe age-associated histological maturation of the duodenum rather than to evaluate the effects of these variables. Based on postnatal developmental stage, the animals were categorised into three groups, with six animals in each group: Group I (piglets; 0–4 weeks), Group II (weaners; 4–10 weeks), and Group III (above 10 weeks). The use of equal group sizes provided a consistent descriptive basis for comparing duodenal architecture across successive postnatal stages.</w:t>
      </w:r>
    </w:p>
    <w:p w14:paraId="579CCAC9" w14:textId="77777777" w:rsidR="0066062B" w:rsidRDefault="00000000">
      <w:pPr>
        <w:spacing w:line="240" w:lineRule="auto"/>
        <w:ind w:left="0" w:right="0" w:firstLine="0"/>
      </w:pPr>
      <w:r>
        <w:rPr>
          <w:rFonts w:ascii="Arial" w:hAnsi="Arial"/>
          <w:b/>
          <w:highlight w:val="yellow"/>
        </w:rPr>
        <w:t>2.2 Collection and fixation of duodenal tissue</w:t>
      </w:r>
    </w:p>
    <w:p w14:paraId="351C63B3" w14:textId="77777777" w:rsidR="0066062B" w:rsidRDefault="00000000">
      <w:pPr>
        <w:spacing w:line="240" w:lineRule="auto"/>
        <w:ind w:left="0" w:firstLine="360"/>
        <w:jc w:val="both"/>
      </w:pPr>
      <w:r>
        <w:rPr>
          <w:rFonts w:ascii="Arial" w:hAnsi="Arial"/>
          <w:highlight w:val="yellow"/>
        </w:rPr>
        <w:t xml:space="preserve">Duodenal samples were collected immediately after slaughter from local slaughterhouses in and around Hyderabad. Representative tissue from the duodenum was retained for histological assessment, including regional comparison of cranial, middle, and caudal portions where these regions were represented in the collected specimens. The lumen was gently washed with distilled water to remove ingesta and adherent material without mechanically damaging the mucosal surface. Tissue pieces were then trimmed to a size suitable for fixation while maintaining the orientation and continuity of the mucosa, submucosa, muscularis, and serosa. Specimens were fixed in 10% neutral buffered formalin </w:t>
      </w:r>
      <w:r>
        <w:rPr>
          <w:rFonts w:ascii="Arial" w:hAnsi="Arial"/>
          <w:highlight w:val="yellow"/>
        </w:rPr>
        <w:lastRenderedPageBreak/>
        <w:t>(NBF) and Bouin’s fluid to preserve overall tissue architecture and cellular detail. Subsequent processing followed the routine histological procedures described by Singh &amp; Sulochana (1996).</w:t>
      </w:r>
    </w:p>
    <w:p w14:paraId="1D29AC56" w14:textId="77777777" w:rsidR="0066062B" w:rsidRDefault="00000000">
      <w:pPr>
        <w:spacing w:line="240" w:lineRule="auto"/>
        <w:ind w:left="0" w:right="0" w:firstLine="0"/>
      </w:pPr>
      <w:r>
        <w:rPr>
          <w:rFonts w:ascii="Arial" w:hAnsi="Arial"/>
          <w:b/>
          <w:highlight w:val="yellow"/>
        </w:rPr>
        <w:t>2.3 Tissue processing and section preparation</w:t>
      </w:r>
    </w:p>
    <w:p w14:paraId="62C51EB4" w14:textId="77777777" w:rsidR="0066062B" w:rsidRDefault="00000000">
      <w:pPr>
        <w:spacing w:line="240" w:lineRule="auto"/>
        <w:ind w:left="0" w:firstLine="360"/>
        <w:jc w:val="both"/>
      </w:pPr>
      <w:r>
        <w:rPr>
          <w:rFonts w:ascii="Arial" w:hAnsi="Arial"/>
          <w:highlight w:val="yellow"/>
        </w:rPr>
        <w:t>Following fixation, the tissue samples were processed by routine paraffin-embedding procedures. The specimens were dehydrated through graded alcohols, cleared using a routine histological clearing step, infiltrated with molten paraffin, and embedded to obtain sections that permitted evaluation of the full thickness of the duodenal wall. Paraffin blocks were sectioned at 5–6 µm using a rotary microtome. Sections were transferred to glass slides, dried, deparaffinised, and rehydrated before routine or special staining. These procedures were applied consistently to specimens from all three age groups to allow comparable qualitative assessment.</w:t>
      </w:r>
    </w:p>
    <w:p w14:paraId="3F37D9D3" w14:textId="77777777" w:rsidR="0066062B" w:rsidRDefault="00000000">
      <w:pPr>
        <w:spacing w:line="240" w:lineRule="auto"/>
        <w:ind w:left="0" w:right="0" w:firstLine="0"/>
      </w:pPr>
      <w:r>
        <w:rPr>
          <w:rFonts w:ascii="Arial" w:hAnsi="Arial"/>
          <w:b/>
          <w:highlight w:val="yellow"/>
        </w:rPr>
        <w:t>2.4 Histological and special staining procedures</w:t>
      </w:r>
    </w:p>
    <w:p w14:paraId="5CAC45D9" w14:textId="77777777" w:rsidR="0066062B" w:rsidRDefault="00000000">
      <w:pPr>
        <w:spacing w:line="240" w:lineRule="auto"/>
        <w:ind w:left="0" w:firstLine="360"/>
        <w:jc w:val="both"/>
      </w:pPr>
      <w:r>
        <w:rPr>
          <w:rFonts w:ascii="Arial" w:hAnsi="Arial"/>
          <w:highlight w:val="yellow"/>
        </w:rPr>
        <w:t>The prepared sections were subjected to routine and special staining procedures. Each stain was selected for a specific histological parameter, as described below.</w:t>
      </w:r>
    </w:p>
    <w:p w14:paraId="580079A3" w14:textId="77777777" w:rsidR="0066062B" w:rsidRDefault="00000000">
      <w:pPr>
        <w:spacing w:line="240" w:lineRule="auto"/>
        <w:ind w:left="0" w:right="0" w:firstLine="0"/>
        <w:jc w:val="both"/>
      </w:pPr>
      <w:r>
        <w:rPr>
          <w:rFonts w:ascii="Arial" w:hAnsi="Arial"/>
          <w:b/>
          <w:highlight w:val="yellow"/>
        </w:rPr>
        <w:t xml:space="preserve">1. Haematoxylin and Eosin (H&amp;E): </w:t>
      </w:r>
      <w:r>
        <w:rPr>
          <w:rFonts w:ascii="Arial" w:hAnsi="Arial"/>
          <w:highlight w:val="yellow"/>
        </w:rPr>
        <w:t>Haematoxylin and Eosin staining was performed according to Singh &amp; Sulochana (1996) and was used for evaluation of general histoarchitecture and cellular organisation. Haematoxylin provided nuclear contrast, whereas eosin differentiated cytoplasmic and extracellular tissue components. H&amp;E-stained sections were used to assess the four tunics of the duodenal wall, villous configuration, epithelial lining and brush border, crypts of Lieberkuhn, goblet cells, intraepithelial lymphocytes, Paneth cells, lamina propria, lamina muscularis mucosae, Brunner’s glands, tunica muscularis, and tunica serosa.</w:t>
      </w:r>
    </w:p>
    <w:p w14:paraId="254739F5" w14:textId="77777777" w:rsidR="0066062B" w:rsidRDefault="00000000">
      <w:pPr>
        <w:spacing w:line="240" w:lineRule="auto"/>
        <w:ind w:left="0" w:right="0" w:firstLine="0"/>
        <w:jc w:val="both"/>
      </w:pPr>
      <w:r>
        <w:rPr>
          <w:rFonts w:ascii="Arial" w:hAnsi="Arial"/>
          <w:b/>
          <w:highlight w:val="yellow"/>
        </w:rPr>
        <w:t xml:space="preserve">2. Masson’s Trichrome: </w:t>
      </w:r>
      <w:r>
        <w:rPr>
          <w:rFonts w:ascii="Arial" w:hAnsi="Arial"/>
          <w:highlight w:val="yellow"/>
        </w:rPr>
        <w:t>Masson’s Trichrome staining was performed according to Luna (1968) to differentiate collagen fibres from smooth muscle fibres. The stain was used to assess the distribution and relative prominence of collagen within the villous core, lamina propria, submucosa, connective tissue surrounding intestinal and Brunner’s glands, and the connective tissue associated with the muscular layers.</w:t>
      </w:r>
    </w:p>
    <w:p w14:paraId="38873A61" w14:textId="77777777" w:rsidR="0066062B" w:rsidRDefault="00000000">
      <w:pPr>
        <w:spacing w:line="240" w:lineRule="auto"/>
        <w:ind w:left="0" w:right="0" w:firstLine="0"/>
        <w:jc w:val="both"/>
      </w:pPr>
      <w:r>
        <w:rPr>
          <w:rFonts w:ascii="Arial" w:hAnsi="Arial"/>
          <w:b/>
          <w:highlight w:val="yellow"/>
        </w:rPr>
        <w:t xml:space="preserve">3. Wilder’s method: </w:t>
      </w:r>
      <w:r>
        <w:rPr>
          <w:rFonts w:ascii="Arial" w:hAnsi="Arial"/>
          <w:highlight w:val="yellow"/>
        </w:rPr>
        <w:t>Wilder’s method was applied according to Singh &amp; Sulochana (1996) for demonstration of reticular fibres. Reticular fibre distribution was assessed particularly in the supporting stromal framework of the mucosa and around intestinal glands and Brunner’s glands.</w:t>
      </w:r>
    </w:p>
    <w:p w14:paraId="36D774EE" w14:textId="77777777" w:rsidR="0066062B" w:rsidRDefault="00000000">
      <w:pPr>
        <w:spacing w:line="240" w:lineRule="auto"/>
        <w:ind w:left="0" w:right="0" w:firstLine="0"/>
        <w:jc w:val="both"/>
      </w:pPr>
      <w:r>
        <w:rPr>
          <w:rFonts w:ascii="Arial" w:hAnsi="Arial"/>
          <w:b/>
          <w:highlight w:val="yellow"/>
        </w:rPr>
        <w:t xml:space="preserve">4. Weigert’s method: </w:t>
      </w:r>
      <w:r>
        <w:rPr>
          <w:rFonts w:ascii="Arial" w:hAnsi="Arial"/>
          <w:highlight w:val="yellow"/>
        </w:rPr>
        <w:t>Weigert’s method was used according to Luna (1968) to demonstrate elastic fibres. The method permitted qualitative assessment of elastic fibres in the connective tissue supporting the duodenal wall, including regions around glands, blood vessels, and other stromal components.</w:t>
      </w:r>
    </w:p>
    <w:p w14:paraId="02AD9233" w14:textId="77777777" w:rsidR="0066062B" w:rsidRDefault="00000000">
      <w:pPr>
        <w:spacing w:line="240" w:lineRule="auto"/>
        <w:ind w:left="0" w:firstLine="360"/>
        <w:jc w:val="both"/>
      </w:pPr>
      <w:r>
        <w:rPr>
          <w:rFonts w:ascii="Arial" w:hAnsi="Arial"/>
          <w:highlight w:val="yellow"/>
        </w:rPr>
        <w:t>After completion of the staining procedures, sections were dehydrated, cleared, and mounted using routine histological procedures before microscopic examination.</w:t>
      </w:r>
    </w:p>
    <w:p w14:paraId="57CE69CB" w14:textId="77777777" w:rsidR="0066062B" w:rsidRDefault="00000000">
      <w:pPr>
        <w:spacing w:line="240" w:lineRule="auto"/>
        <w:ind w:left="0" w:right="0" w:firstLine="0"/>
      </w:pPr>
      <w:r>
        <w:rPr>
          <w:rFonts w:ascii="Arial" w:hAnsi="Arial"/>
          <w:b/>
          <w:highlight w:val="yellow"/>
        </w:rPr>
        <w:t>2.5 Microscopic examination and parameters assessed</w:t>
      </w:r>
    </w:p>
    <w:p w14:paraId="24BD8497" w14:textId="77777777" w:rsidR="0066062B" w:rsidRDefault="00000000">
      <w:pPr>
        <w:spacing w:line="240" w:lineRule="auto"/>
        <w:ind w:left="0" w:firstLine="360"/>
        <w:jc w:val="both"/>
      </w:pPr>
      <w:r>
        <w:rPr>
          <w:rFonts w:ascii="Arial" w:hAnsi="Arial"/>
          <w:highlight w:val="yellow"/>
        </w:rPr>
        <w:t>All stained sections were examined by light microscopy. Evaluation was performed systematically from the mucosa outward to the serosa so that the same major structural parameters were considered in all age groups. The mucosal parameters included villous shape and relative prominence, epithelial cell morphology, brush-border appearance, the presence and distribution of goblet cells and intraepithelial lymphocytes, the occurrence and location of Paneth cells, crypt architecture, components of the lamina propria, and the continuity and relative development of the lamina muscularis mucosae. Submucosal assessment included the distribution, lobulation, and relative abundance of Brunner’s glands, associated connective tissue, blood vessels, and the presence of plicae circulares. The tunica muscularis was examined for the arrangement of the inner circular and outer longitudinal smooth-muscle layers and the intervening connective tissue containing myenteric plexuses. The tunica serosa was assessed for its connective tissue, vascular, neural, adipose, and mesothelial components.</w:t>
      </w:r>
    </w:p>
    <w:p w14:paraId="1594584B" w14:textId="77777777" w:rsidR="0066062B" w:rsidRDefault="00000000">
      <w:pPr>
        <w:spacing w:line="240" w:lineRule="auto"/>
        <w:ind w:left="0" w:firstLine="360"/>
        <w:jc w:val="both"/>
      </w:pPr>
      <w:r>
        <w:rPr>
          <w:rFonts w:ascii="Arial" w:hAnsi="Arial"/>
          <w:highlight w:val="yellow"/>
        </w:rPr>
        <w:lastRenderedPageBreak/>
        <w:t>Special-stain evaluation focused on the distribution and relative staining intensity of collagen, reticular, and elastic fibres in the different layers of the duodenal wall. Observations were compared descriptively among Group I, Group II, and Group III and, where applicable, among cranial, middle, and caudal regions of the duodenum. Terms such as increased, decreased, more prominent, or more abundant were therefore used to describe comparative qualitative patterns across the examined sections rather than formal histomorphometric measurements.</w:t>
      </w:r>
    </w:p>
    <w:p w14:paraId="770BFB00" w14:textId="77777777" w:rsidR="0066062B" w:rsidRDefault="00000000">
      <w:pPr>
        <w:spacing w:line="240" w:lineRule="auto"/>
        <w:ind w:left="0" w:right="0" w:firstLine="0"/>
      </w:pPr>
      <w:r>
        <w:rPr>
          <w:rFonts w:ascii="Arial" w:hAnsi="Arial"/>
          <w:b/>
          <w:highlight w:val="yellow"/>
        </w:rPr>
        <w:t>2.6 Photomicrography and data interpretation</w:t>
      </w:r>
    </w:p>
    <w:p w14:paraId="21A93353" w14:textId="77777777" w:rsidR="0066062B" w:rsidRDefault="00000000">
      <w:pPr>
        <w:spacing w:line="240" w:lineRule="auto"/>
        <w:ind w:left="0" w:firstLine="360"/>
        <w:jc w:val="both"/>
      </w:pPr>
      <w:r>
        <w:rPr>
          <w:rFonts w:ascii="Arial" w:hAnsi="Arial"/>
          <w:highlight w:val="yellow"/>
        </w:rPr>
        <w:t>Representative microscopic fields showing the characteristic findings were documented by photomicrography at magnifications appropriate to the structure being demonstrated. The photomicrographs were used to support descriptive comparison of villous architecture, mucosal cell populations, intestinal and Brunner’s glands, connective tissue fibres, and muscular layers among the postnatal groups. Because the investigation was designed as a descriptive histological study, no formal morphometric measurements or inferential statistical analyses were applied; interpretation was based on reproducible qualitative differences observed across the examined sections and developmental groups.</w:t>
      </w:r>
    </w:p>
    <w:p w14:paraId="7322C899" w14:textId="77777777" w:rsidR="0066062B" w:rsidRDefault="0066062B">
      <w:pPr>
        <w:spacing w:line="240" w:lineRule="auto"/>
        <w:jc w:val="both"/>
      </w:pPr>
    </w:p>
    <w:p w14:paraId="1876806F" w14:textId="77777777" w:rsidR="00E40891" w:rsidRPr="00651D2B" w:rsidRDefault="00CB47E6">
      <w:pPr>
        <w:spacing w:line="240" w:lineRule="auto"/>
        <w:ind w:left="0" w:firstLine="0"/>
        <w:jc w:val="both"/>
        <w:rPr>
          <w:rFonts w:ascii="Arial" w:hAnsi="Arial" w:cs="Arial"/>
          <w:b/>
          <w:bCs/>
          <w:lang w:val="en-US"/>
        </w:rPr>
      </w:pPr>
      <w:r>
        <w:rPr>
          <w:rFonts w:ascii="Arial" w:hAnsi="Arial" w:cs="Arial"/>
          <w:b/>
          <w:bCs/>
          <w:lang w:val="en-US"/>
        </w:rPr>
        <w:t xml:space="preserve">3. </w:t>
      </w:r>
      <w:r w:rsidR="00A73A8B" w:rsidRPr="00651D2B">
        <w:rPr>
          <w:rFonts w:ascii="Arial" w:hAnsi="Arial" w:cs="Arial"/>
          <w:b/>
          <w:bCs/>
          <w:lang w:val="en-US"/>
        </w:rPr>
        <w:t>RESULTS</w:t>
      </w:r>
      <w:r w:rsidR="00992574" w:rsidRPr="00651D2B">
        <w:rPr>
          <w:rFonts w:ascii="Arial" w:hAnsi="Arial" w:cs="Arial"/>
          <w:b/>
          <w:bCs/>
          <w:lang w:val="en-US"/>
        </w:rPr>
        <w:t xml:space="preserve"> AND DISCUSSION</w:t>
      </w:r>
    </w:p>
    <w:p w14:paraId="1529D6B4" w14:textId="77777777" w:rsidR="004C0604" w:rsidRPr="003054AD" w:rsidRDefault="004C0604" w:rsidP="00AF5142">
      <w:pPr>
        <w:spacing w:beforeLines="30" w:before="72" w:after="10" w:line="240" w:lineRule="auto"/>
        <w:ind w:left="0" w:right="0"/>
        <w:jc w:val="both"/>
        <w:rPr>
          <w:rFonts w:ascii="Arial" w:hAnsi="Arial" w:cs="Arial"/>
          <w:lang w:val="en-US"/>
        </w:rPr>
      </w:pPr>
      <w:r>
        <w:rPr>
          <w:rFonts w:ascii="Arial" w:hAnsi="Arial" w:cs="Arial"/>
          <w:lang w:val="en-US"/>
        </w:rPr>
        <w:t>In the present investigation, the duodenum of Indian domestic pigs in all postnatal age groups exhibited the typical four-layered organi</w:t>
      </w:r>
      <w:r>
        <w:rPr>
          <w:rFonts w:ascii="Arial" w:hAnsi="Arial" w:cs="Arial"/>
          <w:highlight w:val="yellow"/>
          <w:lang w:val="en-US"/>
        </w:rPr>
        <w:t>s</w:t>
      </w:r>
      <w:r>
        <w:rPr>
          <w:rFonts w:ascii="Arial" w:hAnsi="Arial" w:cs="Arial"/>
          <w:lang w:val="en-US"/>
        </w:rPr>
        <w:t>ation of the intestinal wall</w:t>
      </w:r>
      <w:r>
        <w:rPr>
          <w:rFonts w:ascii="Arial" w:hAnsi="Arial" w:cs="Arial"/>
          <w:highlight w:val="yellow"/>
          <w:lang w:val="en-US"/>
        </w:rPr>
        <w:t>,</w:t>
      </w:r>
      <w:r>
        <w:rPr>
          <w:rFonts w:ascii="Arial" w:hAnsi="Arial" w:cs="Arial"/>
          <w:lang w:val="en-US"/>
        </w:rPr>
        <w:t xml:space="preserve"> comprising</w:t>
      </w:r>
      <w:r>
        <w:rPr>
          <w:rFonts w:ascii="Arial" w:hAnsi="Arial" w:cs="Arial"/>
          <w:highlight w:val="yellow"/>
          <w:lang w:val="en-US"/>
        </w:rPr>
        <w:t xml:space="preserve"> the</w:t>
      </w:r>
      <w:r>
        <w:rPr>
          <w:rFonts w:ascii="Arial" w:hAnsi="Arial" w:cs="Arial"/>
          <w:lang w:val="en-US"/>
        </w:rPr>
        <w:t xml:space="preserve"> tunica mucosa, tunica submucosa, tunica muscularis</w:t>
      </w:r>
      <w:r>
        <w:rPr>
          <w:rFonts w:ascii="Arial" w:hAnsi="Arial" w:cs="Arial"/>
          <w:highlight w:val="yellow"/>
          <w:lang w:val="en-US"/>
        </w:rPr>
        <w:t>,</w:t>
      </w:r>
      <w:r>
        <w:rPr>
          <w:rFonts w:ascii="Arial" w:hAnsi="Arial" w:cs="Arial"/>
          <w:lang w:val="en-US"/>
        </w:rPr>
        <w:t xml:space="preserve"> and tunica serosa.</w:t>
      </w:r>
      <w:r>
        <w:rPr>
          <w:rFonts w:ascii="Arial" w:hAnsi="Arial" w:cs="Arial"/>
          <w:highlight w:val="yellow"/>
          <w:lang w:val="en-US"/>
        </w:rPr>
        <w:t xml:space="preserve"> </w:t>
      </w:r>
      <w:r>
        <w:rPr>
          <w:rFonts w:ascii="Arial" w:hAnsi="Arial" w:cs="Arial"/>
          <w:lang w:val="en-US"/>
        </w:rPr>
        <w:t>Similar structural arrangement</w:t>
      </w:r>
      <w:r>
        <w:rPr>
          <w:rFonts w:ascii="Arial" w:hAnsi="Arial" w:cs="Arial"/>
          <w:highlight w:val="yellow"/>
          <w:lang w:val="en-US"/>
        </w:rPr>
        <w:t>s</w:t>
      </w:r>
      <w:r>
        <w:rPr>
          <w:rFonts w:ascii="Arial" w:hAnsi="Arial" w:cs="Arial"/>
          <w:lang w:val="en-US"/>
        </w:rPr>
        <w:t xml:space="preserve"> ha</w:t>
      </w:r>
      <w:r>
        <w:rPr>
          <w:rFonts w:ascii="Arial" w:hAnsi="Arial" w:cs="Arial"/>
          <w:highlight w:val="yellow"/>
          <w:lang w:val="en-US"/>
        </w:rPr>
        <w:t>ve</w:t>
      </w:r>
      <w:r>
        <w:rPr>
          <w:rFonts w:ascii="Arial" w:hAnsi="Arial" w:cs="Arial"/>
          <w:lang w:val="en-US"/>
        </w:rPr>
        <w:t xml:space="preserve"> been reported by Kadhim et al. (2012)</w:t>
      </w:r>
      <w:r>
        <w:rPr>
          <w:rFonts w:ascii="Arial" w:hAnsi="Arial" w:cs="Arial"/>
          <w:highlight w:val="yellow"/>
          <w:lang w:val="en-US"/>
        </w:rPr>
        <w:t xml:space="preserve"> </w:t>
      </w:r>
      <w:r>
        <w:rPr>
          <w:rFonts w:ascii="Arial" w:hAnsi="Arial" w:cs="Arial"/>
          <w:lang w:val="en-US"/>
        </w:rPr>
        <w:t>in camels, Al</w:t>
      </w:r>
      <w:r>
        <w:rPr>
          <w:rFonts w:ascii="Arial" w:hAnsi="Arial" w:cs="Arial"/>
          <w:highlight w:val="yellow"/>
          <w:lang w:val="en-US"/>
        </w:rPr>
        <w:t>-</w:t>
      </w:r>
      <w:r>
        <w:rPr>
          <w:rFonts w:ascii="Arial" w:hAnsi="Arial" w:cs="Arial"/>
          <w:lang w:val="en-US"/>
        </w:rPr>
        <w:t>Mansour et al. (2020) in goat</w:t>
      </w:r>
      <w:r>
        <w:rPr>
          <w:rFonts w:ascii="Arial" w:hAnsi="Arial" w:cs="Arial"/>
          <w:highlight w:val="yellow"/>
          <w:lang w:val="en-US"/>
        </w:rPr>
        <w:t>s</w:t>
      </w:r>
      <w:r>
        <w:rPr>
          <w:rFonts w:ascii="Arial" w:hAnsi="Arial" w:cs="Arial"/>
          <w:lang w:val="en-US"/>
        </w:rPr>
        <w:t xml:space="preserve"> and gazelle</w:t>
      </w:r>
      <w:r>
        <w:rPr>
          <w:rFonts w:ascii="Arial" w:hAnsi="Arial" w:cs="Arial"/>
          <w:highlight w:val="yellow"/>
          <w:lang w:val="en-US"/>
        </w:rPr>
        <w:t>s,</w:t>
      </w:r>
      <w:r>
        <w:rPr>
          <w:rFonts w:ascii="Arial" w:hAnsi="Arial" w:cs="Arial"/>
          <w:lang w:val="en-US"/>
        </w:rPr>
        <w:t xml:space="preserve"> and Singh et al. (2021) in pigs, who described the presence of these four fundamental layers in the duodenal wall. Thus, the present findings indicate that the general histological organi</w:t>
      </w:r>
      <w:r>
        <w:rPr>
          <w:rFonts w:ascii="Arial" w:hAnsi="Arial" w:cs="Arial"/>
          <w:highlight w:val="yellow"/>
          <w:lang w:val="en-US"/>
        </w:rPr>
        <w:t>s</w:t>
      </w:r>
      <w:r>
        <w:rPr>
          <w:rFonts w:ascii="Arial" w:hAnsi="Arial" w:cs="Arial"/>
          <w:lang w:val="en-US"/>
        </w:rPr>
        <w:t>ation of the duodenum remains conserved during postnatal development.</w:t>
      </w:r>
    </w:p>
    <w:p w14:paraId="011E6999" w14:textId="77777777" w:rsidR="004C0604" w:rsidRPr="003054AD" w:rsidRDefault="004C0604" w:rsidP="00AF5142">
      <w:pPr>
        <w:spacing w:beforeLines="30" w:before="72" w:after="10" w:line="240" w:lineRule="auto"/>
        <w:ind w:left="0" w:right="0"/>
        <w:jc w:val="both"/>
        <w:rPr>
          <w:rFonts w:ascii="Arial" w:hAnsi="Arial" w:cs="Arial"/>
          <w:lang w:val="en-US"/>
        </w:rPr>
      </w:pPr>
      <w:r>
        <w:rPr>
          <w:rFonts w:ascii="Arial" w:hAnsi="Arial" w:cs="Arial"/>
          <w:lang w:val="en-US"/>
        </w:rPr>
        <w:t>T</w:t>
      </w:r>
      <w:r>
        <w:rPr>
          <w:rFonts w:ascii="Arial" w:hAnsi="Arial" w:cs="Arial"/>
          <w:highlight w:val="yellow"/>
          <w:lang w:val="en-US"/>
        </w:rPr>
        <w:t>he t</w:t>
      </w:r>
      <w:r>
        <w:rPr>
          <w:rFonts w:ascii="Arial" w:hAnsi="Arial" w:cs="Arial"/>
          <w:lang w:val="en-US"/>
        </w:rPr>
        <w:t>unica mucosa of the duodenum consisted of</w:t>
      </w:r>
      <w:r>
        <w:rPr>
          <w:rFonts w:ascii="Arial" w:hAnsi="Arial" w:cs="Arial"/>
          <w:highlight w:val="yellow"/>
          <w:lang w:val="en-US"/>
        </w:rPr>
        <w:t xml:space="preserve"> the</w:t>
      </w:r>
      <w:r>
        <w:rPr>
          <w:rFonts w:ascii="Arial" w:hAnsi="Arial" w:cs="Arial"/>
          <w:lang w:val="en-US"/>
        </w:rPr>
        <w:t xml:space="preserve"> lamina epithelialis, lamina propria mucosae</w:t>
      </w:r>
      <w:r>
        <w:rPr>
          <w:rFonts w:ascii="Arial" w:hAnsi="Arial" w:cs="Arial"/>
          <w:highlight w:val="yellow"/>
          <w:lang w:val="en-US"/>
        </w:rPr>
        <w:t>,</w:t>
      </w:r>
      <w:r>
        <w:rPr>
          <w:rFonts w:ascii="Arial" w:hAnsi="Arial" w:cs="Arial"/>
          <w:lang w:val="en-US"/>
        </w:rPr>
        <w:t xml:space="preserve"> and lamina muscularis mucosae</w:t>
      </w:r>
      <w:r>
        <w:rPr>
          <w:rFonts w:ascii="Arial" w:hAnsi="Arial" w:cs="Arial"/>
          <w:b/>
          <w:bCs/>
          <w:lang w:val="en-US"/>
        </w:rPr>
        <w:t>.</w:t>
      </w:r>
      <w:r>
        <w:rPr>
          <w:rFonts w:ascii="Arial" w:hAnsi="Arial" w:cs="Arial"/>
          <w:lang w:val="en-US"/>
        </w:rPr>
        <w:t xml:space="preserve"> These observations are in accordance with </w:t>
      </w:r>
      <w:r>
        <w:rPr>
          <w:rFonts w:ascii="Arial" w:hAnsi="Arial" w:cs="Arial"/>
          <w:highlight w:val="yellow"/>
          <w:lang w:val="en-US"/>
        </w:rPr>
        <w:t xml:space="preserve">the </w:t>
      </w:r>
      <w:r>
        <w:rPr>
          <w:rFonts w:ascii="Arial" w:hAnsi="Arial" w:cs="Arial"/>
          <w:lang w:val="en-US"/>
        </w:rPr>
        <w:t>findings of</w:t>
      </w:r>
      <w:r>
        <w:rPr>
          <w:rFonts w:ascii="Arial" w:hAnsi="Arial" w:cs="Arial"/>
          <w:highlight w:val="yellow"/>
          <w:lang w:val="en-US"/>
        </w:rPr>
        <w:t xml:space="preserve"> </w:t>
      </w:r>
      <w:r>
        <w:rPr>
          <w:rFonts w:ascii="Arial" w:hAnsi="Arial" w:cs="Arial"/>
          <w:lang w:val="en-US"/>
        </w:rPr>
        <w:t>Frappier (1998) in domestic animals and Siddiqi et al. (2011) in Black Bengal goat</w:t>
      </w:r>
      <w:r>
        <w:rPr>
          <w:rFonts w:ascii="Arial" w:hAnsi="Arial" w:cs="Arial"/>
          <w:highlight w:val="yellow"/>
          <w:lang w:val="en-US"/>
        </w:rPr>
        <w:t>s</w:t>
      </w:r>
      <w:r>
        <w:rPr>
          <w:rFonts w:ascii="Arial" w:hAnsi="Arial" w:cs="Arial"/>
          <w:lang w:val="en-US"/>
        </w:rPr>
        <w:t>. The mucosal surface showed numerous villi lined by simple columnar epithelium with goblet cells in all postnatal groups (Fig 1</w:t>
      </w:r>
      <w:r>
        <w:rPr>
          <w:rFonts w:ascii="Arial" w:hAnsi="Arial" w:cs="Arial"/>
          <w:b/>
          <w:bCs/>
          <w:lang w:val="en-US"/>
        </w:rPr>
        <w:t>).</w:t>
      </w:r>
      <w:r>
        <w:rPr>
          <w:rFonts w:ascii="Arial" w:hAnsi="Arial" w:cs="Arial"/>
          <w:lang w:val="en-US"/>
        </w:rPr>
        <w:t xml:space="preserve"> These findings are similar t</w:t>
      </w:r>
      <w:r>
        <w:rPr>
          <w:rFonts w:ascii="Arial" w:hAnsi="Arial" w:cs="Arial"/>
          <w:highlight w:val="yellow"/>
          <w:lang w:val="en-US"/>
        </w:rPr>
        <w:t>o</w:t>
      </w:r>
      <w:r>
        <w:rPr>
          <w:rFonts w:ascii="Arial" w:hAnsi="Arial" w:cs="Arial"/>
          <w:lang w:val="en-US"/>
        </w:rPr>
        <w:t xml:space="preserve"> the reports of Hassan and Moussa (2015) in goats, Kumar et al. (2013) in sheep</w:t>
      </w:r>
      <w:r>
        <w:rPr>
          <w:rFonts w:ascii="Arial" w:hAnsi="Arial" w:cs="Arial"/>
          <w:highlight w:val="yellow"/>
          <w:lang w:val="en-US"/>
        </w:rPr>
        <w:t>,</w:t>
      </w:r>
      <w:r>
        <w:rPr>
          <w:rFonts w:ascii="Arial" w:hAnsi="Arial" w:cs="Arial"/>
          <w:lang w:val="en-US"/>
        </w:rPr>
        <w:t xml:space="preserve"> and Mohammad et al. (2020) in sheep and rabbits, who reported simple columnar epithelium interspersed with goblet cells over the villus surface. Singh et al. (2021) also observed abundant goblet cells in the surface epithelium of </w:t>
      </w:r>
      <w:r>
        <w:rPr>
          <w:rFonts w:ascii="Arial" w:hAnsi="Arial" w:cs="Arial"/>
          <w:highlight w:val="yellow"/>
          <w:lang w:val="en-US"/>
        </w:rPr>
        <w:t xml:space="preserve">the </w:t>
      </w:r>
      <w:r>
        <w:rPr>
          <w:rFonts w:ascii="Arial" w:hAnsi="Arial" w:cs="Arial"/>
          <w:lang w:val="en-US"/>
        </w:rPr>
        <w:t>pig duodenum.</w:t>
      </w:r>
      <w:r>
        <w:rPr>
          <w:rFonts w:ascii="Arial" w:hAnsi="Arial" w:cs="Arial"/>
          <w:highlight w:val="yellow"/>
          <w:lang w:val="en-US"/>
        </w:rPr>
        <w:t xml:space="preserve"> </w:t>
      </w:r>
      <w:r>
        <w:rPr>
          <w:rFonts w:ascii="Arial" w:hAnsi="Arial" w:cs="Arial"/>
          <w:lang w:val="en-US"/>
        </w:rPr>
        <w:t>At birth, villi were slender, tongue-shaped, elongated</w:t>
      </w:r>
      <w:r>
        <w:rPr>
          <w:rFonts w:ascii="Arial" w:hAnsi="Arial" w:cs="Arial"/>
          <w:highlight w:val="yellow"/>
          <w:lang w:val="en-US"/>
        </w:rPr>
        <w:t>,</w:t>
      </w:r>
      <w:r>
        <w:rPr>
          <w:rFonts w:ascii="Arial" w:hAnsi="Arial" w:cs="Arial"/>
          <w:lang w:val="en-US"/>
        </w:rPr>
        <w:t xml:space="preserve"> and ridge-like</w:t>
      </w:r>
      <w:r>
        <w:rPr>
          <w:rFonts w:ascii="Arial" w:hAnsi="Arial" w:cs="Arial"/>
          <w:highlight w:val="yellow"/>
          <w:lang w:val="en-US"/>
        </w:rPr>
        <w:t>,</w:t>
      </w:r>
      <w:r>
        <w:rPr>
          <w:rFonts w:ascii="Arial" w:hAnsi="Arial" w:cs="Arial"/>
          <w:lang w:val="en-US"/>
        </w:rPr>
        <w:t xml:space="preserve"> with broad bases and pointed apices, whereas at later postnatal stages they became finger-like, elongated</w:t>
      </w:r>
      <w:r>
        <w:rPr>
          <w:rFonts w:ascii="Arial" w:hAnsi="Arial" w:cs="Arial"/>
          <w:highlight w:val="yellow"/>
          <w:lang w:val="en-US"/>
        </w:rPr>
        <w:t>,</w:t>
      </w:r>
      <w:r>
        <w:rPr>
          <w:rFonts w:ascii="Arial" w:hAnsi="Arial" w:cs="Arial"/>
          <w:lang w:val="en-US"/>
        </w:rPr>
        <w:t xml:space="preserve"> and broader with advanc</w:t>
      </w:r>
      <w:r>
        <w:rPr>
          <w:rFonts w:ascii="Arial" w:hAnsi="Arial" w:cs="Arial"/>
          <w:highlight w:val="yellow"/>
          <w:lang w:val="en-US"/>
        </w:rPr>
        <w:t>i</w:t>
      </w:r>
      <w:r>
        <w:rPr>
          <w:rFonts w:ascii="Arial" w:hAnsi="Arial" w:cs="Arial"/>
          <w:lang w:val="en-US"/>
        </w:rPr>
        <w:t>n</w:t>
      </w:r>
      <w:r>
        <w:rPr>
          <w:rFonts w:ascii="Arial" w:hAnsi="Arial" w:cs="Arial"/>
          <w:highlight w:val="yellow"/>
          <w:lang w:val="en-US"/>
        </w:rPr>
        <w:t>g</w:t>
      </w:r>
      <w:r>
        <w:rPr>
          <w:rFonts w:ascii="Arial" w:hAnsi="Arial" w:cs="Arial"/>
          <w:lang w:val="en-US"/>
        </w:rPr>
        <w:t xml:space="preserve"> age (Fig 2 &amp; 3</w:t>
      </w:r>
      <w:r>
        <w:rPr>
          <w:rFonts w:ascii="Arial" w:hAnsi="Arial" w:cs="Arial"/>
          <w:b/>
          <w:bCs/>
          <w:lang w:val="en-US"/>
        </w:rPr>
        <w:t>).</w:t>
      </w:r>
      <w:r>
        <w:rPr>
          <w:rFonts w:ascii="Arial" w:hAnsi="Arial" w:cs="Arial"/>
          <w:highlight w:val="yellow"/>
          <w:lang w:val="en-US"/>
        </w:rPr>
        <w:t xml:space="preserve"> </w:t>
      </w:r>
      <w:r>
        <w:rPr>
          <w:rFonts w:ascii="Arial" w:hAnsi="Arial" w:cs="Arial"/>
          <w:lang w:val="en-US"/>
        </w:rPr>
        <w:t>Such developmental alterations indicate progressive maturation of</w:t>
      </w:r>
      <w:r>
        <w:rPr>
          <w:rFonts w:ascii="Arial" w:hAnsi="Arial" w:cs="Arial"/>
          <w:highlight w:val="yellow"/>
          <w:lang w:val="en-US"/>
        </w:rPr>
        <w:t xml:space="preserve"> the</w:t>
      </w:r>
      <w:r>
        <w:rPr>
          <w:rFonts w:ascii="Arial" w:hAnsi="Arial" w:cs="Arial"/>
          <w:lang w:val="en-US"/>
        </w:rPr>
        <w:t xml:space="preserve"> absorptive surface area after birth. Similar age-dependent changes were observed by Skrzypek et al. (2018) in piglets and Raja et al. (2022) in guinea pigs. Simawy et al. (2024) similarly reported immature villi at one day of age and mature leaf-shaped villi at 60</w:t>
      </w:r>
      <w:r>
        <w:rPr>
          <w:rFonts w:ascii="Arial" w:hAnsi="Arial" w:cs="Arial"/>
          <w:highlight w:val="yellow"/>
          <w:lang w:val="en-US"/>
        </w:rPr>
        <w:t xml:space="preserve"> </w:t>
      </w:r>
      <w:r>
        <w:rPr>
          <w:rFonts w:ascii="Arial" w:hAnsi="Arial" w:cs="Arial"/>
          <w:lang w:val="en-US"/>
        </w:rPr>
        <w:t>days in cats, dogs</w:t>
      </w:r>
      <w:r>
        <w:rPr>
          <w:rFonts w:ascii="Arial" w:hAnsi="Arial" w:cs="Arial"/>
          <w:highlight w:val="yellow"/>
          <w:lang w:val="en-US"/>
        </w:rPr>
        <w:t>,</w:t>
      </w:r>
      <w:r>
        <w:rPr>
          <w:rFonts w:ascii="Arial" w:hAnsi="Arial" w:cs="Arial"/>
          <w:lang w:val="en-US"/>
        </w:rPr>
        <w:t xml:space="preserve"> and goats. Suwaidan and Almaliki (2024) o</w:t>
      </w:r>
      <w:r>
        <w:rPr>
          <w:rFonts w:ascii="Arial" w:hAnsi="Arial" w:cs="Arial"/>
          <w:highlight w:val="yellow"/>
          <w:lang w:val="en-US"/>
        </w:rPr>
        <w:t>bserv</w:t>
      </w:r>
      <w:r>
        <w:rPr>
          <w:rFonts w:ascii="Arial" w:hAnsi="Arial" w:cs="Arial"/>
          <w:lang w:val="en-US"/>
        </w:rPr>
        <w:t>ed finger-like villi in neonatal dogs. The ridge-shaped villi observed in the present study are similar t</w:t>
      </w:r>
      <w:r>
        <w:rPr>
          <w:rFonts w:ascii="Arial" w:hAnsi="Arial" w:cs="Arial"/>
          <w:highlight w:val="yellow"/>
          <w:lang w:val="en-US"/>
        </w:rPr>
        <w:t>o</w:t>
      </w:r>
      <w:r>
        <w:rPr>
          <w:rFonts w:ascii="Arial" w:hAnsi="Arial" w:cs="Arial"/>
          <w:lang w:val="en-US"/>
        </w:rPr>
        <w:t xml:space="preserve"> the findings of Wiese et al. (2003) in pigs. The enterocytes observed in the present study appeared as tall columnar absorptive cells with basally placed oval nuclei and distinct apical brush borders</w:t>
      </w:r>
      <w:r>
        <w:rPr>
          <w:rFonts w:ascii="Arial" w:hAnsi="Arial" w:cs="Arial"/>
          <w:highlight w:val="yellow"/>
          <w:lang w:val="en-US"/>
        </w:rPr>
        <w:t xml:space="preserve"> </w:t>
      </w:r>
      <w:r>
        <w:rPr>
          <w:rFonts w:ascii="Arial" w:hAnsi="Arial" w:cs="Arial"/>
          <w:lang w:val="en-US"/>
        </w:rPr>
        <w:t>(Fig 4</w:t>
      </w:r>
      <w:r>
        <w:rPr>
          <w:rFonts w:ascii="Arial" w:hAnsi="Arial" w:cs="Arial"/>
          <w:b/>
          <w:bCs/>
          <w:lang w:val="en-US"/>
        </w:rPr>
        <w:t>).</w:t>
      </w:r>
      <w:r>
        <w:rPr>
          <w:rFonts w:ascii="Arial" w:hAnsi="Arial" w:cs="Arial"/>
          <w:highlight w:val="yellow"/>
          <w:lang w:val="en-US"/>
        </w:rPr>
        <w:t xml:space="preserve"> </w:t>
      </w:r>
      <w:r>
        <w:rPr>
          <w:rFonts w:ascii="Arial" w:hAnsi="Arial" w:cs="Arial"/>
          <w:lang w:val="en-US"/>
        </w:rPr>
        <w:t>Similar findings were reported by Mohammad et al. (2020) in sheep and rabbit</w:t>
      </w:r>
      <w:r>
        <w:rPr>
          <w:rFonts w:ascii="Arial" w:hAnsi="Arial" w:cs="Arial"/>
          <w:highlight w:val="yellow"/>
          <w:lang w:val="en-US"/>
        </w:rPr>
        <w:t>s</w:t>
      </w:r>
      <w:r>
        <w:rPr>
          <w:rFonts w:ascii="Arial" w:hAnsi="Arial" w:cs="Arial"/>
          <w:lang w:val="en-US"/>
        </w:rPr>
        <w:t xml:space="preserve"> and Singh et al. (2021) in pig</w:t>
      </w:r>
      <w:r>
        <w:rPr>
          <w:rFonts w:ascii="Arial" w:hAnsi="Arial" w:cs="Arial"/>
          <w:highlight w:val="yellow"/>
          <w:lang w:val="en-US"/>
        </w:rPr>
        <w:t>s</w:t>
      </w:r>
      <w:r>
        <w:rPr>
          <w:rFonts w:ascii="Arial" w:hAnsi="Arial" w:cs="Arial"/>
          <w:lang w:val="en-US"/>
        </w:rPr>
        <w:t>, who identified absorptive enterocytes with prominent brush borders. Similarly, Clarke and Hardy (1971) identified non-vacuolated, low columnar epithelial cell</w:t>
      </w:r>
      <w:r>
        <w:rPr>
          <w:rFonts w:ascii="Arial" w:hAnsi="Arial" w:cs="Arial"/>
          <w:highlight w:val="yellow"/>
          <w:lang w:val="en-US"/>
        </w:rPr>
        <w:t>s in young pig</w:t>
      </w:r>
      <w:r>
        <w:rPr>
          <w:rFonts w:ascii="Arial" w:hAnsi="Arial" w:cs="Arial"/>
          <w:lang w:val="en-US"/>
        </w:rPr>
        <w:t>s. The basement membrane of the surface epithelium was supported by connective tissue fib</w:t>
      </w:r>
      <w:r>
        <w:rPr>
          <w:rFonts w:ascii="Arial" w:hAnsi="Arial" w:cs="Arial"/>
          <w:highlight w:val="yellow"/>
          <w:lang w:val="en-US"/>
        </w:rPr>
        <w:t>r</w:t>
      </w:r>
      <w:r>
        <w:rPr>
          <w:rFonts w:ascii="Arial" w:hAnsi="Arial" w:cs="Arial"/>
          <w:lang w:val="en-US"/>
        </w:rPr>
        <w:t xml:space="preserve">es </w:t>
      </w:r>
      <w:r>
        <w:rPr>
          <w:rFonts w:ascii="Arial" w:hAnsi="Arial" w:cs="Arial"/>
          <w:highlight w:val="yellow"/>
          <w:lang w:val="en-US"/>
        </w:rPr>
        <w:t>c</w:t>
      </w:r>
      <w:r>
        <w:rPr>
          <w:rFonts w:ascii="Arial" w:hAnsi="Arial" w:cs="Arial"/>
          <w:lang w:val="en-US"/>
        </w:rPr>
        <w:t>o</w:t>
      </w:r>
      <w:r>
        <w:rPr>
          <w:rFonts w:ascii="Arial" w:hAnsi="Arial" w:cs="Arial"/>
          <w:highlight w:val="yellow"/>
          <w:lang w:val="en-US"/>
        </w:rPr>
        <w:t>mprising</w:t>
      </w:r>
      <w:r>
        <w:rPr>
          <w:rFonts w:ascii="Arial" w:hAnsi="Arial" w:cs="Arial"/>
          <w:lang w:val="en-US"/>
        </w:rPr>
        <w:t xml:space="preserve"> collagen, reticular</w:t>
      </w:r>
      <w:r>
        <w:rPr>
          <w:rFonts w:ascii="Arial" w:hAnsi="Arial" w:cs="Arial"/>
          <w:highlight w:val="yellow"/>
          <w:lang w:val="en-US"/>
        </w:rPr>
        <w:t>,</w:t>
      </w:r>
      <w:r>
        <w:rPr>
          <w:rFonts w:ascii="Arial" w:hAnsi="Arial" w:cs="Arial"/>
          <w:lang w:val="en-US"/>
        </w:rPr>
        <w:t xml:space="preserve"> and</w:t>
      </w:r>
      <w:r>
        <w:rPr>
          <w:rFonts w:ascii="Arial" w:hAnsi="Arial" w:cs="Arial"/>
          <w:highlight w:val="yellow"/>
          <w:lang w:val="en-US"/>
        </w:rPr>
        <w:t xml:space="preserve"> a</w:t>
      </w:r>
      <w:r>
        <w:rPr>
          <w:rFonts w:ascii="Arial" w:hAnsi="Arial" w:cs="Arial"/>
          <w:lang w:val="en-US"/>
        </w:rPr>
        <w:t xml:space="preserve"> few elastic fib</w:t>
      </w:r>
      <w:r>
        <w:rPr>
          <w:rFonts w:ascii="Arial" w:hAnsi="Arial" w:cs="Arial"/>
          <w:highlight w:val="yellow"/>
          <w:lang w:val="en-US"/>
        </w:rPr>
        <w:t>r</w:t>
      </w:r>
      <w:r>
        <w:rPr>
          <w:rFonts w:ascii="Arial" w:hAnsi="Arial" w:cs="Arial"/>
          <w:lang w:val="en-US"/>
        </w:rPr>
        <w:t xml:space="preserve">es. This is in agreement with the findings of Madara (1991), who </w:t>
      </w:r>
      <w:r>
        <w:rPr>
          <w:rFonts w:ascii="Arial" w:hAnsi="Arial" w:cs="Arial"/>
          <w:highlight w:val="yellow"/>
          <w:lang w:val="en-US"/>
        </w:rPr>
        <w:t>desc</w:t>
      </w:r>
      <w:r>
        <w:rPr>
          <w:rFonts w:ascii="Arial" w:hAnsi="Arial" w:cs="Arial"/>
          <w:lang w:val="en-US"/>
        </w:rPr>
        <w:t>r</w:t>
      </w:r>
      <w:r>
        <w:rPr>
          <w:rFonts w:ascii="Arial" w:hAnsi="Arial" w:cs="Arial"/>
          <w:highlight w:val="yellow"/>
          <w:lang w:val="en-US"/>
        </w:rPr>
        <w:t>ib</w:t>
      </w:r>
      <w:r>
        <w:rPr>
          <w:rFonts w:ascii="Arial" w:hAnsi="Arial" w:cs="Arial"/>
          <w:lang w:val="en-US"/>
        </w:rPr>
        <w:t xml:space="preserve">ed the basement membrane as </w:t>
      </w:r>
      <w:r>
        <w:rPr>
          <w:rFonts w:ascii="Arial" w:hAnsi="Arial" w:cs="Arial"/>
          <w:highlight w:val="yellow"/>
          <w:lang w:val="en-US"/>
        </w:rPr>
        <w:t xml:space="preserve">a </w:t>
      </w:r>
      <w:r>
        <w:rPr>
          <w:rFonts w:ascii="Arial" w:hAnsi="Arial" w:cs="Arial"/>
          <w:lang w:val="en-US"/>
        </w:rPr>
        <w:t>supporting element of the epithelium.</w:t>
      </w:r>
      <w:r>
        <w:rPr>
          <w:rFonts w:ascii="Arial" w:hAnsi="Arial" w:cs="Arial"/>
          <w:highlight w:val="yellow"/>
          <w:lang w:val="en-US"/>
        </w:rPr>
        <w:t xml:space="preserve"> </w:t>
      </w:r>
      <w:r>
        <w:rPr>
          <w:rFonts w:ascii="Arial" w:hAnsi="Arial" w:cs="Arial"/>
          <w:lang w:val="en-US"/>
        </w:rPr>
        <w:t>Goblet cells were distributed among</w:t>
      </w:r>
      <w:r>
        <w:rPr>
          <w:rFonts w:ascii="Arial" w:hAnsi="Arial" w:cs="Arial"/>
          <w:highlight w:val="yellow"/>
          <w:lang w:val="en-US"/>
        </w:rPr>
        <w:t xml:space="preserve"> the</w:t>
      </w:r>
      <w:r>
        <w:rPr>
          <w:rFonts w:ascii="Arial" w:hAnsi="Arial" w:cs="Arial"/>
          <w:lang w:val="en-US"/>
        </w:rPr>
        <w:t xml:space="preserve"> surface epithelium and crypts, and their </w:t>
      </w:r>
      <w:r>
        <w:rPr>
          <w:rFonts w:ascii="Arial" w:hAnsi="Arial" w:cs="Arial"/>
          <w:lang w:val="en-US"/>
        </w:rPr>
        <w:lastRenderedPageBreak/>
        <w:t xml:space="preserve">number increased from </w:t>
      </w:r>
      <w:r>
        <w:rPr>
          <w:rFonts w:ascii="Arial" w:hAnsi="Arial" w:cs="Arial"/>
          <w:highlight w:val="yellow"/>
          <w:lang w:val="en-US"/>
        </w:rPr>
        <w:t xml:space="preserve">the </w:t>
      </w:r>
      <w:r>
        <w:rPr>
          <w:rFonts w:ascii="Arial" w:hAnsi="Arial" w:cs="Arial"/>
          <w:lang w:val="en-US"/>
        </w:rPr>
        <w:t>cranial to</w:t>
      </w:r>
      <w:r>
        <w:rPr>
          <w:rFonts w:ascii="Arial" w:hAnsi="Arial" w:cs="Arial"/>
          <w:highlight w:val="yellow"/>
          <w:lang w:val="en-US"/>
        </w:rPr>
        <w:t xml:space="preserve"> the</w:t>
      </w:r>
      <w:r>
        <w:rPr>
          <w:rFonts w:ascii="Arial" w:hAnsi="Arial" w:cs="Arial"/>
          <w:lang w:val="en-US"/>
        </w:rPr>
        <w:t xml:space="preserve"> caudal part of the duodenum</w:t>
      </w:r>
      <w:r>
        <w:rPr>
          <w:rFonts w:ascii="Arial" w:hAnsi="Arial" w:cs="Arial"/>
          <w:highlight w:val="yellow"/>
          <w:lang w:val="en-US"/>
        </w:rPr>
        <w:t>,</w:t>
      </w:r>
      <w:r>
        <w:rPr>
          <w:rFonts w:ascii="Arial" w:hAnsi="Arial" w:cs="Arial"/>
          <w:lang w:val="en-US"/>
        </w:rPr>
        <w:t xml:space="preserve"> as well as with advanc</w:t>
      </w:r>
      <w:r>
        <w:rPr>
          <w:rFonts w:ascii="Arial" w:hAnsi="Arial" w:cs="Arial"/>
          <w:highlight w:val="yellow"/>
          <w:lang w:val="en-US"/>
        </w:rPr>
        <w:t>ing ag</w:t>
      </w:r>
      <w:r>
        <w:rPr>
          <w:rFonts w:ascii="Arial" w:hAnsi="Arial" w:cs="Arial"/>
          <w:lang w:val="en-US"/>
        </w:rPr>
        <w:t>e (Fig 5</w:t>
      </w:r>
      <w:r>
        <w:rPr>
          <w:rFonts w:ascii="Arial" w:hAnsi="Arial" w:cs="Arial"/>
          <w:b/>
          <w:bCs/>
          <w:lang w:val="en-US"/>
        </w:rPr>
        <w:t>).</w:t>
      </w:r>
      <w:r>
        <w:rPr>
          <w:rFonts w:ascii="Arial" w:hAnsi="Arial" w:cs="Arial"/>
          <w:lang w:val="en-US"/>
        </w:rPr>
        <w:t xml:space="preserve"> These observations corroborate the findings of Talukdar (1999) in adult crossbred pigs and Korkmaz and Kum (2016) in camels, who reported fewer goblet cells at villus tips and higher numbers toward</w:t>
      </w:r>
      <w:r>
        <w:rPr>
          <w:rFonts w:ascii="Arial" w:hAnsi="Arial" w:cs="Arial"/>
          <w:highlight w:val="yellow"/>
          <w:lang w:val="en-US"/>
        </w:rPr>
        <w:t>s</w:t>
      </w:r>
      <w:r>
        <w:rPr>
          <w:rFonts w:ascii="Arial" w:hAnsi="Arial" w:cs="Arial"/>
          <w:lang w:val="en-US"/>
        </w:rPr>
        <w:t xml:space="preserve"> crypt regions. Al</w:t>
      </w:r>
      <w:r>
        <w:rPr>
          <w:rFonts w:ascii="Arial" w:hAnsi="Arial" w:cs="Arial"/>
          <w:highlight w:val="yellow"/>
          <w:lang w:val="en-US"/>
        </w:rPr>
        <w:t>-</w:t>
      </w:r>
      <w:r>
        <w:rPr>
          <w:rFonts w:ascii="Arial" w:hAnsi="Arial" w:cs="Arial"/>
          <w:lang w:val="en-US"/>
        </w:rPr>
        <w:t>Saffar and Al</w:t>
      </w:r>
      <w:r>
        <w:rPr>
          <w:rFonts w:ascii="Arial" w:hAnsi="Arial" w:cs="Arial"/>
          <w:highlight w:val="yellow"/>
          <w:lang w:val="en-US"/>
        </w:rPr>
        <w:t>-</w:t>
      </w:r>
      <w:r>
        <w:rPr>
          <w:rFonts w:ascii="Arial" w:hAnsi="Arial" w:cs="Arial"/>
          <w:lang w:val="en-US"/>
        </w:rPr>
        <w:t xml:space="preserve">Zuhairy (2016) observed rounded goblet cells in domestic cats and noted alterations in </w:t>
      </w:r>
      <w:r>
        <w:rPr>
          <w:rFonts w:ascii="Arial" w:hAnsi="Arial" w:cs="Arial"/>
          <w:highlight w:val="yellow"/>
          <w:lang w:val="en-US"/>
        </w:rPr>
        <w:t xml:space="preserve">the </w:t>
      </w:r>
      <w:r>
        <w:rPr>
          <w:rFonts w:ascii="Arial" w:hAnsi="Arial" w:cs="Arial"/>
          <w:lang w:val="en-US"/>
        </w:rPr>
        <w:t>vill</w:t>
      </w:r>
      <w:r>
        <w:rPr>
          <w:rFonts w:ascii="Arial" w:hAnsi="Arial" w:cs="Arial"/>
          <w:highlight w:val="yellow"/>
          <w:lang w:val="en-US"/>
        </w:rPr>
        <w:t>us</w:t>
      </w:r>
      <w:r>
        <w:rPr>
          <w:rFonts w:ascii="Arial" w:hAnsi="Arial" w:cs="Arial"/>
          <w:lang w:val="en-US"/>
        </w:rPr>
        <w:t>-crypt ratio with age. Singh et al. (2021) also reported numerous goblet cells embedded in the surface epithelium of pigs. The progressive increase in goblet cells observed in the present study may indicate increasing mucosal protection and lubrication requirements with postnatal growth.</w:t>
      </w:r>
    </w:p>
    <w:p w14:paraId="06C5BA86" w14:textId="77777777" w:rsidR="004C0604" w:rsidRPr="003054AD" w:rsidRDefault="004C0604" w:rsidP="004C0604">
      <w:pPr>
        <w:spacing w:line="240" w:lineRule="auto"/>
        <w:ind w:left="0"/>
        <w:jc w:val="both"/>
        <w:rPr>
          <w:rFonts w:ascii="Arial" w:hAnsi="Arial" w:cs="Arial"/>
          <w:lang w:val="en-US"/>
        </w:rPr>
      </w:pPr>
      <w:r>
        <w:rPr>
          <w:rFonts w:ascii="Arial" w:hAnsi="Arial" w:cs="Arial"/>
          <w:lang w:val="en-US"/>
        </w:rPr>
        <w:t xml:space="preserve">Intraepithelial lymphocytes were frequently encountered among </w:t>
      </w:r>
      <w:r>
        <w:rPr>
          <w:rFonts w:ascii="Arial" w:hAnsi="Arial" w:cs="Arial"/>
          <w:highlight w:val="yellow"/>
          <w:lang w:val="en-US"/>
        </w:rPr>
        <w:t xml:space="preserve">the </w:t>
      </w:r>
      <w:r>
        <w:rPr>
          <w:rFonts w:ascii="Arial" w:hAnsi="Arial" w:cs="Arial"/>
          <w:lang w:val="en-US"/>
        </w:rPr>
        <w:t>enterocytes of villi and crypts in all age groups</w:t>
      </w:r>
      <w:r>
        <w:rPr>
          <w:rFonts w:ascii="Arial" w:hAnsi="Arial" w:cs="Arial"/>
          <w:highlight w:val="yellow"/>
          <w:lang w:val="en-US"/>
        </w:rPr>
        <w:t>,</w:t>
      </w:r>
      <w:r>
        <w:rPr>
          <w:rFonts w:ascii="Arial" w:hAnsi="Arial" w:cs="Arial"/>
          <w:lang w:val="en-US"/>
        </w:rPr>
        <w:t xml:space="preserve"> and their number increased with age (Fig 5</w:t>
      </w:r>
      <w:r>
        <w:rPr>
          <w:rFonts w:ascii="Arial" w:hAnsi="Arial" w:cs="Arial"/>
          <w:b/>
          <w:bCs/>
          <w:lang w:val="en-US"/>
        </w:rPr>
        <w:t>)</w:t>
      </w:r>
      <w:r>
        <w:rPr>
          <w:rFonts w:ascii="Arial" w:hAnsi="Arial" w:cs="Arial"/>
          <w:lang w:val="en-US"/>
        </w:rPr>
        <w:t>. Similar observations were made by Pabst et al. (1988) in pigs, Vega</w:t>
      </w:r>
      <w:r>
        <w:rPr>
          <w:rFonts w:ascii="Arial" w:hAnsi="Arial" w:cs="Arial"/>
          <w:highlight w:val="yellow"/>
          <w:lang w:val="en-US"/>
        </w:rPr>
        <w:t>-</w:t>
      </w:r>
      <w:r>
        <w:rPr>
          <w:rFonts w:ascii="Arial" w:hAnsi="Arial" w:cs="Arial"/>
          <w:lang w:val="en-US"/>
        </w:rPr>
        <w:t>L</w:t>
      </w:r>
      <w:r>
        <w:rPr>
          <w:rFonts w:ascii="Arial" w:hAnsi="Arial" w:cs="Arial"/>
          <w:highlight w:val="yellow"/>
          <w:lang w:val="en-US"/>
        </w:rPr>
        <w:t>ó</w:t>
      </w:r>
      <w:r>
        <w:rPr>
          <w:rFonts w:ascii="Arial" w:hAnsi="Arial" w:cs="Arial"/>
          <w:lang w:val="en-US"/>
        </w:rPr>
        <w:t xml:space="preserve">pez et al. </w:t>
      </w:r>
      <w:r>
        <w:rPr>
          <w:rFonts w:ascii="Arial" w:hAnsi="Arial" w:cs="Arial"/>
          <w:lang w:val="nl-BE"/>
        </w:rPr>
        <w:t>(2001) in pi</w:t>
      </w:r>
      <w:r>
        <w:rPr>
          <w:rFonts w:ascii="Arial" w:hAnsi="Arial" w:cs="Arial"/>
          <w:highlight w:val="yellow"/>
          <w:lang w:val="nl-BE"/>
        </w:rPr>
        <w:t>g</w:t>
      </w:r>
      <w:r>
        <w:rPr>
          <w:rFonts w:ascii="Arial" w:hAnsi="Arial" w:cs="Arial"/>
          <w:lang w:val="nl-BE"/>
        </w:rPr>
        <w:t>s, Kalita et al. (2021) in piglets</w:t>
      </w:r>
      <w:r>
        <w:rPr>
          <w:rFonts w:ascii="Arial" w:hAnsi="Arial" w:cs="Arial"/>
          <w:highlight w:val="yellow"/>
          <w:lang w:val="nl-BE"/>
        </w:rPr>
        <w:t>,</w:t>
      </w:r>
      <w:r>
        <w:rPr>
          <w:rFonts w:ascii="Arial" w:hAnsi="Arial" w:cs="Arial"/>
          <w:lang w:val="nl-BE"/>
        </w:rPr>
        <w:t xml:space="preserve"> and Singh et al. </w:t>
      </w:r>
      <w:r>
        <w:rPr>
          <w:rFonts w:ascii="Arial" w:hAnsi="Arial" w:cs="Arial"/>
          <w:lang w:val="en-US"/>
        </w:rPr>
        <w:t xml:space="preserve">(2021) in pigs, who identified intraepithelial immune cells located at the apical or basal portions of the lining mucosa. Raja et al. (2022) also observed intraepithelial cells and globular leukocytes throughout postnatal life in guinea pigs. </w:t>
      </w:r>
      <w:r>
        <w:rPr>
          <w:rFonts w:ascii="Arial" w:hAnsi="Arial" w:cs="Arial"/>
          <w:highlight w:val="yellow"/>
          <w:lang w:val="en-US"/>
        </w:rPr>
        <w:t>The i</w:t>
      </w:r>
      <w:r>
        <w:rPr>
          <w:rFonts w:ascii="Arial" w:hAnsi="Arial" w:cs="Arial"/>
          <w:lang w:val="en-US"/>
        </w:rPr>
        <w:t xml:space="preserve">ncreased IEL population in </w:t>
      </w:r>
      <w:r>
        <w:rPr>
          <w:rFonts w:ascii="Arial" w:hAnsi="Arial" w:cs="Arial"/>
          <w:highlight w:val="yellow"/>
          <w:lang w:val="en-US"/>
        </w:rPr>
        <w:t xml:space="preserve">the </w:t>
      </w:r>
      <w:r>
        <w:rPr>
          <w:rFonts w:ascii="Arial" w:hAnsi="Arial" w:cs="Arial"/>
          <w:lang w:val="en-US"/>
        </w:rPr>
        <w:t>older groups of</w:t>
      </w:r>
      <w:r>
        <w:rPr>
          <w:rFonts w:ascii="Arial" w:hAnsi="Arial" w:cs="Arial"/>
          <w:highlight w:val="yellow"/>
          <w:lang w:val="en-US"/>
        </w:rPr>
        <w:t xml:space="preserve"> the</w:t>
      </w:r>
      <w:r>
        <w:rPr>
          <w:rFonts w:ascii="Arial" w:hAnsi="Arial" w:cs="Arial"/>
          <w:lang w:val="en-US"/>
        </w:rPr>
        <w:t xml:space="preserve"> present study may reflect progressive maturation of intestinal immune mechanisms.</w:t>
      </w:r>
    </w:p>
    <w:p w14:paraId="6A915309" w14:textId="77777777" w:rsidR="004C0604" w:rsidRPr="003054AD" w:rsidRDefault="004C0604" w:rsidP="004C0604">
      <w:pPr>
        <w:spacing w:line="240" w:lineRule="auto"/>
        <w:ind w:left="0"/>
        <w:jc w:val="both"/>
        <w:rPr>
          <w:rFonts w:ascii="Arial" w:hAnsi="Arial" w:cs="Arial"/>
          <w:lang w:val="en-US"/>
        </w:rPr>
      </w:pPr>
      <w:r>
        <w:rPr>
          <w:rFonts w:ascii="Arial" w:hAnsi="Arial" w:cs="Arial"/>
          <w:lang w:val="en-US"/>
        </w:rPr>
        <w:t>The lamina propria in</w:t>
      </w:r>
      <w:r>
        <w:rPr>
          <w:rFonts w:ascii="Arial" w:hAnsi="Arial" w:cs="Arial"/>
          <w:highlight w:val="yellow"/>
          <w:lang w:val="en-US"/>
        </w:rPr>
        <w:t xml:space="preserve"> the</w:t>
      </w:r>
      <w:r>
        <w:rPr>
          <w:rFonts w:ascii="Arial" w:hAnsi="Arial" w:cs="Arial"/>
          <w:lang w:val="en-US"/>
        </w:rPr>
        <w:t xml:space="preserve"> present study consisted of intestinal glands lined by low columnar cells, connective tissue fibres, blood vessels, lymphatics, fibroblasts</w:t>
      </w:r>
      <w:r>
        <w:rPr>
          <w:rFonts w:ascii="Arial" w:hAnsi="Arial" w:cs="Arial"/>
          <w:highlight w:val="yellow"/>
          <w:lang w:val="en-US"/>
        </w:rPr>
        <w:t>,</w:t>
      </w:r>
      <w:r>
        <w:rPr>
          <w:rFonts w:ascii="Arial" w:hAnsi="Arial" w:cs="Arial"/>
          <w:lang w:val="en-US"/>
        </w:rPr>
        <w:t xml:space="preserve"> and lymphocytes, while their number</w:t>
      </w:r>
      <w:r>
        <w:rPr>
          <w:rFonts w:ascii="Arial" w:hAnsi="Arial" w:cs="Arial"/>
          <w:highlight w:val="yellow"/>
          <w:lang w:val="en-US"/>
        </w:rPr>
        <w:t>s</w:t>
      </w:r>
      <w:r>
        <w:rPr>
          <w:rFonts w:ascii="Arial" w:hAnsi="Arial" w:cs="Arial"/>
          <w:lang w:val="en-US"/>
        </w:rPr>
        <w:t xml:space="preserve"> increased progressively </w:t>
      </w:r>
      <w:r>
        <w:rPr>
          <w:rFonts w:ascii="Arial" w:hAnsi="Arial" w:cs="Arial"/>
          <w:highlight w:val="yellow"/>
          <w:lang w:val="en-US"/>
        </w:rPr>
        <w:t>wi</w:t>
      </w:r>
      <w:r>
        <w:rPr>
          <w:rFonts w:ascii="Arial" w:hAnsi="Arial" w:cs="Arial"/>
          <w:lang w:val="en-US"/>
        </w:rPr>
        <w:t>th advanc</w:t>
      </w:r>
      <w:r>
        <w:rPr>
          <w:rFonts w:ascii="Arial" w:hAnsi="Arial" w:cs="Arial"/>
          <w:highlight w:val="yellow"/>
          <w:lang w:val="en-US"/>
        </w:rPr>
        <w:t>ing ag</w:t>
      </w:r>
      <w:r>
        <w:rPr>
          <w:rFonts w:ascii="Arial" w:hAnsi="Arial" w:cs="Arial"/>
          <w:lang w:val="en-US"/>
        </w:rPr>
        <w:t>e (Fig 6</w:t>
      </w:r>
      <w:r>
        <w:rPr>
          <w:rFonts w:ascii="Arial" w:hAnsi="Arial" w:cs="Arial"/>
          <w:b/>
          <w:bCs/>
          <w:lang w:val="en-US"/>
        </w:rPr>
        <w:t>)</w:t>
      </w:r>
      <w:r>
        <w:rPr>
          <w:rFonts w:ascii="Arial" w:hAnsi="Arial" w:cs="Arial"/>
          <w:lang w:val="en-US"/>
        </w:rPr>
        <w:t>. Singh et al. (2021) also reported diffuse lymphocyte accumulation between vill</w:t>
      </w:r>
      <w:r>
        <w:rPr>
          <w:rFonts w:ascii="Arial" w:hAnsi="Arial" w:cs="Arial"/>
          <w:highlight w:val="yellow"/>
          <w:lang w:val="en-US"/>
        </w:rPr>
        <w:t>i</w:t>
      </w:r>
      <w:r>
        <w:rPr>
          <w:rFonts w:ascii="Arial" w:hAnsi="Arial" w:cs="Arial"/>
          <w:lang w:val="en-US"/>
        </w:rPr>
        <w:t xml:space="preserve"> and crypts in pigs. Increased lymphoid elements in the present study may indicate </w:t>
      </w:r>
      <w:r>
        <w:rPr>
          <w:rFonts w:ascii="Arial" w:hAnsi="Arial" w:cs="Arial"/>
          <w:highlight w:val="yellow"/>
          <w:lang w:val="en-US"/>
        </w:rPr>
        <w:t xml:space="preserve">the </w:t>
      </w:r>
      <w:r>
        <w:rPr>
          <w:rFonts w:ascii="Arial" w:hAnsi="Arial" w:cs="Arial"/>
          <w:lang w:val="en-US"/>
        </w:rPr>
        <w:t xml:space="preserve">development of intestinal immunity after birth. Hassan and Moussa (2015) described loose connective tissue rich in vascular and lymphatic elements within </w:t>
      </w:r>
      <w:r>
        <w:rPr>
          <w:rFonts w:ascii="Arial" w:hAnsi="Arial" w:cs="Arial"/>
          <w:highlight w:val="yellow"/>
          <w:lang w:val="en-US"/>
        </w:rPr>
        <w:t xml:space="preserve">the </w:t>
      </w:r>
      <w:r>
        <w:rPr>
          <w:rFonts w:ascii="Arial" w:hAnsi="Arial" w:cs="Arial"/>
          <w:lang w:val="en-US"/>
        </w:rPr>
        <w:t xml:space="preserve">lamina propria </w:t>
      </w:r>
      <w:r>
        <w:rPr>
          <w:rFonts w:ascii="Arial" w:hAnsi="Arial" w:cs="Arial"/>
          <w:highlight w:val="yellow"/>
          <w:lang w:val="en-US"/>
        </w:rPr>
        <w:t xml:space="preserve">in goats, </w:t>
      </w:r>
      <w:r>
        <w:rPr>
          <w:rFonts w:ascii="Arial" w:hAnsi="Arial" w:cs="Arial"/>
          <w:lang w:val="en-US"/>
        </w:rPr>
        <w:t>and</w:t>
      </w:r>
      <w:r>
        <w:rPr>
          <w:rFonts w:ascii="Arial" w:hAnsi="Arial" w:cs="Arial"/>
          <w:highlight w:val="yellow"/>
          <w:lang w:val="en-US"/>
        </w:rPr>
        <w:t xml:space="preserve"> similar findings were</w:t>
      </w:r>
      <w:r>
        <w:rPr>
          <w:rFonts w:ascii="Arial" w:hAnsi="Arial" w:cs="Arial"/>
          <w:lang w:val="en-US"/>
        </w:rPr>
        <w:t xml:space="preserve"> also</w:t>
      </w:r>
      <w:r>
        <w:rPr>
          <w:rFonts w:ascii="Arial" w:hAnsi="Arial" w:cs="Arial"/>
          <w:highlight w:val="yellow"/>
          <w:lang w:val="en-US"/>
        </w:rPr>
        <w:t xml:space="preserve"> reported</w:t>
      </w:r>
      <w:r>
        <w:rPr>
          <w:rFonts w:ascii="Arial" w:hAnsi="Arial" w:cs="Arial"/>
          <w:lang w:val="en-US"/>
        </w:rPr>
        <w:t xml:space="preserve"> in piglets </w:t>
      </w:r>
      <w:r>
        <w:rPr>
          <w:rFonts w:ascii="Arial" w:hAnsi="Arial" w:cs="Arial"/>
          <w:highlight w:val="yellow"/>
          <w:lang w:val="en-US"/>
        </w:rPr>
        <w:t xml:space="preserve">by </w:t>
      </w:r>
      <w:r>
        <w:rPr>
          <w:rFonts w:ascii="Arial" w:hAnsi="Arial" w:cs="Arial"/>
          <w:lang w:val="en-US"/>
        </w:rPr>
        <w:t xml:space="preserve">Kalita et al. </w:t>
      </w:r>
      <w:r>
        <w:rPr>
          <w:rFonts w:ascii="Arial" w:hAnsi="Arial" w:cs="Arial"/>
          <w:highlight w:val="yellow"/>
          <w:lang w:val="en-US"/>
        </w:rPr>
        <w:t>(</w:t>
      </w:r>
      <w:r>
        <w:rPr>
          <w:rFonts w:ascii="Arial" w:hAnsi="Arial" w:cs="Arial"/>
          <w:lang w:val="en-US"/>
        </w:rPr>
        <w:t xml:space="preserve">2017). </w:t>
      </w:r>
      <w:r>
        <w:rPr>
          <w:rFonts w:ascii="Arial" w:hAnsi="Arial" w:cs="Arial"/>
          <w:highlight w:val="yellow"/>
          <w:lang w:val="en-US"/>
        </w:rPr>
        <w:t>L</w:t>
      </w:r>
      <w:r>
        <w:rPr>
          <w:rFonts w:ascii="Arial" w:hAnsi="Arial" w:cs="Arial"/>
          <w:lang w:val="en-US"/>
        </w:rPr>
        <w:t xml:space="preserve">ymphocytic infiltration in </w:t>
      </w:r>
      <w:r>
        <w:rPr>
          <w:rFonts w:ascii="Arial" w:hAnsi="Arial" w:cs="Arial"/>
          <w:highlight w:val="yellow"/>
          <w:lang w:val="en-US"/>
        </w:rPr>
        <w:t xml:space="preserve">the </w:t>
      </w:r>
      <w:r>
        <w:rPr>
          <w:rFonts w:ascii="Arial" w:hAnsi="Arial" w:cs="Arial"/>
          <w:lang w:val="en-US"/>
        </w:rPr>
        <w:t xml:space="preserve">lamina propria increased </w:t>
      </w:r>
      <w:r>
        <w:rPr>
          <w:rFonts w:ascii="Arial" w:hAnsi="Arial" w:cs="Arial"/>
          <w:highlight w:val="yellow"/>
          <w:lang w:val="en-US"/>
        </w:rPr>
        <w:t>wi</w:t>
      </w:r>
      <w:r>
        <w:rPr>
          <w:rFonts w:ascii="Arial" w:hAnsi="Arial" w:cs="Arial"/>
          <w:lang w:val="en-US"/>
        </w:rPr>
        <w:t>th advanc</w:t>
      </w:r>
      <w:r>
        <w:rPr>
          <w:rFonts w:ascii="Arial" w:hAnsi="Arial" w:cs="Arial"/>
          <w:highlight w:val="yellow"/>
          <w:lang w:val="en-US"/>
        </w:rPr>
        <w:t>ing ag</w:t>
      </w:r>
      <w:r>
        <w:rPr>
          <w:rFonts w:ascii="Arial" w:hAnsi="Arial" w:cs="Arial"/>
          <w:lang w:val="en-US"/>
        </w:rPr>
        <w:t>e</w:t>
      </w:r>
      <w:r>
        <w:rPr>
          <w:rFonts w:ascii="Arial" w:hAnsi="Arial" w:cs="Arial"/>
          <w:highlight w:val="yellow"/>
          <w:lang w:val="en-US"/>
        </w:rPr>
        <w:t>;</w:t>
      </w:r>
      <w:r>
        <w:rPr>
          <w:rFonts w:ascii="Arial" w:hAnsi="Arial" w:cs="Arial"/>
          <w:lang w:val="en-US"/>
        </w:rPr>
        <w:t xml:space="preserve"> these </w:t>
      </w:r>
      <w:r>
        <w:rPr>
          <w:rFonts w:ascii="Arial" w:hAnsi="Arial" w:cs="Arial"/>
          <w:highlight w:val="yellow"/>
          <w:lang w:val="en-US"/>
        </w:rPr>
        <w:t>obse</w:t>
      </w:r>
      <w:r>
        <w:rPr>
          <w:rFonts w:ascii="Arial" w:hAnsi="Arial" w:cs="Arial"/>
          <w:lang w:val="en-US"/>
        </w:rPr>
        <w:t>r</w:t>
      </w:r>
      <w:r>
        <w:rPr>
          <w:rFonts w:ascii="Arial" w:hAnsi="Arial" w:cs="Arial"/>
          <w:highlight w:val="yellow"/>
          <w:lang w:val="en-US"/>
        </w:rPr>
        <w:t>vati</w:t>
      </w:r>
      <w:r>
        <w:rPr>
          <w:rFonts w:ascii="Arial" w:hAnsi="Arial" w:cs="Arial"/>
          <w:lang w:val="en-US"/>
        </w:rPr>
        <w:t>o</w:t>
      </w:r>
      <w:r>
        <w:rPr>
          <w:rFonts w:ascii="Arial" w:hAnsi="Arial" w:cs="Arial"/>
          <w:highlight w:val="yellow"/>
          <w:lang w:val="en-US"/>
        </w:rPr>
        <w:t>n</w:t>
      </w:r>
      <w:r>
        <w:rPr>
          <w:rFonts w:ascii="Arial" w:hAnsi="Arial" w:cs="Arial"/>
          <w:lang w:val="en-US"/>
        </w:rPr>
        <w:t>s are in accordance with th</w:t>
      </w:r>
      <w:r>
        <w:rPr>
          <w:rFonts w:ascii="Arial" w:hAnsi="Arial" w:cs="Arial"/>
          <w:highlight w:val="yellow"/>
          <w:lang w:val="en-US"/>
        </w:rPr>
        <w:t>os</w:t>
      </w:r>
      <w:r>
        <w:rPr>
          <w:rFonts w:ascii="Arial" w:hAnsi="Arial" w:cs="Arial"/>
          <w:lang w:val="en-US"/>
        </w:rPr>
        <w:t>e</w:t>
      </w:r>
      <w:r>
        <w:rPr>
          <w:rFonts w:ascii="Arial" w:hAnsi="Arial" w:cs="Arial"/>
          <w:highlight w:val="yellow"/>
          <w:lang w:val="en-US"/>
        </w:rPr>
        <w:t xml:space="preserve"> of</w:t>
      </w:r>
      <w:r>
        <w:rPr>
          <w:rFonts w:ascii="Arial" w:hAnsi="Arial" w:cs="Arial"/>
          <w:lang w:val="en-US"/>
        </w:rPr>
        <w:t xml:space="preserve"> Rothk</w:t>
      </w:r>
      <w:r>
        <w:rPr>
          <w:rFonts w:ascii="Arial" w:hAnsi="Arial" w:cs="Arial"/>
          <w:highlight w:val="yellow"/>
          <w:lang w:val="en-US"/>
        </w:rPr>
        <w:t>ö</w:t>
      </w:r>
      <w:r>
        <w:rPr>
          <w:rFonts w:ascii="Arial" w:hAnsi="Arial" w:cs="Arial"/>
          <w:lang w:val="en-US"/>
        </w:rPr>
        <w:t>tter et al. (1991) in pigs. Crypts of Lieberkuhn (intestinal glands or mucosal glands) in the present investigation were simple tubulo-alveolar glands lined by simple columnar epithelium with goblet cells, which opened onto the surface epithelium at intervillous spaces near the base of the villi. The nuclei of these columnar cells were round to oval in shape and located at the base of the cell (Fig 7</w:t>
      </w:r>
      <w:r>
        <w:rPr>
          <w:rFonts w:ascii="Arial" w:hAnsi="Arial" w:cs="Arial"/>
          <w:b/>
          <w:bCs/>
          <w:lang w:val="en-US"/>
        </w:rPr>
        <w:t>)</w:t>
      </w:r>
      <w:r>
        <w:rPr>
          <w:rFonts w:ascii="Arial" w:hAnsi="Arial" w:cs="Arial"/>
          <w:highlight w:val="yellow"/>
          <w:lang w:val="en-US"/>
        </w:rPr>
        <w:t>.</w:t>
      </w:r>
      <w:r>
        <w:rPr>
          <w:rFonts w:ascii="Arial" w:hAnsi="Arial" w:cs="Arial"/>
          <w:lang w:val="en-US"/>
        </w:rPr>
        <w:t xml:space="preserve"> </w:t>
      </w:r>
      <w:r>
        <w:rPr>
          <w:rFonts w:ascii="Arial" w:hAnsi="Arial" w:cs="Arial"/>
          <w:highlight w:val="yellow"/>
          <w:lang w:val="en-US"/>
        </w:rPr>
        <w:t>T</w:t>
      </w:r>
      <w:r>
        <w:rPr>
          <w:rFonts w:ascii="Arial" w:hAnsi="Arial" w:cs="Arial"/>
          <w:lang w:val="en-US"/>
        </w:rPr>
        <w:t>hese finding</w:t>
      </w:r>
      <w:r>
        <w:rPr>
          <w:rFonts w:ascii="Arial" w:hAnsi="Arial" w:cs="Arial"/>
          <w:highlight w:val="yellow"/>
          <w:lang w:val="en-US"/>
        </w:rPr>
        <w:t>s</w:t>
      </w:r>
      <w:r>
        <w:rPr>
          <w:rFonts w:ascii="Arial" w:hAnsi="Arial" w:cs="Arial"/>
          <w:lang w:val="en-US"/>
        </w:rPr>
        <w:t xml:space="preserve"> are similar to</w:t>
      </w:r>
      <w:r>
        <w:rPr>
          <w:rFonts w:ascii="Arial" w:hAnsi="Arial" w:cs="Arial"/>
          <w:highlight w:val="yellow"/>
          <w:lang w:val="en-US"/>
        </w:rPr>
        <w:t xml:space="preserve"> those of</w:t>
      </w:r>
      <w:r>
        <w:rPr>
          <w:rFonts w:ascii="Arial" w:hAnsi="Arial" w:cs="Arial"/>
          <w:lang w:val="en-US"/>
        </w:rPr>
        <w:t xml:space="preserve"> Kumar et al. </w:t>
      </w:r>
      <w:r>
        <w:rPr>
          <w:rFonts w:ascii="Arial" w:hAnsi="Arial" w:cs="Arial"/>
          <w:lang w:val="nl-BE"/>
        </w:rPr>
        <w:t xml:space="preserve">(2013) in sheep, Gahlot et al. (2017) in goats, Gutte </w:t>
      </w:r>
      <w:r>
        <w:rPr>
          <w:rFonts w:ascii="Arial" w:hAnsi="Arial" w:cs="Arial"/>
          <w:lang w:val="en-US"/>
        </w:rPr>
        <w:t>(2019) in sheep and goats, Al</w:t>
      </w:r>
      <w:r>
        <w:rPr>
          <w:rFonts w:ascii="Arial" w:hAnsi="Arial" w:cs="Arial"/>
          <w:highlight w:val="yellow"/>
          <w:lang w:val="en-US"/>
        </w:rPr>
        <w:t>-</w:t>
      </w:r>
      <w:r>
        <w:rPr>
          <w:rFonts w:ascii="Arial" w:hAnsi="Arial" w:cs="Arial"/>
          <w:lang w:val="en-US"/>
        </w:rPr>
        <w:t>Mansour et al. (2020) in goat</w:t>
      </w:r>
      <w:r>
        <w:rPr>
          <w:rFonts w:ascii="Arial" w:hAnsi="Arial" w:cs="Arial"/>
          <w:highlight w:val="yellow"/>
          <w:lang w:val="en-US"/>
        </w:rPr>
        <w:t>s</w:t>
      </w:r>
      <w:r>
        <w:rPr>
          <w:rFonts w:ascii="Arial" w:hAnsi="Arial" w:cs="Arial"/>
          <w:lang w:val="en-US"/>
        </w:rPr>
        <w:t xml:space="preserve"> and gazelle</w:t>
      </w:r>
      <w:r>
        <w:rPr>
          <w:rFonts w:ascii="Arial" w:hAnsi="Arial" w:cs="Arial"/>
          <w:highlight w:val="yellow"/>
          <w:lang w:val="en-US"/>
        </w:rPr>
        <w:t>s,</w:t>
      </w:r>
      <w:r>
        <w:rPr>
          <w:rFonts w:ascii="Arial" w:hAnsi="Arial" w:cs="Arial"/>
          <w:lang w:val="en-US"/>
        </w:rPr>
        <w:t xml:space="preserve"> and Deswal and Gahlot (2024) in pigs, who described simple tubular and alveolar glands extending from </w:t>
      </w:r>
      <w:r>
        <w:rPr>
          <w:rFonts w:ascii="Arial" w:hAnsi="Arial" w:cs="Arial"/>
          <w:highlight w:val="yellow"/>
          <w:lang w:val="en-US"/>
        </w:rPr>
        <w:t xml:space="preserve">the </w:t>
      </w:r>
      <w:r>
        <w:rPr>
          <w:rFonts w:ascii="Arial" w:hAnsi="Arial" w:cs="Arial"/>
          <w:lang w:val="en-US"/>
        </w:rPr>
        <w:t>muscularis mucosae to</w:t>
      </w:r>
      <w:r>
        <w:rPr>
          <w:rFonts w:ascii="Arial" w:hAnsi="Arial" w:cs="Arial"/>
          <w:highlight w:val="yellow"/>
          <w:lang w:val="en-US"/>
        </w:rPr>
        <w:t xml:space="preserve"> the</w:t>
      </w:r>
      <w:r>
        <w:rPr>
          <w:rFonts w:ascii="Arial" w:hAnsi="Arial" w:cs="Arial"/>
          <w:lang w:val="en-US"/>
        </w:rPr>
        <w:t xml:space="preserve"> villus bases. The predominance of goblet cells within crypts compared with villus tips observed in the present study agreed with </w:t>
      </w:r>
      <w:r>
        <w:rPr>
          <w:rFonts w:ascii="Arial" w:hAnsi="Arial" w:cs="Arial"/>
          <w:highlight w:val="yellow"/>
          <w:lang w:val="en-US"/>
        </w:rPr>
        <w:t xml:space="preserve">the </w:t>
      </w:r>
      <w:r>
        <w:rPr>
          <w:rFonts w:ascii="Arial" w:hAnsi="Arial" w:cs="Arial"/>
          <w:lang w:val="en-US"/>
        </w:rPr>
        <w:t xml:space="preserve">observations of Korkmaz and Kum (2016) in camels. The intestinal glands were encased by a layer of connective tissue fibres </w:t>
      </w:r>
      <w:r>
        <w:rPr>
          <w:rFonts w:ascii="Arial" w:hAnsi="Arial" w:cs="Arial"/>
          <w:highlight w:val="yellow"/>
          <w:lang w:val="en-US"/>
        </w:rPr>
        <w:t>co</w:t>
      </w:r>
      <w:r>
        <w:rPr>
          <w:rFonts w:ascii="Arial" w:hAnsi="Arial" w:cs="Arial"/>
          <w:lang w:val="en-US"/>
        </w:rPr>
        <w:t>m</w:t>
      </w:r>
      <w:r>
        <w:rPr>
          <w:rFonts w:ascii="Arial" w:hAnsi="Arial" w:cs="Arial"/>
          <w:highlight w:val="yellow"/>
          <w:lang w:val="en-US"/>
        </w:rPr>
        <w:t>prising</w:t>
      </w:r>
      <w:r>
        <w:rPr>
          <w:rFonts w:ascii="Arial" w:hAnsi="Arial" w:cs="Arial"/>
          <w:lang w:val="en-US"/>
        </w:rPr>
        <w:t xml:space="preserve"> collagen, reticular</w:t>
      </w:r>
      <w:r>
        <w:rPr>
          <w:rFonts w:ascii="Arial" w:hAnsi="Arial" w:cs="Arial"/>
          <w:highlight w:val="yellow"/>
          <w:lang w:val="en-US"/>
        </w:rPr>
        <w:t>,</w:t>
      </w:r>
      <w:r>
        <w:rPr>
          <w:rFonts w:ascii="Arial" w:hAnsi="Arial" w:cs="Arial"/>
          <w:lang w:val="en-US"/>
        </w:rPr>
        <w:t xml:space="preserve"> and</w:t>
      </w:r>
      <w:r>
        <w:rPr>
          <w:rFonts w:ascii="Arial" w:hAnsi="Arial" w:cs="Arial"/>
          <w:highlight w:val="yellow"/>
          <w:lang w:val="en-US"/>
        </w:rPr>
        <w:t xml:space="preserve"> a</w:t>
      </w:r>
      <w:r>
        <w:rPr>
          <w:rFonts w:ascii="Arial" w:hAnsi="Arial" w:cs="Arial"/>
          <w:lang w:val="en-US"/>
        </w:rPr>
        <w:t xml:space="preserve"> few elastic fib</w:t>
      </w:r>
      <w:r>
        <w:rPr>
          <w:rFonts w:ascii="Arial" w:hAnsi="Arial" w:cs="Arial"/>
          <w:highlight w:val="yellow"/>
          <w:lang w:val="en-US"/>
        </w:rPr>
        <w:t>r</w:t>
      </w:r>
      <w:r>
        <w:rPr>
          <w:rFonts w:ascii="Arial" w:hAnsi="Arial" w:cs="Arial"/>
          <w:lang w:val="en-US"/>
        </w:rPr>
        <w:t>es (Fig 8</w:t>
      </w:r>
      <w:r>
        <w:rPr>
          <w:rFonts w:ascii="Arial" w:hAnsi="Arial" w:cs="Arial"/>
          <w:b/>
          <w:bCs/>
          <w:lang w:val="en-US"/>
        </w:rPr>
        <w:t>)</w:t>
      </w:r>
      <w:r>
        <w:rPr>
          <w:rFonts w:ascii="Arial" w:hAnsi="Arial" w:cs="Arial"/>
          <w:lang w:val="en-US"/>
        </w:rPr>
        <w:t xml:space="preserve">. The core of the villi was supported by </w:t>
      </w:r>
      <w:r>
        <w:rPr>
          <w:rFonts w:ascii="Arial" w:hAnsi="Arial" w:cs="Arial"/>
          <w:highlight w:val="yellow"/>
          <w:lang w:val="en-US"/>
        </w:rPr>
        <w:t xml:space="preserve">the </w:t>
      </w:r>
      <w:r>
        <w:rPr>
          <w:rFonts w:ascii="Arial" w:hAnsi="Arial" w:cs="Arial"/>
          <w:lang w:val="en-US"/>
        </w:rPr>
        <w:t xml:space="preserve">lamina propria along with </w:t>
      </w:r>
      <w:r>
        <w:rPr>
          <w:rFonts w:ascii="Arial" w:hAnsi="Arial" w:cs="Arial"/>
          <w:highlight w:val="yellow"/>
          <w:lang w:val="en-US"/>
        </w:rPr>
        <w:t xml:space="preserve">a </w:t>
      </w:r>
      <w:r>
        <w:rPr>
          <w:rFonts w:ascii="Arial" w:hAnsi="Arial" w:cs="Arial"/>
          <w:lang w:val="en-US"/>
        </w:rPr>
        <w:t>few fib</w:t>
      </w:r>
      <w:r>
        <w:rPr>
          <w:rFonts w:ascii="Arial" w:hAnsi="Arial" w:cs="Arial"/>
          <w:highlight w:val="yellow"/>
          <w:lang w:val="en-US"/>
        </w:rPr>
        <w:t>r</w:t>
      </w:r>
      <w:r>
        <w:rPr>
          <w:rFonts w:ascii="Arial" w:hAnsi="Arial" w:cs="Arial"/>
          <w:lang w:val="en-US"/>
        </w:rPr>
        <w:t>es of</w:t>
      </w:r>
      <w:r>
        <w:rPr>
          <w:rFonts w:ascii="Arial" w:hAnsi="Arial" w:cs="Arial"/>
          <w:highlight w:val="yellow"/>
          <w:lang w:val="en-US"/>
        </w:rPr>
        <w:t xml:space="preserve"> the</w:t>
      </w:r>
      <w:r>
        <w:rPr>
          <w:rFonts w:ascii="Arial" w:hAnsi="Arial" w:cs="Arial"/>
          <w:lang w:val="en-US"/>
        </w:rPr>
        <w:t xml:space="preserve"> lamina muscularis. These findings are in accordance with th</w:t>
      </w:r>
      <w:r>
        <w:rPr>
          <w:rFonts w:ascii="Arial" w:hAnsi="Arial" w:cs="Arial"/>
          <w:highlight w:val="yellow"/>
          <w:lang w:val="en-US"/>
        </w:rPr>
        <w:t>os</w:t>
      </w:r>
      <w:r>
        <w:rPr>
          <w:rFonts w:ascii="Arial" w:hAnsi="Arial" w:cs="Arial"/>
          <w:lang w:val="en-US"/>
        </w:rPr>
        <w:t>e of Deswal and Gahlot (2024) in pigs. In all postnatal age groups, IEL</w:t>
      </w:r>
      <w:r>
        <w:rPr>
          <w:rFonts w:ascii="Arial" w:hAnsi="Arial" w:cs="Arial"/>
          <w:highlight w:val="yellow"/>
          <w:lang w:val="en-US"/>
        </w:rPr>
        <w:t>s</w:t>
      </w:r>
      <w:r>
        <w:rPr>
          <w:rFonts w:ascii="Arial" w:hAnsi="Arial" w:cs="Arial"/>
          <w:lang w:val="en-US"/>
        </w:rPr>
        <w:t xml:space="preserve"> were also observed among the simple columnar epithelial cells and </w:t>
      </w:r>
      <w:r>
        <w:rPr>
          <w:rFonts w:ascii="Arial" w:hAnsi="Arial" w:cs="Arial"/>
          <w:highlight w:val="yellow"/>
          <w:lang w:val="en-US"/>
        </w:rPr>
        <w:t xml:space="preserve">within </w:t>
      </w:r>
      <w:r>
        <w:rPr>
          <w:rFonts w:ascii="Arial" w:hAnsi="Arial" w:cs="Arial"/>
          <w:lang w:val="en-US"/>
        </w:rPr>
        <w:t>the crypts. The IELs we</w:t>
      </w:r>
      <w:r>
        <w:rPr>
          <w:rFonts w:ascii="Arial" w:hAnsi="Arial" w:cs="Arial"/>
          <w:highlight w:val="yellow"/>
          <w:lang w:val="en-US"/>
        </w:rPr>
        <w:t>re mo</w:t>
      </w:r>
      <w:r>
        <w:rPr>
          <w:rFonts w:ascii="Arial" w:hAnsi="Arial" w:cs="Arial"/>
          <w:lang w:val="en-US"/>
        </w:rPr>
        <w:t xml:space="preserve">re abundant in the villi than in </w:t>
      </w:r>
      <w:r>
        <w:rPr>
          <w:rFonts w:ascii="Arial" w:hAnsi="Arial" w:cs="Arial"/>
          <w:highlight w:val="yellow"/>
          <w:lang w:val="en-US"/>
        </w:rPr>
        <w:t xml:space="preserve">the </w:t>
      </w:r>
      <w:r>
        <w:rPr>
          <w:rFonts w:ascii="Arial" w:hAnsi="Arial" w:cs="Arial"/>
          <w:lang w:val="en-US"/>
        </w:rPr>
        <w:t>crypts but s</w:t>
      </w:r>
      <w:r>
        <w:rPr>
          <w:rFonts w:ascii="Arial" w:hAnsi="Arial" w:cs="Arial"/>
          <w:highlight w:val="yellow"/>
          <w:lang w:val="en-US"/>
        </w:rPr>
        <w:t>how</w:t>
      </w:r>
      <w:r>
        <w:rPr>
          <w:rFonts w:ascii="Arial" w:hAnsi="Arial" w:cs="Arial"/>
          <w:lang w:val="en-US"/>
        </w:rPr>
        <w:t>e</w:t>
      </w:r>
      <w:r>
        <w:rPr>
          <w:rFonts w:ascii="Arial" w:hAnsi="Arial" w:cs="Arial"/>
          <w:highlight w:val="yellow"/>
          <w:lang w:val="en-US"/>
        </w:rPr>
        <w:t>d a</w:t>
      </w:r>
      <w:r>
        <w:rPr>
          <w:rFonts w:ascii="Arial" w:hAnsi="Arial" w:cs="Arial"/>
          <w:lang w:val="en-US"/>
        </w:rPr>
        <w:t xml:space="preserve"> reduced cell count in</w:t>
      </w:r>
      <w:r>
        <w:rPr>
          <w:rFonts w:ascii="Arial" w:hAnsi="Arial" w:cs="Arial"/>
          <w:highlight w:val="yellow"/>
          <w:lang w:val="en-US"/>
        </w:rPr>
        <w:t xml:space="preserve"> the</w:t>
      </w:r>
      <w:r>
        <w:rPr>
          <w:rFonts w:ascii="Arial" w:hAnsi="Arial" w:cs="Arial"/>
          <w:lang w:val="en-US"/>
        </w:rPr>
        <w:t xml:space="preserve"> duodenum. These observations are in accordance with the findings of Dong et al. </w:t>
      </w:r>
      <w:r>
        <w:rPr>
          <w:rFonts w:ascii="Arial" w:hAnsi="Arial" w:cs="Arial"/>
          <w:lang w:val="nl-BE"/>
        </w:rPr>
        <w:t>(2014) in pigs, Kalita et al. (2021) in piglets</w:t>
      </w:r>
      <w:r>
        <w:rPr>
          <w:rFonts w:ascii="Arial" w:hAnsi="Arial" w:cs="Arial"/>
          <w:highlight w:val="yellow"/>
          <w:lang w:val="nl-BE"/>
        </w:rPr>
        <w:t>,</w:t>
      </w:r>
      <w:r>
        <w:rPr>
          <w:rFonts w:ascii="Arial" w:hAnsi="Arial" w:cs="Arial"/>
          <w:lang w:val="nl-BE"/>
        </w:rPr>
        <w:t xml:space="preserve"> and Raja et al. </w:t>
      </w:r>
      <w:r>
        <w:rPr>
          <w:rFonts w:ascii="Arial" w:hAnsi="Arial" w:cs="Arial"/>
          <w:lang w:val="en-US"/>
        </w:rPr>
        <w:t xml:space="preserve">(2022) in guinea pigs, who observed lymphocytes in the epithelium with </w:t>
      </w:r>
      <w:r>
        <w:rPr>
          <w:rFonts w:ascii="Arial" w:hAnsi="Arial" w:cs="Arial"/>
          <w:highlight w:val="yellow"/>
          <w:lang w:val="en-US"/>
        </w:rPr>
        <w:t xml:space="preserve">a </w:t>
      </w:r>
      <w:r>
        <w:rPr>
          <w:rFonts w:ascii="Arial" w:hAnsi="Arial" w:cs="Arial"/>
          <w:lang w:val="en-US"/>
        </w:rPr>
        <w:t>large, round nucleus and</w:t>
      </w:r>
      <w:r>
        <w:rPr>
          <w:rFonts w:ascii="Arial" w:hAnsi="Arial" w:cs="Arial"/>
          <w:highlight w:val="yellow"/>
          <w:lang w:val="en-US"/>
        </w:rPr>
        <w:t xml:space="preserve"> a</w:t>
      </w:r>
      <w:r>
        <w:rPr>
          <w:rFonts w:ascii="Arial" w:hAnsi="Arial" w:cs="Arial"/>
          <w:lang w:val="en-US"/>
        </w:rPr>
        <w:t xml:space="preserve"> rim of cytoplasm. These cells were fewer in neonatal piglets and were age-dependent.</w:t>
      </w:r>
    </w:p>
    <w:p w14:paraId="642B79FD" w14:textId="77777777" w:rsidR="004C0604" w:rsidRPr="003054AD" w:rsidRDefault="004C0604" w:rsidP="004C0604">
      <w:pPr>
        <w:spacing w:line="240" w:lineRule="auto"/>
        <w:ind w:left="0"/>
        <w:jc w:val="both"/>
        <w:rPr>
          <w:rFonts w:ascii="Arial" w:hAnsi="Arial" w:cs="Arial"/>
          <w:lang w:val="en-US"/>
        </w:rPr>
      </w:pPr>
      <w:r>
        <w:rPr>
          <w:rFonts w:ascii="Arial" w:hAnsi="Arial" w:cs="Arial"/>
          <w:lang w:val="en-US"/>
        </w:rPr>
        <w:t xml:space="preserve">Paneth cells observed in the present study appeared as pyramidal cells with eosinophilic apical granules and were mainly located at </w:t>
      </w:r>
      <w:r>
        <w:rPr>
          <w:rFonts w:ascii="Arial" w:hAnsi="Arial" w:cs="Arial"/>
          <w:highlight w:val="yellow"/>
          <w:lang w:val="en-US"/>
        </w:rPr>
        <w:t xml:space="preserve">the </w:t>
      </w:r>
      <w:r>
        <w:rPr>
          <w:rFonts w:ascii="Arial" w:hAnsi="Arial" w:cs="Arial"/>
          <w:lang w:val="en-US"/>
        </w:rPr>
        <w:t>neck and basal portions of</w:t>
      </w:r>
      <w:r>
        <w:rPr>
          <w:rFonts w:ascii="Arial" w:hAnsi="Arial" w:cs="Arial"/>
          <w:highlight w:val="yellow"/>
          <w:lang w:val="en-US"/>
        </w:rPr>
        <w:t xml:space="preserve"> the</w:t>
      </w:r>
      <w:r>
        <w:rPr>
          <w:rFonts w:ascii="Arial" w:hAnsi="Arial" w:cs="Arial"/>
          <w:lang w:val="en-US"/>
        </w:rPr>
        <w:t xml:space="preserve"> crypts (Fig 9</w:t>
      </w:r>
      <w:r>
        <w:rPr>
          <w:rFonts w:ascii="Arial" w:hAnsi="Arial" w:cs="Arial"/>
          <w:b/>
          <w:bCs/>
          <w:lang w:val="en-US"/>
        </w:rPr>
        <w:t>)</w:t>
      </w:r>
      <w:r>
        <w:rPr>
          <w:rFonts w:ascii="Arial" w:hAnsi="Arial" w:cs="Arial"/>
          <w:lang w:val="en-US"/>
        </w:rPr>
        <w:t>. These cells were absent immediately after birth and became evident from 21 days of postnatal life onwards</w:t>
      </w:r>
      <w:r>
        <w:rPr>
          <w:rFonts w:ascii="Arial" w:hAnsi="Arial" w:cs="Arial"/>
          <w:highlight w:val="yellow"/>
          <w:lang w:val="en-US"/>
        </w:rPr>
        <w:t>,</w:t>
      </w:r>
      <w:r>
        <w:rPr>
          <w:rFonts w:ascii="Arial" w:hAnsi="Arial" w:cs="Arial"/>
          <w:lang w:val="en-US"/>
        </w:rPr>
        <w:t xml:space="preserve"> and their number increased progressively with age. This concur</w:t>
      </w:r>
      <w:r>
        <w:rPr>
          <w:rFonts w:ascii="Arial" w:hAnsi="Arial" w:cs="Arial"/>
          <w:highlight w:val="yellow"/>
          <w:lang w:val="en-US"/>
        </w:rPr>
        <w:t>s</w:t>
      </w:r>
      <w:r>
        <w:rPr>
          <w:rFonts w:ascii="Arial" w:hAnsi="Arial" w:cs="Arial"/>
          <w:lang w:val="en-US"/>
        </w:rPr>
        <w:t xml:space="preserve"> with</w:t>
      </w:r>
      <w:r>
        <w:rPr>
          <w:rFonts w:ascii="Arial" w:hAnsi="Arial" w:cs="Arial"/>
          <w:highlight w:val="yellow"/>
          <w:lang w:val="en-US"/>
        </w:rPr>
        <w:t xml:space="preserve"> the</w:t>
      </w:r>
      <w:r>
        <w:rPr>
          <w:rFonts w:ascii="Arial" w:hAnsi="Arial" w:cs="Arial"/>
          <w:lang w:val="en-US"/>
        </w:rPr>
        <w:t xml:space="preserve"> finding</w:t>
      </w:r>
      <w:r>
        <w:rPr>
          <w:rFonts w:ascii="Arial" w:hAnsi="Arial" w:cs="Arial"/>
          <w:highlight w:val="yellow"/>
          <w:lang w:val="en-US"/>
        </w:rPr>
        <w:t>s</w:t>
      </w:r>
      <w:r>
        <w:rPr>
          <w:rFonts w:ascii="Arial" w:hAnsi="Arial" w:cs="Arial"/>
          <w:lang w:val="en-US"/>
        </w:rPr>
        <w:t xml:space="preserve"> of Verdile et al. (2019) in pigs, who reported </w:t>
      </w:r>
      <w:r>
        <w:rPr>
          <w:rFonts w:ascii="Arial" w:hAnsi="Arial" w:cs="Arial"/>
          <w:highlight w:val="yellow"/>
          <w:lang w:val="en-US"/>
        </w:rPr>
        <w:t xml:space="preserve">the </w:t>
      </w:r>
      <w:r>
        <w:rPr>
          <w:rFonts w:ascii="Arial" w:hAnsi="Arial" w:cs="Arial"/>
          <w:lang w:val="en-US"/>
        </w:rPr>
        <w:t xml:space="preserve">absence of Paneth cells </w:t>
      </w:r>
      <w:r>
        <w:rPr>
          <w:rFonts w:ascii="Arial" w:hAnsi="Arial" w:cs="Arial"/>
          <w:highlight w:val="yellow"/>
          <w:lang w:val="en-US"/>
        </w:rPr>
        <w:t>at</w:t>
      </w:r>
      <w:r>
        <w:rPr>
          <w:rFonts w:ascii="Arial" w:hAnsi="Arial" w:cs="Arial"/>
          <w:lang w:val="en-US"/>
        </w:rPr>
        <w:t xml:space="preserve"> 0</w:t>
      </w:r>
      <w:r>
        <w:rPr>
          <w:rFonts w:ascii="Arial" w:hAnsi="Arial" w:cs="Arial"/>
          <w:highlight w:val="yellow"/>
          <w:lang w:val="en-US"/>
        </w:rPr>
        <w:t>–</w:t>
      </w:r>
      <w:r>
        <w:rPr>
          <w:rFonts w:ascii="Arial" w:hAnsi="Arial" w:cs="Arial"/>
          <w:lang w:val="en-US"/>
        </w:rPr>
        <w:t>6</w:t>
      </w:r>
      <w:r>
        <w:rPr>
          <w:rFonts w:ascii="Arial" w:hAnsi="Arial" w:cs="Arial"/>
          <w:highlight w:val="yellow"/>
          <w:lang w:val="en-US"/>
        </w:rPr>
        <w:t xml:space="preserve"> </w:t>
      </w:r>
      <w:r>
        <w:rPr>
          <w:rFonts w:ascii="Arial" w:hAnsi="Arial" w:cs="Arial"/>
          <w:lang w:val="en-US"/>
        </w:rPr>
        <w:t xml:space="preserve">days. Similar observations were reported by Obremski et al. (2005) in gilts, </w:t>
      </w:r>
      <w:r>
        <w:rPr>
          <w:rFonts w:ascii="Arial" w:hAnsi="Arial" w:cs="Arial"/>
          <w:lang w:val="en-US"/>
        </w:rPr>
        <w:lastRenderedPageBreak/>
        <w:t>Hassan and Moussa (2015) in goat</w:t>
      </w:r>
      <w:r>
        <w:rPr>
          <w:rFonts w:ascii="Arial" w:hAnsi="Arial" w:cs="Arial"/>
          <w:highlight w:val="yellow"/>
          <w:lang w:val="en-US"/>
        </w:rPr>
        <w:t>s,</w:t>
      </w:r>
      <w:r>
        <w:rPr>
          <w:rFonts w:ascii="Arial" w:hAnsi="Arial" w:cs="Arial"/>
          <w:lang w:val="en-US"/>
        </w:rPr>
        <w:t xml:space="preserve"> and Cui et al. (2023) in pigs, who identified Paneth cells near </w:t>
      </w:r>
      <w:r>
        <w:rPr>
          <w:rFonts w:ascii="Arial" w:hAnsi="Arial" w:cs="Arial"/>
          <w:highlight w:val="yellow"/>
          <w:lang w:val="en-US"/>
        </w:rPr>
        <w:t xml:space="preserve">the </w:t>
      </w:r>
      <w:r>
        <w:rPr>
          <w:rFonts w:ascii="Arial" w:hAnsi="Arial" w:cs="Arial"/>
          <w:lang w:val="en-US"/>
        </w:rPr>
        <w:t xml:space="preserve">basal and neck regions of crypts and </w:t>
      </w:r>
      <w:r>
        <w:rPr>
          <w:rFonts w:ascii="Arial" w:hAnsi="Arial" w:cs="Arial"/>
          <w:highlight w:val="yellow"/>
          <w:lang w:val="en-US"/>
        </w:rPr>
        <w:t>d</w:t>
      </w:r>
      <w:r>
        <w:rPr>
          <w:rFonts w:ascii="Arial" w:hAnsi="Arial" w:cs="Arial"/>
          <w:lang w:val="en-US"/>
        </w:rPr>
        <w:t>e</w:t>
      </w:r>
      <w:r>
        <w:rPr>
          <w:rFonts w:ascii="Arial" w:hAnsi="Arial" w:cs="Arial"/>
          <w:highlight w:val="yellow"/>
          <w:lang w:val="en-US"/>
        </w:rPr>
        <w:t>scr</w:t>
      </w:r>
      <w:r>
        <w:rPr>
          <w:rFonts w:ascii="Arial" w:hAnsi="Arial" w:cs="Arial"/>
          <w:lang w:val="en-US"/>
        </w:rPr>
        <w:t>i</w:t>
      </w:r>
      <w:r>
        <w:rPr>
          <w:rFonts w:ascii="Arial" w:hAnsi="Arial" w:cs="Arial"/>
          <w:highlight w:val="yellow"/>
          <w:lang w:val="en-US"/>
        </w:rPr>
        <w:t>b</w:t>
      </w:r>
      <w:r>
        <w:rPr>
          <w:rFonts w:ascii="Arial" w:hAnsi="Arial" w:cs="Arial"/>
          <w:lang w:val="en-US"/>
        </w:rPr>
        <w:t xml:space="preserve">ed them as </w:t>
      </w:r>
      <w:r>
        <w:rPr>
          <w:rFonts w:ascii="Arial" w:hAnsi="Arial" w:cs="Arial"/>
          <w:highlight w:val="yellow"/>
          <w:lang w:val="en-US"/>
        </w:rPr>
        <w:t xml:space="preserve">part of </w:t>
      </w:r>
      <w:r>
        <w:rPr>
          <w:rFonts w:ascii="Arial" w:hAnsi="Arial" w:cs="Arial"/>
          <w:lang w:val="en-US"/>
        </w:rPr>
        <w:t>the defen</w:t>
      </w:r>
      <w:r>
        <w:rPr>
          <w:rFonts w:ascii="Arial" w:hAnsi="Arial" w:cs="Arial"/>
          <w:highlight w:val="yellow"/>
          <w:lang w:val="en-US"/>
        </w:rPr>
        <w:t>c</w:t>
      </w:r>
      <w:r>
        <w:rPr>
          <w:rFonts w:ascii="Arial" w:hAnsi="Arial" w:cs="Arial"/>
          <w:lang w:val="en-US"/>
        </w:rPr>
        <w:t xml:space="preserve">e mechanisms. Singh (1971) </w:t>
      </w:r>
      <w:r>
        <w:rPr>
          <w:rFonts w:ascii="Arial" w:hAnsi="Arial" w:cs="Arial"/>
          <w:highlight w:val="yellow"/>
          <w:lang w:val="en-US"/>
        </w:rPr>
        <w:t xml:space="preserve">reported </w:t>
      </w:r>
      <w:r>
        <w:rPr>
          <w:rFonts w:ascii="Arial" w:hAnsi="Arial" w:cs="Arial"/>
          <w:lang w:val="en-US"/>
        </w:rPr>
        <w:t>in humans t</w:t>
      </w:r>
      <w:r>
        <w:rPr>
          <w:rFonts w:ascii="Arial" w:hAnsi="Arial" w:cs="Arial"/>
          <w:highlight w:val="yellow"/>
          <w:lang w:val="en-US"/>
        </w:rPr>
        <w:t>hat</w:t>
      </w:r>
      <w:r>
        <w:rPr>
          <w:rFonts w:ascii="Arial" w:hAnsi="Arial" w:cs="Arial"/>
          <w:lang w:val="en-US"/>
        </w:rPr>
        <w:t xml:space="preserve"> Paneth cells </w:t>
      </w:r>
      <w:r>
        <w:rPr>
          <w:rFonts w:ascii="Arial" w:hAnsi="Arial" w:cs="Arial"/>
          <w:highlight w:val="yellow"/>
          <w:lang w:val="en-US"/>
        </w:rPr>
        <w:t>wer</w:t>
      </w:r>
      <w:r>
        <w:rPr>
          <w:rFonts w:ascii="Arial" w:hAnsi="Arial" w:cs="Arial"/>
          <w:lang w:val="en-US"/>
        </w:rPr>
        <w:t>e much denser in the duodenum.</w:t>
      </w:r>
    </w:p>
    <w:p w14:paraId="72F3CEDA" w14:textId="77777777" w:rsidR="004C0604" w:rsidRPr="003054AD" w:rsidRDefault="004C0604" w:rsidP="004C0604">
      <w:pPr>
        <w:spacing w:line="240" w:lineRule="auto"/>
        <w:ind w:left="0"/>
        <w:jc w:val="both"/>
        <w:rPr>
          <w:rFonts w:ascii="Arial" w:hAnsi="Arial" w:cs="Arial"/>
          <w:lang w:val="en-US"/>
        </w:rPr>
      </w:pPr>
      <w:r>
        <w:rPr>
          <w:rFonts w:ascii="Arial" w:hAnsi="Arial" w:cs="Arial"/>
          <w:lang w:val="en-US"/>
        </w:rPr>
        <w:t>At birth, the lamina muscularis mucosae in the present investigation was composed of</w:t>
      </w:r>
      <w:r>
        <w:rPr>
          <w:rFonts w:ascii="Arial" w:hAnsi="Arial" w:cs="Arial"/>
          <w:highlight w:val="yellow"/>
          <w:lang w:val="en-US"/>
        </w:rPr>
        <w:t xml:space="preserve"> a</w:t>
      </w:r>
      <w:r>
        <w:rPr>
          <w:rFonts w:ascii="Arial" w:hAnsi="Arial" w:cs="Arial"/>
          <w:lang w:val="en-US"/>
        </w:rPr>
        <w:t xml:space="preserve"> discrete layer of smooth muscle (Fig 10</w:t>
      </w:r>
      <w:r>
        <w:rPr>
          <w:rFonts w:ascii="Arial" w:hAnsi="Arial" w:cs="Arial"/>
          <w:b/>
          <w:bCs/>
          <w:lang w:val="en-US"/>
        </w:rPr>
        <w:t>)</w:t>
      </w:r>
      <w:r>
        <w:rPr>
          <w:rFonts w:ascii="Arial" w:hAnsi="Arial" w:cs="Arial"/>
          <w:lang w:val="en-US"/>
        </w:rPr>
        <w:t>, which is similar to the findings of Simawy et al. (2024) in cat</w:t>
      </w:r>
      <w:r>
        <w:rPr>
          <w:rFonts w:ascii="Arial" w:hAnsi="Arial" w:cs="Arial"/>
          <w:highlight w:val="yellow"/>
          <w:lang w:val="en-US"/>
        </w:rPr>
        <w:t>s</w:t>
      </w:r>
      <w:r>
        <w:rPr>
          <w:rFonts w:ascii="Arial" w:hAnsi="Arial" w:cs="Arial"/>
          <w:lang w:val="en-US"/>
        </w:rPr>
        <w:t>, dog</w:t>
      </w:r>
      <w:r>
        <w:rPr>
          <w:rFonts w:ascii="Arial" w:hAnsi="Arial" w:cs="Arial"/>
          <w:highlight w:val="yellow"/>
          <w:lang w:val="en-US"/>
        </w:rPr>
        <w:t>s,</w:t>
      </w:r>
      <w:r>
        <w:rPr>
          <w:rFonts w:ascii="Arial" w:hAnsi="Arial" w:cs="Arial"/>
          <w:lang w:val="en-US"/>
        </w:rPr>
        <w:t xml:space="preserve"> and goat</w:t>
      </w:r>
      <w:r>
        <w:rPr>
          <w:rFonts w:ascii="Arial" w:hAnsi="Arial" w:cs="Arial"/>
          <w:highlight w:val="yellow"/>
          <w:lang w:val="en-US"/>
        </w:rPr>
        <w:t>s</w:t>
      </w:r>
      <w:r>
        <w:rPr>
          <w:rFonts w:ascii="Arial" w:hAnsi="Arial" w:cs="Arial"/>
          <w:lang w:val="en-US"/>
        </w:rPr>
        <w:t xml:space="preserve">, who stated that </w:t>
      </w:r>
      <w:r>
        <w:rPr>
          <w:rFonts w:ascii="Arial" w:hAnsi="Arial" w:cs="Arial"/>
          <w:highlight w:val="yellow"/>
          <w:lang w:val="en-US"/>
        </w:rPr>
        <w:t xml:space="preserve">the </w:t>
      </w:r>
      <w:r>
        <w:rPr>
          <w:rFonts w:ascii="Arial" w:hAnsi="Arial" w:cs="Arial"/>
          <w:lang w:val="en-US"/>
        </w:rPr>
        <w:t>muscularis mucosa</w:t>
      </w:r>
      <w:r>
        <w:rPr>
          <w:rFonts w:ascii="Arial" w:hAnsi="Arial" w:cs="Arial"/>
          <w:highlight w:val="yellow"/>
          <w:lang w:val="en-US"/>
        </w:rPr>
        <w:t>e</w:t>
      </w:r>
      <w:r>
        <w:rPr>
          <w:rFonts w:ascii="Arial" w:hAnsi="Arial" w:cs="Arial"/>
          <w:lang w:val="en-US"/>
        </w:rPr>
        <w:t xml:space="preserve"> of smooth muscle fibres </w:t>
      </w:r>
      <w:proofErr w:type="gramStart"/>
      <w:r>
        <w:rPr>
          <w:rFonts w:ascii="Arial" w:hAnsi="Arial" w:cs="Arial"/>
          <w:lang w:val="en-US"/>
        </w:rPr>
        <w:t>was</w:t>
      </w:r>
      <w:proofErr w:type="gramEnd"/>
      <w:r>
        <w:rPr>
          <w:rFonts w:ascii="Arial" w:hAnsi="Arial" w:cs="Arial"/>
          <w:lang w:val="en-US"/>
        </w:rPr>
        <w:t xml:space="preserve"> not continuous at one</w:t>
      </w:r>
      <w:r>
        <w:rPr>
          <w:rFonts w:ascii="Arial" w:hAnsi="Arial" w:cs="Arial"/>
          <w:highlight w:val="yellow"/>
          <w:lang w:val="en-US"/>
        </w:rPr>
        <w:t xml:space="preserve"> </w:t>
      </w:r>
      <w:r>
        <w:rPr>
          <w:rFonts w:ascii="Arial" w:hAnsi="Arial" w:cs="Arial"/>
          <w:lang w:val="en-US"/>
        </w:rPr>
        <w:t xml:space="preserve">day of age. At later ages, this muscular layer became thin and continuous but subsequently thickened </w:t>
      </w:r>
      <w:r>
        <w:rPr>
          <w:rFonts w:ascii="Arial" w:hAnsi="Arial" w:cs="Arial"/>
          <w:highlight w:val="yellow"/>
          <w:lang w:val="en-US"/>
        </w:rPr>
        <w:t>wi</w:t>
      </w:r>
      <w:r>
        <w:rPr>
          <w:rFonts w:ascii="Arial" w:hAnsi="Arial" w:cs="Arial"/>
          <w:lang w:val="en-US"/>
        </w:rPr>
        <w:t>th advanc</w:t>
      </w:r>
      <w:r>
        <w:rPr>
          <w:rFonts w:ascii="Arial" w:hAnsi="Arial" w:cs="Arial"/>
          <w:highlight w:val="yellow"/>
          <w:lang w:val="en-US"/>
        </w:rPr>
        <w:t>ing ag</w:t>
      </w:r>
      <w:r>
        <w:rPr>
          <w:rFonts w:ascii="Arial" w:hAnsi="Arial" w:cs="Arial"/>
          <w:lang w:val="en-US"/>
        </w:rPr>
        <w:t>e (Fig 7</w:t>
      </w:r>
      <w:r>
        <w:rPr>
          <w:rFonts w:ascii="Arial" w:hAnsi="Arial" w:cs="Arial"/>
          <w:b/>
          <w:bCs/>
          <w:lang w:val="en-US"/>
        </w:rPr>
        <w:t>)</w:t>
      </w:r>
      <w:r>
        <w:rPr>
          <w:rFonts w:ascii="Arial" w:hAnsi="Arial" w:cs="Arial"/>
          <w:lang w:val="en-US"/>
        </w:rPr>
        <w:t>. This is similar to the findings of Barnwal and Yadava (1975) in Indian buffaloes and Singh et al. (2021) in pigs, who described only circularly arranged smooth muscle fibres.</w:t>
      </w:r>
      <w:r>
        <w:rPr>
          <w:rFonts w:ascii="Arial" w:hAnsi="Arial" w:cs="Arial"/>
          <w:highlight w:val="yellow"/>
          <w:lang w:val="en-US"/>
        </w:rPr>
        <w:t xml:space="preserve"> In cont</w:t>
      </w:r>
      <w:r>
        <w:rPr>
          <w:rFonts w:ascii="Arial" w:hAnsi="Arial" w:cs="Arial"/>
          <w:lang w:val="en-US"/>
        </w:rPr>
        <w:t>ras</w:t>
      </w:r>
      <w:r>
        <w:rPr>
          <w:rFonts w:ascii="Arial" w:hAnsi="Arial" w:cs="Arial"/>
          <w:highlight w:val="yellow"/>
          <w:lang w:val="en-US"/>
        </w:rPr>
        <w:t>t,</w:t>
      </w:r>
      <w:r>
        <w:rPr>
          <w:rFonts w:ascii="Arial" w:hAnsi="Arial" w:cs="Arial"/>
          <w:lang w:val="en-US"/>
        </w:rPr>
        <w:t xml:space="preserve"> Al</w:t>
      </w:r>
      <w:r>
        <w:rPr>
          <w:rFonts w:ascii="Arial" w:hAnsi="Arial" w:cs="Arial"/>
          <w:highlight w:val="yellow"/>
          <w:lang w:val="en-US"/>
        </w:rPr>
        <w:t>-</w:t>
      </w:r>
      <w:r>
        <w:rPr>
          <w:rFonts w:ascii="Arial" w:hAnsi="Arial" w:cs="Arial"/>
          <w:lang w:val="en-US"/>
        </w:rPr>
        <w:t xml:space="preserve">Mansour et al. </w:t>
      </w:r>
      <w:r>
        <w:rPr>
          <w:rFonts w:ascii="Arial" w:hAnsi="Arial" w:cs="Arial"/>
          <w:highlight w:val="yellow"/>
          <w:lang w:val="en-US"/>
        </w:rPr>
        <w:t>(</w:t>
      </w:r>
      <w:r>
        <w:rPr>
          <w:rFonts w:ascii="Arial" w:hAnsi="Arial" w:cs="Arial"/>
          <w:lang w:val="en-US"/>
        </w:rPr>
        <w:t>2020)</w:t>
      </w:r>
      <w:r>
        <w:rPr>
          <w:rFonts w:ascii="Arial" w:hAnsi="Arial" w:cs="Arial"/>
          <w:highlight w:val="yellow"/>
          <w:lang w:val="en-US"/>
        </w:rPr>
        <w:t xml:space="preserve"> observed</w:t>
      </w:r>
      <w:r>
        <w:rPr>
          <w:rFonts w:ascii="Arial" w:hAnsi="Arial" w:cs="Arial"/>
          <w:lang w:val="en-US"/>
        </w:rPr>
        <w:t xml:space="preserve"> two thick layers of smooth muscle</w:t>
      </w:r>
      <w:r>
        <w:rPr>
          <w:rFonts w:ascii="Arial" w:hAnsi="Arial" w:cs="Arial"/>
          <w:highlight w:val="yellow"/>
          <w:lang w:val="en-US"/>
        </w:rPr>
        <w:t>,</w:t>
      </w:r>
      <w:r>
        <w:rPr>
          <w:rFonts w:ascii="Arial" w:hAnsi="Arial" w:cs="Arial"/>
          <w:lang w:val="en-US"/>
        </w:rPr>
        <w:t xml:space="preserve"> oriented into inner circular and outer longitudinal bundles</w:t>
      </w:r>
      <w:r>
        <w:rPr>
          <w:rFonts w:ascii="Arial" w:hAnsi="Arial" w:cs="Arial"/>
          <w:highlight w:val="yellow"/>
          <w:lang w:val="en-US"/>
        </w:rPr>
        <w:t>,</w:t>
      </w:r>
      <w:r>
        <w:rPr>
          <w:rFonts w:ascii="Arial" w:hAnsi="Arial" w:cs="Arial"/>
          <w:lang w:val="en-US"/>
        </w:rPr>
        <w:t xml:space="preserve"> </w:t>
      </w:r>
      <w:r>
        <w:rPr>
          <w:rFonts w:ascii="Arial" w:hAnsi="Arial" w:cs="Arial"/>
          <w:highlight w:val="yellow"/>
          <w:lang w:val="en-US"/>
        </w:rPr>
        <w:t>in goats and gaz</w:t>
      </w:r>
      <w:r>
        <w:rPr>
          <w:rFonts w:ascii="Arial" w:hAnsi="Arial" w:cs="Arial"/>
          <w:lang w:val="en-US"/>
        </w:rPr>
        <w:t>e</w:t>
      </w:r>
      <w:r>
        <w:rPr>
          <w:rFonts w:ascii="Arial" w:hAnsi="Arial" w:cs="Arial"/>
          <w:highlight w:val="yellow"/>
          <w:lang w:val="en-US"/>
        </w:rPr>
        <w:t>ll</w:t>
      </w:r>
      <w:r>
        <w:rPr>
          <w:rFonts w:ascii="Arial" w:hAnsi="Arial" w:cs="Arial"/>
          <w:lang w:val="en-US"/>
        </w:rPr>
        <w:t xml:space="preserve">es. </w:t>
      </w:r>
    </w:p>
    <w:p w14:paraId="0E536946" w14:textId="77777777" w:rsidR="004C0604" w:rsidRPr="003054AD" w:rsidRDefault="004C0604" w:rsidP="004C0604">
      <w:pPr>
        <w:spacing w:line="240" w:lineRule="auto"/>
        <w:ind w:left="0"/>
        <w:jc w:val="both"/>
        <w:rPr>
          <w:rFonts w:ascii="Arial" w:hAnsi="Arial" w:cs="Arial"/>
          <w:lang w:val="en-US"/>
        </w:rPr>
      </w:pPr>
      <w:r>
        <w:rPr>
          <w:rFonts w:ascii="Arial" w:hAnsi="Arial" w:cs="Arial"/>
          <w:lang w:val="en-US"/>
        </w:rPr>
        <w:t xml:space="preserve">The tunica submucosa in all postnatal age groups </w:t>
      </w:r>
      <w:r>
        <w:rPr>
          <w:rFonts w:ascii="Arial" w:hAnsi="Arial" w:cs="Arial"/>
          <w:highlight w:val="yellow"/>
          <w:lang w:val="en-US"/>
        </w:rPr>
        <w:t xml:space="preserve">was </w:t>
      </w:r>
      <w:r>
        <w:rPr>
          <w:rFonts w:ascii="Arial" w:hAnsi="Arial" w:cs="Arial"/>
          <w:lang w:val="en-US"/>
        </w:rPr>
        <w:t>composed of Brunner’s glands</w:t>
      </w:r>
      <w:r>
        <w:rPr>
          <w:rFonts w:ascii="Arial" w:hAnsi="Arial" w:cs="Arial"/>
          <w:highlight w:val="yellow"/>
          <w:lang w:val="en-US"/>
        </w:rPr>
        <w:t xml:space="preserve"> and</w:t>
      </w:r>
      <w:r>
        <w:rPr>
          <w:rFonts w:ascii="Arial" w:hAnsi="Arial" w:cs="Arial"/>
          <w:lang w:val="en-US"/>
        </w:rPr>
        <w:t xml:space="preserve"> dense irregular connective tissue containing blood vessel</w:t>
      </w:r>
      <w:r>
        <w:rPr>
          <w:rFonts w:ascii="Arial" w:hAnsi="Arial" w:cs="Arial"/>
          <w:highlight w:val="yellow"/>
          <w:lang w:val="en-US"/>
        </w:rPr>
        <w:t>s</w:t>
      </w:r>
      <w:r>
        <w:rPr>
          <w:rFonts w:ascii="Arial" w:hAnsi="Arial" w:cs="Arial"/>
          <w:lang w:val="en-US"/>
        </w:rPr>
        <w:t xml:space="preserve"> and Meissner’s plexus. The present study demonstrated that Brunner’s glands were most abundant in </w:t>
      </w:r>
      <w:r>
        <w:rPr>
          <w:rFonts w:ascii="Arial" w:hAnsi="Arial" w:cs="Arial"/>
          <w:highlight w:val="yellow"/>
          <w:lang w:val="en-US"/>
        </w:rPr>
        <w:t xml:space="preserve">the </w:t>
      </w:r>
      <w:r>
        <w:rPr>
          <w:rFonts w:ascii="Arial" w:hAnsi="Arial" w:cs="Arial"/>
          <w:lang w:val="en-US"/>
        </w:rPr>
        <w:t>cranial duodenum and gradually decreased towards</w:t>
      </w:r>
      <w:r>
        <w:rPr>
          <w:rFonts w:ascii="Arial" w:hAnsi="Arial" w:cs="Arial"/>
          <w:highlight w:val="yellow"/>
          <w:lang w:val="en-US"/>
        </w:rPr>
        <w:t xml:space="preserve"> the</w:t>
      </w:r>
      <w:r>
        <w:rPr>
          <w:rFonts w:ascii="Arial" w:hAnsi="Arial" w:cs="Arial"/>
          <w:lang w:val="en-US"/>
        </w:rPr>
        <w:t xml:space="preserve"> middle and caudal regions. Similar findings were reported by Kadhim et al. (2012) in </w:t>
      </w:r>
      <w:r>
        <w:rPr>
          <w:rFonts w:ascii="Arial" w:hAnsi="Arial" w:cs="Arial"/>
          <w:highlight w:val="yellow"/>
          <w:lang w:val="en-US"/>
        </w:rPr>
        <w:t>camels a</w:t>
      </w:r>
      <w:r>
        <w:rPr>
          <w:rFonts w:ascii="Arial" w:hAnsi="Arial" w:cs="Arial"/>
          <w:lang w:val="en-US"/>
        </w:rPr>
        <w:t>n</w:t>
      </w:r>
      <w:r>
        <w:rPr>
          <w:rFonts w:ascii="Arial" w:hAnsi="Arial" w:cs="Arial"/>
          <w:highlight w:val="yellow"/>
          <w:lang w:val="en-US"/>
        </w:rPr>
        <w:t>d</w:t>
      </w:r>
      <w:r>
        <w:rPr>
          <w:rFonts w:ascii="Arial" w:hAnsi="Arial" w:cs="Arial"/>
          <w:lang w:val="en-US"/>
        </w:rPr>
        <w:t xml:space="preserve"> Mohammadpour (2011) in guinea pigs, who observed</w:t>
      </w:r>
      <w:r>
        <w:rPr>
          <w:rFonts w:ascii="Arial" w:hAnsi="Arial" w:cs="Arial"/>
          <w:highlight w:val="yellow"/>
          <w:lang w:val="en-US"/>
        </w:rPr>
        <w:t xml:space="preserve"> a</w:t>
      </w:r>
      <w:r>
        <w:rPr>
          <w:rFonts w:ascii="Arial" w:hAnsi="Arial" w:cs="Arial"/>
          <w:lang w:val="en-US"/>
        </w:rPr>
        <w:t xml:space="preserve"> progressive reduction in glandular thickness from </w:t>
      </w:r>
      <w:r>
        <w:rPr>
          <w:rFonts w:ascii="Arial" w:hAnsi="Arial" w:cs="Arial"/>
          <w:highlight w:val="yellow"/>
          <w:lang w:val="en-US"/>
        </w:rPr>
        <w:t xml:space="preserve">the </w:t>
      </w:r>
      <w:r>
        <w:rPr>
          <w:rFonts w:ascii="Arial" w:hAnsi="Arial" w:cs="Arial"/>
          <w:lang w:val="en-US"/>
        </w:rPr>
        <w:t>cranial to</w:t>
      </w:r>
      <w:r>
        <w:rPr>
          <w:rFonts w:ascii="Arial" w:hAnsi="Arial" w:cs="Arial"/>
          <w:highlight w:val="yellow"/>
          <w:lang w:val="en-US"/>
        </w:rPr>
        <w:t xml:space="preserve"> the</w:t>
      </w:r>
      <w:r>
        <w:rPr>
          <w:rFonts w:ascii="Arial" w:hAnsi="Arial" w:cs="Arial"/>
          <w:lang w:val="en-US"/>
        </w:rPr>
        <w:t xml:space="preserve"> caudal part of</w:t>
      </w:r>
      <w:r>
        <w:rPr>
          <w:rFonts w:ascii="Arial" w:hAnsi="Arial" w:cs="Arial"/>
          <w:highlight w:val="yellow"/>
          <w:lang w:val="en-US"/>
        </w:rPr>
        <w:t xml:space="preserve"> the</w:t>
      </w:r>
      <w:r>
        <w:rPr>
          <w:rFonts w:ascii="Arial" w:hAnsi="Arial" w:cs="Arial"/>
          <w:lang w:val="en-US"/>
        </w:rPr>
        <w:t xml:space="preserve"> duodenum. Saleh et al. (20</w:t>
      </w:r>
      <w:r>
        <w:rPr>
          <w:rFonts w:ascii="Arial" w:hAnsi="Arial" w:cs="Arial"/>
          <w:highlight w:val="yellow"/>
          <w:lang w:val="en-US"/>
        </w:rPr>
        <w:t>22</w:t>
      </w:r>
      <w:r>
        <w:rPr>
          <w:rFonts w:ascii="Arial" w:hAnsi="Arial" w:cs="Arial"/>
          <w:lang w:val="en-US"/>
        </w:rPr>
        <w:t>) also noted the absence of these glands in t</w:t>
      </w:r>
      <w:r>
        <w:rPr>
          <w:rFonts w:ascii="Arial" w:hAnsi="Arial" w:cs="Arial"/>
          <w:highlight w:val="yellow"/>
          <w:lang w:val="en-US"/>
        </w:rPr>
        <w:t>he t</w:t>
      </w:r>
      <w:r>
        <w:rPr>
          <w:rFonts w:ascii="Arial" w:hAnsi="Arial" w:cs="Arial"/>
          <w:lang w:val="en-US"/>
        </w:rPr>
        <w:t>erminal part of</w:t>
      </w:r>
      <w:r>
        <w:rPr>
          <w:rFonts w:ascii="Arial" w:hAnsi="Arial" w:cs="Arial"/>
          <w:highlight w:val="yellow"/>
          <w:lang w:val="en-US"/>
        </w:rPr>
        <w:t xml:space="preserve"> the</w:t>
      </w:r>
      <w:r>
        <w:rPr>
          <w:rFonts w:ascii="Arial" w:hAnsi="Arial" w:cs="Arial"/>
          <w:lang w:val="en-US"/>
        </w:rPr>
        <w:t xml:space="preserve"> duodenum in bovines.</w:t>
      </w:r>
    </w:p>
    <w:p w14:paraId="30FA6172" w14:textId="77777777" w:rsidR="004C0604" w:rsidRPr="003054AD" w:rsidRDefault="004C0604" w:rsidP="008B62EC">
      <w:pPr>
        <w:spacing w:line="240" w:lineRule="auto"/>
        <w:ind w:left="0" w:firstLine="0"/>
        <w:jc w:val="both"/>
        <w:rPr>
          <w:rFonts w:ascii="Arial" w:hAnsi="Arial" w:cs="Arial"/>
          <w:lang w:val="en-US"/>
        </w:rPr>
      </w:pPr>
      <w:r>
        <w:rPr>
          <w:rFonts w:ascii="Arial" w:hAnsi="Arial" w:cs="Arial"/>
          <w:lang w:val="en-US"/>
        </w:rPr>
        <w:t>Brunner’s glands were tubulo-alveolar</w:t>
      </w:r>
      <w:r>
        <w:rPr>
          <w:rFonts w:ascii="Arial" w:hAnsi="Arial" w:cs="Arial"/>
          <w:highlight w:val="yellow"/>
          <w:lang w:val="en-US"/>
        </w:rPr>
        <w:t>,</w:t>
      </w:r>
      <w:r>
        <w:rPr>
          <w:rFonts w:ascii="Arial" w:hAnsi="Arial" w:cs="Arial"/>
          <w:lang w:val="en-US"/>
        </w:rPr>
        <w:t xml:space="preserve"> mucus</w:t>
      </w:r>
      <w:r>
        <w:rPr>
          <w:rFonts w:ascii="Arial" w:hAnsi="Arial" w:cs="Arial"/>
          <w:highlight w:val="yellow"/>
          <w:lang w:val="en-US"/>
        </w:rPr>
        <w:t>-</w:t>
      </w:r>
      <w:r>
        <w:rPr>
          <w:rFonts w:ascii="Arial" w:hAnsi="Arial" w:cs="Arial"/>
          <w:lang w:val="en-US"/>
        </w:rPr>
        <w:t xml:space="preserve">secreting </w:t>
      </w:r>
      <w:r>
        <w:rPr>
          <w:rFonts w:ascii="Arial" w:hAnsi="Arial" w:cs="Arial"/>
          <w:highlight w:val="yellow"/>
          <w:lang w:val="en-US"/>
        </w:rPr>
        <w:t>glands</w:t>
      </w:r>
      <w:r>
        <w:rPr>
          <w:rFonts w:ascii="Arial" w:hAnsi="Arial" w:cs="Arial"/>
          <w:lang w:val="en-US"/>
        </w:rPr>
        <w:t xml:space="preserve"> with wide lum</w:t>
      </w:r>
      <w:r>
        <w:rPr>
          <w:rFonts w:ascii="Arial" w:hAnsi="Arial" w:cs="Arial"/>
          <w:highlight w:val="yellow"/>
          <w:lang w:val="en-US"/>
        </w:rPr>
        <w:t>i</w:t>
      </w:r>
      <w:r>
        <w:rPr>
          <w:rFonts w:ascii="Arial" w:hAnsi="Arial" w:cs="Arial"/>
          <w:lang w:val="en-US"/>
        </w:rPr>
        <w:t>n</w:t>
      </w:r>
      <w:r>
        <w:rPr>
          <w:rFonts w:ascii="Arial" w:hAnsi="Arial" w:cs="Arial"/>
          <w:highlight w:val="yellow"/>
          <w:lang w:val="en-US"/>
        </w:rPr>
        <w:t>a,</w:t>
      </w:r>
      <w:r>
        <w:rPr>
          <w:rFonts w:ascii="Arial" w:hAnsi="Arial" w:cs="Arial"/>
          <w:lang w:val="en-US"/>
        </w:rPr>
        <w:t xml:space="preserve"> surrounded by truncated pyramidal cells or low columnar cells </w:t>
      </w:r>
      <w:r>
        <w:rPr>
          <w:rFonts w:ascii="Arial" w:hAnsi="Arial" w:cs="Arial"/>
          <w:highlight w:val="yellow"/>
          <w:lang w:val="en-US"/>
        </w:rPr>
        <w:t>t</w:t>
      </w:r>
      <w:r>
        <w:rPr>
          <w:rFonts w:ascii="Arial" w:hAnsi="Arial" w:cs="Arial"/>
          <w:lang w:val="en-US"/>
        </w:rPr>
        <w:t>h</w:t>
      </w:r>
      <w:r>
        <w:rPr>
          <w:rFonts w:ascii="Arial" w:hAnsi="Arial" w:cs="Arial"/>
          <w:highlight w:val="yellow"/>
          <w:lang w:val="en-US"/>
        </w:rPr>
        <w:t>at</w:t>
      </w:r>
      <w:r>
        <w:rPr>
          <w:rFonts w:ascii="Arial" w:hAnsi="Arial" w:cs="Arial"/>
          <w:lang w:val="en-US"/>
        </w:rPr>
        <w:t xml:space="preserve"> showed basal</w:t>
      </w:r>
      <w:r>
        <w:rPr>
          <w:rFonts w:ascii="Arial" w:hAnsi="Arial" w:cs="Arial"/>
          <w:highlight w:val="yellow"/>
          <w:lang w:val="en-US"/>
        </w:rPr>
        <w:t>,</w:t>
      </w:r>
      <w:r>
        <w:rPr>
          <w:rFonts w:ascii="Arial" w:hAnsi="Arial" w:cs="Arial"/>
          <w:lang w:val="en-US"/>
        </w:rPr>
        <w:t xml:space="preserve"> flat nuclei and lightly stained eosinophilic cytoplasm. They extended from the submucosa to </w:t>
      </w:r>
      <w:r>
        <w:rPr>
          <w:rFonts w:ascii="Arial" w:hAnsi="Arial" w:cs="Arial"/>
          <w:highlight w:val="yellow"/>
          <w:lang w:val="en-US"/>
        </w:rPr>
        <w:t xml:space="preserve">the </w:t>
      </w:r>
      <w:r>
        <w:rPr>
          <w:rFonts w:ascii="Arial" w:hAnsi="Arial" w:cs="Arial"/>
          <w:lang w:val="en-US"/>
        </w:rPr>
        <w:t xml:space="preserve">mucosa at </w:t>
      </w:r>
      <w:r>
        <w:rPr>
          <w:rFonts w:ascii="Arial" w:hAnsi="Arial" w:cs="Arial"/>
          <w:highlight w:val="yellow"/>
          <w:lang w:val="en-US"/>
        </w:rPr>
        <w:t xml:space="preserve">the </w:t>
      </w:r>
      <w:r>
        <w:rPr>
          <w:rFonts w:ascii="Arial" w:hAnsi="Arial" w:cs="Arial"/>
          <w:lang w:val="en-US"/>
        </w:rPr>
        <w:t>base of</w:t>
      </w:r>
      <w:r>
        <w:rPr>
          <w:rFonts w:ascii="Arial" w:hAnsi="Arial" w:cs="Arial"/>
          <w:highlight w:val="yellow"/>
          <w:lang w:val="en-US"/>
        </w:rPr>
        <w:t xml:space="preserve"> the</w:t>
      </w:r>
      <w:r>
        <w:rPr>
          <w:rFonts w:ascii="Arial" w:hAnsi="Arial" w:cs="Arial"/>
          <w:lang w:val="en-US"/>
        </w:rPr>
        <w:t xml:space="preserve"> intestinal glands for their secretions</w:t>
      </w:r>
      <w:r>
        <w:rPr>
          <w:rFonts w:ascii="Arial" w:hAnsi="Arial" w:cs="Arial"/>
          <w:highlight w:val="yellow"/>
          <w:lang w:val="en-US"/>
        </w:rPr>
        <w:t xml:space="preserve"> </w:t>
      </w:r>
      <w:r>
        <w:rPr>
          <w:rFonts w:ascii="Arial" w:hAnsi="Arial" w:cs="Arial"/>
          <w:lang w:val="en-US"/>
        </w:rPr>
        <w:t>(Fig 7, 11, 12</w:t>
      </w:r>
      <w:r>
        <w:rPr>
          <w:rFonts w:ascii="Arial" w:hAnsi="Arial" w:cs="Arial"/>
          <w:highlight w:val="yellow"/>
          <w:lang w:val="en-US"/>
        </w:rPr>
        <w:t xml:space="preserve"> </w:t>
      </w:r>
      <w:r>
        <w:rPr>
          <w:rFonts w:ascii="Arial" w:hAnsi="Arial" w:cs="Arial"/>
          <w:lang w:val="en-US"/>
        </w:rPr>
        <w:t>&amp; 13</w:t>
      </w:r>
      <w:r>
        <w:rPr>
          <w:rFonts w:ascii="Arial" w:hAnsi="Arial" w:cs="Arial"/>
          <w:b/>
          <w:bCs/>
          <w:lang w:val="en-US"/>
        </w:rPr>
        <w:t>)</w:t>
      </w:r>
      <w:r>
        <w:rPr>
          <w:rFonts w:ascii="Arial" w:hAnsi="Arial" w:cs="Arial"/>
          <w:lang w:val="en-US"/>
        </w:rPr>
        <w:t>, which is in accordance with Takehana et al. (1991) in pon</w:t>
      </w:r>
      <w:r>
        <w:rPr>
          <w:rFonts w:ascii="Arial" w:hAnsi="Arial" w:cs="Arial"/>
          <w:highlight w:val="yellow"/>
          <w:lang w:val="en-US"/>
        </w:rPr>
        <w:t>ies</w:t>
      </w:r>
      <w:r>
        <w:rPr>
          <w:rFonts w:ascii="Arial" w:hAnsi="Arial" w:cs="Arial"/>
          <w:lang w:val="en-US"/>
        </w:rPr>
        <w:t xml:space="preserve"> and Bansal et al. (1993) in buffalo</w:t>
      </w:r>
      <w:r>
        <w:rPr>
          <w:rFonts w:ascii="Arial" w:hAnsi="Arial" w:cs="Arial"/>
          <w:highlight w:val="yellow"/>
          <w:lang w:val="en-US"/>
        </w:rPr>
        <w:t>es</w:t>
      </w:r>
      <w:r>
        <w:rPr>
          <w:rFonts w:ascii="Arial" w:hAnsi="Arial" w:cs="Arial"/>
          <w:lang w:val="en-US"/>
        </w:rPr>
        <w:t>. In</w:t>
      </w:r>
      <w:r>
        <w:rPr>
          <w:rFonts w:ascii="Arial" w:hAnsi="Arial" w:cs="Arial"/>
          <w:highlight w:val="yellow"/>
          <w:lang w:val="en-US"/>
        </w:rPr>
        <w:t xml:space="preserve"> the</w:t>
      </w:r>
      <w:r>
        <w:rPr>
          <w:rFonts w:ascii="Arial" w:hAnsi="Arial" w:cs="Arial"/>
          <w:lang w:val="en-US"/>
        </w:rPr>
        <w:t xml:space="preserve"> present study, these were mucous</w:t>
      </w:r>
      <w:r>
        <w:rPr>
          <w:rFonts w:ascii="Arial" w:hAnsi="Arial" w:cs="Arial"/>
          <w:highlight w:val="yellow"/>
          <w:lang w:val="en-US"/>
        </w:rPr>
        <w:t>-</w:t>
      </w:r>
      <w:r>
        <w:rPr>
          <w:rFonts w:ascii="Arial" w:hAnsi="Arial" w:cs="Arial"/>
          <w:lang w:val="en-US"/>
        </w:rPr>
        <w:t>secreting glands, c</w:t>
      </w:r>
      <w:r>
        <w:rPr>
          <w:rFonts w:ascii="Arial" w:hAnsi="Arial" w:cs="Arial"/>
          <w:highlight w:val="yellow"/>
          <w:lang w:val="en-US"/>
        </w:rPr>
        <w:t>ons</w:t>
      </w:r>
      <w:r>
        <w:rPr>
          <w:rFonts w:ascii="Arial" w:hAnsi="Arial" w:cs="Arial"/>
          <w:lang w:val="en-US"/>
        </w:rPr>
        <w:t>is</w:t>
      </w:r>
      <w:r>
        <w:rPr>
          <w:rFonts w:ascii="Arial" w:hAnsi="Arial" w:cs="Arial"/>
          <w:highlight w:val="yellow"/>
          <w:lang w:val="en-US"/>
        </w:rPr>
        <w:t>te</w:t>
      </w:r>
      <w:r>
        <w:rPr>
          <w:rFonts w:ascii="Arial" w:hAnsi="Arial" w:cs="Arial"/>
          <w:lang w:val="en-US"/>
        </w:rPr>
        <w:t>n</w:t>
      </w:r>
      <w:r>
        <w:rPr>
          <w:rFonts w:ascii="Arial" w:hAnsi="Arial" w:cs="Arial"/>
          <w:highlight w:val="yellow"/>
          <w:lang w:val="en-US"/>
        </w:rPr>
        <w:t>t</w:t>
      </w:r>
      <w:r>
        <w:rPr>
          <w:rFonts w:ascii="Arial" w:hAnsi="Arial" w:cs="Arial"/>
          <w:lang w:val="en-US"/>
        </w:rPr>
        <w:t xml:space="preserve"> with Simawy et al. (2024) in cats and dogs, who stated that Brunner’s glands were mucous in nature, while they were serous in goats. In contrast, serous types of submucosal glands were noted in pigs and rats by Eurell </w:t>
      </w:r>
      <w:r>
        <w:rPr>
          <w:rFonts w:ascii="Arial" w:hAnsi="Arial" w:cs="Arial"/>
          <w:highlight w:val="yellow"/>
          <w:lang w:val="en-US"/>
        </w:rPr>
        <w:t>and</w:t>
      </w:r>
      <w:r>
        <w:rPr>
          <w:rFonts w:ascii="Arial" w:hAnsi="Arial" w:cs="Arial"/>
          <w:lang w:val="en-US"/>
        </w:rPr>
        <w:t xml:space="preserve"> Frappier (2006) and in wild brown rat</w:t>
      </w:r>
      <w:r>
        <w:rPr>
          <w:rFonts w:ascii="Arial" w:hAnsi="Arial" w:cs="Arial"/>
          <w:highlight w:val="yellow"/>
          <w:lang w:val="en-US"/>
        </w:rPr>
        <w:t>s by Al-Arubay (2025)</w:t>
      </w:r>
      <w:r>
        <w:rPr>
          <w:rFonts w:ascii="Arial" w:hAnsi="Arial" w:cs="Arial"/>
          <w:lang w:val="en-US"/>
        </w:rPr>
        <w:t>. Mohammad et al. (2020) observed</w:t>
      </w:r>
      <w:r>
        <w:rPr>
          <w:rFonts w:ascii="Arial" w:hAnsi="Arial" w:cs="Arial"/>
          <w:highlight w:val="yellow"/>
          <w:lang w:val="en-US"/>
        </w:rPr>
        <w:t xml:space="preserve"> a</w:t>
      </w:r>
      <w:r>
        <w:rPr>
          <w:rFonts w:ascii="Arial" w:hAnsi="Arial" w:cs="Arial"/>
          <w:lang w:val="en-US"/>
        </w:rPr>
        <w:t xml:space="preserve"> muco-serous type of Brunner’s glands in rabbits, while they were mucous in sheep.</w:t>
      </w:r>
      <w:r>
        <w:rPr>
          <w:rFonts w:ascii="Arial" w:hAnsi="Arial" w:cs="Arial"/>
          <w:highlight w:val="yellow"/>
          <w:lang w:val="en-US"/>
        </w:rPr>
        <w:t xml:space="preserve"> </w:t>
      </w:r>
      <w:r>
        <w:rPr>
          <w:rFonts w:ascii="Arial" w:hAnsi="Arial" w:cs="Arial"/>
          <w:lang w:val="en-US"/>
        </w:rPr>
        <w:t>At birth, Brunner’s glands were few in number and isolated</w:t>
      </w:r>
      <w:r>
        <w:rPr>
          <w:rFonts w:ascii="Arial" w:hAnsi="Arial" w:cs="Arial"/>
          <w:highlight w:val="yellow"/>
          <w:lang w:val="en-US"/>
        </w:rPr>
        <w:t>,</w:t>
      </w:r>
      <w:r>
        <w:rPr>
          <w:rFonts w:ascii="Arial" w:hAnsi="Arial" w:cs="Arial"/>
          <w:lang w:val="en-US"/>
        </w:rPr>
        <w:t xml:space="preserve"> whe</w:t>
      </w:r>
      <w:r>
        <w:rPr>
          <w:rFonts w:ascii="Arial" w:hAnsi="Arial" w:cs="Arial"/>
          <w:highlight w:val="yellow"/>
          <w:lang w:val="en-US"/>
        </w:rPr>
        <w:t>reas</w:t>
      </w:r>
      <w:r>
        <w:rPr>
          <w:rFonts w:ascii="Arial" w:hAnsi="Arial" w:cs="Arial"/>
          <w:lang w:val="en-US"/>
        </w:rPr>
        <w:t xml:space="preserve"> </w:t>
      </w:r>
      <w:r>
        <w:rPr>
          <w:rFonts w:ascii="Arial" w:hAnsi="Arial" w:cs="Arial"/>
          <w:highlight w:val="yellow"/>
          <w:lang w:val="en-US"/>
        </w:rPr>
        <w:t>by</w:t>
      </w:r>
      <w:r>
        <w:rPr>
          <w:rFonts w:ascii="Arial" w:hAnsi="Arial" w:cs="Arial"/>
          <w:lang w:val="en-US"/>
        </w:rPr>
        <w:t xml:space="preserve"> day</w:t>
      </w:r>
      <w:r>
        <w:rPr>
          <w:rFonts w:ascii="Arial" w:hAnsi="Arial" w:cs="Arial"/>
          <w:highlight w:val="yellow"/>
          <w:lang w:val="en-US"/>
        </w:rPr>
        <w:t xml:space="preserve"> 13</w:t>
      </w:r>
      <w:r>
        <w:rPr>
          <w:rFonts w:ascii="Arial" w:hAnsi="Arial" w:cs="Arial"/>
          <w:lang w:val="en-US"/>
        </w:rPr>
        <w:t xml:space="preserve"> of postnatal life, most of the submucosa was occupied by these glands in lobulated form, separated by thin interlobular connective tissue</w:t>
      </w:r>
      <w:r>
        <w:rPr>
          <w:rFonts w:ascii="Arial" w:hAnsi="Arial" w:cs="Arial"/>
          <w:highlight w:val="yellow"/>
          <w:lang w:val="en-US"/>
        </w:rPr>
        <w:t xml:space="preserve"> </w:t>
      </w:r>
      <w:r>
        <w:rPr>
          <w:rFonts w:ascii="Arial" w:hAnsi="Arial" w:cs="Arial"/>
          <w:lang w:val="en-US"/>
        </w:rPr>
        <w:t>(Fig 7</w:t>
      </w:r>
      <w:r>
        <w:rPr>
          <w:rFonts w:ascii="Arial" w:hAnsi="Arial" w:cs="Arial"/>
          <w:b/>
          <w:bCs/>
          <w:lang w:val="en-US"/>
        </w:rPr>
        <w:t>)</w:t>
      </w:r>
      <w:r>
        <w:rPr>
          <w:rFonts w:ascii="Arial" w:hAnsi="Arial" w:cs="Arial"/>
          <w:lang w:val="en-US"/>
        </w:rPr>
        <w:t xml:space="preserve">. However, this layer was heavily embedded </w:t>
      </w:r>
      <w:r>
        <w:rPr>
          <w:rFonts w:ascii="Arial" w:hAnsi="Arial" w:cs="Arial"/>
          <w:highlight w:val="yellow"/>
          <w:lang w:val="en-US"/>
        </w:rPr>
        <w:t>with</w:t>
      </w:r>
      <w:r>
        <w:rPr>
          <w:rFonts w:ascii="Arial" w:hAnsi="Arial" w:cs="Arial"/>
          <w:lang w:val="en-US"/>
        </w:rPr>
        <w:t xml:space="preserve"> these glands</w:t>
      </w:r>
      <w:r>
        <w:rPr>
          <w:rFonts w:ascii="Arial" w:hAnsi="Arial" w:cs="Arial"/>
          <w:highlight w:val="yellow"/>
          <w:lang w:val="en-US"/>
        </w:rPr>
        <w:t>,</w:t>
      </w:r>
      <w:r>
        <w:rPr>
          <w:rFonts w:ascii="Arial" w:hAnsi="Arial" w:cs="Arial"/>
          <w:lang w:val="en-US"/>
        </w:rPr>
        <w:t xml:space="preserve"> along with increased amount</w:t>
      </w:r>
      <w:r>
        <w:rPr>
          <w:rFonts w:ascii="Arial" w:hAnsi="Arial" w:cs="Arial"/>
          <w:highlight w:val="yellow"/>
          <w:lang w:val="en-US"/>
        </w:rPr>
        <w:t>s</w:t>
      </w:r>
      <w:r>
        <w:rPr>
          <w:rFonts w:ascii="Arial" w:hAnsi="Arial" w:cs="Arial"/>
          <w:lang w:val="en-US"/>
        </w:rPr>
        <w:t xml:space="preserve"> of adipose tissue and connective tissue fibres</w:t>
      </w:r>
      <w:r>
        <w:rPr>
          <w:rFonts w:ascii="Arial" w:hAnsi="Arial" w:cs="Arial"/>
          <w:highlight w:val="yellow"/>
          <w:lang w:val="en-US"/>
        </w:rPr>
        <w:t>,</w:t>
      </w:r>
      <w:r>
        <w:rPr>
          <w:rFonts w:ascii="Arial" w:hAnsi="Arial" w:cs="Arial"/>
          <w:lang w:val="en-US"/>
        </w:rPr>
        <w:t xml:space="preserve"> from </w:t>
      </w:r>
      <w:r>
        <w:rPr>
          <w:rFonts w:ascii="Arial" w:hAnsi="Arial" w:cs="Arial"/>
          <w:highlight w:val="yellow"/>
          <w:lang w:val="en-US"/>
        </w:rPr>
        <w:t>G</w:t>
      </w:r>
      <w:r>
        <w:rPr>
          <w:rFonts w:ascii="Arial" w:hAnsi="Arial" w:cs="Arial"/>
          <w:lang w:val="en-US"/>
        </w:rPr>
        <w:t>roup II to</w:t>
      </w:r>
      <w:r>
        <w:rPr>
          <w:rFonts w:ascii="Arial" w:hAnsi="Arial" w:cs="Arial"/>
          <w:highlight w:val="yellow"/>
          <w:lang w:val="en-US"/>
        </w:rPr>
        <w:t xml:space="preserve"> Group</w:t>
      </w:r>
      <w:r>
        <w:rPr>
          <w:rFonts w:ascii="Arial" w:hAnsi="Arial" w:cs="Arial"/>
          <w:lang w:val="en-US"/>
        </w:rPr>
        <w:t xml:space="preserve"> III (Fig 12</w:t>
      </w:r>
      <w:r>
        <w:rPr>
          <w:rFonts w:ascii="Arial" w:hAnsi="Arial" w:cs="Arial"/>
          <w:highlight w:val="yellow"/>
          <w:lang w:val="en-US"/>
        </w:rPr>
        <w:t xml:space="preserve"> </w:t>
      </w:r>
      <w:r>
        <w:rPr>
          <w:rFonts w:ascii="Arial" w:hAnsi="Arial" w:cs="Arial"/>
          <w:lang w:val="en-US"/>
        </w:rPr>
        <w:t>&amp; 13</w:t>
      </w:r>
      <w:r>
        <w:rPr>
          <w:rFonts w:ascii="Arial" w:hAnsi="Arial" w:cs="Arial"/>
          <w:b/>
          <w:bCs/>
          <w:lang w:val="en-US"/>
        </w:rPr>
        <w:t>)</w:t>
      </w:r>
      <w:r>
        <w:rPr>
          <w:rFonts w:ascii="Arial" w:hAnsi="Arial" w:cs="Arial"/>
          <w:lang w:val="en-US"/>
        </w:rPr>
        <w:t>. Saleh et al. (20</w:t>
      </w:r>
      <w:r>
        <w:rPr>
          <w:rFonts w:ascii="Arial" w:hAnsi="Arial" w:cs="Arial"/>
          <w:highlight w:val="yellow"/>
          <w:lang w:val="en-US"/>
        </w:rPr>
        <w:t>22</w:t>
      </w:r>
      <w:r>
        <w:rPr>
          <w:rFonts w:ascii="Arial" w:hAnsi="Arial" w:cs="Arial"/>
          <w:lang w:val="en-US"/>
        </w:rPr>
        <w:t>)</w:t>
      </w:r>
      <w:r>
        <w:rPr>
          <w:rFonts w:ascii="Arial" w:hAnsi="Arial" w:cs="Arial"/>
          <w:highlight w:val="yellow"/>
          <w:lang w:val="en-US"/>
        </w:rPr>
        <w:t xml:space="preserve"> observed</w:t>
      </w:r>
      <w:r>
        <w:rPr>
          <w:rFonts w:ascii="Arial" w:hAnsi="Arial" w:cs="Arial"/>
          <w:lang w:val="en-US"/>
        </w:rPr>
        <w:t xml:space="preserve"> in adult cow</w:t>
      </w:r>
      <w:r>
        <w:rPr>
          <w:rFonts w:ascii="Arial" w:hAnsi="Arial" w:cs="Arial"/>
          <w:highlight w:val="yellow"/>
          <w:lang w:val="en-US"/>
        </w:rPr>
        <w:t>s</w:t>
      </w:r>
      <w:r>
        <w:rPr>
          <w:rFonts w:ascii="Arial" w:hAnsi="Arial" w:cs="Arial"/>
          <w:lang w:val="en-US"/>
        </w:rPr>
        <w:t xml:space="preserve"> t</w:t>
      </w:r>
      <w:r>
        <w:rPr>
          <w:rFonts w:ascii="Arial" w:hAnsi="Arial" w:cs="Arial"/>
          <w:highlight w:val="yellow"/>
          <w:lang w:val="en-US"/>
        </w:rPr>
        <w:t>hat</w:t>
      </w:r>
      <w:r>
        <w:rPr>
          <w:rFonts w:ascii="Arial" w:hAnsi="Arial" w:cs="Arial"/>
          <w:lang w:val="en-US"/>
        </w:rPr>
        <w:t xml:space="preserve"> Brunner’s glands </w:t>
      </w:r>
      <w:r>
        <w:rPr>
          <w:rFonts w:ascii="Arial" w:hAnsi="Arial" w:cs="Arial"/>
          <w:highlight w:val="yellow"/>
          <w:lang w:val="en-US"/>
        </w:rPr>
        <w:t xml:space="preserve">extended </w:t>
      </w:r>
      <w:r>
        <w:rPr>
          <w:rFonts w:ascii="Arial" w:hAnsi="Arial" w:cs="Arial"/>
          <w:lang w:val="en-US"/>
        </w:rPr>
        <w:t>from the end of</w:t>
      </w:r>
      <w:r>
        <w:rPr>
          <w:rFonts w:ascii="Arial" w:hAnsi="Arial" w:cs="Arial"/>
          <w:highlight w:val="yellow"/>
          <w:lang w:val="en-US"/>
        </w:rPr>
        <w:t xml:space="preserve"> the</w:t>
      </w:r>
      <w:r>
        <w:rPr>
          <w:rFonts w:ascii="Arial" w:hAnsi="Arial" w:cs="Arial"/>
          <w:lang w:val="en-US"/>
        </w:rPr>
        <w:t xml:space="preserve"> pylorus to the first and middle thirds of the duoden</w:t>
      </w:r>
      <w:r>
        <w:rPr>
          <w:rFonts w:ascii="Arial" w:hAnsi="Arial" w:cs="Arial"/>
          <w:highlight w:val="yellow"/>
          <w:lang w:val="en-US"/>
        </w:rPr>
        <w:t>al s</w:t>
      </w:r>
      <w:r>
        <w:rPr>
          <w:rFonts w:ascii="Arial" w:hAnsi="Arial" w:cs="Arial"/>
          <w:lang w:val="en-US"/>
        </w:rPr>
        <w:t>u</w:t>
      </w:r>
      <w:r>
        <w:rPr>
          <w:rFonts w:ascii="Arial" w:hAnsi="Arial" w:cs="Arial"/>
          <w:highlight w:val="yellow"/>
          <w:lang w:val="en-US"/>
        </w:rPr>
        <w:t>b</w:t>
      </w:r>
      <w:r>
        <w:rPr>
          <w:rFonts w:ascii="Arial" w:hAnsi="Arial" w:cs="Arial"/>
          <w:lang w:val="en-US"/>
        </w:rPr>
        <w:t>m</w:t>
      </w:r>
      <w:r>
        <w:rPr>
          <w:rFonts w:ascii="Arial" w:hAnsi="Arial" w:cs="Arial"/>
          <w:highlight w:val="yellow"/>
          <w:lang w:val="en-US"/>
        </w:rPr>
        <w:t>ucosa</w:t>
      </w:r>
      <w:r>
        <w:rPr>
          <w:rFonts w:ascii="Arial" w:hAnsi="Arial" w:cs="Arial"/>
          <w:lang w:val="en-US"/>
        </w:rPr>
        <w:t>, while they were absent in t</w:t>
      </w:r>
      <w:r>
        <w:rPr>
          <w:rFonts w:ascii="Arial" w:hAnsi="Arial" w:cs="Arial"/>
          <w:highlight w:val="yellow"/>
          <w:lang w:val="en-US"/>
        </w:rPr>
        <w:t>he t</w:t>
      </w:r>
      <w:r>
        <w:rPr>
          <w:rFonts w:ascii="Arial" w:hAnsi="Arial" w:cs="Arial"/>
          <w:lang w:val="en-US"/>
        </w:rPr>
        <w:t>erminal third of</w:t>
      </w:r>
      <w:r>
        <w:rPr>
          <w:rFonts w:ascii="Arial" w:hAnsi="Arial" w:cs="Arial"/>
          <w:highlight w:val="yellow"/>
          <w:lang w:val="en-US"/>
        </w:rPr>
        <w:t xml:space="preserve"> the</w:t>
      </w:r>
      <w:r>
        <w:rPr>
          <w:rFonts w:ascii="Arial" w:hAnsi="Arial" w:cs="Arial"/>
          <w:lang w:val="en-US"/>
        </w:rPr>
        <w:t xml:space="preserve"> duodenum.</w:t>
      </w:r>
    </w:p>
    <w:p w14:paraId="1079230A" w14:textId="77777777" w:rsidR="004C0604" w:rsidRPr="003054AD" w:rsidRDefault="004C0604" w:rsidP="004C0604">
      <w:pPr>
        <w:spacing w:line="240" w:lineRule="auto"/>
        <w:ind w:left="0"/>
        <w:jc w:val="both"/>
        <w:rPr>
          <w:rFonts w:ascii="Arial" w:hAnsi="Arial" w:cs="Arial"/>
          <w:lang w:val="en-US"/>
        </w:rPr>
      </w:pPr>
      <w:r>
        <w:rPr>
          <w:rFonts w:ascii="Arial" w:hAnsi="Arial" w:cs="Arial"/>
          <w:lang w:val="en-US"/>
        </w:rPr>
        <w:t>Plicae circulares (</w:t>
      </w:r>
      <w:r>
        <w:rPr>
          <w:rFonts w:ascii="Arial" w:hAnsi="Arial" w:cs="Arial"/>
          <w:highlight w:val="yellow"/>
          <w:lang w:val="en-US"/>
        </w:rPr>
        <w:t>v</w:t>
      </w:r>
      <w:r>
        <w:rPr>
          <w:rFonts w:ascii="Arial" w:hAnsi="Arial" w:cs="Arial"/>
          <w:lang w:val="en-US"/>
        </w:rPr>
        <w:t>alves of Ke</w:t>
      </w:r>
      <w:r>
        <w:rPr>
          <w:rFonts w:ascii="Arial" w:hAnsi="Arial" w:cs="Arial"/>
          <w:highlight w:val="yellow"/>
          <w:lang w:val="en-US"/>
        </w:rPr>
        <w:t>r</w:t>
      </w:r>
      <w:r>
        <w:rPr>
          <w:rFonts w:ascii="Arial" w:hAnsi="Arial" w:cs="Arial"/>
          <w:lang w:val="en-US"/>
        </w:rPr>
        <w:t>ckring) became evident from the seventh day and increased in prominence with age</w:t>
      </w:r>
      <w:r>
        <w:rPr>
          <w:rFonts w:ascii="Arial" w:hAnsi="Arial" w:cs="Arial"/>
          <w:highlight w:val="yellow"/>
          <w:lang w:val="en-US"/>
        </w:rPr>
        <w:t xml:space="preserve"> </w:t>
      </w:r>
      <w:r>
        <w:rPr>
          <w:rFonts w:ascii="Arial" w:hAnsi="Arial" w:cs="Arial"/>
          <w:lang w:val="en-US"/>
        </w:rPr>
        <w:t>(Fig 14 &amp; 15</w:t>
      </w:r>
      <w:r>
        <w:rPr>
          <w:rFonts w:ascii="Arial" w:hAnsi="Arial" w:cs="Arial"/>
          <w:b/>
          <w:bCs/>
          <w:lang w:val="en-US"/>
        </w:rPr>
        <w:t>)</w:t>
      </w:r>
      <w:r>
        <w:rPr>
          <w:rFonts w:ascii="Arial" w:hAnsi="Arial" w:cs="Arial"/>
          <w:lang w:val="en-US"/>
        </w:rPr>
        <w:t xml:space="preserve">. Their greater height </w:t>
      </w:r>
      <w:r>
        <w:rPr>
          <w:rFonts w:ascii="Arial" w:hAnsi="Arial" w:cs="Arial"/>
          <w:highlight w:val="yellow"/>
          <w:lang w:val="en-US"/>
        </w:rPr>
        <w:t xml:space="preserve">in </w:t>
      </w:r>
      <w:r>
        <w:rPr>
          <w:rFonts w:ascii="Arial" w:hAnsi="Arial" w:cs="Arial"/>
          <w:lang w:val="en-US"/>
        </w:rPr>
        <w:t>t</w:t>
      </w:r>
      <w:r>
        <w:rPr>
          <w:rFonts w:ascii="Arial" w:hAnsi="Arial" w:cs="Arial"/>
          <w:highlight w:val="yellow"/>
          <w:lang w:val="en-US"/>
        </w:rPr>
        <w:t>he</w:t>
      </w:r>
      <w:r>
        <w:rPr>
          <w:rFonts w:ascii="Arial" w:hAnsi="Arial" w:cs="Arial"/>
          <w:lang w:val="en-US"/>
        </w:rPr>
        <w:t xml:space="preserve"> caudal duodenum indicated </w:t>
      </w:r>
      <w:r>
        <w:rPr>
          <w:rFonts w:ascii="Arial" w:hAnsi="Arial" w:cs="Arial"/>
          <w:highlight w:val="yellow"/>
          <w:lang w:val="en-US"/>
        </w:rPr>
        <w:t xml:space="preserve">an </w:t>
      </w:r>
      <w:r>
        <w:rPr>
          <w:rFonts w:ascii="Arial" w:hAnsi="Arial" w:cs="Arial"/>
          <w:lang w:val="en-US"/>
        </w:rPr>
        <w:t>enhancement of</w:t>
      </w:r>
      <w:r>
        <w:rPr>
          <w:rFonts w:ascii="Arial" w:hAnsi="Arial" w:cs="Arial"/>
          <w:highlight w:val="yellow"/>
          <w:lang w:val="en-US"/>
        </w:rPr>
        <w:t xml:space="preserve"> the</w:t>
      </w:r>
      <w:r>
        <w:rPr>
          <w:rFonts w:ascii="Arial" w:hAnsi="Arial" w:cs="Arial"/>
          <w:lang w:val="en-US"/>
        </w:rPr>
        <w:t xml:space="preserve"> luminal surface area during maturation. </w:t>
      </w:r>
      <w:r>
        <w:rPr>
          <w:rFonts w:ascii="Arial" w:hAnsi="Arial" w:cs="Arial"/>
          <w:highlight w:val="yellow"/>
          <w:lang w:val="en-US"/>
        </w:rPr>
        <w:t>T</w:t>
      </w:r>
      <w:r>
        <w:rPr>
          <w:rFonts w:ascii="Arial" w:hAnsi="Arial" w:cs="Arial"/>
          <w:lang w:val="en-US"/>
        </w:rPr>
        <w:t>he increased prominence</w:t>
      </w:r>
      <w:r>
        <w:rPr>
          <w:rFonts w:ascii="Arial" w:hAnsi="Arial" w:cs="Arial"/>
          <w:highlight w:val="yellow"/>
          <w:lang w:val="en-US"/>
        </w:rPr>
        <w:t xml:space="preserve"> of the plicae during postnatal development</w:t>
      </w:r>
      <w:r>
        <w:rPr>
          <w:rFonts w:ascii="Arial" w:hAnsi="Arial" w:cs="Arial"/>
          <w:lang w:val="en-US"/>
        </w:rPr>
        <w:t xml:space="preserve"> observed in the present study may reflect adaptation for efficient nutrient absorption. These</w:t>
      </w:r>
      <w:r>
        <w:rPr>
          <w:rFonts w:ascii="Arial" w:hAnsi="Arial" w:cs="Arial"/>
          <w:highlight w:val="yellow"/>
          <w:lang w:val="en-US"/>
        </w:rPr>
        <w:t xml:space="preserve"> findings</w:t>
      </w:r>
      <w:r>
        <w:rPr>
          <w:rFonts w:ascii="Arial" w:hAnsi="Arial" w:cs="Arial"/>
          <w:lang w:val="en-US"/>
        </w:rPr>
        <w:t xml:space="preserve"> are in accordance with the observations of Deswal and Gahlot (2024) in pigs, who stated that the mucosal folds were in the form of plicae circulares and th</w:t>
      </w:r>
      <w:r>
        <w:rPr>
          <w:rFonts w:ascii="Arial" w:hAnsi="Arial" w:cs="Arial"/>
          <w:highlight w:val="yellow"/>
          <w:lang w:val="en-US"/>
        </w:rPr>
        <w:t>at th</w:t>
      </w:r>
      <w:r>
        <w:rPr>
          <w:rFonts w:ascii="Arial" w:hAnsi="Arial" w:cs="Arial"/>
          <w:lang w:val="en-US"/>
        </w:rPr>
        <w:t>eir height gradually increased to</w:t>
      </w:r>
      <w:r>
        <w:rPr>
          <w:rFonts w:ascii="Arial" w:hAnsi="Arial" w:cs="Arial"/>
          <w:highlight w:val="yellow"/>
          <w:lang w:val="en-US"/>
        </w:rPr>
        <w:t>wards the</w:t>
      </w:r>
      <w:r>
        <w:rPr>
          <w:rFonts w:ascii="Arial" w:hAnsi="Arial" w:cs="Arial"/>
          <w:lang w:val="en-US"/>
        </w:rPr>
        <w:t xml:space="preserve"> caudal part.</w:t>
      </w:r>
    </w:p>
    <w:p w14:paraId="1241FB32" w14:textId="77777777" w:rsidR="004C0604" w:rsidRPr="003054AD" w:rsidRDefault="004C0604" w:rsidP="004C0604">
      <w:pPr>
        <w:spacing w:line="240" w:lineRule="auto"/>
        <w:ind w:left="0"/>
        <w:jc w:val="both"/>
        <w:rPr>
          <w:rFonts w:ascii="Arial" w:hAnsi="Arial" w:cs="Arial"/>
          <w:lang w:val="en-US"/>
        </w:rPr>
      </w:pPr>
      <w:r>
        <w:rPr>
          <w:rFonts w:ascii="Arial" w:hAnsi="Arial" w:cs="Arial"/>
          <w:lang w:val="en-US"/>
        </w:rPr>
        <w:t>T</w:t>
      </w:r>
      <w:r>
        <w:rPr>
          <w:rFonts w:ascii="Arial" w:hAnsi="Arial" w:cs="Arial"/>
          <w:highlight w:val="yellow"/>
          <w:lang w:val="en-US"/>
        </w:rPr>
        <w:t>he t</w:t>
      </w:r>
      <w:r>
        <w:rPr>
          <w:rFonts w:ascii="Arial" w:hAnsi="Arial" w:cs="Arial"/>
          <w:lang w:val="en-US"/>
        </w:rPr>
        <w:t>unica muscularis consisted of thick inner circular and thin outer longitudinal smooth muscle layers separated by connective tissue containing Auerbach’s plexus in all parts of the duodenum (Fig 16</w:t>
      </w:r>
      <w:r>
        <w:rPr>
          <w:rFonts w:ascii="Arial" w:hAnsi="Arial" w:cs="Arial"/>
          <w:b/>
          <w:bCs/>
          <w:lang w:val="en-US"/>
        </w:rPr>
        <w:t>)</w:t>
      </w:r>
      <w:r>
        <w:rPr>
          <w:rFonts w:ascii="Arial" w:hAnsi="Arial" w:cs="Arial"/>
          <w:lang w:val="en-US"/>
        </w:rPr>
        <w:t xml:space="preserve">. </w:t>
      </w:r>
      <w:r>
        <w:rPr>
          <w:rFonts w:ascii="Arial" w:hAnsi="Arial" w:cs="Arial"/>
          <w:highlight w:val="yellow"/>
          <w:lang w:val="en-US"/>
        </w:rPr>
        <w:t>A s</w:t>
      </w:r>
      <w:r>
        <w:rPr>
          <w:rFonts w:ascii="Arial" w:hAnsi="Arial" w:cs="Arial"/>
          <w:lang w:val="en-US"/>
        </w:rPr>
        <w:t>imilar arrangement was reported by Talukdar (1999) in pigs, Hassan and Moussa (2015) in goats, Mohammad et al. (2020) in sheep, Gutte (2019) in sheep and goat</w:t>
      </w:r>
      <w:r>
        <w:rPr>
          <w:rFonts w:ascii="Arial" w:hAnsi="Arial" w:cs="Arial"/>
          <w:highlight w:val="yellow"/>
          <w:lang w:val="en-US"/>
        </w:rPr>
        <w:t>s</w:t>
      </w:r>
      <w:r>
        <w:rPr>
          <w:rFonts w:ascii="Arial" w:hAnsi="Arial" w:cs="Arial"/>
          <w:lang w:val="en-US"/>
        </w:rPr>
        <w:t>, Al</w:t>
      </w:r>
      <w:r>
        <w:rPr>
          <w:rFonts w:ascii="Arial" w:hAnsi="Arial" w:cs="Arial"/>
          <w:highlight w:val="yellow"/>
          <w:lang w:val="en-US"/>
        </w:rPr>
        <w:t>-</w:t>
      </w:r>
      <w:r>
        <w:rPr>
          <w:rFonts w:ascii="Arial" w:hAnsi="Arial" w:cs="Arial"/>
          <w:lang w:val="en-US"/>
        </w:rPr>
        <w:t>Mansour et al. (2020) in goat</w:t>
      </w:r>
      <w:r>
        <w:rPr>
          <w:rFonts w:ascii="Arial" w:hAnsi="Arial" w:cs="Arial"/>
          <w:highlight w:val="yellow"/>
          <w:lang w:val="en-US"/>
        </w:rPr>
        <w:t>s</w:t>
      </w:r>
      <w:r>
        <w:rPr>
          <w:rFonts w:ascii="Arial" w:hAnsi="Arial" w:cs="Arial"/>
          <w:lang w:val="en-US"/>
        </w:rPr>
        <w:t xml:space="preserve"> and gazelle</w:t>
      </w:r>
      <w:r>
        <w:rPr>
          <w:rFonts w:ascii="Arial" w:hAnsi="Arial" w:cs="Arial"/>
          <w:highlight w:val="yellow"/>
          <w:lang w:val="en-US"/>
        </w:rPr>
        <w:t>s,</w:t>
      </w:r>
      <w:r>
        <w:rPr>
          <w:rFonts w:ascii="Arial" w:hAnsi="Arial" w:cs="Arial"/>
          <w:lang w:val="en-US"/>
        </w:rPr>
        <w:t xml:space="preserve"> and Singh et al. (2021) in </w:t>
      </w:r>
      <w:r>
        <w:rPr>
          <w:rFonts w:ascii="Arial" w:hAnsi="Arial" w:cs="Arial"/>
          <w:lang w:val="en-US"/>
        </w:rPr>
        <w:lastRenderedPageBreak/>
        <w:t>pigs. The tunica serosa in all postnatal age groups formed the outermost layer</w:t>
      </w:r>
      <w:r>
        <w:rPr>
          <w:rFonts w:ascii="Arial" w:hAnsi="Arial" w:cs="Arial"/>
          <w:highlight w:val="yellow"/>
          <w:lang w:val="en-US"/>
        </w:rPr>
        <w:t>,</w:t>
      </w:r>
      <w:r>
        <w:rPr>
          <w:rFonts w:ascii="Arial" w:hAnsi="Arial" w:cs="Arial"/>
          <w:lang w:val="en-US"/>
        </w:rPr>
        <w:t xml:space="preserve"> consisting of loose connective tissue, blood vessels, nerves</w:t>
      </w:r>
      <w:r>
        <w:rPr>
          <w:rFonts w:ascii="Arial" w:hAnsi="Arial" w:cs="Arial"/>
          <w:highlight w:val="yellow"/>
          <w:lang w:val="en-US"/>
        </w:rPr>
        <w:t>,</w:t>
      </w:r>
      <w:r>
        <w:rPr>
          <w:rFonts w:ascii="Arial" w:hAnsi="Arial" w:cs="Arial"/>
          <w:lang w:val="en-US"/>
        </w:rPr>
        <w:t xml:space="preserve"> and adipose tissue covered by mesothelium. Similar findings were described by Hassan and Moussa (2015) in goats, Korkmaz and Kum (2016) in dromedary camels, Al</w:t>
      </w:r>
      <w:r>
        <w:rPr>
          <w:rFonts w:ascii="Arial" w:hAnsi="Arial" w:cs="Arial"/>
          <w:highlight w:val="yellow"/>
          <w:lang w:val="en-US"/>
        </w:rPr>
        <w:t>-</w:t>
      </w:r>
      <w:r>
        <w:rPr>
          <w:rFonts w:ascii="Arial" w:hAnsi="Arial" w:cs="Arial"/>
          <w:lang w:val="en-US"/>
        </w:rPr>
        <w:t>Mansour et al. (2020) in goat</w:t>
      </w:r>
      <w:r>
        <w:rPr>
          <w:rFonts w:ascii="Arial" w:hAnsi="Arial" w:cs="Arial"/>
          <w:highlight w:val="yellow"/>
          <w:lang w:val="en-US"/>
        </w:rPr>
        <w:t>s</w:t>
      </w:r>
      <w:r>
        <w:rPr>
          <w:rFonts w:ascii="Arial" w:hAnsi="Arial" w:cs="Arial"/>
          <w:lang w:val="en-US"/>
        </w:rPr>
        <w:t xml:space="preserve"> and gazelle</w:t>
      </w:r>
      <w:r>
        <w:rPr>
          <w:rFonts w:ascii="Arial" w:hAnsi="Arial" w:cs="Arial"/>
          <w:highlight w:val="yellow"/>
          <w:lang w:val="en-US"/>
        </w:rPr>
        <w:t>s,</w:t>
      </w:r>
      <w:r>
        <w:rPr>
          <w:rFonts w:ascii="Arial" w:hAnsi="Arial" w:cs="Arial"/>
          <w:lang w:val="en-US"/>
        </w:rPr>
        <w:t xml:space="preserve"> and Singh et al. (2021) in pigs, who reported a thin layer o</w:t>
      </w:r>
      <w:r>
        <w:rPr>
          <w:rFonts w:ascii="Arial" w:hAnsi="Arial" w:cs="Arial"/>
          <w:highlight w:val="yellow"/>
          <w:lang w:val="en-US"/>
        </w:rPr>
        <w:t>f</w:t>
      </w:r>
      <w:r>
        <w:rPr>
          <w:rFonts w:ascii="Arial" w:hAnsi="Arial" w:cs="Arial"/>
          <w:lang w:val="en-US"/>
        </w:rPr>
        <w:t xml:space="preserve"> loose connective tissue covered by mesothelial cells. </w:t>
      </w:r>
    </w:p>
    <w:p w14:paraId="084E685C" w14:textId="77777777" w:rsidR="004C0604" w:rsidRPr="003054AD" w:rsidRDefault="004C0604" w:rsidP="004C0604">
      <w:pPr>
        <w:spacing w:line="240" w:lineRule="auto"/>
        <w:ind w:left="0" w:firstLine="0"/>
        <w:jc w:val="both"/>
        <w:rPr>
          <w:rFonts w:ascii="Arial" w:hAnsi="Arial" w:cs="Arial"/>
          <w:b/>
          <w:bCs/>
          <w:u w:val="single"/>
          <w:lang w:val="en-US"/>
        </w:rPr>
      </w:pPr>
    </w:p>
    <w:p w14:paraId="430657EE" w14:textId="77777777" w:rsidR="004C0604" w:rsidRDefault="004C0604" w:rsidP="00AF5142">
      <w:pPr>
        <w:spacing w:beforeLines="30" w:before="72" w:after="10" w:line="240" w:lineRule="auto"/>
        <w:ind w:left="0" w:right="0"/>
        <w:jc w:val="both"/>
        <w:rPr>
          <w:rFonts w:ascii="Arial" w:hAnsi="Arial" w:cs="Arial"/>
          <w:color w:val="000000" w:themeColor="text1"/>
          <w:lang w:val="en-US"/>
        </w:rPr>
      </w:pPr>
    </w:p>
    <w:p w14:paraId="65681C60" w14:textId="77777777" w:rsidR="004C0604" w:rsidRDefault="004C0604" w:rsidP="00AF5142">
      <w:pPr>
        <w:spacing w:beforeLines="30" w:before="72" w:after="10" w:line="240" w:lineRule="auto"/>
        <w:ind w:left="0" w:right="0"/>
        <w:jc w:val="both"/>
        <w:rPr>
          <w:rFonts w:ascii="Arial" w:hAnsi="Arial" w:cs="Arial"/>
          <w:color w:val="000000" w:themeColor="text1"/>
          <w:lang w:val="en-US"/>
        </w:rPr>
      </w:pPr>
    </w:p>
    <w:p w14:paraId="661583B0" w14:textId="77777777" w:rsidR="004C0604" w:rsidRDefault="004C0604" w:rsidP="00AF5142">
      <w:pPr>
        <w:spacing w:beforeLines="30" w:before="72" w:after="10" w:line="240" w:lineRule="auto"/>
        <w:ind w:left="0" w:right="0"/>
        <w:jc w:val="both"/>
        <w:rPr>
          <w:rFonts w:ascii="Arial" w:hAnsi="Arial" w:cs="Arial"/>
          <w:color w:val="000000" w:themeColor="text1"/>
          <w:lang w:val="en-US"/>
        </w:rPr>
      </w:pPr>
    </w:p>
    <w:p w14:paraId="6269D798" w14:textId="77777777" w:rsidR="004C0604" w:rsidRDefault="004C0604" w:rsidP="00AF5142">
      <w:pPr>
        <w:spacing w:beforeLines="30" w:before="72" w:after="10" w:line="240" w:lineRule="auto"/>
        <w:ind w:left="0" w:right="0"/>
        <w:jc w:val="both"/>
        <w:rPr>
          <w:rFonts w:ascii="Arial" w:hAnsi="Arial" w:cs="Arial"/>
          <w:color w:val="000000" w:themeColor="text1"/>
          <w:lang w:val="en-US"/>
        </w:rPr>
      </w:pPr>
    </w:p>
    <w:p w14:paraId="1180C833" w14:textId="77777777" w:rsidR="004C0604" w:rsidRDefault="004C0604" w:rsidP="00AF5142">
      <w:pPr>
        <w:spacing w:beforeLines="30" w:before="72" w:after="10" w:line="240" w:lineRule="auto"/>
        <w:ind w:left="0" w:right="0"/>
        <w:jc w:val="both"/>
        <w:rPr>
          <w:rFonts w:ascii="Arial" w:hAnsi="Arial" w:cs="Arial"/>
          <w:color w:val="000000" w:themeColor="text1"/>
          <w:lang w:val="en-US"/>
        </w:rPr>
      </w:pPr>
    </w:p>
    <w:p w14:paraId="148D082C" w14:textId="77777777" w:rsidR="00E40891" w:rsidRPr="00977408" w:rsidRDefault="00A73A8B" w:rsidP="00AF5142">
      <w:pPr>
        <w:spacing w:beforeLines="30" w:before="72" w:after="10" w:line="240" w:lineRule="auto"/>
        <w:ind w:left="0" w:right="0"/>
        <w:jc w:val="both"/>
        <w:rPr>
          <w:rFonts w:ascii="Arial" w:hAnsi="Arial" w:cs="Arial"/>
          <w:color w:val="000000" w:themeColor="text1"/>
          <w:lang w:val="en-US"/>
        </w:rPr>
      </w:pPr>
      <w:r w:rsidRPr="00977408">
        <w:rPr>
          <w:rFonts w:ascii="Arial" w:hAnsi="Arial" w:cs="Arial"/>
          <w:color w:val="000000" w:themeColor="text1"/>
          <w:lang w:val="en-US"/>
        </w:rPr>
        <w:br w:type="page"/>
      </w:r>
    </w:p>
    <w:tbl>
      <w:tblPr>
        <w:tblStyle w:val="TableGrid"/>
        <w:tblW w:w="8075" w:type="dxa"/>
        <w:tblInd w:w="851" w:type="dxa"/>
        <w:tblLook w:val="04A0" w:firstRow="1" w:lastRow="0" w:firstColumn="1" w:lastColumn="0" w:noHBand="0" w:noVBand="1"/>
      </w:tblPr>
      <w:tblGrid>
        <w:gridCol w:w="8075"/>
      </w:tblGrid>
      <w:tr w:rsidR="00E40891" w:rsidRPr="00977408" w14:paraId="0B4460BF" w14:textId="77777777">
        <w:trPr>
          <w:trHeight w:val="6774"/>
        </w:trPr>
        <w:tc>
          <w:tcPr>
            <w:tcW w:w="8075" w:type="dxa"/>
            <w:tcBorders>
              <w:top w:val="nil"/>
              <w:left w:val="nil"/>
              <w:bottom w:val="nil"/>
              <w:right w:val="nil"/>
            </w:tcBorders>
          </w:tcPr>
          <w:p w14:paraId="017F49F1" w14:textId="77777777" w:rsidR="00E40891" w:rsidRPr="00977408" w:rsidRDefault="00000000">
            <w:pPr>
              <w:ind w:left="0" w:firstLine="0"/>
              <w:rPr>
                <w:rFonts w:ascii="Arial" w:hAnsi="Arial" w:cs="Arial"/>
              </w:rPr>
            </w:pPr>
            <w:r>
              <w:rPr>
                <w:rFonts w:ascii="Arial" w:hAnsi="Arial" w:cs="Arial"/>
                <w:noProof/>
              </w:rPr>
              <w:lastRenderedPageBreak/>
              <w:pict w14:anchorId="22D2CDDF">
                <v:shapetype id="_x0000_t202" coordsize="21600,21600" o:spt="202" path="m,l,21600r21600,l21600,xe">
                  <v:stroke joinstyle="miter"/>
                  <v:path gradientshapeok="t" o:connecttype="rect"/>
                </v:shapetype>
                <v:shape id="_x0000_s2052" type="#_x0000_t202" style="position:absolute;margin-left:-98.8pt;margin-top:310.5pt;width:264.85pt;height:90.75pt;z-index:251664384;visibility:visible;mso-wrap-distance-top:3.6pt;mso-wrap-distance-bottom:3.6pt;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" stroked="f">
                  <v:textbox style="mso-next-textbox:#_x0000_s2052">
                    <w:txbxContent>
                      <w:p w14:paraId="71F3ED60" w14:textId="77777777" w:rsidR="00E40891" w:rsidRPr="00344DEB" w:rsidRDefault="008E7487" w:rsidP="00344DEB">
                        <w:pPr>
                          <w:spacing w:line="240" w:lineRule="auto"/>
                          <w:ind w:left="720" w:hanging="720"/>
                          <w:jc w:val="both"/>
                          <w:rPr>
                            <w:rFonts w:ascii="Arial" w:hAnsi="Arial" w:cs="Arial"/>
                            <w:lang w:val="en-US"/>
                          </w:rPr>
                        </w:pPr>
                        <w:r w:rsidRPr="00344DEB">
                          <w:rPr>
                            <w:rFonts w:ascii="Arial" w:hAnsi="Arial" w:cs="Arial"/>
                          </w:rPr>
                          <w:t xml:space="preserve">Fig </w:t>
                        </w:r>
                        <w:proofErr w:type="gramStart"/>
                        <w:r w:rsidR="00EE05F5" w:rsidRPr="00344DEB">
                          <w:rPr>
                            <w:rFonts w:ascii="Arial" w:hAnsi="Arial" w:cs="Arial"/>
                          </w:rPr>
                          <w:t>2</w:t>
                        </w:r>
                        <w:r w:rsidR="00911990" w:rsidRPr="00344DEB">
                          <w:rPr>
                            <w:rFonts w:ascii="Arial" w:hAnsi="Arial" w:cs="Arial"/>
                          </w:rPr>
                          <w:t>.</w:t>
                        </w:r>
                        <w:r w:rsidRPr="00344DEB">
                          <w:rPr>
                            <w:rFonts w:ascii="Arial" w:hAnsi="Arial" w:cs="Arial"/>
                          </w:rPr>
                          <w:t>Photomicrograph</w:t>
                        </w:r>
                        <w:proofErr w:type="gramEnd"/>
                        <w:r w:rsidRPr="00344DEB">
                          <w:rPr>
                            <w:rFonts w:ascii="Arial" w:hAnsi="Arial" w:cs="Arial"/>
                          </w:rPr>
                          <w:t xml:space="preserve"> of G-I piglets of (a) 7-day old and (b) 13-day old showing duodenum with goblet cells (GC), slender villi (V), lamina propria (yellow arrow), intestinal glands (IG) and lamina muscularis (red arrow).</w:t>
                        </w:r>
                        <w:r w:rsidRPr="00344DEB">
                          <w:rPr>
                            <w:rFonts w:ascii="Arial" w:hAnsi="Arial" w:cs="Arial"/>
                            <w:b/>
                            <w:bCs/>
                          </w:rPr>
                          <w:t>H&amp;E 10x</w:t>
                        </w:r>
                      </w:p>
                    </w:txbxContent>
                  </v:textbox>
                  <w10:wrap anchory="page"/>
                </v:shape>
              </w:pict>
            </w:r>
            <w:r>
              <w:rPr>
                <w:rFonts w:ascii="Arial" w:hAnsi="Arial" w:cs="Arial"/>
                <w:noProof/>
              </w:rPr>
              <w:pict w14:anchorId="0C30AAE6">
                <v:shape id="_x0000_s2055" type="#_x0000_t202" style="position:absolute;margin-left:190.15pt;margin-top:104.25pt;width:282.6pt;height:85.5pt;z-index:251670528;visibility:visible;mso-wrap-distance-top:3.6pt;mso-wrap-distance-bottom:3.6pt;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" stroked="f">
                  <v:textbox style="mso-next-textbox:#_x0000_s2055">
                    <w:txbxContent>
                      <w:p w14:paraId="6494EFA2" w14:textId="77777777" w:rsidR="00E40891" w:rsidRPr="00344DEB" w:rsidRDefault="008E7487" w:rsidP="00344DEB">
                        <w:pPr>
                          <w:spacing w:line="240" w:lineRule="auto"/>
                          <w:ind w:left="720" w:hanging="720"/>
                          <w:jc w:val="both"/>
                          <w:rPr>
                            <w:rFonts w:ascii="Arial" w:hAnsi="Arial" w:cs="Arial"/>
                          </w:rPr>
                        </w:pPr>
                        <w:r w:rsidRPr="00344DEB">
                          <w:rPr>
                            <w:rFonts w:ascii="Arial" w:hAnsi="Arial" w:cs="Arial"/>
                          </w:rPr>
                          <w:t xml:space="preserve">Fig </w:t>
                        </w:r>
                        <w:r w:rsidR="00EE05F5" w:rsidRPr="00344DEB">
                          <w:rPr>
                            <w:rFonts w:ascii="Arial" w:hAnsi="Arial" w:cs="Arial"/>
                          </w:rPr>
                          <w:t>4</w:t>
                        </w:r>
                        <w:r w:rsidR="00911990" w:rsidRPr="00344DEB">
                          <w:rPr>
                            <w:rFonts w:ascii="Arial" w:hAnsi="Arial" w:cs="Arial"/>
                          </w:rPr>
                          <w:t>.</w:t>
                        </w:r>
                        <w:r w:rsidRPr="00344DEB">
                          <w:rPr>
                            <w:rFonts w:ascii="Arial" w:hAnsi="Arial" w:cs="Arial"/>
                          </w:rPr>
                          <w:t xml:space="preserve"> Photomicrograph of Group I (13-day old) piglet showing duodenum with brush border membrane with microvilli (yellow arrow), goblet cells (GC), </w:t>
                        </w:r>
                        <w:r w:rsidR="00EE05F5" w:rsidRPr="00344DEB">
                          <w:rPr>
                            <w:rFonts w:ascii="Arial" w:hAnsi="Arial" w:cs="Arial"/>
                          </w:rPr>
                          <w:t>enterocytes/</w:t>
                        </w:r>
                        <w:r w:rsidRPr="00344DEB">
                          <w:rPr>
                            <w:rFonts w:ascii="Arial" w:hAnsi="Arial" w:cs="Arial"/>
                          </w:rPr>
                          <w:t>simple columnar epithelium (SCE) and nucleus (N).</w:t>
                        </w:r>
                        <w:r w:rsidRPr="00344DEB">
                          <w:rPr>
                            <w:rFonts w:ascii="Arial" w:hAnsi="Arial" w:cs="Arial"/>
                            <w:b/>
                            <w:bCs/>
                          </w:rPr>
                          <w:tab/>
                        </w:r>
                        <w:r w:rsidRPr="00344DEB">
                          <w:rPr>
                            <w:rFonts w:ascii="Arial" w:hAnsi="Arial" w:cs="Arial"/>
                            <w:b/>
                            <w:bCs/>
                          </w:rPr>
                          <w:tab/>
                        </w:r>
                        <w:r w:rsidRPr="00344DEB">
                          <w:rPr>
                            <w:rFonts w:ascii="Arial" w:hAnsi="Arial" w:cs="Arial"/>
                            <w:b/>
                            <w:bCs/>
                          </w:rPr>
                          <w:tab/>
                          <w:t>H&amp;E 40x</w:t>
                        </w:r>
                      </w:p>
                    </w:txbxContent>
                  </v:textbox>
                  <w10:wrap anchory="page"/>
                </v:shape>
              </w:pict>
            </w:r>
            <w:r w:rsidR="00344DEB">
              <w:rPr>
                <w:rFonts w:ascii="Arial" w:hAnsi="Arial" w:cs="Arial"/>
                <w:noProof/>
                <w:lang w:val="en-US"/>
              </w:rPr>
              <w:drawing>
                <wp:anchor distT="0" distB="0" distL="114300" distR="114300" simplePos="0" relativeHeight="251685888" behindDoc="0" locked="0" layoutInCell="1" allowOverlap="1" wp14:anchorId="4218E696" wp14:editId="5052E8B3">
                  <wp:simplePos x="0" y="0"/>
                  <wp:positionH relativeFrom="column">
                    <wp:posOffset>2640965</wp:posOffset>
                  </wp:positionH>
                  <wp:positionV relativeFrom="page">
                    <wp:posOffset>2457450</wp:posOffset>
                  </wp:positionV>
                  <wp:extent cx="2695575" cy="1790700"/>
                  <wp:effectExtent l="19050" t="0" r="9525" b="0"/>
                  <wp:wrapNone/>
                  <wp:docPr id="133561076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610761" name="Picture 14"/>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2695575" cy="1790700"/>
                          </a:xfrm>
                          <a:prstGeom prst="rect">
                            <a:avLst/>
                          </a:prstGeom>
                        </pic:spPr>
                      </pic:pic>
                    </a:graphicData>
                  </a:graphic>
                </wp:anchor>
              </w:drawing>
            </w:r>
            <w:r w:rsidR="00344DEB">
              <w:rPr>
                <w:rFonts w:ascii="Arial" w:hAnsi="Arial" w:cs="Arial"/>
                <w:noProof/>
                <w:lang w:val="en-US"/>
              </w:rPr>
              <w:drawing>
                <wp:anchor distT="0" distB="0" distL="114300" distR="114300" simplePos="0" relativeHeight="251669504" behindDoc="0" locked="0" layoutInCell="1" allowOverlap="1" wp14:anchorId="17B5FD90" wp14:editId="293DF2BB">
                  <wp:simplePos x="0" y="0"/>
                  <wp:positionH relativeFrom="column">
                    <wp:posOffset>2593340</wp:posOffset>
                  </wp:positionH>
                  <wp:positionV relativeFrom="paragraph">
                    <wp:posOffset>-742950</wp:posOffset>
                  </wp:positionV>
                  <wp:extent cx="2792095" cy="2000250"/>
                  <wp:effectExtent l="19050" t="0" r="8255" b="0"/>
                  <wp:wrapNone/>
                  <wp:docPr id="11500310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003108" name="Picture 8"/>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792095" cy="2000250"/>
                          </a:xfrm>
                          <a:prstGeom prst="rect">
                            <a:avLst/>
                          </a:prstGeom>
                        </pic:spPr>
                      </pic:pic>
                    </a:graphicData>
                  </a:graphic>
                </wp:anchor>
              </w:drawing>
            </w:r>
            <w:r w:rsidR="00344DEB">
              <w:rPr>
                <w:rFonts w:ascii="Arial" w:hAnsi="Arial" w:cs="Arial"/>
                <w:noProof/>
                <w:lang w:val="en-US"/>
              </w:rPr>
              <w:drawing>
                <wp:anchor distT="0" distB="0" distL="114300" distR="114300" simplePos="0" relativeHeight="251663360" behindDoc="0" locked="0" layoutInCell="1" allowOverlap="1" wp14:anchorId="4903B07F" wp14:editId="2D96CB75">
                  <wp:simplePos x="0" y="0"/>
                  <wp:positionH relativeFrom="column">
                    <wp:posOffset>-911860</wp:posOffset>
                  </wp:positionH>
                  <wp:positionV relativeFrom="page">
                    <wp:posOffset>2057400</wp:posOffset>
                  </wp:positionV>
                  <wp:extent cx="2724150" cy="1885950"/>
                  <wp:effectExtent l="19050" t="0" r="0" b="0"/>
                  <wp:wrapNone/>
                  <wp:docPr id="42"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1"/>
                          <pic:cNvPicPr>
                            <a:picLocks noChangeAspect="1"/>
                          </pic:cNvPicPr>
                        </pic:nvPicPr>
                        <pic:blipFill>
                          <a:blip r:embed="rId11" cstate="print">
                            <a:extLst>
                              <a:ext uri="{28A0092B-C50C-407E-A947-70E740481C1C}">
                                <a14:useLocalDpi xmlns:a14="http://schemas.microsoft.com/office/drawing/2010/main" val="0"/>
                              </a:ext>
                            </a:extLst>
                          </a:blip>
                          <a:srcRect b="1934"/>
                          <a:stretch>
                            <a:fillRect/>
                          </a:stretch>
                        </pic:blipFill>
                        <pic:spPr>
                          <a:xfrm>
                            <a:off x="0" y="0"/>
                            <a:ext cx="2724150" cy="1885950"/>
                          </a:xfrm>
                          <a:prstGeom prst="rect">
                            <a:avLst/>
                          </a:prstGeom>
                        </pic:spPr>
                      </pic:pic>
                    </a:graphicData>
                  </a:graphic>
                </wp:anchor>
              </w:drawing>
            </w:r>
            <w:r>
              <w:rPr>
                <w:rFonts w:ascii="Arial" w:hAnsi="Arial" w:cs="Arial"/>
                <w:noProof/>
              </w:rPr>
              <w:pict w14:anchorId="0D0820BF">
                <v:shape id="_x0000_s2053" type="#_x0000_t202" style="position:absolute;margin-left:-91.95pt;margin-top:90pt;width:258pt;height:70.45pt;z-index:251666432;visibility:visible;mso-height-percent:200;mso-wrap-distance-top:3.6pt;mso-wrap-distance-bottom:3.6pt;mso-position-horizontal-relative:text;mso-position-vertical-relative:page;mso-height-percent:20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" stroked="f">
                  <v:textbox style="mso-next-textbox:#_x0000_s2053;mso-fit-shape-to-text:t">
                    <w:txbxContent>
                      <w:p w14:paraId="3C7294AF" w14:textId="77777777" w:rsidR="00E40891" w:rsidRPr="00344DEB" w:rsidRDefault="008E7487" w:rsidP="00344DEB">
                        <w:pPr>
                          <w:spacing w:line="240" w:lineRule="auto"/>
                          <w:ind w:left="720" w:hanging="720"/>
                          <w:jc w:val="both"/>
                          <w:rPr>
                            <w:rFonts w:ascii="Arial" w:hAnsi="Arial" w:cs="Arial"/>
                          </w:rPr>
                        </w:pPr>
                        <w:r w:rsidRPr="00344DEB">
                          <w:rPr>
                            <w:rFonts w:ascii="Arial" w:hAnsi="Arial" w:cs="Arial"/>
                          </w:rPr>
                          <w:t xml:space="preserve">Fig </w:t>
                        </w:r>
                        <w:proofErr w:type="gramStart"/>
                        <w:r w:rsidR="00EE05F5" w:rsidRPr="00344DEB">
                          <w:rPr>
                            <w:rFonts w:ascii="Arial" w:hAnsi="Arial" w:cs="Arial"/>
                          </w:rPr>
                          <w:t>1</w:t>
                        </w:r>
                        <w:r w:rsidR="00911990" w:rsidRPr="00344DEB">
                          <w:rPr>
                            <w:rFonts w:ascii="Arial" w:hAnsi="Arial" w:cs="Arial"/>
                          </w:rPr>
                          <w:t>.</w:t>
                        </w:r>
                        <w:r w:rsidRPr="00344DEB">
                          <w:rPr>
                            <w:rFonts w:ascii="Arial" w:hAnsi="Arial" w:cs="Arial"/>
                          </w:rPr>
                          <w:t>Photomicrograph</w:t>
                        </w:r>
                        <w:proofErr w:type="gramEnd"/>
                        <w:r w:rsidRPr="00344DEB">
                          <w:rPr>
                            <w:rFonts w:ascii="Arial" w:hAnsi="Arial" w:cs="Arial"/>
                          </w:rPr>
                          <w:t xml:space="preserve"> of G-II (55-day old) pig showing duodenum with ridge-like villi (arrow), lamina propria (yellow arrow) and lamina muscularis (red arrow).</w:t>
                        </w:r>
                        <w:r w:rsidRPr="00344DEB">
                          <w:rPr>
                            <w:rFonts w:ascii="Arial" w:hAnsi="Arial" w:cs="Arial"/>
                            <w:b/>
                            <w:bCs/>
                          </w:rPr>
                          <w:tab/>
                          <w:t>H&amp;E 4x</w:t>
                        </w:r>
                      </w:p>
                    </w:txbxContent>
                  </v:textbox>
                  <w10:wrap anchory="page"/>
                </v:shape>
              </w:pict>
            </w:r>
            <w:r w:rsidR="00344DEB">
              <w:rPr>
                <w:rFonts w:ascii="Arial" w:hAnsi="Arial" w:cs="Arial"/>
                <w:noProof/>
                <w:lang w:val="en-US"/>
              </w:rPr>
              <w:drawing>
                <wp:anchor distT="0" distB="0" distL="114300" distR="114300" simplePos="0" relativeHeight="251665408" behindDoc="0" locked="0" layoutInCell="1" allowOverlap="1" wp14:anchorId="0BDCFFAE" wp14:editId="384963D8">
                  <wp:simplePos x="0" y="0"/>
                  <wp:positionH relativeFrom="column">
                    <wp:posOffset>-911860</wp:posOffset>
                  </wp:positionH>
                  <wp:positionV relativeFrom="paragraph">
                    <wp:posOffset>-742950</wp:posOffset>
                  </wp:positionV>
                  <wp:extent cx="2647950" cy="1871345"/>
                  <wp:effectExtent l="19050" t="0" r="0" b="0"/>
                  <wp:wrapNone/>
                  <wp:docPr id="1396666820"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6666820" name="Picture 19"/>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647950" cy="1871345"/>
                          </a:xfrm>
                          <a:prstGeom prst="rect">
                            <a:avLst/>
                          </a:prstGeom>
                        </pic:spPr>
                      </pic:pic>
                    </a:graphicData>
                  </a:graphic>
                </wp:anchor>
              </w:drawing>
            </w:r>
          </w:p>
        </w:tc>
      </w:tr>
    </w:tbl>
    <w:p w14:paraId="594029B9" w14:textId="77777777" w:rsidR="00E40891" w:rsidRPr="00977408" w:rsidRDefault="00000000" w:rsidP="00AF5142">
      <w:pPr>
        <w:spacing w:beforeLines="30" w:before="72" w:after="10" w:line="240" w:lineRule="auto"/>
        <w:ind w:left="0" w:right="0"/>
        <w:jc w:val="both"/>
        <w:rPr>
          <w:rFonts w:ascii="Arial" w:hAnsi="Arial" w:cs="Arial"/>
          <w:color w:val="000000" w:themeColor="text1"/>
          <w:lang w:val="en-US"/>
        </w:rPr>
      </w:pPr>
      <w:r>
        <w:rPr>
          <w:rFonts w:ascii="Arial" w:hAnsi="Arial" w:cs="Arial"/>
          <w:noProof/>
        </w:rPr>
        <w:pict w14:anchorId="728820B2">
          <v:shape id="_x0000_s2062" type="#_x0000_t202" style="position:absolute;left:0;text-align:left;margin-left:232.7pt;margin-top:414pt;width:288.25pt;height:90.75pt;z-index:251686912;visibility:visible;mso-wrap-distance-top:3.6pt;mso-wrap-distance-bottom:3.6pt;mso-position-horizontal-relative:text;mso-position-vertical-relative:pag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" stroked="f">
            <v:textbox style="mso-next-textbox:#_x0000_s2062">
              <w:txbxContent>
                <w:p w14:paraId="3D8EB85D" w14:textId="77777777" w:rsidR="00E40891" w:rsidRPr="00344DEB" w:rsidRDefault="008E7487" w:rsidP="0079004D">
                  <w:pPr>
                    <w:spacing w:line="240" w:lineRule="auto"/>
                    <w:ind w:left="720" w:hanging="720"/>
                    <w:jc w:val="both"/>
                    <w:rPr>
                      <w:rFonts w:ascii="Arial" w:hAnsi="Arial" w:cs="Arial"/>
                      <w:b/>
                      <w:bCs/>
                    </w:rPr>
                  </w:pPr>
                  <w:r w:rsidRPr="00344DEB">
                    <w:rPr>
                      <w:rFonts w:ascii="Arial" w:hAnsi="Arial" w:cs="Arial"/>
                    </w:rPr>
                    <w:t xml:space="preserve">Fig </w:t>
                  </w:r>
                  <w:proofErr w:type="gramStart"/>
                  <w:r w:rsidR="00EE4D3A" w:rsidRPr="00344DEB">
                    <w:rPr>
                      <w:rFonts w:ascii="Arial" w:hAnsi="Arial" w:cs="Arial"/>
                    </w:rPr>
                    <w:t>5</w:t>
                  </w:r>
                  <w:r w:rsidR="00B514DB" w:rsidRPr="00344DEB">
                    <w:rPr>
                      <w:rFonts w:ascii="Arial" w:hAnsi="Arial" w:cs="Arial"/>
                    </w:rPr>
                    <w:t>.</w:t>
                  </w:r>
                  <w:r w:rsidRPr="00344DEB">
                    <w:rPr>
                      <w:rFonts w:ascii="Arial" w:hAnsi="Arial" w:cs="Arial"/>
                    </w:rPr>
                    <w:t>Photomicrograph</w:t>
                  </w:r>
                  <w:proofErr w:type="gramEnd"/>
                  <w:r w:rsidRPr="00344DEB">
                    <w:rPr>
                      <w:rFonts w:ascii="Arial" w:hAnsi="Arial" w:cs="Arial"/>
                    </w:rPr>
                    <w:t xml:space="preserve"> of G-III (152-day old) pig showing duodenum with intestinal glands (IG) in lamina propria (yellow arrow), intra</w:t>
                  </w:r>
                  <w:r w:rsidR="007F3691" w:rsidRPr="00344DEB">
                    <w:rPr>
                      <w:rFonts w:ascii="Arial" w:hAnsi="Arial" w:cs="Arial"/>
                    </w:rPr>
                    <w:t>-</w:t>
                  </w:r>
                  <w:r w:rsidRPr="00344DEB">
                    <w:rPr>
                      <w:rFonts w:ascii="Arial" w:hAnsi="Arial" w:cs="Arial"/>
                    </w:rPr>
                    <w:t>epithelial lymphocytes (IEL), goblet cells (GC), simple columnar epithelium (SCE) and its nucleus (N)</w:t>
                  </w:r>
                  <w:r w:rsidR="007F3691" w:rsidRPr="00344DEB">
                    <w:rPr>
                      <w:rFonts w:ascii="Arial" w:hAnsi="Arial" w:cs="Arial"/>
                    </w:rPr>
                    <w:t>.</w:t>
                  </w:r>
                  <w:r w:rsidRPr="00344DEB">
                    <w:rPr>
                      <w:rFonts w:ascii="Arial" w:hAnsi="Arial" w:cs="Arial"/>
                      <w:b/>
                      <w:bCs/>
                    </w:rPr>
                    <w:t>H&amp;E 10x</w:t>
                  </w:r>
                </w:p>
              </w:txbxContent>
            </v:textbox>
            <w10:wrap anchory="page"/>
          </v:shape>
        </w:pict>
      </w:r>
    </w:p>
    <w:p w14:paraId="0D8D753D" w14:textId="77777777" w:rsidR="00E40891" w:rsidRPr="00977408" w:rsidRDefault="00E40891" w:rsidP="00AF5142">
      <w:pPr>
        <w:spacing w:beforeLines="30" w:before="72" w:after="10" w:line="240" w:lineRule="auto"/>
        <w:ind w:left="0" w:right="0"/>
        <w:jc w:val="both"/>
        <w:rPr>
          <w:rFonts w:ascii="Arial" w:hAnsi="Arial" w:cs="Arial"/>
          <w:color w:val="000000" w:themeColor="text1"/>
          <w:lang w:val="en-US"/>
        </w:rPr>
      </w:pPr>
    </w:p>
    <w:p w14:paraId="06D76AD9" w14:textId="77777777" w:rsidR="00E40891" w:rsidRPr="00977408" w:rsidRDefault="00E40891" w:rsidP="00AF5142">
      <w:pPr>
        <w:spacing w:beforeLines="30" w:before="72" w:after="10" w:line="240" w:lineRule="auto"/>
        <w:ind w:left="0" w:right="0"/>
        <w:jc w:val="both"/>
        <w:rPr>
          <w:rFonts w:ascii="Arial" w:hAnsi="Arial" w:cs="Arial"/>
          <w:color w:val="000000" w:themeColor="text1"/>
          <w:lang w:val="en-US"/>
        </w:rPr>
      </w:pPr>
    </w:p>
    <w:p w14:paraId="112AB777" w14:textId="77777777" w:rsidR="00E40891" w:rsidRPr="00977408" w:rsidRDefault="00344DEB" w:rsidP="00AF5142">
      <w:pPr>
        <w:spacing w:beforeLines="30" w:before="72" w:after="10" w:line="240" w:lineRule="auto"/>
        <w:ind w:left="0" w:right="0"/>
        <w:jc w:val="both"/>
        <w:rPr>
          <w:rFonts w:ascii="Arial" w:hAnsi="Arial" w:cs="Arial"/>
          <w:color w:val="000000" w:themeColor="text1"/>
          <w:lang w:val="en-US"/>
        </w:rPr>
      </w:pPr>
      <w:r>
        <w:rPr>
          <w:rFonts w:ascii="Arial" w:hAnsi="Arial" w:cs="Arial"/>
          <w:noProof/>
          <w:lang w:val="en-US"/>
        </w:rPr>
        <w:drawing>
          <wp:anchor distT="0" distB="0" distL="114300" distR="114300" simplePos="0" relativeHeight="251687936" behindDoc="0" locked="0" layoutInCell="1" allowOverlap="1" wp14:anchorId="6B5B3496" wp14:editId="24FD5C4C">
            <wp:simplePos x="0" y="0"/>
            <wp:positionH relativeFrom="column">
              <wp:posOffset>3182620</wp:posOffset>
            </wp:positionH>
            <wp:positionV relativeFrom="page">
              <wp:posOffset>6448425</wp:posOffset>
            </wp:positionV>
            <wp:extent cx="2743200" cy="1866900"/>
            <wp:effectExtent l="19050" t="0" r="0" b="0"/>
            <wp:wrapNone/>
            <wp:docPr id="209124552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245524" name="Picture 10"/>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743200" cy="1866900"/>
                    </a:xfrm>
                    <a:prstGeom prst="rect">
                      <a:avLst/>
                    </a:prstGeom>
                  </pic:spPr>
                </pic:pic>
              </a:graphicData>
            </a:graphic>
          </wp:anchor>
        </w:drawing>
      </w:r>
      <w:r w:rsidR="00000000">
        <w:rPr>
          <w:rFonts w:ascii="Arial" w:hAnsi="Arial" w:cs="Arial"/>
          <w:noProof/>
        </w:rPr>
        <w:pict w14:anchorId="26CAA88D">
          <v:shape id="_x0000_s2066" type="#_x0000_t202" style="position:absolute;left:0;text-align:left;margin-left:237.2pt;margin-top:651.8pt;width:271.2pt;height:68.75pt;z-index:251688960;visibility:visible;mso-wrap-distance-top:3.6pt;mso-wrap-distance-bottom:3.6pt;mso-position-horizontal-relative:text;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" stroked="f">
            <v:textbox style="mso-next-textbox:#_x0000_s2066">
              <w:txbxContent>
                <w:p w14:paraId="66660246" w14:textId="77777777" w:rsidR="00E40891" w:rsidRPr="00344DEB" w:rsidRDefault="008E7487" w:rsidP="0079004D">
                  <w:pPr>
                    <w:spacing w:line="240" w:lineRule="auto"/>
                    <w:ind w:left="720" w:hanging="720"/>
                    <w:jc w:val="both"/>
                    <w:rPr>
                      <w:rFonts w:ascii="Arial" w:hAnsi="Arial" w:cs="Arial"/>
                      <w:b/>
                      <w:bCs/>
                    </w:rPr>
                  </w:pPr>
                  <w:r w:rsidRPr="00344DEB">
                    <w:rPr>
                      <w:rFonts w:ascii="Arial" w:hAnsi="Arial" w:cs="Arial"/>
                    </w:rPr>
                    <w:t xml:space="preserve">Fig </w:t>
                  </w:r>
                  <w:r w:rsidR="00EE4D3A" w:rsidRPr="00344DEB">
                    <w:rPr>
                      <w:rFonts w:ascii="Arial" w:hAnsi="Arial" w:cs="Arial"/>
                    </w:rPr>
                    <w:t>6</w:t>
                  </w:r>
                  <w:r w:rsidR="00B514DB" w:rsidRPr="00344DEB">
                    <w:rPr>
                      <w:rFonts w:ascii="Arial" w:hAnsi="Arial" w:cs="Arial"/>
                    </w:rPr>
                    <w:t>.</w:t>
                  </w:r>
                  <w:r w:rsidRPr="00344DEB">
                    <w:rPr>
                      <w:rFonts w:ascii="Arial" w:hAnsi="Arial" w:cs="Arial"/>
                    </w:rPr>
                    <w:t xml:space="preserve"> Photomicrograph of G-I (21-day old) piglet showing duodenum with collagen fibres (yellow arrow) around the intestinal glands (IG)</w:t>
                  </w:r>
                  <w:r w:rsidR="00EE4D3A" w:rsidRPr="00344DEB">
                    <w:rPr>
                      <w:rFonts w:ascii="Arial" w:hAnsi="Arial" w:cs="Arial"/>
                    </w:rPr>
                    <w:t xml:space="preserve"> in the lamina propria</w:t>
                  </w:r>
                  <w:r w:rsidRPr="00344DEB">
                    <w:rPr>
                      <w:rFonts w:ascii="Arial" w:hAnsi="Arial" w:cs="Arial"/>
                    </w:rPr>
                    <w:t xml:space="preserve">.           </w:t>
                  </w:r>
                  <w:r w:rsidRPr="00344DEB">
                    <w:rPr>
                      <w:rFonts w:ascii="Arial" w:hAnsi="Arial" w:cs="Arial"/>
                      <w:b/>
                      <w:bCs/>
                    </w:rPr>
                    <w:t>Masson’s trichrome 40x</w:t>
                  </w:r>
                </w:p>
              </w:txbxContent>
            </v:textbox>
            <w10:wrap anchory="page"/>
          </v:shape>
        </w:pict>
      </w:r>
      <w:r w:rsidR="00000000">
        <w:rPr>
          <w:rFonts w:ascii="Arial" w:hAnsi="Arial" w:cs="Arial"/>
          <w:noProof/>
        </w:rPr>
        <w:pict w14:anchorId="47B0F400">
          <v:shape id="_x0000_s2054" type="#_x0000_t202" style="position:absolute;left:0;text-align:left;margin-left:-49.4pt;margin-top:651.8pt;width:274.8pt;height:58.2pt;z-index:251668480;visibility:visible;mso-wrap-distance-top:3.6pt;mso-wrap-distance-bottom:3.6pt;mso-position-horizontal-relative:text;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" stroked="f">
            <v:textbox>
              <w:txbxContent>
                <w:p w14:paraId="1DEAABC8" w14:textId="77777777" w:rsidR="00E40891" w:rsidRPr="00344DEB" w:rsidRDefault="008E7487">
                  <w:pPr>
                    <w:spacing w:line="240" w:lineRule="auto"/>
                    <w:ind w:left="720" w:hanging="720"/>
                    <w:rPr>
                      <w:rFonts w:ascii="Arial" w:hAnsi="Arial" w:cs="Arial"/>
                    </w:rPr>
                  </w:pPr>
                  <w:r w:rsidRPr="00344DEB">
                    <w:rPr>
                      <w:rFonts w:ascii="Arial" w:hAnsi="Arial" w:cs="Arial"/>
                    </w:rPr>
                    <w:t xml:space="preserve">Fig </w:t>
                  </w:r>
                  <w:r w:rsidR="00EE05F5" w:rsidRPr="00344DEB">
                    <w:rPr>
                      <w:rFonts w:ascii="Arial" w:hAnsi="Arial" w:cs="Arial"/>
                    </w:rPr>
                    <w:t>3</w:t>
                  </w:r>
                  <w:r w:rsidR="00911990" w:rsidRPr="00344DEB">
                    <w:rPr>
                      <w:rFonts w:ascii="Arial" w:hAnsi="Arial" w:cs="Arial"/>
                    </w:rPr>
                    <w:t>.</w:t>
                  </w:r>
                  <w:r w:rsidRPr="00344DEB">
                    <w:rPr>
                      <w:rFonts w:ascii="Arial" w:hAnsi="Arial" w:cs="Arial"/>
                    </w:rPr>
                    <w:t xml:space="preserve"> Photomicrograph of Group III (334-day old) pig showing duodenum with highly ridged villi (V), lamina propria (yellow arrow) and lamina muscularis (red arrow).</w:t>
                  </w:r>
                  <w:r w:rsidRPr="00344DEB">
                    <w:rPr>
                      <w:rFonts w:ascii="Arial" w:hAnsi="Arial" w:cs="Arial"/>
                      <w:b/>
                      <w:bCs/>
                    </w:rPr>
                    <w:t xml:space="preserve">     H&amp;E 4x</w:t>
                  </w:r>
                </w:p>
              </w:txbxContent>
            </v:textbox>
            <w10:wrap anchory="page"/>
          </v:shape>
        </w:pict>
      </w:r>
      <w:r>
        <w:rPr>
          <w:rFonts w:ascii="Arial" w:hAnsi="Arial" w:cs="Arial"/>
          <w:noProof/>
          <w:lang w:val="en-US"/>
        </w:rPr>
        <w:drawing>
          <wp:anchor distT="0" distB="0" distL="114300" distR="114300" simplePos="0" relativeHeight="251667456" behindDoc="0" locked="0" layoutInCell="1" allowOverlap="1" wp14:anchorId="6A8D887A" wp14:editId="52B9A06A">
            <wp:simplePos x="0" y="0"/>
            <wp:positionH relativeFrom="column">
              <wp:posOffset>-428624</wp:posOffset>
            </wp:positionH>
            <wp:positionV relativeFrom="page">
              <wp:posOffset>6096000</wp:posOffset>
            </wp:positionV>
            <wp:extent cx="2857500" cy="2076450"/>
            <wp:effectExtent l="19050" t="0" r="0" b="0"/>
            <wp:wrapNone/>
            <wp:docPr id="152251665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2516655" name="Picture 16"/>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857500" cy="2076450"/>
                    </a:xfrm>
                    <a:prstGeom prst="rect">
                      <a:avLst/>
                    </a:prstGeom>
                  </pic:spPr>
                </pic:pic>
              </a:graphicData>
            </a:graphic>
          </wp:anchor>
        </w:drawing>
      </w:r>
      <w:r w:rsidR="007F3691" w:rsidRPr="00977408">
        <w:rPr>
          <w:rFonts w:ascii="Arial" w:hAnsi="Arial" w:cs="Arial"/>
          <w:color w:val="000000" w:themeColor="text1"/>
          <w:lang w:val="en-US"/>
        </w:rPr>
        <w:br w:type="page"/>
      </w:r>
    </w:p>
    <w:p w14:paraId="2ECCFF49" w14:textId="77777777" w:rsidR="00E40891" w:rsidRPr="00977408" w:rsidRDefault="0049736F" w:rsidP="00AF5142">
      <w:pPr>
        <w:spacing w:beforeLines="30" w:before="72" w:after="10" w:line="240" w:lineRule="auto"/>
        <w:ind w:left="0" w:right="0"/>
        <w:jc w:val="both"/>
        <w:rPr>
          <w:rFonts w:ascii="Arial" w:hAnsi="Arial" w:cs="Arial"/>
          <w:color w:val="000000" w:themeColor="text1"/>
          <w:lang w:val="en-US"/>
        </w:rPr>
      </w:pPr>
      <w:r>
        <w:rPr>
          <w:rFonts w:ascii="Arial" w:hAnsi="Arial" w:cs="Arial"/>
          <w:noProof/>
          <w:color w:val="000000" w:themeColor="text1"/>
          <w:lang w:val="en-US"/>
        </w:rPr>
        <w:lastRenderedPageBreak/>
        <w:drawing>
          <wp:anchor distT="0" distB="0" distL="114300" distR="114300" simplePos="0" relativeHeight="251700224" behindDoc="0" locked="0" layoutInCell="1" allowOverlap="1" wp14:anchorId="364BD228" wp14:editId="15CA2598">
            <wp:simplePos x="0" y="0"/>
            <wp:positionH relativeFrom="column">
              <wp:posOffset>3295650</wp:posOffset>
            </wp:positionH>
            <wp:positionV relativeFrom="page">
              <wp:posOffset>276225</wp:posOffset>
            </wp:positionV>
            <wp:extent cx="3048000" cy="2057400"/>
            <wp:effectExtent l="19050" t="0" r="0" b="0"/>
            <wp:wrapNone/>
            <wp:docPr id="187006437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064378" name="Picture 15"/>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048000" cy="2057400"/>
                    </a:xfrm>
                    <a:prstGeom prst="rect">
                      <a:avLst/>
                    </a:prstGeom>
                  </pic:spPr>
                </pic:pic>
              </a:graphicData>
            </a:graphic>
          </wp:anchor>
        </w:drawing>
      </w:r>
      <w:r>
        <w:rPr>
          <w:rFonts w:ascii="Arial" w:hAnsi="Arial" w:cs="Arial"/>
          <w:noProof/>
          <w:color w:val="000000" w:themeColor="text1"/>
          <w:lang w:val="en-US"/>
        </w:rPr>
        <w:drawing>
          <wp:anchor distT="0" distB="0" distL="114300" distR="114300" simplePos="0" relativeHeight="251702272" behindDoc="0" locked="0" layoutInCell="1" allowOverlap="1" wp14:anchorId="071102A0" wp14:editId="329E75C3">
            <wp:simplePos x="0" y="0"/>
            <wp:positionH relativeFrom="column">
              <wp:posOffset>-247650</wp:posOffset>
            </wp:positionH>
            <wp:positionV relativeFrom="page">
              <wp:posOffset>276225</wp:posOffset>
            </wp:positionV>
            <wp:extent cx="2914650" cy="2009775"/>
            <wp:effectExtent l="19050" t="0" r="0" b="0"/>
            <wp:wrapNone/>
            <wp:docPr id="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914650" cy="2009775"/>
                    </a:xfrm>
                    <a:prstGeom prst="rect">
                      <a:avLst/>
                    </a:prstGeom>
                  </pic:spPr>
                </pic:pic>
              </a:graphicData>
            </a:graphic>
          </wp:anchor>
        </w:drawing>
      </w:r>
    </w:p>
    <w:p w14:paraId="096A700F" w14:textId="77777777" w:rsidR="00E40891" w:rsidRPr="00977408" w:rsidRDefault="00C85C4B" w:rsidP="00AF5142">
      <w:pPr>
        <w:spacing w:beforeLines="30" w:before="72" w:after="10" w:line="240" w:lineRule="auto"/>
        <w:ind w:left="0" w:right="0"/>
        <w:jc w:val="both"/>
        <w:rPr>
          <w:rFonts w:ascii="Arial" w:hAnsi="Arial" w:cs="Arial"/>
          <w:color w:val="000000" w:themeColor="text1"/>
          <w:lang w:val="en-US"/>
        </w:rPr>
      </w:pPr>
      <w:r>
        <w:rPr>
          <w:rFonts w:ascii="Arial" w:hAnsi="Arial" w:cs="Arial"/>
          <w:noProof/>
          <w:lang w:val="en-US"/>
        </w:rPr>
        <w:drawing>
          <wp:anchor distT="0" distB="0" distL="114300" distR="114300" simplePos="0" relativeHeight="251748352" behindDoc="0" locked="0" layoutInCell="1" allowOverlap="1" wp14:anchorId="0418982E" wp14:editId="157E4C33">
            <wp:simplePos x="0" y="0"/>
            <wp:positionH relativeFrom="column">
              <wp:posOffset>3219450</wp:posOffset>
            </wp:positionH>
            <wp:positionV relativeFrom="page">
              <wp:posOffset>3048000</wp:posOffset>
            </wp:positionV>
            <wp:extent cx="3124200" cy="2057400"/>
            <wp:effectExtent l="19050" t="0" r="0" b="0"/>
            <wp:wrapNone/>
            <wp:docPr id="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385782" name="Picture 7"/>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124200" cy="2057400"/>
                    </a:xfrm>
                    <a:prstGeom prst="rect">
                      <a:avLst/>
                    </a:prstGeom>
                  </pic:spPr>
                </pic:pic>
              </a:graphicData>
            </a:graphic>
          </wp:anchor>
        </w:drawing>
      </w:r>
      <w:r w:rsidR="00000000">
        <w:rPr>
          <w:rFonts w:ascii="Arial" w:hAnsi="Arial" w:cs="Arial"/>
          <w:noProof/>
          <w:lang w:val="en-US"/>
        </w:rPr>
        <w:pict w14:anchorId="1F7AC7EF">
          <v:shape id="_x0000_s2099" type="#_x0000_t202" style="position:absolute;left:0;text-align:left;margin-left:225.45pt;margin-top:408pt;width:308.7pt;height:61.2pt;z-index:251749376;visibility:visible;mso-wrap-distance-top:3.6pt;mso-wrap-distance-bottom:3.6pt;mso-position-horizontal-relative:text;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" stroked="f">
            <v:textbox>
              <w:txbxContent>
                <w:p w14:paraId="25BB796F" w14:textId="77777777" w:rsidR="00B032E5" w:rsidRPr="00C85C4B" w:rsidRDefault="00B032E5" w:rsidP="00C85C4B">
                  <w:pPr>
                    <w:spacing w:line="240" w:lineRule="auto"/>
                    <w:ind w:left="720" w:hanging="720"/>
                    <w:jc w:val="both"/>
                    <w:rPr>
                      <w:rFonts w:ascii="Arial" w:hAnsi="Arial" w:cs="Arial"/>
                    </w:rPr>
                  </w:pPr>
                  <w:r w:rsidRPr="00C85C4B">
                    <w:rPr>
                      <w:rFonts w:ascii="Arial" w:hAnsi="Arial" w:cs="Arial"/>
                    </w:rPr>
                    <w:t xml:space="preserve">Fig </w:t>
                  </w:r>
                  <w:r w:rsidR="00D11A0A" w:rsidRPr="00C85C4B">
                    <w:rPr>
                      <w:rFonts w:ascii="Arial" w:hAnsi="Arial" w:cs="Arial"/>
                    </w:rPr>
                    <w:t>11</w:t>
                  </w:r>
                  <w:r w:rsidRPr="00C85C4B">
                    <w:rPr>
                      <w:rFonts w:ascii="Arial" w:hAnsi="Arial" w:cs="Arial"/>
                    </w:rPr>
                    <w:t>. Photomicrograph of G-III (243-day old) pig small intestine showing duodenum segment with reticular fibres (arrows) around the Brunner’s glands (BG).</w:t>
                  </w:r>
                  <w:r w:rsidRPr="00C85C4B">
                    <w:rPr>
                      <w:rFonts w:ascii="Arial" w:hAnsi="Arial" w:cs="Arial"/>
                    </w:rPr>
                    <w:tab/>
                  </w:r>
                  <w:r w:rsidRPr="00C85C4B">
                    <w:rPr>
                      <w:rFonts w:ascii="Arial" w:hAnsi="Arial" w:cs="Arial"/>
                    </w:rPr>
                    <w:tab/>
                  </w:r>
                  <w:r w:rsidRPr="00C85C4B">
                    <w:rPr>
                      <w:rFonts w:ascii="Arial" w:hAnsi="Arial" w:cs="Arial"/>
                    </w:rPr>
                    <w:tab/>
                  </w:r>
                  <w:r w:rsidRPr="00C85C4B">
                    <w:rPr>
                      <w:rFonts w:ascii="Arial" w:hAnsi="Arial" w:cs="Arial"/>
                    </w:rPr>
                    <w:tab/>
                  </w:r>
                  <w:r w:rsidRPr="00C85C4B">
                    <w:rPr>
                      <w:rFonts w:ascii="Arial" w:hAnsi="Arial" w:cs="Arial"/>
                      <w:b/>
                      <w:bCs/>
                    </w:rPr>
                    <w:t>Wilder’s 40x</w:t>
                  </w:r>
                </w:p>
              </w:txbxContent>
            </v:textbox>
            <w10:wrap anchory="page"/>
          </v:shape>
        </w:pict>
      </w:r>
      <w:r>
        <w:rPr>
          <w:rFonts w:ascii="Arial" w:hAnsi="Arial" w:cs="Arial"/>
          <w:noProof/>
          <w:lang w:val="en-US"/>
        </w:rPr>
        <w:drawing>
          <wp:anchor distT="0" distB="0" distL="114300" distR="114300" simplePos="0" relativeHeight="251706368" behindDoc="0" locked="0" layoutInCell="1" allowOverlap="1" wp14:anchorId="4454DA2A" wp14:editId="06425BE5">
            <wp:simplePos x="0" y="0"/>
            <wp:positionH relativeFrom="column">
              <wp:posOffset>3219450</wp:posOffset>
            </wp:positionH>
            <wp:positionV relativeFrom="page">
              <wp:posOffset>6019800</wp:posOffset>
            </wp:positionV>
            <wp:extent cx="3048000" cy="1943100"/>
            <wp:effectExtent l="19050" t="0" r="0" b="0"/>
            <wp:wrapNone/>
            <wp:docPr id="117117873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178736" name="Picture 15"/>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048000" cy="1943100"/>
                    </a:xfrm>
                    <a:prstGeom prst="rect">
                      <a:avLst/>
                    </a:prstGeom>
                  </pic:spPr>
                </pic:pic>
              </a:graphicData>
            </a:graphic>
          </wp:anchor>
        </w:drawing>
      </w:r>
      <w:r w:rsidR="00000000">
        <w:rPr>
          <w:rFonts w:ascii="Arial" w:hAnsi="Arial" w:cs="Arial"/>
          <w:noProof/>
        </w:rPr>
        <w:pict w14:anchorId="3ACC237A">
          <v:shape id="_x0000_s2068" type="#_x0000_t202" style="position:absolute;left:0;text-align:left;margin-left:219.6pt;margin-top:629.85pt;width:295.25pt;height:72.15pt;z-index:251707392;visibility:visible;mso-wrap-distance-top:3.6pt;mso-wrap-distance-bottom:3.6pt;mso-position-horizontal-relative:text;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" stroked="f">
            <v:textbox style="mso-next-textbox:#_x0000_s2068">
              <w:txbxContent>
                <w:p w14:paraId="21990DE2" w14:textId="77777777" w:rsidR="00E40891" w:rsidRPr="0049736F" w:rsidRDefault="008E7487" w:rsidP="0049736F">
                  <w:pPr>
                    <w:spacing w:line="240" w:lineRule="auto"/>
                    <w:ind w:left="720" w:hanging="720"/>
                    <w:jc w:val="both"/>
                    <w:rPr>
                      <w:rFonts w:ascii="Arial" w:hAnsi="Arial" w:cs="Arial"/>
                    </w:rPr>
                  </w:pPr>
                  <w:r w:rsidRPr="0049736F">
                    <w:rPr>
                      <w:rFonts w:ascii="Arial" w:hAnsi="Arial" w:cs="Arial"/>
                    </w:rPr>
                    <w:t xml:space="preserve">Fig </w:t>
                  </w:r>
                  <w:r w:rsidR="00600F5B" w:rsidRPr="0049736F">
                    <w:rPr>
                      <w:rFonts w:ascii="Arial" w:hAnsi="Arial" w:cs="Arial"/>
                    </w:rPr>
                    <w:t>1</w:t>
                  </w:r>
                  <w:r w:rsidR="00D11A0A" w:rsidRPr="0049736F">
                    <w:rPr>
                      <w:rFonts w:ascii="Arial" w:hAnsi="Arial" w:cs="Arial"/>
                    </w:rPr>
                    <w:t>2</w:t>
                  </w:r>
                  <w:r w:rsidR="00B514DB" w:rsidRPr="0049736F">
                    <w:rPr>
                      <w:rFonts w:ascii="Arial" w:hAnsi="Arial" w:cs="Arial"/>
                    </w:rPr>
                    <w:t>.</w:t>
                  </w:r>
                  <w:r w:rsidRPr="0049736F">
                    <w:rPr>
                      <w:rFonts w:ascii="Arial" w:hAnsi="Arial" w:cs="Arial"/>
                    </w:rPr>
                    <w:t xml:space="preserve"> Photomicrograph of Group II (43-day old) pig showing duodenum with intestinal glands (IG), lamina propria (LP), lamina muscularis (red arrow) and Brunner’s glands (BG).    </w:t>
                  </w:r>
                  <w:r w:rsidRPr="0049736F">
                    <w:rPr>
                      <w:rFonts w:ascii="Arial" w:hAnsi="Arial" w:cs="Arial"/>
                    </w:rPr>
                    <w:tab/>
                  </w:r>
                  <w:r w:rsidRPr="0049736F">
                    <w:rPr>
                      <w:rFonts w:ascii="Arial" w:hAnsi="Arial" w:cs="Arial"/>
                      <w:b/>
                      <w:bCs/>
                    </w:rPr>
                    <w:t>H&amp;E 10x</w:t>
                  </w:r>
                </w:p>
                <w:p w14:paraId="07B66B40" w14:textId="77777777" w:rsidR="00E40891" w:rsidRPr="0049736F" w:rsidRDefault="00E40891" w:rsidP="0049736F">
                  <w:pPr>
                    <w:spacing w:line="240" w:lineRule="auto"/>
                    <w:ind w:left="720" w:hanging="720"/>
                    <w:jc w:val="both"/>
                    <w:rPr>
                      <w:rFonts w:ascii="Arial" w:hAnsi="Arial" w:cs="Arial"/>
                    </w:rPr>
                  </w:pPr>
                </w:p>
              </w:txbxContent>
            </v:textbox>
            <w10:wrap anchory="page"/>
          </v:shape>
        </w:pict>
      </w:r>
      <w:r w:rsidR="00000000">
        <w:rPr>
          <w:rFonts w:ascii="Arial" w:hAnsi="Arial" w:cs="Arial"/>
          <w:noProof/>
        </w:rPr>
        <w:pict w14:anchorId="4479DD81">
          <v:shape id="_x0000_s2072" type="#_x0000_t202" style="position:absolute;left:0;text-align:left;margin-left:233.05pt;margin-top:182.85pt;width:309pt;height:57pt;z-index:251701248;visibility:visible;mso-wrap-distance-top:3.6pt;mso-wrap-distance-bottom:3.6pt;mso-position-horizontal-relative:text;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" stroked="f">
            <v:textbox style="mso-next-textbox:#_x0000_s2072">
              <w:txbxContent>
                <w:p w14:paraId="515CB768" w14:textId="77777777" w:rsidR="00E40891" w:rsidRPr="0049736F" w:rsidRDefault="008E7487" w:rsidP="0049736F">
                  <w:pPr>
                    <w:spacing w:line="240" w:lineRule="auto"/>
                    <w:ind w:left="720" w:hanging="720"/>
                    <w:jc w:val="both"/>
                    <w:rPr>
                      <w:rFonts w:ascii="Arial" w:hAnsi="Arial" w:cs="Arial"/>
                      <w:b/>
                      <w:bCs/>
                    </w:rPr>
                  </w:pPr>
                  <w:r w:rsidRPr="0049736F">
                    <w:rPr>
                      <w:rFonts w:ascii="Arial" w:hAnsi="Arial" w:cs="Arial"/>
                    </w:rPr>
                    <w:t xml:space="preserve">Fig </w:t>
                  </w:r>
                  <w:r w:rsidR="00600F5B" w:rsidRPr="0049736F">
                    <w:rPr>
                      <w:rFonts w:ascii="Arial" w:hAnsi="Arial" w:cs="Arial"/>
                    </w:rPr>
                    <w:t>10</w:t>
                  </w:r>
                  <w:r w:rsidR="00B514DB" w:rsidRPr="0049736F">
                    <w:rPr>
                      <w:rFonts w:ascii="Arial" w:hAnsi="Arial" w:cs="Arial"/>
                    </w:rPr>
                    <w:t>.</w:t>
                  </w:r>
                  <w:r w:rsidRPr="0049736F">
                    <w:rPr>
                      <w:rFonts w:ascii="Arial" w:hAnsi="Arial" w:cs="Arial"/>
                    </w:rPr>
                    <w:t xml:space="preserve"> Photomicrograph of G-I (0-day old) piglet showing duodenum with discrete lamina muscularis (LM), intestinal gland (IG) and Brunner’s glands (BG).</w:t>
                  </w:r>
                  <w:r w:rsidRPr="0049736F">
                    <w:rPr>
                      <w:rFonts w:ascii="Arial" w:hAnsi="Arial" w:cs="Arial"/>
                    </w:rPr>
                    <w:tab/>
                  </w:r>
                  <w:r w:rsidRPr="0049736F">
                    <w:rPr>
                      <w:rFonts w:ascii="Arial" w:hAnsi="Arial" w:cs="Arial"/>
                    </w:rPr>
                    <w:tab/>
                  </w:r>
                  <w:r w:rsidRPr="0049736F">
                    <w:rPr>
                      <w:rFonts w:ascii="Arial" w:hAnsi="Arial" w:cs="Arial"/>
                      <w:b/>
                      <w:bCs/>
                    </w:rPr>
                    <w:t>H&amp;E 10x</w:t>
                  </w:r>
                </w:p>
              </w:txbxContent>
            </v:textbox>
            <w10:wrap anchory="page"/>
          </v:shape>
        </w:pict>
      </w:r>
      <w:r w:rsidR="00000000">
        <w:rPr>
          <w:rFonts w:ascii="Arial" w:hAnsi="Arial" w:cs="Arial"/>
          <w:noProof/>
        </w:rPr>
        <w:pict w14:anchorId="12338412">
          <v:shape id="_x0000_s2063" type="#_x0000_t202" style="position:absolute;left:0;text-align:left;margin-left:-47.8pt;margin-top:634.5pt;width:261.6pt;height:74.25pt;z-index:251695104;visibility:visible;mso-wrap-distance-top:3.6pt;mso-wrap-distance-bottom:3.6pt;mso-position-horizontal-relative:margin;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" stroked="f">
            <v:textbox style="mso-next-textbox:#_x0000_s2063">
              <w:txbxContent>
                <w:p w14:paraId="0A9A6A48" w14:textId="77777777" w:rsidR="00E40891" w:rsidRPr="0049736F" w:rsidRDefault="008E7487" w:rsidP="0049736F">
                  <w:pPr>
                    <w:spacing w:line="240" w:lineRule="auto"/>
                    <w:ind w:left="720" w:hanging="720"/>
                    <w:jc w:val="both"/>
                    <w:rPr>
                      <w:rFonts w:ascii="Arial" w:hAnsi="Arial" w:cs="Arial"/>
                    </w:rPr>
                  </w:pPr>
                  <w:r w:rsidRPr="0049736F">
                    <w:rPr>
                      <w:rFonts w:ascii="Arial" w:hAnsi="Arial" w:cs="Arial"/>
                    </w:rPr>
                    <w:t xml:space="preserve">Fig </w:t>
                  </w:r>
                  <w:r w:rsidR="00D803AA" w:rsidRPr="0049736F">
                    <w:rPr>
                      <w:rFonts w:ascii="Arial" w:hAnsi="Arial" w:cs="Arial"/>
                    </w:rPr>
                    <w:t>9</w:t>
                  </w:r>
                  <w:r w:rsidR="00B514DB" w:rsidRPr="0049736F">
                    <w:rPr>
                      <w:rFonts w:ascii="Arial" w:hAnsi="Arial" w:cs="Arial"/>
                    </w:rPr>
                    <w:t>.</w:t>
                  </w:r>
                  <w:r w:rsidRPr="0049736F">
                    <w:rPr>
                      <w:rFonts w:ascii="Arial" w:hAnsi="Arial" w:cs="Arial"/>
                    </w:rPr>
                    <w:t xml:space="preserve"> Photomicrograph of G-I (21-day old) piglet showing duodenum with Paneth cells (red arrow) in intestinal glands (IG) and goblet cells (GC).              </w:t>
                  </w:r>
                  <w:r w:rsidRPr="0049736F">
                    <w:rPr>
                      <w:rFonts w:ascii="Arial" w:hAnsi="Arial" w:cs="Arial"/>
                      <w:b/>
                      <w:bCs/>
                    </w:rPr>
                    <w:t>H&amp;E 60x</w:t>
                  </w:r>
                </w:p>
              </w:txbxContent>
            </v:textbox>
            <w10:wrap anchorx="margin" anchory="page"/>
          </v:shape>
        </w:pict>
      </w:r>
      <w:r w:rsidR="0049736F">
        <w:rPr>
          <w:rFonts w:ascii="Arial" w:hAnsi="Arial" w:cs="Arial"/>
          <w:noProof/>
          <w:lang w:val="en-US"/>
        </w:rPr>
        <w:drawing>
          <wp:anchor distT="0" distB="0" distL="114300" distR="114300" simplePos="0" relativeHeight="251694080" behindDoc="0" locked="0" layoutInCell="1" allowOverlap="1" wp14:anchorId="5D5E50B9" wp14:editId="064BAD2A">
            <wp:simplePos x="0" y="0"/>
            <wp:positionH relativeFrom="column">
              <wp:posOffset>-419100</wp:posOffset>
            </wp:positionH>
            <wp:positionV relativeFrom="page">
              <wp:posOffset>5876925</wp:posOffset>
            </wp:positionV>
            <wp:extent cx="2924175" cy="2085975"/>
            <wp:effectExtent l="19050" t="0" r="9525" b="0"/>
            <wp:wrapNone/>
            <wp:docPr id="141790304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903048" name="Picture 11"/>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924175" cy="2085975"/>
                    </a:xfrm>
                    <a:prstGeom prst="rect">
                      <a:avLst/>
                    </a:prstGeom>
                  </pic:spPr>
                </pic:pic>
              </a:graphicData>
            </a:graphic>
          </wp:anchor>
        </w:drawing>
      </w:r>
      <w:r w:rsidR="00000000">
        <w:rPr>
          <w:rFonts w:ascii="Arial" w:hAnsi="Arial" w:cs="Arial"/>
          <w:noProof/>
        </w:rPr>
        <w:pict w14:anchorId="203EE393">
          <v:shape id="_x0000_s2064" type="#_x0000_t202" style="position:absolute;left:0;text-align:left;margin-left:-55pt;margin-top:402.75pt;width:268.8pt;height:61.8pt;z-index:251693056;visibility:visible;mso-wrap-distance-top:3.6pt;mso-wrap-distance-bottom:3.6pt;mso-position-horizontal-relative:text;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" stroked="f">
            <v:textbox style="mso-next-textbox:#_x0000_s2064">
              <w:txbxContent>
                <w:p w14:paraId="5AC0243E" w14:textId="77777777" w:rsidR="00E40891" w:rsidRPr="0049736F" w:rsidRDefault="008E7487" w:rsidP="0049736F">
                  <w:pPr>
                    <w:spacing w:line="240" w:lineRule="auto"/>
                    <w:ind w:left="720" w:hanging="720"/>
                    <w:jc w:val="both"/>
                    <w:rPr>
                      <w:rFonts w:ascii="Arial" w:hAnsi="Arial" w:cs="Arial"/>
                    </w:rPr>
                  </w:pPr>
                  <w:r w:rsidRPr="0049736F">
                    <w:rPr>
                      <w:rFonts w:ascii="Arial" w:hAnsi="Arial" w:cs="Arial"/>
                    </w:rPr>
                    <w:t xml:space="preserve">Fig </w:t>
                  </w:r>
                  <w:r w:rsidR="00D803AA" w:rsidRPr="0049736F">
                    <w:rPr>
                      <w:rFonts w:ascii="Arial" w:hAnsi="Arial" w:cs="Arial"/>
                    </w:rPr>
                    <w:t>8</w:t>
                  </w:r>
                  <w:r w:rsidR="00B514DB" w:rsidRPr="0049736F">
                    <w:rPr>
                      <w:rFonts w:ascii="Arial" w:hAnsi="Arial" w:cs="Arial"/>
                    </w:rPr>
                    <w:t>.</w:t>
                  </w:r>
                  <w:r w:rsidR="003579F7">
                    <w:rPr>
                      <w:rFonts w:ascii="Arial" w:hAnsi="Arial" w:cs="Arial"/>
                    </w:rPr>
                    <w:t xml:space="preserve"> Photomicrograph of G-I</w:t>
                  </w:r>
                  <w:r w:rsidRPr="0049736F">
                    <w:rPr>
                      <w:rFonts w:ascii="Arial" w:hAnsi="Arial" w:cs="Arial"/>
                    </w:rPr>
                    <w:t xml:space="preserve"> (21-day old) piglet showing duodenum with elastic fibres (red arrow) around intestinal glands (IG).</w:t>
                  </w:r>
                </w:p>
                <w:p w14:paraId="183B5164" w14:textId="77777777" w:rsidR="00E40891" w:rsidRPr="0049736F" w:rsidRDefault="008E7487" w:rsidP="0049736F">
                  <w:pPr>
                    <w:spacing w:line="240" w:lineRule="auto"/>
                    <w:ind w:left="720" w:hanging="720"/>
                    <w:jc w:val="both"/>
                    <w:rPr>
                      <w:rFonts w:ascii="Arial" w:hAnsi="Arial" w:cs="Arial"/>
                      <w:b/>
                      <w:bCs/>
                    </w:rPr>
                  </w:pPr>
                  <w:r w:rsidRPr="0049736F">
                    <w:rPr>
                      <w:rFonts w:ascii="Arial" w:hAnsi="Arial" w:cs="Arial"/>
                      <w:b/>
                      <w:bCs/>
                    </w:rPr>
                    <w:t>Weigert’s 10x</w:t>
                  </w:r>
                </w:p>
              </w:txbxContent>
            </v:textbox>
            <w10:wrap anchory="page"/>
          </v:shape>
        </w:pict>
      </w:r>
      <w:r w:rsidR="0049736F">
        <w:rPr>
          <w:rFonts w:ascii="Arial" w:hAnsi="Arial" w:cs="Arial"/>
          <w:noProof/>
          <w:lang w:val="en-US"/>
        </w:rPr>
        <w:drawing>
          <wp:anchor distT="0" distB="0" distL="114300" distR="114300" simplePos="0" relativeHeight="251692032" behindDoc="0" locked="0" layoutInCell="1" allowOverlap="1" wp14:anchorId="27AD4489" wp14:editId="445895F9">
            <wp:simplePos x="0" y="0"/>
            <wp:positionH relativeFrom="column">
              <wp:posOffset>-304800</wp:posOffset>
            </wp:positionH>
            <wp:positionV relativeFrom="page">
              <wp:posOffset>3114675</wp:posOffset>
            </wp:positionV>
            <wp:extent cx="2925445" cy="1943100"/>
            <wp:effectExtent l="19050" t="0" r="8255" b="0"/>
            <wp:wrapNone/>
            <wp:docPr id="154391238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912386" name="Picture 10"/>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925445" cy="1943100"/>
                    </a:xfrm>
                    <a:prstGeom prst="rect">
                      <a:avLst/>
                    </a:prstGeom>
                  </pic:spPr>
                </pic:pic>
              </a:graphicData>
            </a:graphic>
          </wp:anchor>
        </w:drawing>
      </w:r>
      <w:r w:rsidR="00000000">
        <w:rPr>
          <w:rFonts w:ascii="Arial" w:hAnsi="Arial" w:cs="Arial"/>
          <w:noProof/>
        </w:rPr>
        <w:pict w14:anchorId="38FFD24F">
          <v:shape id="_x0000_s2070" type="#_x0000_t202" style="position:absolute;left:0;text-align:left;margin-left:-55pt;margin-top:182.25pt;width:291.9pt;height:57.6pt;z-index:251703296;visibility:visible;mso-wrap-distance-top:3.6pt;mso-wrap-distance-bottom:3.6pt;mso-position-horizontal-relative:text;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" stroked="f">
            <v:textbox style="mso-next-textbox:#_x0000_s2070">
              <w:txbxContent>
                <w:p w14:paraId="53319E60" w14:textId="77777777" w:rsidR="00E40891" w:rsidRPr="0049736F" w:rsidRDefault="008E7487" w:rsidP="0049736F">
                  <w:pPr>
                    <w:spacing w:line="240" w:lineRule="auto"/>
                    <w:ind w:left="720" w:hanging="720"/>
                    <w:jc w:val="both"/>
                    <w:rPr>
                      <w:rFonts w:ascii="Arial" w:hAnsi="Arial" w:cs="Arial"/>
                    </w:rPr>
                  </w:pPr>
                  <w:r w:rsidRPr="0049736F">
                    <w:rPr>
                      <w:rFonts w:ascii="Arial" w:hAnsi="Arial" w:cs="Arial"/>
                    </w:rPr>
                    <w:t xml:space="preserve">Fig </w:t>
                  </w:r>
                  <w:r w:rsidR="00EE4D3A" w:rsidRPr="0049736F">
                    <w:rPr>
                      <w:rFonts w:ascii="Arial" w:hAnsi="Arial" w:cs="Arial"/>
                    </w:rPr>
                    <w:t>7</w:t>
                  </w:r>
                  <w:r w:rsidR="00B514DB" w:rsidRPr="0049736F">
                    <w:rPr>
                      <w:rFonts w:ascii="Arial" w:hAnsi="Arial" w:cs="Arial"/>
                    </w:rPr>
                    <w:t>.</w:t>
                  </w:r>
                  <w:r w:rsidRPr="0049736F">
                    <w:rPr>
                      <w:rFonts w:ascii="Arial" w:hAnsi="Arial" w:cs="Arial"/>
                    </w:rPr>
                    <w:t xml:space="preserve"> Photomicrograph of G-I (13-day old) piglet showing duodenum with intestinal glands (IG), continuous lamina muscularis (yellow arrow) </w:t>
                  </w:r>
                </w:p>
                <w:p w14:paraId="3195A124" w14:textId="77777777" w:rsidR="00E40891" w:rsidRPr="0049736F" w:rsidRDefault="008E7487" w:rsidP="0049736F">
                  <w:pPr>
                    <w:spacing w:line="240" w:lineRule="auto"/>
                    <w:ind w:left="720" w:hanging="720"/>
                    <w:jc w:val="both"/>
                    <w:rPr>
                      <w:rFonts w:ascii="Arial" w:hAnsi="Arial" w:cs="Arial"/>
                    </w:rPr>
                  </w:pPr>
                  <w:r w:rsidRPr="0049736F">
                    <w:rPr>
                      <w:rFonts w:ascii="Arial" w:hAnsi="Arial" w:cs="Arial"/>
                    </w:rPr>
                    <w:t>and Brunner’s glands (BG).</w:t>
                  </w:r>
                  <w:r w:rsidRPr="0049736F">
                    <w:rPr>
                      <w:rFonts w:ascii="Arial" w:hAnsi="Arial" w:cs="Arial"/>
                      <w:b/>
                      <w:bCs/>
                    </w:rPr>
                    <w:tab/>
                  </w:r>
                  <w:r w:rsidRPr="0049736F">
                    <w:rPr>
                      <w:rFonts w:ascii="Arial" w:hAnsi="Arial" w:cs="Arial"/>
                      <w:b/>
                      <w:bCs/>
                    </w:rPr>
                    <w:tab/>
                    <w:t>H&amp;E 40x</w:t>
                  </w:r>
                </w:p>
              </w:txbxContent>
            </v:textbox>
            <w10:wrap anchory="page"/>
          </v:shape>
        </w:pict>
      </w:r>
      <w:r w:rsidR="007F3691" w:rsidRPr="00977408">
        <w:rPr>
          <w:rFonts w:ascii="Arial" w:hAnsi="Arial" w:cs="Arial"/>
          <w:color w:val="000000" w:themeColor="text1"/>
          <w:lang w:val="en-US"/>
        </w:rPr>
        <w:br w:type="page"/>
      </w:r>
    </w:p>
    <w:p w14:paraId="5359AF70" w14:textId="77777777" w:rsidR="00CB22A9" w:rsidRDefault="00CB22A9" w:rsidP="00B032E5">
      <w:pPr>
        <w:spacing w:line="240" w:lineRule="auto"/>
        <w:ind w:left="0" w:right="0" w:firstLine="0"/>
        <w:rPr>
          <w:rFonts w:ascii="Arial" w:hAnsi="Arial" w:cs="Arial"/>
          <w:color w:val="000000" w:themeColor="text1"/>
          <w:lang w:val="en-US"/>
        </w:rPr>
      </w:pPr>
      <w:r>
        <w:rPr>
          <w:noProof/>
          <w:lang w:val="en-US"/>
        </w:rPr>
        <w:lastRenderedPageBreak/>
        <w:drawing>
          <wp:inline distT="0" distB="0" distL="0" distR="0" wp14:anchorId="4933FF7C" wp14:editId="6ADD0944">
            <wp:extent cx="5692673" cy="7038975"/>
            <wp:effectExtent l="0" t="0" r="0" b="0"/>
            <wp:docPr id="4969979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997947" name=""/>
                    <pic:cNvPicPr/>
                  </pic:nvPicPr>
                  <pic:blipFill>
                    <a:blip r:embed="rId21"/>
                    <a:stretch>
                      <a:fillRect/>
                    </a:stretch>
                  </pic:blipFill>
                  <pic:spPr>
                    <a:xfrm>
                      <a:off x="0" y="0"/>
                      <a:ext cx="5703789" cy="7052720"/>
                    </a:xfrm>
                    <a:prstGeom prst="rect">
                      <a:avLst/>
                    </a:prstGeom>
                  </pic:spPr>
                </pic:pic>
              </a:graphicData>
            </a:graphic>
          </wp:inline>
        </w:drawing>
      </w:r>
    </w:p>
    <w:p w14:paraId="32AC3A2C" w14:textId="77777777" w:rsidR="007D1493" w:rsidRPr="00651D2B" w:rsidRDefault="00CB47E6" w:rsidP="00B032E5">
      <w:pPr>
        <w:spacing w:line="240" w:lineRule="auto"/>
        <w:ind w:left="0" w:right="0" w:firstLine="0"/>
        <w:rPr>
          <w:rFonts w:ascii="Arial" w:hAnsi="Arial" w:cs="Arial"/>
          <w:lang w:val="en-US"/>
        </w:rPr>
      </w:pPr>
      <w:r>
        <w:rPr>
          <w:rFonts w:ascii="Arial" w:hAnsi="Arial" w:cs="Arial"/>
          <w:b/>
          <w:bCs/>
          <w:lang w:val="en-US"/>
        </w:rPr>
        <w:t xml:space="preserve">4. </w:t>
      </w:r>
      <w:r w:rsidR="00A73A8B" w:rsidRPr="00651D2B">
        <w:rPr>
          <w:rFonts w:ascii="Arial" w:hAnsi="Arial" w:cs="Arial"/>
          <w:b/>
          <w:bCs/>
          <w:lang w:val="en-US"/>
        </w:rPr>
        <w:t>CONCLUSION</w:t>
      </w:r>
    </w:p>
    <w:p w14:paraId="144085B3" w14:textId="77777777" w:rsidR="00DD08AA" w:rsidRDefault="008B5677" w:rsidP="00DD08AA">
      <w:pPr>
        <w:spacing w:line="240" w:lineRule="auto"/>
        <w:ind w:left="0"/>
        <w:jc w:val="both"/>
        <w:rPr>
          <w:rFonts w:ascii="Arial" w:hAnsi="Arial" w:cs="Arial"/>
          <w:lang w:val="en-US"/>
        </w:rPr>
      </w:pPr>
      <w:r>
        <w:rPr>
          <w:rFonts w:ascii="Arial" w:hAnsi="Arial" w:cs="Arial"/>
          <w:lang w:val="en-US"/>
        </w:rPr>
        <w:t>Postnatal development of the duodenum in Indian domestic pigs was characteri</w:t>
      </w:r>
      <w:r>
        <w:rPr>
          <w:rFonts w:ascii="Arial" w:hAnsi="Arial" w:cs="Arial"/>
          <w:highlight w:val="yellow"/>
          <w:lang w:val="en-US"/>
        </w:rPr>
        <w:t>s</w:t>
      </w:r>
      <w:r>
        <w:rPr>
          <w:rFonts w:ascii="Arial" w:hAnsi="Arial" w:cs="Arial"/>
          <w:lang w:val="en-US"/>
        </w:rPr>
        <w:t>ed by progressive maturation of the mucosa, submucosa</w:t>
      </w:r>
      <w:r>
        <w:rPr>
          <w:rFonts w:ascii="Arial" w:hAnsi="Arial" w:cs="Arial"/>
          <w:highlight w:val="yellow"/>
          <w:lang w:val="en-US"/>
        </w:rPr>
        <w:t>,</w:t>
      </w:r>
      <w:r>
        <w:rPr>
          <w:rFonts w:ascii="Arial" w:hAnsi="Arial" w:cs="Arial"/>
          <w:lang w:val="en-US"/>
        </w:rPr>
        <w:t xml:space="preserve"> and muscular components. Villi underwent distinct developmental alterations, while goblet cells, intraepithelial lymphocytes</w:t>
      </w:r>
      <w:r>
        <w:rPr>
          <w:rFonts w:ascii="Arial" w:hAnsi="Arial" w:cs="Arial"/>
          <w:highlight w:val="yellow"/>
          <w:lang w:val="en-US"/>
        </w:rPr>
        <w:t>,</w:t>
      </w:r>
      <w:r>
        <w:rPr>
          <w:rFonts w:ascii="Arial" w:hAnsi="Arial" w:cs="Arial"/>
          <w:lang w:val="en-US"/>
        </w:rPr>
        <w:t xml:space="preserve"> and connective tissue fibres became increasingly prominent with age. Paneth cells appeared after birth, and Brunner's glands developed from sparse</w:t>
      </w:r>
      <w:r>
        <w:rPr>
          <w:rFonts w:ascii="Arial" w:hAnsi="Arial" w:cs="Arial"/>
          <w:highlight w:val="yellow"/>
          <w:lang w:val="en-US"/>
        </w:rPr>
        <w:t>,</w:t>
      </w:r>
      <w:r>
        <w:rPr>
          <w:rFonts w:ascii="Arial" w:hAnsi="Arial" w:cs="Arial"/>
          <w:lang w:val="en-US"/>
        </w:rPr>
        <w:t xml:space="preserve"> isolated structures into prominent submucosal lobules. Plicae circulares also became evident during early postnatal life and </w:t>
      </w:r>
      <w:r>
        <w:rPr>
          <w:rFonts w:ascii="Arial" w:hAnsi="Arial" w:cs="Arial"/>
          <w:lang w:val="en-US"/>
        </w:rPr>
        <w:lastRenderedPageBreak/>
        <w:t>increased in prominence with advancing age. Together, these observations indicate coordinated maturation of structural components associated with digestive, absorptive, protective</w:t>
      </w:r>
      <w:r>
        <w:rPr>
          <w:rFonts w:ascii="Arial" w:hAnsi="Arial" w:cs="Arial"/>
          <w:highlight w:val="yellow"/>
          <w:lang w:val="en-US"/>
        </w:rPr>
        <w:t>,</w:t>
      </w:r>
      <w:r>
        <w:rPr>
          <w:rFonts w:ascii="Arial" w:hAnsi="Arial" w:cs="Arial"/>
          <w:lang w:val="en-US"/>
        </w:rPr>
        <w:t xml:space="preserve"> and intestinal immune functions. The findings provide descriptive baseline information on postnatal duodenal histology in Indian domestic pigs and may support future comparative and morphometric investigations of porcine intestinal development.</w:t>
      </w:r>
    </w:p>
    <w:p w14:paraId="0A55E418" w14:textId="77777777" w:rsidR="00DD08AA" w:rsidRDefault="00DD08AA" w:rsidP="00DD08AA">
      <w:pPr>
        <w:autoSpaceDE w:val="0"/>
        <w:autoSpaceDN w:val="0"/>
        <w:adjustRightInd w:val="0"/>
        <w:spacing w:line="240" w:lineRule="auto"/>
        <w:ind w:left="0" w:right="0" w:firstLine="0"/>
        <w:rPr>
          <w:rFonts w:ascii="Arial" w:hAnsi="Arial" w:cs="Arial"/>
        </w:rPr>
      </w:pPr>
    </w:p>
    <w:p w14:paraId="1C1C2BD0" w14:textId="77777777" w:rsidR="00175C23" w:rsidRPr="00175C23" w:rsidRDefault="00175C23" w:rsidP="00175C23">
      <w:pPr>
        <w:autoSpaceDE w:val="0"/>
        <w:autoSpaceDN w:val="0"/>
        <w:adjustRightInd w:val="0"/>
        <w:spacing w:line="240" w:lineRule="auto"/>
        <w:ind w:left="0" w:right="0" w:firstLine="0"/>
        <w:rPr>
          <w:rFonts w:ascii="Arial" w:hAnsi="Arial" w:cs="Arial"/>
          <w:b/>
          <w:bCs/>
        </w:rPr>
      </w:pPr>
      <w:r w:rsidRPr="00175C23">
        <w:rPr>
          <w:rFonts w:ascii="Arial" w:hAnsi="Arial" w:cs="Arial"/>
          <w:b/>
          <w:bCs/>
        </w:rPr>
        <w:t>Limitation</w:t>
      </w:r>
    </w:p>
    <w:p w14:paraId="7FC97BC9" w14:textId="77777777" w:rsidR="00175C23" w:rsidRPr="00175C23" w:rsidRDefault="00175C23" w:rsidP="00175C23">
      <w:pPr>
        <w:autoSpaceDE w:val="0"/>
        <w:autoSpaceDN w:val="0"/>
        <w:adjustRightInd w:val="0"/>
        <w:spacing w:line="240" w:lineRule="auto"/>
        <w:ind w:left="0" w:right="0" w:firstLine="0"/>
        <w:rPr>
          <w:rFonts w:ascii="Arial" w:hAnsi="Arial" w:cs="Arial"/>
        </w:rPr>
      </w:pPr>
    </w:p>
    <w:p w14:paraId="6F9EDB2F" w14:textId="77777777" w:rsidR="00175C23" w:rsidRDefault="00175C23" w:rsidP="00175C23">
      <w:pPr>
        <w:autoSpaceDE w:val="0"/>
        <w:autoSpaceDN w:val="0"/>
        <w:adjustRightInd w:val="0"/>
        <w:spacing w:line="240" w:lineRule="auto"/>
        <w:ind w:left="0" w:right="0" w:firstLine="0"/>
        <w:rPr>
          <w:rFonts w:ascii="Arial" w:hAnsi="Arial" w:cs="Arial"/>
        </w:rPr>
      </w:pPr>
      <w:r w:rsidRPr="00175C23">
        <w:rPr>
          <w:rFonts w:ascii="Arial" w:hAnsi="Arial" w:cs="Arial"/>
        </w:rPr>
        <w:t xml:space="preserve">The study was based on descriptive histological assessment of the duodenum across three defined postnatal age groups. Accordingly, the findings primarily establish qualitative age-associated patterns of tissue maturation rather than quantitative </w:t>
      </w:r>
      <w:proofErr w:type="spellStart"/>
      <w:r w:rsidRPr="00175C23">
        <w:rPr>
          <w:rFonts w:ascii="Arial" w:hAnsi="Arial" w:cs="Arial"/>
        </w:rPr>
        <w:t>histomorphometric</w:t>
      </w:r>
      <w:proofErr w:type="spellEnd"/>
      <w:r w:rsidRPr="00175C23">
        <w:rPr>
          <w:rFonts w:ascii="Arial" w:hAnsi="Arial" w:cs="Arial"/>
        </w:rPr>
        <w:t xml:space="preserve"> relationships. Interpretation is therefore confined to the examined duodenal tissues and developmental grouping used in the study. Further morphometric assessment would be required to quantify the magnitude of the structural changes described here.</w:t>
      </w:r>
    </w:p>
    <w:p w14:paraId="3C4B7C02" w14:textId="77777777" w:rsidR="00AC08F7" w:rsidRPr="00DD08AA" w:rsidRDefault="00AC08F7" w:rsidP="00DD08AA">
      <w:pPr>
        <w:autoSpaceDE w:val="0"/>
        <w:autoSpaceDN w:val="0"/>
        <w:adjustRightInd w:val="0"/>
        <w:spacing w:line="240" w:lineRule="auto"/>
        <w:ind w:left="0" w:right="0" w:firstLine="0"/>
        <w:rPr>
          <w:rFonts w:ascii="Arial" w:hAnsi="Arial" w:cs="Arial"/>
        </w:rPr>
      </w:pPr>
    </w:p>
    <w:p w14:paraId="36E11BCA" w14:textId="77777777" w:rsidR="00DD08AA" w:rsidRDefault="00DD08AA" w:rsidP="00DD08AA">
      <w:pPr>
        <w:pStyle w:val="ReferHead"/>
        <w:spacing w:after="0"/>
        <w:jc w:val="both"/>
        <w:rPr>
          <w:rFonts w:ascii="Arial" w:hAnsi="Arial" w:cs="Arial"/>
          <w:bCs/>
        </w:rPr>
      </w:pPr>
      <w:r w:rsidRPr="00786D36">
        <w:rPr>
          <w:rFonts w:ascii="Arial" w:hAnsi="Arial" w:cs="Arial"/>
          <w:bCs/>
        </w:rPr>
        <w:t>Competing interests</w:t>
      </w:r>
    </w:p>
    <w:p w14:paraId="74F3DDA9" w14:textId="77777777" w:rsidR="00DD08AA" w:rsidRDefault="00DD08AA" w:rsidP="00DD08AA">
      <w:pPr>
        <w:pStyle w:val="ReferHead"/>
        <w:spacing w:after="0"/>
        <w:jc w:val="both"/>
        <w:rPr>
          <w:rFonts w:ascii="Arial" w:hAnsi="Arial" w:cs="Arial"/>
          <w:b w:val="0"/>
          <w:bCs/>
          <w:caps w:val="0"/>
        </w:rPr>
      </w:pPr>
      <w:r>
        <w:rPr>
          <w:rFonts w:ascii="Arial" w:hAnsi="Arial" w:cs="Arial"/>
          <w:b w:val="0"/>
          <w:bCs/>
          <w:caps w:val="0"/>
        </w:rPr>
        <w:t>N</w:t>
      </w:r>
      <w:r w:rsidRPr="00DD08AA">
        <w:rPr>
          <w:rFonts w:ascii="Arial" w:hAnsi="Arial" w:cs="Arial"/>
          <w:b w:val="0"/>
          <w:bCs/>
          <w:caps w:val="0"/>
        </w:rPr>
        <w:t>o conflicts of interest</w:t>
      </w:r>
    </w:p>
    <w:p w14:paraId="4A8B8EF6" w14:textId="77777777" w:rsidR="00DD08AA" w:rsidRPr="00DD08AA" w:rsidRDefault="00DD08AA" w:rsidP="00DD08AA">
      <w:pPr>
        <w:pStyle w:val="ReferHead"/>
        <w:spacing w:after="0"/>
        <w:jc w:val="both"/>
        <w:rPr>
          <w:rFonts w:ascii="Arial" w:hAnsi="Arial" w:cs="Arial"/>
          <w:b w:val="0"/>
          <w:bCs/>
        </w:rPr>
      </w:pPr>
    </w:p>
    <w:p w14:paraId="66F842DD" w14:textId="77777777" w:rsidR="00DD08AA" w:rsidRPr="00977408" w:rsidRDefault="00DD08AA" w:rsidP="00DD08AA">
      <w:pPr>
        <w:spacing w:line="240" w:lineRule="auto"/>
        <w:ind w:left="0"/>
        <w:jc w:val="both"/>
        <w:rPr>
          <w:rFonts w:ascii="Arial" w:hAnsi="Arial" w:cs="Arial"/>
          <w:b/>
          <w:bCs/>
        </w:rPr>
      </w:pPr>
    </w:p>
    <w:p w14:paraId="5D2A0DC5" w14:textId="77777777" w:rsidR="00B75A2A" w:rsidRPr="00977408" w:rsidRDefault="00B75A2A" w:rsidP="00B75A2A">
      <w:pPr>
        <w:spacing w:line="240" w:lineRule="auto"/>
        <w:ind w:left="0" w:firstLine="0"/>
        <w:jc w:val="both"/>
        <w:rPr>
          <w:rFonts w:ascii="Arial" w:hAnsi="Arial" w:cs="Arial"/>
        </w:rPr>
      </w:pPr>
      <w:r w:rsidRPr="00977408">
        <w:rPr>
          <w:rFonts w:ascii="Arial" w:hAnsi="Arial" w:cs="Arial"/>
          <w:b/>
        </w:rPr>
        <w:t>ETHICAL APPROVAL</w:t>
      </w:r>
    </w:p>
    <w:p w14:paraId="315F3794" w14:textId="77777777" w:rsidR="00B75A2A" w:rsidRDefault="00B75A2A" w:rsidP="00B75A2A">
      <w:pPr>
        <w:spacing w:line="240" w:lineRule="auto"/>
        <w:ind w:left="0"/>
        <w:jc w:val="both"/>
        <w:rPr>
          <w:rFonts w:ascii="Arial" w:hAnsi="Arial" w:cs="Arial"/>
        </w:rPr>
      </w:pPr>
      <w:r w:rsidRPr="00977408">
        <w:rPr>
          <w:rFonts w:ascii="Arial" w:hAnsi="Arial" w:cs="Arial"/>
        </w:rPr>
        <w:t>The present investigation and its experimental design were approved by the Institutional Animal Ethics Committee, vide IAEC No. 11/26/IAEC-Pig/</w:t>
      </w:r>
      <w:proofErr w:type="spellStart"/>
      <w:r w:rsidRPr="00977408">
        <w:rPr>
          <w:rFonts w:ascii="Arial" w:hAnsi="Arial" w:cs="Arial"/>
        </w:rPr>
        <w:t>C.V.Sc</w:t>
      </w:r>
      <w:proofErr w:type="spellEnd"/>
      <w:r w:rsidRPr="00977408">
        <w:rPr>
          <w:rFonts w:ascii="Arial" w:hAnsi="Arial" w:cs="Arial"/>
        </w:rPr>
        <w:t>./Hyd. Dt: 13.06.2025.</w:t>
      </w:r>
    </w:p>
    <w:p w14:paraId="2CE3E9A8" w14:textId="77777777" w:rsidR="001974E6" w:rsidRDefault="001974E6" w:rsidP="00B75A2A">
      <w:pPr>
        <w:spacing w:line="240" w:lineRule="auto"/>
        <w:ind w:left="0"/>
        <w:jc w:val="both"/>
        <w:rPr>
          <w:rFonts w:ascii="Arial" w:hAnsi="Arial" w:cs="Arial"/>
        </w:rPr>
      </w:pPr>
    </w:p>
    <w:p w14:paraId="3E87910C" w14:textId="77777777" w:rsidR="001974E6" w:rsidRPr="00382955" w:rsidRDefault="001974E6" w:rsidP="00382955">
      <w:pPr>
        <w:spacing w:line="240" w:lineRule="auto"/>
        <w:ind w:left="0" w:firstLine="0"/>
        <w:jc w:val="both"/>
        <w:rPr>
          <w:rFonts w:ascii="Arial" w:hAnsi="Arial" w:cs="Arial"/>
          <w:b/>
          <w:bCs/>
        </w:rPr>
      </w:pPr>
      <w:r w:rsidRPr="00382955">
        <w:rPr>
          <w:rFonts w:ascii="Arial" w:hAnsi="Arial" w:cs="Arial"/>
          <w:b/>
          <w:bCs/>
        </w:rPr>
        <w:t>Declaration of AI Use</w:t>
      </w:r>
    </w:p>
    <w:p w14:paraId="71D449FB" w14:textId="77777777" w:rsidR="001974E6" w:rsidRPr="001974E6" w:rsidRDefault="001974E6" w:rsidP="001974E6">
      <w:pPr>
        <w:spacing w:line="240" w:lineRule="auto"/>
        <w:ind w:left="0"/>
        <w:jc w:val="both"/>
        <w:rPr>
          <w:rFonts w:ascii="Arial" w:hAnsi="Arial" w:cs="Arial"/>
        </w:rPr>
      </w:pPr>
    </w:p>
    <w:p w14:paraId="78270D1A" w14:textId="77777777" w:rsidR="001974E6" w:rsidRPr="00977408" w:rsidRDefault="001974E6" w:rsidP="00382955">
      <w:pPr>
        <w:spacing w:line="240" w:lineRule="auto"/>
        <w:ind w:left="0" w:firstLine="0"/>
        <w:jc w:val="both"/>
        <w:rPr>
          <w:rFonts w:ascii="Arial" w:hAnsi="Arial" w:cs="Arial"/>
        </w:rPr>
      </w:pPr>
      <w:r w:rsidRPr="001974E6">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0D2EA672" w14:textId="77777777" w:rsidR="00B75A2A" w:rsidRPr="00977408" w:rsidRDefault="00B75A2A" w:rsidP="007D1493">
      <w:pPr>
        <w:spacing w:line="240" w:lineRule="auto"/>
        <w:ind w:left="0"/>
        <w:jc w:val="both"/>
        <w:rPr>
          <w:rFonts w:ascii="Arial" w:hAnsi="Arial" w:cs="Arial"/>
          <w:lang w:val="en-US"/>
        </w:rPr>
      </w:pPr>
    </w:p>
    <w:p w14:paraId="51B40A9A" w14:textId="77777777" w:rsidR="00E6650A" w:rsidRPr="00977408" w:rsidRDefault="00E6650A" w:rsidP="00E6650A">
      <w:pPr>
        <w:spacing w:line="240" w:lineRule="auto"/>
        <w:ind w:left="0" w:firstLine="0"/>
        <w:jc w:val="both"/>
        <w:rPr>
          <w:rFonts w:ascii="Arial" w:hAnsi="Arial" w:cs="Arial"/>
          <w:b/>
          <w:bCs/>
          <w:u w:val="single"/>
          <w:lang w:val="en-US"/>
        </w:rPr>
      </w:pPr>
    </w:p>
    <w:p w14:paraId="03078FB7" w14:textId="77777777" w:rsidR="00E6650A" w:rsidRPr="00FB4E70" w:rsidRDefault="00FB4E70" w:rsidP="00E6650A">
      <w:pPr>
        <w:spacing w:line="240" w:lineRule="auto"/>
        <w:ind w:left="0" w:firstLine="0"/>
        <w:jc w:val="both"/>
        <w:rPr>
          <w:rFonts w:ascii="Arial" w:hAnsi="Arial" w:cs="Arial"/>
          <w:b/>
          <w:bCs/>
          <w:lang w:val="en-US"/>
        </w:rPr>
      </w:pPr>
      <w:r>
        <w:rPr>
          <w:rFonts w:ascii="Arial" w:hAnsi="Arial" w:cs="Arial"/>
          <w:b/>
          <w:bCs/>
          <w:lang w:val="en-US"/>
        </w:rPr>
        <w:t>REFERENCES</w:t>
      </w:r>
    </w:p>
    <w:p w14:paraId="542103D2" w14:textId="77777777" w:rsidR="00572AA0" w:rsidRPr="00977408" w:rsidRDefault="00572AA0" w:rsidP="00572AA0">
      <w:pPr>
        <w:spacing w:line="240" w:lineRule="auto"/>
        <w:ind w:left="0" w:firstLine="0"/>
        <w:jc w:val="both"/>
        <w:rPr>
          <w:rFonts w:ascii="Arial" w:hAnsi="Arial" w:cs="Arial"/>
          <w:lang w:val="en-US"/>
        </w:rPr>
      </w:pPr>
    </w:p>
    <w:p w14:paraId="119C6CCE" w14:textId="77777777" w:rsidR="0085052F" w:rsidRPr="0085052F" w:rsidRDefault="0085052F" w:rsidP="0085052F">
      <w:pPr>
        <w:spacing w:line="240" w:lineRule="auto"/>
        <w:ind w:left="540" w:right="0" w:hanging="540"/>
        <w:jc w:val="both"/>
        <w:rPr>
          <w:rFonts w:ascii="Times New Roman" w:eastAsia="Times New Roman" w:hAnsi="Times New Roman" w:cs="Times New Roman"/>
          <w:kern w:val="0"/>
          <w:sz w:val="24"/>
          <w:szCs w:val="24"/>
          <w:lang w:val="en-US"/>
        </w:rPr>
      </w:pPr>
      <w:r w:rsidRPr="0085052F">
        <w:rPr>
          <w:rFonts w:ascii="Times New Roman" w:eastAsia="Times New Roman" w:hAnsi="Times New Roman" w:cs="Times New Roman"/>
          <w:kern w:val="0"/>
          <w:sz w:val="24"/>
          <w:szCs w:val="24"/>
          <w:lang w:val="en-US"/>
        </w:rPr>
        <w:t>Al-</w:t>
      </w:r>
      <w:proofErr w:type="spellStart"/>
      <w:r w:rsidRPr="0085052F">
        <w:rPr>
          <w:rFonts w:ascii="Times New Roman" w:eastAsia="Times New Roman" w:hAnsi="Times New Roman" w:cs="Times New Roman"/>
          <w:kern w:val="0"/>
          <w:sz w:val="24"/>
          <w:szCs w:val="24"/>
          <w:lang w:val="en-US"/>
        </w:rPr>
        <w:t>Arubay</w:t>
      </w:r>
      <w:proofErr w:type="spellEnd"/>
      <w:r w:rsidRPr="0085052F">
        <w:rPr>
          <w:rFonts w:ascii="Times New Roman" w:eastAsia="Times New Roman" w:hAnsi="Times New Roman" w:cs="Times New Roman"/>
          <w:kern w:val="0"/>
          <w:sz w:val="24"/>
          <w:szCs w:val="24"/>
          <w:lang w:val="en-US"/>
        </w:rPr>
        <w:t xml:space="preserve">, N. A. (2025). Histological and histochemical investigation of the Brunner glands in wild brown rats. </w:t>
      </w:r>
      <w:r w:rsidRPr="0085052F">
        <w:rPr>
          <w:rFonts w:ascii="Times New Roman" w:eastAsia="Times New Roman" w:hAnsi="Times New Roman" w:cs="Times New Roman"/>
          <w:i/>
          <w:iCs/>
          <w:kern w:val="0"/>
          <w:sz w:val="24"/>
          <w:szCs w:val="24"/>
          <w:lang w:val="en-US"/>
        </w:rPr>
        <w:t>Kerbala Journal of Veterinary Medical Sciences, 1</w:t>
      </w:r>
      <w:r w:rsidRPr="0085052F">
        <w:rPr>
          <w:rFonts w:ascii="Times New Roman" w:eastAsia="Times New Roman" w:hAnsi="Times New Roman" w:cs="Times New Roman"/>
          <w:kern w:val="0"/>
          <w:sz w:val="24"/>
          <w:szCs w:val="24"/>
          <w:lang w:val="en-US"/>
        </w:rPr>
        <w:t xml:space="preserve">(3), 70–73. </w:t>
      </w:r>
      <w:hyperlink r:id="rId22" w:history="1">
        <w:r w:rsidRPr="0085052F">
          <w:rPr>
            <w:rFonts w:ascii="Times New Roman" w:eastAsia="Times New Roman" w:hAnsi="Times New Roman" w:cs="Times New Roman"/>
            <w:color w:val="0000FF"/>
            <w:kern w:val="0"/>
            <w:sz w:val="24"/>
            <w:szCs w:val="24"/>
            <w:u w:val="single"/>
            <w:lang w:val="en-US"/>
          </w:rPr>
          <w:t>https://doi.org/10.65639/kjvm.25.108</w:t>
        </w:r>
      </w:hyperlink>
    </w:p>
    <w:p w14:paraId="3906D954" w14:textId="77777777" w:rsidR="0085052F" w:rsidRPr="0085052F" w:rsidRDefault="0085052F" w:rsidP="0085052F">
      <w:pPr>
        <w:spacing w:line="240" w:lineRule="auto"/>
        <w:ind w:left="540" w:right="0" w:hanging="540"/>
        <w:jc w:val="both"/>
        <w:rPr>
          <w:rFonts w:ascii="Times New Roman" w:eastAsia="Times New Roman" w:hAnsi="Times New Roman" w:cs="Times New Roman"/>
          <w:kern w:val="0"/>
          <w:sz w:val="24"/>
          <w:szCs w:val="24"/>
          <w:lang w:val="en-US"/>
        </w:rPr>
      </w:pPr>
      <w:r w:rsidRPr="0085052F">
        <w:rPr>
          <w:rFonts w:ascii="Times New Roman" w:eastAsia="Times New Roman" w:hAnsi="Times New Roman" w:cs="Times New Roman"/>
          <w:kern w:val="0"/>
          <w:sz w:val="24"/>
          <w:szCs w:val="24"/>
          <w:lang w:val="nl-BE"/>
        </w:rPr>
        <w:t xml:space="preserve">Al-Mansour, N. A., Jasim, Z. M., Al-Samawy, E. R., &amp; Jasim, H. J. (2020). </w:t>
      </w:r>
      <w:proofErr w:type="spellStart"/>
      <w:r w:rsidRPr="0085052F">
        <w:rPr>
          <w:rFonts w:ascii="Times New Roman" w:eastAsia="Times New Roman" w:hAnsi="Times New Roman" w:cs="Times New Roman"/>
          <w:kern w:val="0"/>
          <w:sz w:val="24"/>
          <w:szCs w:val="24"/>
          <w:lang w:val="en-US"/>
        </w:rPr>
        <w:t>Histomorphometric</w:t>
      </w:r>
      <w:proofErr w:type="spellEnd"/>
      <w:r w:rsidRPr="0085052F">
        <w:rPr>
          <w:rFonts w:ascii="Times New Roman" w:eastAsia="Times New Roman" w:hAnsi="Times New Roman" w:cs="Times New Roman"/>
          <w:kern w:val="0"/>
          <w:sz w:val="24"/>
          <w:szCs w:val="24"/>
          <w:lang w:val="en-US"/>
        </w:rPr>
        <w:t xml:space="preserve"> and histochemical comparison of the duodenum between goat (</w:t>
      </w:r>
      <w:r w:rsidRPr="0085052F">
        <w:rPr>
          <w:rFonts w:ascii="Times New Roman" w:eastAsia="Times New Roman" w:hAnsi="Times New Roman" w:cs="Times New Roman"/>
          <w:i/>
          <w:iCs/>
          <w:kern w:val="0"/>
          <w:sz w:val="24"/>
          <w:szCs w:val="24"/>
          <w:lang w:val="en-US"/>
        </w:rPr>
        <w:t xml:space="preserve">Capra </w:t>
      </w:r>
      <w:proofErr w:type="spellStart"/>
      <w:r w:rsidRPr="0085052F">
        <w:rPr>
          <w:rFonts w:ascii="Times New Roman" w:eastAsia="Times New Roman" w:hAnsi="Times New Roman" w:cs="Times New Roman"/>
          <w:i/>
          <w:iCs/>
          <w:kern w:val="0"/>
          <w:sz w:val="24"/>
          <w:szCs w:val="24"/>
          <w:lang w:val="en-US"/>
        </w:rPr>
        <w:t>hircus</w:t>
      </w:r>
      <w:proofErr w:type="spellEnd"/>
      <w:r w:rsidRPr="0085052F">
        <w:rPr>
          <w:rFonts w:ascii="Times New Roman" w:eastAsia="Times New Roman" w:hAnsi="Times New Roman" w:cs="Times New Roman"/>
          <w:kern w:val="0"/>
          <w:sz w:val="24"/>
          <w:szCs w:val="24"/>
          <w:lang w:val="en-US"/>
        </w:rPr>
        <w:t>) and gazelle (</w:t>
      </w:r>
      <w:r w:rsidRPr="0085052F">
        <w:rPr>
          <w:rFonts w:ascii="Times New Roman" w:eastAsia="Times New Roman" w:hAnsi="Times New Roman" w:cs="Times New Roman"/>
          <w:i/>
          <w:iCs/>
          <w:kern w:val="0"/>
          <w:sz w:val="24"/>
          <w:szCs w:val="24"/>
          <w:lang w:val="en-US"/>
        </w:rPr>
        <w:t xml:space="preserve">Gazella </w:t>
      </w:r>
      <w:proofErr w:type="spellStart"/>
      <w:r w:rsidRPr="0085052F">
        <w:rPr>
          <w:rFonts w:ascii="Times New Roman" w:eastAsia="Times New Roman" w:hAnsi="Times New Roman" w:cs="Times New Roman"/>
          <w:i/>
          <w:iCs/>
          <w:kern w:val="0"/>
          <w:sz w:val="24"/>
          <w:szCs w:val="24"/>
          <w:lang w:val="en-US"/>
        </w:rPr>
        <w:t>subgutturosa</w:t>
      </w:r>
      <w:proofErr w:type="spellEnd"/>
      <w:r w:rsidRPr="0085052F">
        <w:rPr>
          <w:rFonts w:ascii="Times New Roman" w:eastAsia="Times New Roman" w:hAnsi="Times New Roman" w:cs="Times New Roman"/>
          <w:kern w:val="0"/>
          <w:sz w:val="24"/>
          <w:szCs w:val="24"/>
          <w:lang w:val="en-US"/>
        </w:rPr>
        <w:t xml:space="preserve">). </w:t>
      </w:r>
      <w:r w:rsidRPr="0085052F">
        <w:rPr>
          <w:rFonts w:ascii="Times New Roman" w:eastAsia="Times New Roman" w:hAnsi="Times New Roman" w:cs="Times New Roman"/>
          <w:i/>
          <w:iCs/>
          <w:kern w:val="0"/>
          <w:sz w:val="24"/>
          <w:szCs w:val="24"/>
          <w:lang w:val="en-US"/>
        </w:rPr>
        <w:t>Plant Archives, 20</w:t>
      </w:r>
      <w:r w:rsidRPr="0085052F">
        <w:rPr>
          <w:rFonts w:ascii="Times New Roman" w:eastAsia="Times New Roman" w:hAnsi="Times New Roman" w:cs="Times New Roman"/>
          <w:kern w:val="0"/>
          <w:sz w:val="24"/>
          <w:szCs w:val="24"/>
          <w:lang w:val="en-US"/>
        </w:rPr>
        <w:t xml:space="preserve">(Suppl. 1), 852–856. </w:t>
      </w:r>
    </w:p>
    <w:p w14:paraId="56CC31B9" w14:textId="77777777" w:rsidR="0085052F" w:rsidRPr="0085052F" w:rsidRDefault="0085052F" w:rsidP="0085052F">
      <w:pPr>
        <w:spacing w:line="240" w:lineRule="auto"/>
        <w:ind w:left="540" w:right="0" w:hanging="540"/>
        <w:jc w:val="both"/>
        <w:rPr>
          <w:rFonts w:ascii="Times New Roman" w:eastAsia="Times New Roman" w:hAnsi="Times New Roman" w:cs="Times New Roman"/>
          <w:kern w:val="0"/>
          <w:sz w:val="24"/>
          <w:szCs w:val="24"/>
          <w:lang w:val="en-US"/>
        </w:rPr>
      </w:pPr>
      <w:r w:rsidRPr="0085052F">
        <w:rPr>
          <w:rFonts w:ascii="Times New Roman" w:eastAsia="Times New Roman" w:hAnsi="Times New Roman" w:cs="Times New Roman"/>
          <w:kern w:val="0"/>
          <w:sz w:val="24"/>
          <w:szCs w:val="24"/>
          <w:lang w:val="nl-BE"/>
        </w:rPr>
        <w:t xml:space="preserve">Al-Saffar, F. J., &amp; Al-Zuhairy, M. F. (2016). </w:t>
      </w:r>
      <w:r w:rsidRPr="0085052F">
        <w:rPr>
          <w:rFonts w:ascii="Times New Roman" w:eastAsia="Times New Roman" w:hAnsi="Times New Roman" w:cs="Times New Roman"/>
          <w:kern w:val="0"/>
          <w:sz w:val="24"/>
          <w:szCs w:val="24"/>
          <w:lang w:val="en-US"/>
        </w:rPr>
        <w:t xml:space="preserve">Postnatal developmental </w:t>
      </w:r>
      <w:proofErr w:type="spellStart"/>
      <w:r w:rsidRPr="0085052F">
        <w:rPr>
          <w:rFonts w:ascii="Times New Roman" w:eastAsia="Times New Roman" w:hAnsi="Times New Roman" w:cs="Times New Roman"/>
          <w:kern w:val="0"/>
          <w:sz w:val="24"/>
          <w:szCs w:val="24"/>
          <w:lang w:val="en-US"/>
        </w:rPr>
        <w:t>histomorphological</w:t>
      </w:r>
      <w:proofErr w:type="spellEnd"/>
      <w:r w:rsidRPr="0085052F">
        <w:rPr>
          <w:rFonts w:ascii="Times New Roman" w:eastAsia="Times New Roman" w:hAnsi="Times New Roman" w:cs="Times New Roman"/>
          <w:kern w:val="0"/>
          <w:sz w:val="24"/>
          <w:szCs w:val="24"/>
          <w:lang w:val="en-US"/>
        </w:rPr>
        <w:t xml:space="preserve"> and histochemical study of the duodenum in the domestic cat (</w:t>
      </w:r>
      <w:r w:rsidRPr="0085052F">
        <w:rPr>
          <w:rFonts w:ascii="Times New Roman" w:eastAsia="Times New Roman" w:hAnsi="Times New Roman" w:cs="Times New Roman"/>
          <w:i/>
          <w:iCs/>
          <w:kern w:val="0"/>
          <w:sz w:val="24"/>
          <w:szCs w:val="24"/>
          <w:lang w:val="en-US"/>
        </w:rPr>
        <w:t>Felis catus</w:t>
      </w:r>
      <w:r w:rsidRPr="0085052F">
        <w:rPr>
          <w:rFonts w:ascii="Times New Roman" w:eastAsia="Times New Roman" w:hAnsi="Times New Roman" w:cs="Times New Roman"/>
          <w:kern w:val="0"/>
          <w:sz w:val="24"/>
          <w:szCs w:val="24"/>
          <w:lang w:val="en-US"/>
        </w:rPr>
        <w:t xml:space="preserve">). </w:t>
      </w:r>
      <w:r w:rsidRPr="0085052F">
        <w:rPr>
          <w:rFonts w:ascii="Times New Roman" w:eastAsia="Times New Roman" w:hAnsi="Times New Roman" w:cs="Times New Roman"/>
          <w:i/>
          <w:iCs/>
          <w:kern w:val="0"/>
          <w:sz w:val="24"/>
          <w:szCs w:val="24"/>
          <w:lang w:val="en-US"/>
        </w:rPr>
        <w:t>International Journal of Current Research, 8</w:t>
      </w:r>
      <w:r w:rsidRPr="0085052F">
        <w:rPr>
          <w:rFonts w:ascii="Times New Roman" w:eastAsia="Times New Roman" w:hAnsi="Times New Roman" w:cs="Times New Roman"/>
          <w:kern w:val="0"/>
          <w:sz w:val="24"/>
          <w:szCs w:val="24"/>
          <w:lang w:val="en-US"/>
        </w:rPr>
        <w:t xml:space="preserve">(12), 43681–43690. </w:t>
      </w:r>
    </w:p>
    <w:p w14:paraId="729C679C" w14:textId="77777777" w:rsidR="0085052F" w:rsidRPr="0085052F" w:rsidRDefault="0085052F" w:rsidP="0085052F">
      <w:pPr>
        <w:spacing w:line="240" w:lineRule="auto"/>
        <w:ind w:left="540" w:right="0" w:hanging="540"/>
        <w:jc w:val="both"/>
        <w:rPr>
          <w:rFonts w:ascii="Times New Roman" w:eastAsia="Times New Roman" w:hAnsi="Times New Roman" w:cs="Times New Roman"/>
          <w:kern w:val="0"/>
          <w:sz w:val="24"/>
          <w:szCs w:val="24"/>
          <w:lang w:val="en-US"/>
        </w:rPr>
      </w:pPr>
      <w:r w:rsidRPr="0085052F">
        <w:rPr>
          <w:rFonts w:ascii="Times New Roman" w:eastAsia="Times New Roman" w:hAnsi="Times New Roman" w:cs="Times New Roman"/>
          <w:kern w:val="0"/>
          <w:sz w:val="24"/>
          <w:szCs w:val="24"/>
          <w:lang w:val="en-US"/>
        </w:rPr>
        <w:t xml:space="preserve">Bansal, N., Khatra, G. S., &amp; Singh, J. (1993). Histomorphology and micrometry of tunica submucosa, Brunner’s glands and Peyer’s patches of buffalo small intestine. </w:t>
      </w:r>
      <w:r w:rsidRPr="0085052F">
        <w:rPr>
          <w:rFonts w:ascii="Times New Roman" w:eastAsia="Times New Roman" w:hAnsi="Times New Roman" w:cs="Times New Roman"/>
          <w:i/>
          <w:iCs/>
          <w:kern w:val="0"/>
          <w:sz w:val="24"/>
          <w:szCs w:val="24"/>
          <w:lang w:val="en-US"/>
        </w:rPr>
        <w:t>Indian Journal of Veterinary Anatomy, 5</w:t>
      </w:r>
      <w:r w:rsidRPr="0085052F">
        <w:rPr>
          <w:rFonts w:ascii="Times New Roman" w:eastAsia="Times New Roman" w:hAnsi="Times New Roman" w:cs="Times New Roman"/>
          <w:kern w:val="0"/>
          <w:sz w:val="24"/>
          <w:szCs w:val="24"/>
          <w:lang w:val="en-US"/>
        </w:rPr>
        <w:t xml:space="preserve">, 28–31. </w:t>
      </w:r>
    </w:p>
    <w:p w14:paraId="753FD0F7" w14:textId="77777777" w:rsidR="0085052F" w:rsidRPr="0085052F" w:rsidRDefault="0085052F" w:rsidP="0085052F">
      <w:pPr>
        <w:spacing w:line="240" w:lineRule="auto"/>
        <w:ind w:left="540" w:right="0" w:hanging="540"/>
        <w:jc w:val="both"/>
        <w:rPr>
          <w:rFonts w:ascii="Times New Roman" w:eastAsia="Times New Roman" w:hAnsi="Times New Roman" w:cs="Times New Roman"/>
          <w:kern w:val="0"/>
          <w:sz w:val="24"/>
          <w:szCs w:val="24"/>
          <w:lang w:val="en-US"/>
        </w:rPr>
      </w:pPr>
      <w:proofErr w:type="spellStart"/>
      <w:r w:rsidRPr="0085052F">
        <w:rPr>
          <w:rFonts w:ascii="Times New Roman" w:eastAsia="Times New Roman" w:hAnsi="Times New Roman" w:cs="Times New Roman"/>
          <w:kern w:val="0"/>
          <w:sz w:val="24"/>
          <w:szCs w:val="24"/>
          <w:lang w:val="en-US"/>
        </w:rPr>
        <w:lastRenderedPageBreak/>
        <w:t>Barnwal</w:t>
      </w:r>
      <w:proofErr w:type="spellEnd"/>
      <w:r w:rsidRPr="0085052F">
        <w:rPr>
          <w:rFonts w:ascii="Times New Roman" w:eastAsia="Times New Roman" w:hAnsi="Times New Roman" w:cs="Times New Roman"/>
          <w:kern w:val="0"/>
          <w:sz w:val="24"/>
          <w:szCs w:val="24"/>
          <w:lang w:val="en-US"/>
        </w:rPr>
        <w:t>, A. K., &amp; Yadava, R. C. P. (1975). Studies on the histological structures of the small intestine of Indian buffaloes (</w:t>
      </w:r>
      <w:r w:rsidRPr="0085052F">
        <w:rPr>
          <w:rFonts w:ascii="Times New Roman" w:eastAsia="Times New Roman" w:hAnsi="Times New Roman" w:cs="Times New Roman"/>
          <w:i/>
          <w:iCs/>
          <w:kern w:val="0"/>
          <w:sz w:val="24"/>
          <w:szCs w:val="24"/>
          <w:lang w:val="en-US"/>
        </w:rPr>
        <w:t>Bubalus bubalis</w:t>
      </w:r>
      <w:r w:rsidRPr="0085052F">
        <w:rPr>
          <w:rFonts w:ascii="Times New Roman" w:eastAsia="Times New Roman" w:hAnsi="Times New Roman" w:cs="Times New Roman"/>
          <w:kern w:val="0"/>
          <w:sz w:val="24"/>
          <w:szCs w:val="24"/>
          <w:lang w:val="en-US"/>
        </w:rPr>
        <w:t xml:space="preserve">). </w:t>
      </w:r>
      <w:r w:rsidRPr="0085052F">
        <w:rPr>
          <w:rFonts w:ascii="Times New Roman" w:eastAsia="Times New Roman" w:hAnsi="Times New Roman" w:cs="Times New Roman"/>
          <w:i/>
          <w:iCs/>
          <w:kern w:val="0"/>
          <w:sz w:val="24"/>
          <w:szCs w:val="24"/>
          <w:lang w:val="en-US"/>
        </w:rPr>
        <w:t>Indian Journal of Animal Health, 14</w:t>
      </w:r>
      <w:r w:rsidRPr="0085052F">
        <w:rPr>
          <w:rFonts w:ascii="Times New Roman" w:eastAsia="Times New Roman" w:hAnsi="Times New Roman" w:cs="Times New Roman"/>
          <w:kern w:val="0"/>
          <w:sz w:val="24"/>
          <w:szCs w:val="24"/>
          <w:lang w:val="en-US"/>
        </w:rPr>
        <w:t xml:space="preserve">(1), 19–23. </w:t>
      </w:r>
    </w:p>
    <w:p w14:paraId="2C409954" w14:textId="77777777" w:rsidR="0085052F" w:rsidRPr="0085052F" w:rsidRDefault="0085052F" w:rsidP="0085052F">
      <w:pPr>
        <w:spacing w:line="240" w:lineRule="auto"/>
        <w:ind w:left="540" w:right="0" w:hanging="540"/>
        <w:jc w:val="both"/>
        <w:rPr>
          <w:rFonts w:ascii="Times New Roman" w:eastAsia="Times New Roman" w:hAnsi="Times New Roman" w:cs="Times New Roman"/>
          <w:kern w:val="0"/>
          <w:sz w:val="24"/>
          <w:szCs w:val="24"/>
          <w:lang w:val="en-US"/>
        </w:rPr>
      </w:pPr>
      <w:r w:rsidRPr="0085052F">
        <w:rPr>
          <w:rFonts w:ascii="Times New Roman" w:eastAsia="Times New Roman" w:hAnsi="Times New Roman" w:cs="Times New Roman"/>
          <w:kern w:val="0"/>
          <w:sz w:val="24"/>
          <w:szCs w:val="24"/>
          <w:lang w:val="en-US"/>
        </w:rPr>
        <w:t xml:space="preserve">Barszcz, M., &amp; </w:t>
      </w:r>
      <w:proofErr w:type="spellStart"/>
      <w:r w:rsidRPr="0085052F">
        <w:rPr>
          <w:rFonts w:ascii="Times New Roman" w:eastAsia="Times New Roman" w:hAnsi="Times New Roman" w:cs="Times New Roman"/>
          <w:kern w:val="0"/>
          <w:sz w:val="24"/>
          <w:szCs w:val="24"/>
          <w:lang w:val="en-US"/>
        </w:rPr>
        <w:t>Skomiał</w:t>
      </w:r>
      <w:proofErr w:type="spellEnd"/>
      <w:r w:rsidRPr="0085052F">
        <w:rPr>
          <w:rFonts w:ascii="Times New Roman" w:eastAsia="Times New Roman" w:hAnsi="Times New Roman" w:cs="Times New Roman"/>
          <w:kern w:val="0"/>
          <w:sz w:val="24"/>
          <w:szCs w:val="24"/>
          <w:lang w:val="en-US"/>
        </w:rPr>
        <w:t xml:space="preserve">, J. (2011). The development of the small intestine of piglets: Chosen aspects. </w:t>
      </w:r>
      <w:r w:rsidRPr="0085052F">
        <w:rPr>
          <w:rFonts w:ascii="Times New Roman" w:eastAsia="Times New Roman" w:hAnsi="Times New Roman" w:cs="Times New Roman"/>
          <w:i/>
          <w:iCs/>
          <w:kern w:val="0"/>
          <w:sz w:val="24"/>
          <w:szCs w:val="24"/>
          <w:lang w:val="en-US"/>
        </w:rPr>
        <w:t>Journal of Animal and Feed Sciences, 20</w:t>
      </w:r>
      <w:r w:rsidRPr="0085052F">
        <w:rPr>
          <w:rFonts w:ascii="Times New Roman" w:eastAsia="Times New Roman" w:hAnsi="Times New Roman" w:cs="Times New Roman"/>
          <w:kern w:val="0"/>
          <w:sz w:val="24"/>
          <w:szCs w:val="24"/>
          <w:lang w:val="en-US"/>
        </w:rPr>
        <w:t xml:space="preserve">(1), 3–15. </w:t>
      </w:r>
      <w:hyperlink r:id="rId23" w:history="1">
        <w:r w:rsidRPr="0085052F">
          <w:rPr>
            <w:rFonts w:ascii="Times New Roman" w:eastAsia="Times New Roman" w:hAnsi="Times New Roman" w:cs="Times New Roman"/>
            <w:color w:val="0000FF"/>
            <w:kern w:val="0"/>
            <w:sz w:val="24"/>
            <w:szCs w:val="24"/>
            <w:u w:val="single"/>
            <w:lang w:val="en-US"/>
          </w:rPr>
          <w:t>https://doi.org/10.22358/jafs/66152/2011</w:t>
        </w:r>
      </w:hyperlink>
    </w:p>
    <w:p w14:paraId="45470042" w14:textId="77777777" w:rsidR="00640346" w:rsidRDefault="00000000">
      <w:pPr>
        <w:spacing w:line="240" w:lineRule="auto"/>
        <w:ind w:left="540" w:right="0" w:hanging="540"/>
        <w:jc w:val="both"/>
      </w:pPr>
      <w:r>
        <w:rPr>
          <w:rFonts w:ascii="Times New Roman" w:hAnsi="Times New Roman"/>
          <w:b/>
          <w:sz w:val="24"/>
          <w:highlight w:val="yellow"/>
        </w:rPr>
        <w:t xml:space="preserve">Becker, C. B., Hansen, M. S., Nielsen, S. S., &amp; Jensen, H. E. (2025). Machine-learning for quantitative histopathology of piglet intestinal tissues: Challenges with limited training data. </w:t>
      </w:r>
      <w:r>
        <w:rPr>
          <w:rFonts w:ascii="Times New Roman" w:hAnsi="Times New Roman"/>
          <w:b/>
          <w:i/>
          <w:sz w:val="24"/>
          <w:highlight w:val="yellow"/>
        </w:rPr>
        <w:t>Frontiers in Veterinary Science, 12</w:t>
      </w:r>
      <w:r>
        <w:rPr>
          <w:rFonts w:ascii="Times New Roman" w:hAnsi="Times New Roman"/>
          <w:b/>
          <w:sz w:val="24"/>
          <w:highlight w:val="yellow"/>
        </w:rPr>
        <w:t>, 1620338. https://doi.org/10.3389/fvets.2025.1620338</w:t>
      </w:r>
    </w:p>
    <w:p w14:paraId="4FE1CE86" w14:textId="77777777" w:rsidR="0085052F" w:rsidRPr="0085052F" w:rsidRDefault="0085052F" w:rsidP="0085052F">
      <w:pPr>
        <w:spacing w:line="240" w:lineRule="auto"/>
        <w:ind w:left="540" w:right="0" w:hanging="540"/>
        <w:jc w:val="both"/>
        <w:rPr>
          <w:rFonts w:ascii="Times New Roman" w:eastAsia="Times New Roman" w:hAnsi="Times New Roman" w:cs="Times New Roman"/>
          <w:kern w:val="0"/>
          <w:sz w:val="24"/>
          <w:szCs w:val="24"/>
          <w:lang w:val="en-US"/>
        </w:rPr>
      </w:pPr>
      <w:r w:rsidRPr="0085052F">
        <w:rPr>
          <w:rFonts w:ascii="Times New Roman" w:eastAsia="Times New Roman" w:hAnsi="Times New Roman" w:cs="Times New Roman"/>
          <w:kern w:val="0"/>
          <w:sz w:val="24"/>
          <w:szCs w:val="24"/>
          <w:lang w:val="en-US"/>
        </w:rPr>
        <w:t xml:space="preserve">Clarke, R. M., &amp; Hardy, R. N. (1971). Histological changes in the small intestine of the young pig and their relation to macromolecular uptake. </w:t>
      </w:r>
      <w:r w:rsidRPr="0085052F">
        <w:rPr>
          <w:rFonts w:ascii="Times New Roman" w:eastAsia="Times New Roman" w:hAnsi="Times New Roman" w:cs="Times New Roman"/>
          <w:i/>
          <w:iCs/>
          <w:kern w:val="0"/>
          <w:sz w:val="24"/>
          <w:szCs w:val="24"/>
          <w:lang w:val="en-US"/>
        </w:rPr>
        <w:t>Journal of Anatomy, 108</w:t>
      </w:r>
      <w:r w:rsidRPr="0085052F">
        <w:rPr>
          <w:rFonts w:ascii="Times New Roman" w:eastAsia="Times New Roman" w:hAnsi="Times New Roman" w:cs="Times New Roman"/>
          <w:kern w:val="0"/>
          <w:sz w:val="24"/>
          <w:szCs w:val="24"/>
          <w:lang w:val="en-US"/>
        </w:rPr>
        <w:t xml:space="preserve">(Pt. 1), 63–77. </w:t>
      </w:r>
      <w:hyperlink r:id="rId24" w:history="1">
        <w:r w:rsidRPr="0085052F">
          <w:rPr>
            <w:rFonts w:ascii="Times New Roman" w:eastAsia="Times New Roman" w:hAnsi="Times New Roman" w:cs="Times New Roman"/>
            <w:color w:val="0000FF"/>
            <w:kern w:val="0"/>
            <w:sz w:val="24"/>
            <w:szCs w:val="24"/>
            <w:u w:val="single"/>
            <w:lang w:val="en-US"/>
          </w:rPr>
          <w:t>PubMed record</w:t>
        </w:r>
      </w:hyperlink>
    </w:p>
    <w:p w14:paraId="24BCCFC3" w14:textId="77777777" w:rsidR="0085052F" w:rsidRPr="0085052F" w:rsidRDefault="0085052F" w:rsidP="0085052F">
      <w:pPr>
        <w:spacing w:line="240" w:lineRule="auto"/>
        <w:ind w:left="540" w:right="0" w:hanging="540"/>
        <w:jc w:val="both"/>
        <w:rPr>
          <w:rFonts w:ascii="Times New Roman" w:eastAsia="Times New Roman" w:hAnsi="Times New Roman" w:cs="Times New Roman"/>
          <w:kern w:val="0"/>
          <w:sz w:val="24"/>
          <w:szCs w:val="24"/>
          <w:lang w:val="en-US"/>
        </w:rPr>
      </w:pPr>
      <w:r w:rsidRPr="0085052F">
        <w:rPr>
          <w:rFonts w:ascii="Times New Roman" w:eastAsia="Times New Roman" w:hAnsi="Times New Roman" w:cs="Times New Roman"/>
          <w:kern w:val="0"/>
          <w:sz w:val="24"/>
          <w:szCs w:val="24"/>
          <w:lang w:val="nl-BE"/>
        </w:rPr>
        <w:t xml:space="preserve">Cui, C., Li, L., Wu, L., Wang, X., Zheng, Y., Wang, F., Wei, H., &amp; Peng, J. (2023). </w:t>
      </w:r>
      <w:r w:rsidRPr="0085052F">
        <w:rPr>
          <w:rFonts w:ascii="Times New Roman" w:eastAsia="Times New Roman" w:hAnsi="Times New Roman" w:cs="Times New Roman"/>
          <w:kern w:val="0"/>
          <w:sz w:val="24"/>
          <w:szCs w:val="24"/>
          <w:lang w:val="en-US"/>
        </w:rPr>
        <w:t xml:space="preserve">Paneth cells in farm animals: Current status and future direction. </w:t>
      </w:r>
      <w:r w:rsidRPr="0085052F">
        <w:rPr>
          <w:rFonts w:ascii="Times New Roman" w:eastAsia="Times New Roman" w:hAnsi="Times New Roman" w:cs="Times New Roman"/>
          <w:i/>
          <w:iCs/>
          <w:kern w:val="0"/>
          <w:sz w:val="24"/>
          <w:szCs w:val="24"/>
          <w:lang w:val="en-US"/>
        </w:rPr>
        <w:t>Journal of Animal Science and Biotechnology, 14</w:t>
      </w:r>
      <w:r w:rsidRPr="0085052F">
        <w:rPr>
          <w:rFonts w:ascii="Times New Roman" w:eastAsia="Times New Roman" w:hAnsi="Times New Roman" w:cs="Times New Roman"/>
          <w:kern w:val="0"/>
          <w:sz w:val="24"/>
          <w:szCs w:val="24"/>
          <w:lang w:val="en-US"/>
        </w:rPr>
        <w:t xml:space="preserve">, 118. </w:t>
      </w:r>
      <w:hyperlink r:id="rId25" w:history="1">
        <w:r w:rsidRPr="0085052F">
          <w:rPr>
            <w:rFonts w:ascii="Times New Roman" w:eastAsia="Times New Roman" w:hAnsi="Times New Roman" w:cs="Times New Roman"/>
            <w:color w:val="0000FF"/>
            <w:kern w:val="0"/>
            <w:sz w:val="24"/>
            <w:szCs w:val="24"/>
            <w:u w:val="single"/>
            <w:lang w:val="en-US"/>
          </w:rPr>
          <w:t>https://doi.org/10.1186/s40104-023-00905-5</w:t>
        </w:r>
      </w:hyperlink>
    </w:p>
    <w:p w14:paraId="7A7B2096" w14:textId="77777777" w:rsidR="00640346" w:rsidRDefault="00000000">
      <w:pPr>
        <w:spacing w:line="240" w:lineRule="auto"/>
        <w:ind w:left="540" w:right="0" w:hanging="540"/>
        <w:jc w:val="both"/>
      </w:pPr>
      <w:r>
        <w:rPr>
          <w:rFonts w:ascii="Times New Roman" w:hAnsi="Times New Roman"/>
          <w:b/>
          <w:sz w:val="24"/>
          <w:highlight w:val="yellow"/>
        </w:rPr>
        <w:t xml:space="preserve">Cui, X., Liu, R., Wu, Y., Chen, Y., Gao, Q., Zhou, J., Cao, Y., Yang, J., &amp; Yang, Q. (2026). Dynamic distribution of Paneth cells in pig intestine under normal and infection conditions. </w:t>
      </w:r>
      <w:r>
        <w:rPr>
          <w:rFonts w:ascii="Times New Roman" w:hAnsi="Times New Roman"/>
          <w:b/>
          <w:i/>
          <w:sz w:val="24"/>
          <w:highlight w:val="yellow"/>
        </w:rPr>
        <w:t>BMC Veterinary Research, 22</w:t>
      </w:r>
      <w:r>
        <w:rPr>
          <w:rFonts w:ascii="Times New Roman" w:hAnsi="Times New Roman"/>
          <w:b/>
          <w:sz w:val="24"/>
          <w:highlight w:val="yellow"/>
        </w:rPr>
        <w:t>, 374. https://doi.org/10.1186/s12917-026-05470-3</w:t>
      </w:r>
    </w:p>
    <w:p w14:paraId="609E15E6" w14:textId="77777777" w:rsidR="0085052F" w:rsidRPr="0085052F" w:rsidRDefault="0085052F" w:rsidP="0085052F">
      <w:pPr>
        <w:spacing w:line="240" w:lineRule="auto"/>
        <w:ind w:left="540" w:right="0" w:hanging="540"/>
        <w:jc w:val="both"/>
        <w:rPr>
          <w:rFonts w:ascii="Times New Roman" w:eastAsia="Times New Roman" w:hAnsi="Times New Roman" w:cs="Times New Roman"/>
          <w:kern w:val="0"/>
          <w:sz w:val="24"/>
          <w:szCs w:val="24"/>
          <w:lang w:val="en-US"/>
        </w:rPr>
      </w:pPr>
      <w:r w:rsidRPr="0085052F">
        <w:rPr>
          <w:rFonts w:ascii="Times New Roman" w:eastAsia="Times New Roman" w:hAnsi="Times New Roman" w:cs="Times New Roman"/>
          <w:kern w:val="0"/>
          <w:sz w:val="24"/>
          <w:szCs w:val="24"/>
          <w:lang w:val="en-US"/>
        </w:rPr>
        <w:t xml:space="preserve">Eurell, J. A., &amp; Frappier, B. L. (Eds.). (2006). </w:t>
      </w:r>
      <w:proofErr w:type="spellStart"/>
      <w:r w:rsidRPr="0085052F">
        <w:rPr>
          <w:rFonts w:ascii="Times New Roman" w:eastAsia="Times New Roman" w:hAnsi="Times New Roman" w:cs="Times New Roman"/>
          <w:i/>
          <w:iCs/>
          <w:kern w:val="0"/>
          <w:sz w:val="24"/>
          <w:szCs w:val="24"/>
          <w:lang w:val="en-US"/>
        </w:rPr>
        <w:t>Dellmann’s</w:t>
      </w:r>
      <w:proofErr w:type="spellEnd"/>
      <w:r w:rsidRPr="0085052F">
        <w:rPr>
          <w:rFonts w:ascii="Times New Roman" w:eastAsia="Times New Roman" w:hAnsi="Times New Roman" w:cs="Times New Roman"/>
          <w:i/>
          <w:iCs/>
          <w:kern w:val="0"/>
          <w:sz w:val="24"/>
          <w:szCs w:val="24"/>
          <w:lang w:val="en-US"/>
        </w:rPr>
        <w:t xml:space="preserve"> textbook of veterinary histology</w:t>
      </w:r>
      <w:r w:rsidRPr="0085052F">
        <w:rPr>
          <w:rFonts w:ascii="Times New Roman" w:eastAsia="Times New Roman" w:hAnsi="Times New Roman" w:cs="Times New Roman"/>
          <w:kern w:val="0"/>
          <w:sz w:val="24"/>
          <w:szCs w:val="24"/>
          <w:lang w:val="en-US"/>
        </w:rPr>
        <w:t xml:space="preserve"> (6th ed.). Blackwell Publishing. </w:t>
      </w:r>
    </w:p>
    <w:p w14:paraId="2BBAF8B0" w14:textId="77777777" w:rsidR="0085052F" w:rsidRPr="0085052F" w:rsidRDefault="0085052F" w:rsidP="0085052F">
      <w:pPr>
        <w:spacing w:line="240" w:lineRule="auto"/>
        <w:ind w:left="540" w:right="0" w:hanging="540"/>
        <w:jc w:val="both"/>
        <w:rPr>
          <w:rFonts w:ascii="Times New Roman" w:eastAsia="Times New Roman" w:hAnsi="Times New Roman" w:cs="Times New Roman"/>
          <w:kern w:val="0"/>
          <w:sz w:val="24"/>
          <w:szCs w:val="24"/>
          <w:lang w:val="en-US"/>
        </w:rPr>
      </w:pPr>
      <w:r w:rsidRPr="0085052F">
        <w:rPr>
          <w:rFonts w:ascii="Times New Roman" w:eastAsia="Times New Roman" w:hAnsi="Times New Roman" w:cs="Times New Roman"/>
          <w:kern w:val="0"/>
          <w:sz w:val="24"/>
          <w:szCs w:val="24"/>
          <w:lang w:val="en-US"/>
        </w:rPr>
        <w:t xml:space="preserve">Deswal, N., &amp; Gahlot, P. K. (2024). Histmorphological and histochemical characterization of duodenum of pig. </w:t>
      </w:r>
      <w:r w:rsidRPr="0085052F">
        <w:rPr>
          <w:rFonts w:ascii="Times New Roman" w:eastAsia="Times New Roman" w:hAnsi="Times New Roman" w:cs="Times New Roman"/>
          <w:i/>
          <w:iCs/>
          <w:kern w:val="0"/>
          <w:sz w:val="24"/>
          <w:szCs w:val="24"/>
          <w:lang w:val="en-US"/>
        </w:rPr>
        <w:t>The Haryana Veterinarian, 63</w:t>
      </w:r>
      <w:r w:rsidRPr="0085052F">
        <w:rPr>
          <w:rFonts w:ascii="Times New Roman" w:eastAsia="Times New Roman" w:hAnsi="Times New Roman" w:cs="Times New Roman"/>
          <w:kern w:val="0"/>
          <w:sz w:val="24"/>
          <w:szCs w:val="24"/>
          <w:lang w:val="en-US"/>
        </w:rPr>
        <w:t xml:space="preserve">(Special Issue), 32–35. </w:t>
      </w:r>
    </w:p>
    <w:p w14:paraId="3EE35380" w14:textId="77777777" w:rsidR="0085052F" w:rsidRPr="0085052F" w:rsidRDefault="0085052F" w:rsidP="0085052F">
      <w:pPr>
        <w:spacing w:line="240" w:lineRule="auto"/>
        <w:ind w:left="540" w:right="0" w:hanging="540"/>
        <w:jc w:val="both"/>
        <w:rPr>
          <w:rFonts w:ascii="Times New Roman" w:eastAsia="Times New Roman" w:hAnsi="Times New Roman" w:cs="Times New Roman"/>
          <w:kern w:val="0"/>
          <w:sz w:val="24"/>
          <w:szCs w:val="24"/>
          <w:lang w:val="en-US"/>
        </w:rPr>
      </w:pPr>
      <w:r w:rsidRPr="0085052F">
        <w:rPr>
          <w:rFonts w:ascii="Times New Roman" w:eastAsia="Times New Roman" w:hAnsi="Times New Roman" w:cs="Times New Roman"/>
          <w:kern w:val="0"/>
          <w:sz w:val="24"/>
          <w:szCs w:val="24"/>
          <w:lang w:val="nl-BE"/>
        </w:rPr>
        <w:t xml:space="preserve">Dong, L., Zhong, X., Ahmad, H., Li, W., Wang, Y., Zhang, L., &amp; Wang, T. (2014). </w:t>
      </w:r>
      <w:r w:rsidRPr="0085052F">
        <w:rPr>
          <w:rFonts w:ascii="Times New Roman" w:eastAsia="Times New Roman" w:hAnsi="Times New Roman" w:cs="Times New Roman"/>
          <w:kern w:val="0"/>
          <w:sz w:val="24"/>
          <w:szCs w:val="24"/>
          <w:lang w:val="en-US"/>
        </w:rPr>
        <w:t xml:space="preserve">Intrauterine growth restriction impairs small intestinal mucosal immunity in neonatal piglets. </w:t>
      </w:r>
      <w:r w:rsidRPr="0085052F">
        <w:rPr>
          <w:rFonts w:ascii="Times New Roman" w:eastAsia="Times New Roman" w:hAnsi="Times New Roman" w:cs="Times New Roman"/>
          <w:i/>
          <w:iCs/>
          <w:kern w:val="0"/>
          <w:sz w:val="24"/>
          <w:szCs w:val="24"/>
          <w:lang w:val="en-US"/>
        </w:rPr>
        <w:t>Journal of Histochemistry &amp; Cytochemistry, 62</w:t>
      </w:r>
      <w:r w:rsidRPr="0085052F">
        <w:rPr>
          <w:rFonts w:ascii="Times New Roman" w:eastAsia="Times New Roman" w:hAnsi="Times New Roman" w:cs="Times New Roman"/>
          <w:kern w:val="0"/>
          <w:sz w:val="24"/>
          <w:szCs w:val="24"/>
          <w:lang w:val="en-US"/>
        </w:rPr>
        <w:t xml:space="preserve">(7), 510–518. </w:t>
      </w:r>
      <w:hyperlink r:id="rId26" w:history="1">
        <w:r w:rsidRPr="0085052F">
          <w:rPr>
            <w:rFonts w:ascii="Times New Roman" w:eastAsia="Times New Roman" w:hAnsi="Times New Roman" w:cs="Times New Roman"/>
            <w:color w:val="0000FF"/>
            <w:kern w:val="0"/>
            <w:sz w:val="24"/>
            <w:szCs w:val="24"/>
            <w:u w:val="single"/>
            <w:lang w:val="en-US"/>
          </w:rPr>
          <w:t>https://doi.org/10.1369/0022155414532655</w:t>
        </w:r>
      </w:hyperlink>
    </w:p>
    <w:p w14:paraId="32072DFE" w14:textId="77777777" w:rsidR="0085052F" w:rsidRPr="0085052F" w:rsidRDefault="0085052F" w:rsidP="0085052F">
      <w:pPr>
        <w:spacing w:line="240" w:lineRule="auto"/>
        <w:ind w:left="540" w:right="0" w:hanging="540"/>
        <w:jc w:val="both"/>
        <w:rPr>
          <w:rFonts w:ascii="Times New Roman" w:eastAsia="Times New Roman" w:hAnsi="Times New Roman" w:cs="Times New Roman"/>
          <w:kern w:val="0"/>
          <w:sz w:val="24"/>
          <w:szCs w:val="24"/>
          <w:lang w:val="en-US"/>
        </w:rPr>
      </w:pPr>
      <w:r w:rsidRPr="0085052F">
        <w:rPr>
          <w:rFonts w:ascii="Times New Roman" w:eastAsia="Times New Roman" w:hAnsi="Times New Roman" w:cs="Times New Roman"/>
          <w:kern w:val="0"/>
          <w:sz w:val="24"/>
          <w:szCs w:val="24"/>
          <w:lang w:val="en-US"/>
        </w:rPr>
        <w:t xml:space="preserve">Frappier, B. L. (1998). Digestive system. In H.-D. </w:t>
      </w:r>
      <w:proofErr w:type="spellStart"/>
      <w:r w:rsidRPr="0085052F">
        <w:rPr>
          <w:rFonts w:ascii="Times New Roman" w:eastAsia="Times New Roman" w:hAnsi="Times New Roman" w:cs="Times New Roman"/>
          <w:kern w:val="0"/>
          <w:sz w:val="24"/>
          <w:szCs w:val="24"/>
          <w:lang w:val="en-US"/>
        </w:rPr>
        <w:t>Dellmann</w:t>
      </w:r>
      <w:proofErr w:type="spellEnd"/>
      <w:r w:rsidRPr="0085052F">
        <w:rPr>
          <w:rFonts w:ascii="Times New Roman" w:eastAsia="Times New Roman" w:hAnsi="Times New Roman" w:cs="Times New Roman"/>
          <w:kern w:val="0"/>
          <w:sz w:val="24"/>
          <w:szCs w:val="24"/>
          <w:lang w:val="en-US"/>
        </w:rPr>
        <w:t xml:space="preserve"> &amp; J. A. Eurell (Eds.), </w:t>
      </w:r>
      <w:r w:rsidRPr="0085052F">
        <w:rPr>
          <w:rFonts w:ascii="Times New Roman" w:eastAsia="Times New Roman" w:hAnsi="Times New Roman" w:cs="Times New Roman"/>
          <w:i/>
          <w:iCs/>
          <w:kern w:val="0"/>
          <w:sz w:val="24"/>
          <w:szCs w:val="24"/>
          <w:lang w:val="en-US"/>
        </w:rPr>
        <w:t>Textbook of veterinary histology</w:t>
      </w:r>
      <w:r w:rsidRPr="0085052F">
        <w:rPr>
          <w:rFonts w:ascii="Times New Roman" w:eastAsia="Times New Roman" w:hAnsi="Times New Roman" w:cs="Times New Roman"/>
          <w:kern w:val="0"/>
          <w:sz w:val="24"/>
          <w:szCs w:val="24"/>
          <w:lang w:val="en-US"/>
        </w:rPr>
        <w:t xml:space="preserve"> (5th ed., pp. 164–202). Lippincott Williams &amp; Wilkins. </w:t>
      </w:r>
    </w:p>
    <w:p w14:paraId="587C309B" w14:textId="77777777" w:rsidR="0085052F" w:rsidRPr="0085052F" w:rsidRDefault="0085052F" w:rsidP="0085052F">
      <w:pPr>
        <w:spacing w:line="240" w:lineRule="auto"/>
        <w:ind w:left="540" w:right="0" w:hanging="540"/>
        <w:jc w:val="both"/>
        <w:rPr>
          <w:rFonts w:ascii="Times New Roman" w:eastAsia="Times New Roman" w:hAnsi="Times New Roman" w:cs="Times New Roman"/>
          <w:kern w:val="0"/>
          <w:sz w:val="24"/>
          <w:szCs w:val="24"/>
          <w:lang w:val="en-US"/>
        </w:rPr>
      </w:pPr>
      <w:r w:rsidRPr="0085052F">
        <w:rPr>
          <w:rFonts w:ascii="Times New Roman" w:eastAsia="Times New Roman" w:hAnsi="Times New Roman" w:cs="Times New Roman"/>
          <w:kern w:val="0"/>
          <w:sz w:val="24"/>
          <w:szCs w:val="24"/>
          <w:lang w:val="en-US"/>
        </w:rPr>
        <w:t>Gahlot, P. K., Kumar, P., &amp; Singh, G. (2017). Histoarchitecture and histochemistry of duodenum and jejunum of the goat (</w:t>
      </w:r>
      <w:r w:rsidRPr="0085052F">
        <w:rPr>
          <w:rFonts w:ascii="Times New Roman" w:eastAsia="Times New Roman" w:hAnsi="Times New Roman" w:cs="Times New Roman"/>
          <w:i/>
          <w:iCs/>
          <w:kern w:val="0"/>
          <w:sz w:val="24"/>
          <w:szCs w:val="24"/>
          <w:lang w:val="en-US"/>
        </w:rPr>
        <w:t xml:space="preserve">Capra </w:t>
      </w:r>
      <w:proofErr w:type="spellStart"/>
      <w:r w:rsidRPr="0085052F">
        <w:rPr>
          <w:rFonts w:ascii="Times New Roman" w:eastAsia="Times New Roman" w:hAnsi="Times New Roman" w:cs="Times New Roman"/>
          <w:i/>
          <w:iCs/>
          <w:kern w:val="0"/>
          <w:sz w:val="24"/>
          <w:szCs w:val="24"/>
          <w:lang w:val="en-US"/>
        </w:rPr>
        <w:t>hircus</w:t>
      </w:r>
      <w:proofErr w:type="spellEnd"/>
      <w:r w:rsidRPr="0085052F">
        <w:rPr>
          <w:rFonts w:ascii="Times New Roman" w:eastAsia="Times New Roman" w:hAnsi="Times New Roman" w:cs="Times New Roman"/>
          <w:kern w:val="0"/>
          <w:sz w:val="24"/>
          <w:szCs w:val="24"/>
          <w:lang w:val="en-US"/>
        </w:rPr>
        <w:t xml:space="preserve">). </w:t>
      </w:r>
      <w:r w:rsidRPr="0085052F">
        <w:rPr>
          <w:rFonts w:ascii="Times New Roman" w:eastAsia="Times New Roman" w:hAnsi="Times New Roman" w:cs="Times New Roman"/>
          <w:i/>
          <w:iCs/>
          <w:kern w:val="0"/>
          <w:sz w:val="24"/>
          <w:szCs w:val="24"/>
          <w:lang w:val="en-US"/>
        </w:rPr>
        <w:t>The Haryana Veterinarian, 56</w:t>
      </w:r>
      <w:r w:rsidRPr="0085052F">
        <w:rPr>
          <w:rFonts w:ascii="Times New Roman" w:eastAsia="Times New Roman" w:hAnsi="Times New Roman" w:cs="Times New Roman"/>
          <w:kern w:val="0"/>
          <w:sz w:val="24"/>
          <w:szCs w:val="24"/>
          <w:lang w:val="en-US"/>
        </w:rPr>
        <w:t xml:space="preserve">(1), 37–40. </w:t>
      </w:r>
    </w:p>
    <w:p w14:paraId="2F618127" w14:textId="77777777" w:rsidR="00640346" w:rsidRDefault="00000000">
      <w:pPr>
        <w:spacing w:line="240" w:lineRule="auto"/>
        <w:ind w:left="540" w:right="0" w:hanging="540"/>
        <w:jc w:val="both"/>
      </w:pPr>
      <w:r>
        <w:rPr>
          <w:rFonts w:ascii="Times New Roman" w:hAnsi="Times New Roman"/>
          <w:b/>
          <w:sz w:val="24"/>
          <w:highlight w:val="yellow"/>
        </w:rPr>
        <w:t>Gayathri, M., Ranjith Kumar, S., Vinaya Sheela, S., &amp; Ashok Kumar, D. (2026). Gross-morphometrical studies on the small intestine in postnatal age groups of Indian domestic pigs (</w:t>
      </w:r>
      <w:r>
        <w:rPr>
          <w:rFonts w:ascii="Times New Roman" w:hAnsi="Times New Roman"/>
          <w:b/>
          <w:i/>
          <w:sz w:val="24"/>
          <w:highlight w:val="yellow"/>
        </w:rPr>
        <w:t>Sus scrofa domesticus</w:t>
      </w:r>
      <w:r>
        <w:rPr>
          <w:rFonts w:ascii="Times New Roman" w:hAnsi="Times New Roman"/>
          <w:b/>
          <w:sz w:val="24"/>
          <w:highlight w:val="yellow"/>
        </w:rPr>
        <w:t xml:space="preserve">). </w:t>
      </w:r>
      <w:r>
        <w:rPr>
          <w:rFonts w:ascii="Times New Roman" w:hAnsi="Times New Roman"/>
          <w:b/>
          <w:i/>
          <w:sz w:val="24"/>
          <w:highlight w:val="yellow"/>
        </w:rPr>
        <w:t>Archives of Current Research International, 26</w:t>
      </w:r>
      <w:r>
        <w:rPr>
          <w:rFonts w:ascii="Times New Roman" w:hAnsi="Times New Roman"/>
          <w:b/>
          <w:sz w:val="24"/>
          <w:highlight w:val="yellow"/>
        </w:rPr>
        <w:t>(8), 140–149. https://doi.org/10.9734/acri/2026/v26i82045</w:t>
      </w:r>
    </w:p>
    <w:p w14:paraId="4AA47CA6" w14:textId="77777777" w:rsidR="0085052F" w:rsidRPr="0085052F" w:rsidRDefault="0085052F" w:rsidP="0085052F">
      <w:pPr>
        <w:spacing w:line="240" w:lineRule="auto"/>
        <w:ind w:left="540" w:right="0" w:hanging="540"/>
        <w:jc w:val="both"/>
        <w:rPr>
          <w:rFonts w:ascii="Times New Roman" w:eastAsia="Times New Roman" w:hAnsi="Times New Roman" w:cs="Times New Roman"/>
          <w:kern w:val="0"/>
          <w:sz w:val="24"/>
          <w:szCs w:val="24"/>
          <w:lang w:val="en-US"/>
        </w:rPr>
      </w:pPr>
      <w:r w:rsidRPr="0085052F">
        <w:rPr>
          <w:rFonts w:ascii="Times New Roman" w:eastAsia="Times New Roman" w:hAnsi="Times New Roman" w:cs="Times New Roman"/>
          <w:kern w:val="0"/>
          <w:sz w:val="24"/>
          <w:szCs w:val="24"/>
          <w:lang w:val="en-US"/>
        </w:rPr>
        <w:t>Gutte, M. M. (2019). Histological and histochemical studies on small intestine of sheep (</w:t>
      </w:r>
      <w:r w:rsidRPr="0085052F">
        <w:rPr>
          <w:rFonts w:ascii="Times New Roman" w:eastAsia="Times New Roman" w:hAnsi="Times New Roman" w:cs="Times New Roman"/>
          <w:i/>
          <w:iCs/>
          <w:kern w:val="0"/>
          <w:sz w:val="24"/>
          <w:szCs w:val="24"/>
          <w:lang w:val="en-US"/>
        </w:rPr>
        <w:t xml:space="preserve">Ovis </w:t>
      </w:r>
      <w:proofErr w:type="spellStart"/>
      <w:r w:rsidRPr="0085052F">
        <w:rPr>
          <w:rFonts w:ascii="Times New Roman" w:eastAsia="Times New Roman" w:hAnsi="Times New Roman" w:cs="Times New Roman"/>
          <w:i/>
          <w:iCs/>
          <w:kern w:val="0"/>
          <w:sz w:val="24"/>
          <w:szCs w:val="24"/>
          <w:lang w:val="en-US"/>
        </w:rPr>
        <w:t>aries</w:t>
      </w:r>
      <w:proofErr w:type="spellEnd"/>
      <w:r w:rsidRPr="0085052F">
        <w:rPr>
          <w:rFonts w:ascii="Times New Roman" w:eastAsia="Times New Roman" w:hAnsi="Times New Roman" w:cs="Times New Roman"/>
          <w:kern w:val="0"/>
          <w:sz w:val="24"/>
          <w:szCs w:val="24"/>
          <w:lang w:val="en-US"/>
        </w:rPr>
        <w:t>) and goat (</w:t>
      </w:r>
      <w:r w:rsidRPr="0085052F">
        <w:rPr>
          <w:rFonts w:ascii="Times New Roman" w:eastAsia="Times New Roman" w:hAnsi="Times New Roman" w:cs="Times New Roman"/>
          <w:i/>
          <w:iCs/>
          <w:kern w:val="0"/>
          <w:sz w:val="24"/>
          <w:szCs w:val="24"/>
          <w:lang w:val="en-US"/>
        </w:rPr>
        <w:t xml:space="preserve">Capra </w:t>
      </w:r>
      <w:proofErr w:type="spellStart"/>
      <w:r w:rsidRPr="0085052F">
        <w:rPr>
          <w:rFonts w:ascii="Times New Roman" w:eastAsia="Times New Roman" w:hAnsi="Times New Roman" w:cs="Times New Roman"/>
          <w:i/>
          <w:iCs/>
          <w:kern w:val="0"/>
          <w:sz w:val="24"/>
          <w:szCs w:val="24"/>
          <w:lang w:val="en-US"/>
        </w:rPr>
        <w:t>hircus</w:t>
      </w:r>
      <w:proofErr w:type="spellEnd"/>
      <w:r w:rsidRPr="0085052F">
        <w:rPr>
          <w:rFonts w:ascii="Times New Roman" w:eastAsia="Times New Roman" w:hAnsi="Times New Roman" w:cs="Times New Roman"/>
          <w:kern w:val="0"/>
          <w:sz w:val="24"/>
          <w:szCs w:val="24"/>
          <w:lang w:val="en-US"/>
        </w:rPr>
        <w:t xml:space="preserve">). </w:t>
      </w:r>
      <w:r w:rsidRPr="0085052F">
        <w:rPr>
          <w:rFonts w:ascii="Times New Roman" w:eastAsia="Times New Roman" w:hAnsi="Times New Roman" w:cs="Times New Roman"/>
          <w:i/>
          <w:iCs/>
          <w:kern w:val="0"/>
          <w:sz w:val="24"/>
          <w:szCs w:val="24"/>
          <w:lang w:val="en-US"/>
        </w:rPr>
        <w:t>Indian Journal of Veterinary Anatomy, 31</w:t>
      </w:r>
      <w:r w:rsidRPr="0085052F">
        <w:rPr>
          <w:rFonts w:ascii="Times New Roman" w:eastAsia="Times New Roman" w:hAnsi="Times New Roman" w:cs="Times New Roman"/>
          <w:kern w:val="0"/>
          <w:sz w:val="24"/>
          <w:szCs w:val="24"/>
          <w:lang w:val="en-US"/>
        </w:rPr>
        <w:t xml:space="preserve">(1). </w:t>
      </w:r>
    </w:p>
    <w:p w14:paraId="234ED116" w14:textId="77777777" w:rsidR="0085052F" w:rsidRPr="0085052F" w:rsidRDefault="0085052F" w:rsidP="0085052F">
      <w:pPr>
        <w:spacing w:line="240" w:lineRule="auto"/>
        <w:ind w:left="540" w:right="0" w:hanging="540"/>
        <w:jc w:val="both"/>
        <w:rPr>
          <w:rFonts w:ascii="Times New Roman" w:eastAsia="Times New Roman" w:hAnsi="Times New Roman" w:cs="Times New Roman"/>
          <w:kern w:val="0"/>
          <w:sz w:val="24"/>
          <w:szCs w:val="24"/>
          <w:lang w:val="en-US"/>
        </w:rPr>
      </w:pPr>
      <w:r w:rsidRPr="0085052F">
        <w:rPr>
          <w:rFonts w:ascii="Times New Roman" w:eastAsia="Times New Roman" w:hAnsi="Times New Roman" w:cs="Times New Roman"/>
          <w:kern w:val="0"/>
          <w:sz w:val="24"/>
          <w:szCs w:val="24"/>
          <w:lang w:val="nl-BE"/>
        </w:rPr>
        <w:t xml:space="preserve">Hao, Y., Xing, M., &amp; Gu, X. (2021). </w:t>
      </w:r>
      <w:r w:rsidRPr="0085052F">
        <w:rPr>
          <w:rFonts w:ascii="Times New Roman" w:eastAsia="Times New Roman" w:hAnsi="Times New Roman" w:cs="Times New Roman"/>
          <w:kern w:val="0"/>
          <w:sz w:val="24"/>
          <w:szCs w:val="24"/>
          <w:lang w:val="en-US"/>
        </w:rPr>
        <w:t xml:space="preserve">Research progress on oxidative stress and its nutritional regulation strategies in pigs. </w:t>
      </w:r>
      <w:r w:rsidRPr="0085052F">
        <w:rPr>
          <w:rFonts w:ascii="Times New Roman" w:eastAsia="Times New Roman" w:hAnsi="Times New Roman" w:cs="Times New Roman"/>
          <w:i/>
          <w:iCs/>
          <w:kern w:val="0"/>
          <w:sz w:val="24"/>
          <w:szCs w:val="24"/>
          <w:lang w:val="en-US"/>
        </w:rPr>
        <w:t>Animals, 11</w:t>
      </w:r>
      <w:r w:rsidRPr="0085052F">
        <w:rPr>
          <w:rFonts w:ascii="Times New Roman" w:eastAsia="Times New Roman" w:hAnsi="Times New Roman" w:cs="Times New Roman"/>
          <w:kern w:val="0"/>
          <w:sz w:val="24"/>
          <w:szCs w:val="24"/>
          <w:lang w:val="en-US"/>
        </w:rPr>
        <w:t xml:space="preserve">(5), 1384. </w:t>
      </w:r>
      <w:hyperlink r:id="rId27" w:history="1">
        <w:r w:rsidRPr="0085052F">
          <w:rPr>
            <w:rFonts w:ascii="Times New Roman" w:eastAsia="Times New Roman" w:hAnsi="Times New Roman" w:cs="Times New Roman"/>
            <w:color w:val="0000FF"/>
            <w:kern w:val="0"/>
            <w:sz w:val="24"/>
            <w:szCs w:val="24"/>
            <w:u w:val="single"/>
            <w:lang w:val="en-US"/>
          </w:rPr>
          <w:t>https://doi.org/10.3390/ani11051384</w:t>
        </w:r>
      </w:hyperlink>
    </w:p>
    <w:p w14:paraId="21B7F83C" w14:textId="77777777" w:rsidR="0085052F" w:rsidRPr="0085052F" w:rsidRDefault="0085052F" w:rsidP="0085052F">
      <w:pPr>
        <w:spacing w:line="240" w:lineRule="auto"/>
        <w:ind w:left="540" w:right="0" w:hanging="540"/>
        <w:jc w:val="both"/>
        <w:rPr>
          <w:rFonts w:ascii="Times New Roman" w:eastAsia="Times New Roman" w:hAnsi="Times New Roman" w:cs="Times New Roman"/>
          <w:kern w:val="0"/>
          <w:sz w:val="24"/>
          <w:szCs w:val="24"/>
          <w:lang w:val="en-US"/>
        </w:rPr>
      </w:pPr>
      <w:r w:rsidRPr="0085052F">
        <w:rPr>
          <w:rFonts w:ascii="Times New Roman" w:eastAsia="Times New Roman" w:hAnsi="Times New Roman" w:cs="Times New Roman"/>
          <w:kern w:val="0"/>
          <w:sz w:val="24"/>
          <w:szCs w:val="24"/>
          <w:lang w:val="en-US"/>
        </w:rPr>
        <w:t>Hassan, S. A., &amp; Moussa, E. A. (2015). Light and scanning electron microscopy of the small intestine of goat (</w:t>
      </w:r>
      <w:r w:rsidRPr="0085052F">
        <w:rPr>
          <w:rFonts w:ascii="Times New Roman" w:eastAsia="Times New Roman" w:hAnsi="Times New Roman" w:cs="Times New Roman"/>
          <w:i/>
          <w:iCs/>
          <w:kern w:val="0"/>
          <w:sz w:val="24"/>
          <w:szCs w:val="24"/>
          <w:lang w:val="en-US"/>
        </w:rPr>
        <w:t xml:space="preserve">Capra </w:t>
      </w:r>
      <w:proofErr w:type="spellStart"/>
      <w:r w:rsidRPr="0085052F">
        <w:rPr>
          <w:rFonts w:ascii="Times New Roman" w:eastAsia="Times New Roman" w:hAnsi="Times New Roman" w:cs="Times New Roman"/>
          <w:i/>
          <w:iCs/>
          <w:kern w:val="0"/>
          <w:sz w:val="24"/>
          <w:szCs w:val="24"/>
          <w:lang w:val="en-US"/>
        </w:rPr>
        <w:t>hircus</w:t>
      </w:r>
      <w:proofErr w:type="spellEnd"/>
      <w:r w:rsidRPr="0085052F">
        <w:rPr>
          <w:rFonts w:ascii="Times New Roman" w:eastAsia="Times New Roman" w:hAnsi="Times New Roman" w:cs="Times New Roman"/>
          <w:kern w:val="0"/>
          <w:sz w:val="24"/>
          <w:szCs w:val="24"/>
          <w:lang w:val="en-US"/>
        </w:rPr>
        <w:t xml:space="preserve">). </w:t>
      </w:r>
      <w:r w:rsidRPr="0085052F">
        <w:rPr>
          <w:rFonts w:ascii="Times New Roman" w:eastAsia="Times New Roman" w:hAnsi="Times New Roman" w:cs="Times New Roman"/>
          <w:i/>
          <w:iCs/>
          <w:kern w:val="0"/>
          <w:sz w:val="24"/>
          <w:szCs w:val="24"/>
          <w:lang w:val="en-US"/>
        </w:rPr>
        <w:t>Journal of Cell and Animal Biology, 9</w:t>
      </w:r>
      <w:r w:rsidRPr="0085052F">
        <w:rPr>
          <w:rFonts w:ascii="Times New Roman" w:eastAsia="Times New Roman" w:hAnsi="Times New Roman" w:cs="Times New Roman"/>
          <w:kern w:val="0"/>
          <w:sz w:val="24"/>
          <w:szCs w:val="24"/>
          <w:lang w:val="en-US"/>
        </w:rPr>
        <w:t xml:space="preserve">(1), 1–8. </w:t>
      </w:r>
      <w:hyperlink r:id="rId28" w:history="1">
        <w:r w:rsidRPr="0085052F">
          <w:rPr>
            <w:rFonts w:ascii="Times New Roman" w:eastAsia="Times New Roman" w:hAnsi="Times New Roman" w:cs="Times New Roman"/>
            <w:color w:val="0000FF"/>
            <w:kern w:val="0"/>
            <w:sz w:val="24"/>
            <w:szCs w:val="24"/>
            <w:u w:val="single"/>
            <w:lang w:val="en-US"/>
          </w:rPr>
          <w:t>https://doi.org/10.5897/JCAB2015.0425</w:t>
        </w:r>
      </w:hyperlink>
    </w:p>
    <w:p w14:paraId="29BAD4F7" w14:textId="77777777" w:rsidR="0085052F" w:rsidRPr="0085052F" w:rsidRDefault="0085052F" w:rsidP="0085052F">
      <w:pPr>
        <w:spacing w:line="240" w:lineRule="auto"/>
        <w:ind w:left="540" w:right="0" w:hanging="540"/>
        <w:jc w:val="both"/>
        <w:rPr>
          <w:rFonts w:ascii="Times New Roman" w:eastAsia="Times New Roman" w:hAnsi="Times New Roman" w:cs="Times New Roman"/>
          <w:kern w:val="0"/>
          <w:sz w:val="24"/>
          <w:szCs w:val="24"/>
          <w:lang w:val="en-US"/>
        </w:rPr>
      </w:pPr>
      <w:r w:rsidRPr="0085052F">
        <w:rPr>
          <w:rFonts w:ascii="Times New Roman" w:eastAsia="Times New Roman" w:hAnsi="Times New Roman" w:cs="Times New Roman"/>
          <w:kern w:val="0"/>
          <w:sz w:val="24"/>
          <w:szCs w:val="24"/>
          <w:lang w:val="nl-BE"/>
        </w:rPr>
        <w:t xml:space="preserve">Kadhim, K. H., Al-Mehanna, N. H., &amp; Al-Baghdadi, E. F. (2012). </w:t>
      </w:r>
      <w:r w:rsidRPr="0085052F">
        <w:rPr>
          <w:rFonts w:ascii="Times New Roman" w:eastAsia="Times New Roman" w:hAnsi="Times New Roman" w:cs="Times New Roman"/>
          <w:kern w:val="0"/>
          <w:sz w:val="24"/>
          <w:szCs w:val="24"/>
          <w:lang w:val="en-US"/>
        </w:rPr>
        <w:t xml:space="preserve">The distribution of the goblet cells, Paneth cells and Brunner’s glands in duodenum of adult one-humped camels </w:t>
      </w:r>
      <w:r w:rsidRPr="0085052F">
        <w:rPr>
          <w:rFonts w:ascii="Times New Roman" w:eastAsia="Times New Roman" w:hAnsi="Times New Roman" w:cs="Times New Roman"/>
          <w:kern w:val="0"/>
          <w:sz w:val="24"/>
          <w:szCs w:val="24"/>
          <w:lang w:val="en-US"/>
        </w:rPr>
        <w:lastRenderedPageBreak/>
        <w:t>(</w:t>
      </w:r>
      <w:r w:rsidRPr="0085052F">
        <w:rPr>
          <w:rFonts w:ascii="Times New Roman" w:eastAsia="Times New Roman" w:hAnsi="Times New Roman" w:cs="Times New Roman"/>
          <w:i/>
          <w:iCs/>
          <w:kern w:val="0"/>
          <w:sz w:val="24"/>
          <w:szCs w:val="24"/>
          <w:lang w:val="en-US"/>
        </w:rPr>
        <w:t>Camelus dromedarius</w:t>
      </w:r>
      <w:r w:rsidRPr="0085052F">
        <w:rPr>
          <w:rFonts w:ascii="Times New Roman" w:eastAsia="Times New Roman" w:hAnsi="Times New Roman" w:cs="Times New Roman"/>
          <w:kern w:val="0"/>
          <w:sz w:val="24"/>
          <w:szCs w:val="24"/>
          <w:lang w:val="en-US"/>
        </w:rPr>
        <w:t xml:space="preserve">). </w:t>
      </w:r>
      <w:r w:rsidRPr="0085052F">
        <w:rPr>
          <w:rFonts w:ascii="Times New Roman" w:eastAsia="Times New Roman" w:hAnsi="Times New Roman" w:cs="Times New Roman"/>
          <w:i/>
          <w:iCs/>
          <w:kern w:val="0"/>
          <w:sz w:val="24"/>
          <w:szCs w:val="24"/>
          <w:lang w:val="en-US"/>
        </w:rPr>
        <w:t>Al-</w:t>
      </w:r>
      <w:proofErr w:type="spellStart"/>
      <w:r w:rsidRPr="0085052F">
        <w:rPr>
          <w:rFonts w:ascii="Times New Roman" w:eastAsia="Times New Roman" w:hAnsi="Times New Roman" w:cs="Times New Roman"/>
          <w:i/>
          <w:iCs/>
          <w:kern w:val="0"/>
          <w:sz w:val="24"/>
          <w:szCs w:val="24"/>
          <w:lang w:val="en-US"/>
        </w:rPr>
        <w:t>Qadisiyah</w:t>
      </w:r>
      <w:proofErr w:type="spellEnd"/>
      <w:r w:rsidRPr="0085052F">
        <w:rPr>
          <w:rFonts w:ascii="Times New Roman" w:eastAsia="Times New Roman" w:hAnsi="Times New Roman" w:cs="Times New Roman"/>
          <w:i/>
          <w:iCs/>
          <w:kern w:val="0"/>
          <w:sz w:val="24"/>
          <w:szCs w:val="24"/>
          <w:lang w:val="en-US"/>
        </w:rPr>
        <w:t xml:space="preserve"> Journal of Veterinary Medicine Sciences, 11</w:t>
      </w:r>
      <w:r w:rsidRPr="0085052F">
        <w:rPr>
          <w:rFonts w:ascii="Times New Roman" w:eastAsia="Times New Roman" w:hAnsi="Times New Roman" w:cs="Times New Roman"/>
          <w:kern w:val="0"/>
          <w:sz w:val="24"/>
          <w:szCs w:val="24"/>
          <w:lang w:val="en-US"/>
        </w:rPr>
        <w:t xml:space="preserve">(2), 46–49. </w:t>
      </w:r>
    </w:p>
    <w:p w14:paraId="7F88BFEC" w14:textId="77777777" w:rsidR="0085052F" w:rsidRPr="0085052F" w:rsidRDefault="0085052F" w:rsidP="0085052F">
      <w:pPr>
        <w:spacing w:line="240" w:lineRule="auto"/>
        <w:ind w:left="540" w:right="0" w:hanging="540"/>
        <w:jc w:val="both"/>
        <w:rPr>
          <w:rFonts w:ascii="Times New Roman" w:eastAsia="Times New Roman" w:hAnsi="Times New Roman" w:cs="Times New Roman"/>
          <w:kern w:val="0"/>
          <w:sz w:val="24"/>
          <w:szCs w:val="24"/>
          <w:lang w:val="en-US"/>
        </w:rPr>
      </w:pPr>
      <w:r w:rsidRPr="0085052F">
        <w:rPr>
          <w:rFonts w:ascii="Times New Roman" w:eastAsia="Times New Roman" w:hAnsi="Times New Roman" w:cs="Times New Roman"/>
          <w:kern w:val="0"/>
          <w:sz w:val="24"/>
          <w:szCs w:val="24"/>
          <w:lang w:val="nl-BE"/>
        </w:rPr>
        <w:t xml:space="preserve">Kalita, A., Sarma, K., Talukdar, M., Deka, A., &amp; Kalita, P. C. (2017). </w:t>
      </w:r>
      <w:r w:rsidRPr="0085052F">
        <w:rPr>
          <w:rFonts w:ascii="Times New Roman" w:eastAsia="Times New Roman" w:hAnsi="Times New Roman" w:cs="Times New Roman"/>
          <w:kern w:val="0"/>
          <w:sz w:val="24"/>
          <w:szCs w:val="24"/>
          <w:lang w:val="en-US"/>
        </w:rPr>
        <w:t xml:space="preserve">Gut integrity of neonatal piglets: A </w:t>
      </w:r>
      <w:proofErr w:type="spellStart"/>
      <w:r w:rsidRPr="0085052F">
        <w:rPr>
          <w:rFonts w:ascii="Times New Roman" w:eastAsia="Times New Roman" w:hAnsi="Times New Roman" w:cs="Times New Roman"/>
          <w:kern w:val="0"/>
          <w:sz w:val="24"/>
          <w:szCs w:val="24"/>
          <w:lang w:val="en-US"/>
        </w:rPr>
        <w:t>histomorphological</w:t>
      </w:r>
      <w:proofErr w:type="spellEnd"/>
      <w:r w:rsidRPr="0085052F">
        <w:rPr>
          <w:rFonts w:ascii="Times New Roman" w:eastAsia="Times New Roman" w:hAnsi="Times New Roman" w:cs="Times New Roman"/>
          <w:kern w:val="0"/>
          <w:sz w:val="24"/>
          <w:szCs w:val="24"/>
          <w:lang w:val="en-US"/>
        </w:rPr>
        <w:t xml:space="preserve"> analysis. </w:t>
      </w:r>
      <w:r w:rsidRPr="0085052F">
        <w:rPr>
          <w:rFonts w:ascii="Times New Roman" w:eastAsia="Times New Roman" w:hAnsi="Times New Roman" w:cs="Times New Roman"/>
          <w:i/>
          <w:iCs/>
          <w:kern w:val="0"/>
          <w:sz w:val="24"/>
          <w:szCs w:val="24"/>
          <w:lang w:val="en-US"/>
        </w:rPr>
        <w:t>Journal of Animal Research, 7</w:t>
      </w:r>
      <w:r w:rsidRPr="0085052F">
        <w:rPr>
          <w:rFonts w:ascii="Times New Roman" w:eastAsia="Times New Roman" w:hAnsi="Times New Roman" w:cs="Times New Roman"/>
          <w:kern w:val="0"/>
          <w:sz w:val="24"/>
          <w:szCs w:val="24"/>
          <w:lang w:val="en-US"/>
        </w:rPr>
        <w:t xml:space="preserve">(6), 1115–1121. </w:t>
      </w:r>
      <w:hyperlink r:id="rId29" w:history="1">
        <w:r w:rsidRPr="0085052F">
          <w:rPr>
            <w:rFonts w:ascii="Times New Roman" w:eastAsia="Times New Roman" w:hAnsi="Times New Roman" w:cs="Times New Roman"/>
            <w:color w:val="0000FF"/>
            <w:kern w:val="0"/>
            <w:sz w:val="24"/>
            <w:szCs w:val="24"/>
            <w:u w:val="single"/>
            <w:lang w:val="en-US"/>
          </w:rPr>
          <w:t>https://doi.org/10.5958/2277-940X.2017.00167.X</w:t>
        </w:r>
      </w:hyperlink>
    </w:p>
    <w:p w14:paraId="3C37C9C7" w14:textId="77777777" w:rsidR="0085052F" w:rsidRPr="0085052F" w:rsidRDefault="0085052F" w:rsidP="0085052F">
      <w:pPr>
        <w:spacing w:line="240" w:lineRule="auto"/>
        <w:ind w:left="540" w:right="0" w:hanging="540"/>
        <w:jc w:val="both"/>
        <w:rPr>
          <w:rFonts w:ascii="Times New Roman" w:eastAsia="Times New Roman" w:hAnsi="Times New Roman" w:cs="Times New Roman"/>
          <w:kern w:val="0"/>
          <w:sz w:val="24"/>
          <w:szCs w:val="24"/>
          <w:lang w:val="en-US"/>
        </w:rPr>
      </w:pPr>
      <w:r w:rsidRPr="0085052F">
        <w:rPr>
          <w:rFonts w:ascii="Times New Roman" w:eastAsia="Times New Roman" w:hAnsi="Times New Roman" w:cs="Times New Roman"/>
          <w:kern w:val="0"/>
          <w:sz w:val="24"/>
          <w:szCs w:val="24"/>
          <w:lang w:val="en-US"/>
        </w:rPr>
        <w:t xml:space="preserve">Kalita, A., Talukdar, M., Sarma, K., Kalita, P. C., Gali, J. M., </w:t>
      </w:r>
      <w:proofErr w:type="spellStart"/>
      <w:r w:rsidRPr="0085052F">
        <w:rPr>
          <w:rFonts w:ascii="Times New Roman" w:eastAsia="Times New Roman" w:hAnsi="Times New Roman" w:cs="Times New Roman"/>
          <w:kern w:val="0"/>
          <w:sz w:val="24"/>
          <w:szCs w:val="24"/>
          <w:lang w:val="en-US"/>
        </w:rPr>
        <w:t>Tamuli</w:t>
      </w:r>
      <w:proofErr w:type="spellEnd"/>
      <w:r w:rsidRPr="0085052F">
        <w:rPr>
          <w:rFonts w:ascii="Times New Roman" w:eastAsia="Times New Roman" w:hAnsi="Times New Roman" w:cs="Times New Roman"/>
          <w:kern w:val="0"/>
          <w:sz w:val="24"/>
          <w:szCs w:val="24"/>
          <w:lang w:val="en-US"/>
        </w:rPr>
        <w:t xml:space="preserve">, S., Choudhary, O. P., Doley, P. J., Debroy, S., &amp; </w:t>
      </w:r>
      <w:proofErr w:type="spellStart"/>
      <w:r w:rsidRPr="0085052F">
        <w:rPr>
          <w:rFonts w:ascii="Times New Roman" w:eastAsia="Times New Roman" w:hAnsi="Times New Roman" w:cs="Times New Roman"/>
          <w:kern w:val="0"/>
          <w:sz w:val="24"/>
          <w:szCs w:val="24"/>
          <w:lang w:val="en-US"/>
        </w:rPr>
        <w:t>Keneisenuo</w:t>
      </w:r>
      <w:proofErr w:type="spellEnd"/>
      <w:r w:rsidRPr="0085052F">
        <w:rPr>
          <w:rFonts w:ascii="Times New Roman" w:eastAsia="Times New Roman" w:hAnsi="Times New Roman" w:cs="Times New Roman"/>
          <w:kern w:val="0"/>
          <w:sz w:val="24"/>
          <w:szCs w:val="24"/>
          <w:lang w:val="en-US"/>
        </w:rPr>
        <w:t xml:space="preserve">. (2021). Impact of probiotic and zinc on brush-border enzyme and </w:t>
      </w:r>
      <w:proofErr w:type="spellStart"/>
      <w:r w:rsidRPr="0085052F">
        <w:rPr>
          <w:rFonts w:ascii="Times New Roman" w:eastAsia="Times New Roman" w:hAnsi="Times New Roman" w:cs="Times New Roman"/>
          <w:kern w:val="0"/>
          <w:sz w:val="24"/>
          <w:szCs w:val="24"/>
          <w:lang w:val="en-US"/>
        </w:rPr>
        <w:t>histo</w:t>
      </w:r>
      <w:proofErr w:type="spellEnd"/>
      <w:r w:rsidRPr="0085052F">
        <w:rPr>
          <w:rFonts w:ascii="Times New Roman" w:eastAsia="Times New Roman" w:hAnsi="Times New Roman" w:cs="Times New Roman"/>
          <w:kern w:val="0"/>
          <w:sz w:val="24"/>
          <w:szCs w:val="24"/>
          <w:lang w:val="en-US"/>
        </w:rPr>
        <w:t xml:space="preserve">-enzymatic profile in the small intestine of pre- and </w:t>
      </w:r>
      <w:proofErr w:type="spellStart"/>
      <w:r w:rsidRPr="0085052F">
        <w:rPr>
          <w:rFonts w:ascii="Times New Roman" w:eastAsia="Times New Roman" w:hAnsi="Times New Roman" w:cs="Times New Roman"/>
          <w:kern w:val="0"/>
          <w:sz w:val="24"/>
          <w:szCs w:val="24"/>
          <w:lang w:val="en-US"/>
        </w:rPr>
        <w:t>postweaned</w:t>
      </w:r>
      <w:proofErr w:type="spellEnd"/>
      <w:r w:rsidRPr="0085052F">
        <w:rPr>
          <w:rFonts w:ascii="Times New Roman" w:eastAsia="Times New Roman" w:hAnsi="Times New Roman" w:cs="Times New Roman"/>
          <w:kern w:val="0"/>
          <w:sz w:val="24"/>
          <w:szCs w:val="24"/>
          <w:lang w:val="en-US"/>
        </w:rPr>
        <w:t xml:space="preserve"> piglets. </w:t>
      </w:r>
      <w:r w:rsidRPr="0085052F">
        <w:rPr>
          <w:rFonts w:ascii="Times New Roman" w:eastAsia="Times New Roman" w:hAnsi="Times New Roman" w:cs="Times New Roman"/>
          <w:i/>
          <w:iCs/>
          <w:kern w:val="0"/>
          <w:sz w:val="24"/>
          <w:szCs w:val="24"/>
          <w:lang w:val="en-US"/>
        </w:rPr>
        <w:t>Indian Journal of Animal Research, 55</w:t>
      </w:r>
      <w:r w:rsidRPr="0085052F">
        <w:rPr>
          <w:rFonts w:ascii="Times New Roman" w:eastAsia="Times New Roman" w:hAnsi="Times New Roman" w:cs="Times New Roman"/>
          <w:kern w:val="0"/>
          <w:sz w:val="24"/>
          <w:szCs w:val="24"/>
          <w:lang w:val="en-US"/>
        </w:rPr>
        <w:t xml:space="preserve">(10), 1192–1199. </w:t>
      </w:r>
      <w:hyperlink r:id="rId30" w:history="1">
        <w:r w:rsidRPr="0085052F">
          <w:rPr>
            <w:rFonts w:ascii="Times New Roman" w:eastAsia="Times New Roman" w:hAnsi="Times New Roman" w:cs="Times New Roman"/>
            <w:color w:val="0000FF"/>
            <w:kern w:val="0"/>
            <w:sz w:val="24"/>
            <w:szCs w:val="24"/>
            <w:u w:val="single"/>
            <w:lang w:val="en-US"/>
          </w:rPr>
          <w:t>https://doi.org/10.18805/IJAR.B-4211</w:t>
        </w:r>
      </w:hyperlink>
    </w:p>
    <w:p w14:paraId="4344B9AD" w14:textId="77777777" w:rsidR="0085052F" w:rsidRPr="0085052F" w:rsidRDefault="0085052F" w:rsidP="0085052F">
      <w:pPr>
        <w:spacing w:line="240" w:lineRule="auto"/>
        <w:ind w:left="540" w:right="0" w:hanging="540"/>
        <w:jc w:val="both"/>
        <w:rPr>
          <w:rFonts w:ascii="Times New Roman" w:eastAsia="Times New Roman" w:hAnsi="Times New Roman" w:cs="Times New Roman"/>
          <w:kern w:val="0"/>
          <w:sz w:val="24"/>
          <w:szCs w:val="24"/>
          <w:lang w:val="en-US"/>
        </w:rPr>
      </w:pPr>
      <w:proofErr w:type="spellStart"/>
      <w:r w:rsidRPr="0085052F">
        <w:rPr>
          <w:rFonts w:ascii="Times New Roman" w:eastAsia="Times New Roman" w:hAnsi="Times New Roman" w:cs="Times New Roman"/>
          <w:kern w:val="0"/>
          <w:sz w:val="24"/>
          <w:szCs w:val="24"/>
          <w:lang w:val="en-US"/>
        </w:rPr>
        <w:t>Kararli</w:t>
      </w:r>
      <w:proofErr w:type="spellEnd"/>
      <w:r w:rsidRPr="0085052F">
        <w:rPr>
          <w:rFonts w:ascii="Times New Roman" w:eastAsia="Times New Roman" w:hAnsi="Times New Roman" w:cs="Times New Roman"/>
          <w:kern w:val="0"/>
          <w:sz w:val="24"/>
          <w:szCs w:val="24"/>
          <w:lang w:val="en-US"/>
        </w:rPr>
        <w:t xml:space="preserve">, T. T. (1995). Comparison of the gastrointestinal anatomy, physiology, and biochemistry of humans and commonly used laboratory animals. </w:t>
      </w:r>
      <w:r w:rsidRPr="0085052F">
        <w:rPr>
          <w:rFonts w:ascii="Times New Roman" w:eastAsia="Times New Roman" w:hAnsi="Times New Roman" w:cs="Times New Roman"/>
          <w:i/>
          <w:iCs/>
          <w:kern w:val="0"/>
          <w:sz w:val="24"/>
          <w:szCs w:val="24"/>
          <w:lang w:val="en-US"/>
        </w:rPr>
        <w:t>Biopharmaceutics &amp; Drug Disposition, 16</w:t>
      </w:r>
      <w:r w:rsidRPr="0085052F">
        <w:rPr>
          <w:rFonts w:ascii="Times New Roman" w:eastAsia="Times New Roman" w:hAnsi="Times New Roman" w:cs="Times New Roman"/>
          <w:kern w:val="0"/>
          <w:sz w:val="24"/>
          <w:szCs w:val="24"/>
          <w:lang w:val="en-US"/>
        </w:rPr>
        <w:t xml:space="preserve">(5), 351–380. </w:t>
      </w:r>
      <w:hyperlink r:id="rId31" w:history="1">
        <w:r w:rsidRPr="0085052F">
          <w:rPr>
            <w:rFonts w:ascii="Times New Roman" w:eastAsia="Times New Roman" w:hAnsi="Times New Roman" w:cs="Times New Roman"/>
            <w:color w:val="0000FF"/>
            <w:kern w:val="0"/>
            <w:sz w:val="24"/>
            <w:szCs w:val="24"/>
            <w:u w:val="single"/>
            <w:lang w:val="en-US"/>
          </w:rPr>
          <w:t>https://doi.org/10.1002/bdd.2510160502</w:t>
        </w:r>
      </w:hyperlink>
    </w:p>
    <w:p w14:paraId="3E93E848" w14:textId="77777777" w:rsidR="0085052F" w:rsidRPr="0085052F" w:rsidRDefault="0085052F" w:rsidP="0085052F">
      <w:pPr>
        <w:spacing w:line="240" w:lineRule="auto"/>
        <w:ind w:left="540" w:right="0" w:hanging="540"/>
        <w:jc w:val="both"/>
        <w:rPr>
          <w:rFonts w:ascii="Times New Roman" w:eastAsia="Times New Roman" w:hAnsi="Times New Roman" w:cs="Times New Roman"/>
          <w:kern w:val="0"/>
          <w:sz w:val="24"/>
          <w:szCs w:val="24"/>
          <w:lang w:val="en-US"/>
        </w:rPr>
      </w:pPr>
      <w:r w:rsidRPr="0085052F">
        <w:rPr>
          <w:rFonts w:ascii="Times New Roman" w:eastAsia="Times New Roman" w:hAnsi="Times New Roman" w:cs="Times New Roman"/>
          <w:kern w:val="0"/>
          <w:sz w:val="24"/>
          <w:szCs w:val="24"/>
          <w:lang w:val="en-US"/>
        </w:rPr>
        <w:t>Korkmaz, D., &amp; Kum, S. (2016). A histological and histochemical study of the small intestine of the dromedary camel (</w:t>
      </w:r>
      <w:r w:rsidRPr="0085052F">
        <w:rPr>
          <w:rFonts w:ascii="Times New Roman" w:eastAsia="Times New Roman" w:hAnsi="Times New Roman" w:cs="Times New Roman"/>
          <w:i/>
          <w:iCs/>
          <w:kern w:val="0"/>
          <w:sz w:val="24"/>
          <w:szCs w:val="24"/>
          <w:lang w:val="en-US"/>
        </w:rPr>
        <w:t>Camelus dromedarius</w:t>
      </w:r>
      <w:r w:rsidRPr="0085052F">
        <w:rPr>
          <w:rFonts w:ascii="Times New Roman" w:eastAsia="Times New Roman" w:hAnsi="Times New Roman" w:cs="Times New Roman"/>
          <w:kern w:val="0"/>
          <w:sz w:val="24"/>
          <w:szCs w:val="24"/>
          <w:lang w:val="en-US"/>
        </w:rPr>
        <w:t xml:space="preserve">). </w:t>
      </w:r>
      <w:r w:rsidRPr="0085052F">
        <w:rPr>
          <w:rFonts w:ascii="Times New Roman" w:eastAsia="Times New Roman" w:hAnsi="Times New Roman" w:cs="Times New Roman"/>
          <w:i/>
          <w:iCs/>
          <w:kern w:val="0"/>
          <w:sz w:val="24"/>
          <w:szCs w:val="24"/>
          <w:lang w:val="en-US"/>
        </w:rPr>
        <w:t>Journal of Camel Practice and Research, 23</w:t>
      </w:r>
      <w:r w:rsidRPr="0085052F">
        <w:rPr>
          <w:rFonts w:ascii="Times New Roman" w:eastAsia="Times New Roman" w:hAnsi="Times New Roman" w:cs="Times New Roman"/>
          <w:kern w:val="0"/>
          <w:sz w:val="24"/>
          <w:szCs w:val="24"/>
          <w:lang w:val="en-US"/>
        </w:rPr>
        <w:t xml:space="preserve">(1), 111–116. </w:t>
      </w:r>
      <w:hyperlink r:id="rId32" w:history="1">
        <w:r w:rsidRPr="0085052F">
          <w:rPr>
            <w:rFonts w:ascii="Times New Roman" w:eastAsia="Times New Roman" w:hAnsi="Times New Roman" w:cs="Times New Roman"/>
            <w:color w:val="0000FF"/>
            <w:kern w:val="0"/>
            <w:sz w:val="24"/>
            <w:szCs w:val="24"/>
            <w:u w:val="single"/>
            <w:lang w:val="en-US"/>
          </w:rPr>
          <w:t>https://doi.org/10.5958/2277-8934.2016.00018.7</w:t>
        </w:r>
      </w:hyperlink>
    </w:p>
    <w:p w14:paraId="4B42E21B" w14:textId="77777777" w:rsidR="0085052F" w:rsidRPr="0085052F" w:rsidRDefault="0085052F" w:rsidP="0085052F">
      <w:pPr>
        <w:spacing w:line="240" w:lineRule="auto"/>
        <w:ind w:left="540" w:right="0" w:hanging="540"/>
        <w:jc w:val="both"/>
        <w:rPr>
          <w:rFonts w:ascii="Times New Roman" w:eastAsia="Times New Roman" w:hAnsi="Times New Roman" w:cs="Times New Roman"/>
          <w:kern w:val="0"/>
          <w:sz w:val="24"/>
          <w:szCs w:val="24"/>
          <w:lang w:val="en-US"/>
        </w:rPr>
      </w:pPr>
      <w:r w:rsidRPr="0085052F">
        <w:rPr>
          <w:rFonts w:ascii="Times New Roman" w:eastAsia="Times New Roman" w:hAnsi="Times New Roman" w:cs="Times New Roman"/>
          <w:kern w:val="0"/>
          <w:sz w:val="24"/>
          <w:szCs w:val="24"/>
          <w:lang w:val="en-US"/>
        </w:rPr>
        <w:t xml:space="preserve">Krause, W. J. (2000). Brunner’s glands: A structural, histochemical and pathological profile. </w:t>
      </w:r>
      <w:r w:rsidRPr="0085052F">
        <w:rPr>
          <w:rFonts w:ascii="Times New Roman" w:eastAsia="Times New Roman" w:hAnsi="Times New Roman" w:cs="Times New Roman"/>
          <w:i/>
          <w:iCs/>
          <w:kern w:val="0"/>
          <w:sz w:val="24"/>
          <w:szCs w:val="24"/>
          <w:lang w:val="en-US"/>
        </w:rPr>
        <w:t>Progress in Histochemistry and Cytochemistry, 35</w:t>
      </w:r>
      <w:r w:rsidRPr="0085052F">
        <w:rPr>
          <w:rFonts w:ascii="Times New Roman" w:eastAsia="Times New Roman" w:hAnsi="Times New Roman" w:cs="Times New Roman"/>
          <w:kern w:val="0"/>
          <w:sz w:val="24"/>
          <w:szCs w:val="24"/>
          <w:lang w:val="en-US"/>
        </w:rPr>
        <w:t xml:space="preserve">(4), 255–367. </w:t>
      </w:r>
      <w:hyperlink r:id="rId33" w:history="1">
        <w:r w:rsidRPr="0085052F">
          <w:rPr>
            <w:rFonts w:ascii="Times New Roman" w:eastAsia="Times New Roman" w:hAnsi="Times New Roman" w:cs="Times New Roman"/>
            <w:color w:val="0000FF"/>
            <w:kern w:val="0"/>
            <w:sz w:val="24"/>
            <w:szCs w:val="24"/>
            <w:u w:val="single"/>
            <w:lang w:val="en-US"/>
          </w:rPr>
          <w:t>https://doi.org/10.1016/S0079-6336(00)80006-6</w:t>
        </w:r>
      </w:hyperlink>
    </w:p>
    <w:p w14:paraId="5FE8F861" w14:textId="77777777" w:rsidR="0085052F" w:rsidRPr="0085052F" w:rsidRDefault="0085052F" w:rsidP="0085052F">
      <w:pPr>
        <w:spacing w:line="240" w:lineRule="auto"/>
        <w:ind w:left="540" w:right="0" w:hanging="540"/>
        <w:jc w:val="both"/>
        <w:rPr>
          <w:rFonts w:ascii="Times New Roman" w:eastAsia="Times New Roman" w:hAnsi="Times New Roman" w:cs="Times New Roman"/>
          <w:kern w:val="0"/>
          <w:sz w:val="24"/>
          <w:szCs w:val="24"/>
          <w:lang w:val="en-US"/>
        </w:rPr>
      </w:pPr>
      <w:r w:rsidRPr="0085052F">
        <w:rPr>
          <w:rFonts w:ascii="Times New Roman" w:eastAsia="Times New Roman" w:hAnsi="Times New Roman" w:cs="Times New Roman"/>
          <w:kern w:val="0"/>
          <w:sz w:val="24"/>
          <w:szCs w:val="24"/>
          <w:lang w:val="en-US"/>
        </w:rPr>
        <w:t xml:space="preserve">Kumar, P., Kumar, P., Singh, G., &amp; </w:t>
      </w:r>
      <w:proofErr w:type="spellStart"/>
      <w:r w:rsidRPr="0085052F">
        <w:rPr>
          <w:rFonts w:ascii="Times New Roman" w:eastAsia="Times New Roman" w:hAnsi="Times New Roman" w:cs="Times New Roman"/>
          <w:kern w:val="0"/>
          <w:sz w:val="24"/>
          <w:szCs w:val="24"/>
          <w:lang w:val="en-US"/>
        </w:rPr>
        <w:t>Poonia</w:t>
      </w:r>
      <w:proofErr w:type="spellEnd"/>
      <w:r w:rsidRPr="0085052F">
        <w:rPr>
          <w:rFonts w:ascii="Times New Roman" w:eastAsia="Times New Roman" w:hAnsi="Times New Roman" w:cs="Times New Roman"/>
          <w:kern w:val="0"/>
          <w:sz w:val="24"/>
          <w:szCs w:val="24"/>
          <w:lang w:val="en-US"/>
        </w:rPr>
        <w:t>, A. (2013). Histological architecture and histochemistry of duodenum of the sheep (</w:t>
      </w:r>
      <w:r w:rsidRPr="0085052F">
        <w:rPr>
          <w:rFonts w:ascii="Times New Roman" w:eastAsia="Times New Roman" w:hAnsi="Times New Roman" w:cs="Times New Roman"/>
          <w:i/>
          <w:iCs/>
          <w:kern w:val="0"/>
          <w:sz w:val="24"/>
          <w:szCs w:val="24"/>
          <w:lang w:val="en-US"/>
        </w:rPr>
        <w:t xml:space="preserve">Ovis </w:t>
      </w:r>
      <w:proofErr w:type="spellStart"/>
      <w:r w:rsidRPr="0085052F">
        <w:rPr>
          <w:rFonts w:ascii="Times New Roman" w:eastAsia="Times New Roman" w:hAnsi="Times New Roman" w:cs="Times New Roman"/>
          <w:i/>
          <w:iCs/>
          <w:kern w:val="0"/>
          <w:sz w:val="24"/>
          <w:szCs w:val="24"/>
          <w:lang w:val="en-US"/>
        </w:rPr>
        <w:t>aries</w:t>
      </w:r>
      <w:proofErr w:type="spellEnd"/>
      <w:r w:rsidRPr="0085052F">
        <w:rPr>
          <w:rFonts w:ascii="Times New Roman" w:eastAsia="Times New Roman" w:hAnsi="Times New Roman" w:cs="Times New Roman"/>
          <w:kern w:val="0"/>
          <w:sz w:val="24"/>
          <w:szCs w:val="24"/>
          <w:lang w:val="en-US"/>
        </w:rPr>
        <w:t xml:space="preserve">). </w:t>
      </w:r>
      <w:r w:rsidRPr="0085052F">
        <w:rPr>
          <w:rFonts w:ascii="Times New Roman" w:eastAsia="Times New Roman" w:hAnsi="Times New Roman" w:cs="Times New Roman"/>
          <w:i/>
          <w:iCs/>
          <w:kern w:val="0"/>
          <w:sz w:val="24"/>
          <w:szCs w:val="24"/>
          <w:lang w:val="en-US"/>
        </w:rPr>
        <w:t>Indian Journal of Veterinary Anatomy, 25</w:t>
      </w:r>
      <w:r w:rsidRPr="0085052F">
        <w:rPr>
          <w:rFonts w:ascii="Times New Roman" w:eastAsia="Times New Roman" w:hAnsi="Times New Roman" w:cs="Times New Roman"/>
          <w:kern w:val="0"/>
          <w:sz w:val="24"/>
          <w:szCs w:val="24"/>
          <w:lang w:val="en-US"/>
        </w:rPr>
        <w:t xml:space="preserve">(1), 30–32. </w:t>
      </w:r>
    </w:p>
    <w:p w14:paraId="078D8186" w14:textId="77777777" w:rsidR="0085052F" w:rsidRPr="0085052F" w:rsidRDefault="0085052F" w:rsidP="0085052F">
      <w:pPr>
        <w:spacing w:line="240" w:lineRule="auto"/>
        <w:ind w:left="540" w:right="0" w:hanging="540"/>
        <w:jc w:val="both"/>
        <w:rPr>
          <w:rFonts w:ascii="Times New Roman" w:eastAsia="Times New Roman" w:hAnsi="Times New Roman" w:cs="Times New Roman"/>
          <w:kern w:val="0"/>
          <w:sz w:val="24"/>
          <w:szCs w:val="24"/>
          <w:lang w:val="en-US"/>
        </w:rPr>
      </w:pPr>
      <w:r w:rsidRPr="0085052F">
        <w:rPr>
          <w:rFonts w:ascii="Times New Roman" w:eastAsia="Times New Roman" w:hAnsi="Times New Roman" w:cs="Times New Roman"/>
          <w:kern w:val="0"/>
          <w:sz w:val="24"/>
          <w:szCs w:val="24"/>
          <w:lang w:val="en-US"/>
        </w:rPr>
        <w:t xml:space="preserve">Luna, L. G. (Ed.). (1968). </w:t>
      </w:r>
      <w:r w:rsidRPr="0085052F">
        <w:rPr>
          <w:rFonts w:ascii="Times New Roman" w:eastAsia="Times New Roman" w:hAnsi="Times New Roman" w:cs="Times New Roman"/>
          <w:i/>
          <w:iCs/>
          <w:kern w:val="0"/>
          <w:sz w:val="24"/>
          <w:szCs w:val="24"/>
          <w:lang w:val="en-US"/>
        </w:rPr>
        <w:t>Manual of histologic staining methods of the Armed Forces Institute of Pathology</w:t>
      </w:r>
      <w:r w:rsidRPr="0085052F">
        <w:rPr>
          <w:rFonts w:ascii="Times New Roman" w:eastAsia="Times New Roman" w:hAnsi="Times New Roman" w:cs="Times New Roman"/>
          <w:kern w:val="0"/>
          <w:sz w:val="24"/>
          <w:szCs w:val="24"/>
          <w:lang w:val="en-US"/>
        </w:rPr>
        <w:t xml:space="preserve"> (3rd ed.). Blakiston Division, McGraw-Hill. </w:t>
      </w:r>
    </w:p>
    <w:p w14:paraId="5AAEB4D0" w14:textId="77777777" w:rsidR="0085052F" w:rsidRPr="0085052F" w:rsidRDefault="0085052F" w:rsidP="0085052F">
      <w:pPr>
        <w:spacing w:line="240" w:lineRule="auto"/>
        <w:ind w:left="540" w:right="0" w:hanging="540"/>
        <w:jc w:val="both"/>
        <w:rPr>
          <w:rFonts w:ascii="Times New Roman" w:eastAsia="Times New Roman" w:hAnsi="Times New Roman" w:cs="Times New Roman"/>
          <w:kern w:val="0"/>
          <w:sz w:val="24"/>
          <w:szCs w:val="24"/>
          <w:lang w:val="en-US"/>
        </w:rPr>
      </w:pPr>
      <w:r w:rsidRPr="0085052F">
        <w:rPr>
          <w:rFonts w:ascii="Times New Roman" w:eastAsia="Times New Roman" w:hAnsi="Times New Roman" w:cs="Times New Roman"/>
          <w:kern w:val="0"/>
          <w:sz w:val="24"/>
          <w:szCs w:val="24"/>
          <w:lang w:val="en-US"/>
        </w:rPr>
        <w:t xml:space="preserve">Madara, J. L. (1991). Functional morphology of epithelium of the small intestine. </w:t>
      </w:r>
      <w:r w:rsidRPr="0085052F">
        <w:rPr>
          <w:rFonts w:ascii="Times New Roman" w:eastAsia="Times New Roman" w:hAnsi="Times New Roman" w:cs="Times New Roman"/>
          <w:i/>
          <w:iCs/>
          <w:kern w:val="0"/>
          <w:sz w:val="24"/>
          <w:szCs w:val="24"/>
          <w:lang w:val="en-US"/>
        </w:rPr>
        <w:t>Comprehensive Physiology, 1991</w:t>
      </w:r>
      <w:r w:rsidRPr="0085052F">
        <w:rPr>
          <w:rFonts w:ascii="Times New Roman" w:eastAsia="Times New Roman" w:hAnsi="Times New Roman" w:cs="Times New Roman"/>
          <w:kern w:val="0"/>
          <w:sz w:val="24"/>
          <w:szCs w:val="24"/>
          <w:lang w:val="en-US"/>
        </w:rPr>
        <w:t xml:space="preserve">(12S19), 83–120. </w:t>
      </w:r>
      <w:hyperlink r:id="rId34" w:history="1">
        <w:r w:rsidRPr="0085052F">
          <w:rPr>
            <w:rFonts w:ascii="Times New Roman" w:eastAsia="Times New Roman" w:hAnsi="Times New Roman" w:cs="Times New Roman"/>
            <w:color w:val="0000FF"/>
            <w:kern w:val="0"/>
            <w:sz w:val="24"/>
            <w:szCs w:val="24"/>
            <w:u w:val="single"/>
            <w:lang w:val="en-US"/>
          </w:rPr>
          <w:t>https://doi.org/10.1002/j.2040-4603.1991.tb01401.x</w:t>
        </w:r>
      </w:hyperlink>
    </w:p>
    <w:p w14:paraId="7B5B862C" w14:textId="77777777" w:rsidR="0085052F" w:rsidRPr="0085052F" w:rsidRDefault="0085052F" w:rsidP="0085052F">
      <w:pPr>
        <w:spacing w:line="240" w:lineRule="auto"/>
        <w:ind w:left="540" w:right="0" w:hanging="540"/>
        <w:jc w:val="both"/>
        <w:rPr>
          <w:rFonts w:ascii="Times New Roman" w:eastAsia="Times New Roman" w:hAnsi="Times New Roman" w:cs="Times New Roman"/>
          <w:kern w:val="0"/>
          <w:sz w:val="24"/>
          <w:szCs w:val="24"/>
          <w:lang w:val="en-US"/>
        </w:rPr>
      </w:pPr>
      <w:r w:rsidRPr="0085052F">
        <w:rPr>
          <w:rFonts w:ascii="Times New Roman" w:eastAsia="Times New Roman" w:hAnsi="Times New Roman" w:cs="Times New Roman"/>
          <w:kern w:val="0"/>
          <w:sz w:val="24"/>
          <w:szCs w:val="24"/>
          <w:lang w:val="en-US"/>
        </w:rPr>
        <w:t xml:space="preserve">Mohammad, H. J., Ali, K. A., &amp; Al-Ali, Z. A. J. R. (2020). </w:t>
      </w:r>
      <w:proofErr w:type="spellStart"/>
      <w:r w:rsidRPr="0085052F">
        <w:rPr>
          <w:rFonts w:ascii="Times New Roman" w:eastAsia="Times New Roman" w:hAnsi="Times New Roman" w:cs="Times New Roman"/>
          <w:kern w:val="0"/>
          <w:sz w:val="24"/>
          <w:szCs w:val="24"/>
          <w:lang w:val="en-US"/>
        </w:rPr>
        <w:t>Histomorphological</w:t>
      </w:r>
      <w:proofErr w:type="spellEnd"/>
      <w:r w:rsidRPr="0085052F">
        <w:rPr>
          <w:rFonts w:ascii="Times New Roman" w:eastAsia="Times New Roman" w:hAnsi="Times New Roman" w:cs="Times New Roman"/>
          <w:kern w:val="0"/>
          <w:sz w:val="24"/>
          <w:szCs w:val="24"/>
          <w:lang w:val="en-US"/>
        </w:rPr>
        <w:t xml:space="preserve"> and histochemical structure in the duodenum of sheep (</w:t>
      </w:r>
      <w:r w:rsidRPr="0085052F">
        <w:rPr>
          <w:rFonts w:ascii="Times New Roman" w:eastAsia="Times New Roman" w:hAnsi="Times New Roman" w:cs="Times New Roman"/>
          <w:i/>
          <w:iCs/>
          <w:kern w:val="0"/>
          <w:sz w:val="24"/>
          <w:szCs w:val="24"/>
          <w:lang w:val="en-US"/>
        </w:rPr>
        <w:t xml:space="preserve">Ovis </w:t>
      </w:r>
      <w:proofErr w:type="spellStart"/>
      <w:r w:rsidRPr="0085052F">
        <w:rPr>
          <w:rFonts w:ascii="Times New Roman" w:eastAsia="Times New Roman" w:hAnsi="Times New Roman" w:cs="Times New Roman"/>
          <w:i/>
          <w:iCs/>
          <w:kern w:val="0"/>
          <w:sz w:val="24"/>
          <w:szCs w:val="24"/>
          <w:lang w:val="en-US"/>
        </w:rPr>
        <w:t>aries</w:t>
      </w:r>
      <w:proofErr w:type="spellEnd"/>
      <w:r w:rsidRPr="0085052F">
        <w:rPr>
          <w:rFonts w:ascii="Times New Roman" w:eastAsia="Times New Roman" w:hAnsi="Times New Roman" w:cs="Times New Roman"/>
          <w:kern w:val="0"/>
          <w:sz w:val="24"/>
          <w:szCs w:val="24"/>
          <w:lang w:val="en-US"/>
        </w:rPr>
        <w:t>) and rabbit (</w:t>
      </w:r>
      <w:r w:rsidRPr="0085052F">
        <w:rPr>
          <w:rFonts w:ascii="Times New Roman" w:eastAsia="Times New Roman" w:hAnsi="Times New Roman" w:cs="Times New Roman"/>
          <w:i/>
          <w:iCs/>
          <w:kern w:val="0"/>
          <w:sz w:val="24"/>
          <w:szCs w:val="24"/>
          <w:lang w:val="en-US"/>
        </w:rPr>
        <w:t>Oryctolagus cuniculus</w:t>
      </w:r>
      <w:r w:rsidRPr="0085052F">
        <w:rPr>
          <w:rFonts w:ascii="Times New Roman" w:eastAsia="Times New Roman" w:hAnsi="Times New Roman" w:cs="Times New Roman"/>
          <w:kern w:val="0"/>
          <w:sz w:val="24"/>
          <w:szCs w:val="24"/>
          <w:lang w:val="en-US"/>
        </w:rPr>
        <w:t xml:space="preserve">): A comparative study. </w:t>
      </w:r>
      <w:r w:rsidRPr="0085052F">
        <w:rPr>
          <w:rFonts w:ascii="Times New Roman" w:eastAsia="Times New Roman" w:hAnsi="Times New Roman" w:cs="Times New Roman"/>
          <w:i/>
          <w:iCs/>
          <w:kern w:val="0"/>
          <w:sz w:val="24"/>
          <w:szCs w:val="24"/>
          <w:lang w:val="en-US"/>
        </w:rPr>
        <w:t>Online Journal of Animal and Feed Research, 10</w:t>
      </w:r>
      <w:r w:rsidRPr="0085052F">
        <w:rPr>
          <w:rFonts w:ascii="Times New Roman" w:eastAsia="Times New Roman" w:hAnsi="Times New Roman" w:cs="Times New Roman"/>
          <w:kern w:val="0"/>
          <w:sz w:val="24"/>
          <w:szCs w:val="24"/>
          <w:lang w:val="en-US"/>
        </w:rPr>
        <w:t xml:space="preserve">(6), 251–258. </w:t>
      </w:r>
      <w:hyperlink r:id="rId35" w:history="1">
        <w:r w:rsidRPr="0085052F">
          <w:rPr>
            <w:rFonts w:ascii="Times New Roman" w:eastAsia="Times New Roman" w:hAnsi="Times New Roman" w:cs="Times New Roman"/>
            <w:color w:val="0000FF"/>
            <w:kern w:val="0"/>
            <w:sz w:val="24"/>
            <w:szCs w:val="24"/>
            <w:u w:val="single"/>
            <w:lang w:val="en-US"/>
          </w:rPr>
          <w:t>https://doi.org/10.51227/ojafr.2020.34</w:t>
        </w:r>
      </w:hyperlink>
    </w:p>
    <w:p w14:paraId="0137346F" w14:textId="77777777" w:rsidR="0085052F" w:rsidRPr="0085052F" w:rsidRDefault="0085052F" w:rsidP="0085052F">
      <w:pPr>
        <w:spacing w:line="240" w:lineRule="auto"/>
        <w:ind w:left="540" w:right="0" w:hanging="540"/>
        <w:jc w:val="both"/>
        <w:rPr>
          <w:rFonts w:ascii="Times New Roman" w:eastAsia="Times New Roman" w:hAnsi="Times New Roman" w:cs="Times New Roman"/>
          <w:kern w:val="0"/>
          <w:sz w:val="24"/>
          <w:szCs w:val="24"/>
          <w:lang w:val="en-US"/>
        </w:rPr>
      </w:pPr>
      <w:r w:rsidRPr="0085052F">
        <w:rPr>
          <w:rFonts w:ascii="Times New Roman" w:eastAsia="Times New Roman" w:hAnsi="Times New Roman" w:cs="Times New Roman"/>
          <w:kern w:val="0"/>
          <w:sz w:val="24"/>
          <w:szCs w:val="24"/>
          <w:lang w:val="en-US"/>
        </w:rPr>
        <w:t xml:space="preserve">Mohammadpour, A. A. (2011). Morphological and histochemical study of guinea pig duodenal submucosal glands. </w:t>
      </w:r>
      <w:r w:rsidRPr="0085052F">
        <w:rPr>
          <w:rFonts w:ascii="Times New Roman" w:eastAsia="Times New Roman" w:hAnsi="Times New Roman" w:cs="Times New Roman"/>
          <w:i/>
          <w:iCs/>
          <w:kern w:val="0"/>
          <w:sz w:val="24"/>
          <w:szCs w:val="24"/>
          <w:lang w:val="en-US"/>
        </w:rPr>
        <w:t>Bulgarian Journal of Veterinary Medicine, 14</w:t>
      </w:r>
      <w:r w:rsidRPr="0085052F">
        <w:rPr>
          <w:rFonts w:ascii="Times New Roman" w:eastAsia="Times New Roman" w:hAnsi="Times New Roman" w:cs="Times New Roman"/>
          <w:kern w:val="0"/>
          <w:sz w:val="24"/>
          <w:szCs w:val="24"/>
          <w:lang w:val="en-US"/>
        </w:rPr>
        <w:t xml:space="preserve">(4), 201–208. </w:t>
      </w:r>
    </w:p>
    <w:p w14:paraId="3DE32FE9" w14:textId="77777777" w:rsidR="0085052F" w:rsidRPr="0085052F" w:rsidRDefault="0085052F" w:rsidP="0085052F">
      <w:pPr>
        <w:spacing w:line="240" w:lineRule="auto"/>
        <w:ind w:left="540" w:right="0" w:hanging="540"/>
        <w:jc w:val="both"/>
        <w:rPr>
          <w:rFonts w:ascii="Times New Roman" w:eastAsia="Times New Roman" w:hAnsi="Times New Roman" w:cs="Times New Roman"/>
          <w:kern w:val="0"/>
          <w:sz w:val="24"/>
          <w:szCs w:val="24"/>
          <w:lang w:val="en-US"/>
        </w:rPr>
      </w:pPr>
      <w:r w:rsidRPr="0085052F">
        <w:rPr>
          <w:rFonts w:ascii="Times New Roman" w:eastAsia="Times New Roman" w:hAnsi="Times New Roman" w:cs="Times New Roman"/>
          <w:kern w:val="0"/>
          <w:sz w:val="24"/>
          <w:szCs w:val="24"/>
          <w:lang w:val="en-US"/>
        </w:rPr>
        <w:t xml:space="preserve">Obremski, K., </w:t>
      </w:r>
      <w:proofErr w:type="spellStart"/>
      <w:r w:rsidRPr="0085052F">
        <w:rPr>
          <w:rFonts w:ascii="Times New Roman" w:eastAsia="Times New Roman" w:hAnsi="Times New Roman" w:cs="Times New Roman"/>
          <w:kern w:val="0"/>
          <w:sz w:val="24"/>
          <w:szCs w:val="24"/>
          <w:lang w:val="en-US"/>
        </w:rPr>
        <w:t>Gajecka</w:t>
      </w:r>
      <w:proofErr w:type="spellEnd"/>
      <w:r w:rsidRPr="0085052F">
        <w:rPr>
          <w:rFonts w:ascii="Times New Roman" w:eastAsia="Times New Roman" w:hAnsi="Times New Roman" w:cs="Times New Roman"/>
          <w:kern w:val="0"/>
          <w:sz w:val="24"/>
          <w:szCs w:val="24"/>
          <w:lang w:val="en-US"/>
        </w:rPr>
        <w:t xml:space="preserve">, M., Zielonka, L., </w:t>
      </w:r>
      <w:proofErr w:type="spellStart"/>
      <w:r w:rsidRPr="0085052F">
        <w:rPr>
          <w:rFonts w:ascii="Times New Roman" w:eastAsia="Times New Roman" w:hAnsi="Times New Roman" w:cs="Times New Roman"/>
          <w:kern w:val="0"/>
          <w:sz w:val="24"/>
          <w:szCs w:val="24"/>
          <w:lang w:val="en-US"/>
        </w:rPr>
        <w:t>Jakimiuk</w:t>
      </w:r>
      <w:proofErr w:type="spellEnd"/>
      <w:r w:rsidRPr="0085052F">
        <w:rPr>
          <w:rFonts w:ascii="Times New Roman" w:eastAsia="Times New Roman" w:hAnsi="Times New Roman" w:cs="Times New Roman"/>
          <w:kern w:val="0"/>
          <w:sz w:val="24"/>
          <w:szCs w:val="24"/>
          <w:lang w:val="en-US"/>
        </w:rPr>
        <w:t xml:space="preserve">, E., &amp; </w:t>
      </w:r>
      <w:proofErr w:type="spellStart"/>
      <w:r w:rsidRPr="0085052F">
        <w:rPr>
          <w:rFonts w:ascii="Times New Roman" w:eastAsia="Times New Roman" w:hAnsi="Times New Roman" w:cs="Times New Roman"/>
          <w:kern w:val="0"/>
          <w:sz w:val="24"/>
          <w:szCs w:val="24"/>
          <w:lang w:val="en-US"/>
        </w:rPr>
        <w:t>Gajecki</w:t>
      </w:r>
      <w:proofErr w:type="spellEnd"/>
      <w:r w:rsidRPr="0085052F">
        <w:rPr>
          <w:rFonts w:ascii="Times New Roman" w:eastAsia="Times New Roman" w:hAnsi="Times New Roman" w:cs="Times New Roman"/>
          <w:kern w:val="0"/>
          <w:sz w:val="24"/>
          <w:szCs w:val="24"/>
          <w:lang w:val="en-US"/>
        </w:rPr>
        <w:t xml:space="preserve">, M. (2005). Morphology and ultrastructure of small intestine mucosa in gilts with zearalenone mycotoxicosis. </w:t>
      </w:r>
      <w:r w:rsidRPr="0085052F">
        <w:rPr>
          <w:rFonts w:ascii="Times New Roman" w:eastAsia="Times New Roman" w:hAnsi="Times New Roman" w:cs="Times New Roman"/>
          <w:i/>
          <w:iCs/>
          <w:kern w:val="0"/>
          <w:sz w:val="24"/>
          <w:szCs w:val="24"/>
          <w:lang w:val="en-US"/>
        </w:rPr>
        <w:t>Polish Journal of Veterinary Sciences, 8</w:t>
      </w:r>
      <w:r w:rsidRPr="0085052F">
        <w:rPr>
          <w:rFonts w:ascii="Times New Roman" w:eastAsia="Times New Roman" w:hAnsi="Times New Roman" w:cs="Times New Roman"/>
          <w:kern w:val="0"/>
          <w:sz w:val="24"/>
          <w:szCs w:val="24"/>
          <w:lang w:val="en-US"/>
        </w:rPr>
        <w:t xml:space="preserve">(4), 301–307. </w:t>
      </w:r>
    </w:p>
    <w:p w14:paraId="4FB1D037" w14:textId="77777777" w:rsidR="0085052F" w:rsidRPr="0085052F" w:rsidRDefault="0085052F" w:rsidP="0085052F">
      <w:pPr>
        <w:spacing w:line="240" w:lineRule="auto"/>
        <w:ind w:left="540" w:right="0" w:hanging="540"/>
        <w:jc w:val="both"/>
        <w:rPr>
          <w:rFonts w:ascii="Times New Roman" w:eastAsia="Times New Roman" w:hAnsi="Times New Roman" w:cs="Times New Roman"/>
          <w:kern w:val="0"/>
          <w:sz w:val="24"/>
          <w:szCs w:val="24"/>
          <w:lang w:val="en-US"/>
        </w:rPr>
      </w:pPr>
      <w:r w:rsidRPr="0085052F">
        <w:rPr>
          <w:rFonts w:ascii="Times New Roman" w:eastAsia="Times New Roman" w:hAnsi="Times New Roman" w:cs="Times New Roman"/>
          <w:kern w:val="0"/>
          <w:sz w:val="24"/>
          <w:szCs w:val="24"/>
          <w:lang w:val="en-US"/>
        </w:rPr>
        <w:t xml:space="preserve">Pabst, R., Geist, M., </w:t>
      </w:r>
      <w:proofErr w:type="spellStart"/>
      <w:r w:rsidRPr="0085052F">
        <w:rPr>
          <w:rFonts w:ascii="Times New Roman" w:eastAsia="Times New Roman" w:hAnsi="Times New Roman" w:cs="Times New Roman"/>
          <w:kern w:val="0"/>
          <w:sz w:val="24"/>
          <w:szCs w:val="24"/>
          <w:lang w:val="en-US"/>
        </w:rPr>
        <w:t>Rothkötter</w:t>
      </w:r>
      <w:proofErr w:type="spellEnd"/>
      <w:r w:rsidRPr="0085052F">
        <w:rPr>
          <w:rFonts w:ascii="Times New Roman" w:eastAsia="Times New Roman" w:hAnsi="Times New Roman" w:cs="Times New Roman"/>
          <w:kern w:val="0"/>
          <w:sz w:val="24"/>
          <w:szCs w:val="24"/>
          <w:lang w:val="en-US"/>
        </w:rPr>
        <w:t xml:space="preserve">, H. J., &amp; Fritz, F. J. (1988). Postnatal development and lymphocyte production of jejunal and ileal Peyer’s patches in normal and gnotobiotic pigs. </w:t>
      </w:r>
      <w:r w:rsidRPr="0085052F">
        <w:rPr>
          <w:rFonts w:ascii="Times New Roman" w:eastAsia="Times New Roman" w:hAnsi="Times New Roman" w:cs="Times New Roman"/>
          <w:i/>
          <w:iCs/>
          <w:kern w:val="0"/>
          <w:sz w:val="24"/>
          <w:szCs w:val="24"/>
          <w:lang w:val="en-US"/>
        </w:rPr>
        <w:t>Immunology, 64</w:t>
      </w:r>
      <w:r w:rsidRPr="0085052F">
        <w:rPr>
          <w:rFonts w:ascii="Times New Roman" w:eastAsia="Times New Roman" w:hAnsi="Times New Roman" w:cs="Times New Roman"/>
          <w:kern w:val="0"/>
          <w:sz w:val="24"/>
          <w:szCs w:val="24"/>
          <w:lang w:val="en-US"/>
        </w:rPr>
        <w:t xml:space="preserve">(3), 539–544. </w:t>
      </w:r>
    </w:p>
    <w:p w14:paraId="738DB9B9" w14:textId="77777777" w:rsidR="0085052F" w:rsidRPr="0085052F" w:rsidRDefault="0085052F" w:rsidP="0085052F">
      <w:pPr>
        <w:spacing w:line="240" w:lineRule="auto"/>
        <w:ind w:left="540" w:right="0" w:hanging="540"/>
        <w:jc w:val="both"/>
        <w:rPr>
          <w:rFonts w:ascii="Times New Roman" w:eastAsia="Times New Roman" w:hAnsi="Times New Roman" w:cs="Times New Roman"/>
          <w:kern w:val="0"/>
          <w:sz w:val="24"/>
          <w:szCs w:val="24"/>
          <w:lang w:val="en-US"/>
        </w:rPr>
      </w:pPr>
      <w:r w:rsidRPr="0085052F">
        <w:rPr>
          <w:rFonts w:ascii="Times New Roman" w:eastAsia="Times New Roman" w:hAnsi="Times New Roman" w:cs="Times New Roman"/>
          <w:kern w:val="0"/>
          <w:sz w:val="24"/>
          <w:szCs w:val="24"/>
          <w:lang w:val="en-US"/>
        </w:rPr>
        <w:t xml:space="preserve">Raja, K., </w:t>
      </w:r>
      <w:proofErr w:type="spellStart"/>
      <w:r w:rsidRPr="0085052F">
        <w:rPr>
          <w:rFonts w:ascii="Times New Roman" w:eastAsia="Times New Roman" w:hAnsi="Times New Roman" w:cs="Times New Roman"/>
          <w:kern w:val="0"/>
          <w:sz w:val="24"/>
          <w:szCs w:val="24"/>
          <w:lang w:val="en-US"/>
        </w:rPr>
        <w:t>Ushakumary</w:t>
      </w:r>
      <w:proofErr w:type="spellEnd"/>
      <w:r w:rsidRPr="0085052F">
        <w:rPr>
          <w:rFonts w:ascii="Times New Roman" w:eastAsia="Times New Roman" w:hAnsi="Times New Roman" w:cs="Times New Roman"/>
          <w:kern w:val="0"/>
          <w:sz w:val="24"/>
          <w:szCs w:val="24"/>
          <w:lang w:val="en-US"/>
        </w:rPr>
        <w:t>, S., Rajathi, S., &amp; Ramesh, G. (2022). Histological studies on the duodenum of the guinea pig (</w:t>
      </w:r>
      <w:r w:rsidRPr="0085052F">
        <w:rPr>
          <w:rFonts w:ascii="Times New Roman" w:eastAsia="Times New Roman" w:hAnsi="Times New Roman" w:cs="Times New Roman"/>
          <w:i/>
          <w:iCs/>
          <w:kern w:val="0"/>
          <w:sz w:val="24"/>
          <w:szCs w:val="24"/>
          <w:lang w:val="en-US"/>
        </w:rPr>
        <w:t>Cavia porcellus</w:t>
      </w:r>
      <w:r w:rsidRPr="0085052F">
        <w:rPr>
          <w:rFonts w:ascii="Times New Roman" w:eastAsia="Times New Roman" w:hAnsi="Times New Roman" w:cs="Times New Roman"/>
          <w:kern w:val="0"/>
          <w:sz w:val="24"/>
          <w:szCs w:val="24"/>
          <w:lang w:val="en-US"/>
        </w:rPr>
        <w:t xml:space="preserve">) in postnatal age groups. </w:t>
      </w:r>
      <w:r w:rsidRPr="0085052F">
        <w:rPr>
          <w:rFonts w:ascii="Times New Roman" w:eastAsia="Times New Roman" w:hAnsi="Times New Roman" w:cs="Times New Roman"/>
          <w:i/>
          <w:iCs/>
          <w:kern w:val="0"/>
          <w:sz w:val="24"/>
          <w:szCs w:val="24"/>
          <w:lang w:val="en-US"/>
        </w:rPr>
        <w:t>Indian Journal of Veterinary Anatomy, 34</w:t>
      </w:r>
      <w:r w:rsidRPr="0085052F">
        <w:rPr>
          <w:rFonts w:ascii="Times New Roman" w:eastAsia="Times New Roman" w:hAnsi="Times New Roman" w:cs="Times New Roman"/>
          <w:kern w:val="0"/>
          <w:sz w:val="24"/>
          <w:szCs w:val="24"/>
          <w:lang w:val="en-US"/>
        </w:rPr>
        <w:t xml:space="preserve">(1), 58–63. </w:t>
      </w:r>
    </w:p>
    <w:p w14:paraId="1F1AF60E" w14:textId="77777777" w:rsidR="0085052F" w:rsidRPr="0085052F" w:rsidRDefault="0085052F" w:rsidP="0085052F">
      <w:pPr>
        <w:spacing w:line="240" w:lineRule="auto"/>
        <w:ind w:left="540" w:right="0" w:hanging="540"/>
        <w:jc w:val="both"/>
        <w:rPr>
          <w:rFonts w:ascii="Times New Roman" w:eastAsia="Times New Roman" w:hAnsi="Times New Roman" w:cs="Times New Roman"/>
          <w:kern w:val="0"/>
          <w:sz w:val="24"/>
          <w:szCs w:val="24"/>
          <w:lang w:val="en-US"/>
        </w:rPr>
      </w:pPr>
      <w:proofErr w:type="spellStart"/>
      <w:r w:rsidRPr="0085052F">
        <w:rPr>
          <w:rFonts w:ascii="Times New Roman" w:eastAsia="Times New Roman" w:hAnsi="Times New Roman" w:cs="Times New Roman"/>
          <w:kern w:val="0"/>
          <w:sz w:val="24"/>
          <w:szCs w:val="24"/>
          <w:lang w:val="en-US"/>
        </w:rPr>
        <w:t>Rothkötter</w:t>
      </w:r>
      <w:proofErr w:type="spellEnd"/>
      <w:r w:rsidRPr="0085052F">
        <w:rPr>
          <w:rFonts w:ascii="Times New Roman" w:eastAsia="Times New Roman" w:hAnsi="Times New Roman" w:cs="Times New Roman"/>
          <w:kern w:val="0"/>
          <w:sz w:val="24"/>
          <w:szCs w:val="24"/>
          <w:lang w:val="en-US"/>
        </w:rPr>
        <w:t xml:space="preserve">, H. J., Ulbrich, H., &amp; Pabst, R. (1991). The postnatal development of gut lamina propria lymphocytes: Number, proliferation, and T and B cell subsets in conventional and germ-free pigs. </w:t>
      </w:r>
      <w:r w:rsidRPr="0085052F">
        <w:rPr>
          <w:rFonts w:ascii="Times New Roman" w:eastAsia="Times New Roman" w:hAnsi="Times New Roman" w:cs="Times New Roman"/>
          <w:i/>
          <w:iCs/>
          <w:kern w:val="0"/>
          <w:sz w:val="24"/>
          <w:szCs w:val="24"/>
          <w:lang w:val="en-US"/>
        </w:rPr>
        <w:t>Pediatric Research, 29</w:t>
      </w:r>
      <w:r w:rsidRPr="0085052F">
        <w:rPr>
          <w:rFonts w:ascii="Times New Roman" w:eastAsia="Times New Roman" w:hAnsi="Times New Roman" w:cs="Times New Roman"/>
          <w:kern w:val="0"/>
          <w:sz w:val="24"/>
          <w:szCs w:val="24"/>
          <w:lang w:val="en-US"/>
        </w:rPr>
        <w:t xml:space="preserve">(3), 237–242. </w:t>
      </w:r>
      <w:hyperlink r:id="rId36" w:history="1">
        <w:r w:rsidRPr="0085052F">
          <w:rPr>
            <w:rFonts w:ascii="Times New Roman" w:eastAsia="Times New Roman" w:hAnsi="Times New Roman" w:cs="Times New Roman"/>
            <w:color w:val="0000FF"/>
            <w:kern w:val="0"/>
            <w:sz w:val="24"/>
            <w:szCs w:val="24"/>
            <w:u w:val="single"/>
            <w:lang w:val="en-US"/>
          </w:rPr>
          <w:t>https://doi.org/10.1203/00006450-199103000-00004</w:t>
        </w:r>
      </w:hyperlink>
    </w:p>
    <w:p w14:paraId="685E36B3" w14:textId="77777777" w:rsidR="0085052F" w:rsidRPr="0085052F" w:rsidRDefault="0085052F" w:rsidP="0085052F">
      <w:pPr>
        <w:spacing w:line="240" w:lineRule="auto"/>
        <w:ind w:left="540" w:right="0" w:hanging="540"/>
        <w:jc w:val="both"/>
        <w:rPr>
          <w:rFonts w:ascii="Times New Roman" w:eastAsia="Times New Roman" w:hAnsi="Times New Roman" w:cs="Times New Roman"/>
          <w:kern w:val="0"/>
          <w:sz w:val="24"/>
          <w:szCs w:val="24"/>
          <w:lang w:val="en-US"/>
        </w:rPr>
      </w:pPr>
      <w:r w:rsidRPr="0085052F">
        <w:rPr>
          <w:rFonts w:ascii="Times New Roman" w:eastAsia="Times New Roman" w:hAnsi="Times New Roman" w:cs="Times New Roman"/>
          <w:kern w:val="0"/>
          <w:sz w:val="24"/>
          <w:szCs w:val="24"/>
          <w:lang w:val="en-US"/>
        </w:rPr>
        <w:lastRenderedPageBreak/>
        <w:t xml:space="preserve">Saleh, T. F., Ahmed, N. S., &amp; </w:t>
      </w:r>
      <w:proofErr w:type="spellStart"/>
      <w:r w:rsidRPr="0085052F">
        <w:rPr>
          <w:rFonts w:ascii="Times New Roman" w:eastAsia="Times New Roman" w:hAnsi="Times New Roman" w:cs="Times New Roman"/>
          <w:kern w:val="0"/>
          <w:sz w:val="24"/>
          <w:szCs w:val="24"/>
          <w:lang w:val="en-US"/>
        </w:rPr>
        <w:t>Abduljawaad</w:t>
      </w:r>
      <w:proofErr w:type="spellEnd"/>
      <w:r w:rsidRPr="0085052F">
        <w:rPr>
          <w:rFonts w:ascii="Times New Roman" w:eastAsia="Times New Roman" w:hAnsi="Times New Roman" w:cs="Times New Roman"/>
          <w:kern w:val="0"/>
          <w:sz w:val="24"/>
          <w:szCs w:val="24"/>
          <w:lang w:val="en-US"/>
        </w:rPr>
        <w:t xml:space="preserve">, A. N. (2022). Histological and histochemical study of Brunner’s glands in local adult cows. </w:t>
      </w:r>
      <w:r w:rsidRPr="0085052F">
        <w:rPr>
          <w:rFonts w:ascii="Times New Roman" w:eastAsia="Times New Roman" w:hAnsi="Times New Roman" w:cs="Times New Roman"/>
          <w:i/>
          <w:iCs/>
          <w:kern w:val="0"/>
          <w:sz w:val="24"/>
          <w:szCs w:val="24"/>
          <w:lang w:val="en-US"/>
        </w:rPr>
        <w:t>Basrah Journal of Veterinary Research, 18</w:t>
      </w:r>
      <w:r w:rsidRPr="0085052F">
        <w:rPr>
          <w:rFonts w:ascii="Times New Roman" w:eastAsia="Times New Roman" w:hAnsi="Times New Roman" w:cs="Times New Roman"/>
          <w:kern w:val="0"/>
          <w:sz w:val="24"/>
          <w:szCs w:val="24"/>
          <w:lang w:val="en-US"/>
        </w:rPr>
        <w:t xml:space="preserve">(2), 248–257. </w:t>
      </w:r>
      <w:hyperlink r:id="rId37" w:history="1">
        <w:r w:rsidRPr="0085052F">
          <w:rPr>
            <w:rFonts w:ascii="Times New Roman" w:eastAsia="Times New Roman" w:hAnsi="Times New Roman" w:cs="Times New Roman"/>
            <w:color w:val="0000FF"/>
            <w:kern w:val="0"/>
            <w:sz w:val="24"/>
            <w:szCs w:val="24"/>
            <w:u w:val="single"/>
            <w:lang w:val="en-US"/>
          </w:rPr>
          <w:t>https://doi.org/10.23975/bjvetr.2022.172825</w:t>
        </w:r>
      </w:hyperlink>
    </w:p>
    <w:p w14:paraId="0165530A" w14:textId="77777777" w:rsidR="0085052F" w:rsidRPr="0085052F" w:rsidRDefault="0085052F" w:rsidP="0085052F">
      <w:pPr>
        <w:spacing w:line="240" w:lineRule="auto"/>
        <w:ind w:left="540" w:right="0" w:hanging="540"/>
        <w:jc w:val="both"/>
        <w:rPr>
          <w:rFonts w:ascii="Times New Roman" w:eastAsia="Times New Roman" w:hAnsi="Times New Roman" w:cs="Times New Roman"/>
          <w:kern w:val="0"/>
          <w:sz w:val="24"/>
          <w:szCs w:val="24"/>
          <w:lang w:val="en-US"/>
        </w:rPr>
      </w:pPr>
      <w:r w:rsidRPr="0085052F">
        <w:rPr>
          <w:rFonts w:ascii="Times New Roman" w:eastAsia="Times New Roman" w:hAnsi="Times New Roman" w:cs="Times New Roman"/>
          <w:kern w:val="0"/>
          <w:sz w:val="24"/>
          <w:szCs w:val="24"/>
          <w:lang w:val="nl-BE"/>
        </w:rPr>
        <w:t xml:space="preserve">Schaaf, C. R., &amp; Gonzalez, L. M. (2022). </w:t>
      </w:r>
      <w:r w:rsidRPr="0085052F">
        <w:rPr>
          <w:rFonts w:ascii="Times New Roman" w:eastAsia="Times New Roman" w:hAnsi="Times New Roman" w:cs="Times New Roman"/>
          <w:kern w:val="0"/>
          <w:sz w:val="24"/>
          <w:szCs w:val="24"/>
          <w:lang w:val="en-US"/>
        </w:rPr>
        <w:t xml:space="preserve">Use of translational, genetically modified porcine models to ultimately improve intestinal disease treatment. </w:t>
      </w:r>
      <w:r w:rsidRPr="0085052F">
        <w:rPr>
          <w:rFonts w:ascii="Times New Roman" w:eastAsia="Times New Roman" w:hAnsi="Times New Roman" w:cs="Times New Roman"/>
          <w:i/>
          <w:iCs/>
          <w:kern w:val="0"/>
          <w:sz w:val="24"/>
          <w:szCs w:val="24"/>
          <w:lang w:val="en-US"/>
        </w:rPr>
        <w:t>Frontiers in Veterinary Science, 9</w:t>
      </w:r>
      <w:r w:rsidRPr="0085052F">
        <w:rPr>
          <w:rFonts w:ascii="Times New Roman" w:eastAsia="Times New Roman" w:hAnsi="Times New Roman" w:cs="Times New Roman"/>
          <w:kern w:val="0"/>
          <w:sz w:val="24"/>
          <w:szCs w:val="24"/>
          <w:lang w:val="en-US"/>
        </w:rPr>
        <w:t xml:space="preserve">, 878952. </w:t>
      </w:r>
      <w:hyperlink r:id="rId38" w:history="1">
        <w:r w:rsidRPr="0085052F">
          <w:rPr>
            <w:rFonts w:ascii="Times New Roman" w:eastAsia="Times New Roman" w:hAnsi="Times New Roman" w:cs="Times New Roman"/>
            <w:color w:val="0000FF"/>
            <w:kern w:val="0"/>
            <w:sz w:val="24"/>
            <w:szCs w:val="24"/>
            <w:u w:val="single"/>
            <w:lang w:val="en-US"/>
          </w:rPr>
          <w:t>https://doi.org/10.3389/fvets.2022.878952</w:t>
        </w:r>
      </w:hyperlink>
    </w:p>
    <w:p w14:paraId="272F4A3A" w14:textId="77777777" w:rsidR="0085052F" w:rsidRPr="0085052F" w:rsidRDefault="0085052F" w:rsidP="0085052F">
      <w:pPr>
        <w:spacing w:line="240" w:lineRule="auto"/>
        <w:ind w:left="540" w:right="0" w:hanging="540"/>
        <w:jc w:val="both"/>
        <w:rPr>
          <w:rFonts w:ascii="Times New Roman" w:eastAsia="Times New Roman" w:hAnsi="Times New Roman" w:cs="Times New Roman"/>
          <w:kern w:val="0"/>
          <w:sz w:val="24"/>
          <w:szCs w:val="24"/>
          <w:lang w:val="en-US"/>
        </w:rPr>
      </w:pPr>
      <w:r w:rsidRPr="0085052F">
        <w:rPr>
          <w:rFonts w:ascii="Times New Roman" w:eastAsia="Times New Roman" w:hAnsi="Times New Roman" w:cs="Times New Roman"/>
          <w:kern w:val="0"/>
          <w:sz w:val="24"/>
          <w:szCs w:val="24"/>
          <w:lang w:val="nl-BE"/>
        </w:rPr>
        <w:t xml:space="preserve">Siddiqi, M. N. H., Nasrin, M., Awal, M. A., &amp; Kashem, M. A. (2011). </w:t>
      </w:r>
      <w:r w:rsidRPr="0085052F">
        <w:rPr>
          <w:rFonts w:ascii="Times New Roman" w:eastAsia="Times New Roman" w:hAnsi="Times New Roman" w:cs="Times New Roman"/>
          <w:kern w:val="0"/>
          <w:sz w:val="24"/>
          <w:szCs w:val="24"/>
          <w:lang w:val="en-US"/>
        </w:rPr>
        <w:t xml:space="preserve">Histology and histochemistry of the duodenum of Black Bengal goat in Bangladesh. </w:t>
      </w:r>
      <w:r w:rsidRPr="0085052F">
        <w:rPr>
          <w:rFonts w:ascii="Times New Roman" w:eastAsia="Times New Roman" w:hAnsi="Times New Roman" w:cs="Times New Roman"/>
          <w:i/>
          <w:iCs/>
          <w:kern w:val="0"/>
          <w:sz w:val="24"/>
          <w:szCs w:val="24"/>
          <w:lang w:val="en-US"/>
        </w:rPr>
        <w:t xml:space="preserve">International Journal of </w:t>
      </w:r>
      <w:proofErr w:type="spellStart"/>
      <w:r w:rsidRPr="0085052F">
        <w:rPr>
          <w:rFonts w:ascii="Times New Roman" w:eastAsia="Times New Roman" w:hAnsi="Times New Roman" w:cs="Times New Roman"/>
          <w:i/>
          <w:iCs/>
          <w:kern w:val="0"/>
          <w:sz w:val="24"/>
          <w:szCs w:val="24"/>
          <w:lang w:val="en-US"/>
        </w:rPr>
        <w:t>BioResearch</w:t>
      </w:r>
      <w:proofErr w:type="spellEnd"/>
      <w:r w:rsidRPr="0085052F">
        <w:rPr>
          <w:rFonts w:ascii="Times New Roman" w:eastAsia="Times New Roman" w:hAnsi="Times New Roman" w:cs="Times New Roman"/>
          <w:i/>
          <w:iCs/>
          <w:kern w:val="0"/>
          <w:sz w:val="24"/>
          <w:szCs w:val="24"/>
          <w:lang w:val="en-US"/>
        </w:rPr>
        <w:t>, 1</w:t>
      </w:r>
      <w:r w:rsidRPr="0085052F">
        <w:rPr>
          <w:rFonts w:ascii="Times New Roman" w:eastAsia="Times New Roman" w:hAnsi="Times New Roman" w:cs="Times New Roman"/>
          <w:kern w:val="0"/>
          <w:sz w:val="24"/>
          <w:szCs w:val="24"/>
          <w:lang w:val="en-US"/>
        </w:rPr>
        <w:t xml:space="preserve">(1), 1–4. </w:t>
      </w:r>
    </w:p>
    <w:p w14:paraId="5C3F5143" w14:textId="77777777" w:rsidR="0085052F" w:rsidRPr="0085052F" w:rsidRDefault="0085052F" w:rsidP="0085052F">
      <w:pPr>
        <w:spacing w:line="240" w:lineRule="auto"/>
        <w:ind w:left="540" w:right="0" w:hanging="540"/>
        <w:jc w:val="both"/>
        <w:rPr>
          <w:rFonts w:ascii="Times New Roman" w:eastAsia="Times New Roman" w:hAnsi="Times New Roman" w:cs="Times New Roman"/>
          <w:kern w:val="0"/>
          <w:sz w:val="24"/>
          <w:szCs w:val="24"/>
          <w:lang w:val="en-US"/>
        </w:rPr>
      </w:pPr>
      <w:r w:rsidRPr="0085052F">
        <w:rPr>
          <w:rFonts w:ascii="Times New Roman" w:eastAsia="Times New Roman" w:hAnsi="Times New Roman" w:cs="Times New Roman"/>
          <w:kern w:val="0"/>
          <w:sz w:val="24"/>
          <w:szCs w:val="24"/>
          <w:lang w:val="nl-BE"/>
        </w:rPr>
        <w:t xml:space="preserve">Simawy, M. S. H., Fadhil, M., &amp; Kadhim, K. H. (2024). </w:t>
      </w:r>
      <w:r w:rsidRPr="0085052F">
        <w:rPr>
          <w:rFonts w:ascii="Times New Roman" w:eastAsia="Times New Roman" w:hAnsi="Times New Roman" w:cs="Times New Roman"/>
          <w:kern w:val="0"/>
          <w:sz w:val="24"/>
          <w:szCs w:val="24"/>
          <w:lang w:val="en-US"/>
        </w:rPr>
        <w:t xml:space="preserve">Study of Brunner’s glands using histology and histochemistry in various age groups of cats, dogs and goats. </w:t>
      </w:r>
      <w:r w:rsidRPr="0085052F">
        <w:rPr>
          <w:rFonts w:ascii="Times New Roman" w:eastAsia="Times New Roman" w:hAnsi="Times New Roman" w:cs="Times New Roman"/>
          <w:i/>
          <w:iCs/>
          <w:kern w:val="0"/>
          <w:sz w:val="24"/>
          <w:szCs w:val="24"/>
          <w:lang w:val="en-US"/>
        </w:rPr>
        <w:t>South Asian Research Journal of Biology and Applied Biosciences, 6</w:t>
      </w:r>
      <w:r w:rsidRPr="0085052F">
        <w:rPr>
          <w:rFonts w:ascii="Times New Roman" w:eastAsia="Times New Roman" w:hAnsi="Times New Roman" w:cs="Times New Roman"/>
          <w:kern w:val="0"/>
          <w:sz w:val="24"/>
          <w:szCs w:val="24"/>
          <w:lang w:val="en-US"/>
        </w:rPr>
        <w:t xml:space="preserve">(5), 184–193. </w:t>
      </w:r>
      <w:hyperlink r:id="rId39" w:history="1">
        <w:r w:rsidRPr="0085052F">
          <w:rPr>
            <w:rFonts w:ascii="Times New Roman" w:eastAsia="Times New Roman" w:hAnsi="Times New Roman" w:cs="Times New Roman"/>
            <w:color w:val="0000FF"/>
            <w:kern w:val="0"/>
            <w:sz w:val="24"/>
            <w:szCs w:val="24"/>
            <w:u w:val="single"/>
            <w:lang w:val="en-US"/>
          </w:rPr>
          <w:t>https://doi.org/10.36346/sarjbab.2024.v06i05.005</w:t>
        </w:r>
      </w:hyperlink>
    </w:p>
    <w:p w14:paraId="041D538B" w14:textId="77777777" w:rsidR="0085052F" w:rsidRPr="0085052F" w:rsidRDefault="0085052F" w:rsidP="0085052F">
      <w:pPr>
        <w:spacing w:line="240" w:lineRule="auto"/>
        <w:ind w:left="540" w:right="0" w:hanging="540"/>
        <w:jc w:val="both"/>
        <w:rPr>
          <w:rFonts w:ascii="Times New Roman" w:eastAsia="Times New Roman" w:hAnsi="Times New Roman" w:cs="Times New Roman"/>
          <w:kern w:val="0"/>
          <w:sz w:val="24"/>
          <w:szCs w:val="24"/>
          <w:lang w:val="en-US"/>
        </w:rPr>
      </w:pPr>
      <w:r w:rsidRPr="0085052F">
        <w:rPr>
          <w:rFonts w:ascii="Times New Roman" w:eastAsia="Times New Roman" w:hAnsi="Times New Roman" w:cs="Times New Roman"/>
          <w:kern w:val="0"/>
          <w:sz w:val="24"/>
          <w:szCs w:val="24"/>
          <w:lang w:val="en-US"/>
        </w:rPr>
        <w:t xml:space="preserve">Singh, U. B., &amp; Sulochana, S. (1996). </w:t>
      </w:r>
      <w:r w:rsidRPr="0085052F">
        <w:rPr>
          <w:rFonts w:ascii="Times New Roman" w:eastAsia="Times New Roman" w:hAnsi="Times New Roman" w:cs="Times New Roman"/>
          <w:i/>
          <w:iCs/>
          <w:kern w:val="0"/>
          <w:sz w:val="24"/>
          <w:szCs w:val="24"/>
          <w:lang w:val="en-US"/>
        </w:rPr>
        <w:t>Handbook of histological and histochemical techniques</w:t>
      </w:r>
      <w:r w:rsidRPr="0085052F">
        <w:rPr>
          <w:rFonts w:ascii="Times New Roman" w:eastAsia="Times New Roman" w:hAnsi="Times New Roman" w:cs="Times New Roman"/>
          <w:kern w:val="0"/>
          <w:sz w:val="24"/>
          <w:szCs w:val="24"/>
          <w:lang w:val="en-US"/>
        </w:rPr>
        <w:t xml:space="preserve"> (2nd ed.). Premier Publishing House. </w:t>
      </w:r>
    </w:p>
    <w:p w14:paraId="741AAF58" w14:textId="77777777" w:rsidR="0085052F" w:rsidRPr="0085052F" w:rsidRDefault="0085052F" w:rsidP="0085052F">
      <w:pPr>
        <w:spacing w:line="240" w:lineRule="auto"/>
        <w:ind w:left="540" w:right="0" w:hanging="540"/>
        <w:jc w:val="both"/>
        <w:rPr>
          <w:rFonts w:ascii="Times New Roman" w:eastAsia="Times New Roman" w:hAnsi="Times New Roman" w:cs="Times New Roman"/>
          <w:kern w:val="0"/>
          <w:sz w:val="24"/>
          <w:szCs w:val="24"/>
          <w:lang w:val="en-US"/>
        </w:rPr>
      </w:pPr>
      <w:r w:rsidRPr="0085052F">
        <w:rPr>
          <w:rFonts w:ascii="Times New Roman" w:eastAsia="Times New Roman" w:hAnsi="Times New Roman" w:cs="Times New Roman"/>
          <w:kern w:val="0"/>
          <w:sz w:val="24"/>
          <w:szCs w:val="24"/>
          <w:lang w:val="en-US"/>
        </w:rPr>
        <w:t xml:space="preserve">Singh, T. S., </w:t>
      </w:r>
      <w:proofErr w:type="spellStart"/>
      <w:r w:rsidRPr="0085052F">
        <w:rPr>
          <w:rFonts w:ascii="Times New Roman" w:eastAsia="Times New Roman" w:hAnsi="Times New Roman" w:cs="Times New Roman"/>
          <w:kern w:val="0"/>
          <w:sz w:val="24"/>
          <w:szCs w:val="24"/>
          <w:lang w:val="en-US"/>
        </w:rPr>
        <w:t>Sathyamoorthy</w:t>
      </w:r>
      <w:proofErr w:type="spellEnd"/>
      <w:r w:rsidRPr="0085052F">
        <w:rPr>
          <w:rFonts w:ascii="Times New Roman" w:eastAsia="Times New Roman" w:hAnsi="Times New Roman" w:cs="Times New Roman"/>
          <w:kern w:val="0"/>
          <w:sz w:val="24"/>
          <w:szCs w:val="24"/>
          <w:lang w:val="en-US"/>
        </w:rPr>
        <w:t xml:space="preserve">, O. R., Basha, S. H., </w:t>
      </w:r>
      <w:proofErr w:type="spellStart"/>
      <w:r w:rsidRPr="0085052F">
        <w:rPr>
          <w:rFonts w:ascii="Times New Roman" w:eastAsia="Times New Roman" w:hAnsi="Times New Roman" w:cs="Times New Roman"/>
          <w:kern w:val="0"/>
          <w:sz w:val="24"/>
          <w:szCs w:val="24"/>
          <w:lang w:val="en-US"/>
        </w:rPr>
        <w:t>Ushakumary</w:t>
      </w:r>
      <w:proofErr w:type="spellEnd"/>
      <w:r w:rsidRPr="0085052F">
        <w:rPr>
          <w:rFonts w:ascii="Times New Roman" w:eastAsia="Times New Roman" w:hAnsi="Times New Roman" w:cs="Times New Roman"/>
          <w:kern w:val="0"/>
          <w:sz w:val="24"/>
          <w:szCs w:val="24"/>
          <w:lang w:val="en-US"/>
        </w:rPr>
        <w:t xml:space="preserve">, S., &amp; Raja, K. (2021). </w:t>
      </w:r>
      <w:proofErr w:type="spellStart"/>
      <w:r w:rsidRPr="0085052F">
        <w:rPr>
          <w:rFonts w:ascii="Times New Roman" w:eastAsia="Times New Roman" w:hAnsi="Times New Roman" w:cs="Times New Roman"/>
          <w:kern w:val="0"/>
          <w:sz w:val="24"/>
          <w:szCs w:val="24"/>
          <w:lang w:val="en-US"/>
        </w:rPr>
        <w:t>Histomorphological</w:t>
      </w:r>
      <w:proofErr w:type="spellEnd"/>
      <w:r w:rsidRPr="0085052F">
        <w:rPr>
          <w:rFonts w:ascii="Times New Roman" w:eastAsia="Times New Roman" w:hAnsi="Times New Roman" w:cs="Times New Roman"/>
          <w:kern w:val="0"/>
          <w:sz w:val="24"/>
          <w:szCs w:val="24"/>
          <w:lang w:val="en-US"/>
        </w:rPr>
        <w:t xml:space="preserve">, </w:t>
      </w:r>
      <w:proofErr w:type="spellStart"/>
      <w:r w:rsidRPr="0085052F">
        <w:rPr>
          <w:rFonts w:ascii="Times New Roman" w:eastAsia="Times New Roman" w:hAnsi="Times New Roman" w:cs="Times New Roman"/>
          <w:kern w:val="0"/>
          <w:sz w:val="24"/>
          <w:szCs w:val="24"/>
          <w:lang w:val="en-US"/>
        </w:rPr>
        <w:t>histomorphometrical</w:t>
      </w:r>
      <w:proofErr w:type="spellEnd"/>
      <w:r w:rsidRPr="0085052F">
        <w:rPr>
          <w:rFonts w:ascii="Times New Roman" w:eastAsia="Times New Roman" w:hAnsi="Times New Roman" w:cs="Times New Roman"/>
          <w:kern w:val="0"/>
          <w:sz w:val="24"/>
          <w:szCs w:val="24"/>
          <w:lang w:val="en-US"/>
        </w:rPr>
        <w:t xml:space="preserve"> and histochemical studies on the small intestine of Large White Yorkshire pig (</w:t>
      </w:r>
      <w:r w:rsidRPr="0085052F">
        <w:rPr>
          <w:rFonts w:ascii="Times New Roman" w:eastAsia="Times New Roman" w:hAnsi="Times New Roman" w:cs="Times New Roman"/>
          <w:i/>
          <w:iCs/>
          <w:kern w:val="0"/>
          <w:sz w:val="24"/>
          <w:szCs w:val="24"/>
          <w:lang w:val="en-US"/>
        </w:rPr>
        <w:t xml:space="preserve">Sus scrofa </w:t>
      </w:r>
      <w:proofErr w:type="spellStart"/>
      <w:r w:rsidRPr="0085052F">
        <w:rPr>
          <w:rFonts w:ascii="Times New Roman" w:eastAsia="Times New Roman" w:hAnsi="Times New Roman" w:cs="Times New Roman"/>
          <w:i/>
          <w:iCs/>
          <w:kern w:val="0"/>
          <w:sz w:val="24"/>
          <w:szCs w:val="24"/>
          <w:lang w:val="en-US"/>
        </w:rPr>
        <w:t>domesticus</w:t>
      </w:r>
      <w:proofErr w:type="spellEnd"/>
      <w:r w:rsidRPr="0085052F">
        <w:rPr>
          <w:rFonts w:ascii="Times New Roman" w:eastAsia="Times New Roman" w:hAnsi="Times New Roman" w:cs="Times New Roman"/>
          <w:kern w:val="0"/>
          <w:sz w:val="24"/>
          <w:szCs w:val="24"/>
          <w:lang w:val="en-US"/>
        </w:rPr>
        <w:t xml:space="preserve">). </w:t>
      </w:r>
      <w:r w:rsidRPr="0085052F">
        <w:rPr>
          <w:rFonts w:ascii="Times New Roman" w:eastAsia="Times New Roman" w:hAnsi="Times New Roman" w:cs="Times New Roman"/>
          <w:i/>
          <w:iCs/>
          <w:kern w:val="0"/>
          <w:sz w:val="24"/>
          <w:szCs w:val="24"/>
          <w:lang w:val="en-US"/>
        </w:rPr>
        <w:t>International Journal of Livestock Research, 11</w:t>
      </w:r>
      <w:r w:rsidRPr="0085052F">
        <w:rPr>
          <w:rFonts w:ascii="Times New Roman" w:eastAsia="Times New Roman" w:hAnsi="Times New Roman" w:cs="Times New Roman"/>
          <w:kern w:val="0"/>
          <w:sz w:val="24"/>
          <w:szCs w:val="24"/>
          <w:lang w:val="en-US"/>
        </w:rPr>
        <w:t xml:space="preserve">(2), 59–66. </w:t>
      </w:r>
      <w:hyperlink r:id="rId40" w:history="1">
        <w:r w:rsidRPr="0085052F">
          <w:rPr>
            <w:rFonts w:ascii="Times New Roman" w:eastAsia="Times New Roman" w:hAnsi="Times New Roman" w:cs="Times New Roman"/>
            <w:color w:val="0000FF"/>
            <w:kern w:val="0"/>
            <w:sz w:val="24"/>
            <w:szCs w:val="24"/>
            <w:u w:val="single"/>
            <w:lang w:val="en-US"/>
          </w:rPr>
          <w:t>https://doi.org/10.5455/ijlr.20201210105527</w:t>
        </w:r>
      </w:hyperlink>
    </w:p>
    <w:p w14:paraId="3EC5B77C" w14:textId="77777777" w:rsidR="0085052F" w:rsidRPr="0085052F" w:rsidRDefault="0085052F" w:rsidP="0085052F">
      <w:pPr>
        <w:spacing w:line="240" w:lineRule="auto"/>
        <w:ind w:left="540" w:right="0" w:hanging="540"/>
        <w:jc w:val="both"/>
        <w:rPr>
          <w:rFonts w:ascii="Times New Roman" w:eastAsia="Times New Roman" w:hAnsi="Times New Roman" w:cs="Times New Roman"/>
          <w:kern w:val="0"/>
          <w:sz w:val="24"/>
          <w:szCs w:val="24"/>
          <w:lang w:val="en-US"/>
        </w:rPr>
      </w:pPr>
      <w:r w:rsidRPr="0085052F">
        <w:rPr>
          <w:rFonts w:ascii="Times New Roman" w:eastAsia="Times New Roman" w:hAnsi="Times New Roman" w:cs="Times New Roman"/>
          <w:kern w:val="0"/>
          <w:sz w:val="24"/>
          <w:szCs w:val="24"/>
          <w:lang w:val="en-US"/>
        </w:rPr>
        <w:t xml:space="preserve">Singh, I. (1971). The distribution of Paneth cells in the human small intestine. </w:t>
      </w:r>
      <w:proofErr w:type="spellStart"/>
      <w:r w:rsidRPr="0085052F">
        <w:rPr>
          <w:rFonts w:ascii="Times New Roman" w:eastAsia="Times New Roman" w:hAnsi="Times New Roman" w:cs="Times New Roman"/>
          <w:i/>
          <w:iCs/>
          <w:kern w:val="0"/>
          <w:sz w:val="24"/>
          <w:szCs w:val="24"/>
          <w:lang w:val="en-US"/>
        </w:rPr>
        <w:t>Anatomischer</w:t>
      </w:r>
      <w:proofErr w:type="spellEnd"/>
      <w:r w:rsidRPr="0085052F">
        <w:rPr>
          <w:rFonts w:ascii="Times New Roman" w:eastAsia="Times New Roman" w:hAnsi="Times New Roman" w:cs="Times New Roman"/>
          <w:i/>
          <w:iCs/>
          <w:kern w:val="0"/>
          <w:sz w:val="24"/>
          <w:szCs w:val="24"/>
          <w:lang w:val="en-US"/>
        </w:rPr>
        <w:t xml:space="preserve"> Anzeiger, 128</w:t>
      </w:r>
      <w:r w:rsidRPr="0085052F">
        <w:rPr>
          <w:rFonts w:ascii="Times New Roman" w:eastAsia="Times New Roman" w:hAnsi="Times New Roman" w:cs="Times New Roman"/>
          <w:kern w:val="0"/>
          <w:sz w:val="24"/>
          <w:szCs w:val="24"/>
          <w:lang w:val="en-US"/>
        </w:rPr>
        <w:t xml:space="preserve">(1), 60–65. </w:t>
      </w:r>
    </w:p>
    <w:p w14:paraId="421CD4E8" w14:textId="77777777" w:rsidR="0085052F" w:rsidRPr="0085052F" w:rsidRDefault="0085052F" w:rsidP="0085052F">
      <w:pPr>
        <w:spacing w:line="240" w:lineRule="auto"/>
        <w:ind w:left="540" w:right="0" w:hanging="540"/>
        <w:jc w:val="both"/>
        <w:rPr>
          <w:rFonts w:ascii="Times New Roman" w:eastAsia="Times New Roman" w:hAnsi="Times New Roman" w:cs="Times New Roman"/>
          <w:kern w:val="0"/>
          <w:sz w:val="24"/>
          <w:szCs w:val="24"/>
          <w:lang w:val="en-US"/>
        </w:rPr>
      </w:pPr>
      <w:r w:rsidRPr="0085052F">
        <w:rPr>
          <w:rFonts w:ascii="Times New Roman" w:eastAsia="Times New Roman" w:hAnsi="Times New Roman" w:cs="Times New Roman"/>
          <w:kern w:val="0"/>
          <w:sz w:val="24"/>
          <w:szCs w:val="24"/>
          <w:lang w:val="en-US"/>
        </w:rPr>
        <w:t xml:space="preserve">Skrzypek, T. H., </w:t>
      </w:r>
      <w:proofErr w:type="spellStart"/>
      <w:r w:rsidRPr="0085052F">
        <w:rPr>
          <w:rFonts w:ascii="Times New Roman" w:eastAsia="Times New Roman" w:hAnsi="Times New Roman" w:cs="Times New Roman"/>
          <w:kern w:val="0"/>
          <w:sz w:val="24"/>
          <w:szCs w:val="24"/>
          <w:lang w:val="en-US"/>
        </w:rPr>
        <w:t>Kazimierczak</w:t>
      </w:r>
      <w:proofErr w:type="spellEnd"/>
      <w:r w:rsidRPr="0085052F">
        <w:rPr>
          <w:rFonts w:ascii="Times New Roman" w:eastAsia="Times New Roman" w:hAnsi="Times New Roman" w:cs="Times New Roman"/>
          <w:kern w:val="0"/>
          <w:sz w:val="24"/>
          <w:szCs w:val="24"/>
          <w:lang w:val="en-US"/>
        </w:rPr>
        <w:t xml:space="preserve">, W., Skrzypek, H., Valverde Piedra, J. L., Godlewski, M. M., &amp; Zabielski, R. (2018). Mechanisms involved in the development of the small intestine mucosal layer in postnatal piglets. </w:t>
      </w:r>
      <w:r w:rsidRPr="0085052F">
        <w:rPr>
          <w:rFonts w:ascii="Times New Roman" w:eastAsia="Times New Roman" w:hAnsi="Times New Roman" w:cs="Times New Roman"/>
          <w:i/>
          <w:iCs/>
          <w:kern w:val="0"/>
          <w:sz w:val="24"/>
          <w:szCs w:val="24"/>
          <w:lang w:val="en-US"/>
        </w:rPr>
        <w:t>Journal of Physiology and Pharmacology, 69</w:t>
      </w:r>
      <w:r w:rsidRPr="0085052F">
        <w:rPr>
          <w:rFonts w:ascii="Times New Roman" w:eastAsia="Times New Roman" w:hAnsi="Times New Roman" w:cs="Times New Roman"/>
          <w:kern w:val="0"/>
          <w:sz w:val="24"/>
          <w:szCs w:val="24"/>
          <w:lang w:val="en-US"/>
        </w:rPr>
        <w:t xml:space="preserve">(1), 127–138. </w:t>
      </w:r>
      <w:hyperlink r:id="rId41" w:history="1">
        <w:r w:rsidRPr="0085052F">
          <w:rPr>
            <w:rFonts w:ascii="Times New Roman" w:eastAsia="Times New Roman" w:hAnsi="Times New Roman" w:cs="Times New Roman"/>
            <w:color w:val="0000FF"/>
            <w:kern w:val="0"/>
            <w:sz w:val="24"/>
            <w:szCs w:val="24"/>
            <w:u w:val="single"/>
            <w:lang w:val="en-US"/>
          </w:rPr>
          <w:t>https://doi.org/10.26402/jpp.2018.1.14</w:t>
        </w:r>
      </w:hyperlink>
    </w:p>
    <w:p w14:paraId="67209F59" w14:textId="77777777" w:rsidR="0085052F" w:rsidRPr="0085052F" w:rsidRDefault="0085052F" w:rsidP="0085052F">
      <w:pPr>
        <w:spacing w:line="240" w:lineRule="auto"/>
        <w:ind w:left="540" w:right="0" w:hanging="540"/>
        <w:jc w:val="both"/>
        <w:rPr>
          <w:rFonts w:ascii="Times New Roman" w:eastAsia="Times New Roman" w:hAnsi="Times New Roman" w:cs="Times New Roman"/>
          <w:kern w:val="0"/>
          <w:sz w:val="24"/>
          <w:szCs w:val="24"/>
          <w:lang w:val="en-US"/>
        </w:rPr>
      </w:pPr>
      <w:r w:rsidRPr="0085052F">
        <w:rPr>
          <w:rFonts w:ascii="Times New Roman" w:eastAsia="Times New Roman" w:hAnsi="Times New Roman" w:cs="Times New Roman"/>
          <w:kern w:val="0"/>
          <w:sz w:val="24"/>
          <w:szCs w:val="24"/>
          <w:lang w:val="en-US"/>
        </w:rPr>
        <w:t xml:space="preserve">Skrzypek, T., Valverde Piedra, J. L., Skrzypek, H., </w:t>
      </w:r>
      <w:proofErr w:type="spellStart"/>
      <w:r w:rsidRPr="0085052F">
        <w:rPr>
          <w:rFonts w:ascii="Times New Roman" w:eastAsia="Times New Roman" w:hAnsi="Times New Roman" w:cs="Times New Roman"/>
          <w:kern w:val="0"/>
          <w:sz w:val="24"/>
          <w:szCs w:val="24"/>
          <w:lang w:val="en-US"/>
        </w:rPr>
        <w:t>Kazimierczak</w:t>
      </w:r>
      <w:proofErr w:type="spellEnd"/>
      <w:r w:rsidRPr="0085052F">
        <w:rPr>
          <w:rFonts w:ascii="Times New Roman" w:eastAsia="Times New Roman" w:hAnsi="Times New Roman" w:cs="Times New Roman"/>
          <w:kern w:val="0"/>
          <w:sz w:val="24"/>
          <w:szCs w:val="24"/>
          <w:lang w:val="en-US"/>
        </w:rPr>
        <w:t xml:space="preserve">, W., Szymańczyk, S. E., &amp; Zabielski, R. (2010). Changes in pig small intestinal absorptive area during the first 14 days of life. </w:t>
      </w:r>
      <w:r w:rsidRPr="0085052F">
        <w:rPr>
          <w:rFonts w:ascii="Times New Roman" w:eastAsia="Times New Roman" w:hAnsi="Times New Roman" w:cs="Times New Roman"/>
          <w:i/>
          <w:iCs/>
          <w:kern w:val="0"/>
          <w:sz w:val="24"/>
          <w:szCs w:val="24"/>
          <w:lang w:val="en-US"/>
        </w:rPr>
        <w:t>Livestock Science, 133</w:t>
      </w:r>
      <w:r w:rsidRPr="0085052F">
        <w:rPr>
          <w:rFonts w:ascii="Times New Roman" w:eastAsia="Times New Roman" w:hAnsi="Times New Roman" w:cs="Times New Roman"/>
          <w:kern w:val="0"/>
          <w:sz w:val="24"/>
          <w:szCs w:val="24"/>
          <w:lang w:val="en-US"/>
        </w:rPr>
        <w:t xml:space="preserve">(1–3), 53–56. </w:t>
      </w:r>
      <w:hyperlink r:id="rId42" w:history="1">
        <w:r w:rsidRPr="0085052F">
          <w:rPr>
            <w:rFonts w:ascii="Times New Roman" w:eastAsia="Times New Roman" w:hAnsi="Times New Roman" w:cs="Times New Roman"/>
            <w:color w:val="0000FF"/>
            <w:kern w:val="0"/>
            <w:sz w:val="24"/>
            <w:szCs w:val="24"/>
            <w:u w:val="single"/>
            <w:lang w:val="en-US"/>
          </w:rPr>
          <w:t>https://doi.org/10.1016/j.livsci.2010.06.023</w:t>
        </w:r>
      </w:hyperlink>
    </w:p>
    <w:p w14:paraId="698DF5B7" w14:textId="77777777" w:rsidR="0085052F" w:rsidRPr="0085052F" w:rsidRDefault="0085052F" w:rsidP="0085052F">
      <w:pPr>
        <w:spacing w:line="240" w:lineRule="auto"/>
        <w:ind w:left="540" w:right="0" w:hanging="540"/>
        <w:jc w:val="both"/>
        <w:rPr>
          <w:rFonts w:ascii="Times New Roman" w:eastAsia="Times New Roman" w:hAnsi="Times New Roman" w:cs="Times New Roman"/>
          <w:kern w:val="0"/>
          <w:sz w:val="24"/>
          <w:szCs w:val="24"/>
          <w:lang w:val="en-US"/>
        </w:rPr>
      </w:pPr>
      <w:r w:rsidRPr="0085052F">
        <w:rPr>
          <w:rFonts w:ascii="Times New Roman" w:eastAsia="Times New Roman" w:hAnsi="Times New Roman" w:cs="Times New Roman"/>
          <w:kern w:val="0"/>
          <w:sz w:val="24"/>
          <w:szCs w:val="24"/>
          <w:lang w:val="en-US"/>
        </w:rPr>
        <w:t xml:space="preserve">Skrzypek, T., Valverde Piedra, J. L., Skrzypek, H., Woliński, J., </w:t>
      </w:r>
      <w:proofErr w:type="spellStart"/>
      <w:r w:rsidRPr="0085052F">
        <w:rPr>
          <w:rFonts w:ascii="Times New Roman" w:eastAsia="Times New Roman" w:hAnsi="Times New Roman" w:cs="Times New Roman"/>
          <w:kern w:val="0"/>
          <w:sz w:val="24"/>
          <w:szCs w:val="24"/>
          <w:lang w:val="en-US"/>
        </w:rPr>
        <w:t>Kazimierczak</w:t>
      </w:r>
      <w:proofErr w:type="spellEnd"/>
      <w:r w:rsidRPr="0085052F">
        <w:rPr>
          <w:rFonts w:ascii="Times New Roman" w:eastAsia="Times New Roman" w:hAnsi="Times New Roman" w:cs="Times New Roman"/>
          <w:kern w:val="0"/>
          <w:sz w:val="24"/>
          <w:szCs w:val="24"/>
          <w:lang w:val="en-US"/>
        </w:rPr>
        <w:t xml:space="preserve">, W., Szymańczyk, S., Pawłowska, M., &amp; Zabielski, R. (2005). Light and scanning electron microscopy evaluation of the postnatal small intestinal mucosa development in pigs. </w:t>
      </w:r>
      <w:r w:rsidRPr="0085052F">
        <w:rPr>
          <w:rFonts w:ascii="Times New Roman" w:eastAsia="Times New Roman" w:hAnsi="Times New Roman" w:cs="Times New Roman"/>
          <w:i/>
          <w:iCs/>
          <w:kern w:val="0"/>
          <w:sz w:val="24"/>
          <w:szCs w:val="24"/>
          <w:lang w:val="en-US"/>
        </w:rPr>
        <w:t>Journal of Physiology and Pharmacology, 56</w:t>
      </w:r>
      <w:r w:rsidRPr="0085052F">
        <w:rPr>
          <w:rFonts w:ascii="Times New Roman" w:eastAsia="Times New Roman" w:hAnsi="Times New Roman" w:cs="Times New Roman"/>
          <w:kern w:val="0"/>
          <w:sz w:val="24"/>
          <w:szCs w:val="24"/>
          <w:lang w:val="en-US"/>
        </w:rPr>
        <w:t xml:space="preserve">(Suppl. 3), 71–87. </w:t>
      </w:r>
    </w:p>
    <w:p w14:paraId="06186C43" w14:textId="77777777" w:rsidR="0085052F" w:rsidRPr="0085052F" w:rsidRDefault="0085052F" w:rsidP="0085052F">
      <w:pPr>
        <w:spacing w:line="240" w:lineRule="auto"/>
        <w:ind w:left="540" w:right="0" w:hanging="540"/>
        <w:jc w:val="both"/>
        <w:rPr>
          <w:rFonts w:ascii="Times New Roman" w:eastAsia="Times New Roman" w:hAnsi="Times New Roman" w:cs="Times New Roman"/>
          <w:kern w:val="0"/>
          <w:sz w:val="24"/>
          <w:szCs w:val="24"/>
          <w:lang w:val="en-US"/>
        </w:rPr>
      </w:pPr>
      <w:r w:rsidRPr="0085052F">
        <w:rPr>
          <w:rFonts w:ascii="Times New Roman" w:eastAsia="Times New Roman" w:hAnsi="Times New Roman" w:cs="Times New Roman"/>
          <w:kern w:val="0"/>
          <w:sz w:val="24"/>
          <w:szCs w:val="24"/>
          <w:lang w:val="en-US"/>
        </w:rPr>
        <w:t xml:space="preserve">Suwaidan, W. A., &amp; Almaliki, S. H. (2024). </w:t>
      </w:r>
      <w:proofErr w:type="spellStart"/>
      <w:r w:rsidRPr="0085052F">
        <w:rPr>
          <w:rFonts w:ascii="Times New Roman" w:eastAsia="Times New Roman" w:hAnsi="Times New Roman" w:cs="Times New Roman"/>
          <w:kern w:val="0"/>
          <w:sz w:val="24"/>
          <w:szCs w:val="24"/>
          <w:lang w:val="en-US"/>
        </w:rPr>
        <w:t>Morphohistological</w:t>
      </w:r>
      <w:proofErr w:type="spellEnd"/>
      <w:r w:rsidRPr="0085052F">
        <w:rPr>
          <w:rFonts w:ascii="Times New Roman" w:eastAsia="Times New Roman" w:hAnsi="Times New Roman" w:cs="Times New Roman"/>
          <w:kern w:val="0"/>
          <w:sz w:val="24"/>
          <w:szCs w:val="24"/>
          <w:lang w:val="en-US"/>
        </w:rPr>
        <w:t xml:space="preserve"> and histochemical study of the duodenum in neonatal local breed dogs (</w:t>
      </w:r>
      <w:r w:rsidRPr="0085052F">
        <w:rPr>
          <w:rFonts w:ascii="Times New Roman" w:eastAsia="Times New Roman" w:hAnsi="Times New Roman" w:cs="Times New Roman"/>
          <w:i/>
          <w:iCs/>
          <w:kern w:val="0"/>
          <w:sz w:val="24"/>
          <w:szCs w:val="24"/>
          <w:lang w:val="en-US"/>
        </w:rPr>
        <w:t xml:space="preserve">Canis </w:t>
      </w:r>
      <w:proofErr w:type="spellStart"/>
      <w:r w:rsidRPr="0085052F">
        <w:rPr>
          <w:rFonts w:ascii="Times New Roman" w:eastAsia="Times New Roman" w:hAnsi="Times New Roman" w:cs="Times New Roman"/>
          <w:i/>
          <w:iCs/>
          <w:kern w:val="0"/>
          <w:sz w:val="24"/>
          <w:szCs w:val="24"/>
          <w:lang w:val="en-US"/>
        </w:rPr>
        <w:t>familiaris</w:t>
      </w:r>
      <w:proofErr w:type="spellEnd"/>
      <w:r w:rsidRPr="0085052F">
        <w:rPr>
          <w:rFonts w:ascii="Times New Roman" w:eastAsia="Times New Roman" w:hAnsi="Times New Roman" w:cs="Times New Roman"/>
          <w:kern w:val="0"/>
          <w:sz w:val="24"/>
          <w:szCs w:val="24"/>
          <w:lang w:val="en-US"/>
        </w:rPr>
        <w:t xml:space="preserve">). </w:t>
      </w:r>
      <w:r w:rsidRPr="0085052F">
        <w:rPr>
          <w:rFonts w:ascii="Times New Roman" w:eastAsia="Times New Roman" w:hAnsi="Times New Roman" w:cs="Times New Roman"/>
          <w:i/>
          <w:iCs/>
          <w:kern w:val="0"/>
          <w:sz w:val="24"/>
          <w:szCs w:val="24"/>
          <w:lang w:val="en-US"/>
        </w:rPr>
        <w:t>African Journal of Biomedical Research, 27</w:t>
      </w:r>
      <w:r w:rsidRPr="0085052F">
        <w:rPr>
          <w:rFonts w:ascii="Times New Roman" w:eastAsia="Times New Roman" w:hAnsi="Times New Roman" w:cs="Times New Roman"/>
          <w:kern w:val="0"/>
          <w:sz w:val="24"/>
          <w:szCs w:val="24"/>
          <w:lang w:val="en-US"/>
        </w:rPr>
        <w:t xml:space="preserve">(3), 2600–2606. </w:t>
      </w:r>
      <w:hyperlink r:id="rId43" w:history="1">
        <w:r w:rsidRPr="0085052F">
          <w:rPr>
            <w:rFonts w:ascii="Times New Roman" w:eastAsia="Times New Roman" w:hAnsi="Times New Roman" w:cs="Times New Roman"/>
            <w:color w:val="0000FF"/>
            <w:kern w:val="0"/>
            <w:sz w:val="24"/>
            <w:szCs w:val="24"/>
            <w:u w:val="single"/>
            <w:lang w:val="en-US"/>
          </w:rPr>
          <w:t>https://doi.org/10.53555/AJBR.v27i3.5970</w:t>
        </w:r>
      </w:hyperlink>
    </w:p>
    <w:p w14:paraId="71FE06B3" w14:textId="77777777" w:rsidR="0085052F" w:rsidRPr="0085052F" w:rsidRDefault="0085052F" w:rsidP="0085052F">
      <w:pPr>
        <w:spacing w:line="240" w:lineRule="auto"/>
        <w:ind w:left="540" w:right="0" w:hanging="540"/>
        <w:jc w:val="both"/>
        <w:rPr>
          <w:rFonts w:ascii="Times New Roman" w:eastAsia="Times New Roman" w:hAnsi="Times New Roman" w:cs="Times New Roman"/>
          <w:kern w:val="0"/>
          <w:sz w:val="24"/>
          <w:szCs w:val="24"/>
          <w:lang w:val="en-US"/>
        </w:rPr>
      </w:pPr>
      <w:proofErr w:type="spellStart"/>
      <w:r w:rsidRPr="0085052F">
        <w:rPr>
          <w:rFonts w:ascii="Times New Roman" w:eastAsia="Times New Roman" w:hAnsi="Times New Roman" w:cs="Times New Roman"/>
          <w:kern w:val="0"/>
          <w:sz w:val="24"/>
          <w:szCs w:val="24"/>
          <w:lang w:val="en-US"/>
        </w:rPr>
        <w:t>Takehana</w:t>
      </w:r>
      <w:proofErr w:type="spellEnd"/>
      <w:r w:rsidRPr="0085052F">
        <w:rPr>
          <w:rFonts w:ascii="Times New Roman" w:eastAsia="Times New Roman" w:hAnsi="Times New Roman" w:cs="Times New Roman"/>
          <w:kern w:val="0"/>
          <w:sz w:val="24"/>
          <w:szCs w:val="24"/>
          <w:lang w:val="en-US"/>
        </w:rPr>
        <w:t>, K., Masty, J., Abe, M., &amp; Yamaguchi, M. (1991). Duodenal glands of the pony (</w:t>
      </w:r>
      <w:r w:rsidRPr="0085052F">
        <w:rPr>
          <w:rFonts w:ascii="Times New Roman" w:eastAsia="Times New Roman" w:hAnsi="Times New Roman" w:cs="Times New Roman"/>
          <w:i/>
          <w:iCs/>
          <w:kern w:val="0"/>
          <w:sz w:val="24"/>
          <w:szCs w:val="24"/>
          <w:lang w:val="en-US"/>
        </w:rPr>
        <w:t>Equus caballus</w:t>
      </w:r>
      <w:r w:rsidRPr="0085052F">
        <w:rPr>
          <w:rFonts w:ascii="Times New Roman" w:eastAsia="Times New Roman" w:hAnsi="Times New Roman" w:cs="Times New Roman"/>
          <w:kern w:val="0"/>
          <w:sz w:val="24"/>
          <w:szCs w:val="24"/>
          <w:lang w:val="en-US"/>
        </w:rPr>
        <w:t xml:space="preserve">). </w:t>
      </w:r>
      <w:proofErr w:type="spellStart"/>
      <w:r w:rsidRPr="0085052F">
        <w:rPr>
          <w:rFonts w:ascii="Times New Roman" w:eastAsia="Times New Roman" w:hAnsi="Times New Roman" w:cs="Times New Roman"/>
          <w:i/>
          <w:iCs/>
          <w:kern w:val="0"/>
          <w:sz w:val="24"/>
          <w:szCs w:val="24"/>
          <w:lang w:val="en-US"/>
        </w:rPr>
        <w:t>Anatomia</w:t>
      </w:r>
      <w:proofErr w:type="spellEnd"/>
      <w:r w:rsidRPr="0085052F">
        <w:rPr>
          <w:rFonts w:ascii="Times New Roman" w:eastAsia="Times New Roman" w:hAnsi="Times New Roman" w:cs="Times New Roman"/>
          <w:i/>
          <w:iCs/>
          <w:kern w:val="0"/>
          <w:sz w:val="24"/>
          <w:szCs w:val="24"/>
          <w:lang w:val="en-US"/>
        </w:rPr>
        <w:t xml:space="preserve">, </w:t>
      </w:r>
      <w:proofErr w:type="spellStart"/>
      <w:r w:rsidRPr="0085052F">
        <w:rPr>
          <w:rFonts w:ascii="Times New Roman" w:eastAsia="Times New Roman" w:hAnsi="Times New Roman" w:cs="Times New Roman"/>
          <w:i/>
          <w:iCs/>
          <w:kern w:val="0"/>
          <w:sz w:val="24"/>
          <w:szCs w:val="24"/>
          <w:lang w:val="en-US"/>
        </w:rPr>
        <w:t>Histologia</w:t>
      </w:r>
      <w:proofErr w:type="spellEnd"/>
      <w:r w:rsidRPr="0085052F">
        <w:rPr>
          <w:rFonts w:ascii="Times New Roman" w:eastAsia="Times New Roman" w:hAnsi="Times New Roman" w:cs="Times New Roman"/>
          <w:i/>
          <w:iCs/>
          <w:kern w:val="0"/>
          <w:sz w:val="24"/>
          <w:szCs w:val="24"/>
          <w:lang w:val="en-US"/>
        </w:rPr>
        <w:t xml:space="preserve">, </w:t>
      </w:r>
      <w:proofErr w:type="spellStart"/>
      <w:r w:rsidRPr="0085052F">
        <w:rPr>
          <w:rFonts w:ascii="Times New Roman" w:eastAsia="Times New Roman" w:hAnsi="Times New Roman" w:cs="Times New Roman"/>
          <w:i/>
          <w:iCs/>
          <w:kern w:val="0"/>
          <w:sz w:val="24"/>
          <w:szCs w:val="24"/>
          <w:lang w:val="en-US"/>
        </w:rPr>
        <w:t>Embryologia</w:t>
      </w:r>
      <w:proofErr w:type="spellEnd"/>
      <w:r w:rsidRPr="0085052F">
        <w:rPr>
          <w:rFonts w:ascii="Times New Roman" w:eastAsia="Times New Roman" w:hAnsi="Times New Roman" w:cs="Times New Roman"/>
          <w:i/>
          <w:iCs/>
          <w:kern w:val="0"/>
          <w:sz w:val="24"/>
          <w:szCs w:val="24"/>
          <w:lang w:val="en-US"/>
        </w:rPr>
        <w:t>, 20</w:t>
      </w:r>
      <w:r w:rsidRPr="0085052F">
        <w:rPr>
          <w:rFonts w:ascii="Times New Roman" w:eastAsia="Times New Roman" w:hAnsi="Times New Roman" w:cs="Times New Roman"/>
          <w:kern w:val="0"/>
          <w:sz w:val="24"/>
          <w:szCs w:val="24"/>
          <w:lang w:val="en-US"/>
        </w:rPr>
        <w:t xml:space="preserve">(1), 1–9. </w:t>
      </w:r>
      <w:hyperlink r:id="rId44" w:history="1">
        <w:r w:rsidRPr="0085052F">
          <w:rPr>
            <w:rFonts w:ascii="Times New Roman" w:eastAsia="Times New Roman" w:hAnsi="Times New Roman" w:cs="Times New Roman"/>
            <w:color w:val="0000FF"/>
            <w:kern w:val="0"/>
            <w:sz w:val="24"/>
            <w:szCs w:val="24"/>
            <w:u w:val="single"/>
            <w:lang w:val="en-US"/>
          </w:rPr>
          <w:t>https://doi.org/10.1111/j.1439-0264.1991.tb00285.x</w:t>
        </w:r>
      </w:hyperlink>
    </w:p>
    <w:p w14:paraId="3954025B" w14:textId="77777777" w:rsidR="0085052F" w:rsidRPr="0085052F" w:rsidRDefault="0085052F" w:rsidP="0085052F">
      <w:pPr>
        <w:spacing w:line="240" w:lineRule="auto"/>
        <w:ind w:left="540" w:right="0" w:hanging="540"/>
        <w:jc w:val="both"/>
        <w:rPr>
          <w:rFonts w:ascii="Times New Roman" w:eastAsia="Times New Roman" w:hAnsi="Times New Roman" w:cs="Times New Roman"/>
          <w:kern w:val="0"/>
          <w:sz w:val="24"/>
          <w:szCs w:val="24"/>
          <w:lang w:val="en-US"/>
        </w:rPr>
      </w:pPr>
      <w:r w:rsidRPr="0085052F">
        <w:rPr>
          <w:rFonts w:ascii="Times New Roman" w:eastAsia="Times New Roman" w:hAnsi="Times New Roman" w:cs="Times New Roman"/>
          <w:kern w:val="0"/>
          <w:sz w:val="24"/>
          <w:szCs w:val="24"/>
          <w:lang w:val="en-US"/>
        </w:rPr>
        <w:t xml:space="preserve">Talukdar, M. (1999). </w:t>
      </w:r>
      <w:r w:rsidRPr="0085052F">
        <w:rPr>
          <w:rFonts w:ascii="Times New Roman" w:eastAsia="Times New Roman" w:hAnsi="Times New Roman" w:cs="Times New Roman"/>
          <w:i/>
          <w:iCs/>
          <w:kern w:val="0"/>
          <w:sz w:val="24"/>
          <w:szCs w:val="24"/>
          <w:lang w:val="en-US"/>
        </w:rPr>
        <w:t xml:space="preserve">Gross anatomical, </w:t>
      </w:r>
      <w:proofErr w:type="spellStart"/>
      <w:r w:rsidRPr="0085052F">
        <w:rPr>
          <w:rFonts w:ascii="Times New Roman" w:eastAsia="Times New Roman" w:hAnsi="Times New Roman" w:cs="Times New Roman"/>
          <w:i/>
          <w:iCs/>
          <w:kern w:val="0"/>
          <w:sz w:val="24"/>
          <w:szCs w:val="24"/>
          <w:lang w:val="en-US"/>
        </w:rPr>
        <w:t>histomorphological</w:t>
      </w:r>
      <w:proofErr w:type="spellEnd"/>
      <w:r w:rsidRPr="0085052F">
        <w:rPr>
          <w:rFonts w:ascii="Times New Roman" w:eastAsia="Times New Roman" w:hAnsi="Times New Roman" w:cs="Times New Roman"/>
          <w:i/>
          <w:iCs/>
          <w:kern w:val="0"/>
          <w:sz w:val="24"/>
          <w:szCs w:val="24"/>
          <w:lang w:val="en-US"/>
        </w:rPr>
        <w:t xml:space="preserve"> and histochemical studies on the stomach and intestine of crossbred adult pig</w:t>
      </w:r>
      <w:r w:rsidRPr="0085052F">
        <w:rPr>
          <w:rFonts w:ascii="Times New Roman" w:eastAsia="Times New Roman" w:hAnsi="Times New Roman" w:cs="Times New Roman"/>
          <w:kern w:val="0"/>
          <w:sz w:val="24"/>
          <w:szCs w:val="24"/>
          <w:lang w:val="en-US"/>
        </w:rPr>
        <w:t xml:space="preserve"> [Doctoral dissertation, Assam Agricultural University]. </w:t>
      </w:r>
    </w:p>
    <w:p w14:paraId="66EB2450" w14:textId="77777777" w:rsidR="0085052F" w:rsidRPr="0085052F" w:rsidRDefault="0085052F" w:rsidP="0085052F">
      <w:pPr>
        <w:spacing w:line="240" w:lineRule="auto"/>
        <w:ind w:left="540" w:right="0" w:hanging="540"/>
        <w:jc w:val="both"/>
        <w:rPr>
          <w:rFonts w:ascii="Times New Roman" w:eastAsia="Times New Roman" w:hAnsi="Times New Roman" w:cs="Times New Roman"/>
          <w:kern w:val="0"/>
          <w:sz w:val="24"/>
          <w:szCs w:val="24"/>
          <w:lang w:val="en-US"/>
        </w:rPr>
      </w:pPr>
      <w:r w:rsidRPr="0085052F">
        <w:rPr>
          <w:rFonts w:ascii="Times New Roman" w:eastAsia="Times New Roman" w:hAnsi="Times New Roman" w:cs="Times New Roman"/>
          <w:kern w:val="0"/>
          <w:sz w:val="24"/>
          <w:szCs w:val="24"/>
          <w:lang w:val="en-US"/>
        </w:rPr>
        <w:t xml:space="preserve">Tsukahara, T., Kishino, E., Inoue, R., Nakanishi, N., Nakayama, K., Ito, T., &amp; </w:t>
      </w:r>
      <w:proofErr w:type="spellStart"/>
      <w:r w:rsidRPr="0085052F">
        <w:rPr>
          <w:rFonts w:ascii="Times New Roman" w:eastAsia="Times New Roman" w:hAnsi="Times New Roman" w:cs="Times New Roman"/>
          <w:kern w:val="0"/>
          <w:sz w:val="24"/>
          <w:szCs w:val="24"/>
          <w:lang w:val="en-US"/>
        </w:rPr>
        <w:t>Ushida</w:t>
      </w:r>
      <w:proofErr w:type="spellEnd"/>
      <w:r w:rsidRPr="0085052F">
        <w:rPr>
          <w:rFonts w:ascii="Times New Roman" w:eastAsia="Times New Roman" w:hAnsi="Times New Roman" w:cs="Times New Roman"/>
          <w:kern w:val="0"/>
          <w:sz w:val="24"/>
          <w:szCs w:val="24"/>
          <w:lang w:val="en-US"/>
        </w:rPr>
        <w:t xml:space="preserve">, K. (2013). Correlation between villous height and disaccharidase activity in the small intestine of piglets from nursing to growing. </w:t>
      </w:r>
      <w:r w:rsidRPr="0085052F">
        <w:rPr>
          <w:rFonts w:ascii="Times New Roman" w:eastAsia="Times New Roman" w:hAnsi="Times New Roman" w:cs="Times New Roman"/>
          <w:i/>
          <w:iCs/>
          <w:kern w:val="0"/>
          <w:sz w:val="24"/>
          <w:szCs w:val="24"/>
          <w:lang w:val="en-US"/>
        </w:rPr>
        <w:t>Animal Science Journal, 84</w:t>
      </w:r>
      <w:r w:rsidRPr="0085052F">
        <w:rPr>
          <w:rFonts w:ascii="Times New Roman" w:eastAsia="Times New Roman" w:hAnsi="Times New Roman" w:cs="Times New Roman"/>
          <w:kern w:val="0"/>
          <w:sz w:val="24"/>
          <w:szCs w:val="24"/>
          <w:lang w:val="en-US"/>
        </w:rPr>
        <w:t xml:space="preserve">(1), 54–59. </w:t>
      </w:r>
      <w:hyperlink r:id="rId45" w:history="1">
        <w:r w:rsidRPr="0085052F">
          <w:rPr>
            <w:rFonts w:ascii="Times New Roman" w:eastAsia="Times New Roman" w:hAnsi="Times New Roman" w:cs="Times New Roman"/>
            <w:color w:val="0000FF"/>
            <w:kern w:val="0"/>
            <w:sz w:val="24"/>
            <w:szCs w:val="24"/>
            <w:u w:val="single"/>
            <w:lang w:val="en-US"/>
          </w:rPr>
          <w:t>https://doi.org/10.1111/j.1740-0929.2012.01039.x</w:t>
        </w:r>
      </w:hyperlink>
    </w:p>
    <w:p w14:paraId="65DD074C" w14:textId="77777777" w:rsidR="0085052F" w:rsidRPr="0085052F" w:rsidRDefault="0085052F" w:rsidP="0085052F">
      <w:pPr>
        <w:spacing w:line="240" w:lineRule="auto"/>
        <w:ind w:left="540" w:right="0" w:hanging="540"/>
        <w:jc w:val="both"/>
        <w:rPr>
          <w:rFonts w:ascii="Times New Roman" w:eastAsia="Times New Roman" w:hAnsi="Times New Roman" w:cs="Times New Roman"/>
          <w:kern w:val="0"/>
          <w:sz w:val="24"/>
          <w:szCs w:val="24"/>
          <w:lang w:val="en-US"/>
        </w:rPr>
      </w:pPr>
      <w:r w:rsidRPr="0085052F">
        <w:rPr>
          <w:rFonts w:ascii="Times New Roman" w:eastAsia="Times New Roman" w:hAnsi="Times New Roman" w:cs="Times New Roman"/>
          <w:kern w:val="0"/>
          <w:sz w:val="24"/>
          <w:szCs w:val="24"/>
          <w:lang w:val="en-US"/>
        </w:rPr>
        <w:lastRenderedPageBreak/>
        <w:t xml:space="preserve">Vega-López, M. A., Arenas-Contreras, G., Bailey, M., González-Pozos, S., Stokes, C. R., Ortega, M. G., &amp; Mondragón-Flores, R. (2001). Development of intraepithelial cells in the porcine small intestine. </w:t>
      </w:r>
      <w:r w:rsidRPr="0085052F">
        <w:rPr>
          <w:rFonts w:ascii="Times New Roman" w:eastAsia="Times New Roman" w:hAnsi="Times New Roman" w:cs="Times New Roman"/>
          <w:i/>
          <w:iCs/>
          <w:kern w:val="0"/>
          <w:sz w:val="24"/>
          <w:szCs w:val="24"/>
          <w:lang w:val="en-US"/>
        </w:rPr>
        <w:t>Developmental Immunology, 8</w:t>
      </w:r>
      <w:r w:rsidRPr="0085052F">
        <w:rPr>
          <w:rFonts w:ascii="Times New Roman" w:eastAsia="Times New Roman" w:hAnsi="Times New Roman" w:cs="Times New Roman"/>
          <w:kern w:val="0"/>
          <w:sz w:val="24"/>
          <w:szCs w:val="24"/>
          <w:lang w:val="en-US"/>
        </w:rPr>
        <w:t xml:space="preserve">(2), 147–158. </w:t>
      </w:r>
      <w:hyperlink r:id="rId46" w:history="1">
        <w:r w:rsidRPr="0085052F">
          <w:rPr>
            <w:rFonts w:ascii="Times New Roman" w:eastAsia="Times New Roman" w:hAnsi="Times New Roman" w:cs="Times New Roman"/>
            <w:color w:val="0000FF"/>
            <w:kern w:val="0"/>
            <w:sz w:val="24"/>
            <w:szCs w:val="24"/>
            <w:u w:val="single"/>
            <w:lang w:val="en-US"/>
          </w:rPr>
          <w:t>https://doi.org/10.1155/2001/25301</w:t>
        </w:r>
      </w:hyperlink>
    </w:p>
    <w:p w14:paraId="6B6DE093" w14:textId="77777777" w:rsidR="0085052F" w:rsidRPr="0085052F" w:rsidRDefault="0085052F" w:rsidP="0085052F">
      <w:pPr>
        <w:spacing w:line="240" w:lineRule="auto"/>
        <w:ind w:left="540" w:right="0" w:hanging="540"/>
        <w:jc w:val="both"/>
        <w:rPr>
          <w:rFonts w:ascii="Times New Roman" w:eastAsia="Times New Roman" w:hAnsi="Times New Roman" w:cs="Times New Roman"/>
          <w:kern w:val="0"/>
          <w:sz w:val="24"/>
          <w:szCs w:val="24"/>
          <w:lang w:val="en-US"/>
        </w:rPr>
      </w:pPr>
      <w:r w:rsidRPr="0085052F">
        <w:rPr>
          <w:rFonts w:ascii="Times New Roman" w:eastAsia="Times New Roman" w:hAnsi="Times New Roman" w:cs="Times New Roman"/>
          <w:kern w:val="0"/>
          <w:sz w:val="24"/>
          <w:szCs w:val="24"/>
          <w:lang w:val="en-US"/>
        </w:rPr>
        <w:t xml:space="preserve">Verdile, N., </w:t>
      </w:r>
      <w:proofErr w:type="spellStart"/>
      <w:r w:rsidRPr="0085052F">
        <w:rPr>
          <w:rFonts w:ascii="Times New Roman" w:eastAsia="Times New Roman" w:hAnsi="Times New Roman" w:cs="Times New Roman"/>
          <w:kern w:val="0"/>
          <w:sz w:val="24"/>
          <w:szCs w:val="24"/>
          <w:lang w:val="en-US"/>
        </w:rPr>
        <w:t>Mirmahmoudi</w:t>
      </w:r>
      <w:proofErr w:type="spellEnd"/>
      <w:r w:rsidRPr="0085052F">
        <w:rPr>
          <w:rFonts w:ascii="Times New Roman" w:eastAsia="Times New Roman" w:hAnsi="Times New Roman" w:cs="Times New Roman"/>
          <w:kern w:val="0"/>
          <w:sz w:val="24"/>
          <w:szCs w:val="24"/>
          <w:lang w:val="en-US"/>
        </w:rPr>
        <w:t xml:space="preserve">, R., </w:t>
      </w:r>
      <w:proofErr w:type="spellStart"/>
      <w:r w:rsidRPr="0085052F">
        <w:rPr>
          <w:rFonts w:ascii="Times New Roman" w:eastAsia="Times New Roman" w:hAnsi="Times New Roman" w:cs="Times New Roman"/>
          <w:kern w:val="0"/>
          <w:sz w:val="24"/>
          <w:szCs w:val="24"/>
          <w:lang w:val="en-US"/>
        </w:rPr>
        <w:t>Brevini</w:t>
      </w:r>
      <w:proofErr w:type="spellEnd"/>
      <w:r w:rsidRPr="0085052F">
        <w:rPr>
          <w:rFonts w:ascii="Times New Roman" w:eastAsia="Times New Roman" w:hAnsi="Times New Roman" w:cs="Times New Roman"/>
          <w:kern w:val="0"/>
          <w:sz w:val="24"/>
          <w:szCs w:val="24"/>
          <w:lang w:val="en-US"/>
        </w:rPr>
        <w:t xml:space="preserve">, T. A. L., &amp; Gandolfi, F. (2019). Evolution of pig intestinal stem cells from birth to weaning. </w:t>
      </w:r>
      <w:r w:rsidRPr="0085052F">
        <w:rPr>
          <w:rFonts w:ascii="Times New Roman" w:eastAsia="Times New Roman" w:hAnsi="Times New Roman" w:cs="Times New Roman"/>
          <w:i/>
          <w:iCs/>
          <w:kern w:val="0"/>
          <w:sz w:val="24"/>
          <w:szCs w:val="24"/>
          <w:lang w:val="en-US"/>
        </w:rPr>
        <w:t>Animal, 13</w:t>
      </w:r>
      <w:r w:rsidRPr="0085052F">
        <w:rPr>
          <w:rFonts w:ascii="Times New Roman" w:eastAsia="Times New Roman" w:hAnsi="Times New Roman" w:cs="Times New Roman"/>
          <w:kern w:val="0"/>
          <w:sz w:val="24"/>
          <w:szCs w:val="24"/>
          <w:lang w:val="en-US"/>
        </w:rPr>
        <w:t xml:space="preserve">(12), 2830–2839. </w:t>
      </w:r>
      <w:hyperlink r:id="rId47" w:history="1">
        <w:r w:rsidRPr="0085052F">
          <w:rPr>
            <w:rFonts w:ascii="Times New Roman" w:eastAsia="Times New Roman" w:hAnsi="Times New Roman" w:cs="Times New Roman"/>
            <w:color w:val="0000FF"/>
            <w:kern w:val="0"/>
            <w:sz w:val="24"/>
            <w:szCs w:val="24"/>
            <w:u w:val="single"/>
            <w:lang w:val="en-US"/>
          </w:rPr>
          <w:t>https://doi.org/10.1017/S1751731119001319</w:t>
        </w:r>
      </w:hyperlink>
    </w:p>
    <w:p w14:paraId="714D4BCE" w14:textId="77777777" w:rsidR="0085052F" w:rsidRPr="0085052F" w:rsidRDefault="0085052F" w:rsidP="0085052F">
      <w:pPr>
        <w:spacing w:line="240" w:lineRule="auto"/>
        <w:ind w:left="540" w:right="0" w:hanging="540"/>
        <w:jc w:val="both"/>
        <w:rPr>
          <w:rFonts w:ascii="Times New Roman" w:eastAsia="Times New Roman" w:hAnsi="Times New Roman" w:cs="Times New Roman"/>
          <w:kern w:val="0"/>
          <w:sz w:val="24"/>
          <w:szCs w:val="24"/>
          <w:lang w:val="en-US"/>
        </w:rPr>
      </w:pPr>
      <w:r w:rsidRPr="0085052F">
        <w:rPr>
          <w:rFonts w:ascii="Times New Roman" w:eastAsia="Times New Roman" w:hAnsi="Times New Roman" w:cs="Times New Roman"/>
          <w:kern w:val="0"/>
          <w:sz w:val="24"/>
          <w:szCs w:val="24"/>
          <w:lang w:val="en-US"/>
        </w:rPr>
        <w:t xml:space="preserve">Wiese, F., Simon, O., &amp; Weyrauch, K. D. (2003). Morphology of the small intestine of weaned piglets and a novel method for morphometric evaluation. </w:t>
      </w:r>
      <w:proofErr w:type="spellStart"/>
      <w:r w:rsidRPr="0085052F">
        <w:rPr>
          <w:rFonts w:ascii="Times New Roman" w:eastAsia="Times New Roman" w:hAnsi="Times New Roman" w:cs="Times New Roman"/>
          <w:i/>
          <w:iCs/>
          <w:kern w:val="0"/>
          <w:sz w:val="24"/>
          <w:szCs w:val="24"/>
          <w:lang w:val="en-US"/>
        </w:rPr>
        <w:t>Anatomia</w:t>
      </w:r>
      <w:proofErr w:type="spellEnd"/>
      <w:r w:rsidRPr="0085052F">
        <w:rPr>
          <w:rFonts w:ascii="Times New Roman" w:eastAsia="Times New Roman" w:hAnsi="Times New Roman" w:cs="Times New Roman"/>
          <w:i/>
          <w:iCs/>
          <w:kern w:val="0"/>
          <w:sz w:val="24"/>
          <w:szCs w:val="24"/>
          <w:lang w:val="en-US"/>
        </w:rPr>
        <w:t xml:space="preserve">, </w:t>
      </w:r>
      <w:proofErr w:type="spellStart"/>
      <w:r w:rsidRPr="0085052F">
        <w:rPr>
          <w:rFonts w:ascii="Times New Roman" w:eastAsia="Times New Roman" w:hAnsi="Times New Roman" w:cs="Times New Roman"/>
          <w:i/>
          <w:iCs/>
          <w:kern w:val="0"/>
          <w:sz w:val="24"/>
          <w:szCs w:val="24"/>
          <w:lang w:val="en-US"/>
        </w:rPr>
        <w:t>Histologia</w:t>
      </w:r>
      <w:proofErr w:type="spellEnd"/>
      <w:r w:rsidRPr="0085052F">
        <w:rPr>
          <w:rFonts w:ascii="Times New Roman" w:eastAsia="Times New Roman" w:hAnsi="Times New Roman" w:cs="Times New Roman"/>
          <w:i/>
          <w:iCs/>
          <w:kern w:val="0"/>
          <w:sz w:val="24"/>
          <w:szCs w:val="24"/>
          <w:lang w:val="en-US"/>
        </w:rPr>
        <w:t xml:space="preserve">, </w:t>
      </w:r>
      <w:proofErr w:type="spellStart"/>
      <w:r w:rsidRPr="0085052F">
        <w:rPr>
          <w:rFonts w:ascii="Times New Roman" w:eastAsia="Times New Roman" w:hAnsi="Times New Roman" w:cs="Times New Roman"/>
          <w:i/>
          <w:iCs/>
          <w:kern w:val="0"/>
          <w:sz w:val="24"/>
          <w:szCs w:val="24"/>
          <w:lang w:val="en-US"/>
        </w:rPr>
        <w:t>Embryologia</w:t>
      </w:r>
      <w:proofErr w:type="spellEnd"/>
      <w:r w:rsidRPr="0085052F">
        <w:rPr>
          <w:rFonts w:ascii="Times New Roman" w:eastAsia="Times New Roman" w:hAnsi="Times New Roman" w:cs="Times New Roman"/>
          <w:i/>
          <w:iCs/>
          <w:kern w:val="0"/>
          <w:sz w:val="24"/>
          <w:szCs w:val="24"/>
          <w:lang w:val="en-US"/>
        </w:rPr>
        <w:t>, 32</w:t>
      </w:r>
      <w:r w:rsidRPr="0085052F">
        <w:rPr>
          <w:rFonts w:ascii="Times New Roman" w:eastAsia="Times New Roman" w:hAnsi="Times New Roman" w:cs="Times New Roman"/>
          <w:kern w:val="0"/>
          <w:sz w:val="24"/>
          <w:szCs w:val="24"/>
          <w:lang w:val="en-US"/>
        </w:rPr>
        <w:t xml:space="preserve">(2), 102–109. </w:t>
      </w:r>
      <w:hyperlink r:id="rId48" w:history="1">
        <w:r w:rsidRPr="0085052F">
          <w:rPr>
            <w:rFonts w:ascii="Times New Roman" w:eastAsia="Times New Roman" w:hAnsi="Times New Roman" w:cs="Times New Roman"/>
            <w:color w:val="0000FF"/>
            <w:kern w:val="0"/>
            <w:sz w:val="24"/>
            <w:szCs w:val="24"/>
            <w:u w:val="single"/>
            <w:lang w:val="en-US"/>
          </w:rPr>
          <w:t>https://doi.org/10.1046/j.1439-0264.2003.00430.x</w:t>
        </w:r>
      </w:hyperlink>
    </w:p>
    <w:p w14:paraId="3D6206F6" w14:textId="77777777" w:rsidR="004B6CF1" w:rsidRPr="0085052F" w:rsidRDefault="0085052F" w:rsidP="0085052F">
      <w:pPr>
        <w:spacing w:line="240" w:lineRule="auto"/>
        <w:ind w:left="540" w:hanging="540"/>
        <w:jc w:val="both"/>
        <w:rPr>
          <w:rFonts w:ascii="Arial" w:hAnsi="Arial" w:cs="Arial"/>
          <w:color w:val="000000" w:themeColor="text1"/>
          <w:lang w:val="en-US"/>
        </w:rPr>
      </w:pPr>
      <w:r w:rsidRPr="0085052F">
        <w:rPr>
          <w:rFonts w:ascii="Times New Roman" w:eastAsia="Times New Roman" w:hAnsi="Times New Roman" w:cs="Times New Roman"/>
          <w:kern w:val="0"/>
          <w:sz w:val="24"/>
          <w:szCs w:val="24"/>
          <w:lang w:val="nl-BE"/>
        </w:rPr>
        <w:t xml:space="preserve">Xu, R. J., Wang, F., &amp; Zhang, S. H. (2000). </w:t>
      </w:r>
      <w:r w:rsidRPr="0085052F">
        <w:rPr>
          <w:rFonts w:ascii="Times New Roman" w:eastAsia="Times New Roman" w:hAnsi="Times New Roman" w:cs="Times New Roman"/>
          <w:kern w:val="0"/>
          <w:sz w:val="24"/>
          <w:szCs w:val="24"/>
          <w:lang w:val="en-US"/>
        </w:rPr>
        <w:t xml:space="preserve">Postnatal adaptation of the gastrointestinal tract in neonatal pigs: A possible role of milk-borne growth factors. </w:t>
      </w:r>
      <w:r w:rsidRPr="0085052F">
        <w:rPr>
          <w:rFonts w:ascii="Times New Roman" w:eastAsia="Times New Roman" w:hAnsi="Times New Roman" w:cs="Times New Roman"/>
          <w:i/>
          <w:iCs/>
          <w:kern w:val="0"/>
          <w:sz w:val="24"/>
          <w:szCs w:val="24"/>
          <w:lang w:val="en-US"/>
        </w:rPr>
        <w:t>Livestock Production Science, 66</w:t>
      </w:r>
      <w:r w:rsidRPr="0085052F">
        <w:rPr>
          <w:rFonts w:ascii="Times New Roman" w:eastAsia="Times New Roman" w:hAnsi="Times New Roman" w:cs="Times New Roman"/>
          <w:kern w:val="0"/>
          <w:sz w:val="24"/>
          <w:szCs w:val="24"/>
          <w:lang w:val="en-US"/>
        </w:rPr>
        <w:t xml:space="preserve">(2), 95–107. </w:t>
      </w:r>
      <w:hyperlink r:id="rId49" w:history="1">
        <w:r w:rsidRPr="0085052F">
          <w:rPr>
            <w:rFonts w:ascii="Times New Roman" w:eastAsia="Times New Roman" w:hAnsi="Times New Roman" w:cs="Times New Roman"/>
            <w:color w:val="0000FF"/>
            <w:kern w:val="0"/>
            <w:sz w:val="24"/>
            <w:szCs w:val="24"/>
            <w:u w:val="single"/>
            <w:lang w:val="en-US"/>
          </w:rPr>
          <w:t>https://doi.org/10.1016/S0301-6226(00)00217-7</w:t>
        </w:r>
      </w:hyperlink>
    </w:p>
    <w:sectPr w:rsidR="004B6CF1" w:rsidRPr="0085052F" w:rsidSect="009F0EDC">
      <w:headerReference w:type="even" r:id="rId50"/>
      <w:headerReference w:type="default" r:id="rId51"/>
      <w:footerReference w:type="even" r:id="rId52"/>
      <w:footerReference w:type="default" r:id="rId53"/>
      <w:headerReference w:type="first" r:id="rId54"/>
      <w:footerReference w:type="first" r:id="rId55"/>
      <w:pgSz w:w="12240" w:h="15840"/>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24AA10" w14:textId="77777777" w:rsidR="00AB2C67" w:rsidRDefault="00AB2C67">
      <w:pPr>
        <w:spacing w:line="240" w:lineRule="auto"/>
      </w:pPr>
      <w:r>
        <w:separator/>
      </w:r>
    </w:p>
  </w:endnote>
  <w:endnote w:type="continuationSeparator" w:id="0">
    <w:p w14:paraId="688F8C4D" w14:textId="77777777" w:rsidR="00AB2C67" w:rsidRDefault="00AB2C6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4DF11" w14:textId="77777777" w:rsidR="00AC08F7" w:rsidRDefault="00AC08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D0747" w14:textId="77777777" w:rsidR="00AC08F7" w:rsidRDefault="00AC08F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95574" w14:textId="77777777" w:rsidR="00AC08F7" w:rsidRDefault="00AC08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8B19FA" w14:textId="77777777" w:rsidR="00AB2C67" w:rsidRDefault="00AB2C67">
      <w:r>
        <w:separator/>
      </w:r>
    </w:p>
  </w:footnote>
  <w:footnote w:type="continuationSeparator" w:id="0">
    <w:p w14:paraId="7852F71D" w14:textId="77777777" w:rsidR="00AB2C67" w:rsidRDefault="00AB2C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669F1" w14:textId="77777777" w:rsidR="00AC08F7" w:rsidRDefault="00000000">
    <w:pPr>
      <w:pStyle w:val="Header"/>
    </w:pPr>
    <w:r>
      <w:rPr>
        <w:noProof/>
      </w:rPr>
      <w:pict w14:anchorId="3134106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509766" o:spid="_x0000_s1026" type="#_x0000_t136" style="position:absolute;left:0;text-align:left;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0C213" w14:textId="77777777" w:rsidR="00AC08F7" w:rsidRDefault="00000000">
    <w:pPr>
      <w:pStyle w:val="Header"/>
    </w:pPr>
    <w:r>
      <w:rPr>
        <w:noProof/>
      </w:rPr>
      <w:pict w14:anchorId="3565617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509767" o:spid="_x0000_s1027" type="#_x0000_t136" style="position:absolute;left:0;text-align:left;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05462" w14:textId="77777777" w:rsidR="00AC08F7" w:rsidRDefault="00000000">
    <w:pPr>
      <w:pStyle w:val="Header"/>
    </w:pPr>
    <w:r>
      <w:rPr>
        <w:noProof/>
      </w:rPr>
      <w:pict w14:anchorId="0D58A7E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509765" o:spid="_x0000_s1025" type="#_x0000_t136" style="position:absolute;left:0;text-align:left;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80725B"/>
    <w:multiLevelType w:val="hybridMultilevel"/>
    <w:tmpl w:val="682A698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7F67658"/>
    <w:multiLevelType w:val="hybridMultilevel"/>
    <w:tmpl w:val="B7A268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7AC5F58"/>
    <w:multiLevelType w:val="multilevel"/>
    <w:tmpl w:val="77AC5F58"/>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180"/>
      </w:pPr>
      <w:rPr>
        <w:rFonts w:ascii="Times New Roman" w:hAnsi="Times New Roman" w:cs="Times New Roman" w:hint="default"/>
      </w:rPr>
    </w:lvl>
  </w:abstractNum>
  <w:num w:numId="1" w16cid:durableId="3338574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609133">
    <w:abstractNumId w:val="1"/>
  </w:num>
  <w:num w:numId="3" w16cid:durableId="9218329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6"/>
  <w:proofState w:spelling="clean" w:grammar="clean"/>
  <w:defaultTabStop w:val="720"/>
  <w:drawingGridHorizontalSpacing w:val="110"/>
  <w:characterSpacingControl w:val="doNotCompress"/>
  <w:hdrShapeDefaults>
    <o:shapedefaults v:ext="edit" spidmax="2100" fillcolor="white">
      <v:fill color="white"/>
    </o:shapedefaults>
    <o:shapelayout v:ext="edit">
      <o:idmap v:ext="edit" data="1"/>
    </o:shapelayout>
  </w:hdrShapeDefaults>
  <w:footnotePr>
    <w:footnote w:id="-1"/>
    <w:footnote w:id="0"/>
  </w:footnotePr>
  <w:endnotePr>
    <w:endnote w:id="-1"/>
    <w:endnote w:id="0"/>
  </w:endnotePr>
  <w:compat>
    <w:doNotExpandShiftReturn/>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xNjEwMDM3MTU0MDeyNDFV0lEKTi0uzszPAykwrAUAJ7C8DiwAAAA="/>
  </w:docVars>
  <w:rsids>
    <w:rsidRoot w:val="001B41F8"/>
    <w:rsid w:val="00000800"/>
    <w:rsid w:val="00022B43"/>
    <w:rsid w:val="00033154"/>
    <w:rsid w:val="00040124"/>
    <w:rsid w:val="0004085F"/>
    <w:rsid w:val="000751AF"/>
    <w:rsid w:val="00075C88"/>
    <w:rsid w:val="000A1D3B"/>
    <w:rsid w:val="000A5767"/>
    <w:rsid w:val="000A5947"/>
    <w:rsid w:val="000B656E"/>
    <w:rsid w:val="000C12D0"/>
    <w:rsid w:val="000D65AE"/>
    <w:rsid w:val="000E1BDE"/>
    <w:rsid w:val="000E5F59"/>
    <w:rsid w:val="000F123C"/>
    <w:rsid w:val="000F4706"/>
    <w:rsid w:val="000F4847"/>
    <w:rsid w:val="0010745A"/>
    <w:rsid w:val="00140134"/>
    <w:rsid w:val="00143AD9"/>
    <w:rsid w:val="00175C23"/>
    <w:rsid w:val="001806BA"/>
    <w:rsid w:val="001974E6"/>
    <w:rsid w:val="001B41F8"/>
    <w:rsid w:val="001B7532"/>
    <w:rsid w:val="002000BF"/>
    <w:rsid w:val="0023500E"/>
    <w:rsid w:val="00273CF5"/>
    <w:rsid w:val="00277805"/>
    <w:rsid w:val="00282D45"/>
    <w:rsid w:val="002B5E47"/>
    <w:rsid w:val="002C28A3"/>
    <w:rsid w:val="002C3139"/>
    <w:rsid w:val="002D1483"/>
    <w:rsid w:val="002E12D5"/>
    <w:rsid w:val="003054AD"/>
    <w:rsid w:val="0031549B"/>
    <w:rsid w:val="003211A4"/>
    <w:rsid w:val="00330DD3"/>
    <w:rsid w:val="00344DEB"/>
    <w:rsid w:val="003579F7"/>
    <w:rsid w:val="00382955"/>
    <w:rsid w:val="00384F73"/>
    <w:rsid w:val="0039003B"/>
    <w:rsid w:val="003A30BA"/>
    <w:rsid w:val="003C46A0"/>
    <w:rsid w:val="003D6893"/>
    <w:rsid w:val="0041016D"/>
    <w:rsid w:val="00411922"/>
    <w:rsid w:val="00417BA9"/>
    <w:rsid w:val="00426683"/>
    <w:rsid w:val="00437F14"/>
    <w:rsid w:val="00467DBF"/>
    <w:rsid w:val="00471CD0"/>
    <w:rsid w:val="00484307"/>
    <w:rsid w:val="0049736F"/>
    <w:rsid w:val="004B6CF1"/>
    <w:rsid w:val="004C0604"/>
    <w:rsid w:val="004C0F3E"/>
    <w:rsid w:val="004E6C58"/>
    <w:rsid w:val="00572AA0"/>
    <w:rsid w:val="005C0875"/>
    <w:rsid w:val="005C6270"/>
    <w:rsid w:val="00600F5B"/>
    <w:rsid w:val="00615D19"/>
    <w:rsid w:val="006231CE"/>
    <w:rsid w:val="00640346"/>
    <w:rsid w:val="00651D2B"/>
    <w:rsid w:val="00653066"/>
    <w:rsid w:val="0066062B"/>
    <w:rsid w:val="006C05E2"/>
    <w:rsid w:val="006E500F"/>
    <w:rsid w:val="006F1AA6"/>
    <w:rsid w:val="006F5131"/>
    <w:rsid w:val="00707B86"/>
    <w:rsid w:val="00737B09"/>
    <w:rsid w:val="00755674"/>
    <w:rsid w:val="00766996"/>
    <w:rsid w:val="00774C7B"/>
    <w:rsid w:val="0077663A"/>
    <w:rsid w:val="0079004D"/>
    <w:rsid w:val="00794907"/>
    <w:rsid w:val="007B2942"/>
    <w:rsid w:val="007B2A25"/>
    <w:rsid w:val="007C3EE0"/>
    <w:rsid w:val="007D1493"/>
    <w:rsid w:val="007F3691"/>
    <w:rsid w:val="008011A8"/>
    <w:rsid w:val="00817131"/>
    <w:rsid w:val="00825F26"/>
    <w:rsid w:val="00840ECB"/>
    <w:rsid w:val="008434E1"/>
    <w:rsid w:val="0085052F"/>
    <w:rsid w:val="008802DB"/>
    <w:rsid w:val="00897A86"/>
    <w:rsid w:val="008A14DA"/>
    <w:rsid w:val="008A4213"/>
    <w:rsid w:val="008B1A66"/>
    <w:rsid w:val="008B5677"/>
    <w:rsid w:val="008B62EC"/>
    <w:rsid w:val="008D36EF"/>
    <w:rsid w:val="008E061A"/>
    <w:rsid w:val="008E1EDA"/>
    <w:rsid w:val="008E7487"/>
    <w:rsid w:val="008F7CF6"/>
    <w:rsid w:val="008F7FB2"/>
    <w:rsid w:val="00911990"/>
    <w:rsid w:val="00922560"/>
    <w:rsid w:val="0094542D"/>
    <w:rsid w:val="00947EF0"/>
    <w:rsid w:val="00977408"/>
    <w:rsid w:val="0098401C"/>
    <w:rsid w:val="00992574"/>
    <w:rsid w:val="009A4274"/>
    <w:rsid w:val="009D594E"/>
    <w:rsid w:val="009D7217"/>
    <w:rsid w:val="009D7281"/>
    <w:rsid w:val="009E16B9"/>
    <w:rsid w:val="009F0EDC"/>
    <w:rsid w:val="00A4344B"/>
    <w:rsid w:val="00A52FE9"/>
    <w:rsid w:val="00A54878"/>
    <w:rsid w:val="00A56453"/>
    <w:rsid w:val="00A5658D"/>
    <w:rsid w:val="00A73A8B"/>
    <w:rsid w:val="00A834FA"/>
    <w:rsid w:val="00A957D1"/>
    <w:rsid w:val="00AA3C42"/>
    <w:rsid w:val="00AB2C67"/>
    <w:rsid w:val="00AC08F7"/>
    <w:rsid w:val="00AE4305"/>
    <w:rsid w:val="00AF44F2"/>
    <w:rsid w:val="00AF5142"/>
    <w:rsid w:val="00B032E5"/>
    <w:rsid w:val="00B1284B"/>
    <w:rsid w:val="00B22973"/>
    <w:rsid w:val="00B468C7"/>
    <w:rsid w:val="00B50DAF"/>
    <w:rsid w:val="00B514DB"/>
    <w:rsid w:val="00B71B9F"/>
    <w:rsid w:val="00B75A2A"/>
    <w:rsid w:val="00B841A3"/>
    <w:rsid w:val="00B97F22"/>
    <w:rsid w:val="00BF01E0"/>
    <w:rsid w:val="00C07F5C"/>
    <w:rsid w:val="00C4030A"/>
    <w:rsid w:val="00C47B9D"/>
    <w:rsid w:val="00C526FF"/>
    <w:rsid w:val="00C724D0"/>
    <w:rsid w:val="00C850D5"/>
    <w:rsid w:val="00C85C4B"/>
    <w:rsid w:val="00CB22A9"/>
    <w:rsid w:val="00CB47E6"/>
    <w:rsid w:val="00CB7381"/>
    <w:rsid w:val="00CD61CF"/>
    <w:rsid w:val="00CE5DA0"/>
    <w:rsid w:val="00D11A0A"/>
    <w:rsid w:val="00D228EC"/>
    <w:rsid w:val="00D22C1D"/>
    <w:rsid w:val="00D529B3"/>
    <w:rsid w:val="00D62A83"/>
    <w:rsid w:val="00D7151A"/>
    <w:rsid w:val="00D74FAA"/>
    <w:rsid w:val="00D803AA"/>
    <w:rsid w:val="00D9112E"/>
    <w:rsid w:val="00DA0273"/>
    <w:rsid w:val="00DA246D"/>
    <w:rsid w:val="00DA3F5A"/>
    <w:rsid w:val="00DB2186"/>
    <w:rsid w:val="00DD08AA"/>
    <w:rsid w:val="00DD56E2"/>
    <w:rsid w:val="00DE21AC"/>
    <w:rsid w:val="00DF1462"/>
    <w:rsid w:val="00DF5514"/>
    <w:rsid w:val="00E02EE3"/>
    <w:rsid w:val="00E12393"/>
    <w:rsid w:val="00E16DCB"/>
    <w:rsid w:val="00E2276D"/>
    <w:rsid w:val="00E40891"/>
    <w:rsid w:val="00E63A0A"/>
    <w:rsid w:val="00E65886"/>
    <w:rsid w:val="00E6650A"/>
    <w:rsid w:val="00E706CB"/>
    <w:rsid w:val="00E94A72"/>
    <w:rsid w:val="00EB201D"/>
    <w:rsid w:val="00EB6F33"/>
    <w:rsid w:val="00EE05F5"/>
    <w:rsid w:val="00EE1AC1"/>
    <w:rsid w:val="00EE4D3A"/>
    <w:rsid w:val="00F15DB4"/>
    <w:rsid w:val="00F80FA1"/>
    <w:rsid w:val="00F81C42"/>
    <w:rsid w:val="00FB4E70"/>
    <w:rsid w:val="00FF2674"/>
    <w:rsid w:val="24BD048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00" fillcolor="white">
      <v:fill color="white"/>
    </o:shapedefaults>
    <o:shapelayout v:ext="edit">
      <o:idmap v:ext="edit" data="2"/>
    </o:shapelayout>
  </w:shapeDefaults>
  <w:decimalSymbol w:val="."/>
  <w:listSeparator w:val=","/>
  <w14:docId w14:val="1F241C5B"/>
  <w15:docId w15:val="{9A371688-E171-4185-880F-E0B8408DC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0EDC"/>
    <w:pPr>
      <w:spacing w:line="360" w:lineRule="auto"/>
      <w:ind w:left="851" w:right="284" w:firstLine="720"/>
    </w:pPr>
    <w:rPr>
      <w:rFonts w:asciiTheme="minorHAnsi" w:eastAsiaTheme="minorHAnsi" w:hAnsiTheme="minorHAnsi" w:cstheme="minorBidi"/>
      <w:kern w:val="2"/>
      <w:sz w:val="22"/>
      <w:szCs w:val="22"/>
      <w:lang w:eastAsia="en-US"/>
    </w:rPr>
  </w:style>
  <w:style w:type="paragraph" w:styleId="Heading1">
    <w:name w:val="heading 1"/>
    <w:basedOn w:val="Normal"/>
    <w:next w:val="Normal"/>
    <w:link w:val="Heading1Char"/>
    <w:uiPriority w:val="9"/>
    <w:qFormat/>
    <w:rsid w:val="009F0ED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F0ED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F0ED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F0ED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F0ED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F0ED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F0ED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F0EDC"/>
    <w:pPr>
      <w:keepNext/>
      <w:keepLines/>
      <w:outlineLvl w:val="7"/>
    </w:pPr>
    <w:rPr>
      <w:rFonts w:eastAsiaTheme="majorEastAsia" w:cstheme="majorBidi"/>
      <w:i/>
      <w:iCs/>
      <w:color w:val="262626" w:themeColor="text1" w:themeTint="D9"/>
    </w:rPr>
  </w:style>
  <w:style w:type="paragraph" w:styleId="Heading9">
    <w:name w:val="heading 9"/>
    <w:basedOn w:val="Normal"/>
    <w:next w:val="Normal"/>
    <w:link w:val="Heading9Char"/>
    <w:uiPriority w:val="9"/>
    <w:semiHidden/>
    <w:unhideWhenUsed/>
    <w:qFormat/>
    <w:rsid w:val="009F0EDC"/>
    <w:pPr>
      <w:keepNext/>
      <w:keepLines/>
      <w:outlineLvl w:val="8"/>
    </w:pPr>
    <w:rPr>
      <w:rFonts w:eastAsiaTheme="majorEastAsia" w:cstheme="majorBidi"/>
      <w:color w:val="262626" w:themeColor="text1" w:themeTint="D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rsid w:val="009F0EDC"/>
    <w:pPr>
      <w:tabs>
        <w:tab w:val="center" w:pos="4513"/>
        <w:tab w:val="right" w:pos="9026"/>
      </w:tabs>
      <w:spacing w:line="240" w:lineRule="auto"/>
    </w:pPr>
  </w:style>
  <w:style w:type="paragraph" w:styleId="Header">
    <w:name w:val="header"/>
    <w:basedOn w:val="Normal"/>
    <w:link w:val="HeaderChar"/>
    <w:uiPriority w:val="99"/>
    <w:unhideWhenUsed/>
    <w:qFormat/>
    <w:rsid w:val="009F0EDC"/>
    <w:pPr>
      <w:tabs>
        <w:tab w:val="center" w:pos="4513"/>
        <w:tab w:val="right" w:pos="9026"/>
      </w:tabs>
      <w:spacing w:line="240" w:lineRule="auto"/>
    </w:pPr>
  </w:style>
  <w:style w:type="paragraph" w:styleId="Subtitle">
    <w:name w:val="Subtitle"/>
    <w:basedOn w:val="Normal"/>
    <w:next w:val="Normal"/>
    <w:link w:val="SubtitleChar"/>
    <w:uiPriority w:val="11"/>
    <w:qFormat/>
    <w:rsid w:val="009F0EDC"/>
    <w:pPr>
      <w:spacing w:after="160"/>
    </w:pPr>
    <w:rPr>
      <w:rFonts w:eastAsiaTheme="majorEastAsia" w:cstheme="majorBidi"/>
      <w:color w:val="595959" w:themeColor="text1" w:themeTint="A6"/>
      <w:spacing w:val="15"/>
      <w:sz w:val="28"/>
      <w:szCs w:val="28"/>
    </w:rPr>
  </w:style>
  <w:style w:type="table" w:styleId="TableGrid">
    <w:name w:val="Table Grid"/>
    <w:basedOn w:val="TableNormal"/>
    <w:uiPriority w:val="39"/>
    <w:qFormat/>
    <w:rsid w:val="009F0EDC"/>
    <w:pPr>
      <w:ind w:left="851" w:right="284" w:firstLine="720"/>
    </w:pPr>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9F0E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qFormat/>
    <w:rsid w:val="009F0ED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qFormat/>
    <w:rsid w:val="009F0ED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qFormat/>
    <w:rsid w:val="009F0ED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qFormat/>
    <w:rsid w:val="009F0ED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qFormat/>
    <w:rsid w:val="009F0ED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qFormat/>
    <w:rsid w:val="009F0ED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sid w:val="009F0ED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sid w:val="009F0EDC"/>
    <w:rPr>
      <w:rFonts w:eastAsiaTheme="majorEastAsia" w:cstheme="majorBidi"/>
      <w:i/>
      <w:iCs/>
      <w:color w:val="262626" w:themeColor="text1" w:themeTint="D9"/>
    </w:rPr>
  </w:style>
  <w:style w:type="character" w:customStyle="1" w:styleId="Heading9Char">
    <w:name w:val="Heading 9 Char"/>
    <w:basedOn w:val="DefaultParagraphFont"/>
    <w:link w:val="Heading9"/>
    <w:uiPriority w:val="9"/>
    <w:semiHidden/>
    <w:qFormat/>
    <w:rsid w:val="009F0EDC"/>
    <w:rPr>
      <w:rFonts w:eastAsiaTheme="majorEastAsia" w:cstheme="majorBidi"/>
      <w:color w:val="262626" w:themeColor="text1" w:themeTint="D9"/>
    </w:rPr>
  </w:style>
  <w:style w:type="character" w:customStyle="1" w:styleId="TitleChar">
    <w:name w:val="Title Char"/>
    <w:basedOn w:val="DefaultParagraphFont"/>
    <w:link w:val="Title"/>
    <w:uiPriority w:val="10"/>
    <w:qFormat/>
    <w:rsid w:val="009F0EDC"/>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qFormat/>
    <w:rsid w:val="009F0E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0EDC"/>
    <w:pPr>
      <w:spacing w:before="160" w:after="160"/>
      <w:jc w:val="center"/>
    </w:pPr>
    <w:rPr>
      <w:i/>
      <w:iCs/>
      <w:color w:val="404040" w:themeColor="text1" w:themeTint="BF"/>
    </w:rPr>
  </w:style>
  <w:style w:type="character" w:customStyle="1" w:styleId="QuoteChar">
    <w:name w:val="Quote Char"/>
    <w:basedOn w:val="DefaultParagraphFont"/>
    <w:link w:val="Quote"/>
    <w:uiPriority w:val="29"/>
    <w:qFormat/>
    <w:rsid w:val="009F0EDC"/>
    <w:rPr>
      <w:i/>
      <w:iCs/>
      <w:color w:val="404040" w:themeColor="text1" w:themeTint="BF"/>
    </w:rPr>
  </w:style>
  <w:style w:type="paragraph" w:styleId="ListParagraph">
    <w:name w:val="List Paragraph"/>
    <w:basedOn w:val="Normal"/>
    <w:uiPriority w:val="34"/>
    <w:qFormat/>
    <w:rsid w:val="009F0EDC"/>
    <w:pPr>
      <w:ind w:left="720"/>
      <w:contextualSpacing/>
    </w:pPr>
  </w:style>
  <w:style w:type="character" w:customStyle="1" w:styleId="IntenseEmphasis1">
    <w:name w:val="Intense Emphasis1"/>
    <w:basedOn w:val="DefaultParagraphFont"/>
    <w:uiPriority w:val="21"/>
    <w:qFormat/>
    <w:rsid w:val="009F0EDC"/>
    <w:rPr>
      <w:i/>
      <w:iCs/>
      <w:color w:val="2F5496" w:themeColor="accent1" w:themeShade="BF"/>
    </w:rPr>
  </w:style>
  <w:style w:type="paragraph" w:styleId="IntenseQuote">
    <w:name w:val="Intense Quote"/>
    <w:basedOn w:val="Normal"/>
    <w:next w:val="Normal"/>
    <w:link w:val="IntenseQuoteChar"/>
    <w:uiPriority w:val="30"/>
    <w:qFormat/>
    <w:rsid w:val="009F0ED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qFormat/>
    <w:rsid w:val="009F0EDC"/>
    <w:rPr>
      <w:i/>
      <w:iCs/>
      <w:color w:val="2F5496" w:themeColor="accent1" w:themeShade="BF"/>
    </w:rPr>
  </w:style>
  <w:style w:type="character" w:customStyle="1" w:styleId="IntenseReference1">
    <w:name w:val="Intense Reference1"/>
    <w:basedOn w:val="DefaultParagraphFont"/>
    <w:uiPriority w:val="32"/>
    <w:qFormat/>
    <w:rsid w:val="009F0EDC"/>
    <w:rPr>
      <w:b/>
      <w:bCs/>
      <w:smallCaps/>
      <w:color w:val="2F5496" w:themeColor="accent1" w:themeShade="BF"/>
      <w:spacing w:val="5"/>
    </w:rPr>
  </w:style>
  <w:style w:type="character" w:customStyle="1" w:styleId="HeaderChar">
    <w:name w:val="Header Char"/>
    <w:basedOn w:val="DefaultParagraphFont"/>
    <w:link w:val="Header"/>
    <w:uiPriority w:val="99"/>
    <w:qFormat/>
    <w:rsid w:val="009F0EDC"/>
    <w:rPr>
      <w:rFonts w:asciiTheme="minorHAnsi" w:eastAsiaTheme="minorHAnsi" w:hAnsiTheme="minorHAnsi" w:cstheme="minorBidi"/>
      <w:kern w:val="2"/>
      <w:sz w:val="22"/>
      <w:szCs w:val="22"/>
      <w:lang w:eastAsia="en-US"/>
    </w:rPr>
  </w:style>
  <w:style w:type="character" w:customStyle="1" w:styleId="FooterChar">
    <w:name w:val="Footer Char"/>
    <w:basedOn w:val="DefaultParagraphFont"/>
    <w:link w:val="Footer"/>
    <w:uiPriority w:val="99"/>
    <w:qFormat/>
    <w:rsid w:val="009F0EDC"/>
    <w:rPr>
      <w:rFonts w:asciiTheme="minorHAnsi" w:eastAsiaTheme="minorHAnsi" w:hAnsiTheme="minorHAnsi" w:cstheme="minorBidi"/>
      <w:kern w:val="2"/>
      <w:sz w:val="22"/>
      <w:szCs w:val="22"/>
      <w:lang w:eastAsia="en-US"/>
    </w:rPr>
  </w:style>
  <w:style w:type="character" w:styleId="Hyperlink">
    <w:name w:val="Hyperlink"/>
    <w:basedOn w:val="DefaultParagraphFont"/>
    <w:uiPriority w:val="99"/>
    <w:unhideWhenUsed/>
    <w:rsid w:val="00DE21AC"/>
    <w:rPr>
      <w:color w:val="0563C1" w:themeColor="hyperlink"/>
      <w:u w:val="single"/>
    </w:rPr>
  </w:style>
  <w:style w:type="paragraph" w:customStyle="1" w:styleId="AcknHead">
    <w:name w:val="Ackn Head"/>
    <w:basedOn w:val="Normal"/>
    <w:rsid w:val="00DD08AA"/>
    <w:pPr>
      <w:keepNext/>
      <w:spacing w:after="240" w:line="240" w:lineRule="auto"/>
      <w:ind w:left="0" w:right="0" w:firstLine="0"/>
    </w:pPr>
    <w:rPr>
      <w:rFonts w:ascii="Helvetica" w:eastAsia="Times New Roman" w:hAnsi="Helvetica" w:cs="Times New Roman"/>
      <w:b/>
      <w:caps/>
      <w:kern w:val="0"/>
      <w:szCs w:val="20"/>
      <w:lang w:val="en-US"/>
    </w:rPr>
  </w:style>
  <w:style w:type="paragraph" w:customStyle="1" w:styleId="ReferHead">
    <w:name w:val="Refer Head"/>
    <w:basedOn w:val="Normal"/>
    <w:rsid w:val="00DD08AA"/>
    <w:pPr>
      <w:keepNext/>
      <w:spacing w:after="240" w:line="240" w:lineRule="auto"/>
      <w:ind w:left="0" w:right="0" w:firstLine="0"/>
    </w:pPr>
    <w:rPr>
      <w:rFonts w:ascii="Helvetica" w:eastAsia="Times New Roman" w:hAnsi="Helvetica" w:cs="Times New Roman"/>
      <w:b/>
      <w:caps/>
      <w:kern w:val="0"/>
      <w:szCs w:val="20"/>
      <w:lang w:val="en-US"/>
    </w:rPr>
  </w:style>
  <w:style w:type="paragraph" w:customStyle="1" w:styleId="Default">
    <w:name w:val="Default"/>
    <w:rsid w:val="00DD08AA"/>
    <w:pPr>
      <w:autoSpaceDE w:val="0"/>
      <w:autoSpaceDN w:val="0"/>
      <w:adjustRightInd w:val="0"/>
    </w:pPr>
    <w:rPr>
      <w:rFonts w:ascii="Times New Roman" w:hAnsi="Times New Roman" w:cs="Times New Roman"/>
      <w:color w:val="000000"/>
      <w:sz w:val="24"/>
      <w:szCs w:val="24"/>
      <w:lang w:val="en-US"/>
    </w:rPr>
  </w:style>
  <w:style w:type="paragraph" w:styleId="NormalWeb">
    <w:name w:val="Normal (Web)"/>
    <w:basedOn w:val="Normal"/>
    <w:uiPriority w:val="99"/>
    <w:semiHidden/>
    <w:unhideWhenUsed/>
    <w:rsid w:val="00B1284B"/>
    <w:pPr>
      <w:spacing w:before="100" w:beforeAutospacing="1" w:after="100" w:afterAutospacing="1" w:line="240" w:lineRule="auto"/>
      <w:ind w:left="0" w:right="0" w:firstLine="0"/>
    </w:pPr>
    <w:rPr>
      <w:rFonts w:ascii="Times New Roman" w:eastAsia="Times New Roman" w:hAnsi="Times New Roman" w:cs="Times New Roman"/>
      <w:kern w:val="0"/>
      <w:sz w:val="24"/>
      <w:szCs w:val="24"/>
      <w:lang w:val="en-US"/>
    </w:rPr>
  </w:style>
  <w:style w:type="character" w:styleId="Emphasis">
    <w:name w:val="Emphasis"/>
    <w:basedOn w:val="DefaultParagraphFont"/>
    <w:uiPriority w:val="20"/>
    <w:qFormat/>
    <w:rsid w:val="00B1284B"/>
    <w:rPr>
      <w:i/>
      <w:iCs/>
    </w:rPr>
  </w:style>
  <w:style w:type="character" w:customStyle="1" w:styleId="UnresolvedMention1">
    <w:name w:val="Unresolved Mention1"/>
    <w:basedOn w:val="DefaultParagraphFont"/>
    <w:uiPriority w:val="99"/>
    <w:semiHidden/>
    <w:unhideWhenUsed/>
    <w:rsid w:val="007C3EE0"/>
    <w:rPr>
      <w:color w:val="605E5C"/>
      <w:shd w:val="clear" w:color="auto" w:fill="E1DFDD"/>
    </w:rPr>
  </w:style>
  <w:style w:type="table" w:customStyle="1" w:styleId="TableGrid1">
    <w:name w:val="Table Grid1"/>
    <w:basedOn w:val="TableNormal"/>
    <w:next w:val="TableGrid"/>
    <w:uiPriority w:val="39"/>
    <w:rsid w:val="009D7281"/>
    <w:rPr>
      <w:rFonts w:cs="Times New Roman"/>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579F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79F7"/>
    <w:rPr>
      <w:rFonts w:ascii="Tahoma" w:eastAsiaTheme="minorHAnsi" w:hAnsi="Tahoma" w:cs="Tahoma"/>
      <w:kern w:val="2"/>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1910317">
      <w:bodyDiv w:val="1"/>
      <w:marLeft w:val="0"/>
      <w:marRight w:val="0"/>
      <w:marTop w:val="0"/>
      <w:marBottom w:val="0"/>
      <w:divBdr>
        <w:top w:val="none" w:sz="0" w:space="0" w:color="auto"/>
        <w:left w:val="none" w:sz="0" w:space="0" w:color="auto"/>
        <w:bottom w:val="none" w:sz="0" w:space="0" w:color="auto"/>
        <w:right w:val="none" w:sz="0" w:space="0" w:color="auto"/>
      </w:divBdr>
    </w:div>
    <w:div w:id="10380916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hyperlink" Target="https://doi.org/10.1369/0022155414532655?utm_source=chatgpt.com" TargetMode="External"/><Relationship Id="rId39" Type="http://schemas.openxmlformats.org/officeDocument/2006/relationships/hyperlink" Target="https://doi.org/10.36346/sarjbab.2024.v06i05.005?utm_source=chatgpt.com" TargetMode="External"/><Relationship Id="rId21" Type="http://schemas.openxmlformats.org/officeDocument/2006/relationships/image" Target="media/image13.png"/><Relationship Id="rId34" Type="http://schemas.openxmlformats.org/officeDocument/2006/relationships/hyperlink" Target="https://doi.org/10.1002/j.2040-4603.1991.tb01401.x?utm_source=chatgpt.com" TargetMode="External"/><Relationship Id="rId42" Type="http://schemas.openxmlformats.org/officeDocument/2006/relationships/hyperlink" Target="https://doi.org/10.1016/j.livsci.2010.06.023?utm_source=chatgpt.com" TargetMode="External"/><Relationship Id="rId47" Type="http://schemas.openxmlformats.org/officeDocument/2006/relationships/hyperlink" Target="https://doi.org/10.1017/S1751731119001319?utm_source=chatgpt.com" TargetMode="External"/><Relationship Id="rId50" Type="http://schemas.openxmlformats.org/officeDocument/2006/relationships/header" Target="header1.xml"/><Relationship Id="rId55" Type="http://schemas.openxmlformats.org/officeDocument/2006/relationships/footer" Target="footer3.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8.png"/><Relationship Id="rId29" Type="http://schemas.openxmlformats.org/officeDocument/2006/relationships/hyperlink" Target="https://doi.org/10.5958/2277-940X.2017.00167.X?utm_source=chatgpt.com" TargetMode="External"/><Relationship Id="rId11" Type="http://schemas.openxmlformats.org/officeDocument/2006/relationships/image" Target="media/image3.png"/><Relationship Id="rId24" Type="http://schemas.openxmlformats.org/officeDocument/2006/relationships/hyperlink" Target="https://pubmed.ncbi.nlm.nih.gov/5543214/?utm_source=chatgpt.com" TargetMode="External"/><Relationship Id="rId32" Type="http://schemas.openxmlformats.org/officeDocument/2006/relationships/hyperlink" Target="https://doi.org/10.5958/2277-8934.2016.00018.7?utm_source=chatgpt.com" TargetMode="External"/><Relationship Id="rId37" Type="http://schemas.openxmlformats.org/officeDocument/2006/relationships/hyperlink" Target="https://doi.org/10.23975/bjvetr.2022.172825?utm_source=chatgpt.com" TargetMode="External"/><Relationship Id="rId40" Type="http://schemas.openxmlformats.org/officeDocument/2006/relationships/hyperlink" Target="https://doi.org/10.5455/ijlr.20201210105527?utm_source=chatgpt.com" TargetMode="External"/><Relationship Id="rId45" Type="http://schemas.openxmlformats.org/officeDocument/2006/relationships/hyperlink" Target="https://doi.org/10.1111/j.1740-0929.2012.01039.x?utm_source=chatgpt.com" TargetMode="External"/><Relationship Id="rId53" Type="http://schemas.openxmlformats.org/officeDocument/2006/relationships/footer" Target="footer2.xml"/><Relationship Id="rId5" Type="http://schemas.openxmlformats.org/officeDocument/2006/relationships/settings" Target="settings.xml"/><Relationship Id="rId19" Type="http://schemas.openxmlformats.org/officeDocument/2006/relationships/image" Target="media/image11.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hyperlink" Target="https://doi.org/10.65639/kjvm.25.108?utm_source=chatgpt.com" TargetMode="External"/><Relationship Id="rId27" Type="http://schemas.openxmlformats.org/officeDocument/2006/relationships/hyperlink" Target="https://doi.org/10.3390/ani11051384?utm_source=chatgpt.com" TargetMode="External"/><Relationship Id="rId30" Type="http://schemas.openxmlformats.org/officeDocument/2006/relationships/hyperlink" Target="https://doi.org/10.18805/IJAR.B-4211?utm_source=chatgpt.com" TargetMode="External"/><Relationship Id="rId35" Type="http://schemas.openxmlformats.org/officeDocument/2006/relationships/hyperlink" Target="https://doi.org/10.51227/ojafr.2020.34?utm_source=chatgpt.com" TargetMode="External"/><Relationship Id="rId43" Type="http://schemas.openxmlformats.org/officeDocument/2006/relationships/hyperlink" Target="https://doi.org/10.53555/AJBR.v27i3.5970?utm_source=chatgpt.com" TargetMode="External"/><Relationship Id="rId48" Type="http://schemas.openxmlformats.org/officeDocument/2006/relationships/hyperlink" Target="https://doi.org/10.1046/j.1439-0264.2003.00430.x?utm_source=chatgpt.com" TargetMode="External"/><Relationship Id="rId56"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eader" Target="header2.xml"/><Relationship Id="rId3" Type="http://schemas.openxmlformats.org/officeDocument/2006/relationships/numbering" Target="numbering.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hyperlink" Target="https://doi.org/10.1186/s40104-023-00905-5?utm_source=chatgpt.com" TargetMode="External"/><Relationship Id="rId33" Type="http://schemas.openxmlformats.org/officeDocument/2006/relationships/hyperlink" Target="https://doi.org/10.1016/S0079-6336(00)80006-6?utm_source=chatgpt.com" TargetMode="External"/><Relationship Id="rId38" Type="http://schemas.openxmlformats.org/officeDocument/2006/relationships/hyperlink" Target="https://doi.org/10.3389/fvets.2022.878952?utm_source=chatgpt.com" TargetMode="External"/><Relationship Id="rId46" Type="http://schemas.openxmlformats.org/officeDocument/2006/relationships/hyperlink" Target="https://doi.org/10.1155/2001/25301?utm_source=chatgpt.com" TargetMode="External"/><Relationship Id="rId20" Type="http://schemas.openxmlformats.org/officeDocument/2006/relationships/image" Target="media/image12.png"/><Relationship Id="rId41" Type="http://schemas.openxmlformats.org/officeDocument/2006/relationships/hyperlink" Target="https://doi.org/10.26402/jpp.2018.1.14?utm_source=chatgpt.com" TargetMode="External"/><Relationship Id="rId54"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hyperlink" Target="https://doi.org/10.22358/jafs/66152/2011?utm_source=chatgpt.com" TargetMode="External"/><Relationship Id="rId28" Type="http://schemas.openxmlformats.org/officeDocument/2006/relationships/hyperlink" Target="https://doi.org/10.5897/JCAB2015.0425?utm_source=chatgpt.com" TargetMode="External"/><Relationship Id="rId36" Type="http://schemas.openxmlformats.org/officeDocument/2006/relationships/hyperlink" Target="https://doi.org/10.1203/00006450-199103000-00004?utm_source=chatgpt.com" TargetMode="External"/><Relationship Id="rId49" Type="http://schemas.openxmlformats.org/officeDocument/2006/relationships/hyperlink" Target="https://doi.org/10.1016/S0301-6226(00)00217-7?utm_source=chatgpt.com" TargetMode="External"/><Relationship Id="rId57" Type="http://schemas.openxmlformats.org/officeDocument/2006/relationships/theme" Target="theme/theme1.xml"/><Relationship Id="rId10" Type="http://schemas.openxmlformats.org/officeDocument/2006/relationships/image" Target="media/image2.png"/><Relationship Id="rId31" Type="http://schemas.openxmlformats.org/officeDocument/2006/relationships/hyperlink" Target="https://doi.org/10.1002/bdd.2510160502?utm_source=chatgpt.com" TargetMode="External"/><Relationship Id="rId44" Type="http://schemas.openxmlformats.org/officeDocument/2006/relationships/hyperlink" Target="https://doi.org/10.1111/j.1439-0264.1991.tb00285.x?utm_source=chatgpt.com" TargetMode="External"/><Relationship Id="rId5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08E23319-F18D-4A24-8350-E98ED69C11CB}">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613</TotalTime>
  <Pages>15</Pages>
  <Words>6221</Words>
  <Characters>35464</Characters>
  <Application>Microsoft Office Word</Application>
  <DocSecurity>0</DocSecurity>
  <Lines>295</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Gayu M</dc:creator>
  <cp:lastModifiedBy>SDI PC New 16</cp:lastModifiedBy>
  <cp:revision>49</cp:revision>
  <dcterms:created xsi:type="dcterms:W3CDTF">2026-09-08T09:53:00Z</dcterms:created>
  <dcterms:modified xsi:type="dcterms:W3CDTF">2026-09-16T04:32:00Z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eyJoZGlkIjoiNmNjZTM1MDFjMzExNDU2NzczODQ3N2YzYWY2MmYxMWEifQ==</vt:lpwstr>
  </property>
  <property fmtid="{D5CDD505-2E9C-101B-9397-08002B2CF9AE}" pid="3" name="KSOProductBuildVer">
    <vt:lpwstr>1033-12.1.0.28485</vt:lpwstr>
  </property>
  <property fmtid="{D5CDD505-2E9C-101B-9397-08002B2CF9AE}" pid="4" name="ICV">
    <vt:lpwstr>A37F2E13703947FCB8E4271A1AB14D4D_12</vt:lpwstr>
  </property>
</Properties>
</file>