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CFD585" w14:textId="77777777" w:rsidR="00BA0599" w:rsidRDefault="00000000">
      <w:pPr>
        <w:spacing w:line="360" w:lineRule="auto"/>
        <w:jc w:val="center"/>
      </w:pPr>
      <w:r>
        <w:rPr>
          <w:rFonts w:ascii="Times New Roman" w:hAnsi="Times New Roman" w:cs="Times New Roman"/>
          <w:b/>
          <w:sz w:val="28"/>
          <w:szCs w:val="28"/>
        </w:rPr>
        <w:t xml:space="preserve">Protective Effects of Vanillic Acid Against UV-Induced Oxidative Stress and </w:t>
      </w:r>
      <w:proofErr w:type="spellStart"/>
      <w:r>
        <w:rPr>
          <w:rFonts w:ascii="Times New Roman" w:hAnsi="Times New Roman" w:cs="Times New Roman"/>
          <w:b/>
          <w:sz w:val="28"/>
          <w:szCs w:val="28"/>
        </w:rPr>
        <w:t>Behavioral</w:t>
      </w:r>
      <w:proofErr w:type="spellEnd"/>
      <w:r>
        <w:rPr>
          <w:rFonts w:ascii="Times New Roman" w:hAnsi="Times New Roman" w:cs="Times New Roman"/>
          <w:b/>
          <w:sz w:val="28"/>
          <w:szCs w:val="28"/>
        </w:rPr>
        <w:t xml:space="preserve"> Impairments in </w:t>
      </w:r>
      <w:r>
        <w:rPr>
          <w:rFonts w:ascii="Times New Roman" w:hAnsi="Times New Roman" w:cs="Times New Roman"/>
          <w:b/>
          <w:i/>
          <w:iCs/>
          <w:sz w:val="28"/>
          <w:szCs w:val="28"/>
        </w:rPr>
        <w:t>Drosophila melanogaster</w:t>
      </w:r>
    </w:p>
    <w:p w14:paraId="0E3F22B7" w14:textId="77777777" w:rsidR="00BA0599" w:rsidRDefault="00000000">
      <w:pPr>
        <w:spacing w:line="360" w:lineRule="auto"/>
        <w:jc w:val="both"/>
        <w:rPr>
          <w:rFonts w:ascii="Times New Roman" w:hAnsi="Times New Roman" w:cs="Times New Roman"/>
          <w:b/>
          <w:sz w:val="24"/>
          <w:szCs w:val="24"/>
        </w:rPr>
      </w:pPr>
      <w:r>
        <w:rPr>
          <w:rFonts w:ascii="Times New Roman" w:hAnsi="Times New Roman" w:cs="Times New Roman"/>
          <w:b/>
          <w:sz w:val="24"/>
          <w:szCs w:val="24"/>
        </w:rPr>
        <w:t>Abstract</w:t>
      </w:r>
    </w:p>
    <w:p w14:paraId="27238054" w14:textId="77777777" w:rsidR="00BA0599" w:rsidRDefault="00000000">
      <w:pPr>
        <w:spacing w:line="360" w:lineRule="auto"/>
        <w:jc w:val="both"/>
      </w:pPr>
      <w:r>
        <w:rPr>
          <w:rFonts w:ascii="Times New Roman" w:hAnsi="Times New Roman" w:cs="Times New Roman"/>
          <w:bCs/>
          <w:sz w:val="24"/>
          <w:szCs w:val="24"/>
        </w:rPr>
        <w:t xml:space="preserve">Ultraviolet (UV) radiation is a potent environmental stressor that induces oxidative damage and disrupts physiological functions </w:t>
      </w:r>
      <w:r>
        <w:rPr>
          <w:rFonts w:ascii="Times New Roman" w:hAnsi="Times New Roman" w:cs="Times New Roman"/>
          <w:bCs/>
          <w:sz w:val="24"/>
          <w:szCs w:val="24"/>
          <w:highlight w:val="yellow"/>
        </w:rPr>
        <w:t>through the excessive generation</w:t>
      </w:r>
      <w:r>
        <w:rPr>
          <w:rFonts w:ascii="Times New Roman" w:hAnsi="Times New Roman" w:cs="Times New Roman"/>
          <w:bCs/>
          <w:sz w:val="24"/>
          <w:szCs w:val="24"/>
        </w:rPr>
        <w:t xml:space="preserve"> of reactive oxygen species (ROS). The present study investigated the protective effects of vanillic acid against UV-induced oxidative stress and </w:t>
      </w:r>
      <w:r>
        <w:rPr>
          <w:rFonts w:ascii="Times New Roman" w:hAnsi="Times New Roman" w:cs="Times New Roman"/>
          <w:bCs/>
          <w:sz w:val="24"/>
          <w:szCs w:val="24"/>
          <w:highlight w:val="yellow"/>
        </w:rPr>
        <w:t>behavioural</w:t>
      </w:r>
      <w:r>
        <w:rPr>
          <w:rFonts w:ascii="Times New Roman" w:hAnsi="Times New Roman" w:cs="Times New Roman"/>
          <w:bCs/>
          <w:sz w:val="24"/>
          <w:szCs w:val="24"/>
        </w:rPr>
        <w:t xml:space="preserve"> impairments in </w:t>
      </w:r>
      <w:r>
        <w:rPr>
          <w:rFonts w:ascii="Times New Roman" w:hAnsi="Times New Roman" w:cs="Times New Roman"/>
          <w:bCs/>
          <w:i/>
          <w:iCs/>
          <w:sz w:val="24"/>
          <w:szCs w:val="24"/>
        </w:rPr>
        <w:t>Drosophila melanogaster</w:t>
      </w:r>
      <w:r>
        <w:rPr>
          <w:rFonts w:ascii="Times New Roman" w:hAnsi="Times New Roman" w:cs="Times New Roman"/>
          <w:bCs/>
          <w:sz w:val="24"/>
          <w:szCs w:val="24"/>
        </w:rPr>
        <w:t xml:space="preserve">. Adult wild-type flies were assigned to four groups: control, UV-treated, UV-treated plus vanillic acid, and vanillic acid alone. Vanillic acid was administered through the diet for 14 days, while UV exposure was applied daily for seven consecutive days. </w:t>
      </w:r>
      <w:r>
        <w:rPr>
          <w:rFonts w:ascii="Times New Roman" w:hAnsi="Times New Roman" w:cs="Times New Roman"/>
          <w:bCs/>
          <w:sz w:val="24"/>
          <w:szCs w:val="24"/>
          <w:highlight w:val="yellow"/>
        </w:rPr>
        <w:t>Behavioural</w:t>
      </w:r>
      <w:r>
        <w:rPr>
          <w:rFonts w:ascii="Times New Roman" w:hAnsi="Times New Roman" w:cs="Times New Roman"/>
          <w:bCs/>
          <w:sz w:val="24"/>
          <w:szCs w:val="24"/>
        </w:rPr>
        <w:t xml:space="preserve"> performance was assessed using negative geotaxis, phototaxis, smell chemotaxis, taste chemotaxis, thermotaxis, and </w:t>
      </w:r>
      <w:proofErr w:type="spellStart"/>
      <w:r>
        <w:rPr>
          <w:rFonts w:ascii="Times New Roman" w:hAnsi="Times New Roman" w:cs="Times New Roman"/>
          <w:bCs/>
          <w:sz w:val="24"/>
          <w:szCs w:val="24"/>
        </w:rPr>
        <w:t>hygrotaxis</w:t>
      </w:r>
      <w:proofErr w:type="spellEnd"/>
      <w:r>
        <w:rPr>
          <w:rFonts w:ascii="Times New Roman" w:hAnsi="Times New Roman" w:cs="Times New Roman"/>
          <w:bCs/>
          <w:sz w:val="24"/>
          <w:szCs w:val="24"/>
        </w:rPr>
        <w:t xml:space="preserve"> assays. Oxidative stress was evaluated by measuring </w:t>
      </w:r>
      <w:proofErr w:type="spellStart"/>
      <w:r>
        <w:rPr>
          <w:rFonts w:ascii="Times New Roman" w:hAnsi="Times New Roman" w:cs="Times New Roman"/>
          <w:bCs/>
          <w:sz w:val="24"/>
          <w:szCs w:val="24"/>
        </w:rPr>
        <w:t>thiobarbituric</w:t>
      </w:r>
      <w:proofErr w:type="spellEnd"/>
      <w:r>
        <w:rPr>
          <w:rFonts w:ascii="Times New Roman" w:hAnsi="Times New Roman" w:cs="Times New Roman"/>
          <w:bCs/>
          <w:sz w:val="24"/>
          <w:szCs w:val="24"/>
        </w:rPr>
        <w:t xml:space="preserve"> acid reactive substances (TBARS), protein carbonyl content, and superoxide dismutase (SOD) activity. UV exposure significantly impaired locomotor and sensory </w:t>
      </w:r>
      <w:r>
        <w:rPr>
          <w:rFonts w:ascii="Times New Roman" w:hAnsi="Times New Roman" w:cs="Times New Roman"/>
          <w:bCs/>
          <w:sz w:val="24"/>
          <w:szCs w:val="24"/>
          <w:highlight w:val="yellow"/>
        </w:rPr>
        <w:t>behaviours</w:t>
      </w:r>
      <w:r>
        <w:rPr>
          <w:rFonts w:ascii="Times New Roman" w:hAnsi="Times New Roman" w:cs="Times New Roman"/>
          <w:bCs/>
          <w:sz w:val="24"/>
          <w:szCs w:val="24"/>
        </w:rPr>
        <w:t xml:space="preserve"> and increased oxidative stress, as evidenced by elevated TBARS and protein carbonyl levels and reduced SOD activity. Dietary supplementation with vanillic acid markedly improved </w:t>
      </w:r>
      <w:r>
        <w:rPr>
          <w:rFonts w:ascii="Times New Roman" w:hAnsi="Times New Roman" w:cs="Times New Roman"/>
          <w:bCs/>
          <w:sz w:val="24"/>
          <w:szCs w:val="24"/>
          <w:highlight w:val="yellow"/>
        </w:rPr>
        <w:t>behavioural</w:t>
      </w:r>
      <w:r>
        <w:rPr>
          <w:rFonts w:ascii="Times New Roman" w:hAnsi="Times New Roman" w:cs="Times New Roman"/>
          <w:bCs/>
          <w:sz w:val="24"/>
          <w:szCs w:val="24"/>
        </w:rPr>
        <w:t xml:space="preserve"> responses in UV-treated flies, restoring phototactic, chemotactic, thermotactic, and </w:t>
      </w:r>
      <w:proofErr w:type="spellStart"/>
      <w:r>
        <w:rPr>
          <w:rFonts w:ascii="Times New Roman" w:hAnsi="Times New Roman" w:cs="Times New Roman"/>
          <w:bCs/>
          <w:sz w:val="24"/>
          <w:szCs w:val="24"/>
        </w:rPr>
        <w:t>hygrotactic</w:t>
      </w:r>
      <w:proofErr w:type="spellEnd"/>
      <w:r>
        <w:rPr>
          <w:rFonts w:ascii="Times New Roman" w:hAnsi="Times New Roman" w:cs="Times New Roman"/>
          <w:bCs/>
          <w:sz w:val="24"/>
          <w:szCs w:val="24"/>
        </w:rPr>
        <w:t xml:space="preserve"> performance </w:t>
      </w:r>
      <w:r>
        <w:rPr>
          <w:rFonts w:ascii="Times New Roman" w:hAnsi="Times New Roman" w:cs="Times New Roman"/>
          <w:bCs/>
          <w:sz w:val="24"/>
          <w:szCs w:val="24"/>
          <w:highlight w:val="yellow"/>
        </w:rPr>
        <w:t>towards</w:t>
      </w:r>
      <w:r>
        <w:rPr>
          <w:rFonts w:ascii="Times New Roman" w:hAnsi="Times New Roman" w:cs="Times New Roman"/>
          <w:bCs/>
          <w:sz w:val="24"/>
          <w:szCs w:val="24"/>
        </w:rPr>
        <w:t xml:space="preserve"> control levels. Vanillic acid treatment also significantly reduced lipid peroxidation and protein oxidation while enhancing antioxidant enzyme activity. Flies treated with vanillic acid alone exhibited </w:t>
      </w:r>
      <w:r>
        <w:rPr>
          <w:rFonts w:ascii="Times New Roman" w:hAnsi="Times New Roman" w:cs="Times New Roman"/>
          <w:bCs/>
          <w:sz w:val="24"/>
          <w:szCs w:val="24"/>
          <w:highlight w:val="yellow"/>
        </w:rPr>
        <w:t>behavioural</w:t>
      </w:r>
      <w:r>
        <w:rPr>
          <w:rFonts w:ascii="Times New Roman" w:hAnsi="Times New Roman" w:cs="Times New Roman"/>
          <w:bCs/>
          <w:sz w:val="24"/>
          <w:szCs w:val="24"/>
        </w:rPr>
        <w:t xml:space="preserve"> and biochemical profiles comparable to those of the control group. These findings demonstrate that vanillic acid effectively attenuates UV-induced oxidative stress and associated </w:t>
      </w:r>
      <w:proofErr w:type="spellStart"/>
      <w:r>
        <w:rPr>
          <w:rFonts w:ascii="Times New Roman" w:hAnsi="Times New Roman" w:cs="Times New Roman"/>
          <w:bCs/>
          <w:sz w:val="24"/>
          <w:szCs w:val="24"/>
        </w:rPr>
        <w:t>neuro</w:t>
      </w:r>
      <w:r>
        <w:rPr>
          <w:rFonts w:ascii="Times New Roman" w:hAnsi="Times New Roman" w:cs="Times New Roman"/>
          <w:bCs/>
          <w:sz w:val="24"/>
          <w:szCs w:val="24"/>
          <w:highlight w:val="yellow"/>
        </w:rPr>
        <w:t>behavioural</w:t>
      </w:r>
      <w:proofErr w:type="spellEnd"/>
      <w:r>
        <w:rPr>
          <w:rFonts w:ascii="Times New Roman" w:hAnsi="Times New Roman" w:cs="Times New Roman"/>
          <w:bCs/>
          <w:sz w:val="24"/>
          <w:szCs w:val="24"/>
        </w:rPr>
        <w:t xml:space="preserve"> dysfunctions in </w:t>
      </w:r>
      <w:r>
        <w:rPr>
          <w:rFonts w:ascii="Times New Roman" w:hAnsi="Times New Roman" w:cs="Times New Roman"/>
          <w:bCs/>
          <w:i/>
          <w:iCs/>
          <w:sz w:val="24"/>
          <w:szCs w:val="24"/>
        </w:rPr>
        <w:t>D. melanogaster</w:t>
      </w:r>
      <w:r>
        <w:rPr>
          <w:rFonts w:ascii="Times New Roman" w:hAnsi="Times New Roman" w:cs="Times New Roman"/>
          <w:bCs/>
          <w:sz w:val="24"/>
          <w:szCs w:val="24"/>
        </w:rPr>
        <w:t>, highlighting its antioxidant and neuroprotective potential. The study supports the use of vanillic acid as a promising natural compound for mitigating oxidative stress–mediated physiological impairments.</w:t>
      </w:r>
    </w:p>
    <w:p w14:paraId="17FED2B0" w14:textId="77777777" w:rsidR="00BA0599" w:rsidRDefault="00000000">
      <w:pPr>
        <w:spacing w:line="360" w:lineRule="auto"/>
        <w:jc w:val="both"/>
      </w:pPr>
      <w:r>
        <w:rPr>
          <w:rFonts w:ascii="Times New Roman" w:hAnsi="Times New Roman" w:cs="Times New Roman"/>
          <w:b/>
          <w:bCs/>
          <w:sz w:val="24"/>
          <w:szCs w:val="24"/>
        </w:rPr>
        <w:t>Keywords:</w:t>
      </w:r>
      <w:r>
        <w:rPr>
          <w:rFonts w:ascii="Times New Roman" w:hAnsi="Times New Roman" w:cs="Times New Roman"/>
          <w:bCs/>
          <w:sz w:val="24"/>
          <w:szCs w:val="24"/>
        </w:rPr>
        <w:t xml:space="preserve"> Vanillic acid; </w:t>
      </w:r>
      <w:r>
        <w:rPr>
          <w:rFonts w:ascii="Times New Roman" w:hAnsi="Times New Roman" w:cs="Times New Roman"/>
          <w:bCs/>
          <w:i/>
          <w:iCs/>
          <w:sz w:val="24"/>
          <w:szCs w:val="24"/>
        </w:rPr>
        <w:t>Drosophila melanogaster</w:t>
      </w:r>
      <w:r>
        <w:rPr>
          <w:rFonts w:ascii="Times New Roman" w:hAnsi="Times New Roman" w:cs="Times New Roman"/>
          <w:bCs/>
          <w:sz w:val="24"/>
          <w:szCs w:val="24"/>
        </w:rPr>
        <w:t xml:space="preserve">; Ultraviolet radiation; Oxidative stress; </w:t>
      </w:r>
      <w:proofErr w:type="spellStart"/>
      <w:r>
        <w:rPr>
          <w:rFonts w:ascii="Times New Roman" w:hAnsi="Times New Roman" w:cs="Times New Roman"/>
          <w:bCs/>
          <w:sz w:val="24"/>
          <w:szCs w:val="24"/>
        </w:rPr>
        <w:t>Neuro</w:t>
      </w:r>
      <w:r>
        <w:rPr>
          <w:rFonts w:ascii="Times New Roman" w:hAnsi="Times New Roman" w:cs="Times New Roman"/>
          <w:bCs/>
          <w:sz w:val="24"/>
          <w:szCs w:val="24"/>
          <w:highlight w:val="yellow"/>
        </w:rPr>
        <w:t>behavioural</w:t>
      </w:r>
      <w:proofErr w:type="spellEnd"/>
      <w:r>
        <w:rPr>
          <w:rFonts w:ascii="Times New Roman" w:hAnsi="Times New Roman" w:cs="Times New Roman"/>
          <w:bCs/>
          <w:sz w:val="24"/>
          <w:szCs w:val="24"/>
        </w:rPr>
        <w:t xml:space="preserve"> dysfunction; Antioxidant </w:t>
      </w:r>
      <w:r>
        <w:rPr>
          <w:rFonts w:ascii="Times New Roman" w:hAnsi="Times New Roman" w:cs="Times New Roman"/>
          <w:bCs/>
          <w:sz w:val="24"/>
          <w:szCs w:val="24"/>
          <w:highlight w:val="yellow"/>
        </w:rPr>
        <w:t>defence</w:t>
      </w:r>
      <w:r>
        <w:rPr>
          <w:rFonts w:ascii="Times New Roman" w:hAnsi="Times New Roman" w:cs="Times New Roman"/>
          <w:bCs/>
          <w:sz w:val="24"/>
          <w:szCs w:val="24"/>
        </w:rPr>
        <w:t>.</w:t>
      </w:r>
    </w:p>
    <w:p w14:paraId="25E557F2" w14:textId="77777777" w:rsidR="00BA0599" w:rsidRDefault="00BA0599">
      <w:pPr>
        <w:spacing w:line="360" w:lineRule="auto"/>
        <w:jc w:val="both"/>
        <w:rPr>
          <w:rFonts w:ascii="Times New Roman" w:hAnsi="Times New Roman" w:cs="Times New Roman"/>
          <w:b/>
          <w:bCs/>
          <w:iCs/>
          <w:sz w:val="24"/>
          <w:szCs w:val="24"/>
        </w:rPr>
      </w:pPr>
    </w:p>
    <w:p w14:paraId="6A6BA69E" w14:textId="77777777" w:rsidR="00BA0599" w:rsidRDefault="00BA0599">
      <w:pPr>
        <w:spacing w:line="360" w:lineRule="auto"/>
        <w:jc w:val="both"/>
        <w:rPr>
          <w:rFonts w:ascii="Times New Roman" w:hAnsi="Times New Roman" w:cs="Times New Roman"/>
          <w:b/>
          <w:bCs/>
          <w:iCs/>
          <w:sz w:val="24"/>
          <w:szCs w:val="24"/>
        </w:rPr>
      </w:pPr>
    </w:p>
    <w:p w14:paraId="3EE3F515" w14:textId="77777777" w:rsidR="00BA0599" w:rsidRDefault="00BA0599">
      <w:pPr>
        <w:spacing w:line="360" w:lineRule="auto"/>
        <w:jc w:val="both"/>
        <w:rPr>
          <w:rFonts w:ascii="Times New Roman" w:hAnsi="Times New Roman" w:cs="Times New Roman"/>
          <w:b/>
          <w:bCs/>
          <w:iCs/>
          <w:sz w:val="24"/>
          <w:szCs w:val="24"/>
        </w:rPr>
      </w:pPr>
    </w:p>
    <w:p w14:paraId="4A3DFFDE" w14:textId="77777777" w:rsidR="00BA0599" w:rsidRDefault="00000000">
      <w:pPr>
        <w:spacing w:line="360" w:lineRule="auto"/>
        <w:jc w:val="both"/>
        <w:rPr>
          <w:rFonts w:ascii="Times New Roman" w:hAnsi="Times New Roman" w:cs="Times New Roman"/>
          <w:b/>
          <w:bCs/>
          <w:iCs/>
          <w:sz w:val="24"/>
          <w:szCs w:val="24"/>
        </w:rPr>
      </w:pPr>
      <w:r>
        <w:rPr>
          <w:rFonts w:ascii="Times New Roman" w:hAnsi="Times New Roman" w:cs="Times New Roman"/>
          <w:b/>
          <w:bCs/>
          <w:iCs/>
          <w:sz w:val="24"/>
          <w:szCs w:val="24"/>
        </w:rPr>
        <w:t>INTRODUCTION</w:t>
      </w:r>
    </w:p>
    <w:p w14:paraId="478DCE4D" w14:textId="77777777" w:rsidR="00BA0599" w:rsidRDefault="00000000">
      <w:pPr>
        <w:spacing w:line="360" w:lineRule="auto"/>
        <w:jc w:val="both"/>
      </w:pPr>
      <w:r>
        <w:rPr>
          <w:rFonts w:ascii="Times New Roman" w:hAnsi="Times New Roman" w:cs="Times New Roman"/>
          <w:bCs/>
          <w:iCs/>
          <w:sz w:val="24"/>
          <w:szCs w:val="24"/>
        </w:rPr>
        <w:lastRenderedPageBreak/>
        <w:t xml:space="preserve">The fruit fly, </w:t>
      </w:r>
      <w:r>
        <w:rPr>
          <w:rFonts w:ascii="Times New Roman" w:hAnsi="Times New Roman" w:cs="Times New Roman"/>
          <w:i/>
          <w:iCs/>
          <w:sz w:val="24"/>
          <w:szCs w:val="24"/>
        </w:rPr>
        <w:t>Drosophila melanogaster</w:t>
      </w:r>
      <w:r>
        <w:rPr>
          <w:rFonts w:ascii="Times New Roman" w:hAnsi="Times New Roman" w:cs="Times New Roman"/>
          <w:bCs/>
          <w:iCs/>
          <w:sz w:val="24"/>
          <w:szCs w:val="24"/>
        </w:rPr>
        <w:t xml:space="preserve">, is one of the most powerful and versatile model organisms in modern biological research (Giansanti </w:t>
      </w:r>
      <w:r>
        <w:rPr>
          <w:rFonts w:ascii="Times New Roman" w:hAnsi="Times New Roman" w:cs="Times New Roman"/>
          <w:bCs/>
          <w:i/>
          <w:sz w:val="24"/>
          <w:szCs w:val="24"/>
        </w:rPr>
        <w:t>et al.,</w:t>
      </w:r>
      <w:r>
        <w:rPr>
          <w:rFonts w:ascii="Times New Roman" w:hAnsi="Times New Roman" w:cs="Times New Roman"/>
          <w:bCs/>
          <w:iCs/>
          <w:sz w:val="24"/>
          <w:szCs w:val="24"/>
        </w:rPr>
        <w:t xml:space="preserve"> 2025). Owing to its well-annotated genome, short life cycle, low maintenance cost, and extensive genetic toolkits, </w:t>
      </w:r>
      <w:r>
        <w:rPr>
          <w:rFonts w:ascii="Times New Roman" w:hAnsi="Times New Roman" w:cs="Times New Roman"/>
          <w:bCs/>
          <w:i/>
          <w:sz w:val="24"/>
          <w:szCs w:val="24"/>
        </w:rPr>
        <w:t>D. melanogaster</w:t>
      </w:r>
      <w:r>
        <w:rPr>
          <w:rFonts w:ascii="Times New Roman" w:hAnsi="Times New Roman" w:cs="Times New Roman"/>
          <w:bCs/>
          <w:iCs/>
          <w:sz w:val="24"/>
          <w:szCs w:val="24"/>
        </w:rPr>
        <w:t xml:space="preserve"> has contributed fundamentally to advances in genetics, developmental biology, circadian biology, neuroscience, and disease </w:t>
      </w:r>
      <w:r>
        <w:rPr>
          <w:rFonts w:ascii="Times New Roman" w:hAnsi="Times New Roman" w:cs="Times New Roman"/>
          <w:bCs/>
          <w:iCs/>
          <w:sz w:val="24"/>
          <w:szCs w:val="24"/>
          <w:highlight w:val="yellow"/>
        </w:rPr>
        <w:t>modelling</w:t>
      </w:r>
      <w:r>
        <w:rPr>
          <w:rFonts w:ascii="Times New Roman" w:hAnsi="Times New Roman" w:cs="Times New Roman"/>
          <w:bCs/>
          <w:iCs/>
          <w:sz w:val="24"/>
          <w:szCs w:val="24"/>
        </w:rPr>
        <w:t xml:space="preserve">. Comparative genomic analyses reveal that approximately 60% of the </w:t>
      </w:r>
      <w:r>
        <w:rPr>
          <w:rFonts w:ascii="Times New Roman" w:hAnsi="Times New Roman" w:cs="Times New Roman"/>
          <w:bCs/>
          <w:i/>
          <w:iCs/>
          <w:sz w:val="24"/>
          <w:szCs w:val="24"/>
        </w:rPr>
        <w:t>Drosophila</w:t>
      </w:r>
      <w:r>
        <w:rPr>
          <w:rFonts w:ascii="Times New Roman" w:hAnsi="Times New Roman" w:cs="Times New Roman"/>
          <w:bCs/>
          <w:iCs/>
          <w:sz w:val="24"/>
          <w:szCs w:val="24"/>
        </w:rPr>
        <w:t xml:space="preserve"> genome is conserved with humans, and nearly 75% of human disease-associated genes possess functional </w:t>
      </w:r>
      <w:r>
        <w:rPr>
          <w:rFonts w:ascii="Times New Roman" w:hAnsi="Times New Roman" w:cs="Times New Roman"/>
          <w:bCs/>
          <w:iCs/>
          <w:sz w:val="24"/>
          <w:szCs w:val="24"/>
          <w:highlight w:val="yellow"/>
        </w:rPr>
        <w:t>homologues</w:t>
      </w:r>
      <w:r>
        <w:rPr>
          <w:rFonts w:ascii="Times New Roman" w:hAnsi="Times New Roman" w:cs="Times New Roman"/>
          <w:bCs/>
          <w:iCs/>
          <w:sz w:val="24"/>
          <w:szCs w:val="24"/>
        </w:rPr>
        <w:t xml:space="preserve"> in flies, underscoring its translational relevance (Adams et al., 2000; Tickoo &amp; Russell, 2002).</w:t>
      </w:r>
    </w:p>
    <w:p w14:paraId="263033F8" w14:textId="77777777" w:rsidR="00BA0599" w:rsidRDefault="00000000">
      <w:pPr>
        <w:spacing w:line="360" w:lineRule="auto"/>
        <w:jc w:val="both"/>
      </w:pPr>
      <w:r>
        <w:rPr>
          <w:rFonts w:ascii="Times New Roman" w:hAnsi="Times New Roman" w:cs="Times New Roman"/>
          <w:bCs/>
          <w:i/>
          <w:iCs/>
          <w:sz w:val="24"/>
          <w:szCs w:val="24"/>
        </w:rPr>
        <w:t>Drosophila</w:t>
      </w:r>
      <w:r>
        <w:rPr>
          <w:rFonts w:ascii="Times New Roman" w:hAnsi="Times New Roman" w:cs="Times New Roman"/>
          <w:bCs/>
          <w:iCs/>
          <w:sz w:val="24"/>
          <w:szCs w:val="24"/>
        </w:rPr>
        <w:t xml:space="preserve"> exhibits well-defined and quantifiable responses to environmental stimuli such as light, temperature, humidity, gravity, sound, and chemical cues. These sensory modalities are mediated through </w:t>
      </w:r>
      <w:r>
        <w:rPr>
          <w:rFonts w:ascii="Times New Roman" w:hAnsi="Times New Roman" w:cs="Times New Roman"/>
          <w:bCs/>
          <w:iCs/>
          <w:sz w:val="24"/>
          <w:szCs w:val="24"/>
          <w:highlight w:val="yellow"/>
        </w:rPr>
        <w:t>specialised</w:t>
      </w:r>
      <w:r>
        <w:rPr>
          <w:rFonts w:ascii="Times New Roman" w:hAnsi="Times New Roman" w:cs="Times New Roman"/>
          <w:bCs/>
          <w:iCs/>
          <w:sz w:val="24"/>
          <w:szCs w:val="24"/>
        </w:rPr>
        <w:t xml:space="preserve"> neural circuits governing attraction or avoidance </w:t>
      </w:r>
      <w:r>
        <w:rPr>
          <w:rFonts w:ascii="Times New Roman" w:hAnsi="Times New Roman" w:cs="Times New Roman"/>
          <w:bCs/>
          <w:iCs/>
          <w:sz w:val="24"/>
          <w:szCs w:val="24"/>
          <w:highlight w:val="yellow"/>
        </w:rPr>
        <w:t>behaviours</w:t>
      </w:r>
      <w:r>
        <w:rPr>
          <w:rFonts w:ascii="Times New Roman" w:hAnsi="Times New Roman" w:cs="Times New Roman"/>
          <w:bCs/>
          <w:iCs/>
          <w:sz w:val="24"/>
          <w:szCs w:val="24"/>
        </w:rPr>
        <w:t xml:space="preserve">, depending on stimulus intensity and quality (Vang </w:t>
      </w:r>
      <w:r>
        <w:rPr>
          <w:rFonts w:ascii="Times New Roman" w:hAnsi="Times New Roman" w:cs="Times New Roman"/>
          <w:bCs/>
          <w:i/>
          <w:iCs/>
          <w:sz w:val="24"/>
          <w:szCs w:val="24"/>
        </w:rPr>
        <w:t>et al.,</w:t>
      </w:r>
      <w:r>
        <w:rPr>
          <w:rFonts w:ascii="Times New Roman" w:hAnsi="Times New Roman" w:cs="Times New Roman"/>
          <w:bCs/>
          <w:iCs/>
          <w:sz w:val="24"/>
          <w:szCs w:val="24"/>
        </w:rPr>
        <w:t xml:space="preserve"> 2012). Alterations in such </w:t>
      </w:r>
      <w:r>
        <w:rPr>
          <w:rFonts w:ascii="Times New Roman" w:hAnsi="Times New Roman" w:cs="Times New Roman"/>
          <w:bCs/>
          <w:iCs/>
          <w:sz w:val="24"/>
          <w:szCs w:val="24"/>
          <w:highlight w:val="yellow"/>
        </w:rPr>
        <w:t>behavioural</w:t>
      </w:r>
      <w:r>
        <w:rPr>
          <w:rFonts w:ascii="Times New Roman" w:hAnsi="Times New Roman" w:cs="Times New Roman"/>
          <w:bCs/>
          <w:iCs/>
          <w:sz w:val="24"/>
          <w:szCs w:val="24"/>
        </w:rPr>
        <w:t xml:space="preserve"> outputs often reflect underlying physiological stress, neurological dysfunction, or metabolic imbalance. In mammalian systems, </w:t>
      </w:r>
      <w:r>
        <w:rPr>
          <w:rFonts w:ascii="Times New Roman" w:hAnsi="Times New Roman" w:cs="Times New Roman"/>
          <w:bCs/>
          <w:iCs/>
          <w:sz w:val="24"/>
          <w:szCs w:val="24"/>
          <w:highlight w:val="yellow"/>
        </w:rPr>
        <w:t>chronic oxidative stress is known</w:t>
      </w:r>
      <w:r>
        <w:rPr>
          <w:rFonts w:ascii="Times New Roman" w:hAnsi="Times New Roman" w:cs="Times New Roman"/>
          <w:bCs/>
          <w:iCs/>
          <w:sz w:val="24"/>
          <w:szCs w:val="24"/>
        </w:rPr>
        <w:t xml:space="preserve"> to induce neurochemical, endocrine, immune, and </w:t>
      </w:r>
      <w:r>
        <w:rPr>
          <w:rFonts w:ascii="Times New Roman" w:hAnsi="Times New Roman" w:cs="Times New Roman"/>
          <w:bCs/>
          <w:iCs/>
          <w:sz w:val="24"/>
          <w:szCs w:val="24"/>
          <w:highlight w:val="yellow"/>
        </w:rPr>
        <w:t>behavioural</w:t>
      </w:r>
      <w:r>
        <w:rPr>
          <w:rFonts w:ascii="Times New Roman" w:hAnsi="Times New Roman" w:cs="Times New Roman"/>
          <w:bCs/>
          <w:iCs/>
          <w:sz w:val="24"/>
          <w:szCs w:val="24"/>
        </w:rPr>
        <w:t xml:space="preserve"> alterations, frequently accompanied by cognitive impairment (Antoni </w:t>
      </w:r>
      <w:r>
        <w:rPr>
          <w:rFonts w:ascii="Times New Roman" w:hAnsi="Times New Roman" w:cs="Times New Roman"/>
          <w:bCs/>
          <w:i/>
          <w:iCs/>
          <w:sz w:val="24"/>
          <w:szCs w:val="24"/>
        </w:rPr>
        <w:t>et al.,</w:t>
      </w:r>
      <w:r>
        <w:rPr>
          <w:rFonts w:ascii="Times New Roman" w:hAnsi="Times New Roman" w:cs="Times New Roman"/>
          <w:bCs/>
          <w:iCs/>
          <w:sz w:val="24"/>
          <w:szCs w:val="24"/>
        </w:rPr>
        <w:t xml:space="preserve"> 2006). Similar stress-induced </w:t>
      </w:r>
      <w:r>
        <w:rPr>
          <w:rFonts w:ascii="Times New Roman" w:hAnsi="Times New Roman" w:cs="Times New Roman"/>
          <w:bCs/>
          <w:iCs/>
          <w:sz w:val="24"/>
          <w:szCs w:val="24"/>
          <w:highlight w:val="yellow"/>
        </w:rPr>
        <w:t>behavioural</w:t>
      </w:r>
      <w:r>
        <w:rPr>
          <w:rFonts w:ascii="Times New Roman" w:hAnsi="Times New Roman" w:cs="Times New Roman"/>
          <w:bCs/>
          <w:iCs/>
          <w:sz w:val="24"/>
          <w:szCs w:val="24"/>
        </w:rPr>
        <w:t xml:space="preserve"> abnormalities have been linked to oxidative damage in experimental models (Bonilla </w:t>
      </w:r>
      <w:r>
        <w:rPr>
          <w:rFonts w:ascii="Times New Roman" w:hAnsi="Times New Roman" w:cs="Times New Roman"/>
          <w:bCs/>
          <w:i/>
          <w:iCs/>
          <w:sz w:val="24"/>
          <w:szCs w:val="24"/>
        </w:rPr>
        <w:t>et al.,</w:t>
      </w:r>
      <w:r>
        <w:rPr>
          <w:rFonts w:ascii="Times New Roman" w:hAnsi="Times New Roman" w:cs="Times New Roman"/>
          <w:bCs/>
          <w:iCs/>
          <w:sz w:val="24"/>
          <w:szCs w:val="24"/>
        </w:rPr>
        <w:t xml:space="preserve"> 2012; Subramanian </w:t>
      </w:r>
      <w:r>
        <w:rPr>
          <w:rFonts w:ascii="Times New Roman" w:hAnsi="Times New Roman" w:cs="Times New Roman"/>
          <w:bCs/>
          <w:i/>
          <w:iCs/>
          <w:sz w:val="24"/>
          <w:szCs w:val="24"/>
        </w:rPr>
        <w:t xml:space="preserve">et al., </w:t>
      </w:r>
      <w:r>
        <w:rPr>
          <w:rFonts w:ascii="Times New Roman" w:hAnsi="Times New Roman" w:cs="Times New Roman"/>
          <w:bCs/>
          <w:iCs/>
          <w:sz w:val="24"/>
          <w:szCs w:val="24"/>
        </w:rPr>
        <w:t xml:space="preserve">2014). In </w:t>
      </w:r>
      <w:r>
        <w:rPr>
          <w:rFonts w:ascii="Times New Roman" w:hAnsi="Times New Roman" w:cs="Times New Roman"/>
          <w:bCs/>
          <w:i/>
          <w:iCs/>
          <w:sz w:val="24"/>
          <w:szCs w:val="24"/>
        </w:rPr>
        <w:t>Drosophila</w:t>
      </w:r>
      <w:r>
        <w:rPr>
          <w:rFonts w:ascii="Times New Roman" w:hAnsi="Times New Roman" w:cs="Times New Roman"/>
          <w:bCs/>
          <w:iCs/>
          <w:sz w:val="24"/>
          <w:szCs w:val="24"/>
        </w:rPr>
        <w:t xml:space="preserve">, susceptibility to acute oxidative stress exhibits circadian rhythmicity under light–dark cycles, which is abolished under constant light conditions (Krishnan </w:t>
      </w:r>
      <w:r>
        <w:rPr>
          <w:rFonts w:ascii="Times New Roman" w:hAnsi="Times New Roman" w:cs="Times New Roman"/>
          <w:bCs/>
          <w:i/>
          <w:iCs/>
          <w:sz w:val="24"/>
          <w:szCs w:val="24"/>
        </w:rPr>
        <w:t>et al.,</w:t>
      </w:r>
      <w:r>
        <w:rPr>
          <w:rFonts w:ascii="Times New Roman" w:hAnsi="Times New Roman" w:cs="Times New Roman"/>
          <w:bCs/>
          <w:iCs/>
          <w:sz w:val="24"/>
          <w:szCs w:val="24"/>
        </w:rPr>
        <w:t xml:space="preserve"> 2008). Additionally, flies with impaired circadian photoreception fail to maintain rhythmic antioxidant responses, further </w:t>
      </w:r>
      <w:r>
        <w:rPr>
          <w:rFonts w:ascii="Times New Roman" w:hAnsi="Times New Roman" w:cs="Times New Roman"/>
          <w:bCs/>
          <w:iCs/>
          <w:sz w:val="24"/>
          <w:szCs w:val="24"/>
          <w:highlight w:val="yellow"/>
        </w:rPr>
        <w:t>emphasising</w:t>
      </w:r>
      <w:r>
        <w:rPr>
          <w:rFonts w:ascii="Times New Roman" w:hAnsi="Times New Roman" w:cs="Times New Roman"/>
          <w:bCs/>
          <w:iCs/>
          <w:sz w:val="24"/>
          <w:szCs w:val="24"/>
        </w:rPr>
        <w:t xml:space="preserve"> the importance of clock-controlled mechanisms in oxidative stress regulation (Subramanian </w:t>
      </w:r>
      <w:r>
        <w:rPr>
          <w:rFonts w:ascii="Times New Roman" w:hAnsi="Times New Roman" w:cs="Times New Roman"/>
          <w:bCs/>
          <w:i/>
          <w:iCs/>
          <w:sz w:val="24"/>
          <w:szCs w:val="24"/>
        </w:rPr>
        <w:t>et al.,</w:t>
      </w:r>
      <w:r>
        <w:rPr>
          <w:rFonts w:ascii="Times New Roman" w:hAnsi="Times New Roman" w:cs="Times New Roman"/>
          <w:bCs/>
          <w:iCs/>
          <w:sz w:val="24"/>
          <w:szCs w:val="24"/>
        </w:rPr>
        <w:t xml:space="preserve"> 2014). Elevated levels of reactive oxygen species (ROS) in the adult gut are sufficient to induce intestinal stem cell proliferation and tissue re</w:t>
      </w:r>
      <w:r>
        <w:rPr>
          <w:rFonts w:ascii="Times New Roman" w:hAnsi="Times New Roman" w:cs="Times New Roman"/>
          <w:bCs/>
          <w:iCs/>
          <w:sz w:val="24"/>
          <w:szCs w:val="24"/>
          <w:highlight w:val="yellow"/>
        </w:rPr>
        <w:t>modelling</w:t>
      </w:r>
      <w:r>
        <w:rPr>
          <w:rFonts w:ascii="Times New Roman" w:hAnsi="Times New Roman" w:cs="Times New Roman"/>
          <w:bCs/>
          <w:iCs/>
          <w:sz w:val="24"/>
          <w:szCs w:val="24"/>
        </w:rPr>
        <w:t xml:space="preserve">, although the precise molecular link between oxidative signals and mitogenic pathways remains unclear (Xu </w:t>
      </w:r>
      <w:r>
        <w:rPr>
          <w:rFonts w:ascii="Times New Roman" w:hAnsi="Times New Roman" w:cs="Times New Roman"/>
          <w:bCs/>
          <w:i/>
          <w:iCs/>
          <w:sz w:val="24"/>
          <w:szCs w:val="24"/>
        </w:rPr>
        <w:t>et al.,</w:t>
      </w:r>
      <w:r>
        <w:rPr>
          <w:rFonts w:ascii="Times New Roman" w:hAnsi="Times New Roman" w:cs="Times New Roman"/>
          <w:bCs/>
          <w:iCs/>
          <w:sz w:val="24"/>
          <w:szCs w:val="24"/>
        </w:rPr>
        <w:t xml:space="preserve"> 2017). Insights gained from </w:t>
      </w:r>
      <w:r>
        <w:rPr>
          <w:rFonts w:ascii="Times New Roman" w:hAnsi="Times New Roman" w:cs="Times New Roman"/>
          <w:bCs/>
          <w:i/>
          <w:iCs/>
          <w:sz w:val="24"/>
          <w:szCs w:val="24"/>
        </w:rPr>
        <w:t>Drosophila</w:t>
      </w:r>
      <w:r>
        <w:rPr>
          <w:rFonts w:ascii="Times New Roman" w:hAnsi="Times New Roman" w:cs="Times New Roman"/>
          <w:bCs/>
          <w:iCs/>
          <w:sz w:val="24"/>
          <w:szCs w:val="24"/>
        </w:rPr>
        <w:t xml:space="preserve"> studies have substantially advanced regenerative biology and hold promise for future translational applications (Jennings, 2011).</w:t>
      </w:r>
    </w:p>
    <w:p w14:paraId="22467C53" w14:textId="77777777" w:rsidR="00BA0599" w:rsidRDefault="00000000">
      <w:pPr>
        <w:spacing w:line="360" w:lineRule="auto"/>
        <w:jc w:val="both"/>
      </w:pPr>
      <w:r>
        <w:rPr>
          <w:rFonts w:ascii="Times New Roman" w:hAnsi="Times New Roman"/>
          <w:b/>
          <w:sz w:val="24"/>
          <w:highlight w:val="yellow"/>
        </w:rPr>
        <w:t xml:space="preserve">Recent studies in </w:t>
      </w:r>
      <w:r>
        <w:rPr>
          <w:rFonts w:ascii="Times New Roman" w:hAnsi="Times New Roman"/>
          <w:b/>
          <w:i/>
          <w:sz w:val="24"/>
          <w:highlight w:val="yellow"/>
        </w:rPr>
        <w:t>Drosophila</w:t>
      </w:r>
      <w:r>
        <w:rPr>
          <w:rFonts w:ascii="Times New Roman" w:hAnsi="Times New Roman"/>
          <w:b/>
          <w:sz w:val="24"/>
          <w:highlight w:val="yellow"/>
        </w:rPr>
        <w:t xml:space="preserve"> indicate that environmental stress can increase reactive oxygen and nitrogen species and engage antioxidant defence responses, while antioxidant intake can also modify stress-associated redox and physiological outcomes (</w:t>
      </w:r>
      <w:proofErr w:type="spellStart"/>
      <w:r>
        <w:rPr>
          <w:rFonts w:ascii="Times New Roman" w:hAnsi="Times New Roman"/>
          <w:b/>
          <w:sz w:val="24"/>
          <w:highlight w:val="yellow"/>
        </w:rPr>
        <w:t>Bomble</w:t>
      </w:r>
      <w:proofErr w:type="spellEnd"/>
      <w:r>
        <w:rPr>
          <w:rFonts w:ascii="Times New Roman" w:hAnsi="Times New Roman"/>
          <w:b/>
          <w:sz w:val="24"/>
          <w:highlight w:val="yellow"/>
        </w:rPr>
        <w:t xml:space="preserve"> &amp; Nath, 2024; Hwang </w:t>
      </w:r>
      <w:r>
        <w:rPr>
          <w:rFonts w:ascii="Times New Roman" w:hAnsi="Times New Roman"/>
          <w:b/>
          <w:i/>
          <w:sz w:val="24"/>
          <w:highlight w:val="yellow"/>
        </w:rPr>
        <w:t>et al.</w:t>
      </w:r>
      <w:r>
        <w:rPr>
          <w:rFonts w:ascii="Times New Roman" w:hAnsi="Times New Roman"/>
          <w:b/>
          <w:sz w:val="24"/>
          <w:highlight w:val="yellow"/>
        </w:rPr>
        <w:t>, 2025).</w:t>
      </w:r>
    </w:p>
    <w:p w14:paraId="051C3DB8" w14:textId="77777777" w:rsidR="00BA0599" w:rsidRDefault="00000000">
      <w:pPr>
        <w:spacing w:line="360" w:lineRule="auto"/>
        <w:jc w:val="both"/>
      </w:pPr>
      <w:r>
        <w:rPr>
          <w:rFonts w:ascii="Times New Roman" w:hAnsi="Times New Roman"/>
          <w:b/>
          <w:sz w:val="24"/>
          <w:highlight w:val="yellow"/>
        </w:rPr>
        <w:lastRenderedPageBreak/>
        <w:t xml:space="preserve">Experimental work with the flavonoid taxifolin has likewise used </w:t>
      </w:r>
      <w:r>
        <w:rPr>
          <w:rFonts w:ascii="Times New Roman" w:hAnsi="Times New Roman"/>
          <w:b/>
          <w:i/>
          <w:sz w:val="24"/>
          <w:highlight w:val="yellow"/>
        </w:rPr>
        <w:t>D. melanogaster</w:t>
      </w:r>
      <w:r>
        <w:rPr>
          <w:rFonts w:ascii="Times New Roman" w:hAnsi="Times New Roman"/>
          <w:b/>
          <w:sz w:val="24"/>
          <w:highlight w:val="yellow"/>
        </w:rPr>
        <w:t xml:space="preserve"> to evaluate antioxidant responses under induced oxidative stress (Vijayalakshmi </w:t>
      </w:r>
      <w:r>
        <w:rPr>
          <w:rFonts w:ascii="Times New Roman" w:hAnsi="Times New Roman"/>
          <w:b/>
          <w:i/>
          <w:sz w:val="24"/>
          <w:highlight w:val="yellow"/>
        </w:rPr>
        <w:t>et al.</w:t>
      </w:r>
      <w:r>
        <w:rPr>
          <w:rFonts w:ascii="Times New Roman" w:hAnsi="Times New Roman"/>
          <w:b/>
          <w:sz w:val="24"/>
          <w:highlight w:val="yellow"/>
        </w:rPr>
        <w:t xml:space="preserve">, 2026). More broadly, phenolic acids and other antioxidant phytochemicals have been discussed as potential modifiers of oxidative damage associated with environmental toxicants (Marcel </w:t>
      </w:r>
      <w:r>
        <w:rPr>
          <w:rFonts w:ascii="Times New Roman" w:hAnsi="Times New Roman"/>
          <w:b/>
          <w:i/>
          <w:sz w:val="24"/>
          <w:highlight w:val="yellow"/>
        </w:rPr>
        <w:t>et al.</w:t>
      </w:r>
      <w:r>
        <w:rPr>
          <w:rFonts w:ascii="Times New Roman" w:hAnsi="Times New Roman"/>
          <w:b/>
          <w:sz w:val="24"/>
          <w:highlight w:val="yellow"/>
        </w:rPr>
        <w:t>, 2025).</w:t>
      </w:r>
    </w:p>
    <w:p w14:paraId="27786CD9" w14:textId="77777777" w:rsidR="00BA0599" w:rsidRDefault="00000000">
      <w:pPr>
        <w:spacing w:line="360" w:lineRule="auto"/>
        <w:jc w:val="both"/>
      </w:pPr>
      <w:r>
        <w:rPr>
          <w:rFonts w:ascii="Times New Roman" w:hAnsi="Times New Roman"/>
          <w:b/>
          <w:sz w:val="24"/>
          <w:highlight w:val="yellow"/>
        </w:rPr>
        <w:t xml:space="preserve">A specific research gap therefore concerns the integrated assessment of dietary vanillic acid against UV-induced oxidative stress in </w:t>
      </w:r>
      <w:r>
        <w:rPr>
          <w:rFonts w:ascii="Times New Roman" w:hAnsi="Times New Roman"/>
          <w:b/>
          <w:i/>
          <w:sz w:val="24"/>
          <w:highlight w:val="yellow"/>
        </w:rPr>
        <w:t>D. melanogaster</w:t>
      </w:r>
      <w:r>
        <w:rPr>
          <w:rFonts w:ascii="Times New Roman" w:hAnsi="Times New Roman"/>
          <w:b/>
          <w:sz w:val="24"/>
          <w:highlight w:val="yellow"/>
        </w:rPr>
        <w:t xml:space="preserve"> using both behavioural endpoints and oxidative stress biomarkers under the same experimental conditions. In particular, the present manuscript examines whether protection of locomotor and sensory responses is accompanied by changes in lipid peroxidation, protein oxidation, and SOD activity.</w:t>
      </w:r>
    </w:p>
    <w:p w14:paraId="51F492BA" w14:textId="77777777" w:rsidR="00BA0599" w:rsidRDefault="00000000">
      <w:pPr>
        <w:spacing w:line="360" w:lineRule="auto"/>
        <w:jc w:val="both"/>
        <w:rPr>
          <w:rFonts w:ascii="Times New Roman" w:hAnsi="Times New Roman" w:cs="Times New Roman"/>
          <w:bCs/>
          <w:i/>
          <w:sz w:val="24"/>
          <w:szCs w:val="24"/>
        </w:rPr>
      </w:pPr>
      <w:r>
        <w:rPr>
          <w:rFonts w:ascii="Times New Roman" w:hAnsi="Times New Roman" w:cs="Times New Roman"/>
          <w:bCs/>
          <w:iCs/>
          <w:sz w:val="24"/>
          <w:szCs w:val="24"/>
        </w:rPr>
        <w:t xml:space="preserve">Accordingly, the present study investigates the influence of oxidative stress on </w:t>
      </w:r>
      <w:r>
        <w:rPr>
          <w:rFonts w:ascii="Times New Roman" w:hAnsi="Times New Roman" w:cs="Times New Roman"/>
          <w:bCs/>
          <w:iCs/>
          <w:sz w:val="24"/>
          <w:szCs w:val="24"/>
          <w:highlight w:val="yellow"/>
        </w:rPr>
        <w:t>behavioural</w:t>
      </w:r>
      <w:r>
        <w:rPr>
          <w:rFonts w:ascii="Times New Roman" w:hAnsi="Times New Roman" w:cs="Times New Roman"/>
          <w:bCs/>
          <w:iCs/>
          <w:sz w:val="24"/>
          <w:szCs w:val="24"/>
        </w:rPr>
        <w:t xml:space="preserve"> and cognitive functions in </w:t>
      </w:r>
      <w:r>
        <w:rPr>
          <w:rFonts w:ascii="Times New Roman" w:hAnsi="Times New Roman" w:cs="Times New Roman"/>
          <w:bCs/>
          <w:i/>
          <w:iCs/>
          <w:sz w:val="24"/>
          <w:szCs w:val="24"/>
        </w:rPr>
        <w:t>D. melanogaster</w:t>
      </w:r>
      <w:r>
        <w:rPr>
          <w:rFonts w:ascii="Times New Roman" w:hAnsi="Times New Roman" w:cs="Times New Roman"/>
          <w:bCs/>
          <w:iCs/>
          <w:sz w:val="24"/>
          <w:szCs w:val="24"/>
        </w:rPr>
        <w:t xml:space="preserve">, with particular emphasis on its interaction with circadian regulation and physiological stress responses. Oxidative stress, arising from an imbalance between reactive oxygen species production and antioxidant </w:t>
      </w:r>
      <w:r>
        <w:rPr>
          <w:rFonts w:ascii="Times New Roman" w:hAnsi="Times New Roman" w:cs="Times New Roman"/>
          <w:bCs/>
          <w:iCs/>
          <w:sz w:val="24"/>
          <w:szCs w:val="24"/>
          <w:highlight w:val="yellow"/>
        </w:rPr>
        <w:t>defences</w:t>
      </w:r>
      <w:r>
        <w:rPr>
          <w:rFonts w:ascii="Times New Roman" w:hAnsi="Times New Roman" w:cs="Times New Roman"/>
          <w:bCs/>
          <w:iCs/>
          <w:sz w:val="24"/>
          <w:szCs w:val="24"/>
        </w:rPr>
        <w:t xml:space="preserve">, is a major contributor to neural dysfunction and </w:t>
      </w:r>
      <w:r>
        <w:rPr>
          <w:rFonts w:ascii="Times New Roman" w:hAnsi="Times New Roman" w:cs="Times New Roman"/>
          <w:bCs/>
          <w:iCs/>
          <w:sz w:val="24"/>
          <w:szCs w:val="24"/>
          <w:highlight w:val="yellow"/>
        </w:rPr>
        <w:t>behavioural</w:t>
      </w:r>
      <w:r>
        <w:rPr>
          <w:rFonts w:ascii="Times New Roman" w:hAnsi="Times New Roman" w:cs="Times New Roman"/>
          <w:bCs/>
          <w:iCs/>
          <w:sz w:val="24"/>
          <w:szCs w:val="24"/>
        </w:rPr>
        <w:t xml:space="preserve"> impairment across organisms. Circadian rhythms play a crucial role in regulating metabolism, neuronal activity, and stress responses, and disruptions to these rhythms can enhance susceptibility to oxidative damage. </w:t>
      </w:r>
      <w:r>
        <w:rPr>
          <w:rFonts w:ascii="Times New Roman" w:hAnsi="Times New Roman" w:cs="Times New Roman"/>
          <w:bCs/>
          <w:iCs/>
          <w:sz w:val="24"/>
          <w:szCs w:val="24"/>
          <w:highlight w:val="yellow"/>
        </w:rPr>
        <w:t>Hence, the present study aimed</w:t>
      </w:r>
      <w:r>
        <w:rPr>
          <w:rFonts w:ascii="Times New Roman" w:hAnsi="Times New Roman" w:cs="Times New Roman"/>
          <w:bCs/>
          <w:iCs/>
          <w:sz w:val="24"/>
          <w:szCs w:val="24"/>
        </w:rPr>
        <w:t xml:space="preserve"> to evaluate the protective effects of vanillic acid against UV-induced oxidative stress by assessing behavioural responses and antioxidant biomarkers in                     </w:t>
      </w:r>
      <w:r>
        <w:rPr>
          <w:rFonts w:ascii="Times New Roman" w:hAnsi="Times New Roman" w:cs="Times New Roman"/>
          <w:bCs/>
          <w:i/>
          <w:sz w:val="24"/>
          <w:szCs w:val="24"/>
        </w:rPr>
        <w:t>D. melanogaster.</w:t>
      </w:r>
    </w:p>
    <w:p w14:paraId="2EADD7DE" w14:textId="77777777" w:rsidR="00BA0599" w:rsidRDefault="00000000">
      <w:pPr>
        <w:spacing w:after="0" w:line="360" w:lineRule="auto"/>
        <w:jc w:val="both"/>
        <w:rPr>
          <w:rFonts w:ascii="Times New Roman" w:hAnsi="Times New Roman" w:cs="Times New Roman"/>
          <w:b/>
          <w:iCs/>
          <w:sz w:val="24"/>
          <w:szCs w:val="24"/>
        </w:rPr>
      </w:pPr>
      <w:r>
        <w:rPr>
          <w:rFonts w:ascii="Times New Roman" w:hAnsi="Times New Roman" w:cs="Times New Roman"/>
          <w:b/>
          <w:iCs/>
          <w:sz w:val="24"/>
          <w:szCs w:val="24"/>
        </w:rPr>
        <w:t>MATERIALS AND METHODS</w:t>
      </w:r>
    </w:p>
    <w:p w14:paraId="5E3F2182" w14:textId="77777777" w:rsidR="00BA0599" w:rsidRDefault="00000000">
      <w:pPr>
        <w:spacing w:line="360" w:lineRule="auto"/>
        <w:jc w:val="both"/>
        <w:rPr>
          <w:rFonts w:ascii="Times New Roman" w:hAnsi="Times New Roman" w:cs="Times New Roman"/>
          <w:b/>
          <w:iCs/>
          <w:sz w:val="24"/>
          <w:szCs w:val="24"/>
        </w:rPr>
      </w:pPr>
      <w:r>
        <w:rPr>
          <w:rFonts w:ascii="Times New Roman" w:hAnsi="Times New Roman" w:cs="Times New Roman"/>
          <w:b/>
          <w:iCs/>
          <w:sz w:val="24"/>
          <w:szCs w:val="24"/>
        </w:rPr>
        <w:t>Fly stocks and maintenance</w:t>
      </w:r>
    </w:p>
    <w:p w14:paraId="36F56B78" w14:textId="77777777" w:rsidR="00BA0599" w:rsidRDefault="00000000">
      <w:pPr>
        <w:spacing w:line="360" w:lineRule="auto"/>
        <w:jc w:val="both"/>
      </w:pPr>
      <w:r>
        <w:rPr>
          <w:rFonts w:ascii="Times New Roman" w:hAnsi="Times New Roman" w:cs="Times New Roman"/>
          <w:bCs/>
          <w:iCs/>
          <w:sz w:val="24"/>
          <w:szCs w:val="24"/>
        </w:rPr>
        <w:t xml:space="preserve">Wild-type (WT) </w:t>
      </w:r>
      <w:r>
        <w:rPr>
          <w:rFonts w:ascii="Times New Roman" w:hAnsi="Times New Roman" w:cs="Times New Roman"/>
          <w:bCs/>
          <w:i/>
          <w:sz w:val="24"/>
          <w:szCs w:val="24"/>
        </w:rPr>
        <w:t>Drosophila melanogaster</w:t>
      </w:r>
      <w:r>
        <w:rPr>
          <w:rFonts w:ascii="Times New Roman" w:hAnsi="Times New Roman" w:cs="Times New Roman"/>
          <w:bCs/>
          <w:iCs/>
          <w:sz w:val="24"/>
          <w:szCs w:val="24"/>
        </w:rPr>
        <w:t xml:space="preserve"> </w:t>
      </w:r>
      <w:proofErr w:type="gramStart"/>
      <w:r>
        <w:rPr>
          <w:rFonts w:ascii="Times New Roman" w:hAnsi="Times New Roman" w:cs="Times New Roman"/>
          <w:bCs/>
          <w:iCs/>
          <w:sz w:val="24"/>
          <w:szCs w:val="24"/>
        </w:rPr>
        <w:t>were</w:t>
      </w:r>
      <w:proofErr w:type="gramEnd"/>
      <w:r>
        <w:rPr>
          <w:rFonts w:ascii="Times New Roman" w:hAnsi="Times New Roman" w:cs="Times New Roman"/>
          <w:bCs/>
          <w:iCs/>
          <w:sz w:val="24"/>
          <w:szCs w:val="24"/>
        </w:rPr>
        <w:t xml:space="preserve"> used in the present study. Flies were obtained from the Drosophila Stock Centre, University of Mysore, Mysore, India. Cultures were maintained at 20–25 °C under controlled laboratory conditions with a 12:12 h </w:t>
      </w:r>
      <w:proofErr w:type="spellStart"/>
      <w:proofErr w:type="gramStart"/>
      <w:r>
        <w:rPr>
          <w:rFonts w:ascii="Times New Roman" w:hAnsi="Times New Roman" w:cs="Times New Roman"/>
          <w:bCs/>
          <w:iCs/>
          <w:sz w:val="24"/>
          <w:szCs w:val="24"/>
        </w:rPr>
        <w:t>light:dark</w:t>
      </w:r>
      <w:proofErr w:type="spellEnd"/>
      <w:proofErr w:type="gramEnd"/>
      <w:r>
        <w:rPr>
          <w:rFonts w:ascii="Times New Roman" w:hAnsi="Times New Roman" w:cs="Times New Roman"/>
          <w:bCs/>
          <w:iCs/>
          <w:sz w:val="24"/>
          <w:szCs w:val="24"/>
        </w:rPr>
        <w:t xml:space="preserve"> photoperiod. Flies were reared on a standard yeast–maize powder–sucrose medium supplemented with </w:t>
      </w:r>
      <w:proofErr w:type="spellStart"/>
      <w:r>
        <w:rPr>
          <w:rFonts w:ascii="Times New Roman" w:hAnsi="Times New Roman" w:cs="Times New Roman"/>
          <w:bCs/>
          <w:iCs/>
          <w:sz w:val="24"/>
          <w:szCs w:val="24"/>
        </w:rPr>
        <w:t>nepagin</w:t>
      </w:r>
      <w:proofErr w:type="spellEnd"/>
      <w:r>
        <w:rPr>
          <w:rFonts w:ascii="Times New Roman" w:hAnsi="Times New Roman" w:cs="Times New Roman"/>
          <w:bCs/>
          <w:iCs/>
          <w:sz w:val="24"/>
          <w:szCs w:val="24"/>
        </w:rPr>
        <w:t xml:space="preserve"> as an antifungal agent and maintained at 21 ± 2 °C throughout the experimental period.</w:t>
      </w:r>
    </w:p>
    <w:p w14:paraId="00289C03" w14:textId="77777777" w:rsidR="00BA0599" w:rsidRDefault="00000000">
      <w:pPr>
        <w:spacing w:line="360" w:lineRule="auto"/>
        <w:jc w:val="both"/>
        <w:rPr>
          <w:rFonts w:ascii="Times New Roman" w:hAnsi="Times New Roman" w:cs="Times New Roman"/>
          <w:b/>
          <w:iCs/>
          <w:sz w:val="24"/>
          <w:szCs w:val="24"/>
        </w:rPr>
      </w:pPr>
      <w:r>
        <w:rPr>
          <w:rFonts w:ascii="Times New Roman" w:hAnsi="Times New Roman" w:cs="Times New Roman"/>
          <w:b/>
          <w:iCs/>
          <w:sz w:val="24"/>
          <w:szCs w:val="24"/>
        </w:rPr>
        <w:t>Experimental design and treatment</w:t>
      </w:r>
    </w:p>
    <w:p w14:paraId="30F5C228" w14:textId="77777777" w:rsidR="00BA0599" w:rsidRDefault="00000000">
      <w:pPr>
        <w:spacing w:line="360" w:lineRule="auto"/>
        <w:jc w:val="both"/>
      </w:pPr>
      <w:r>
        <w:rPr>
          <w:rFonts w:ascii="Times New Roman" w:hAnsi="Times New Roman" w:cs="Times New Roman"/>
          <w:bCs/>
          <w:iCs/>
          <w:sz w:val="24"/>
          <w:szCs w:val="24"/>
        </w:rPr>
        <w:lastRenderedPageBreak/>
        <w:t xml:space="preserve">Adult flies were randomly assigned to four experimental groups: Group I, untreated wild-type control; Group II, UV light–treated; Group III, vanillic acid–treated (0.01%) flies exposed to UV light; and Group IV, vanillic acid–treated (0.01%) flies without UV exposure. Vanillic acid was administered through the food medium for 14 consecutive days. At the end of the treatment period, flies (n = 20 per group) were collected at 10 h intervals for </w:t>
      </w:r>
      <w:r>
        <w:rPr>
          <w:rFonts w:ascii="Times New Roman" w:hAnsi="Times New Roman" w:cs="Times New Roman"/>
          <w:bCs/>
          <w:iCs/>
          <w:sz w:val="24"/>
          <w:szCs w:val="24"/>
          <w:highlight w:val="yellow"/>
        </w:rPr>
        <w:t>behavioural</w:t>
      </w:r>
      <w:r>
        <w:rPr>
          <w:rFonts w:ascii="Times New Roman" w:hAnsi="Times New Roman" w:cs="Times New Roman"/>
          <w:bCs/>
          <w:iCs/>
          <w:sz w:val="24"/>
          <w:szCs w:val="24"/>
        </w:rPr>
        <w:t xml:space="preserve"> and biochemical analyses.</w:t>
      </w:r>
    </w:p>
    <w:p w14:paraId="5F2652AB" w14:textId="77777777" w:rsidR="00BA0599" w:rsidRDefault="00000000">
      <w:pPr>
        <w:spacing w:line="360" w:lineRule="auto"/>
        <w:jc w:val="both"/>
        <w:rPr>
          <w:rFonts w:ascii="Times New Roman" w:hAnsi="Times New Roman" w:cs="Times New Roman"/>
          <w:b/>
          <w:iCs/>
          <w:sz w:val="24"/>
          <w:szCs w:val="24"/>
        </w:rPr>
      </w:pPr>
      <w:r>
        <w:rPr>
          <w:rFonts w:ascii="Times New Roman" w:hAnsi="Times New Roman" w:cs="Times New Roman"/>
          <w:b/>
          <w:iCs/>
          <w:sz w:val="24"/>
          <w:szCs w:val="24"/>
        </w:rPr>
        <w:t>UV irradiation</w:t>
      </w:r>
    </w:p>
    <w:p w14:paraId="5C3E660D" w14:textId="77777777" w:rsidR="00BA0599" w:rsidRDefault="00000000">
      <w:pPr>
        <w:spacing w:line="360" w:lineRule="auto"/>
        <w:jc w:val="both"/>
      </w:pPr>
      <w:r>
        <w:rPr>
          <w:rFonts w:ascii="Times New Roman" w:hAnsi="Times New Roman" w:cs="Times New Roman"/>
          <w:bCs/>
          <w:iCs/>
          <w:sz w:val="24"/>
          <w:szCs w:val="24"/>
        </w:rPr>
        <w:t xml:space="preserve">For UV exposure, flies were </w:t>
      </w:r>
      <w:r>
        <w:rPr>
          <w:rFonts w:ascii="Times New Roman" w:hAnsi="Times New Roman" w:cs="Times New Roman"/>
          <w:bCs/>
          <w:iCs/>
          <w:sz w:val="24"/>
          <w:szCs w:val="24"/>
          <w:highlight w:val="yellow"/>
        </w:rPr>
        <w:t>anaesthetised</w:t>
      </w:r>
      <w:r>
        <w:rPr>
          <w:rFonts w:ascii="Times New Roman" w:hAnsi="Times New Roman" w:cs="Times New Roman"/>
          <w:bCs/>
          <w:iCs/>
          <w:sz w:val="24"/>
          <w:szCs w:val="24"/>
        </w:rPr>
        <w:t xml:space="preserve"> using cotton soaked with diethyl ether. Groups of 20 flies were placed in culture vials and exposed to ultraviolet radiation using an Eliante UV light sterilizer disinfectant (11 W) for 20–30 min daily for seven consecutive days. Control and vanillic acid–alone groups were not exposed to UV radiation.</w:t>
      </w:r>
    </w:p>
    <w:p w14:paraId="60DDEB32" w14:textId="77777777" w:rsidR="00BA0599" w:rsidRDefault="00000000">
      <w:pPr>
        <w:spacing w:line="360" w:lineRule="auto"/>
        <w:jc w:val="both"/>
        <w:rPr>
          <w:rFonts w:ascii="Times New Roman" w:hAnsi="Times New Roman" w:cs="Times New Roman"/>
          <w:b/>
          <w:iCs/>
          <w:sz w:val="24"/>
          <w:szCs w:val="24"/>
        </w:rPr>
      </w:pPr>
      <w:r>
        <w:rPr>
          <w:rFonts w:ascii="Times New Roman" w:hAnsi="Times New Roman" w:cs="Times New Roman"/>
          <w:b/>
          <w:iCs/>
          <w:sz w:val="24"/>
          <w:szCs w:val="24"/>
          <w:highlight w:val="yellow"/>
        </w:rPr>
        <w:t>Behavioural</w:t>
      </w:r>
      <w:r>
        <w:rPr>
          <w:rFonts w:ascii="Times New Roman" w:hAnsi="Times New Roman" w:cs="Times New Roman"/>
          <w:b/>
          <w:iCs/>
          <w:sz w:val="24"/>
          <w:szCs w:val="24"/>
        </w:rPr>
        <w:t xml:space="preserve"> assays</w:t>
      </w:r>
    </w:p>
    <w:p w14:paraId="3C94BB46" w14:textId="77777777" w:rsidR="00BA0599" w:rsidRDefault="00000000">
      <w:pPr>
        <w:spacing w:line="360" w:lineRule="auto"/>
        <w:jc w:val="both"/>
      </w:pPr>
      <w:r>
        <w:rPr>
          <w:rFonts w:ascii="Times New Roman" w:hAnsi="Times New Roman" w:cs="Times New Roman"/>
          <w:bCs/>
          <w:iCs/>
          <w:sz w:val="24"/>
          <w:szCs w:val="24"/>
          <w:highlight w:val="yellow"/>
        </w:rPr>
        <w:t>Behavioural</w:t>
      </w:r>
      <w:r>
        <w:rPr>
          <w:rFonts w:ascii="Times New Roman" w:hAnsi="Times New Roman" w:cs="Times New Roman"/>
          <w:bCs/>
          <w:iCs/>
          <w:sz w:val="24"/>
          <w:szCs w:val="24"/>
        </w:rPr>
        <w:t xml:space="preserve"> assays were carried out in control and experimental flies following the protocols of Vang et al. (2012) and </w:t>
      </w:r>
      <w:proofErr w:type="spellStart"/>
      <w:r>
        <w:rPr>
          <w:rFonts w:ascii="Times New Roman" w:hAnsi="Times New Roman" w:cs="Times New Roman"/>
          <w:bCs/>
          <w:iCs/>
          <w:sz w:val="24"/>
          <w:szCs w:val="24"/>
        </w:rPr>
        <w:t>Neckameyer</w:t>
      </w:r>
      <w:proofErr w:type="spellEnd"/>
      <w:r>
        <w:rPr>
          <w:rFonts w:ascii="Times New Roman" w:hAnsi="Times New Roman" w:cs="Times New Roman"/>
          <w:bCs/>
          <w:iCs/>
          <w:sz w:val="24"/>
          <w:szCs w:val="24"/>
        </w:rPr>
        <w:t xml:space="preserve"> and Bhatt (2016), with minor modifications, to evaluate negative geotaxis, phototaxis, smell chemotaxis, taste chemotaxis, thermotaxis, and </w:t>
      </w:r>
      <w:proofErr w:type="spellStart"/>
      <w:r>
        <w:rPr>
          <w:rFonts w:ascii="Times New Roman" w:hAnsi="Times New Roman" w:cs="Times New Roman"/>
          <w:bCs/>
          <w:iCs/>
          <w:sz w:val="24"/>
          <w:szCs w:val="24"/>
        </w:rPr>
        <w:t>hygrotaxis</w:t>
      </w:r>
      <w:proofErr w:type="spellEnd"/>
      <w:r>
        <w:rPr>
          <w:rFonts w:ascii="Times New Roman" w:hAnsi="Times New Roman" w:cs="Times New Roman"/>
          <w:bCs/>
          <w:iCs/>
          <w:sz w:val="24"/>
          <w:szCs w:val="24"/>
        </w:rPr>
        <w:t xml:space="preserve">. Negative geotactic </w:t>
      </w:r>
      <w:r>
        <w:rPr>
          <w:rFonts w:ascii="Times New Roman" w:hAnsi="Times New Roman" w:cs="Times New Roman"/>
          <w:bCs/>
          <w:iCs/>
          <w:sz w:val="24"/>
          <w:szCs w:val="24"/>
          <w:highlight w:val="yellow"/>
        </w:rPr>
        <w:t>behaviour</w:t>
      </w:r>
      <w:r>
        <w:rPr>
          <w:rFonts w:ascii="Times New Roman" w:hAnsi="Times New Roman" w:cs="Times New Roman"/>
          <w:bCs/>
          <w:iCs/>
          <w:sz w:val="24"/>
          <w:szCs w:val="24"/>
        </w:rPr>
        <w:t xml:space="preserve"> was assessed using a vertical glass column (15 cm length × 1.5 cm diameter), in which </w:t>
      </w:r>
      <w:r>
        <w:rPr>
          <w:rFonts w:ascii="Times New Roman" w:hAnsi="Times New Roman" w:cs="Times New Roman"/>
          <w:bCs/>
          <w:iCs/>
          <w:sz w:val="24"/>
          <w:szCs w:val="24"/>
          <w:highlight w:val="yellow"/>
        </w:rPr>
        <w:t>anaesthetised</w:t>
      </w:r>
      <w:r>
        <w:rPr>
          <w:rFonts w:ascii="Times New Roman" w:hAnsi="Times New Roman" w:cs="Times New Roman"/>
          <w:bCs/>
          <w:iCs/>
          <w:sz w:val="24"/>
          <w:szCs w:val="24"/>
        </w:rPr>
        <w:t xml:space="preserve"> flies were gently tapped to the bottom and the number of flies climbing beyond 13 cm within 60 s was recorded. Phototaxis was evaluated using two interconnected vials (15 cm × 1.5 cm) divided into three equal compartments, </w:t>
      </w:r>
      <w:r>
        <w:rPr>
          <w:rFonts w:ascii="Times New Roman" w:hAnsi="Times New Roman" w:cs="Times New Roman"/>
          <w:bCs/>
          <w:iCs/>
          <w:sz w:val="24"/>
          <w:szCs w:val="24"/>
          <w:highlight w:val="yellow"/>
        </w:rPr>
        <w:t>in which approximately 25 flies were acclimatised in darkness for 30 min and then exposed to a light source placed 5 cm from the vial; fly distribution was recorded after 1 min.</w:t>
      </w:r>
      <w:r>
        <w:rPr>
          <w:rFonts w:ascii="Times New Roman" w:hAnsi="Times New Roman" w:cs="Times New Roman"/>
          <w:bCs/>
          <w:iCs/>
          <w:sz w:val="24"/>
          <w:szCs w:val="24"/>
        </w:rPr>
        <w:t xml:space="preserve"> </w:t>
      </w:r>
      <w:r>
        <w:rPr>
          <w:rFonts w:ascii="Times New Roman" w:hAnsi="Times New Roman" w:cs="Times New Roman"/>
          <w:bCs/>
          <w:iCs/>
          <w:sz w:val="24"/>
          <w:szCs w:val="24"/>
          <w:highlight w:val="yellow"/>
        </w:rPr>
        <w:t>Smell chemotaxis was assessed using benzaldehyde as a volatile repellent. Flies were introduced into interconnected vials with a cotton plug soaked in 1 mL of 100 mM benzaldehyde placed in the terminal compartment, and fly distribution was recorded after 1 min.</w:t>
      </w:r>
      <w:r>
        <w:rPr>
          <w:rFonts w:ascii="Times New Roman" w:hAnsi="Times New Roman" w:cs="Times New Roman"/>
          <w:bCs/>
          <w:iCs/>
          <w:sz w:val="24"/>
          <w:szCs w:val="24"/>
        </w:rPr>
        <w:t xml:space="preserve"> </w:t>
      </w:r>
      <w:r>
        <w:rPr>
          <w:rFonts w:ascii="Times New Roman" w:hAnsi="Times New Roman" w:cs="Times New Roman"/>
          <w:bCs/>
          <w:iCs/>
          <w:sz w:val="24"/>
          <w:szCs w:val="24"/>
          <w:highlight w:val="yellow"/>
        </w:rPr>
        <w:t>Taste chemotaxis was evaluated using sucrose as a non-volatile attractant. A cotton plug soaked in 1 mL of 0.1% sucrose solution was placed at one end of a compartmentalised test tube, and fly distribution was recorded after 1 min.</w:t>
      </w:r>
      <w:r>
        <w:rPr>
          <w:rFonts w:ascii="Times New Roman" w:hAnsi="Times New Roman" w:cs="Times New Roman"/>
          <w:bCs/>
          <w:iCs/>
          <w:sz w:val="24"/>
          <w:szCs w:val="24"/>
        </w:rPr>
        <w:t xml:space="preserve"> </w:t>
      </w:r>
      <w:r>
        <w:rPr>
          <w:rFonts w:ascii="Times New Roman" w:hAnsi="Times New Roman" w:cs="Times New Roman"/>
          <w:bCs/>
          <w:iCs/>
          <w:sz w:val="24"/>
          <w:szCs w:val="24"/>
          <w:highlight w:val="yellow"/>
        </w:rPr>
        <w:t xml:space="preserve">Thermotactic behaviour was assessed using two interconnected vials, one maintained at 45 °C; the number of flies in each compartment was recorded after 1 min of exposure. </w:t>
      </w:r>
      <w:proofErr w:type="spellStart"/>
      <w:r>
        <w:rPr>
          <w:rFonts w:ascii="Times New Roman" w:hAnsi="Times New Roman" w:cs="Times New Roman"/>
          <w:bCs/>
          <w:iCs/>
          <w:sz w:val="24"/>
          <w:szCs w:val="24"/>
          <w:highlight w:val="yellow"/>
        </w:rPr>
        <w:t>Hygrotaxis</w:t>
      </w:r>
      <w:proofErr w:type="spellEnd"/>
      <w:r>
        <w:rPr>
          <w:rFonts w:ascii="Times New Roman" w:hAnsi="Times New Roman" w:cs="Times New Roman"/>
          <w:bCs/>
          <w:iCs/>
          <w:sz w:val="24"/>
          <w:szCs w:val="24"/>
          <w:highlight w:val="yellow"/>
        </w:rPr>
        <w:t xml:space="preserve"> was evaluated by connecting a moisturised vial, previously filled with distilled water and incubated overnight, to a vial containing flies, and fly distribution was recorded after 1 min.</w:t>
      </w:r>
      <w:r>
        <w:rPr>
          <w:rFonts w:ascii="Times New Roman" w:hAnsi="Times New Roman" w:cs="Times New Roman"/>
          <w:bCs/>
          <w:iCs/>
          <w:sz w:val="24"/>
          <w:szCs w:val="24"/>
        </w:rPr>
        <w:t xml:space="preserve"> For all assays, 20–25 adult </w:t>
      </w:r>
      <w:r>
        <w:rPr>
          <w:rFonts w:ascii="Times New Roman" w:hAnsi="Times New Roman" w:cs="Times New Roman"/>
          <w:bCs/>
          <w:iCs/>
          <w:sz w:val="24"/>
          <w:szCs w:val="24"/>
        </w:rPr>
        <w:lastRenderedPageBreak/>
        <w:t>flies were used, experiments were performed in triplicate, and results were expressed as mean ± SD.</w:t>
      </w:r>
    </w:p>
    <w:p w14:paraId="30E14BAA" w14:textId="77777777" w:rsidR="00BA0599" w:rsidRDefault="00000000">
      <w:pPr>
        <w:spacing w:line="360" w:lineRule="auto"/>
        <w:jc w:val="both"/>
        <w:rPr>
          <w:rFonts w:ascii="Times New Roman" w:hAnsi="Times New Roman" w:cs="Times New Roman"/>
          <w:b/>
          <w:iCs/>
          <w:sz w:val="24"/>
          <w:szCs w:val="24"/>
        </w:rPr>
      </w:pPr>
      <w:r>
        <w:rPr>
          <w:rFonts w:ascii="Times New Roman" w:hAnsi="Times New Roman" w:cs="Times New Roman"/>
          <w:b/>
          <w:iCs/>
          <w:sz w:val="24"/>
          <w:szCs w:val="24"/>
        </w:rPr>
        <w:t>Biochemical estimations</w:t>
      </w:r>
    </w:p>
    <w:p w14:paraId="4E208D6D" w14:textId="77777777" w:rsidR="00BA0599" w:rsidRDefault="00000000">
      <w:pPr>
        <w:spacing w:line="360" w:lineRule="auto"/>
        <w:jc w:val="both"/>
      </w:pPr>
      <w:r>
        <w:rPr>
          <w:rFonts w:ascii="Times New Roman" w:hAnsi="Times New Roman" w:cs="Times New Roman"/>
          <w:bCs/>
          <w:iCs/>
          <w:sz w:val="24"/>
          <w:szCs w:val="24"/>
        </w:rPr>
        <w:t xml:space="preserve">Biochemical estimations were carried out to evaluate oxidative stress markers in the experimental tissues. Lipid peroxidation was determined by estimating </w:t>
      </w:r>
      <w:proofErr w:type="spellStart"/>
      <w:r>
        <w:rPr>
          <w:rFonts w:ascii="Times New Roman" w:hAnsi="Times New Roman" w:cs="Times New Roman"/>
          <w:bCs/>
          <w:iCs/>
          <w:sz w:val="24"/>
          <w:szCs w:val="24"/>
        </w:rPr>
        <w:t>thiobarbituric</w:t>
      </w:r>
      <w:proofErr w:type="spellEnd"/>
      <w:r>
        <w:rPr>
          <w:rFonts w:ascii="Times New Roman" w:hAnsi="Times New Roman" w:cs="Times New Roman"/>
          <w:bCs/>
          <w:iCs/>
          <w:sz w:val="24"/>
          <w:szCs w:val="24"/>
        </w:rPr>
        <w:t xml:space="preserve"> acid reactive substances (TBARS) following the method of Niehaus and Samuelsson (1968), wherein tissue homogenates were prepared in 0.025 M Tris–HCl buffer (pH 7.5)</w:t>
      </w:r>
      <w:r>
        <w:rPr>
          <w:rFonts w:ascii="Times New Roman" w:hAnsi="Times New Roman" w:cs="Times New Roman"/>
          <w:bCs/>
          <w:iCs/>
          <w:sz w:val="24"/>
          <w:szCs w:val="24"/>
          <w:highlight w:val="yellow"/>
        </w:rPr>
        <w:t>, reacted with TBA–TCA–HCl reagent, heated, and centrifuged; the absorbance of the resulting supernatant was then measured at 535 nm;</w:t>
      </w:r>
      <w:r>
        <w:rPr>
          <w:rFonts w:ascii="Times New Roman" w:hAnsi="Times New Roman" w:cs="Times New Roman"/>
          <w:bCs/>
          <w:iCs/>
          <w:sz w:val="24"/>
          <w:szCs w:val="24"/>
        </w:rPr>
        <w:t xml:space="preserve"> TBARS levels were expressed as µmol mg⁻¹ protein. Superoxide dismutase (SOD) activity was assayed according to Kakkar et al. (1984) based on the inhibition of </w:t>
      </w:r>
      <w:proofErr w:type="spellStart"/>
      <w:r>
        <w:rPr>
          <w:rFonts w:ascii="Times New Roman" w:hAnsi="Times New Roman" w:cs="Times New Roman"/>
          <w:bCs/>
          <w:iCs/>
          <w:sz w:val="24"/>
          <w:szCs w:val="24"/>
        </w:rPr>
        <w:t>nitroblue</w:t>
      </w:r>
      <w:proofErr w:type="spellEnd"/>
      <w:r>
        <w:rPr>
          <w:rFonts w:ascii="Times New Roman" w:hAnsi="Times New Roman" w:cs="Times New Roman"/>
          <w:bCs/>
          <w:iCs/>
          <w:sz w:val="24"/>
          <w:szCs w:val="24"/>
        </w:rPr>
        <w:t xml:space="preserve"> tetrazolium (NBT) reduction, </w:t>
      </w:r>
      <w:r>
        <w:rPr>
          <w:rFonts w:ascii="Times New Roman" w:hAnsi="Times New Roman" w:cs="Times New Roman"/>
          <w:bCs/>
          <w:iCs/>
          <w:sz w:val="24"/>
          <w:szCs w:val="24"/>
          <w:highlight w:val="yellow"/>
        </w:rPr>
        <w:t>with the absorbance recorded at 560 nm</w:t>
      </w:r>
      <w:r>
        <w:rPr>
          <w:rFonts w:ascii="Times New Roman" w:hAnsi="Times New Roman" w:cs="Times New Roman"/>
          <w:bCs/>
          <w:iCs/>
          <w:sz w:val="24"/>
          <w:szCs w:val="24"/>
        </w:rPr>
        <w:t xml:space="preserve">, and one unit of SOD activity was defined as the amount of enzyme required to cause 50% inhibition of NBT reduction per minute, expressed as </w:t>
      </w:r>
      <w:proofErr w:type="gramStart"/>
      <w:r>
        <w:rPr>
          <w:rFonts w:ascii="Times New Roman" w:hAnsi="Times New Roman" w:cs="Times New Roman"/>
          <w:bCs/>
          <w:iCs/>
          <w:sz w:val="24"/>
          <w:szCs w:val="24"/>
        </w:rPr>
        <w:t>units</w:t>
      </w:r>
      <w:proofErr w:type="gramEnd"/>
      <w:r>
        <w:rPr>
          <w:rFonts w:ascii="Times New Roman" w:hAnsi="Times New Roman" w:cs="Times New Roman"/>
          <w:bCs/>
          <w:iCs/>
          <w:sz w:val="24"/>
          <w:szCs w:val="24"/>
        </w:rPr>
        <w:t xml:space="preserve"> min⁻¹ mg⁻¹ protein. Protein oxidation was assessed by estimating protein carbonyl content using a DNPH-based </w:t>
      </w:r>
      <w:proofErr w:type="spellStart"/>
      <w:r>
        <w:rPr>
          <w:rFonts w:ascii="Times New Roman" w:hAnsi="Times New Roman" w:cs="Times New Roman"/>
          <w:bCs/>
          <w:iCs/>
          <w:sz w:val="24"/>
          <w:szCs w:val="24"/>
          <w:highlight w:val="yellow"/>
        </w:rPr>
        <w:t>colourimetric</w:t>
      </w:r>
      <w:proofErr w:type="spellEnd"/>
      <w:r>
        <w:rPr>
          <w:rFonts w:ascii="Times New Roman" w:hAnsi="Times New Roman" w:cs="Times New Roman"/>
          <w:bCs/>
          <w:iCs/>
          <w:sz w:val="24"/>
          <w:szCs w:val="24"/>
        </w:rPr>
        <w:t xml:space="preserve"> method, in which the formed protein hydrazones were quantified spectrophotometrically at 360–385 nm and the results were </w:t>
      </w:r>
      <w:r>
        <w:rPr>
          <w:rFonts w:ascii="Times New Roman" w:hAnsi="Times New Roman" w:cs="Times New Roman"/>
          <w:bCs/>
          <w:iCs/>
          <w:sz w:val="24"/>
          <w:szCs w:val="24"/>
          <w:highlight w:val="yellow"/>
        </w:rPr>
        <w:t>normalised</w:t>
      </w:r>
      <w:r>
        <w:rPr>
          <w:rFonts w:ascii="Times New Roman" w:hAnsi="Times New Roman" w:cs="Times New Roman"/>
          <w:bCs/>
          <w:iCs/>
          <w:sz w:val="24"/>
          <w:szCs w:val="24"/>
        </w:rPr>
        <w:t xml:space="preserve"> to the protein concentration.</w:t>
      </w:r>
    </w:p>
    <w:p w14:paraId="51DE722D" w14:textId="77777777" w:rsidR="00BA0599" w:rsidRDefault="00000000">
      <w:pPr>
        <w:spacing w:line="360" w:lineRule="auto"/>
        <w:jc w:val="both"/>
        <w:rPr>
          <w:rFonts w:ascii="Times New Roman" w:hAnsi="Times New Roman" w:cs="Times New Roman"/>
          <w:b/>
          <w:iCs/>
          <w:sz w:val="24"/>
          <w:szCs w:val="24"/>
        </w:rPr>
      </w:pPr>
      <w:r>
        <w:rPr>
          <w:rFonts w:ascii="Times New Roman" w:hAnsi="Times New Roman" w:cs="Times New Roman"/>
          <w:b/>
          <w:iCs/>
          <w:sz w:val="24"/>
          <w:szCs w:val="24"/>
        </w:rPr>
        <w:t>Statistical analysis</w:t>
      </w:r>
    </w:p>
    <w:p w14:paraId="5DCF118C" w14:textId="77777777" w:rsidR="00BA0599" w:rsidRDefault="00000000">
      <w:pPr>
        <w:spacing w:line="360" w:lineRule="auto"/>
        <w:jc w:val="both"/>
      </w:pPr>
      <w:r>
        <w:rPr>
          <w:rFonts w:ascii="Times New Roman" w:hAnsi="Times New Roman" w:cs="Times New Roman"/>
          <w:bCs/>
          <w:iCs/>
          <w:sz w:val="24"/>
          <w:szCs w:val="24"/>
        </w:rPr>
        <w:t xml:space="preserve">All data were expressed as mean ± standard deviation (SD). Statistical analyses were performed using SPSS version 22.0 (IBM Corporation, New York, NY, USA). Homogeneity of variance was tested prior to analysis, and statistical significance was evaluated at </w:t>
      </w:r>
      <w:r>
        <w:rPr>
          <w:rFonts w:ascii="Times New Roman" w:hAnsi="Times New Roman" w:cs="Times New Roman"/>
          <w:bCs/>
          <w:i/>
          <w:iCs/>
          <w:sz w:val="24"/>
          <w:szCs w:val="24"/>
          <w:highlight w:val="yellow"/>
        </w:rPr>
        <w:t xml:space="preserve">p </w:t>
      </w:r>
      <w:r>
        <w:rPr>
          <w:rFonts w:ascii="Times New Roman" w:hAnsi="Times New Roman" w:cs="Times New Roman"/>
          <w:bCs/>
          <w:iCs/>
          <w:sz w:val="24"/>
          <w:szCs w:val="24"/>
        </w:rPr>
        <w:t>&lt; 0.05</w:t>
      </w:r>
      <w:r>
        <w:rPr>
          <w:highlight w:val="yellow"/>
        </w:rPr>
        <w:t>.</w:t>
      </w:r>
    </w:p>
    <w:p w14:paraId="6BE10298" w14:textId="77777777" w:rsidR="00BA0599" w:rsidRDefault="00BA0599">
      <w:pPr>
        <w:spacing w:line="276" w:lineRule="auto"/>
        <w:jc w:val="both"/>
        <w:rPr>
          <w:rFonts w:ascii="Times New Roman" w:hAnsi="Times New Roman" w:cs="Times New Roman"/>
          <w:b/>
          <w:bCs/>
          <w:iCs/>
          <w:sz w:val="24"/>
          <w:szCs w:val="24"/>
        </w:rPr>
      </w:pPr>
    </w:p>
    <w:p w14:paraId="322D8026" w14:textId="77777777" w:rsidR="00BA0599" w:rsidRDefault="00000000">
      <w:pPr>
        <w:spacing w:line="276" w:lineRule="auto"/>
        <w:jc w:val="both"/>
        <w:rPr>
          <w:rFonts w:ascii="Times New Roman" w:hAnsi="Times New Roman" w:cs="Times New Roman"/>
          <w:b/>
          <w:bCs/>
          <w:iCs/>
          <w:sz w:val="24"/>
          <w:szCs w:val="24"/>
        </w:rPr>
      </w:pPr>
      <w:r>
        <w:rPr>
          <w:rFonts w:ascii="Times New Roman" w:hAnsi="Times New Roman" w:cs="Times New Roman"/>
          <w:b/>
          <w:bCs/>
          <w:iCs/>
          <w:sz w:val="24"/>
          <w:szCs w:val="24"/>
        </w:rPr>
        <w:t>RESULTS</w:t>
      </w:r>
    </w:p>
    <w:p w14:paraId="169A0042" w14:textId="77777777" w:rsidR="00BA0599" w:rsidRDefault="00000000">
      <w:pPr>
        <w:spacing w:line="276" w:lineRule="auto"/>
        <w:jc w:val="both"/>
      </w:pPr>
      <w:r>
        <w:rPr>
          <w:rFonts w:ascii="Times New Roman" w:hAnsi="Times New Roman" w:cs="Times New Roman"/>
          <w:b/>
          <w:bCs/>
          <w:iCs/>
          <w:sz w:val="24"/>
          <w:szCs w:val="24"/>
          <w:highlight w:val="yellow"/>
        </w:rPr>
        <w:t>Behavioural</w:t>
      </w:r>
      <w:r>
        <w:rPr>
          <w:rFonts w:ascii="Times New Roman" w:hAnsi="Times New Roman" w:cs="Times New Roman"/>
          <w:b/>
          <w:bCs/>
          <w:iCs/>
          <w:sz w:val="24"/>
          <w:szCs w:val="24"/>
        </w:rPr>
        <w:t xml:space="preserve"> assays</w:t>
      </w:r>
    </w:p>
    <w:p w14:paraId="2D089E46" w14:textId="77777777" w:rsidR="00BA0599" w:rsidRDefault="00000000">
      <w:pPr>
        <w:spacing w:line="276" w:lineRule="auto"/>
        <w:jc w:val="both"/>
        <w:rPr>
          <w:rFonts w:ascii="Times New Roman" w:hAnsi="Times New Roman" w:cs="Times New Roman"/>
          <w:b/>
          <w:bCs/>
          <w:iCs/>
          <w:sz w:val="24"/>
          <w:szCs w:val="24"/>
        </w:rPr>
      </w:pPr>
      <w:r>
        <w:rPr>
          <w:rFonts w:ascii="Times New Roman" w:hAnsi="Times New Roman" w:cs="Times New Roman"/>
          <w:b/>
          <w:bCs/>
          <w:iCs/>
          <w:sz w:val="24"/>
          <w:szCs w:val="24"/>
        </w:rPr>
        <w:t>Negative geotaxis</w:t>
      </w:r>
    </w:p>
    <w:p w14:paraId="3EACA30B" w14:textId="77777777" w:rsidR="00BA0599" w:rsidRDefault="00000000">
      <w:pPr>
        <w:spacing w:line="276" w:lineRule="auto"/>
        <w:jc w:val="both"/>
      </w:pPr>
      <w:r>
        <w:rPr>
          <w:rFonts w:ascii="Times New Roman" w:hAnsi="Times New Roman" w:cs="Times New Roman"/>
          <w:bCs/>
          <w:iCs/>
          <w:sz w:val="24"/>
          <w:szCs w:val="24"/>
        </w:rPr>
        <w:t xml:space="preserve">Exposure to UV radiation resulted in a significant decline in negative geotaxis performance compared with the wild-type control group (p &lt; 0.05). The UV + vanillic acid group also exhibited reduced climbing ability relative to the control group and </w:t>
      </w:r>
      <w:r>
        <w:rPr>
          <w:rFonts w:ascii="Times New Roman" w:hAnsi="Times New Roman" w:cs="Times New Roman"/>
          <w:bCs/>
          <w:iCs/>
          <w:sz w:val="24"/>
          <w:szCs w:val="24"/>
          <w:highlight w:val="yellow"/>
        </w:rPr>
        <w:t>did not improve compared with</w:t>
      </w:r>
      <w:r>
        <w:rPr>
          <w:rFonts w:ascii="Times New Roman" w:hAnsi="Times New Roman" w:cs="Times New Roman"/>
          <w:bCs/>
          <w:iCs/>
          <w:sz w:val="24"/>
          <w:szCs w:val="24"/>
        </w:rPr>
        <w:t xml:space="preserve"> UV-treated flies. Vanillic acid alone produced negative geotaxis responses comparable to those of the control group (p &gt; 0.05) (Table 1).</w:t>
      </w:r>
    </w:p>
    <w:p w14:paraId="7FF7BF00" w14:textId="77777777" w:rsidR="00BA0599" w:rsidRDefault="00000000">
      <w:pPr>
        <w:spacing w:line="276" w:lineRule="auto"/>
        <w:jc w:val="center"/>
        <w:rPr>
          <w:rFonts w:ascii="Times New Roman" w:hAnsi="Times New Roman" w:cs="Times New Roman"/>
          <w:b/>
          <w:bCs/>
          <w:i/>
          <w:iCs/>
          <w:sz w:val="24"/>
          <w:szCs w:val="24"/>
        </w:rPr>
      </w:pPr>
      <w:r>
        <w:rPr>
          <w:rFonts w:ascii="Times New Roman" w:hAnsi="Times New Roman" w:cs="Times New Roman"/>
          <w:b/>
          <w:bCs/>
          <w:i/>
          <w:iCs/>
          <w:sz w:val="24"/>
          <w:szCs w:val="24"/>
        </w:rPr>
        <w:t>Table 1. Negative geotaxis (%) in Drosophila melanogaster</w:t>
      </w:r>
    </w:p>
    <w:tbl>
      <w:tblPr>
        <w:tblW w:w="4823" w:type="dxa"/>
        <w:jc w:val="center"/>
        <w:tblLayout w:type="fixed"/>
        <w:tblCellMar>
          <w:top w:w="15" w:type="dxa"/>
          <w:left w:w="15" w:type="dxa"/>
          <w:bottom w:w="15" w:type="dxa"/>
          <w:right w:w="15" w:type="dxa"/>
        </w:tblCellMar>
        <w:tblLook w:val="0000" w:firstRow="0" w:lastRow="0" w:firstColumn="0" w:lastColumn="0" w:noHBand="0" w:noVBand="0"/>
      </w:tblPr>
      <w:tblGrid>
        <w:gridCol w:w="1930"/>
        <w:gridCol w:w="2893"/>
      </w:tblGrid>
      <w:tr w:rsidR="00BA0599" w14:paraId="7EBE03C0" w14:textId="77777777">
        <w:trPr>
          <w:tblHeader/>
          <w:jc w:val="center"/>
        </w:trPr>
        <w:tc>
          <w:tcPr>
            <w:tcW w:w="1930" w:type="dxa"/>
            <w:tcBorders>
              <w:top w:val="single" w:sz="4" w:space="0" w:color="000000"/>
              <w:left w:val="single" w:sz="4" w:space="0" w:color="000000"/>
              <w:bottom w:val="single" w:sz="4" w:space="0" w:color="000000"/>
              <w:right w:val="single" w:sz="4" w:space="0" w:color="000000"/>
            </w:tcBorders>
            <w:vAlign w:val="center"/>
          </w:tcPr>
          <w:p w14:paraId="5E675351" w14:textId="77777777" w:rsidR="00BA0599" w:rsidRDefault="00000000">
            <w:pPr>
              <w:spacing w:line="360" w:lineRule="auto"/>
              <w:jc w:val="center"/>
              <w:rPr>
                <w:rFonts w:ascii="Times New Roman" w:hAnsi="Times New Roman" w:cs="Times New Roman"/>
                <w:b/>
                <w:bCs/>
                <w:iCs/>
                <w:sz w:val="24"/>
                <w:szCs w:val="24"/>
              </w:rPr>
            </w:pPr>
            <w:r>
              <w:rPr>
                <w:rFonts w:ascii="Times New Roman" w:hAnsi="Times New Roman" w:cs="Times New Roman"/>
                <w:b/>
                <w:bCs/>
                <w:iCs/>
                <w:sz w:val="24"/>
                <w:szCs w:val="24"/>
              </w:rPr>
              <w:lastRenderedPageBreak/>
              <w:t>Group</w:t>
            </w:r>
          </w:p>
        </w:tc>
        <w:tc>
          <w:tcPr>
            <w:tcW w:w="2893" w:type="dxa"/>
            <w:tcBorders>
              <w:top w:val="single" w:sz="4" w:space="0" w:color="000000"/>
              <w:left w:val="single" w:sz="4" w:space="0" w:color="000000"/>
              <w:bottom w:val="single" w:sz="4" w:space="0" w:color="000000"/>
              <w:right w:val="single" w:sz="4" w:space="0" w:color="000000"/>
            </w:tcBorders>
            <w:vAlign w:val="center"/>
          </w:tcPr>
          <w:p w14:paraId="3CF42F0E" w14:textId="77777777" w:rsidR="00BA0599" w:rsidRDefault="00000000">
            <w:pPr>
              <w:spacing w:line="360" w:lineRule="auto"/>
              <w:jc w:val="both"/>
              <w:rPr>
                <w:rFonts w:ascii="Times New Roman" w:hAnsi="Times New Roman" w:cs="Times New Roman"/>
                <w:b/>
                <w:bCs/>
                <w:iCs/>
                <w:sz w:val="24"/>
                <w:szCs w:val="24"/>
              </w:rPr>
            </w:pPr>
            <w:r>
              <w:rPr>
                <w:rFonts w:ascii="Times New Roman" w:hAnsi="Times New Roman" w:cs="Times New Roman"/>
                <w:b/>
                <w:bCs/>
                <w:iCs/>
                <w:sz w:val="24"/>
                <w:szCs w:val="24"/>
              </w:rPr>
              <w:t>Negative geotaxis (% ± SD)</w:t>
            </w:r>
          </w:p>
        </w:tc>
      </w:tr>
      <w:tr w:rsidR="00BA0599" w14:paraId="63394B38" w14:textId="77777777">
        <w:trPr>
          <w:jc w:val="center"/>
        </w:trPr>
        <w:tc>
          <w:tcPr>
            <w:tcW w:w="1930" w:type="dxa"/>
            <w:tcBorders>
              <w:top w:val="single" w:sz="4" w:space="0" w:color="000000"/>
              <w:left w:val="single" w:sz="4" w:space="0" w:color="000000"/>
              <w:bottom w:val="single" w:sz="4" w:space="0" w:color="000000"/>
              <w:right w:val="single" w:sz="4" w:space="0" w:color="000000"/>
            </w:tcBorders>
            <w:vAlign w:val="center"/>
          </w:tcPr>
          <w:p w14:paraId="5AA2CA85" w14:textId="77777777" w:rsidR="00BA0599" w:rsidRDefault="00000000">
            <w:pPr>
              <w:spacing w:line="360" w:lineRule="auto"/>
              <w:jc w:val="both"/>
              <w:rPr>
                <w:rFonts w:ascii="Times New Roman" w:hAnsi="Times New Roman" w:cs="Times New Roman"/>
                <w:bCs/>
                <w:iCs/>
                <w:sz w:val="24"/>
                <w:szCs w:val="24"/>
              </w:rPr>
            </w:pPr>
            <w:r>
              <w:rPr>
                <w:rFonts w:ascii="Times New Roman" w:hAnsi="Times New Roman" w:cs="Times New Roman"/>
                <w:bCs/>
                <w:iCs/>
                <w:sz w:val="24"/>
                <w:szCs w:val="24"/>
              </w:rPr>
              <w:t>WT (Control)</w:t>
            </w:r>
          </w:p>
        </w:tc>
        <w:tc>
          <w:tcPr>
            <w:tcW w:w="2893" w:type="dxa"/>
            <w:tcBorders>
              <w:top w:val="single" w:sz="4" w:space="0" w:color="000000"/>
              <w:left w:val="single" w:sz="4" w:space="0" w:color="000000"/>
              <w:bottom w:val="single" w:sz="4" w:space="0" w:color="000000"/>
              <w:right w:val="single" w:sz="4" w:space="0" w:color="000000"/>
            </w:tcBorders>
            <w:vAlign w:val="center"/>
          </w:tcPr>
          <w:p w14:paraId="32402E34" w14:textId="77777777" w:rsidR="00BA0599" w:rsidRDefault="00000000">
            <w:pPr>
              <w:spacing w:line="360" w:lineRule="auto"/>
              <w:jc w:val="both"/>
              <w:rPr>
                <w:rFonts w:ascii="Times New Roman" w:hAnsi="Times New Roman" w:cs="Times New Roman"/>
                <w:bCs/>
                <w:iCs/>
                <w:sz w:val="24"/>
                <w:szCs w:val="24"/>
              </w:rPr>
            </w:pPr>
            <w:r>
              <w:rPr>
                <w:rFonts w:ascii="Times New Roman" w:hAnsi="Times New Roman" w:cs="Times New Roman"/>
                <w:bCs/>
                <w:iCs/>
                <w:sz w:val="24"/>
                <w:szCs w:val="24"/>
              </w:rPr>
              <w:t>87.3 ± 12.7</w:t>
            </w:r>
          </w:p>
        </w:tc>
      </w:tr>
      <w:tr w:rsidR="00BA0599" w14:paraId="769A3F47" w14:textId="77777777">
        <w:trPr>
          <w:jc w:val="center"/>
        </w:trPr>
        <w:tc>
          <w:tcPr>
            <w:tcW w:w="1930" w:type="dxa"/>
            <w:tcBorders>
              <w:top w:val="single" w:sz="4" w:space="0" w:color="000000"/>
              <w:left w:val="single" w:sz="4" w:space="0" w:color="000000"/>
              <w:bottom w:val="single" w:sz="4" w:space="0" w:color="000000"/>
              <w:right w:val="single" w:sz="4" w:space="0" w:color="000000"/>
            </w:tcBorders>
            <w:vAlign w:val="center"/>
          </w:tcPr>
          <w:p w14:paraId="28078461" w14:textId="77777777" w:rsidR="00BA0599" w:rsidRDefault="00000000">
            <w:pPr>
              <w:spacing w:line="360" w:lineRule="auto"/>
              <w:jc w:val="both"/>
              <w:rPr>
                <w:rFonts w:ascii="Times New Roman" w:hAnsi="Times New Roman" w:cs="Times New Roman"/>
                <w:bCs/>
                <w:iCs/>
                <w:sz w:val="24"/>
                <w:szCs w:val="24"/>
              </w:rPr>
            </w:pPr>
            <w:r>
              <w:rPr>
                <w:rFonts w:ascii="Times New Roman" w:hAnsi="Times New Roman" w:cs="Times New Roman"/>
                <w:bCs/>
                <w:iCs/>
                <w:sz w:val="24"/>
                <w:szCs w:val="24"/>
              </w:rPr>
              <w:t>UV treated</w:t>
            </w:r>
          </w:p>
        </w:tc>
        <w:tc>
          <w:tcPr>
            <w:tcW w:w="2893" w:type="dxa"/>
            <w:tcBorders>
              <w:top w:val="single" w:sz="4" w:space="0" w:color="000000"/>
              <w:left w:val="single" w:sz="4" w:space="0" w:color="000000"/>
              <w:bottom w:val="single" w:sz="4" w:space="0" w:color="000000"/>
              <w:right w:val="single" w:sz="4" w:space="0" w:color="000000"/>
            </w:tcBorders>
            <w:vAlign w:val="center"/>
          </w:tcPr>
          <w:p w14:paraId="436E3955" w14:textId="77777777" w:rsidR="00BA0599" w:rsidRDefault="00000000">
            <w:pPr>
              <w:spacing w:line="360" w:lineRule="auto"/>
              <w:jc w:val="both"/>
              <w:rPr>
                <w:rFonts w:ascii="Times New Roman" w:hAnsi="Times New Roman" w:cs="Times New Roman"/>
                <w:bCs/>
                <w:iCs/>
                <w:sz w:val="24"/>
                <w:szCs w:val="24"/>
              </w:rPr>
            </w:pPr>
            <w:r>
              <w:rPr>
                <w:rFonts w:ascii="Times New Roman" w:hAnsi="Times New Roman" w:cs="Times New Roman"/>
                <w:bCs/>
                <w:iCs/>
                <w:sz w:val="24"/>
                <w:szCs w:val="24"/>
              </w:rPr>
              <w:t>80.4 ± 11.4*</w:t>
            </w:r>
          </w:p>
        </w:tc>
      </w:tr>
      <w:tr w:rsidR="00BA0599" w14:paraId="1784748A" w14:textId="77777777">
        <w:trPr>
          <w:jc w:val="center"/>
        </w:trPr>
        <w:tc>
          <w:tcPr>
            <w:tcW w:w="1930" w:type="dxa"/>
            <w:tcBorders>
              <w:top w:val="single" w:sz="4" w:space="0" w:color="000000"/>
              <w:left w:val="single" w:sz="4" w:space="0" w:color="000000"/>
              <w:bottom w:val="single" w:sz="4" w:space="0" w:color="000000"/>
              <w:right w:val="single" w:sz="4" w:space="0" w:color="000000"/>
            </w:tcBorders>
            <w:vAlign w:val="center"/>
          </w:tcPr>
          <w:p w14:paraId="167A78FD" w14:textId="77777777" w:rsidR="00BA0599" w:rsidRDefault="00000000">
            <w:pPr>
              <w:spacing w:line="360" w:lineRule="auto"/>
              <w:jc w:val="both"/>
              <w:rPr>
                <w:rFonts w:ascii="Times New Roman" w:hAnsi="Times New Roman" w:cs="Times New Roman"/>
                <w:bCs/>
                <w:iCs/>
                <w:sz w:val="24"/>
                <w:szCs w:val="24"/>
              </w:rPr>
            </w:pPr>
            <w:r>
              <w:rPr>
                <w:rFonts w:ascii="Times New Roman" w:hAnsi="Times New Roman" w:cs="Times New Roman"/>
                <w:bCs/>
                <w:iCs/>
                <w:sz w:val="24"/>
                <w:szCs w:val="24"/>
              </w:rPr>
              <w:t>UV + Vanillic acid</w:t>
            </w:r>
          </w:p>
        </w:tc>
        <w:tc>
          <w:tcPr>
            <w:tcW w:w="2893" w:type="dxa"/>
            <w:tcBorders>
              <w:top w:val="single" w:sz="4" w:space="0" w:color="000000"/>
              <w:left w:val="single" w:sz="4" w:space="0" w:color="000000"/>
              <w:bottom w:val="single" w:sz="4" w:space="0" w:color="000000"/>
              <w:right w:val="single" w:sz="4" w:space="0" w:color="000000"/>
            </w:tcBorders>
            <w:vAlign w:val="center"/>
          </w:tcPr>
          <w:p w14:paraId="73802E7D" w14:textId="77777777" w:rsidR="00BA0599" w:rsidRDefault="00000000">
            <w:pPr>
              <w:spacing w:line="360" w:lineRule="auto"/>
              <w:jc w:val="both"/>
              <w:rPr>
                <w:rFonts w:ascii="Times New Roman" w:hAnsi="Times New Roman" w:cs="Times New Roman"/>
                <w:bCs/>
                <w:iCs/>
                <w:sz w:val="24"/>
                <w:szCs w:val="24"/>
              </w:rPr>
            </w:pPr>
            <w:r>
              <w:rPr>
                <w:rFonts w:ascii="Times New Roman" w:hAnsi="Times New Roman" w:cs="Times New Roman"/>
                <w:bCs/>
                <w:iCs/>
                <w:sz w:val="24"/>
                <w:szCs w:val="24"/>
              </w:rPr>
              <w:t>72.3 ± 13.8*</w:t>
            </w:r>
          </w:p>
        </w:tc>
      </w:tr>
      <w:tr w:rsidR="00BA0599" w14:paraId="221A275C" w14:textId="77777777">
        <w:trPr>
          <w:jc w:val="center"/>
        </w:trPr>
        <w:tc>
          <w:tcPr>
            <w:tcW w:w="1930" w:type="dxa"/>
            <w:tcBorders>
              <w:top w:val="single" w:sz="4" w:space="0" w:color="000000"/>
              <w:left w:val="single" w:sz="4" w:space="0" w:color="000000"/>
              <w:bottom w:val="single" w:sz="4" w:space="0" w:color="000000"/>
              <w:right w:val="single" w:sz="4" w:space="0" w:color="000000"/>
            </w:tcBorders>
            <w:vAlign w:val="center"/>
          </w:tcPr>
          <w:p w14:paraId="4F7780D0" w14:textId="77777777" w:rsidR="00BA0599" w:rsidRDefault="00000000">
            <w:pPr>
              <w:spacing w:line="360" w:lineRule="auto"/>
              <w:jc w:val="both"/>
              <w:rPr>
                <w:rFonts w:ascii="Times New Roman" w:hAnsi="Times New Roman" w:cs="Times New Roman"/>
                <w:bCs/>
                <w:iCs/>
                <w:sz w:val="24"/>
                <w:szCs w:val="24"/>
              </w:rPr>
            </w:pPr>
            <w:r>
              <w:rPr>
                <w:rFonts w:ascii="Times New Roman" w:hAnsi="Times New Roman" w:cs="Times New Roman"/>
                <w:bCs/>
                <w:iCs/>
                <w:sz w:val="24"/>
                <w:szCs w:val="24"/>
              </w:rPr>
              <w:t>Vanillic acid alone</w:t>
            </w:r>
          </w:p>
        </w:tc>
        <w:tc>
          <w:tcPr>
            <w:tcW w:w="2893" w:type="dxa"/>
            <w:tcBorders>
              <w:top w:val="single" w:sz="4" w:space="0" w:color="000000"/>
              <w:left w:val="single" w:sz="4" w:space="0" w:color="000000"/>
              <w:bottom w:val="single" w:sz="4" w:space="0" w:color="000000"/>
              <w:right w:val="single" w:sz="4" w:space="0" w:color="000000"/>
            </w:tcBorders>
            <w:vAlign w:val="center"/>
          </w:tcPr>
          <w:p w14:paraId="36958B9F" w14:textId="77777777" w:rsidR="00BA0599" w:rsidRDefault="00000000">
            <w:pPr>
              <w:spacing w:line="360" w:lineRule="auto"/>
              <w:jc w:val="both"/>
              <w:rPr>
                <w:rFonts w:ascii="Times New Roman" w:hAnsi="Times New Roman" w:cs="Times New Roman"/>
                <w:bCs/>
                <w:iCs/>
                <w:sz w:val="24"/>
                <w:szCs w:val="24"/>
              </w:rPr>
            </w:pPr>
            <w:r>
              <w:rPr>
                <w:rFonts w:ascii="Times New Roman" w:hAnsi="Times New Roman" w:cs="Times New Roman"/>
                <w:bCs/>
                <w:iCs/>
                <w:sz w:val="24"/>
                <w:szCs w:val="24"/>
              </w:rPr>
              <w:t>92.6 ± 14.3</w:t>
            </w:r>
          </w:p>
        </w:tc>
      </w:tr>
    </w:tbl>
    <w:p w14:paraId="6064AAAB" w14:textId="77777777" w:rsidR="00BA0599" w:rsidRDefault="00000000">
      <w:pPr>
        <w:spacing w:line="360" w:lineRule="auto"/>
        <w:jc w:val="both"/>
        <w:rPr>
          <w:rFonts w:ascii="Times New Roman" w:hAnsi="Times New Roman" w:cs="Times New Roman"/>
          <w:b/>
          <w:bCs/>
          <w:iCs/>
          <w:sz w:val="24"/>
          <w:szCs w:val="24"/>
        </w:rPr>
      </w:pPr>
      <w:r>
        <w:rPr>
          <w:rFonts w:ascii="Times New Roman" w:hAnsi="Times New Roman" w:cs="Times New Roman"/>
          <w:bCs/>
          <w:iCs/>
          <w:sz w:val="24"/>
          <w:szCs w:val="24"/>
        </w:rPr>
        <w:t xml:space="preserve">Values are expressed as mean ± SD. * indicates significant difference at </w:t>
      </w:r>
      <w:r>
        <w:rPr>
          <w:rFonts w:ascii="Times New Roman" w:hAnsi="Times New Roman" w:cs="Times New Roman"/>
          <w:bCs/>
          <w:i/>
          <w:iCs/>
          <w:sz w:val="24"/>
          <w:szCs w:val="24"/>
        </w:rPr>
        <w:t>p</w:t>
      </w:r>
      <w:r>
        <w:rPr>
          <w:rFonts w:ascii="Times New Roman" w:hAnsi="Times New Roman" w:cs="Times New Roman"/>
          <w:bCs/>
          <w:iCs/>
          <w:sz w:val="24"/>
          <w:szCs w:val="24"/>
        </w:rPr>
        <w:t>&lt; 0.05 (DMRT).</w:t>
      </w:r>
    </w:p>
    <w:p w14:paraId="10F44F72" w14:textId="77777777" w:rsidR="00BA0599" w:rsidRDefault="00000000">
      <w:pPr>
        <w:spacing w:line="360" w:lineRule="auto"/>
        <w:jc w:val="both"/>
        <w:rPr>
          <w:rFonts w:ascii="Times New Roman" w:hAnsi="Times New Roman" w:cs="Times New Roman"/>
          <w:b/>
          <w:bCs/>
          <w:iCs/>
          <w:sz w:val="24"/>
          <w:szCs w:val="24"/>
        </w:rPr>
      </w:pPr>
      <w:r>
        <w:rPr>
          <w:rFonts w:ascii="Times New Roman" w:hAnsi="Times New Roman" w:cs="Times New Roman"/>
          <w:b/>
          <w:bCs/>
          <w:iCs/>
          <w:sz w:val="24"/>
          <w:szCs w:val="24"/>
        </w:rPr>
        <w:t>Phototaxis</w:t>
      </w:r>
    </w:p>
    <w:p w14:paraId="07987C6B" w14:textId="77777777" w:rsidR="00BA0599" w:rsidRDefault="00000000">
      <w:pPr>
        <w:spacing w:line="360" w:lineRule="auto"/>
        <w:jc w:val="both"/>
      </w:pPr>
      <w:r>
        <w:rPr>
          <w:rFonts w:ascii="Times New Roman" w:hAnsi="Times New Roman" w:cs="Times New Roman"/>
          <w:bCs/>
          <w:iCs/>
          <w:sz w:val="24"/>
          <w:szCs w:val="24"/>
        </w:rPr>
        <w:t xml:space="preserve">Under control conditions, a significantly greater proportion of flies migrated </w:t>
      </w:r>
      <w:r>
        <w:rPr>
          <w:rFonts w:ascii="Times New Roman" w:hAnsi="Times New Roman" w:cs="Times New Roman"/>
          <w:bCs/>
          <w:iCs/>
          <w:sz w:val="24"/>
          <w:szCs w:val="24"/>
          <w:highlight w:val="yellow"/>
        </w:rPr>
        <w:t>towards</w:t>
      </w:r>
      <w:r>
        <w:rPr>
          <w:rFonts w:ascii="Times New Roman" w:hAnsi="Times New Roman" w:cs="Times New Roman"/>
          <w:bCs/>
          <w:iCs/>
          <w:sz w:val="24"/>
          <w:szCs w:val="24"/>
        </w:rPr>
        <w:t xml:space="preserve"> the light source (compartment I). This phototactic response was markedly reduced in UV-treated flies, with a higher number of flies remaining in compartment II (</w:t>
      </w:r>
      <w:r>
        <w:rPr>
          <w:rFonts w:ascii="Times New Roman" w:hAnsi="Times New Roman" w:cs="Times New Roman"/>
          <w:bCs/>
          <w:i/>
          <w:iCs/>
          <w:sz w:val="24"/>
          <w:szCs w:val="24"/>
          <w:highlight w:val="yellow"/>
        </w:rPr>
        <w:t xml:space="preserve">p </w:t>
      </w:r>
      <w:r>
        <w:rPr>
          <w:rFonts w:ascii="Times New Roman" w:hAnsi="Times New Roman" w:cs="Times New Roman"/>
          <w:bCs/>
          <w:iCs/>
          <w:sz w:val="24"/>
          <w:szCs w:val="24"/>
        </w:rPr>
        <w:t xml:space="preserve">&lt; 0.05). In contrast, UV-exposed flies treated with vanillic acid demonstrated a significant recovery of phototactic </w:t>
      </w:r>
      <w:r>
        <w:rPr>
          <w:rFonts w:ascii="Times New Roman" w:hAnsi="Times New Roman" w:cs="Times New Roman"/>
          <w:bCs/>
          <w:iCs/>
          <w:sz w:val="24"/>
          <w:szCs w:val="24"/>
          <w:highlight w:val="yellow"/>
        </w:rPr>
        <w:t>behaviour</w:t>
      </w:r>
      <w:r>
        <w:rPr>
          <w:rFonts w:ascii="Times New Roman" w:hAnsi="Times New Roman" w:cs="Times New Roman"/>
          <w:bCs/>
          <w:iCs/>
          <w:sz w:val="24"/>
          <w:szCs w:val="24"/>
        </w:rPr>
        <w:t xml:space="preserve">, with increased movement </w:t>
      </w:r>
      <w:r>
        <w:rPr>
          <w:rFonts w:ascii="Times New Roman" w:hAnsi="Times New Roman" w:cs="Times New Roman"/>
          <w:bCs/>
          <w:iCs/>
          <w:sz w:val="24"/>
          <w:szCs w:val="24"/>
          <w:highlight w:val="yellow"/>
        </w:rPr>
        <w:t>towards</w:t>
      </w:r>
      <w:r>
        <w:rPr>
          <w:rFonts w:ascii="Times New Roman" w:hAnsi="Times New Roman" w:cs="Times New Roman"/>
          <w:bCs/>
          <w:iCs/>
          <w:sz w:val="24"/>
          <w:szCs w:val="24"/>
        </w:rPr>
        <w:t xml:space="preserve"> compartment I </w:t>
      </w:r>
      <w:r>
        <w:rPr>
          <w:rFonts w:ascii="Times New Roman" w:hAnsi="Times New Roman" w:cs="Times New Roman"/>
          <w:bCs/>
          <w:iCs/>
          <w:sz w:val="24"/>
          <w:szCs w:val="24"/>
          <w:highlight w:val="yellow"/>
        </w:rPr>
        <w:t>compared with UV-treated flies</w:t>
      </w:r>
      <w:r>
        <w:rPr>
          <w:rFonts w:ascii="Times New Roman" w:hAnsi="Times New Roman" w:cs="Times New Roman"/>
          <w:bCs/>
          <w:iCs/>
          <w:sz w:val="24"/>
          <w:szCs w:val="24"/>
        </w:rPr>
        <w:t xml:space="preserve"> (</w:t>
      </w:r>
      <w:r>
        <w:rPr>
          <w:rFonts w:ascii="Times New Roman" w:hAnsi="Times New Roman" w:cs="Times New Roman"/>
          <w:bCs/>
          <w:i/>
          <w:iCs/>
          <w:sz w:val="24"/>
          <w:szCs w:val="24"/>
          <w:highlight w:val="yellow"/>
        </w:rPr>
        <w:t xml:space="preserve">p </w:t>
      </w:r>
      <w:r>
        <w:rPr>
          <w:rFonts w:ascii="Times New Roman" w:hAnsi="Times New Roman" w:cs="Times New Roman"/>
          <w:bCs/>
          <w:iCs/>
          <w:sz w:val="24"/>
          <w:szCs w:val="24"/>
        </w:rPr>
        <w:t xml:space="preserve">&lt; 0.05). Vanillic acid alone did not significantly alter phototactic </w:t>
      </w:r>
      <w:r>
        <w:rPr>
          <w:rFonts w:ascii="Times New Roman" w:hAnsi="Times New Roman" w:cs="Times New Roman"/>
          <w:bCs/>
          <w:iCs/>
          <w:sz w:val="24"/>
          <w:szCs w:val="24"/>
          <w:highlight w:val="yellow"/>
        </w:rPr>
        <w:t>behaviour</w:t>
      </w:r>
      <w:r>
        <w:rPr>
          <w:rFonts w:ascii="Times New Roman" w:hAnsi="Times New Roman" w:cs="Times New Roman"/>
          <w:bCs/>
          <w:iCs/>
          <w:sz w:val="24"/>
          <w:szCs w:val="24"/>
        </w:rPr>
        <w:t xml:space="preserve"> relative to the control group (</w:t>
      </w:r>
      <w:r>
        <w:rPr>
          <w:rFonts w:ascii="Times New Roman" w:hAnsi="Times New Roman" w:cs="Times New Roman"/>
          <w:bCs/>
          <w:i/>
          <w:iCs/>
          <w:sz w:val="24"/>
          <w:szCs w:val="24"/>
          <w:highlight w:val="yellow"/>
        </w:rPr>
        <w:t xml:space="preserve">p </w:t>
      </w:r>
      <w:r>
        <w:rPr>
          <w:rFonts w:ascii="Times New Roman" w:hAnsi="Times New Roman" w:cs="Times New Roman"/>
          <w:bCs/>
          <w:iCs/>
          <w:sz w:val="24"/>
          <w:szCs w:val="24"/>
        </w:rPr>
        <w:t>&gt; 0.05; Table 2).</w:t>
      </w:r>
    </w:p>
    <w:p w14:paraId="7FE9CA97" w14:textId="77777777" w:rsidR="00BA0599" w:rsidRDefault="00BA0599">
      <w:pPr>
        <w:spacing w:line="360" w:lineRule="auto"/>
        <w:jc w:val="both"/>
        <w:rPr>
          <w:rFonts w:ascii="Times New Roman" w:hAnsi="Times New Roman" w:cs="Times New Roman"/>
          <w:b/>
          <w:bCs/>
          <w:iCs/>
          <w:sz w:val="24"/>
          <w:szCs w:val="24"/>
        </w:rPr>
      </w:pPr>
    </w:p>
    <w:p w14:paraId="470E0C20" w14:textId="77777777" w:rsidR="00BA0599" w:rsidRDefault="00000000">
      <w:pPr>
        <w:spacing w:line="360" w:lineRule="auto"/>
        <w:jc w:val="both"/>
        <w:rPr>
          <w:rFonts w:ascii="Times New Roman" w:hAnsi="Times New Roman" w:cs="Times New Roman"/>
          <w:b/>
          <w:bCs/>
          <w:iCs/>
          <w:sz w:val="24"/>
          <w:szCs w:val="24"/>
        </w:rPr>
      </w:pPr>
      <w:r>
        <w:rPr>
          <w:rFonts w:ascii="Times New Roman" w:hAnsi="Times New Roman" w:cs="Times New Roman"/>
          <w:b/>
          <w:bCs/>
          <w:iCs/>
          <w:sz w:val="24"/>
          <w:szCs w:val="24"/>
        </w:rPr>
        <w:t>Smell chemotaxis</w:t>
      </w:r>
    </w:p>
    <w:p w14:paraId="00F3F87A" w14:textId="77777777" w:rsidR="00BA0599" w:rsidRDefault="00000000">
      <w:pPr>
        <w:spacing w:line="360" w:lineRule="auto"/>
        <w:jc w:val="both"/>
      </w:pPr>
      <w:r>
        <w:rPr>
          <w:rFonts w:ascii="Times New Roman" w:hAnsi="Times New Roman" w:cs="Times New Roman"/>
          <w:bCs/>
          <w:iCs/>
          <w:sz w:val="24"/>
          <w:szCs w:val="24"/>
        </w:rPr>
        <w:t>Control flies exhibited strong avoidance of benzaldehyde, migrating predominantly to compartment III. This aversive response was significantly diminished in UV-treated flies (</w:t>
      </w:r>
      <w:r>
        <w:rPr>
          <w:rFonts w:ascii="Times New Roman" w:hAnsi="Times New Roman" w:cs="Times New Roman"/>
          <w:bCs/>
          <w:i/>
          <w:iCs/>
          <w:sz w:val="24"/>
          <w:szCs w:val="24"/>
          <w:highlight w:val="yellow"/>
        </w:rPr>
        <w:t xml:space="preserve">p </w:t>
      </w:r>
      <w:r>
        <w:rPr>
          <w:rFonts w:ascii="Times New Roman" w:hAnsi="Times New Roman" w:cs="Times New Roman"/>
          <w:bCs/>
          <w:iCs/>
          <w:sz w:val="24"/>
          <w:szCs w:val="24"/>
        </w:rPr>
        <w:t xml:space="preserve">&lt; 0.05). However, UV-exposed flies receiving vanillic acid demonstrated a significant restoration of avoidance </w:t>
      </w:r>
      <w:r>
        <w:rPr>
          <w:rFonts w:ascii="Times New Roman" w:hAnsi="Times New Roman" w:cs="Times New Roman"/>
          <w:bCs/>
          <w:iCs/>
          <w:sz w:val="24"/>
          <w:szCs w:val="24"/>
          <w:highlight w:val="yellow"/>
        </w:rPr>
        <w:t>behaviour</w:t>
      </w:r>
      <w:r>
        <w:rPr>
          <w:rFonts w:ascii="Times New Roman" w:hAnsi="Times New Roman" w:cs="Times New Roman"/>
          <w:bCs/>
          <w:iCs/>
          <w:sz w:val="24"/>
          <w:szCs w:val="24"/>
        </w:rPr>
        <w:t>, with increased accumulation in compartment III (</w:t>
      </w:r>
      <w:r>
        <w:rPr>
          <w:rFonts w:ascii="Times New Roman" w:hAnsi="Times New Roman" w:cs="Times New Roman"/>
          <w:bCs/>
          <w:i/>
          <w:iCs/>
          <w:sz w:val="24"/>
          <w:szCs w:val="24"/>
          <w:highlight w:val="yellow"/>
        </w:rPr>
        <w:t xml:space="preserve">p </w:t>
      </w:r>
      <w:r>
        <w:rPr>
          <w:rFonts w:ascii="Times New Roman" w:hAnsi="Times New Roman" w:cs="Times New Roman"/>
          <w:bCs/>
          <w:iCs/>
          <w:sz w:val="24"/>
          <w:szCs w:val="24"/>
        </w:rPr>
        <w:t>&lt; 0.05). Flies treated with vanillic acid alone displayed chemotactic responses similar to the WT control group.</w:t>
      </w:r>
    </w:p>
    <w:p w14:paraId="2A90136C" w14:textId="77777777" w:rsidR="00BA0599" w:rsidRDefault="00000000">
      <w:pPr>
        <w:spacing w:line="360" w:lineRule="auto"/>
        <w:jc w:val="both"/>
        <w:rPr>
          <w:rFonts w:ascii="Times New Roman" w:hAnsi="Times New Roman" w:cs="Times New Roman"/>
          <w:b/>
          <w:bCs/>
          <w:iCs/>
          <w:sz w:val="24"/>
          <w:szCs w:val="24"/>
        </w:rPr>
      </w:pPr>
      <w:r>
        <w:rPr>
          <w:rFonts w:ascii="Times New Roman" w:hAnsi="Times New Roman" w:cs="Times New Roman"/>
          <w:b/>
          <w:bCs/>
          <w:iCs/>
          <w:sz w:val="24"/>
          <w:szCs w:val="24"/>
        </w:rPr>
        <w:t>Taste chemotaxis</w:t>
      </w:r>
    </w:p>
    <w:p w14:paraId="7445EB6D" w14:textId="77777777" w:rsidR="00BA0599" w:rsidRDefault="00000000">
      <w:pPr>
        <w:spacing w:line="360" w:lineRule="auto"/>
        <w:jc w:val="both"/>
      </w:pPr>
      <w:r>
        <w:rPr>
          <w:rFonts w:ascii="Times New Roman" w:hAnsi="Times New Roman" w:cs="Times New Roman"/>
          <w:bCs/>
          <w:iCs/>
          <w:sz w:val="24"/>
          <w:szCs w:val="24"/>
        </w:rPr>
        <w:t xml:space="preserve">A higher proportion of control flies moved </w:t>
      </w:r>
      <w:r>
        <w:rPr>
          <w:rFonts w:ascii="Times New Roman" w:hAnsi="Times New Roman" w:cs="Times New Roman"/>
          <w:bCs/>
          <w:iCs/>
          <w:sz w:val="24"/>
          <w:szCs w:val="24"/>
          <w:highlight w:val="yellow"/>
        </w:rPr>
        <w:t>towards</w:t>
      </w:r>
      <w:r>
        <w:rPr>
          <w:rFonts w:ascii="Times New Roman" w:hAnsi="Times New Roman" w:cs="Times New Roman"/>
          <w:bCs/>
          <w:iCs/>
          <w:sz w:val="24"/>
          <w:szCs w:val="24"/>
        </w:rPr>
        <w:t xml:space="preserve"> the sucrose-containing compartment (compartment I), whereas UV-treated flies demonstrated reduced attraction and increased presence in compartment III (</w:t>
      </w:r>
      <w:r>
        <w:rPr>
          <w:rFonts w:ascii="Times New Roman" w:hAnsi="Times New Roman" w:cs="Times New Roman"/>
          <w:bCs/>
          <w:i/>
          <w:iCs/>
          <w:sz w:val="24"/>
          <w:szCs w:val="24"/>
          <w:highlight w:val="yellow"/>
        </w:rPr>
        <w:t xml:space="preserve">p </w:t>
      </w:r>
      <w:r>
        <w:rPr>
          <w:rFonts w:ascii="Times New Roman" w:hAnsi="Times New Roman" w:cs="Times New Roman"/>
          <w:bCs/>
          <w:iCs/>
          <w:sz w:val="24"/>
          <w:szCs w:val="24"/>
        </w:rPr>
        <w:t xml:space="preserve">&lt; 0.05). Vanillic acid supplementation restored sucrose-seeking </w:t>
      </w:r>
      <w:r>
        <w:rPr>
          <w:rFonts w:ascii="Times New Roman" w:hAnsi="Times New Roman" w:cs="Times New Roman"/>
          <w:bCs/>
          <w:iCs/>
          <w:sz w:val="24"/>
          <w:szCs w:val="24"/>
          <w:highlight w:val="yellow"/>
        </w:rPr>
        <w:t>behaviour</w:t>
      </w:r>
      <w:r>
        <w:rPr>
          <w:rFonts w:ascii="Times New Roman" w:hAnsi="Times New Roman" w:cs="Times New Roman"/>
          <w:bCs/>
          <w:iCs/>
          <w:sz w:val="24"/>
          <w:szCs w:val="24"/>
        </w:rPr>
        <w:t xml:space="preserve"> in UV-treated flies, with responses comparable to controls (</w:t>
      </w:r>
      <w:r>
        <w:rPr>
          <w:rFonts w:ascii="Times New Roman" w:hAnsi="Times New Roman" w:cs="Times New Roman"/>
          <w:bCs/>
          <w:i/>
          <w:iCs/>
          <w:sz w:val="24"/>
          <w:szCs w:val="24"/>
          <w:highlight w:val="yellow"/>
        </w:rPr>
        <w:t xml:space="preserve">p </w:t>
      </w:r>
      <w:r>
        <w:rPr>
          <w:rFonts w:ascii="Times New Roman" w:hAnsi="Times New Roman" w:cs="Times New Roman"/>
          <w:bCs/>
          <w:iCs/>
          <w:sz w:val="24"/>
          <w:szCs w:val="24"/>
        </w:rPr>
        <w:t>&gt; 0.05). Vanillic acid alone did not significantly alter taste chemotaxis.</w:t>
      </w:r>
    </w:p>
    <w:p w14:paraId="3965AE18" w14:textId="77777777" w:rsidR="00BA0599" w:rsidRDefault="00000000">
      <w:pPr>
        <w:spacing w:line="360" w:lineRule="auto"/>
        <w:jc w:val="both"/>
        <w:rPr>
          <w:rFonts w:ascii="Times New Roman" w:hAnsi="Times New Roman" w:cs="Times New Roman"/>
          <w:b/>
          <w:bCs/>
          <w:iCs/>
          <w:sz w:val="24"/>
          <w:szCs w:val="24"/>
        </w:rPr>
      </w:pPr>
      <w:r>
        <w:rPr>
          <w:rFonts w:ascii="Times New Roman" w:hAnsi="Times New Roman" w:cs="Times New Roman"/>
          <w:b/>
          <w:bCs/>
          <w:iCs/>
          <w:sz w:val="24"/>
          <w:szCs w:val="24"/>
        </w:rPr>
        <w:lastRenderedPageBreak/>
        <w:t>Thermotaxis</w:t>
      </w:r>
    </w:p>
    <w:p w14:paraId="0CD4A9C3" w14:textId="77777777" w:rsidR="00BA0599" w:rsidRDefault="00000000">
      <w:pPr>
        <w:spacing w:line="360" w:lineRule="auto"/>
        <w:jc w:val="both"/>
      </w:pPr>
      <w:r>
        <w:rPr>
          <w:rFonts w:ascii="Times New Roman" w:hAnsi="Times New Roman" w:cs="Times New Roman"/>
          <w:bCs/>
          <w:iCs/>
          <w:sz w:val="24"/>
          <w:szCs w:val="24"/>
        </w:rPr>
        <w:t xml:space="preserve">Control flies predominantly avoided the heated compartment, migrating </w:t>
      </w:r>
      <w:r>
        <w:rPr>
          <w:rFonts w:ascii="Times New Roman" w:hAnsi="Times New Roman" w:cs="Times New Roman"/>
          <w:bCs/>
          <w:iCs/>
          <w:sz w:val="24"/>
          <w:szCs w:val="24"/>
          <w:highlight w:val="yellow"/>
        </w:rPr>
        <w:t>towards</w:t>
      </w:r>
      <w:r>
        <w:rPr>
          <w:rFonts w:ascii="Times New Roman" w:hAnsi="Times New Roman" w:cs="Times New Roman"/>
          <w:bCs/>
          <w:iCs/>
          <w:sz w:val="24"/>
          <w:szCs w:val="24"/>
        </w:rPr>
        <w:t xml:space="preserve"> compartment I. UV exposure significantly impaired this thermotactic avoidance (</w:t>
      </w:r>
      <w:r>
        <w:rPr>
          <w:rFonts w:ascii="Times New Roman" w:hAnsi="Times New Roman" w:cs="Times New Roman"/>
          <w:bCs/>
          <w:i/>
          <w:iCs/>
          <w:sz w:val="24"/>
          <w:szCs w:val="24"/>
          <w:highlight w:val="yellow"/>
        </w:rPr>
        <w:t xml:space="preserve">p </w:t>
      </w:r>
      <w:r>
        <w:rPr>
          <w:rFonts w:ascii="Times New Roman" w:hAnsi="Times New Roman" w:cs="Times New Roman"/>
          <w:bCs/>
          <w:iCs/>
          <w:sz w:val="24"/>
          <w:szCs w:val="24"/>
        </w:rPr>
        <w:t xml:space="preserve">&lt; 0.05). </w:t>
      </w:r>
      <w:r>
        <w:rPr>
          <w:rFonts w:ascii="Times New Roman" w:hAnsi="Times New Roman" w:cs="Times New Roman"/>
          <w:bCs/>
          <w:iCs/>
          <w:sz w:val="24"/>
          <w:szCs w:val="24"/>
          <w:highlight w:val="yellow"/>
        </w:rPr>
        <w:t>Vanillic acid treatment of UV-exposed flies</w:t>
      </w:r>
      <w:r>
        <w:rPr>
          <w:rFonts w:ascii="Times New Roman" w:hAnsi="Times New Roman" w:cs="Times New Roman"/>
          <w:bCs/>
          <w:iCs/>
          <w:sz w:val="24"/>
          <w:szCs w:val="24"/>
        </w:rPr>
        <w:t xml:space="preserve"> significantly reversed this effect, restoring avoidance of the heated zone (</w:t>
      </w:r>
      <w:r>
        <w:rPr>
          <w:rFonts w:ascii="Times New Roman" w:hAnsi="Times New Roman" w:cs="Times New Roman"/>
          <w:bCs/>
          <w:i/>
          <w:iCs/>
          <w:sz w:val="24"/>
          <w:szCs w:val="24"/>
          <w:highlight w:val="yellow"/>
        </w:rPr>
        <w:t xml:space="preserve">p </w:t>
      </w:r>
      <w:r>
        <w:rPr>
          <w:rFonts w:ascii="Times New Roman" w:hAnsi="Times New Roman" w:cs="Times New Roman"/>
          <w:bCs/>
          <w:iCs/>
          <w:sz w:val="24"/>
          <w:szCs w:val="24"/>
        </w:rPr>
        <w:t xml:space="preserve">&lt; 0.05). </w:t>
      </w:r>
      <w:r>
        <w:rPr>
          <w:rFonts w:ascii="Times New Roman" w:hAnsi="Times New Roman" w:cs="Times New Roman"/>
          <w:bCs/>
          <w:iCs/>
          <w:sz w:val="24"/>
          <w:szCs w:val="24"/>
          <w:highlight w:val="yellow"/>
        </w:rPr>
        <w:t>No significant differences were observed between flies treated with vanillic acid alone and controls.</w:t>
      </w:r>
    </w:p>
    <w:p w14:paraId="5581458D" w14:textId="77777777" w:rsidR="00BA0599" w:rsidRDefault="00000000">
      <w:pPr>
        <w:spacing w:line="360" w:lineRule="auto"/>
        <w:jc w:val="both"/>
        <w:rPr>
          <w:rFonts w:ascii="Times New Roman" w:hAnsi="Times New Roman" w:cs="Times New Roman"/>
          <w:b/>
          <w:bCs/>
          <w:iCs/>
          <w:sz w:val="24"/>
          <w:szCs w:val="24"/>
        </w:rPr>
      </w:pPr>
      <w:proofErr w:type="spellStart"/>
      <w:r>
        <w:rPr>
          <w:rFonts w:ascii="Times New Roman" w:hAnsi="Times New Roman" w:cs="Times New Roman"/>
          <w:b/>
          <w:bCs/>
          <w:iCs/>
          <w:sz w:val="24"/>
          <w:szCs w:val="24"/>
        </w:rPr>
        <w:t>Hygrotaxis</w:t>
      </w:r>
      <w:proofErr w:type="spellEnd"/>
    </w:p>
    <w:p w14:paraId="5B561667" w14:textId="77777777" w:rsidR="00BA0599" w:rsidRDefault="00000000">
      <w:pPr>
        <w:spacing w:line="360" w:lineRule="auto"/>
        <w:jc w:val="both"/>
      </w:pPr>
      <w:r>
        <w:rPr>
          <w:rFonts w:ascii="Times New Roman" w:hAnsi="Times New Roman" w:cs="Times New Roman"/>
          <w:bCs/>
          <w:iCs/>
          <w:sz w:val="24"/>
          <w:szCs w:val="24"/>
        </w:rPr>
        <w:t xml:space="preserve">In the </w:t>
      </w:r>
      <w:proofErr w:type="spellStart"/>
      <w:r>
        <w:rPr>
          <w:rFonts w:ascii="Times New Roman" w:hAnsi="Times New Roman" w:cs="Times New Roman"/>
          <w:bCs/>
          <w:iCs/>
          <w:sz w:val="24"/>
          <w:szCs w:val="24"/>
        </w:rPr>
        <w:t>hygrotaxis</w:t>
      </w:r>
      <w:proofErr w:type="spellEnd"/>
      <w:r>
        <w:rPr>
          <w:rFonts w:ascii="Times New Roman" w:hAnsi="Times New Roman" w:cs="Times New Roman"/>
          <w:bCs/>
          <w:iCs/>
          <w:sz w:val="24"/>
          <w:szCs w:val="24"/>
        </w:rPr>
        <w:t xml:space="preserve"> assay, a significantly higher percentage of control flies migrated </w:t>
      </w:r>
      <w:r>
        <w:rPr>
          <w:rFonts w:ascii="Times New Roman" w:hAnsi="Times New Roman" w:cs="Times New Roman"/>
          <w:bCs/>
          <w:iCs/>
          <w:sz w:val="24"/>
          <w:szCs w:val="24"/>
          <w:highlight w:val="yellow"/>
        </w:rPr>
        <w:t>towards</w:t>
      </w:r>
      <w:r>
        <w:rPr>
          <w:rFonts w:ascii="Times New Roman" w:hAnsi="Times New Roman" w:cs="Times New Roman"/>
          <w:bCs/>
          <w:iCs/>
          <w:sz w:val="24"/>
          <w:szCs w:val="24"/>
        </w:rPr>
        <w:t xml:space="preserve"> the humid compartment </w:t>
      </w:r>
      <w:r>
        <w:rPr>
          <w:rFonts w:ascii="Times New Roman" w:hAnsi="Times New Roman" w:cs="Times New Roman"/>
          <w:bCs/>
          <w:iCs/>
          <w:sz w:val="24"/>
          <w:szCs w:val="24"/>
          <w:highlight w:val="yellow"/>
        </w:rPr>
        <w:t>compared with UV-treated flies</w:t>
      </w:r>
      <w:r>
        <w:rPr>
          <w:rFonts w:ascii="Times New Roman" w:hAnsi="Times New Roman" w:cs="Times New Roman"/>
          <w:bCs/>
          <w:iCs/>
          <w:sz w:val="24"/>
          <w:szCs w:val="24"/>
        </w:rPr>
        <w:t xml:space="preserve"> (</w:t>
      </w:r>
      <w:r>
        <w:rPr>
          <w:rFonts w:ascii="Times New Roman" w:hAnsi="Times New Roman" w:cs="Times New Roman"/>
          <w:bCs/>
          <w:i/>
          <w:iCs/>
          <w:sz w:val="24"/>
          <w:szCs w:val="24"/>
          <w:highlight w:val="yellow"/>
        </w:rPr>
        <w:t xml:space="preserve">p </w:t>
      </w:r>
      <w:r>
        <w:rPr>
          <w:rFonts w:ascii="Times New Roman" w:hAnsi="Times New Roman" w:cs="Times New Roman"/>
          <w:bCs/>
          <w:iCs/>
          <w:sz w:val="24"/>
          <w:szCs w:val="24"/>
        </w:rPr>
        <w:t xml:space="preserve">&lt; 0.05). UV-exposed flies receiving vanillic acid demonstrated a marked increase in movement </w:t>
      </w:r>
      <w:r>
        <w:rPr>
          <w:rFonts w:ascii="Times New Roman" w:hAnsi="Times New Roman" w:cs="Times New Roman"/>
          <w:bCs/>
          <w:iCs/>
          <w:sz w:val="24"/>
          <w:szCs w:val="24"/>
          <w:highlight w:val="yellow"/>
        </w:rPr>
        <w:t>towards</w:t>
      </w:r>
      <w:r>
        <w:rPr>
          <w:rFonts w:ascii="Times New Roman" w:hAnsi="Times New Roman" w:cs="Times New Roman"/>
          <w:bCs/>
          <w:iCs/>
          <w:sz w:val="24"/>
          <w:szCs w:val="24"/>
        </w:rPr>
        <w:t xml:space="preserve"> the humid zone (</w:t>
      </w:r>
      <w:r>
        <w:rPr>
          <w:rFonts w:ascii="Times New Roman" w:hAnsi="Times New Roman" w:cs="Times New Roman"/>
          <w:bCs/>
          <w:i/>
          <w:iCs/>
          <w:sz w:val="24"/>
          <w:szCs w:val="24"/>
          <w:highlight w:val="yellow"/>
        </w:rPr>
        <w:t xml:space="preserve">p </w:t>
      </w:r>
      <w:r>
        <w:rPr>
          <w:rFonts w:ascii="Times New Roman" w:hAnsi="Times New Roman" w:cs="Times New Roman"/>
          <w:bCs/>
          <w:iCs/>
          <w:sz w:val="24"/>
          <w:szCs w:val="24"/>
        </w:rPr>
        <w:t xml:space="preserve">&lt; 0.05). Vanillic acid alone elicited </w:t>
      </w:r>
      <w:proofErr w:type="spellStart"/>
      <w:r>
        <w:rPr>
          <w:rFonts w:ascii="Times New Roman" w:hAnsi="Times New Roman" w:cs="Times New Roman"/>
          <w:bCs/>
          <w:iCs/>
          <w:sz w:val="24"/>
          <w:szCs w:val="24"/>
        </w:rPr>
        <w:t>hygrotactic</w:t>
      </w:r>
      <w:proofErr w:type="spellEnd"/>
      <w:r>
        <w:rPr>
          <w:rFonts w:ascii="Times New Roman" w:hAnsi="Times New Roman" w:cs="Times New Roman"/>
          <w:bCs/>
          <w:iCs/>
          <w:sz w:val="24"/>
          <w:szCs w:val="24"/>
        </w:rPr>
        <w:t xml:space="preserve"> </w:t>
      </w:r>
      <w:r>
        <w:rPr>
          <w:rFonts w:ascii="Times New Roman" w:hAnsi="Times New Roman" w:cs="Times New Roman"/>
          <w:bCs/>
          <w:iCs/>
          <w:sz w:val="24"/>
          <w:szCs w:val="24"/>
          <w:highlight w:val="yellow"/>
        </w:rPr>
        <w:t>behaviour</w:t>
      </w:r>
      <w:r>
        <w:rPr>
          <w:rFonts w:ascii="Times New Roman" w:hAnsi="Times New Roman" w:cs="Times New Roman"/>
          <w:bCs/>
          <w:iCs/>
          <w:sz w:val="24"/>
          <w:szCs w:val="24"/>
        </w:rPr>
        <w:t xml:space="preserve"> comparable to the control group.</w:t>
      </w:r>
    </w:p>
    <w:p w14:paraId="10A641A4" w14:textId="77777777" w:rsidR="00BA0599" w:rsidRDefault="00BA0599">
      <w:pPr>
        <w:spacing w:line="360" w:lineRule="auto"/>
        <w:jc w:val="both"/>
        <w:rPr>
          <w:rFonts w:ascii="Times New Roman" w:hAnsi="Times New Roman" w:cs="Times New Roman"/>
          <w:b/>
          <w:bCs/>
          <w:iCs/>
          <w:sz w:val="24"/>
          <w:szCs w:val="24"/>
        </w:rPr>
      </w:pPr>
    </w:p>
    <w:p w14:paraId="5530EA59" w14:textId="77777777" w:rsidR="00BA0599" w:rsidRDefault="00BA0599">
      <w:pPr>
        <w:spacing w:line="360" w:lineRule="auto"/>
        <w:jc w:val="both"/>
        <w:rPr>
          <w:rFonts w:ascii="Times New Roman" w:hAnsi="Times New Roman" w:cs="Times New Roman"/>
          <w:b/>
          <w:bCs/>
          <w:iCs/>
          <w:sz w:val="24"/>
          <w:szCs w:val="24"/>
        </w:rPr>
      </w:pPr>
    </w:p>
    <w:p w14:paraId="509B33E5" w14:textId="77777777" w:rsidR="00BA0599" w:rsidRDefault="00BA0599">
      <w:pPr>
        <w:spacing w:line="360" w:lineRule="auto"/>
        <w:jc w:val="both"/>
        <w:rPr>
          <w:rFonts w:ascii="Times New Roman" w:hAnsi="Times New Roman" w:cs="Times New Roman"/>
          <w:b/>
          <w:bCs/>
          <w:iCs/>
          <w:sz w:val="24"/>
          <w:szCs w:val="24"/>
        </w:rPr>
      </w:pPr>
    </w:p>
    <w:p w14:paraId="6D22B0AE" w14:textId="77777777" w:rsidR="00BA0599" w:rsidRDefault="00BA0599">
      <w:pPr>
        <w:spacing w:line="360" w:lineRule="auto"/>
        <w:jc w:val="both"/>
        <w:rPr>
          <w:rFonts w:ascii="Times New Roman" w:hAnsi="Times New Roman" w:cs="Times New Roman"/>
          <w:b/>
          <w:bCs/>
          <w:iCs/>
          <w:sz w:val="24"/>
          <w:szCs w:val="24"/>
        </w:rPr>
      </w:pPr>
    </w:p>
    <w:p w14:paraId="66E0F0E7" w14:textId="77777777" w:rsidR="00BA0599" w:rsidRDefault="00BA0599">
      <w:pPr>
        <w:spacing w:line="360" w:lineRule="auto"/>
        <w:jc w:val="both"/>
        <w:rPr>
          <w:rFonts w:ascii="Times New Roman" w:hAnsi="Times New Roman" w:cs="Times New Roman"/>
          <w:b/>
          <w:bCs/>
          <w:iCs/>
          <w:sz w:val="24"/>
          <w:szCs w:val="24"/>
        </w:rPr>
      </w:pPr>
    </w:p>
    <w:p w14:paraId="5E86CB1F" w14:textId="77777777" w:rsidR="00BA0599" w:rsidRDefault="00000000">
      <w:pPr>
        <w:spacing w:line="360" w:lineRule="auto"/>
        <w:jc w:val="center"/>
      </w:pPr>
      <w:r>
        <w:rPr>
          <w:rFonts w:ascii="Times New Roman" w:hAnsi="Times New Roman" w:cs="Times New Roman"/>
          <w:b/>
          <w:bCs/>
          <w:iCs/>
          <w:sz w:val="24"/>
          <w:szCs w:val="24"/>
        </w:rPr>
        <w:t xml:space="preserve">Table 2. Distribution (%) of flies in </w:t>
      </w:r>
      <w:proofErr w:type="spellStart"/>
      <w:r>
        <w:rPr>
          <w:rFonts w:ascii="Times New Roman" w:hAnsi="Times New Roman" w:cs="Times New Roman"/>
          <w:b/>
          <w:bCs/>
          <w:iCs/>
          <w:sz w:val="24"/>
          <w:szCs w:val="24"/>
        </w:rPr>
        <w:t>behavior</w:t>
      </w:r>
      <w:r>
        <w:t>al</w:t>
      </w:r>
      <w:proofErr w:type="spellEnd"/>
      <w:r>
        <w:t xml:space="preserve"> assays</w:t>
      </w:r>
    </w:p>
    <w:tbl>
      <w:tblPr>
        <w:tblW w:w="9185" w:type="dxa"/>
        <w:tblLayout w:type="fixed"/>
        <w:tblLook w:val="0000" w:firstRow="0" w:lastRow="0" w:firstColumn="0" w:lastColumn="0" w:noHBand="0" w:noVBand="0"/>
      </w:tblPr>
      <w:tblGrid>
        <w:gridCol w:w="2296"/>
        <w:gridCol w:w="2296"/>
        <w:gridCol w:w="2296"/>
        <w:gridCol w:w="2297"/>
      </w:tblGrid>
      <w:tr w:rsidR="00BA0599" w14:paraId="77320E3B" w14:textId="77777777">
        <w:trPr>
          <w:trHeight w:val="194"/>
        </w:trPr>
        <w:tc>
          <w:tcPr>
            <w:tcW w:w="2296" w:type="dxa"/>
            <w:tcBorders>
              <w:top w:val="single" w:sz="4" w:space="0" w:color="000000"/>
              <w:left w:val="single" w:sz="4" w:space="0" w:color="000000"/>
              <w:bottom w:val="single" w:sz="4" w:space="0" w:color="000000"/>
              <w:right w:val="single" w:sz="4" w:space="0" w:color="000000"/>
            </w:tcBorders>
          </w:tcPr>
          <w:p w14:paraId="742B521B" w14:textId="77777777" w:rsidR="00BA0599" w:rsidRDefault="00000000">
            <w:pPr>
              <w:spacing w:after="0" w:line="240" w:lineRule="auto"/>
              <w:rPr>
                <w:rFonts w:ascii="Times New Roman" w:hAnsi="Times New Roman" w:cs="Times New Roman"/>
                <w:sz w:val="24"/>
                <w:szCs w:val="24"/>
                <w:lang w:val="en-US" w:eastAsia="en-IN"/>
              </w:rPr>
            </w:pPr>
            <w:r>
              <w:rPr>
                <w:rFonts w:ascii="Times New Roman" w:hAnsi="Times New Roman" w:cs="Times New Roman"/>
                <w:sz w:val="24"/>
                <w:szCs w:val="24"/>
                <w:lang w:val="en-US" w:eastAsia="en-IN"/>
              </w:rPr>
              <w:t> </w:t>
            </w:r>
          </w:p>
          <w:p w14:paraId="3CF9BA96" w14:textId="77777777" w:rsidR="00BA0599" w:rsidRDefault="00000000">
            <w:pPr>
              <w:spacing w:after="0" w:line="240" w:lineRule="auto"/>
              <w:jc w:val="both"/>
              <w:rPr>
                <w:rFonts w:ascii="Times New Roman" w:hAnsi="Times New Roman" w:cs="Times New Roman"/>
                <w:sz w:val="24"/>
                <w:szCs w:val="24"/>
                <w:lang w:val="en-US" w:eastAsia="en-IN"/>
              </w:rPr>
            </w:pPr>
            <w:r>
              <w:rPr>
                <w:rFonts w:ascii="Times New Roman" w:hAnsi="Times New Roman" w:cs="Times New Roman"/>
                <w:b/>
                <w:bCs/>
                <w:sz w:val="24"/>
                <w:szCs w:val="24"/>
                <w:lang w:val="en-US" w:eastAsia="en-IN"/>
              </w:rPr>
              <w:t>% of flies present in compartment</w:t>
            </w:r>
          </w:p>
        </w:tc>
        <w:tc>
          <w:tcPr>
            <w:tcW w:w="2296" w:type="dxa"/>
            <w:vMerge w:val="restart"/>
            <w:tcBorders>
              <w:top w:val="single" w:sz="4" w:space="0" w:color="000000"/>
              <w:left w:val="single" w:sz="4" w:space="0" w:color="000000"/>
              <w:bottom w:val="single" w:sz="4" w:space="0" w:color="000000"/>
              <w:right w:val="single" w:sz="4" w:space="0" w:color="000000"/>
            </w:tcBorders>
          </w:tcPr>
          <w:p w14:paraId="5377F22B" w14:textId="77777777" w:rsidR="00BA0599" w:rsidRDefault="00000000">
            <w:pPr>
              <w:spacing w:after="0" w:line="240" w:lineRule="auto"/>
              <w:jc w:val="both"/>
              <w:rPr>
                <w:rFonts w:ascii="Times New Roman" w:hAnsi="Times New Roman" w:cs="Times New Roman"/>
                <w:sz w:val="24"/>
                <w:szCs w:val="24"/>
                <w:lang w:val="en-US" w:eastAsia="en-IN"/>
              </w:rPr>
            </w:pPr>
            <w:r>
              <w:rPr>
                <w:rFonts w:ascii="Times New Roman" w:hAnsi="Times New Roman" w:cs="Times New Roman"/>
                <w:b/>
                <w:bCs/>
                <w:sz w:val="24"/>
                <w:szCs w:val="24"/>
                <w:lang w:val="en-US" w:eastAsia="en-IN"/>
              </w:rPr>
              <w:t>Compartment I</w:t>
            </w:r>
          </w:p>
          <w:p w14:paraId="3B92481E" w14:textId="77777777" w:rsidR="00BA0599" w:rsidRDefault="00000000">
            <w:pPr>
              <w:spacing w:after="0" w:line="240" w:lineRule="auto"/>
              <w:jc w:val="both"/>
              <w:rPr>
                <w:rFonts w:ascii="Times New Roman" w:hAnsi="Times New Roman" w:cs="Times New Roman"/>
                <w:sz w:val="24"/>
                <w:szCs w:val="24"/>
                <w:lang w:val="en-US" w:eastAsia="en-IN"/>
              </w:rPr>
            </w:pPr>
            <w:r>
              <w:rPr>
                <w:rFonts w:ascii="Times New Roman" w:hAnsi="Times New Roman" w:cs="Times New Roman"/>
                <w:b/>
                <w:bCs/>
                <w:sz w:val="24"/>
                <w:szCs w:val="24"/>
                <w:lang w:val="en-US" w:eastAsia="en-IN"/>
              </w:rPr>
              <w:t>(</w:t>
            </w:r>
            <w:proofErr w:type="spellStart"/>
            <w:r>
              <w:rPr>
                <w:rFonts w:ascii="Times New Roman" w:hAnsi="Times New Roman" w:cs="Times New Roman"/>
                <w:b/>
                <w:bCs/>
                <w:sz w:val="24"/>
                <w:szCs w:val="24"/>
                <w:lang w:val="en-US" w:eastAsia="en-IN"/>
              </w:rPr>
              <w:t>mean±SD</w:t>
            </w:r>
            <w:proofErr w:type="spellEnd"/>
            <w:r>
              <w:rPr>
                <w:rFonts w:ascii="Times New Roman" w:hAnsi="Times New Roman" w:cs="Times New Roman"/>
                <w:b/>
                <w:bCs/>
                <w:sz w:val="24"/>
                <w:szCs w:val="24"/>
                <w:lang w:val="en-US" w:eastAsia="en-IN"/>
              </w:rPr>
              <w:t>)</w:t>
            </w:r>
          </w:p>
        </w:tc>
        <w:tc>
          <w:tcPr>
            <w:tcW w:w="2296" w:type="dxa"/>
            <w:vMerge w:val="restart"/>
            <w:tcBorders>
              <w:top w:val="single" w:sz="4" w:space="0" w:color="000000"/>
              <w:left w:val="single" w:sz="4" w:space="0" w:color="000000"/>
              <w:bottom w:val="single" w:sz="4" w:space="0" w:color="000000"/>
              <w:right w:val="single" w:sz="4" w:space="0" w:color="000000"/>
            </w:tcBorders>
          </w:tcPr>
          <w:p w14:paraId="75E58155" w14:textId="77777777" w:rsidR="00BA0599" w:rsidRDefault="00000000">
            <w:pPr>
              <w:spacing w:after="0" w:line="240" w:lineRule="auto"/>
              <w:jc w:val="both"/>
              <w:rPr>
                <w:rFonts w:ascii="Times New Roman" w:hAnsi="Times New Roman" w:cs="Times New Roman"/>
                <w:sz w:val="24"/>
                <w:szCs w:val="24"/>
                <w:lang w:val="en-US" w:eastAsia="en-IN"/>
              </w:rPr>
            </w:pPr>
            <w:r>
              <w:rPr>
                <w:rFonts w:ascii="Times New Roman" w:hAnsi="Times New Roman" w:cs="Times New Roman"/>
                <w:b/>
                <w:bCs/>
                <w:sz w:val="24"/>
                <w:szCs w:val="24"/>
                <w:lang w:val="en-US" w:eastAsia="en-IN"/>
              </w:rPr>
              <w:t>Compartment II</w:t>
            </w:r>
          </w:p>
          <w:p w14:paraId="009FA34D" w14:textId="77777777" w:rsidR="00BA0599" w:rsidRDefault="00000000">
            <w:pPr>
              <w:spacing w:after="0" w:line="240" w:lineRule="auto"/>
              <w:jc w:val="both"/>
              <w:rPr>
                <w:rFonts w:ascii="Times New Roman" w:hAnsi="Times New Roman" w:cs="Times New Roman"/>
                <w:sz w:val="24"/>
                <w:szCs w:val="24"/>
                <w:lang w:val="en-US" w:eastAsia="en-IN"/>
              </w:rPr>
            </w:pPr>
            <w:r>
              <w:rPr>
                <w:rFonts w:ascii="Times New Roman" w:hAnsi="Times New Roman" w:cs="Times New Roman"/>
                <w:b/>
                <w:bCs/>
                <w:sz w:val="24"/>
                <w:szCs w:val="24"/>
                <w:lang w:val="en-US" w:eastAsia="en-IN"/>
              </w:rPr>
              <w:t>(</w:t>
            </w:r>
            <w:proofErr w:type="spellStart"/>
            <w:r>
              <w:rPr>
                <w:rFonts w:ascii="Times New Roman" w:hAnsi="Times New Roman" w:cs="Times New Roman"/>
                <w:b/>
                <w:bCs/>
                <w:sz w:val="24"/>
                <w:szCs w:val="24"/>
                <w:lang w:val="en-US" w:eastAsia="en-IN"/>
              </w:rPr>
              <w:t>mean±SD</w:t>
            </w:r>
            <w:proofErr w:type="spellEnd"/>
            <w:r>
              <w:rPr>
                <w:rFonts w:ascii="Times New Roman" w:hAnsi="Times New Roman" w:cs="Times New Roman"/>
                <w:b/>
                <w:bCs/>
                <w:sz w:val="24"/>
                <w:szCs w:val="24"/>
                <w:lang w:val="en-US" w:eastAsia="en-IN"/>
              </w:rPr>
              <w:t>)</w:t>
            </w:r>
          </w:p>
        </w:tc>
        <w:tc>
          <w:tcPr>
            <w:tcW w:w="2297" w:type="dxa"/>
            <w:vMerge w:val="restart"/>
            <w:tcBorders>
              <w:top w:val="single" w:sz="4" w:space="0" w:color="000000"/>
              <w:left w:val="single" w:sz="4" w:space="0" w:color="000000"/>
              <w:bottom w:val="single" w:sz="4" w:space="0" w:color="000000"/>
              <w:right w:val="single" w:sz="4" w:space="0" w:color="000000"/>
            </w:tcBorders>
          </w:tcPr>
          <w:p w14:paraId="0748798C" w14:textId="77777777" w:rsidR="00BA0599" w:rsidRDefault="00000000">
            <w:pPr>
              <w:spacing w:after="0" w:line="240" w:lineRule="auto"/>
              <w:jc w:val="both"/>
              <w:rPr>
                <w:rFonts w:ascii="Times New Roman" w:hAnsi="Times New Roman" w:cs="Times New Roman"/>
                <w:sz w:val="24"/>
                <w:szCs w:val="24"/>
                <w:lang w:val="en-US" w:eastAsia="en-IN"/>
              </w:rPr>
            </w:pPr>
            <w:r>
              <w:rPr>
                <w:rFonts w:ascii="Times New Roman" w:hAnsi="Times New Roman" w:cs="Times New Roman"/>
                <w:b/>
                <w:bCs/>
                <w:sz w:val="24"/>
                <w:szCs w:val="24"/>
                <w:lang w:val="en-US" w:eastAsia="en-IN"/>
              </w:rPr>
              <w:t>Compartment III</w:t>
            </w:r>
          </w:p>
          <w:p w14:paraId="026BA8A9" w14:textId="77777777" w:rsidR="00BA0599" w:rsidRDefault="00000000">
            <w:pPr>
              <w:spacing w:after="0" w:line="240" w:lineRule="auto"/>
              <w:jc w:val="both"/>
              <w:rPr>
                <w:rFonts w:ascii="Times New Roman" w:hAnsi="Times New Roman" w:cs="Times New Roman"/>
                <w:sz w:val="24"/>
                <w:szCs w:val="24"/>
                <w:lang w:val="en-US" w:eastAsia="en-IN"/>
              </w:rPr>
            </w:pPr>
            <w:r>
              <w:rPr>
                <w:rFonts w:ascii="Times New Roman" w:hAnsi="Times New Roman" w:cs="Times New Roman"/>
                <w:b/>
                <w:bCs/>
                <w:sz w:val="24"/>
                <w:szCs w:val="24"/>
                <w:lang w:val="en-US" w:eastAsia="en-IN"/>
              </w:rPr>
              <w:t>(</w:t>
            </w:r>
            <w:proofErr w:type="spellStart"/>
            <w:r>
              <w:rPr>
                <w:rFonts w:ascii="Times New Roman" w:hAnsi="Times New Roman" w:cs="Times New Roman"/>
                <w:b/>
                <w:bCs/>
                <w:sz w:val="24"/>
                <w:szCs w:val="24"/>
                <w:lang w:val="en-US" w:eastAsia="en-IN"/>
              </w:rPr>
              <w:t>mean±SD</w:t>
            </w:r>
            <w:proofErr w:type="spellEnd"/>
            <w:r>
              <w:rPr>
                <w:rFonts w:ascii="Times New Roman" w:hAnsi="Times New Roman" w:cs="Times New Roman"/>
                <w:b/>
                <w:bCs/>
                <w:sz w:val="24"/>
                <w:szCs w:val="24"/>
                <w:lang w:val="en-US" w:eastAsia="en-IN"/>
              </w:rPr>
              <w:t>)</w:t>
            </w:r>
          </w:p>
        </w:tc>
      </w:tr>
      <w:tr w:rsidR="00BA0599" w14:paraId="0642EB4E" w14:textId="77777777">
        <w:trPr>
          <w:trHeight w:val="148"/>
        </w:trPr>
        <w:tc>
          <w:tcPr>
            <w:tcW w:w="2296" w:type="dxa"/>
            <w:tcBorders>
              <w:top w:val="single" w:sz="4" w:space="0" w:color="000000"/>
              <w:left w:val="single" w:sz="4" w:space="0" w:color="000000"/>
              <w:bottom w:val="single" w:sz="4" w:space="0" w:color="000000"/>
              <w:right w:val="single" w:sz="4" w:space="0" w:color="000000"/>
            </w:tcBorders>
          </w:tcPr>
          <w:p w14:paraId="5658E3C9" w14:textId="77777777" w:rsidR="00BA0599" w:rsidRDefault="00000000">
            <w:pPr>
              <w:spacing w:after="0" w:line="240" w:lineRule="auto"/>
              <w:jc w:val="both"/>
              <w:rPr>
                <w:rFonts w:ascii="Times New Roman" w:hAnsi="Times New Roman" w:cs="Times New Roman"/>
                <w:sz w:val="24"/>
                <w:szCs w:val="24"/>
                <w:lang w:val="en-US" w:eastAsia="en-IN"/>
              </w:rPr>
            </w:pPr>
            <w:proofErr w:type="spellStart"/>
            <w:r>
              <w:rPr>
                <w:rFonts w:ascii="Times New Roman" w:hAnsi="Times New Roman" w:cs="Times New Roman"/>
                <w:b/>
                <w:bCs/>
                <w:sz w:val="24"/>
                <w:szCs w:val="24"/>
                <w:lang w:val="en-US" w:eastAsia="en-IN"/>
              </w:rPr>
              <w:t>Behavioural</w:t>
            </w:r>
            <w:proofErr w:type="spellEnd"/>
            <w:r>
              <w:rPr>
                <w:rFonts w:ascii="Times New Roman" w:hAnsi="Times New Roman" w:cs="Times New Roman"/>
                <w:b/>
                <w:bCs/>
                <w:sz w:val="24"/>
                <w:szCs w:val="24"/>
                <w:lang w:val="en-US" w:eastAsia="en-IN"/>
              </w:rPr>
              <w:t xml:space="preserve"> assay</w:t>
            </w:r>
          </w:p>
        </w:tc>
        <w:tc>
          <w:tcPr>
            <w:tcW w:w="2296" w:type="dxa"/>
            <w:vMerge/>
            <w:tcBorders>
              <w:top w:val="single" w:sz="4" w:space="0" w:color="000000"/>
              <w:left w:val="single" w:sz="4" w:space="0" w:color="000000"/>
              <w:bottom w:val="single" w:sz="4" w:space="0" w:color="000000"/>
              <w:right w:val="single" w:sz="4" w:space="0" w:color="000000"/>
            </w:tcBorders>
          </w:tcPr>
          <w:p w14:paraId="2B277003" w14:textId="77777777" w:rsidR="00BA0599" w:rsidRDefault="00BA0599">
            <w:pPr>
              <w:snapToGrid w:val="0"/>
              <w:spacing w:after="0"/>
              <w:rPr>
                <w:rFonts w:ascii="Times New Roman" w:hAnsi="Times New Roman" w:cs="Times New Roman"/>
                <w:sz w:val="24"/>
                <w:szCs w:val="24"/>
                <w:lang w:val="en-US" w:eastAsia="en-IN"/>
              </w:rPr>
            </w:pPr>
          </w:p>
        </w:tc>
        <w:tc>
          <w:tcPr>
            <w:tcW w:w="2296" w:type="dxa"/>
            <w:vMerge/>
            <w:tcBorders>
              <w:top w:val="single" w:sz="4" w:space="0" w:color="000000"/>
              <w:left w:val="single" w:sz="4" w:space="0" w:color="000000"/>
              <w:bottom w:val="single" w:sz="4" w:space="0" w:color="000000"/>
              <w:right w:val="single" w:sz="4" w:space="0" w:color="000000"/>
            </w:tcBorders>
          </w:tcPr>
          <w:p w14:paraId="2300DC56" w14:textId="77777777" w:rsidR="00BA0599" w:rsidRDefault="00BA0599">
            <w:pPr>
              <w:snapToGrid w:val="0"/>
              <w:spacing w:after="0"/>
              <w:rPr>
                <w:lang w:val="en-US"/>
              </w:rPr>
            </w:pPr>
          </w:p>
        </w:tc>
        <w:tc>
          <w:tcPr>
            <w:tcW w:w="2297" w:type="dxa"/>
            <w:vMerge/>
            <w:tcBorders>
              <w:top w:val="single" w:sz="4" w:space="0" w:color="000000"/>
              <w:left w:val="single" w:sz="4" w:space="0" w:color="000000"/>
              <w:bottom w:val="single" w:sz="4" w:space="0" w:color="000000"/>
              <w:right w:val="single" w:sz="4" w:space="0" w:color="000000"/>
            </w:tcBorders>
          </w:tcPr>
          <w:p w14:paraId="7311A063" w14:textId="77777777" w:rsidR="00BA0599" w:rsidRDefault="00BA0599">
            <w:pPr>
              <w:snapToGrid w:val="0"/>
              <w:spacing w:after="0"/>
              <w:rPr>
                <w:lang w:val="en-US"/>
              </w:rPr>
            </w:pPr>
          </w:p>
        </w:tc>
      </w:tr>
      <w:tr w:rsidR="00BA0599" w14:paraId="3B5E593B" w14:textId="77777777">
        <w:trPr>
          <w:trHeight w:val="280"/>
        </w:trPr>
        <w:tc>
          <w:tcPr>
            <w:tcW w:w="9185" w:type="dxa"/>
            <w:gridSpan w:val="4"/>
            <w:tcBorders>
              <w:top w:val="single" w:sz="4" w:space="0" w:color="000000"/>
              <w:left w:val="single" w:sz="4" w:space="0" w:color="000000"/>
              <w:bottom w:val="single" w:sz="4" w:space="0" w:color="000000"/>
              <w:right w:val="single" w:sz="4" w:space="0" w:color="000000"/>
            </w:tcBorders>
          </w:tcPr>
          <w:p w14:paraId="5049D432" w14:textId="77777777" w:rsidR="00BA0599" w:rsidRDefault="00000000">
            <w:pPr>
              <w:spacing w:after="0"/>
              <w:rPr>
                <w:lang w:val="en-US"/>
              </w:rPr>
            </w:pPr>
            <w:r>
              <w:rPr>
                <w:rFonts w:ascii="Times New Roman" w:hAnsi="Times New Roman" w:cs="Times New Roman"/>
                <w:b/>
                <w:bCs/>
                <w:sz w:val="24"/>
                <w:szCs w:val="24"/>
                <w:lang w:val="en-US" w:eastAsia="en-IN"/>
              </w:rPr>
              <w:t>Phototaxis</w:t>
            </w:r>
          </w:p>
        </w:tc>
      </w:tr>
      <w:tr w:rsidR="00BA0599" w14:paraId="722E3264" w14:textId="77777777">
        <w:trPr>
          <w:trHeight w:val="205"/>
        </w:trPr>
        <w:tc>
          <w:tcPr>
            <w:tcW w:w="2296" w:type="dxa"/>
            <w:tcBorders>
              <w:top w:val="single" w:sz="4" w:space="0" w:color="000000"/>
              <w:left w:val="single" w:sz="4" w:space="0" w:color="000000"/>
              <w:bottom w:val="single" w:sz="4" w:space="0" w:color="000000"/>
              <w:right w:val="single" w:sz="4" w:space="0" w:color="000000"/>
            </w:tcBorders>
          </w:tcPr>
          <w:p w14:paraId="2D9208D2" w14:textId="77777777" w:rsidR="00BA0599" w:rsidRDefault="00000000">
            <w:pPr>
              <w:spacing w:after="0" w:line="240" w:lineRule="auto"/>
              <w:jc w:val="both"/>
              <w:rPr>
                <w:rFonts w:ascii="Times New Roman" w:hAnsi="Times New Roman" w:cs="Times New Roman"/>
                <w:sz w:val="24"/>
                <w:szCs w:val="24"/>
                <w:lang w:val="en-US" w:eastAsia="en-IN"/>
              </w:rPr>
            </w:pPr>
            <w:r>
              <w:rPr>
                <w:rFonts w:ascii="Times New Roman" w:hAnsi="Times New Roman" w:cs="Times New Roman"/>
                <w:sz w:val="24"/>
                <w:szCs w:val="24"/>
                <w:lang w:val="en-US" w:eastAsia="en-IN"/>
              </w:rPr>
              <w:t>WT (control)</w:t>
            </w:r>
          </w:p>
        </w:tc>
        <w:tc>
          <w:tcPr>
            <w:tcW w:w="2296" w:type="dxa"/>
            <w:tcBorders>
              <w:top w:val="single" w:sz="4" w:space="0" w:color="000000"/>
              <w:left w:val="single" w:sz="4" w:space="0" w:color="000000"/>
              <w:bottom w:val="single" w:sz="4" w:space="0" w:color="000000"/>
              <w:right w:val="single" w:sz="4" w:space="0" w:color="000000"/>
            </w:tcBorders>
          </w:tcPr>
          <w:p w14:paraId="566938B4" w14:textId="77777777" w:rsidR="00BA0599" w:rsidRDefault="00000000">
            <w:pPr>
              <w:spacing w:after="0" w:line="240" w:lineRule="auto"/>
              <w:jc w:val="both"/>
              <w:rPr>
                <w:rFonts w:ascii="Times New Roman" w:hAnsi="Times New Roman" w:cs="Times New Roman"/>
                <w:sz w:val="24"/>
                <w:szCs w:val="24"/>
                <w:lang w:val="en-US" w:eastAsia="en-IN"/>
              </w:rPr>
            </w:pPr>
            <w:r>
              <w:rPr>
                <w:rFonts w:ascii="Times New Roman" w:hAnsi="Times New Roman" w:cs="Times New Roman"/>
                <w:sz w:val="24"/>
                <w:szCs w:val="24"/>
                <w:lang w:val="en-US" w:eastAsia="en-IN"/>
              </w:rPr>
              <w:t>87.6±4.0</w:t>
            </w:r>
            <w:r>
              <w:rPr>
                <w:rFonts w:ascii="Times New Roman" w:hAnsi="Times New Roman" w:cs="Times New Roman"/>
                <w:sz w:val="24"/>
                <w:szCs w:val="24"/>
                <w:vertAlign w:val="superscript"/>
                <w:lang w:val="en-US" w:eastAsia="en-IN"/>
              </w:rPr>
              <w:t>1</w:t>
            </w:r>
          </w:p>
        </w:tc>
        <w:tc>
          <w:tcPr>
            <w:tcW w:w="2296" w:type="dxa"/>
            <w:tcBorders>
              <w:top w:val="single" w:sz="4" w:space="0" w:color="000000"/>
              <w:left w:val="single" w:sz="4" w:space="0" w:color="000000"/>
              <w:bottom w:val="single" w:sz="4" w:space="0" w:color="000000"/>
              <w:right w:val="single" w:sz="4" w:space="0" w:color="000000"/>
            </w:tcBorders>
          </w:tcPr>
          <w:p w14:paraId="1DB1381F" w14:textId="77777777" w:rsidR="00BA0599" w:rsidRDefault="00000000">
            <w:pPr>
              <w:spacing w:after="0" w:line="240" w:lineRule="auto"/>
              <w:jc w:val="both"/>
              <w:rPr>
                <w:rFonts w:ascii="Times New Roman" w:hAnsi="Times New Roman" w:cs="Times New Roman"/>
                <w:sz w:val="24"/>
                <w:szCs w:val="24"/>
                <w:lang w:val="en-US" w:eastAsia="en-IN"/>
              </w:rPr>
            </w:pPr>
            <w:r>
              <w:rPr>
                <w:rFonts w:ascii="Times New Roman" w:hAnsi="Times New Roman" w:cs="Times New Roman"/>
                <w:sz w:val="24"/>
                <w:szCs w:val="24"/>
                <w:lang w:val="en-US" w:eastAsia="en-IN"/>
              </w:rPr>
              <w:t>22.3±3.6</w:t>
            </w:r>
            <w:r>
              <w:rPr>
                <w:rFonts w:ascii="Times New Roman" w:hAnsi="Times New Roman" w:cs="Times New Roman"/>
                <w:sz w:val="24"/>
                <w:szCs w:val="24"/>
                <w:vertAlign w:val="superscript"/>
                <w:lang w:val="en-US" w:eastAsia="en-IN"/>
              </w:rPr>
              <w:t>1</w:t>
            </w:r>
          </w:p>
        </w:tc>
        <w:tc>
          <w:tcPr>
            <w:tcW w:w="2297" w:type="dxa"/>
            <w:tcBorders>
              <w:top w:val="single" w:sz="4" w:space="0" w:color="000000"/>
              <w:left w:val="single" w:sz="4" w:space="0" w:color="000000"/>
              <w:bottom w:val="single" w:sz="4" w:space="0" w:color="000000"/>
              <w:right w:val="single" w:sz="4" w:space="0" w:color="000000"/>
            </w:tcBorders>
          </w:tcPr>
          <w:p w14:paraId="32C2B1DD" w14:textId="77777777" w:rsidR="00BA0599" w:rsidRDefault="00000000">
            <w:pPr>
              <w:spacing w:after="0" w:line="240" w:lineRule="auto"/>
              <w:jc w:val="both"/>
              <w:rPr>
                <w:rFonts w:ascii="Times New Roman" w:hAnsi="Times New Roman" w:cs="Times New Roman"/>
                <w:sz w:val="24"/>
                <w:szCs w:val="24"/>
                <w:lang w:val="en-US" w:eastAsia="en-IN"/>
              </w:rPr>
            </w:pPr>
            <w:r>
              <w:rPr>
                <w:rFonts w:ascii="Times New Roman" w:hAnsi="Times New Roman" w:cs="Times New Roman"/>
                <w:sz w:val="24"/>
                <w:szCs w:val="24"/>
                <w:lang w:val="en-US" w:eastAsia="en-IN"/>
              </w:rPr>
              <w:t>6.4±1.2</w:t>
            </w:r>
            <w:r>
              <w:rPr>
                <w:rFonts w:ascii="Times New Roman" w:hAnsi="Times New Roman" w:cs="Times New Roman"/>
                <w:sz w:val="24"/>
                <w:szCs w:val="24"/>
                <w:vertAlign w:val="superscript"/>
                <w:lang w:val="en-US" w:eastAsia="en-IN"/>
              </w:rPr>
              <w:t>1</w:t>
            </w:r>
          </w:p>
        </w:tc>
      </w:tr>
      <w:tr w:rsidR="00BA0599" w14:paraId="631E870F" w14:textId="77777777">
        <w:trPr>
          <w:trHeight w:val="217"/>
        </w:trPr>
        <w:tc>
          <w:tcPr>
            <w:tcW w:w="2296" w:type="dxa"/>
            <w:tcBorders>
              <w:top w:val="single" w:sz="4" w:space="0" w:color="000000"/>
              <w:left w:val="single" w:sz="4" w:space="0" w:color="000000"/>
              <w:bottom w:val="single" w:sz="4" w:space="0" w:color="000000"/>
              <w:right w:val="single" w:sz="4" w:space="0" w:color="000000"/>
            </w:tcBorders>
          </w:tcPr>
          <w:p w14:paraId="71500EA0" w14:textId="77777777" w:rsidR="00BA0599" w:rsidRDefault="00000000">
            <w:pPr>
              <w:spacing w:after="0" w:line="240" w:lineRule="auto"/>
              <w:jc w:val="both"/>
              <w:rPr>
                <w:rFonts w:ascii="Times New Roman" w:hAnsi="Times New Roman" w:cs="Times New Roman"/>
                <w:sz w:val="24"/>
                <w:szCs w:val="24"/>
                <w:lang w:val="en-US" w:eastAsia="en-IN"/>
              </w:rPr>
            </w:pPr>
            <w:r>
              <w:rPr>
                <w:rFonts w:ascii="Times New Roman" w:hAnsi="Times New Roman" w:cs="Times New Roman"/>
                <w:sz w:val="24"/>
                <w:szCs w:val="24"/>
                <w:lang w:val="en-US" w:eastAsia="en-IN"/>
              </w:rPr>
              <w:t>UV treated</w:t>
            </w:r>
          </w:p>
        </w:tc>
        <w:tc>
          <w:tcPr>
            <w:tcW w:w="2296" w:type="dxa"/>
            <w:tcBorders>
              <w:top w:val="single" w:sz="4" w:space="0" w:color="000000"/>
              <w:left w:val="single" w:sz="4" w:space="0" w:color="000000"/>
              <w:bottom w:val="single" w:sz="4" w:space="0" w:color="000000"/>
              <w:right w:val="single" w:sz="4" w:space="0" w:color="000000"/>
            </w:tcBorders>
          </w:tcPr>
          <w:p w14:paraId="274E0A56" w14:textId="77777777" w:rsidR="00BA0599" w:rsidRDefault="00000000">
            <w:pPr>
              <w:spacing w:after="0" w:line="240" w:lineRule="auto"/>
              <w:jc w:val="both"/>
              <w:rPr>
                <w:rFonts w:ascii="Times New Roman" w:hAnsi="Times New Roman" w:cs="Times New Roman"/>
                <w:sz w:val="24"/>
                <w:szCs w:val="24"/>
                <w:lang w:val="en-US" w:eastAsia="en-IN"/>
              </w:rPr>
            </w:pPr>
            <w:r>
              <w:rPr>
                <w:rFonts w:ascii="Times New Roman" w:hAnsi="Times New Roman" w:cs="Times New Roman"/>
                <w:sz w:val="24"/>
                <w:szCs w:val="24"/>
                <w:lang w:val="en-US" w:eastAsia="en-IN"/>
              </w:rPr>
              <w:t>72.8±4.5</w:t>
            </w:r>
            <w:r>
              <w:rPr>
                <w:rFonts w:ascii="Times New Roman" w:hAnsi="Times New Roman" w:cs="Times New Roman"/>
                <w:sz w:val="24"/>
                <w:szCs w:val="24"/>
                <w:vertAlign w:val="superscript"/>
                <w:lang w:val="en-US" w:eastAsia="en-IN"/>
              </w:rPr>
              <w:t>2</w:t>
            </w:r>
          </w:p>
        </w:tc>
        <w:tc>
          <w:tcPr>
            <w:tcW w:w="2296" w:type="dxa"/>
            <w:tcBorders>
              <w:top w:val="single" w:sz="4" w:space="0" w:color="000000"/>
              <w:left w:val="single" w:sz="4" w:space="0" w:color="000000"/>
              <w:bottom w:val="single" w:sz="4" w:space="0" w:color="000000"/>
              <w:right w:val="single" w:sz="4" w:space="0" w:color="000000"/>
            </w:tcBorders>
          </w:tcPr>
          <w:p w14:paraId="77EF429B" w14:textId="77777777" w:rsidR="00BA0599" w:rsidRDefault="00000000">
            <w:pPr>
              <w:spacing w:after="0" w:line="240" w:lineRule="auto"/>
              <w:jc w:val="both"/>
              <w:rPr>
                <w:rFonts w:ascii="Times New Roman" w:hAnsi="Times New Roman" w:cs="Times New Roman"/>
                <w:sz w:val="24"/>
                <w:szCs w:val="24"/>
                <w:lang w:val="en-US" w:eastAsia="en-IN"/>
              </w:rPr>
            </w:pPr>
            <w:r>
              <w:rPr>
                <w:rFonts w:ascii="Times New Roman" w:hAnsi="Times New Roman" w:cs="Times New Roman"/>
                <w:sz w:val="24"/>
                <w:szCs w:val="24"/>
                <w:lang w:val="en-US" w:eastAsia="en-IN"/>
              </w:rPr>
              <w:t>26.2±2.8</w:t>
            </w:r>
            <w:r>
              <w:rPr>
                <w:rFonts w:ascii="Times New Roman" w:hAnsi="Times New Roman" w:cs="Times New Roman"/>
                <w:sz w:val="24"/>
                <w:szCs w:val="24"/>
                <w:vertAlign w:val="superscript"/>
                <w:lang w:val="en-US" w:eastAsia="en-IN"/>
              </w:rPr>
              <w:t>2</w:t>
            </w:r>
          </w:p>
        </w:tc>
        <w:tc>
          <w:tcPr>
            <w:tcW w:w="2297" w:type="dxa"/>
            <w:tcBorders>
              <w:top w:val="single" w:sz="4" w:space="0" w:color="000000"/>
              <w:left w:val="single" w:sz="4" w:space="0" w:color="000000"/>
              <w:bottom w:val="single" w:sz="4" w:space="0" w:color="000000"/>
              <w:right w:val="single" w:sz="4" w:space="0" w:color="000000"/>
            </w:tcBorders>
          </w:tcPr>
          <w:p w14:paraId="30DB2B72" w14:textId="77777777" w:rsidR="00BA0599" w:rsidRDefault="00000000">
            <w:pPr>
              <w:spacing w:after="0" w:line="240" w:lineRule="auto"/>
              <w:jc w:val="both"/>
              <w:rPr>
                <w:rFonts w:ascii="Times New Roman" w:hAnsi="Times New Roman" w:cs="Times New Roman"/>
                <w:sz w:val="24"/>
                <w:szCs w:val="24"/>
                <w:lang w:val="en-US" w:eastAsia="en-IN"/>
              </w:rPr>
            </w:pPr>
            <w:r>
              <w:rPr>
                <w:rFonts w:ascii="Times New Roman" w:hAnsi="Times New Roman" w:cs="Times New Roman"/>
                <w:sz w:val="24"/>
                <w:szCs w:val="24"/>
                <w:lang w:val="en-US" w:eastAsia="en-IN"/>
              </w:rPr>
              <w:t>10.6±2.0</w:t>
            </w:r>
            <w:r>
              <w:rPr>
                <w:rFonts w:ascii="Times New Roman" w:hAnsi="Times New Roman" w:cs="Times New Roman"/>
                <w:sz w:val="24"/>
                <w:szCs w:val="24"/>
                <w:vertAlign w:val="superscript"/>
                <w:lang w:val="en-US" w:eastAsia="en-IN"/>
              </w:rPr>
              <w:t>2</w:t>
            </w:r>
          </w:p>
        </w:tc>
      </w:tr>
      <w:tr w:rsidR="00BA0599" w14:paraId="1BF24C2A" w14:textId="77777777">
        <w:trPr>
          <w:trHeight w:val="205"/>
        </w:trPr>
        <w:tc>
          <w:tcPr>
            <w:tcW w:w="2296" w:type="dxa"/>
            <w:tcBorders>
              <w:top w:val="single" w:sz="4" w:space="0" w:color="000000"/>
              <w:left w:val="single" w:sz="4" w:space="0" w:color="000000"/>
              <w:bottom w:val="single" w:sz="4" w:space="0" w:color="000000"/>
              <w:right w:val="single" w:sz="4" w:space="0" w:color="000000"/>
            </w:tcBorders>
          </w:tcPr>
          <w:p w14:paraId="253031B4" w14:textId="77777777" w:rsidR="00BA0599" w:rsidRDefault="00000000">
            <w:pPr>
              <w:spacing w:after="0" w:line="240" w:lineRule="auto"/>
              <w:jc w:val="both"/>
              <w:rPr>
                <w:rFonts w:ascii="Times New Roman" w:hAnsi="Times New Roman" w:cs="Times New Roman"/>
                <w:sz w:val="24"/>
                <w:szCs w:val="24"/>
                <w:lang w:val="en-US" w:eastAsia="en-IN"/>
              </w:rPr>
            </w:pPr>
            <w:r>
              <w:rPr>
                <w:rFonts w:ascii="Times New Roman" w:hAnsi="Times New Roman" w:cs="Times New Roman"/>
                <w:sz w:val="24"/>
                <w:szCs w:val="24"/>
                <w:lang w:val="en-US" w:eastAsia="en-IN"/>
              </w:rPr>
              <w:t>UV + Vanillic acid</w:t>
            </w:r>
          </w:p>
        </w:tc>
        <w:tc>
          <w:tcPr>
            <w:tcW w:w="2296" w:type="dxa"/>
            <w:tcBorders>
              <w:top w:val="single" w:sz="4" w:space="0" w:color="000000"/>
              <w:left w:val="single" w:sz="4" w:space="0" w:color="000000"/>
              <w:bottom w:val="single" w:sz="4" w:space="0" w:color="000000"/>
              <w:right w:val="single" w:sz="4" w:space="0" w:color="000000"/>
            </w:tcBorders>
          </w:tcPr>
          <w:p w14:paraId="44EF8568" w14:textId="77777777" w:rsidR="00BA0599" w:rsidRDefault="00000000">
            <w:pPr>
              <w:spacing w:after="0" w:line="240" w:lineRule="auto"/>
              <w:jc w:val="both"/>
              <w:rPr>
                <w:rFonts w:ascii="Times New Roman" w:hAnsi="Times New Roman" w:cs="Times New Roman"/>
                <w:sz w:val="24"/>
                <w:szCs w:val="24"/>
                <w:lang w:val="en-US" w:eastAsia="en-IN"/>
              </w:rPr>
            </w:pPr>
            <w:r>
              <w:rPr>
                <w:rFonts w:ascii="Times New Roman" w:hAnsi="Times New Roman" w:cs="Times New Roman"/>
                <w:sz w:val="24"/>
                <w:szCs w:val="24"/>
                <w:lang w:val="en-US" w:eastAsia="en-IN"/>
              </w:rPr>
              <w:t>83.4±3.2</w:t>
            </w:r>
            <w:r>
              <w:rPr>
                <w:rFonts w:ascii="Times New Roman" w:hAnsi="Times New Roman" w:cs="Times New Roman"/>
                <w:sz w:val="24"/>
                <w:szCs w:val="24"/>
                <w:vertAlign w:val="superscript"/>
                <w:lang w:val="en-US" w:eastAsia="en-IN"/>
              </w:rPr>
              <w:t>1</w:t>
            </w:r>
          </w:p>
        </w:tc>
        <w:tc>
          <w:tcPr>
            <w:tcW w:w="2296" w:type="dxa"/>
            <w:tcBorders>
              <w:top w:val="single" w:sz="4" w:space="0" w:color="000000"/>
              <w:left w:val="single" w:sz="4" w:space="0" w:color="000000"/>
              <w:bottom w:val="single" w:sz="4" w:space="0" w:color="000000"/>
              <w:right w:val="single" w:sz="4" w:space="0" w:color="000000"/>
            </w:tcBorders>
          </w:tcPr>
          <w:p w14:paraId="33DDB768" w14:textId="77777777" w:rsidR="00BA0599" w:rsidRDefault="00000000">
            <w:pPr>
              <w:spacing w:after="0" w:line="240" w:lineRule="auto"/>
              <w:jc w:val="both"/>
              <w:rPr>
                <w:rFonts w:ascii="Times New Roman" w:hAnsi="Times New Roman" w:cs="Times New Roman"/>
                <w:sz w:val="24"/>
                <w:szCs w:val="24"/>
                <w:lang w:val="en-US" w:eastAsia="en-IN"/>
              </w:rPr>
            </w:pPr>
            <w:r>
              <w:rPr>
                <w:rFonts w:ascii="Times New Roman" w:hAnsi="Times New Roman" w:cs="Times New Roman"/>
                <w:sz w:val="24"/>
                <w:szCs w:val="24"/>
                <w:lang w:val="en-US" w:eastAsia="en-IN"/>
              </w:rPr>
              <w:t>27.6±3.2</w:t>
            </w:r>
            <w:r>
              <w:rPr>
                <w:rFonts w:ascii="Times New Roman" w:hAnsi="Times New Roman" w:cs="Times New Roman"/>
                <w:sz w:val="24"/>
                <w:szCs w:val="24"/>
                <w:vertAlign w:val="superscript"/>
                <w:lang w:val="en-US" w:eastAsia="en-IN"/>
              </w:rPr>
              <w:t>1</w:t>
            </w:r>
          </w:p>
        </w:tc>
        <w:tc>
          <w:tcPr>
            <w:tcW w:w="2297" w:type="dxa"/>
            <w:tcBorders>
              <w:top w:val="single" w:sz="4" w:space="0" w:color="000000"/>
              <w:left w:val="single" w:sz="4" w:space="0" w:color="000000"/>
              <w:bottom w:val="single" w:sz="4" w:space="0" w:color="000000"/>
              <w:right w:val="single" w:sz="4" w:space="0" w:color="000000"/>
            </w:tcBorders>
          </w:tcPr>
          <w:p w14:paraId="5BD1D557" w14:textId="77777777" w:rsidR="00BA0599" w:rsidRDefault="00000000">
            <w:pPr>
              <w:spacing w:after="0" w:line="240" w:lineRule="auto"/>
              <w:jc w:val="both"/>
              <w:rPr>
                <w:rFonts w:ascii="Times New Roman" w:hAnsi="Times New Roman" w:cs="Times New Roman"/>
                <w:sz w:val="24"/>
                <w:szCs w:val="24"/>
                <w:lang w:val="en-US" w:eastAsia="en-IN"/>
              </w:rPr>
            </w:pPr>
            <w:r>
              <w:rPr>
                <w:rFonts w:ascii="Times New Roman" w:hAnsi="Times New Roman" w:cs="Times New Roman"/>
                <w:sz w:val="24"/>
                <w:szCs w:val="24"/>
                <w:lang w:val="en-US" w:eastAsia="en-IN"/>
              </w:rPr>
              <w:t>8.3±1.7</w:t>
            </w:r>
            <w:r>
              <w:rPr>
                <w:rFonts w:ascii="Times New Roman" w:hAnsi="Times New Roman" w:cs="Times New Roman"/>
                <w:sz w:val="24"/>
                <w:szCs w:val="24"/>
                <w:vertAlign w:val="superscript"/>
                <w:lang w:val="en-US" w:eastAsia="en-IN"/>
              </w:rPr>
              <w:t>1</w:t>
            </w:r>
          </w:p>
        </w:tc>
      </w:tr>
      <w:tr w:rsidR="00BA0599" w14:paraId="3F89F5E8" w14:textId="77777777">
        <w:trPr>
          <w:trHeight w:val="287"/>
        </w:trPr>
        <w:tc>
          <w:tcPr>
            <w:tcW w:w="2296" w:type="dxa"/>
            <w:tcBorders>
              <w:top w:val="single" w:sz="4" w:space="0" w:color="000000"/>
              <w:left w:val="single" w:sz="4" w:space="0" w:color="000000"/>
              <w:bottom w:val="single" w:sz="4" w:space="0" w:color="000000"/>
              <w:right w:val="single" w:sz="4" w:space="0" w:color="000000"/>
            </w:tcBorders>
          </w:tcPr>
          <w:p w14:paraId="3960ADC4" w14:textId="77777777" w:rsidR="00BA0599" w:rsidRDefault="00000000">
            <w:pPr>
              <w:spacing w:after="0" w:line="240" w:lineRule="auto"/>
              <w:jc w:val="both"/>
              <w:rPr>
                <w:rFonts w:ascii="Times New Roman" w:hAnsi="Times New Roman" w:cs="Times New Roman"/>
                <w:sz w:val="24"/>
                <w:szCs w:val="24"/>
                <w:lang w:val="en-US" w:eastAsia="en-IN"/>
              </w:rPr>
            </w:pPr>
            <w:r>
              <w:rPr>
                <w:rFonts w:ascii="Times New Roman" w:hAnsi="Times New Roman" w:cs="Times New Roman"/>
                <w:sz w:val="24"/>
                <w:szCs w:val="24"/>
                <w:lang w:val="en-US" w:eastAsia="en-IN"/>
              </w:rPr>
              <w:t>Vanillic acid alone</w:t>
            </w:r>
          </w:p>
        </w:tc>
        <w:tc>
          <w:tcPr>
            <w:tcW w:w="2296" w:type="dxa"/>
            <w:tcBorders>
              <w:top w:val="single" w:sz="4" w:space="0" w:color="000000"/>
              <w:left w:val="single" w:sz="4" w:space="0" w:color="000000"/>
              <w:bottom w:val="single" w:sz="4" w:space="0" w:color="000000"/>
              <w:right w:val="single" w:sz="4" w:space="0" w:color="000000"/>
            </w:tcBorders>
          </w:tcPr>
          <w:p w14:paraId="4CF70F1F" w14:textId="77777777" w:rsidR="00BA0599" w:rsidRDefault="00000000">
            <w:pPr>
              <w:spacing w:after="0" w:line="240" w:lineRule="auto"/>
              <w:jc w:val="both"/>
              <w:rPr>
                <w:rFonts w:ascii="Times New Roman" w:hAnsi="Times New Roman" w:cs="Times New Roman"/>
                <w:sz w:val="24"/>
                <w:szCs w:val="24"/>
                <w:lang w:val="en-US" w:eastAsia="en-IN"/>
              </w:rPr>
            </w:pPr>
            <w:r>
              <w:rPr>
                <w:rFonts w:ascii="Times New Roman" w:hAnsi="Times New Roman" w:cs="Times New Roman"/>
                <w:sz w:val="24"/>
                <w:szCs w:val="24"/>
                <w:lang w:val="en-US" w:eastAsia="en-IN"/>
              </w:rPr>
              <w:t>92.4±3.4</w:t>
            </w:r>
            <w:r>
              <w:rPr>
                <w:rFonts w:ascii="Times New Roman" w:hAnsi="Times New Roman" w:cs="Times New Roman"/>
                <w:sz w:val="24"/>
                <w:szCs w:val="24"/>
                <w:vertAlign w:val="superscript"/>
                <w:lang w:val="en-US" w:eastAsia="en-IN"/>
              </w:rPr>
              <w:t>1</w:t>
            </w:r>
          </w:p>
        </w:tc>
        <w:tc>
          <w:tcPr>
            <w:tcW w:w="2296" w:type="dxa"/>
            <w:tcBorders>
              <w:top w:val="single" w:sz="4" w:space="0" w:color="000000"/>
              <w:left w:val="single" w:sz="4" w:space="0" w:color="000000"/>
              <w:bottom w:val="single" w:sz="4" w:space="0" w:color="000000"/>
              <w:right w:val="single" w:sz="4" w:space="0" w:color="000000"/>
            </w:tcBorders>
          </w:tcPr>
          <w:p w14:paraId="3D0BE6B6" w14:textId="77777777" w:rsidR="00BA0599" w:rsidRDefault="00000000">
            <w:pPr>
              <w:spacing w:after="0" w:line="240" w:lineRule="auto"/>
              <w:jc w:val="both"/>
              <w:rPr>
                <w:rFonts w:ascii="Times New Roman" w:hAnsi="Times New Roman" w:cs="Times New Roman"/>
                <w:sz w:val="24"/>
                <w:szCs w:val="24"/>
                <w:lang w:val="en-US" w:eastAsia="en-IN"/>
              </w:rPr>
            </w:pPr>
            <w:r>
              <w:rPr>
                <w:rFonts w:ascii="Times New Roman" w:hAnsi="Times New Roman" w:cs="Times New Roman"/>
                <w:sz w:val="24"/>
                <w:szCs w:val="24"/>
                <w:lang w:val="en-US" w:eastAsia="en-IN"/>
              </w:rPr>
              <w:t>24.2±4.5</w:t>
            </w:r>
            <w:r>
              <w:rPr>
                <w:rFonts w:ascii="Times New Roman" w:hAnsi="Times New Roman" w:cs="Times New Roman"/>
                <w:sz w:val="24"/>
                <w:szCs w:val="24"/>
                <w:vertAlign w:val="superscript"/>
                <w:lang w:val="en-US" w:eastAsia="en-IN"/>
              </w:rPr>
              <w:t>1</w:t>
            </w:r>
          </w:p>
        </w:tc>
        <w:tc>
          <w:tcPr>
            <w:tcW w:w="2297" w:type="dxa"/>
            <w:tcBorders>
              <w:top w:val="single" w:sz="4" w:space="0" w:color="000000"/>
              <w:left w:val="single" w:sz="4" w:space="0" w:color="000000"/>
              <w:bottom w:val="single" w:sz="4" w:space="0" w:color="000000"/>
              <w:right w:val="single" w:sz="4" w:space="0" w:color="000000"/>
            </w:tcBorders>
          </w:tcPr>
          <w:p w14:paraId="0C9EB4C7" w14:textId="77777777" w:rsidR="00BA0599" w:rsidRDefault="00000000">
            <w:pPr>
              <w:spacing w:after="0" w:line="240" w:lineRule="auto"/>
              <w:jc w:val="both"/>
              <w:rPr>
                <w:rFonts w:ascii="Times New Roman" w:hAnsi="Times New Roman" w:cs="Times New Roman"/>
                <w:sz w:val="24"/>
                <w:szCs w:val="24"/>
                <w:lang w:val="en-US" w:eastAsia="en-IN"/>
              </w:rPr>
            </w:pPr>
            <w:r>
              <w:rPr>
                <w:rFonts w:ascii="Times New Roman" w:hAnsi="Times New Roman" w:cs="Times New Roman"/>
                <w:sz w:val="24"/>
                <w:szCs w:val="24"/>
                <w:lang w:val="en-US" w:eastAsia="en-IN"/>
              </w:rPr>
              <w:t>6.1±1.2</w:t>
            </w:r>
            <w:r>
              <w:rPr>
                <w:rFonts w:ascii="Times New Roman" w:hAnsi="Times New Roman" w:cs="Times New Roman"/>
                <w:sz w:val="24"/>
                <w:szCs w:val="24"/>
                <w:vertAlign w:val="superscript"/>
                <w:lang w:val="en-US" w:eastAsia="en-IN"/>
              </w:rPr>
              <w:t>1</w:t>
            </w:r>
          </w:p>
        </w:tc>
      </w:tr>
      <w:tr w:rsidR="00BA0599" w14:paraId="3152633A" w14:textId="77777777">
        <w:trPr>
          <w:trHeight w:val="354"/>
        </w:trPr>
        <w:tc>
          <w:tcPr>
            <w:tcW w:w="2296" w:type="dxa"/>
            <w:tcBorders>
              <w:top w:val="single" w:sz="4" w:space="0" w:color="000000"/>
              <w:left w:val="single" w:sz="4" w:space="0" w:color="000000"/>
              <w:bottom w:val="single" w:sz="4" w:space="0" w:color="000000"/>
              <w:right w:val="single" w:sz="4" w:space="0" w:color="000000"/>
            </w:tcBorders>
          </w:tcPr>
          <w:p w14:paraId="2AABA74A" w14:textId="77777777" w:rsidR="00BA0599" w:rsidRDefault="00000000">
            <w:pPr>
              <w:spacing w:after="0"/>
              <w:rPr>
                <w:lang w:val="en-US"/>
              </w:rPr>
            </w:pPr>
            <w:r>
              <w:rPr>
                <w:rFonts w:ascii="Times New Roman" w:hAnsi="Times New Roman" w:cs="Times New Roman"/>
                <w:b/>
                <w:bCs/>
                <w:sz w:val="24"/>
                <w:szCs w:val="24"/>
                <w:lang w:val="en-US" w:eastAsia="en-IN"/>
              </w:rPr>
              <w:t>Smell chemotaxis</w:t>
            </w:r>
          </w:p>
        </w:tc>
        <w:tc>
          <w:tcPr>
            <w:tcW w:w="2296" w:type="dxa"/>
            <w:tcBorders>
              <w:top w:val="single" w:sz="4" w:space="0" w:color="000000"/>
              <w:left w:val="single" w:sz="4" w:space="0" w:color="000000"/>
              <w:bottom w:val="single" w:sz="4" w:space="0" w:color="000000"/>
              <w:right w:val="single" w:sz="4" w:space="0" w:color="000000"/>
            </w:tcBorders>
          </w:tcPr>
          <w:p w14:paraId="163D8BD7" w14:textId="77777777" w:rsidR="00BA0599" w:rsidRDefault="00BA0599">
            <w:pPr>
              <w:snapToGrid w:val="0"/>
              <w:spacing w:after="0"/>
              <w:rPr>
                <w:lang w:val="en-US"/>
              </w:rPr>
            </w:pPr>
          </w:p>
        </w:tc>
        <w:tc>
          <w:tcPr>
            <w:tcW w:w="2296" w:type="dxa"/>
            <w:tcBorders>
              <w:top w:val="single" w:sz="4" w:space="0" w:color="000000"/>
              <w:left w:val="single" w:sz="4" w:space="0" w:color="000000"/>
              <w:bottom w:val="single" w:sz="4" w:space="0" w:color="000000"/>
              <w:right w:val="single" w:sz="4" w:space="0" w:color="000000"/>
            </w:tcBorders>
          </w:tcPr>
          <w:p w14:paraId="522A754C" w14:textId="77777777" w:rsidR="00BA0599" w:rsidRDefault="00BA0599">
            <w:pPr>
              <w:snapToGrid w:val="0"/>
              <w:spacing w:after="0"/>
              <w:rPr>
                <w:lang w:val="en-US"/>
              </w:rPr>
            </w:pPr>
          </w:p>
        </w:tc>
        <w:tc>
          <w:tcPr>
            <w:tcW w:w="2297" w:type="dxa"/>
            <w:tcBorders>
              <w:top w:val="single" w:sz="4" w:space="0" w:color="000000"/>
              <w:left w:val="single" w:sz="4" w:space="0" w:color="000000"/>
              <w:bottom w:val="single" w:sz="4" w:space="0" w:color="000000"/>
              <w:right w:val="single" w:sz="4" w:space="0" w:color="000000"/>
            </w:tcBorders>
          </w:tcPr>
          <w:p w14:paraId="41E2B54F" w14:textId="77777777" w:rsidR="00BA0599" w:rsidRDefault="00BA0599">
            <w:pPr>
              <w:snapToGrid w:val="0"/>
              <w:spacing w:after="0"/>
              <w:rPr>
                <w:lang w:val="en-US"/>
              </w:rPr>
            </w:pPr>
          </w:p>
        </w:tc>
      </w:tr>
      <w:tr w:rsidR="00BA0599" w14:paraId="43907EA2" w14:textId="77777777">
        <w:trPr>
          <w:trHeight w:val="331"/>
        </w:trPr>
        <w:tc>
          <w:tcPr>
            <w:tcW w:w="2296" w:type="dxa"/>
            <w:tcBorders>
              <w:top w:val="single" w:sz="4" w:space="0" w:color="000000"/>
              <w:left w:val="single" w:sz="4" w:space="0" w:color="000000"/>
              <w:bottom w:val="single" w:sz="4" w:space="0" w:color="000000"/>
              <w:right w:val="single" w:sz="4" w:space="0" w:color="000000"/>
            </w:tcBorders>
          </w:tcPr>
          <w:p w14:paraId="40B58582" w14:textId="77777777" w:rsidR="00BA0599" w:rsidRDefault="00000000">
            <w:pPr>
              <w:spacing w:after="0" w:line="240" w:lineRule="auto"/>
              <w:jc w:val="both"/>
              <w:rPr>
                <w:rFonts w:ascii="Times New Roman" w:hAnsi="Times New Roman" w:cs="Times New Roman"/>
                <w:sz w:val="24"/>
                <w:szCs w:val="24"/>
                <w:lang w:val="en-US" w:eastAsia="en-IN"/>
              </w:rPr>
            </w:pPr>
            <w:r>
              <w:rPr>
                <w:rFonts w:ascii="Times New Roman" w:hAnsi="Times New Roman" w:cs="Times New Roman"/>
                <w:sz w:val="24"/>
                <w:szCs w:val="24"/>
                <w:lang w:val="en-US" w:eastAsia="en-IN"/>
              </w:rPr>
              <w:t>WT (control)</w:t>
            </w:r>
          </w:p>
        </w:tc>
        <w:tc>
          <w:tcPr>
            <w:tcW w:w="2296" w:type="dxa"/>
            <w:tcBorders>
              <w:top w:val="single" w:sz="4" w:space="0" w:color="000000"/>
              <w:left w:val="single" w:sz="4" w:space="0" w:color="000000"/>
              <w:bottom w:val="single" w:sz="4" w:space="0" w:color="000000"/>
              <w:right w:val="single" w:sz="4" w:space="0" w:color="000000"/>
            </w:tcBorders>
          </w:tcPr>
          <w:p w14:paraId="0ECF931D" w14:textId="77777777" w:rsidR="00BA0599" w:rsidRDefault="00000000">
            <w:pPr>
              <w:spacing w:after="0" w:line="240" w:lineRule="auto"/>
              <w:jc w:val="both"/>
              <w:rPr>
                <w:rFonts w:ascii="Times New Roman" w:hAnsi="Times New Roman" w:cs="Times New Roman"/>
                <w:sz w:val="24"/>
                <w:szCs w:val="24"/>
                <w:lang w:val="en-US" w:eastAsia="en-IN"/>
              </w:rPr>
            </w:pPr>
            <w:r>
              <w:rPr>
                <w:rFonts w:ascii="Times New Roman" w:hAnsi="Times New Roman" w:cs="Times New Roman"/>
                <w:sz w:val="24"/>
                <w:szCs w:val="24"/>
                <w:lang w:val="en-US" w:eastAsia="en-IN"/>
              </w:rPr>
              <w:t>25.6±5.0</w:t>
            </w:r>
            <w:r>
              <w:rPr>
                <w:rFonts w:ascii="Times New Roman" w:hAnsi="Times New Roman" w:cs="Times New Roman"/>
                <w:sz w:val="24"/>
                <w:szCs w:val="24"/>
                <w:vertAlign w:val="superscript"/>
                <w:lang w:val="en-US" w:eastAsia="en-IN"/>
              </w:rPr>
              <w:t xml:space="preserve"> 2</w:t>
            </w:r>
          </w:p>
        </w:tc>
        <w:tc>
          <w:tcPr>
            <w:tcW w:w="2296" w:type="dxa"/>
            <w:tcBorders>
              <w:top w:val="single" w:sz="4" w:space="0" w:color="000000"/>
              <w:left w:val="single" w:sz="4" w:space="0" w:color="000000"/>
              <w:bottom w:val="single" w:sz="4" w:space="0" w:color="000000"/>
              <w:right w:val="single" w:sz="4" w:space="0" w:color="000000"/>
            </w:tcBorders>
          </w:tcPr>
          <w:p w14:paraId="4C4B6C91" w14:textId="77777777" w:rsidR="00BA0599" w:rsidRDefault="00000000">
            <w:pPr>
              <w:spacing w:after="0" w:line="240" w:lineRule="auto"/>
              <w:jc w:val="both"/>
              <w:rPr>
                <w:rFonts w:ascii="Times New Roman" w:hAnsi="Times New Roman" w:cs="Times New Roman"/>
                <w:sz w:val="24"/>
                <w:szCs w:val="24"/>
                <w:lang w:val="en-US" w:eastAsia="en-IN"/>
              </w:rPr>
            </w:pPr>
            <w:r>
              <w:rPr>
                <w:rFonts w:ascii="Times New Roman" w:hAnsi="Times New Roman" w:cs="Times New Roman"/>
                <w:sz w:val="24"/>
                <w:szCs w:val="24"/>
                <w:lang w:val="en-US" w:eastAsia="en-IN"/>
              </w:rPr>
              <w:t>16.8±4.3</w:t>
            </w:r>
            <w:r>
              <w:rPr>
                <w:rFonts w:ascii="Times New Roman" w:hAnsi="Times New Roman" w:cs="Times New Roman"/>
                <w:sz w:val="24"/>
                <w:szCs w:val="24"/>
                <w:vertAlign w:val="superscript"/>
                <w:lang w:val="en-US" w:eastAsia="en-IN"/>
              </w:rPr>
              <w:t>1</w:t>
            </w:r>
          </w:p>
        </w:tc>
        <w:tc>
          <w:tcPr>
            <w:tcW w:w="2297" w:type="dxa"/>
            <w:tcBorders>
              <w:top w:val="single" w:sz="4" w:space="0" w:color="000000"/>
              <w:left w:val="single" w:sz="4" w:space="0" w:color="000000"/>
              <w:bottom w:val="single" w:sz="4" w:space="0" w:color="000000"/>
              <w:right w:val="single" w:sz="4" w:space="0" w:color="000000"/>
            </w:tcBorders>
          </w:tcPr>
          <w:p w14:paraId="0490D6E3" w14:textId="77777777" w:rsidR="00BA0599" w:rsidRDefault="00000000">
            <w:pPr>
              <w:spacing w:after="0" w:line="240" w:lineRule="auto"/>
              <w:jc w:val="both"/>
              <w:rPr>
                <w:rFonts w:ascii="Times New Roman" w:hAnsi="Times New Roman" w:cs="Times New Roman"/>
                <w:sz w:val="24"/>
                <w:szCs w:val="24"/>
                <w:lang w:val="en-US" w:eastAsia="en-IN"/>
              </w:rPr>
            </w:pPr>
            <w:r>
              <w:rPr>
                <w:rFonts w:ascii="Times New Roman" w:hAnsi="Times New Roman" w:cs="Times New Roman"/>
                <w:sz w:val="24"/>
                <w:szCs w:val="24"/>
                <w:lang w:val="en-US" w:eastAsia="en-IN"/>
              </w:rPr>
              <w:t>90.8±3.2</w:t>
            </w:r>
            <w:r>
              <w:rPr>
                <w:rFonts w:ascii="Times New Roman" w:hAnsi="Times New Roman" w:cs="Times New Roman"/>
                <w:sz w:val="24"/>
                <w:szCs w:val="24"/>
                <w:vertAlign w:val="superscript"/>
                <w:lang w:val="en-US" w:eastAsia="en-IN"/>
              </w:rPr>
              <w:t>1</w:t>
            </w:r>
          </w:p>
        </w:tc>
      </w:tr>
      <w:tr w:rsidR="00BA0599" w14:paraId="29DA7244" w14:textId="77777777">
        <w:trPr>
          <w:trHeight w:val="342"/>
        </w:trPr>
        <w:tc>
          <w:tcPr>
            <w:tcW w:w="2296" w:type="dxa"/>
            <w:tcBorders>
              <w:top w:val="single" w:sz="4" w:space="0" w:color="000000"/>
              <w:left w:val="single" w:sz="4" w:space="0" w:color="000000"/>
              <w:bottom w:val="single" w:sz="4" w:space="0" w:color="000000"/>
              <w:right w:val="single" w:sz="4" w:space="0" w:color="000000"/>
            </w:tcBorders>
          </w:tcPr>
          <w:p w14:paraId="1956E139" w14:textId="77777777" w:rsidR="00BA0599" w:rsidRDefault="00000000">
            <w:pPr>
              <w:spacing w:after="0" w:line="240" w:lineRule="auto"/>
              <w:jc w:val="both"/>
              <w:rPr>
                <w:rFonts w:ascii="Times New Roman" w:hAnsi="Times New Roman" w:cs="Times New Roman"/>
                <w:sz w:val="24"/>
                <w:szCs w:val="24"/>
                <w:lang w:val="en-US" w:eastAsia="en-IN"/>
              </w:rPr>
            </w:pPr>
            <w:r>
              <w:rPr>
                <w:rFonts w:ascii="Times New Roman" w:hAnsi="Times New Roman" w:cs="Times New Roman"/>
                <w:sz w:val="24"/>
                <w:szCs w:val="24"/>
                <w:lang w:val="en-US" w:eastAsia="en-IN"/>
              </w:rPr>
              <w:t>UV treated</w:t>
            </w:r>
          </w:p>
        </w:tc>
        <w:tc>
          <w:tcPr>
            <w:tcW w:w="2296" w:type="dxa"/>
            <w:tcBorders>
              <w:top w:val="single" w:sz="4" w:space="0" w:color="000000"/>
              <w:left w:val="single" w:sz="4" w:space="0" w:color="000000"/>
              <w:bottom w:val="single" w:sz="4" w:space="0" w:color="000000"/>
              <w:right w:val="single" w:sz="4" w:space="0" w:color="000000"/>
            </w:tcBorders>
          </w:tcPr>
          <w:p w14:paraId="350B0F6A" w14:textId="77777777" w:rsidR="00BA0599" w:rsidRDefault="00000000">
            <w:pPr>
              <w:spacing w:after="0" w:line="240" w:lineRule="auto"/>
              <w:jc w:val="both"/>
              <w:rPr>
                <w:rFonts w:ascii="Times New Roman" w:hAnsi="Times New Roman" w:cs="Times New Roman"/>
                <w:sz w:val="24"/>
                <w:szCs w:val="24"/>
                <w:lang w:val="en-US" w:eastAsia="en-IN"/>
              </w:rPr>
            </w:pPr>
            <w:r>
              <w:rPr>
                <w:rFonts w:ascii="Times New Roman" w:hAnsi="Times New Roman" w:cs="Times New Roman"/>
                <w:sz w:val="24"/>
                <w:szCs w:val="24"/>
                <w:lang w:val="en-US" w:eastAsia="en-IN"/>
              </w:rPr>
              <w:t>18.3±1.8</w:t>
            </w:r>
            <w:r>
              <w:rPr>
                <w:rFonts w:ascii="Times New Roman" w:hAnsi="Times New Roman" w:cs="Times New Roman"/>
                <w:sz w:val="24"/>
                <w:szCs w:val="24"/>
                <w:vertAlign w:val="superscript"/>
                <w:lang w:val="en-US" w:eastAsia="en-IN"/>
              </w:rPr>
              <w:t>2</w:t>
            </w:r>
          </w:p>
        </w:tc>
        <w:tc>
          <w:tcPr>
            <w:tcW w:w="2296" w:type="dxa"/>
            <w:tcBorders>
              <w:top w:val="single" w:sz="4" w:space="0" w:color="000000"/>
              <w:left w:val="single" w:sz="4" w:space="0" w:color="000000"/>
              <w:bottom w:val="single" w:sz="4" w:space="0" w:color="000000"/>
              <w:right w:val="single" w:sz="4" w:space="0" w:color="000000"/>
            </w:tcBorders>
          </w:tcPr>
          <w:p w14:paraId="045B28D5" w14:textId="77777777" w:rsidR="00BA0599" w:rsidRDefault="00000000">
            <w:pPr>
              <w:spacing w:after="0" w:line="240" w:lineRule="auto"/>
              <w:jc w:val="both"/>
              <w:rPr>
                <w:rFonts w:ascii="Times New Roman" w:hAnsi="Times New Roman" w:cs="Times New Roman"/>
                <w:sz w:val="24"/>
                <w:szCs w:val="24"/>
                <w:lang w:val="en-US" w:eastAsia="en-IN"/>
              </w:rPr>
            </w:pPr>
            <w:r>
              <w:rPr>
                <w:rFonts w:ascii="Times New Roman" w:hAnsi="Times New Roman" w:cs="Times New Roman"/>
                <w:sz w:val="24"/>
                <w:szCs w:val="24"/>
                <w:lang w:val="en-US" w:eastAsia="en-IN"/>
              </w:rPr>
              <w:t>24.5±3.1</w:t>
            </w:r>
            <w:r>
              <w:rPr>
                <w:rFonts w:ascii="Times New Roman" w:hAnsi="Times New Roman" w:cs="Times New Roman"/>
                <w:sz w:val="24"/>
                <w:szCs w:val="24"/>
                <w:vertAlign w:val="superscript"/>
                <w:lang w:val="en-US" w:eastAsia="en-IN"/>
              </w:rPr>
              <w:t>2</w:t>
            </w:r>
          </w:p>
        </w:tc>
        <w:tc>
          <w:tcPr>
            <w:tcW w:w="2297" w:type="dxa"/>
            <w:tcBorders>
              <w:top w:val="single" w:sz="4" w:space="0" w:color="000000"/>
              <w:left w:val="single" w:sz="4" w:space="0" w:color="000000"/>
              <w:bottom w:val="single" w:sz="4" w:space="0" w:color="000000"/>
              <w:right w:val="single" w:sz="4" w:space="0" w:color="000000"/>
            </w:tcBorders>
          </w:tcPr>
          <w:p w14:paraId="383A2642" w14:textId="77777777" w:rsidR="00BA0599" w:rsidRDefault="00000000">
            <w:pPr>
              <w:spacing w:after="0" w:line="240" w:lineRule="auto"/>
              <w:jc w:val="both"/>
              <w:rPr>
                <w:rFonts w:ascii="Times New Roman" w:hAnsi="Times New Roman" w:cs="Times New Roman"/>
                <w:sz w:val="24"/>
                <w:szCs w:val="24"/>
                <w:lang w:val="en-US" w:eastAsia="en-IN"/>
              </w:rPr>
            </w:pPr>
            <w:r>
              <w:rPr>
                <w:rFonts w:ascii="Times New Roman" w:hAnsi="Times New Roman" w:cs="Times New Roman"/>
                <w:sz w:val="24"/>
                <w:szCs w:val="24"/>
                <w:lang w:val="en-US" w:eastAsia="en-IN"/>
              </w:rPr>
              <w:t>70.3±4.5</w:t>
            </w:r>
            <w:r>
              <w:rPr>
                <w:rFonts w:ascii="Times New Roman" w:hAnsi="Times New Roman" w:cs="Times New Roman"/>
                <w:sz w:val="24"/>
                <w:szCs w:val="24"/>
                <w:vertAlign w:val="superscript"/>
                <w:lang w:val="en-US" w:eastAsia="en-IN"/>
              </w:rPr>
              <w:t>2</w:t>
            </w:r>
          </w:p>
        </w:tc>
      </w:tr>
      <w:tr w:rsidR="00BA0599" w14:paraId="4433C266" w14:textId="77777777">
        <w:trPr>
          <w:trHeight w:val="342"/>
        </w:trPr>
        <w:tc>
          <w:tcPr>
            <w:tcW w:w="2296" w:type="dxa"/>
            <w:tcBorders>
              <w:top w:val="single" w:sz="4" w:space="0" w:color="000000"/>
              <w:left w:val="single" w:sz="4" w:space="0" w:color="000000"/>
              <w:bottom w:val="single" w:sz="4" w:space="0" w:color="000000"/>
              <w:right w:val="single" w:sz="4" w:space="0" w:color="000000"/>
            </w:tcBorders>
          </w:tcPr>
          <w:p w14:paraId="3C5E6EB3" w14:textId="77777777" w:rsidR="00BA0599" w:rsidRDefault="00000000">
            <w:pPr>
              <w:spacing w:after="0" w:line="240" w:lineRule="auto"/>
              <w:jc w:val="both"/>
              <w:rPr>
                <w:rFonts w:ascii="Times New Roman" w:hAnsi="Times New Roman" w:cs="Times New Roman"/>
                <w:sz w:val="24"/>
                <w:szCs w:val="24"/>
                <w:lang w:val="en-US" w:eastAsia="en-IN"/>
              </w:rPr>
            </w:pPr>
            <w:r>
              <w:rPr>
                <w:rFonts w:ascii="Times New Roman" w:hAnsi="Times New Roman" w:cs="Times New Roman"/>
                <w:sz w:val="24"/>
                <w:szCs w:val="24"/>
                <w:lang w:val="en-US" w:eastAsia="en-IN"/>
              </w:rPr>
              <w:t>UV + vanillic acid</w:t>
            </w:r>
          </w:p>
        </w:tc>
        <w:tc>
          <w:tcPr>
            <w:tcW w:w="2296" w:type="dxa"/>
            <w:tcBorders>
              <w:top w:val="single" w:sz="4" w:space="0" w:color="000000"/>
              <w:left w:val="single" w:sz="4" w:space="0" w:color="000000"/>
              <w:bottom w:val="single" w:sz="4" w:space="0" w:color="000000"/>
              <w:right w:val="single" w:sz="4" w:space="0" w:color="000000"/>
            </w:tcBorders>
          </w:tcPr>
          <w:p w14:paraId="0DC99442" w14:textId="77777777" w:rsidR="00BA0599" w:rsidRDefault="00000000">
            <w:pPr>
              <w:spacing w:after="0" w:line="240" w:lineRule="auto"/>
              <w:jc w:val="both"/>
              <w:rPr>
                <w:rFonts w:ascii="Times New Roman" w:hAnsi="Times New Roman" w:cs="Times New Roman"/>
                <w:sz w:val="24"/>
                <w:szCs w:val="24"/>
                <w:lang w:val="en-US" w:eastAsia="en-IN"/>
              </w:rPr>
            </w:pPr>
            <w:r>
              <w:rPr>
                <w:rFonts w:ascii="Times New Roman" w:hAnsi="Times New Roman" w:cs="Times New Roman"/>
                <w:sz w:val="24"/>
                <w:szCs w:val="24"/>
                <w:lang w:val="en-US" w:eastAsia="en-IN"/>
              </w:rPr>
              <w:t>4.8±1.4</w:t>
            </w:r>
            <w:r>
              <w:rPr>
                <w:rFonts w:ascii="Times New Roman" w:hAnsi="Times New Roman" w:cs="Times New Roman"/>
                <w:sz w:val="24"/>
                <w:szCs w:val="24"/>
                <w:vertAlign w:val="superscript"/>
                <w:lang w:val="en-US" w:eastAsia="en-IN"/>
              </w:rPr>
              <w:t>1</w:t>
            </w:r>
          </w:p>
        </w:tc>
        <w:tc>
          <w:tcPr>
            <w:tcW w:w="2296" w:type="dxa"/>
            <w:tcBorders>
              <w:top w:val="single" w:sz="4" w:space="0" w:color="000000"/>
              <w:left w:val="single" w:sz="4" w:space="0" w:color="000000"/>
              <w:bottom w:val="single" w:sz="4" w:space="0" w:color="000000"/>
              <w:right w:val="single" w:sz="4" w:space="0" w:color="000000"/>
            </w:tcBorders>
          </w:tcPr>
          <w:p w14:paraId="0949698B" w14:textId="77777777" w:rsidR="00BA0599" w:rsidRDefault="00000000">
            <w:pPr>
              <w:spacing w:after="0" w:line="240" w:lineRule="auto"/>
              <w:jc w:val="both"/>
              <w:rPr>
                <w:rFonts w:ascii="Times New Roman" w:hAnsi="Times New Roman" w:cs="Times New Roman"/>
                <w:sz w:val="24"/>
                <w:szCs w:val="24"/>
                <w:lang w:val="en-US" w:eastAsia="en-IN"/>
              </w:rPr>
            </w:pPr>
            <w:r>
              <w:rPr>
                <w:rFonts w:ascii="Times New Roman" w:hAnsi="Times New Roman" w:cs="Times New Roman"/>
                <w:sz w:val="24"/>
                <w:szCs w:val="24"/>
                <w:lang w:val="en-US" w:eastAsia="en-IN"/>
              </w:rPr>
              <w:t>18.3±3.7</w:t>
            </w:r>
            <w:r>
              <w:rPr>
                <w:rFonts w:ascii="Times New Roman" w:hAnsi="Times New Roman" w:cs="Times New Roman"/>
                <w:sz w:val="24"/>
                <w:szCs w:val="24"/>
                <w:vertAlign w:val="superscript"/>
                <w:lang w:val="en-US" w:eastAsia="en-IN"/>
              </w:rPr>
              <w:t>1</w:t>
            </w:r>
          </w:p>
        </w:tc>
        <w:tc>
          <w:tcPr>
            <w:tcW w:w="2297" w:type="dxa"/>
            <w:tcBorders>
              <w:top w:val="single" w:sz="4" w:space="0" w:color="000000"/>
              <w:left w:val="single" w:sz="4" w:space="0" w:color="000000"/>
              <w:bottom w:val="single" w:sz="4" w:space="0" w:color="000000"/>
              <w:right w:val="single" w:sz="4" w:space="0" w:color="000000"/>
            </w:tcBorders>
          </w:tcPr>
          <w:p w14:paraId="6062AA7F" w14:textId="77777777" w:rsidR="00BA0599" w:rsidRDefault="00000000">
            <w:pPr>
              <w:spacing w:after="0" w:line="240" w:lineRule="auto"/>
              <w:jc w:val="both"/>
              <w:rPr>
                <w:rFonts w:ascii="Times New Roman" w:hAnsi="Times New Roman" w:cs="Times New Roman"/>
                <w:sz w:val="24"/>
                <w:szCs w:val="24"/>
                <w:lang w:val="en-US" w:eastAsia="en-IN"/>
              </w:rPr>
            </w:pPr>
            <w:r>
              <w:rPr>
                <w:rFonts w:ascii="Times New Roman" w:hAnsi="Times New Roman" w:cs="Times New Roman"/>
                <w:sz w:val="24"/>
                <w:szCs w:val="24"/>
                <w:lang w:val="en-US" w:eastAsia="en-IN"/>
              </w:rPr>
              <w:t>88.1±3.7</w:t>
            </w:r>
            <w:r>
              <w:rPr>
                <w:rFonts w:ascii="Times New Roman" w:hAnsi="Times New Roman" w:cs="Times New Roman"/>
                <w:sz w:val="24"/>
                <w:szCs w:val="24"/>
                <w:vertAlign w:val="superscript"/>
                <w:lang w:val="en-US" w:eastAsia="en-IN"/>
              </w:rPr>
              <w:t>1</w:t>
            </w:r>
          </w:p>
        </w:tc>
      </w:tr>
      <w:tr w:rsidR="00BA0599" w14:paraId="2DB07777" w14:textId="77777777">
        <w:trPr>
          <w:trHeight w:val="331"/>
        </w:trPr>
        <w:tc>
          <w:tcPr>
            <w:tcW w:w="2296" w:type="dxa"/>
            <w:tcBorders>
              <w:top w:val="single" w:sz="4" w:space="0" w:color="000000"/>
              <w:left w:val="single" w:sz="4" w:space="0" w:color="000000"/>
              <w:bottom w:val="single" w:sz="4" w:space="0" w:color="000000"/>
              <w:right w:val="single" w:sz="4" w:space="0" w:color="000000"/>
            </w:tcBorders>
          </w:tcPr>
          <w:p w14:paraId="10B58AFD" w14:textId="77777777" w:rsidR="00BA0599" w:rsidRDefault="00000000">
            <w:pPr>
              <w:spacing w:after="0" w:line="240" w:lineRule="auto"/>
              <w:jc w:val="both"/>
            </w:pPr>
            <w:r>
              <w:rPr>
                <w:rFonts w:ascii="Times New Roman" w:hAnsi="Times New Roman" w:cs="Times New Roman"/>
                <w:sz w:val="24"/>
                <w:szCs w:val="24"/>
                <w:lang w:val="en-US" w:eastAsia="en-IN"/>
              </w:rPr>
              <w:t>Vanillic acid alone</w:t>
            </w:r>
          </w:p>
        </w:tc>
        <w:tc>
          <w:tcPr>
            <w:tcW w:w="2296" w:type="dxa"/>
            <w:tcBorders>
              <w:top w:val="single" w:sz="4" w:space="0" w:color="000000"/>
              <w:left w:val="single" w:sz="4" w:space="0" w:color="000000"/>
              <w:bottom w:val="single" w:sz="4" w:space="0" w:color="000000"/>
              <w:right w:val="single" w:sz="4" w:space="0" w:color="000000"/>
            </w:tcBorders>
          </w:tcPr>
          <w:p w14:paraId="1FA1CDC6" w14:textId="77777777" w:rsidR="00BA0599" w:rsidRDefault="00000000">
            <w:pPr>
              <w:spacing w:after="0" w:line="240" w:lineRule="auto"/>
              <w:jc w:val="both"/>
            </w:pPr>
            <w:r>
              <w:rPr>
                <w:rFonts w:ascii="Times New Roman" w:hAnsi="Times New Roman" w:cs="Times New Roman"/>
                <w:sz w:val="24"/>
                <w:szCs w:val="24"/>
                <w:lang w:val="en-US" w:eastAsia="en-IN"/>
              </w:rPr>
              <w:t>2.5±0.9</w:t>
            </w:r>
            <w:r>
              <w:rPr>
                <w:rFonts w:ascii="Times New Roman" w:hAnsi="Times New Roman" w:cs="Times New Roman"/>
                <w:sz w:val="24"/>
                <w:szCs w:val="24"/>
                <w:vertAlign w:val="superscript"/>
                <w:lang w:val="en-US" w:eastAsia="en-IN"/>
              </w:rPr>
              <w:t>1</w:t>
            </w:r>
            <w:r>
              <w:rPr>
                <w:rFonts w:ascii="Times New Roman" w:hAnsi="Times New Roman" w:cs="Times New Roman"/>
                <w:sz w:val="24"/>
                <w:szCs w:val="24"/>
                <w:lang w:val="en-US" w:eastAsia="en-IN"/>
              </w:rPr>
              <w:t> </w:t>
            </w:r>
          </w:p>
        </w:tc>
        <w:tc>
          <w:tcPr>
            <w:tcW w:w="2296" w:type="dxa"/>
            <w:tcBorders>
              <w:top w:val="single" w:sz="4" w:space="0" w:color="000000"/>
              <w:left w:val="single" w:sz="4" w:space="0" w:color="000000"/>
              <w:bottom w:val="single" w:sz="4" w:space="0" w:color="000000"/>
              <w:right w:val="single" w:sz="4" w:space="0" w:color="000000"/>
            </w:tcBorders>
          </w:tcPr>
          <w:p w14:paraId="1D5FF1CF" w14:textId="77777777" w:rsidR="00BA0599" w:rsidRDefault="00000000">
            <w:pPr>
              <w:spacing w:after="0" w:line="240" w:lineRule="auto"/>
              <w:jc w:val="both"/>
              <w:rPr>
                <w:rFonts w:ascii="Times New Roman" w:hAnsi="Times New Roman" w:cs="Times New Roman"/>
                <w:sz w:val="24"/>
                <w:szCs w:val="24"/>
                <w:lang w:val="en-US" w:eastAsia="en-IN"/>
              </w:rPr>
            </w:pPr>
            <w:r>
              <w:rPr>
                <w:rFonts w:ascii="Times New Roman" w:hAnsi="Times New Roman" w:cs="Times New Roman"/>
                <w:sz w:val="24"/>
                <w:szCs w:val="24"/>
                <w:lang w:val="en-US" w:eastAsia="en-IN"/>
              </w:rPr>
              <w:t>12.7±4.6</w:t>
            </w:r>
            <w:r>
              <w:rPr>
                <w:rFonts w:ascii="Times New Roman" w:hAnsi="Times New Roman" w:cs="Times New Roman"/>
                <w:sz w:val="24"/>
                <w:szCs w:val="24"/>
                <w:vertAlign w:val="superscript"/>
                <w:lang w:val="en-US" w:eastAsia="en-IN"/>
              </w:rPr>
              <w:t>1</w:t>
            </w:r>
          </w:p>
        </w:tc>
        <w:tc>
          <w:tcPr>
            <w:tcW w:w="2297" w:type="dxa"/>
            <w:tcBorders>
              <w:top w:val="single" w:sz="4" w:space="0" w:color="000000"/>
              <w:left w:val="single" w:sz="4" w:space="0" w:color="000000"/>
              <w:bottom w:val="single" w:sz="4" w:space="0" w:color="000000"/>
              <w:right w:val="single" w:sz="4" w:space="0" w:color="000000"/>
            </w:tcBorders>
          </w:tcPr>
          <w:p w14:paraId="04CC539E" w14:textId="77777777" w:rsidR="00BA0599" w:rsidRDefault="00000000">
            <w:pPr>
              <w:spacing w:after="0" w:line="240" w:lineRule="auto"/>
              <w:jc w:val="both"/>
              <w:rPr>
                <w:rFonts w:ascii="Times New Roman" w:hAnsi="Times New Roman" w:cs="Times New Roman"/>
                <w:sz w:val="24"/>
                <w:szCs w:val="24"/>
                <w:lang w:val="en-US" w:eastAsia="en-IN"/>
              </w:rPr>
            </w:pPr>
            <w:r>
              <w:rPr>
                <w:rFonts w:ascii="Times New Roman" w:hAnsi="Times New Roman" w:cs="Times New Roman"/>
                <w:sz w:val="24"/>
                <w:szCs w:val="24"/>
                <w:lang w:val="en-US" w:eastAsia="en-IN"/>
              </w:rPr>
              <w:t>92.6±2.8</w:t>
            </w:r>
            <w:r>
              <w:rPr>
                <w:rFonts w:ascii="Times New Roman" w:hAnsi="Times New Roman" w:cs="Times New Roman"/>
                <w:sz w:val="24"/>
                <w:szCs w:val="24"/>
                <w:vertAlign w:val="superscript"/>
                <w:lang w:val="en-US" w:eastAsia="en-IN"/>
              </w:rPr>
              <w:t>1</w:t>
            </w:r>
          </w:p>
        </w:tc>
      </w:tr>
      <w:tr w:rsidR="00BA0599" w14:paraId="1859E2BE" w14:textId="77777777">
        <w:trPr>
          <w:trHeight w:val="342"/>
        </w:trPr>
        <w:tc>
          <w:tcPr>
            <w:tcW w:w="2296" w:type="dxa"/>
            <w:tcBorders>
              <w:top w:val="single" w:sz="4" w:space="0" w:color="000000"/>
              <w:left w:val="single" w:sz="4" w:space="0" w:color="000000"/>
              <w:bottom w:val="single" w:sz="4" w:space="0" w:color="000000"/>
              <w:right w:val="single" w:sz="4" w:space="0" w:color="000000"/>
            </w:tcBorders>
          </w:tcPr>
          <w:p w14:paraId="65E3EA5E" w14:textId="77777777" w:rsidR="00BA0599" w:rsidRDefault="00000000">
            <w:pPr>
              <w:spacing w:after="0"/>
              <w:rPr>
                <w:lang w:val="en-US"/>
              </w:rPr>
            </w:pPr>
            <w:r>
              <w:rPr>
                <w:rFonts w:ascii="Times New Roman" w:hAnsi="Times New Roman" w:cs="Times New Roman"/>
                <w:b/>
                <w:bCs/>
                <w:sz w:val="24"/>
                <w:szCs w:val="24"/>
                <w:lang w:val="en-US" w:eastAsia="en-IN"/>
              </w:rPr>
              <w:t>Taste chemotaxis</w:t>
            </w:r>
          </w:p>
        </w:tc>
        <w:tc>
          <w:tcPr>
            <w:tcW w:w="2296" w:type="dxa"/>
            <w:tcBorders>
              <w:top w:val="single" w:sz="4" w:space="0" w:color="000000"/>
              <w:left w:val="single" w:sz="4" w:space="0" w:color="000000"/>
              <w:bottom w:val="single" w:sz="4" w:space="0" w:color="000000"/>
              <w:right w:val="single" w:sz="4" w:space="0" w:color="000000"/>
            </w:tcBorders>
          </w:tcPr>
          <w:p w14:paraId="73A305B1" w14:textId="77777777" w:rsidR="00BA0599" w:rsidRDefault="00BA0599">
            <w:pPr>
              <w:snapToGrid w:val="0"/>
              <w:spacing w:after="0"/>
              <w:rPr>
                <w:lang w:val="en-US"/>
              </w:rPr>
            </w:pPr>
          </w:p>
        </w:tc>
        <w:tc>
          <w:tcPr>
            <w:tcW w:w="2296" w:type="dxa"/>
            <w:tcBorders>
              <w:top w:val="single" w:sz="4" w:space="0" w:color="000000"/>
              <w:left w:val="single" w:sz="4" w:space="0" w:color="000000"/>
              <w:bottom w:val="single" w:sz="4" w:space="0" w:color="000000"/>
              <w:right w:val="single" w:sz="4" w:space="0" w:color="000000"/>
            </w:tcBorders>
          </w:tcPr>
          <w:p w14:paraId="501E4692" w14:textId="77777777" w:rsidR="00BA0599" w:rsidRDefault="00BA0599">
            <w:pPr>
              <w:snapToGrid w:val="0"/>
              <w:spacing w:after="0"/>
              <w:rPr>
                <w:lang w:val="en-US"/>
              </w:rPr>
            </w:pPr>
          </w:p>
        </w:tc>
        <w:tc>
          <w:tcPr>
            <w:tcW w:w="2297" w:type="dxa"/>
            <w:tcBorders>
              <w:top w:val="single" w:sz="4" w:space="0" w:color="000000"/>
              <w:left w:val="single" w:sz="4" w:space="0" w:color="000000"/>
              <w:bottom w:val="single" w:sz="4" w:space="0" w:color="000000"/>
              <w:right w:val="single" w:sz="4" w:space="0" w:color="000000"/>
            </w:tcBorders>
          </w:tcPr>
          <w:p w14:paraId="34861ED7" w14:textId="77777777" w:rsidR="00BA0599" w:rsidRDefault="00BA0599">
            <w:pPr>
              <w:snapToGrid w:val="0"/>
              <w:spacing w:after="0"/>
              <w:rPr>
                <w:lang w:val="en-US"/>
              </w:rPr>
            </w:pPr>
          </w:p>
        </w:tc>
      </w:tr>
      <w:tr w:rsidR="00BA0599" w14:paraId="6A2C4185" w14:textId="77777777">
        <w:trPr>
          <w:trHeight w:val="331"/>
        </w:trPr>
        <w:tc>
          <w:tcPr>
            <w:tcW w:w="2296" w:type="dxa"/>
            <w:tcBorders>
              <w:top w:val="single" w:sz="4" w:space="0" w:color="000000"/>
              <w:left w:val="single" w:sz="4" w:space="0" w:color="000000"/>
              <w:bottom w:val="single" w:sz="4" w:space="0" w:color="000000"/>
              <w:right w:val="single" w:sz="4" w:space="0" w:color="000000"/>
            </w:tcBorders>
          </w:tcPr>
          <w:p w14:paraId="4B5C552F" w14:textId="77777777" w:rsidR="00BA0599" w:rsidRDefault="00000000">
            <w:pPr>
              <w:spacing w:after="0" w:line="240" w:lineRule="auto"/>
              <w:jc w:val="both"/>
              <w:rPr>
                <w:rFonts w:ascii="Times New Roman" w:hAnsi="Times New Roman" w:cs="Times New Roman"/>
                <w:sz w:val="24"/>
                <w:szCs w:val="24"/>
                <w:lang w:val="en-US" w:eastAsia="en-IN"/>
              </w:rPr>
            </w:pPr>
            <w:r>
              <w:rPr>
                <w:rFonts w:ascii="Times New Roman" w:hAnsi="Times New Roman" w:cs="Times New Roman"/>
                <w:sz w:val="24"/>
                <w:szCs w:val="24"/>
                <w:lang w:val="en-US" w:eastAsia="en-IN"/>
              </w:rPr>
              <w:t>WT (control)</w:t>
            </w:r>
          </w:p>
        </w:tc>
        <w:tc>
          <w:tcPr>
            <w:tcW w:w="2296" w:type="dxa"/>
            <w:tcBorders>
              <w:top w:val="single" w:sz="4" w:space="0" w:color="000000"/>
              <w:left w:val="single" w:sz="4" w:space="0" w:color="000000"/>
              <w:bottom w:val="single" w:sz="4" w:space="0" w:color="000000"/>
              <w:right w:val="single" w:sz="4" w:space="0" w:color="000000"/>
            </w:tcBorders>
          </w:tcPr>
          <w:p w14:paraId="303CD4D3" w14:textId="77777777" w:rsidR="00BA0599" w:rsidRDefault="00000000">
            <w:pPr>
              <w:spacing w:after="0" w:line="240" w:lineRule="auto"/>
              <w:jc w:val="both"/>
              <w:rPr>
                <w:rFonts w:ascii="Times New Roman" w:hAnsi="Times New Roman" w:cs="Times New Roman"/>
                <w:sz w:val="24"/>
                <w:szCs w:val="24"/>
                <w:lang w:val="en-US" w:eastAsia="en-IN"/>
              </w:rPr>
            </w:pPr>
            <w:r>
              <w:rPr>
                <w:rFonts w:ascii="Times New Roman" w:hAnsi="Times New Roman" w:cs="Times New Roman"/>
                <w:sz w:val="24"/>
                <w:szCs w:val="24"/>
                <w:lang w:val="en-US" w:eastAsia="en-IN"/>
              </w:rPr>
              <w:t>75.8±12.4</w:t>
            </w:r>
            <w:r>
              <w:rPr>
                <w:rFonts w:ascii="Times New Roman" w:hAnsi="Times New Roman" w:cs="Times New Roman"/>
                <w:sz w:val="24"/>
                <w:szCs w:val="24"/>
                <w:vertAlign w:val="superscript"/>
                <w:lang w:val="en-US" w:eastAsia="en-IN"/>
              </w:rPr>
              <w:t xml:space="preserve"> 1</w:t>
            </w:r>
          </w:p>
        </w:tc>
        <w:tc>
          <w:tcPr>
            <w:tcW w:w="2296" w:type="dxa"/>
            <w:tcBorders>
              <w:top w:val="single" w:sz="4" w:space="0" w:color="000000"/>
              <w:left w:val="single" w:sz="4" w:space="0" w:color="000000"/>
              <w:bottom w:val="single" w:sz="4" w:space="0" w:color="000000"/>
              <w:right w:val="single" w:sz="4" w:space="0" w:color="000000"/>
            </w:tcBorders>
          </w:tcPr>
          <w:p w14:paraId="28BD79F2" w14:textId="77777777" w:rsidR="00BA0599" w:rsidRDefault="00000000">
            <w:pPr>
              <w:spacing w:after="0" w:line="240" w:lineRule="auto"/>
              <w:jc w:val="both"/>
              <w:rPr>
                <w:rFonts w:ascii="Times New Roman" w:hAnsi="Times New Roman" w:cs="Times New Roman"/>
                <w:sz w:val="24"/>
                <w:szCs w:val="24"/>
                <w:lang w:val="en-US" w:eastAsia="en-IN"/>
              </w:rPr>
            </w:pPr>
            <w:r>
              <w:rPr>
                <w:rFonts w:ascii="Times New Roman" w:hAnsi="Times New Roman" w:cs="Times New Roman"/>
                <w:sz w:val="24"/>
                <w:szCs w:val="24"/>
                <w:lang w:val="en-US" w:eastAsia="en-IN"/>
              </w:rPr>
              <w:t>19.4±5.3</w:t>
            </w:r>
            <w:r>
              <w:rPr>
                <w:rFonts w:ascii="Times New Roman" w:hAnsi="Times New Roman" w:cs="Times New Roman"/>
                <w:sz w:val="24"/>
                <w:szCs w:val="24"/>
                <w:vertAlign w:val="superscript"/>
                <w:lang w:val="en-US" w:eastAsia="en-IN"/>
              </w:rPr>
              <w:t>1</w:t>
            </w:r>
          </w:p>
        </w:tc>
        <w:tc>
          <w:tcPr>
            <w:tcW w:w="2297" w:type="dxa"/>
            <w:tcBorders>
              <w:top w:val="single" w:sz="4" w:space="0" w:color="000000"/>
              <w:left w:val="single" w:sz="4" w:space="0" w:color="000000"/>
              <w:bottom w:val="single" w:sz="4" w:space="0" w:color="000000"/>
              <w:right w:val="single" w:sz="4" w:space="0" w:color="000000"/>
            </w:tcBorders>
          </w:tcPr>
          <w:p w14:paraId="07FC03D9" w14:textId="77777777" w:rsidR="00BA0599" w:rsidRDefault="00000000">
            <w:pPr>
              <w:spacing w:after="0" w:line="240" w:lineRule="auto"/>
              <w:jc w:val="both"/>
              <w:rPr>
                <w:rFonts w:ascii="Times New Roman" w:hAnsi="Times New Roman" w:cs="Times New Roman"/>
                <w:sz w:val="24"/>
                <w:szCs w:val="24"/>
                <w:lang w:val="en-US" w:eastAsia="en-IN"/>
              </w:rPr>
            </w:pPr>
            <w:r>
              <w:rPr>
                <w:rFonts w:ascii="Times New Roman" w:hAnsi="Times New Roman" w:cs="Times New Roman"/>
                <w:sz w:val="24"/>
                <w:szCs w:val="24"/>
                <w:lang w:val="en-US" w:eastAsia="en-IN"/>
              </w:rPr>
              <w:t>10.4±4.7</w:t>
            </w:r>
            <w:r>
              <w:rPr>
                <w:rFonts w:ascii="Times New Roman" w:hAnsi="Times New Roman" w:cs="Times New Roman"/>
                <w:sz w:val="24"/>
                <w:szCs w:val="24"/>
                <w:vertAlign w:val="superscript"/>
                <w:lang w:val="en-US" w:eastAsia="en-IN"/>
              </w:rPr>
              <w:t>1</w:t>
            </w:r>
          </w:p>
        </w:tc>
      </w:tr>
      <w:tr w:rsidR="00BA0599" w14:paraId="1FD14E5C" w14:textId="77777777">
        <w:trPr>
          <w:trHeight w:val="331"/>
        </w:trPr>
        <w:tc>
          <w:tcPr>
            <w:tcW w:w="2296" w:type="dxa"/>
            <w:tcBorders>
              <w:top w:val="single" w:sz="4" w:space="0" w:color="000000"/>
              <w:left w:val="single" w:sz="4" w:space="0" w:color="000000"/>
              <w:bottom w:val="single" w:sz="4" w:space="0" w:color="000000"/>
              <w:right w:val="single" w:sz="4" w:space="0" w:color="000000"/>
            </w:tcBorders>
          </w:tcPr>
          <w:p w14:paraId="3EDA732B" w14:textId="77777777" w:rsidR="00BA0599" w:rsidRDefault="00000000">
            <w:pPr>
              <w:spacing w:after="0" w:line="240" w:lineRule="auto"/>
              <w:jc w:val="both"/>
              <w:rPr>
                <w:rFonts w:ascii="Times New Roman" w:hAnsi="Times New Roman" w:cs="Times New Roman"/>
                <w:sz w:val="24"/>
                <w:szCs w:val="24"/>
                <w:lang w:val="en-US" w:eastAsia="en-IN"/>
              </w:rPr>
            </w:pPr>
            <w:r>
              <w:rPr>
                <w:rFonts w:ascii="Times New Roman" w:hAnsi="Times New Roman" w:cs="Times New Roman"/>
                <w:sz w:val="24"/>
                <w:szCs w:val="24"/>
                <w:lang w:val="en-US" w:eastAsia="en-IN"/>
              </w:rPr>
              <w:lastRenderedPageBreak/>
              <w:t>UV treated</w:t>
            </w:r>
          </w:p>
        </w:tc>
        <w:tc>
          <w:tcPr>
            <w:tcW w:w="2296" w:type="dxa"/>
            <w:tcBorders>
              <w:top w:val="single" w:sz="4" w:space="0" w:color="000000"/>
              <w:left w:val="single" w:sz="4" w:space="0" w:color="000000"/>
              <w:bottom w:val="single" w:sz="4" w:space="0" w:color="000000"/>
              <w:right w:val="single" w:sz="4" w:space="0" w:color="000000"/>
            </w:tcBorders>
          </w:tcPr>
          <w:p w14:paraId="5D810905" w14:textId="77777777" w:rsidR="00BA0599" w:rsidRDefault="00000000">
            <w:pPr>
              <w:spacing w:after="0" w:line="240" w:lineRule="auto"/>
              <w:jc w:val="both"/>
              <w:rPr>
                <w:rFonts w:ascii="Times New Roman" w:hAnsi="Times New Roman" w:cs="Times New Roman"/>
                <w:sz w:val="24"/>
                <w:szCs w:val="24"/>
                <w:lang w:val="en-US" w:eastAsia="en-IN"/>
              </w:rPr>
            </w:pPr>
            <w:r>
              <w:rPr>
                <w:rFonts w:ascii="Times New Roman" w:hAnsi="Times New Roman" w:cs="Times New Roman"/>
                <w:sz w:val="24"/>
                <w:szCs w:val="24"/>
                <w:lang w:val="en-US" w:eastAsia="en-IN"/>
              </w:rPr>
              <w:t>68.7±7.6</w:t>
            </w:r>
            <w:r>
              <w:rPr>
                <w:rFonts w:ascii="Times New Roman" w:hAnsi="Times New Roman" w:cs="Times New Roman"/>
                <w:sz w:val="24"/>
                <w:szCs w:val="24"/>
                <w:vertAlign w:val="superscript"/>
                <w:lang w:val="en-US" w:eastAsia="en-IN"/>
              </w:rPr>
              <w:t>2</w:t>
            </w:r>
          </w:p>
        </w:tc>
        <w:tc>
          <w:tcPr>
            <w:tcW w:w="2296" w:type="dxa"/>
            <w:tcBorders>
              <w:top w:val="single" w:sz="4" w:space="0" w:color="000000"/>
              <w:left w:val="single" w:sz="4" w:space="0" w:color="000000"/>
              <w:bottom w:val="single" w:sz="4" w:space="0" w:color="000000"/>
              <w:right w:val="single" w:sz="4" w:space="0" w:color="000000"/>
            </w:tcBorders>
          </w:tcPr>
          <w:p w14:paraId="3A43DAD6" w14:textId="77777777" w:rsidR="00BA0599" w:rsidRDefault="00000000">
            <w:pPr>
              <w:spacing w:after="0" w:line="240" w:lineRule="auto"/>
              <w:jc w:val="both"/>
              <w:rPr>
                <w:rFonts w:ascii="Times New Roman" w:hAnsi="Times New Roman" w:cs="Times New Roman"/>
                <w:sz w:val="24"/>
                <w:szCs w:val="24"/>
                <w:lang w:val="en-US" w:eastAsia="en-IN"/>
              </w:rPr>
            </w:pPr>
            <w:r>
              <w:rPr>
                <w:rFonts w:ascii="Times New Roman" w:hAnsi="Times New Roman" w:cs="Times New Roman"/>
                <w:sz w:val="24"/>
                <w:szCs w:val="24"/>
                <w:lang w:val="en-US" w:eastAsia="en-IN"/>
              </w:rPr>
              <w:t>27.0±4.9</w:t>
            </w:r>
            <w:r>
              <w:rPr>
                <w:rFonts w:ascii="Times New Roman" w:hAnsi="Times New Roman" w:cs="Times New Roman"/>
                <w:sz w:val="24"/>
                <w:szCs w:val="24"/>
                <w:vertAlign w:val="superscript"/>
                <w:lang w:val="en-US" w:eastAsia="en-IN"/>
              </w:rPr>
              <w:t>2</w:t>
            </w:r>
          </w:p>
        </w:tc>
        <w:tc>
          <w:tcPr>
            <w:tcW w:w="2297" w:type="dxa"/>
            <w:tcBorders>
              <w:top w:val="single" w:sz="4" w:space="0" w:color="000000"/>
              <w:left w:val="single" w:sz="4" w:space="0" w:color="000000"/>
              <w:bottom w:val="single" w:sz="4" w:space="0" w:color="000000"/>
              <w:right w:val="single" w:sz="4" w:space="0" w:color="000000"/>
            </w:tcBorders>
          </w:tcPr>
          <w:p w14:paraId="582F0B4C" w14:textId="77777777" w:rsidR="00BA0599" w:rsidRDefault="00000000">
            <w:pPr>
              <w:spacing w:after="0" w:line="240" w:lineRule="auto"/>
              <w:jc w:val="both"/>
              <w:rPr>
                <w:rFonts w:ascii="Times New Roman" w:hAnsi="Times New Roman" w:cs="Times New Roman"/>
                <w:sz w:val="24"/>
                <w:szCs w:val="24"/>
                <w:lang w:val="en-US" w:eastAsia="en-IN"/>
              </w:rPr>
            </w:pPr>
            <w:r>
              <w:rPr>
                <w:rFonts w:ascii="Times New Roman" w:hAnsi="Times New Roman" w:cs="Times New Roman"/>
                <w:sz w:val="24"/>
                <w:szCs w:val="24"/>
                <w:lang w:val="en-US" w:eastAsia="en-IN"/>
              </w:rPr>
              <w:t>17.3±6.8</w:t>
            </w:r>
            <w:r>
              <w:rPr>
                <w:rFonts w:ascii="Times New Roman" w:hAnsi="Times New Roman" w:cs="Times New Roman"/>
                <w:sz w:val="24"/>
                <w:szCs w:val="24"/>
                <w:vertAlign w:val="superscript"/>
                <w:lang w:val="en-US" w:eastAsia="en-IN"/>
              </w:rPr>
              <w:t>2</w:t>
            </w:r>
          </w:p>
        </w:tc>
      </w:tr>
      <w:tr w:rsidR="00BA0599" w14:paraId="5B17D61C" w14:textId="77777777">
        <w:trPr>
          <w:trHeight w:val="331"/>
        </w:trPr>
        <w:tc>
          <w:tcPr>
            <w:tcW w:w="2296" w:type="dxa"/>
            <w:tcBorders>
              <w:top w:val="single" w:sz="4" w:space="0" w:color="000000"/>
              <w:left w:val="single" w:sz="4" w:space="0" w:color="000000"/>
              <w:bottom w:val="single" w:sz="4" w:space="0" w:color="000000"/>
              <w:right w:val="single" w:sz="4" w:space="0" w:color="000000"/>
            </w:tcBorders>
          </w:tcPr>
          <w:p w14:paraId="3BB7DA8A" w14:textId="77777777" w:rsidR="00BA0599" w:rsidRDefault="00000000">
            <w:pPr>
              <w:spacing w:after="0" w:line="240" w:lineRule="auto"/>
              <w:jc w:val="both"/>
              <w:rPr>
                <w:rFonts w:ascii="Times New Roman" w:hAnsi="Times New Roman" w:cs="Times New Roman"/>
                <w:sz w:val="24"/>
                <w:szCs w:val="24"/>
                <w:lang w:val="en-US" w:eastAsia="en-IN"/>
              </w:rPr>
            </w:pPr>
            <w:r>
              <w:rPr>
                <w:rFonts w:ascii="Times New Roman" w:hAnsi="Times New Roman" w:cs="Times New Roman"/>
                <w:sz w:val="24"/>
                <w:szCs w:val="24"/>
                <w:lang w:val="en-US" w:eastAsia="en-IN"/>
              </w:rPr>
              <w:t>UV + vanillic acid</w:t>
            </w:r>
          </w:p>
        </w:tc>
        <w:tc>
          <w:tcPr>
            <w:tcW w:w="2296" w:type="dxa"/>
            <w:tcBorders>
              <w:top w:val="single" w:sz="4" w:space="0" w:color="000000"/>
              <w:left w:val="single" w:sz="4" w:space="0" w:color="000000"/>
              <w:bottom w:val="single" w:sz="4" w:space="0" w:color="000000"/>
              <w:right w:val="single" w:sz="4" w:space="0" w:color="000000"/>
            </w:tcBorders>
          </w:tcPr>
          <w:p w14:paraId="1747C60A" w14:textId="77777777" w:rsidR="00BA0599" w:rsidRDefault="00000000">
            <w:pPr>
              <w:spacing w:after="0" w:line="240" w:lineRule="auto"/>
              <w:jc w:val="both"/>
              <w:rPr>
                <w:rFonts w:ascii="Times New Roman" w:hAnsi="Times New Roman" w:cs="Times New Roman"/>
                <w:sz w:val="24"/>
                <w:szCs w:val="24"/>
                <w:lang w:val="en-US" w:eastAsia="en-IN"/>
              </w:rPr>
            </w:pPr>
            <w:r>
              <w:rPr>
                <w:rFonts w:ascii="Times New Roman" w:hAnsi="Times New Roman" w:cs="Times New Roman"/>
                <w:sz w:val="24"/>
                <w:szCs w:val="24"/>
                <w:lang w:val="en-US" w:eastAsia="en-IN"/>
              </w:rPr>
              <w:t>86.2±6.3</w:t>
            </w:r>
            <w:r>
              <w:rPr>
                <w:rFonts w:ascii="Times New Roman" w:hAnsi="Times New Roman" w:cs="Times New Roman"/>
                <w:sz w:val="24"/>
                <w:szCs w:val="24"/>
                <w:vertAlign w:val="superscript"/>
                <w:lang w:val="en-US" w:eastAsia="en-IN"/>
              </w:rPr>
              <w:t>1</w:t>
            </w:r>
          </w:p>
        </w:tc>
        <w:tc>
          <w:tcPr>
            <w:tcW w:w="2296" w:type="dxa"/>
            <w:tcBorders>
              <w:top w:val="single" w:sz="4" w:space="0" w:color="000000"/>
              <w:left w:val="single" w:sz="4" w:space="0" w:color="000000"/>
              <w:bottom w:val="single" w:sz="4" w:space="0" w:color="000000"/>
              <w:right w:val="single" w:sz="4" w:space="0" w:color="000000"/>
            </w:tcBorders>
          </w:tcPr>
          <w:p w14:paraId="3785224F" w14:textId="77777777" w:rsidR="00BA0599" w:rsidRDefault="00000000">
            <w:pPr>
              <w:spacing w:after="0" w:line="240" w:lineRule="auto"/>
              <w:jc w:val="both"/>
              <w:rPr>
                <w:rFonts w:ascii="Times New Roman" w:hAnsi="Times New Roman" w:cs="Times New Roman"/>
                <w:sz w:val="24"/>
                <w:szCs w:val="24"/>
                <w:lang w:val="en-US" w:eastAsia="en-IN"/>
              </w:rPr>
            </w:pPr>
            <w:r>
              <w:rPr>
                <w:rFonts w:ascii="Times New Roman" w:hAnsi="Times New Roman" w:cs="Times New Roman"/>
                <w:sz w:val="24"/>
                <w:szCs w:val="24"/>
                <w:lang w:val="en-US" w:eastAsia="en-IN"/>
              </w:rPr>
              <w:t>20.8±3.7</w:t>
            </w:r>
            <w:r>
              <w:rPr>
                <w:rFonts w:ascii="Times New Roman" w:hAnsi="Times New Roman" w:cs="Times New Roman"/>
                <w:sz w:val="24"/>
                <w:szCs w:val="24"/>
                <w:vertAlign w:val="superscript"/>
                <w:lang w:val="en-US" w:eastAsia="en-IN"/>
              </w:rPr>
              <w:t>1</w:t>
            </w:r>
          </w:p>
        </w:tc>
        <w:tc>
          <w:tcPr>
            <w:tcW w:w="2297" w:type="dxa"/>
            <w:tcBorders>
              <w:top w:val="single" w:sz="4" w:space="0" w:color="000000"/>
              <w:left w:val="single" w:sz="4" w:space="0" w:color="000000"/>
              <w:bottom w:val="single" w:sz="4" w:space="0" w:color="000000"/>
              <w:right w:val="single" w:sz="4" w:space="0" w:color="000000"/>
            </w:tcBorders>
          </w:tcPr>
          <w:p w14:paraId="0981FEC7" w14:textId="77777777" w:rsidR="00BA0599" w:rsidRDefault="00000000">
            <w:pPr>
              <w:spacing w:after="0" w:line="240" w:lineRule="auto"/>
              <w:jc w:val="both"/>
              <w:rPr>
                <w:rFonts w:ascii="Times New Roman" w:hAnsi="Times New Roman" w:cs="Times New Roman"/>
                <w:sz w:val="24"/>
                <w:szCs w:val="24"/>
                <w:lang w:val="en-US" w:eastAsia="en-IN"/>
              </w:rPr>
            </w:pPr>
            <w:r>
              <w:rPr>
                <w:rFonts w:ascii="Times New Roman" w:hAnsi="Times New Roman" w:cs="Times New Roman"/>
                <w:sz w:val="24"/>
                <w:szCs w:val="24"/>
                <w:lang w:val="en-US" w:eastAsia="en-IN"/>
              </w:rPr>
              <w:t>12.8±4.9</w:t>
            </w:r>
            <w:r>
              <w:rPr>
                <w:rFonts w:ascii="Times New Roman" w:hAnsi="Times New Roman" w:cs="Times New Roman"/>
                <w:sz w:val="24"/>
                <w:szCs w:val="24"/>
                <w:vertAlign w:val="superscript"/>
                <w:lang w:val="en-US" w:eastAsia="en-IN"/>
              </w:rPr>
              <w:t>1</w:t>
            </w:r>
          </w:p>
        </w:tc>
      </w:tr>
      <w:tr w:rsidR="00BA0599" w14:paraId="380E5779" w14:textId="77777777">
        <w:trPr>
          <w:trHeight w:val="354"/>
        </w:trPr>
        <w:tc>
          <w:tcPr>
            <w:tcW w:w="2296" w:type="dxa"/>
            <w:tcBorders>
              <w:top w:val="single" w:sz="4" w:space="0" w:color="000000"/>
              <w:left w:val="single" w:sz="4" w:space="0" w:color="000000"/>
              <w:bottom w:val="single" w:sz="4" w:space="0" w:color="000000"/>
              <w:right w:val="single" w:sz="4" w:space="0" w:color="000000"/>
            </w:tcBorders>
          </w:tcPr>
          <w:p w14:paraId="3C7DC464" w14:textId="77777777" w:rsidR="00BA0599" w:rsidRDefault="00000000">
            <w:pPr>
              <w:spacing w:after="0" w:line="240" w:lineRule="auto"/>
              <w:jc w:val="both"/>
              <w:rPr>
                <w:rFonts w:ascii="Times New Roman" w:hAnsi="Times New Roman" w:cs="Times New Roman"/>
                <w:sz w:val="24"/>
                <w:szCs w:val="24"/>
                <w:lang w:val="en-US" w:eastAsia="en-IN"/>
              </w:rPr>
            </w:pPr>
            <w:r>
              <w:rPr>
                <w:rFonts w:ascii="Times New Roman" w:hAnsi="Times New Roman" w:cs="Times New Roman"/>
                <w:sz w:val="24"/>
                <w:szCs w:val="24"/>
                <w:lang w:val="en-US" w:eastAsia="en-IN"/>
              </w:rPr>
              <w:t>Vanillic acid alone</w:t>
            </w:r>
          </w:p>
        </w:tc>
        <w:tc>
          <w:tcPr>
            <w:tcW w:w="2296" w:type="dxa"/>
            <w:tcBorders>
              <w:top w:val="single" w:sz="4" w:space="0" w:color="000000"/>
              <w:left w:val="single" w:sz="4" w:space="0" w:color="000000"/>
              <w:bottom w:val="single" w:sz="4" w:space="0" w:color="000000"/>
              <w:right w:val="single" w:sz="4" w:space="0" w:color="000000"/>
            </w:tcBorders>
          </w:tcPr>
          <w:p w14:paraId="3FE41076" w14:textId="77777777" w:rsidR="00BA0599" w:rsidRDefault="00000000">
            <w:pPr>
              <w:spacing w:after="0" w:line="240" w:lineRule="auto"/>
              <w:jc w:val="both"/>
              <w:rPr>
                <w:rFonts w:ascii="Times New Roman" w:hAnsi="Times New Roman" w:cs="Times New Roman"/>
                <w:sz w:val="24"/>
                <w:szCs w:val="24"/>
                <w:lang w:val="en-US" w:eastAsia="en-IN"/>
              </w:rPr>
            </w:pPr>
            <w:r>
              <w:rPr>
                <w:rFonts w:ascii="Times New Roman" w:hAnsi="Times New Roman" w:cs="Times New Roman"/>
                <w:sz w:val="24"/>
                <w:szCs w:val="24"/>
                <w:lang w:val="en-US" w:eastAsia="en-IN"/>
              </w:rPr>
              <w:t>84.6±8.9</w:t>
            </w:r>
            <w:r>
              <w:rPr>
                <w:rFonts w:ascii="Times New Roman" w:hAnsi="Times New Roman" w:cs="Times New Roman"/>
                <w:sz w:val="24"/>
                <w:szCs w:val="24"/>
                <w:vertAlign w:val="superscript"/>
                <w:lang w:val="en-US" w:eastAsia="en-IN"/>
              </w:rPr>
              <w:t>1</w:t>
            </w:r>
          </w:p>
        </w:tc>
        <w:tc>
          <w:tcPr>
            <w:tcW w:w="2296" w:type="dxa"/>
            <w:tcBorders>
              <w:top w:val="single" w:sz="4" w:space="0" w:color="000000"/>
              <w:left w:val="single" w:sz="4" w:space="0" w:color="000000"/>
              <w:bottom w:val="single" w:sz="4" w:space="0" w:color="000000"/>
              <w:right w:val="single" w:sz="4" w:space="0" w:color="000000"/>
            </w:tcBorders>
          </w:tcPr>
          <w:p w14:paraId="2B585A6E" w14:textId="77777777" w:rsidR="00BA0599" w:rsidRDefault="00000000">
            <w:pPr>
              <w:spacing w:after="0" w:line="240" w:lineRule="auto"/>
              <w:jc w:val="both"/>
              <w:rPr>
                <w:rFonts w:ascii="Times New Roman" w:hAnsi="Times New Roman" w:cs="Times New Roman"/>
                <w:sz w:val="24"/>
                <w:szCs w:val="24"/>
                <w:lang w:val="en-US" w:eastAsia="en-IN"/>
              </w:rPr>
            </w:pPr>
            <w:r>
              <w:rPr>
                <w:rFonts w:ascii="Times New Roman" w:hAnsi="Times New Roman" w:cs="Times New Roman"/>
                <w:sz w:val="24"/>
                <w:szCs w:val="24"/>
                <w:lang w:val="en-US" w:eastAsia="en-IN"/>
              </w:rPr>
              <w:t>16.5±4.8</w:t>
            </w:r>
            <w:r>
              <w:rPr>
                <w:rFonts w:ascii="Times New Roman" w:hAnsi="Times New Roman" w:cs="Times New Roman"/>
                <w:sz w:val="24"/>
                <w:szCs w:val="24"/>
                <w:vertAlign w:val="superscript"/>
                <w:lang w:val="en-US" w:eastAsia="en-IN"/>
              </w:rPr>
              <w:t>1</w:t>
            </w:r>
          </w:p>
        </w:tc>
        <w:tc>
          <w:tcPr>
            <w:tcW w:w="2297" w:type="dxa"/>
            <w:tcBorders>
              <w:top w:val="single" w:sz="4" w:space="0" w:color="000000"/>
              <w:left w:val="single" w:sz="4" w:space="0" w:color="000000"/>
              <w:bottom w:val="single" w:sz="4" w:space="0" w:color="000000"/>
              <w:right w:val="single" w:sz="4" w:space="0" w:color="000000"/>
            </w:tcBorders>
          </w:tcPr>
          <w:p w14:paraId="77920673" w14:textId="77777777" w:rsidR="00BA0599" w:rsidRDefault="00000000">
            <w:pPr>
              <w:spacing w:after="0" w:line="240" w:lineRule="auto"/>
              <w:jc w:val="both"/>
              <w:rPr>
                <w:rFonts w:ascii="Times New Roman" w:hAnsi="Times New Roman" w:cs="Times New Roman"/>
                <w:sz w:val="24"/>
                <w:szCs w:val="24"/>
                <w:lang w:val="en-US" w:eastAsia="en-IN"/>
              </w:rPr>
            </w:pPr>
            <w:r>
              <w:rPr>
                <w:rFonts w:ascii="Times New Roman" w:hAnsi="Times New Roman" w:cs="Times New Roman"/>
                <w:sz w:val="24"/>
                <w:szCs w:val="24"/>
                <w:lang w:val="en-US" w:eastAsia="en-IN"/>
              </w:rPr>
              <w:t>10.5±4.1</w:t>
            </w:r>
            <w:r>
              <w:rPr>
                <w:rFonts w:ascii="Times New Roman" w:hAnsi="Times New Roman" w:cs="Times New Roman"/>
                <w:sz w:val="24"/>
                <w:szCs w:val="24"/>
                <w:vertAlign w:val="superscript"/>
                <w:lang w:val="en-US" w:eastAsia="en-IN"/>
              </w:rPr>
              <w:t>1</w:t>
            </w:r>
          </w:p>
        </w:tc>
      </w:tr>
      <w:tr w:rsidR="00BA0599" w14:paraId="4177D87C" w14:textId="77777777">
        <w:trPr>
          <w:trHeight w:val="354"/>
        </w:trPr>
        <w:tc>
          <w:tcPr>
            <w:tcW w:w="2296" w:type="dxa"/>
            <w:tcBorders>
              <w:top w:val="single" w:sz="4" w:space="0" w:color="000000"/>
              <w:left w:val="single" w:sz="4" w:space="0" w:color="000000"/>
              <w:bottom w:val="single" w:sz="4" w:space="0" w:color="000000"/>
              <w:right w:val="single" w:sz="4" w:space="0" w:color="000000"/>
            </w:tcBorders>
          </w:tcPr>
          <w:p w14:paraId="193E93CD" w14:textId="77777777" w:rsidR="00BA0599" w:rsidRDefault="00000000">
            <w:pPr>
              <w:spacing w:after="0" w:line="240" w:lineRule="auto"/>
              <w:jc w:val="both"/>
              <w:rPr>
                <w:rFonts w:ascii="Times New Roman" w:hAnsi="Times New Roman" w:cs="Times New Roman"/>
                <w:sz w:val="24"/>
                <w:szCs w:val="24"/>
                <w:lang w:val="en-US" w:eastAsia="en-IN"/>
              </w:rPr>
            </w:pPr>
            <w:r>
              <w:rPr>
                <w:rFonts w:ascii="Times New Roman" w:hAnsi="Times New Roman" w:cs="Times New Roman"/>
                <w:b/>
                <w:bCs/>
                <w:sz w:val="24"/>
                <w:szCs w:val="24"/>
                <w:lang w:val="en-US" w:eastAsia="en-IN"/>
              </w:rPr>
              <w:t>Thermotaxis</w:t>
            </w:r>
          </w:p>
        </w:tc>
        <w:tc>
          <w:tcPr>
            <w:tcW w:w="2296" w:type="dxa"/>
            <w:tcBorders>
              <w:top w:val="single" w:sz="4" w:space="0" w:color="000000"/>
              <w:left w:val="single" w:sz="4" w:space="0" w:color="000000"/>
              <w:bottom w:val="single" w:sz="4" w:space="0" w:color="000000"/>
              <w:right w:val="single" w:sz="4" w:space="0" w:color="000000"/>
            </w:tcBorders>
          </w:tcPr>
          <w:p w14:paraId="10B8E6F5" w14:textId="77777777" w:rsidR="00BA0599" w:rsidRDefault="00BA0599">
            <w:pPr>
              <w:snapToGrid w:val="0"/>
              <w:spacing w:after="0" w:line="240" w:lineRule="auto"/>
              <w:jc w:val="both"/>
              <w:rPr>
                <w:rFonts w:ascii="Times New Roman" w:hAnsi="Times New Roman" w:cs="Times New Roman"/>
                <w:sz w:val="24"/>
                <w:szCs w:val="24"/>
                <w:lang w:val="en-US" w:eastAsia="en-IN"/>
              </w:rPr>
            </w:pPr>
          </w:p>
        </w:tc>
        <w:tc>
          <w:tcPr>
            <w:tcW w:w="2296" w:type="dxa"/>
            <w:tcBorders>
              <w:top w:val="single" w:sz="4" w:space="0" w:color="000000"/>
              <w:left w:val="single" w:sz="4" w:space="0" w:color="000000"/>
              <w:bottom w:val="single" w:sz="4" w:space="0" w:color="000000"/>
              <w:right w:val="single" w:sz="4" w:space="0" w:color="000000"/>
            </w:tcBorders>
          </w:tcPr>
          <w:p w14:paraId="2081036C" w14:textId="77777777" w:rsidR="00BA0599" w:rsidRDefault="00BA0599">
            <w:pPr>
              <w:snapToGrid w:val="0"/>
              <w:spacing w:after="0" w:line="240" w:lineRule="auto"/>
              <w:jc w:val="both"/>
              <w:rPr>
                <w:rFonts w:ascii="Times New Roman" w:hAnsi="Times New Roman" w:cs="Times New Roman"/>
                <w:sz w:val="24"/>
                <w:szCs w:val="24"/>
                <w:lang w:val="en-US" w:eastAsia="en-IN"/>
              </w:rPr>
            </w:pPr>
          </w:p>
        </w:tc>
        <w:tc>
          <w:tcPr>
            <w:tcW w:w="2297" w:type="dxa"/>
            <w:tcBorders>
              <w:top w:val="single" w:sz="4" w:space="0" w:color="000000"/>
              <w:left w:val="single" w:sz="4" w:space="0" w:color="000000"/>
              <w:bottom w:val="single" w:sz="4" w:space="0" w:color="000000"/>
              <w:right w:val="single" w:sz="4" w:space="0" w:color="000000"/>
            </w:tcBorders>
          </w:tcPr>
          <w:p w14:paraId="106D057A" w14:textId="77777777" w:rsidR="00BA0599" w:rsidRDefault="00BA0599">
            <w:pPr>
              <w:snapToGrid w:val="0"/>
              <w:spacing w:after="0" w:line="240" w:lineRule="auto"/>
              <w:jc w:val="both"/>
              <w:rPr>
                <w:rFonts w:ascii="Times New Roman" w:hAnsi="Times New Roman" w:cs="Times New Roman"/>
                <w:sz w:val="24"/>
                <w:szCs w:val="24"/>
                <w:lang w:val="en-US" w:eastAsia="en-IN"/>
              </w:rPr>
            </w:pPr>
          </w:p>
        </w:tc>
      </w:tr>
      <w:tr w:rsidR="00BA0599" w14:paraId="10A32346" w14:textId="77777777">
        <w:trPr>
          <w:trHeight w:val="354"/>
        </w:trPr>
        <w:tc>
          <w:tcPr>
            <w:tcW w:w="2296" w:type="dxa"/>
            <w:tcBorders>
              <w:top w:val="single" w:sz="4" w:space="0" w:color="000000"/>
              <w:left w:val="single" w:sz="4" w:space="0" w:color="000000"/>
              <w:bottom w:val="single" w:sz="4" w:space="0" w:color="000000"/>
              <w:right w:val="single" w:sz="4" w:space="0" w:color="000000"/>
            </w:tcBorders>
          </w:tcPr>
          <w:p w14:paraId="2DB8EB9C" w14:textId="77777777" w:rsidR="00BA0599" w:rsidRDefault="00000000">
            <w:pPr>
              <w:spacing w:after="0" w:line="240" w:lineRule="auto"/>
              <w:jc w:val="both"/>
              <w:rPr>
                <w:rFonts w:ascii="Times New Roman" w:hAnsi="Times New Roman" w:cs="Times New Roman"/>
                <w:sz w:val="24"/>
                <w:szCs w:val="24"/>
                <w:lang w:val="en-US" w:eastAsia="en-IN"/>
              </w:rPr>
            </w:pPr>
            <w:r>
              <w:rPr>
                <w:rFonts w:ascii="Times New Roman" w:hAnsi="Times New Roman" w:cs="Times New Roman"/>
                <w:sz w:val="24"/>
                <w:szCs w:val="24"/>
                <w:lang w:val="en-US" w:eastAsia="en-IN"/>
              </w:rPr>
              <w:t>WT (control)</w:t>
            </w:r>
          </w:p>
        </w:tc>
        <w:tc>
          <w:tcPr>
            <w:tcW w:w="2296" w:type="dxa"/>
            <w:tcBorders>
              <w:top w:val="single" w:sz="4" w:space="0" w:color="000000"/>
              <w:left w:val="single" w:sz="4" w:space="0" w:color="000000"/>
              <w:bottom w:val="single" w:sz="4" w:space="0" w:color="000000"/>
              <w:right w:val="single" w:sz="4" w:space="0" w:color="000000"/>
            </w:tcBorders>
          </w:tcPr>
          <w:p w14:paraId="2A337BFE" w14:textId="77777777" w:rsidR="00BA0599" w:rsidRDefault="00000000">
            <w:pPr>
              <w:spacing w:after="0" w:line="240" w:lineRule="auto"/>
              <w:jc w:val="both"/>
              <w:rPr>
                <w:rFonts w:ascii="Times New Roman" w:hAnsi="Times New Roman" w:cs="Times New Roman"/>
                <w:sz w:val="24"/>
                <w:szCs w:val="24"/>
                <w:lang w:val="en-US" w:eastAsia="en-IN"/>
              </w:rPr>
            </w:pPr>
            <w:r>
              <w:rPr>
                <w:rFonts w:ascii="Times New Roman" w:hAnsi="Times New Roman" w:cs="Times New Roman"/>
                <w:sz w:val="24"/>
                <w:szCs w:val="24"/>
                <w:lang w:val="en-US" w:eastAsia="en-IN"/>
              </w:rPr>
              <w:t>76.5±15.27</w:t>
            </w:r>
            <w:r>
              <w:rPr>
                <w:rFonts w:ascii="Times New Roman" w:hAnsi="Times New Roman" w:cs="Times New Roman"/>
                <w:sz w:val="24"/>
                <w:szCs w:val="24"/>
                <w:vertAlign w:val="superscript"/>
                <w:lang w:val="en-US" w:eastAsia="en-IN"/>
              </w:rPr>
              <w:t xml:space="preserve"> 1</w:t>
            </w:r>
          </w:p>
        </w:tc>
        <w:tc>
          <w:tcPr>
            <w:tcW w:w="2296" w:type="dxa"/>
            <w:tcBorders>
              <w:top w:val="single" w:sz="4" w:space="0" w:color="000000"/>
              <w:left w:val="single" w:sz="4" w:space="0" w:color="000000"/>
              <w:bottom w:val="single" w:sz="4" w:space="0" w:color="000000"/>
              <w:right w:val="single" w:sz="4" w:space="0" w:color="000000"/>
            </w:tcBorders>
          </w:tcPr>
          <w:p w14:paraId="14287B38" w14:textId="77777777" w:rsidR="00BA0599" w:rsidRDefault="00000000">
            <w:pPr>
              <w:spacing w:after="0" w:line="240" w:lineRule="auto"/>
              <w:jc w:val="both"/>
              <w:rPr>
                <w:rFonts w:ascii="Times New Roman" w:hAnsi="Times New Roman" w:cs="Times New Roman"/>
                <w:sz w:val="24"/>
                <w:szCs w:val="24"/>
                <w:lang w:val="en-US" w:eastAsia="en-IN"/>
              </w:rPr>
            </w:pPr>
            <w:r>
              <w:rPr>
                <w:rFonts w:ascii="Times New Roman" w:hAnsi="Times New Roman" w:cs="Times New Roman"/>
                <w:sz w:val="24"/>
                <w:szCs w:val="24"/>
                <w:lang w:val="en-US" w:eastAsia="en-IN"/>
              </w:rPr>
              <w:t>7.4±1.1</w:t>
            </w:r>
            <w:r>
              <w:rPr>
                <w:rFonts w:ascii="Times New Roman" w:hAnsi="Times New Roman" w:cs="Times New Roman"/>
                <w:sz w:val="24"/>
                <w:szCs w:val="24"/>
                <w:vertAlign w:val="superscript"/>
                <w:lang w:val="en-US" w:eastAsia="en-IN"/>
              </w:rPr>
              <w:t>1</w:t>
            </w:r>
          </w:p>
        </w:tc>
        <w:tc>
          <w:tcPr>
            <w:tcW w:w="2297" w:type="dxa"/>
            <w:tcBorders>
              <w:top w:val="single" w:sz="4" w:space="0" w:color="000000"/>
              <w:left w:val="single" w:sz="4" w:space="0" w:color="000000"/>
              <w:bottom w:val="single" w:sz="4" w:space="0" w:color="000000"/>
              <w:right w:val="single" w:sz="4" w:space="0" w:color="000000"/>
            </w:tcBorders>
          </w:tcPr>
          <w:p w14:paraId="700BD2CE" w14:textId="77777777" w:rsidR="00BA0599" w:rsidRDefault="00000000">
            <w:pPr>
              <w:spacing w:after="0" w:line="240" w:lineRule="auto"/>
              <w:jc w:val="both"/>
              <w:rPr>
                <w:rFonts w:ascii="Times New Roman" w:hAnsi="Times New Roman" w:cs="Times New Roman"/>
                <w:sz w:val="24"/>
                <w:szCs w:val="24"/>
                <w:lang w:val="en-US" w:eastAsia="en-IN"/>
              </w:rPr>
            </w:pPr>
            <w:r>
              <w:rPr>
                <w:rFonts w:ascii="Times New Roman" w:hAnsi="Times New Roman" w:cs="Times New Roman"/>
                <w:sz w:val="24"/>
                <w:szCs w:val="24"/>
                <w:lang w:val="en-US" w:eastAsia="en-IN"/>
              </w:rPr>
              <w:t>1.2±0.6</w:t>
            </w:r>
            <w:r>
              <w:rPr>
                <w:rFonts w:ascii="Times New Roman" w:hAnsi="Times New Roman" w:cs="Times New Roman"/>
                <w:sz w:val="24"/>
                <w:szCs w:val="24"/>
                <w:vertAlign w:val="superscript"/>
                <w:lang w:val="en-US" w:eastAsia="en-IN"/>
              </w:rPr>
              <w:t>1</w:t>
            </w:r>
          </w:p>
        </w:tc>
      </w:tr>
      <w:tr w:rsidR="00BA0599" w14:paraId="4BD7E5AB" w14:textId="77777777">
        <w:trPr>
          <w:trHeight w:val="354"/>
        </w:trPr>
        <w:tc>
          <w:tcPr>
            <w:tcW w:w="2296" w:type="dxa"/>
            <w:tcBorders>
              <w:top w:val="single" w:sz="4" w:space="0" w:color="000000"/>
              <w:left w:val="single" w:sz="4" w:space="0" w:color="000000"/>
              <w:bottom w:val="single" w:sz="4" w:space="0" w:color="000000"/>
              <w:right w:val="single" w:sz="4" w:space="0" w:color="000000"/>
            </w:tcBorders>
          </w:tcPr>
          <w:p w14:paraId="5D8CE069" w14:textId="77777777" w:rsidR="00BA0599" w:rsidRDefault="00000000">
            <w:pPr>
              <w:spacing w:after="0" w:line="240" w:lineRule="auto"/>
              <w:jc w:val="both"/>
              <w:rPr>
                <w:rFonts w:ascii="Times New Roman" w:hAnsi="Times New Roman" w:cs="Times New Roman"/>
                <w:sz w:val="24"/>
                <w:szCs w:val="24"/>
                <w:lang w:val="en-US" w:eastAsia="en-IN"/>
              </w:rPr>
            </w:pPr>
            <w:r>
              <w:rPr>
                <w:rFonts w:ascii="Times New Roman" w:hAnsi="Times New Roman" w:cs="Times New Roman"/>
                <w:sz w:val="24"/>
                <w:szCs w:val="24"/>
                <w:lang w:val="en-US" w:eastAsia="en-IN"/>
              </w:rPr>
              <w:t>UV treated</w:t>
            </w:r>
          </w:p>
        </w:tc>
        <w:tc>
          <w:tcPr>
            <w:tcW w:w="2296" w:type="dxa"/>
            <w:tcBorders>
              <w:top w:val="single" w:sz="4" w:space="0" w:color="000000"/>
              <w:left w:val="single" w:sz="4" w:space="0" w:color="000000"/>
              <w:bottom w:val="single" w:sz="4" w:space="0" w:color="000000"/>
              <w:right w:val="single" w:sz="4" w:space="0" w:color="000000"/>
            </w:tcBorders>
          </w:tcPr>
          <w:p w14:paraId="008A0DE4" w14:textId="77777777" w:rsidR="00BA0599" w:rsidRDefault="00000000">
            <w:pPr>
              <w:spacing w:after="0" w:line="240" w:lineRule="auto"/>
              <w:jc w:val="both"/>
              <w:rPr>
                <w:rFonts w:ascii="Times New Roman" w:hAnsi="Times New Roman" w:cs="Times New Roman"/>
                <w:sz w:val="24"/>
                <w:szCs w:val="24"/>
                <w:lang w:val="en-US" w:eastAsia="en-IN"/>
              </w:rPr>
            </w:pPr>
            <w:r>
              <w:rPr>
                <w:rFonts w:ascii="Times New Roman" w:hAnsi="Times New Roman" w:cs="Times New Roman"/>
                <w:sz w:val="24"/>
                <w:szCs w:val="24"/>
                <w:lang w:val="en-US" w:eastAsia="en-IN"/>
              </w:rPr>
              <w:t>62.6±6.5</w:t>
            </w:r>
            <w:r>
              <w:rPr>
                <w:rFonts w:ascii="Times New Roman" w:hAnsi="Times New Roman" w:cs="Times New Roman"/>
                <w:sz w:val="24"/>
                <w:szCs w:val="24"/>
                <w:vertAlign w:val="superscript"/>
                <w:lang w:val="en-US" w:eastAsia="en-IN"/>
              </w:rPr>
              <w:t>2</w:t>
            </w:r>
          </w:p>
        </w:tc>
        <w:tc>
          <w:tcPr>
            <w:tcW w:w="2296" w:type="dxa"/>
            <w:tcBorders>
              <w:top w:val="single" w:sz="4" w:space="0" w:color="000000"/>
              <w:left w:val="single" w:sz="4" w:space="0" w:color="000000"/>
              <w:bottom w:val="single" w:sz="4" w:space="0" w:color="000000"/>
              <w:right w:val="single" w:sz="4" w:space="0" w:color="000000"/>
            </w:tcBorders>
          </w:tcPr>
          <w:p w14:paraId="4B438CF7" w14:textId="77777777" w:rsidR="00BA0599" w:rsidRDefault="00000000">
            <w:pPr>
              <w:spacing w:after="0" w:line="240" w:lineRule="auto"/>
              <w:jc w:val="both"/>
              <w:rPr>
                <w:rFonts w:ascii="Times New Roman" w:hAnsi="Times New Roman" w:cs="Times New Roman"/>
                <w:sz w:val="24"/>
                <w:szCs w:val="24"/>
                <w:lang w:val="en-US" w:eastAsia="en-IN"/>
              </w:rPr>
            </w:pPr>
            <w:r>
              <w:rPr>
                <w:rFonts w:ascii="Times New Roman" w:hAnsi="Times New Roman" w:cs="Times New Roman"/>
                <w:sz w:val="24"/>
                <w:szCs w:val="24"/>
                <w:lang w:val="en-US" w:eastAsia="en-IN"/>
              </w:rPr>
              <w:t>20.9±4.1</w:t>
            </w:r>
            <w:r>
              <w:rPr>
                <w:rFonts w:ascii="Times New Roman" w:hAnsi="Times New Roman" w:cs="Times New Roman"/>
                <w:sz w:val="24"/>
                <w:szCs w:val="24"/>
                <w:vertAlign w:val="superscript"/>
                <w:lang w:val="en-US" w:eastAsia="en-IN"/>
              </w:rPr>
              <w:t>2</w:t>
            </w:r>
          </w:p>
        </w:tc>
        <w:tc>
          <w:tcPr>
            <w:tcW w:w="2297" w:type="dxa"/>
            <w:tcBorders>
              <w:top w:val="single" w:sz="4" w:space="0" w:color="000000"/>
              <w:left w:val="single" w:sz="4" w:space="0" w:color="000000"/>
              <w:bottom w:val="single" w:sz="4" w:space="0" w:color="000000"/>
              <w:right w:val="single" w:sz="4" w:space="0" w:color="000000"/>
            </w:tcBorders>
          </w:tcPr>
          <w:p w14:paraId="7983AEDA" w14:textId="77777777" w:rsidR="00BA0599" w:rsidRDefault="00000000">
            <w:pPr>
              <w:spacing w:after="0" w:line="240" w:lineRule="auto"/>
              <w:jc w:val="both"/>
              <w:rPr>
                <w:rFonts w:ascii="Times New Roman" w:hAnsi="Times New Roman" w:cs="Times New Roman"/>
                <w:sz w:val="24"/>
                <w:szCs w:val="24"/>
                <w:lang w:val="en-US" w:eastAsia="en-IN"/>
              </w:rPr>
            </w:pPr>
            <w:r>
              <w:rPr>
                <w:rFonts w:ascii="Times New Roman" w:hAnsi="Times New Roman" w:cs="Times New Roman"/>
                <w:sz w:val="24"/>
                <w:szCs w:val="24"/>
                <w:lang w:val="en-US" w:eastAsia="en-IN"/>
              </w:rPr>
              <w:t>8.5±2.9</w:t>
            </w:r>
            <w:r>
              <w:rPr>
                <w:rFonts w:ascii="Times New Roman" w:hAnsi="Times New Roman" w:cs="Times New Roman"/>
                <w:sz w:val="24"/>
                <w:szCs w:val="24"/>
                <w:vertAlign w:val="superscript"/>
                <w:lang w:val="en-US" w:eastAsia="en-IN"/>
              </w:rPr>
              <w:t>2</w:t>
            </w:r>
          </w:p>
        </w:tc>
      </w:tr>
      <w:tr w:rsidR="00BA0599" w14:paraId="55DA4DF9" w14:textId="77777777">
        <w:trPr>
          <w:trHeight w:val="354"/>
        </w:trPr>
        <w:tc>
          <w:tcPr>
            <w:tcW w:w="2296" w:type="dxa"/>
            <w:tcBorders>
              <w:top w:val="single" w:sz="4" w:space="0" w:color="000000"/>
              <w:left w:val="single" w:sz="4" w:space="0" w:color="000000"/>
              <w:bottom w:val="single" w:sz="4" w:space="0" w:color="000000"/>
              <w:right w:val="single" w:sz="4" w:space="0" w:color="000000"/>
            </w:tcBorders>
          </w:tcPr>
          <w:p w14:paraId="3492B05B" w14:textId="77777777" w:rsidR="00BA0599" w:rsidRDefault="00000000">
            <w:pPr>
              <w:spacing w:after="0" w:line="240" w:lineRule="auto"/>
              <w:jc w:val="both"/>
              <w:rPr>
                <w:rFonts w:ascii="Times New Roman" w:hAnsi="Times New Roman" w:cs="Times New Roman"/>
                <w:sz w:val="24"/>
                <w:szCs w:val="24"/>
                <w:lang w:val="en-US" w:eastAsia="en-IN"/>
              </w:rPr>
            </w:pPr>
            <w:r>
              <w:rPr>
                <w:rFonts w:ascii="Times New Roman" w:hAnsi="Times New Roman" w:cs="Times New Roman"/>
                <w:sz w:val="24"/>
                <w:szCs w:val="24"/>
                <w:lang w:val="en-US" w:eastAsia="en-IN"/>
              </w:rPr>
              <w:t>UV + vanillic acid</w:t>
            </w:r>
          </w:p>
        </w:tc>
        <w:tc>
          <w:tcPr>
            <w:tcW w:w="2296" w:type="dxa"/>
            <w:tcBorders>
              <w:top w:val="single" w:sz="4" w:space="0" w:color="000000"/>
              <w:left w:val="single" w:sz="4" w:space="0" w:color="000000"/>
              <w:bottom w:val="single" w:sz="4" w:space="0" w:color="000000"/>
              <w:right w:val="single" w:sz="4" w:space="0" w:color="000000"/>
            </w:tcBorders>
          </w:tcPr>
          <w:p w14:paraId="7A8467B9" w14:textId="77777777" w:rsidR="00BA0599" w:rsidRDefault="00000000">
            <w:pPr>
              <w:spacing w:after="0" w:line="240" w:lineRule="auto"/>
              <w:jc w:val="both"/>
              <w:rPr>
                <w:rFonts w:ascii="Times New Roman" w:hAnsi="Times New Roman" w:cs="Times New Roman"/>
                <w:sz w:val="24"/>
                <w:szCs w:val="24"/>
                <w:lang w:val="en-US" w:eastAsia="en-IN"/>
              </w:rPr>
            </w:pPr>
            <w:r>
              <w:rPr>
                <w:rFonts w:ascii="Times New Roman" w:hAnsi="Times New Roman" w:cs="Times New Roman"/>
                <w:sz w:val="24"/>
                <w:szCs w:val="24"/>
                <w:lang w:val="en-US" w:eastAsia="en-IN"/>
              </w:rPr>
              <w:t>79.1±6.2</w:t>
            </w:r>
            <w:r>
              <w:rPr>
                <w:rFonts w:ascii="Times New Roman" w:hAnsi="Times New Roman" w:cs="Times New Roman"/>
                <w:sz w:val="24"/>
                <w:szCs w:val="24"/>
                <w:vertAlign w:val="superscript"/>
                <w:lang w:val="en-US" w:eastAsia="en-IN"/>
              </w:rPr>
              <w:t>1</w:t>
            </w:r>
          </w:p>
        </w:tc>
        <w:tc>
          <w:tcPr>
            <w:tcW w:w="2296" w:type="dxa"/>
            <w:tcBorders>
              <w:top w:val="single" w:sz="4" w:space="0" w:color="000000"/>
              <w:left w:val="single" w:sz="4" w:space="0" w:color="000000"/>
              <w:bottom w:val="single" w:sz="4" w:space="0" w:color="000000"/>
              <w:right w:val="single" w:sz="4" w:space="0" w:color="000000"/>
            </w:tcBorders>
          </w:tcPr>
          <w:p w14:paraId="448C2E26" w14:textId="77777777" w:rsidR="00BA0599" w:rsidRDefault="00000000">
            <w:pPr>
              <w:spacing w:after="0" w:line="240" w:lineRule="auto"/>
              <w:jc w:val="both"/>
              <w:rPr>
                <w:rFonts w:ascii="Times New Roman" w:hAnsi="Times New Roman" w:cs="Times New Roman"/>
                <w:sz w:val="24"/>
                <w:szCs w:val="24"/>
                <w:lang w:val="en-US" w:eastAsia="en-IN"/>
              </w:rPr>
            </w:pPr>
            <w:r>
              <w:rPr>
                <w:rFonts w:ascii="Times New Roman" w:hAnsi="Times New Roman" w:cs="Times New Roman"/>
                <w:sz w:val="24"/>
                <w:szCs w:val="24"/>
                <w:lang w:val="en-US" w:eastAsia="en-IN"/>
              </w:rPr>
              <w:t>6.3±0.9</w:t>
            </w:r>
            <w:r>
              <w:rPr>
                <w:rFonts w:ascii="Times New Roman" w:hAnsi="Times New Roman" w:cs="Times New Roman"/>
                <w:sz w:val="24"/>
                <w:szCs w:val="24"/>
                <w:vertAlign w:val="superscript"/>
                <w:lang w:val="en-US" w:eastAsia="en-IN"/>
              </w:rPr>
              <w:t>1</w:t>
            </w:r>
          </w:p>
        </w:tc>
        <w:tc>
          <w:tcPr>
            <w:tcW w:w="2297" w:type="dxa"/>
            <w:tcBorders>
              <w:top w:val="single" w:sz="4" w:space="0" w:color="000000"/>
              <w:left w:val="single" w:sz="4" w:space="0" w:color="000000"/>
              <w:bottom w:val="single" w:sz="4" w:space="0" w:color="000000"/>
              <w:right w:val="single" w:sz="4" w:space="0" w:color="000000"/>
            </w:tcBorders>
          </w:tcPr>
          <w:p w14:paraId="50D35114" w14:textId="77777777" w:rsidR="00BA0599" w:rsidRDefault="00000000">
            <w:pPr>
              <w:spacing w:after="0" w:line="240" w:lineRule="auto"/>
              <w:jc w:val="both"/>
              <w:rPr>
                <w:rFonts w:ascii="Times New Roman" w:hAnsi="Times New Roman" w:cs="Times New Roman"/>
                <w:sz w:val="24"/>
                <w:szCs w:val="24"/>
                <w:lang w:val="en-US" w:eastAsia="en-IN"/>
              </w:rPr>
            </w:pPr>
            <w:r>
              <w:rPr>
                <w:rFonts w:ascii="Times New Roman" w:hAnsi="Times New Roman" w:cs="Times New Roman"/>
                <w:sz w:val="24"/>
                <w:szCs w:val="24"/>
                <w:lang w:val="en-US" w:eastAsia="en-IN"/>
              </w:rPr>
              <w:t>1.6±0.8</w:t>
            </w:r>
            <w:r>
              <w:rPr>
                <w:rFonts w:ascii="Times New Roman" w:hAnsi="Times New Roman" w:cs="Times New Roman"/>
                <w:sz w:val="24"/>
                <w:szCs w:val="24"/>
                <w:vertAlign w:val="superscript"/>
                <w:lang w:val="en-US" w:eastAsia="en-IN"/>
              </w:rPr>
              <w:t>1</w:t>
            </w:r>
          </w:p>
        </w:tc>
      </w:tr>
      <w:tr w:rsidR="00BA0599" w14:paraId="5739011F" w14:textId="77777777">
        <w:trPr>
          <w:trHeight w:val="354"/>
        </w:trPr>
        <w:tc>
          <w:tcPr>
            <w:tcW w:w="2296" w:type="dxa"/>
            <w:tcBorders>
              <w:top w:val="single" w:sz="4" w:space="0" w:color="000000"/>
              <w:left w:val="single" w:sz="4" w:space="0" w:color="000000"/>
              <w:bottom w:val="single" w:sz="4" w:space="0" w:color="000000"/>
              <w:right w:val="single" w:sz="4" w:space="0" w:color="000000"/>
            </w:tcBorders>
          </w:tcPr>
          <w:p w14:paraId="32EE1DE7" w14:textId="77777777" w:rsidR="00BA0599" w:rsidRDefault="00000000">
            <w:pPr>
              <w:spacing w:after="0" w:line="240" w:lineRule="auto"/>
              <w:jc w:val="both"/>
              <w:rPr>
                <w:rFonts w:ascii="Times New Roman" w:hAnsi="Times New Roman" w:cs="Times New Roman"/>
                <w:sz w:val="24"/>
                <w:szCs w:val="24"/>
                <w:lang w:val="en-US" w:eastAsia="en-IN"/>
              </w:rPr>
            </w:pPr>
            <w:r>
              <w:rPr>
                <w:rFonts w:ascii="Times New Roman" w:hAnsi="Times New Roman" w:cs="Times New Roman"/>
                <w:sz w:val="24"/>
                <w:szCs w:val="24"/>
                <w:lang w:val="en-US" w:eastAsia="en-IN"/>
              </w:rPr>
              <w:t>Vanillic acid alone</w:t>
            </w:r>
          </w:p>
        </w:tc>
        <w:tc>
          <w:tcPr>
            <w:tcW w:w="2296" w:type="dxa"/>
            <w:tcBorders>
              <w:top w:val="single" w:sz="4" w:space="0" w:color="000000"/>
              <w:left w:val="single" w:sz="4" w:space="0" w:color="000000"/>
              <w:bottom w:val="single" w:sz="4" w:space="0" w:color="000000"/>
              <w:right w:val="single" w:sz="4" w:space="0" w:color="000000"/>
            </w:tcBorders>
          </w:tcPr>
          <w:p w14:paraId="73FDF597" w14:textId="77777777" w:rsidR="00BA0599" w:rsidRDefault="00000000">
            <w:pPr>
              <w:spacing w:after="0" w:line="240" w:lineRule="auto"/>
              <w:jc w:val="both"/>
              <w:rPr>
                <w:rFonts w:ascii="Times New Roman" w:hAnsi="Times New Roman" w:cs="Times New Roman"/>
                <w:sz w:val="24"/>
                <w:szCs w:val="24"/>
                <w:lang w:val="en-US" w:eastAsia="en-IN"/>
              </w:rPr>
            </w:pPr>
            <w:r>
              <w:rPr>
                <w:rFonts w:ascii="Times New Roman" w:hAnsi="Times New Roman" w:cs="Times New Roman"/>
                <w:sz w:val="24"/>
                <w:szCs w:val="24"/>
                <w:lang w:val="en-US" w:eastAsia="en-IN"/>
              </w:rPr>
              <w:t>76.2±7.2</w:t>
            </w:r>
            <w:r>
              <w:rPr>
                <w:rFonts w:ascii="Times New Roman" w:hAnsi="Times New Roman" w:cs="Times New Roman"/>
                <w:sz w:val="24"/>
                <w:szCs w:val="24"/>
                <w:vertAlign w:val="superscript"/>
                <w:lang w:val="en-US" w:eastAsia="en-IN"/>
              </w:rPr>
              <w:t>1</w:t>
            </w:r>
          </w:p>
        </w:tc>
        <w:tc>
          <w:tcPr>
            <w:tcW w:w="2296" w:type="dxa"/>
            <w:tcBorders>
              <w:top w:val="single" w:sz="4" w:space="0" w:color="000000"/>
              <w:left w:val="single" w:sz="4" w:space="0" w:color="000000"/>
              <w:bottom w:val="single" w:sz="4" w:space="0" w:color="000000"/>
              <w:right w:val="single" w:sz="4" w:space="0" w:color="000000"/>
            </w:tcBorders>
          </w:tcPr>
          <w:p w14:paraId="70C3976A" w14:textId="77777777" w:rsidR="00BA0599" w:rsidRDefault="00000000">
            <w:pPr>
              <w:spacing w:after="0" w:line="240" w:lineRule="auto"/>
              <w:jc w:val="both"/>
              <w:rPr>
                <w:rFonts w:ascii="Times New Roman" w:hAnsi="Times New Roman" w:cs="Times New Roman"/>
                <w:sz w:val="24"/>
                <w:szCs w:val="24"/>
                <w:lang w:val="en-US" w:eastAsia="en-IN"/>
              </w:rPr>
            </w:pPr>
            <w:r>
              <w:rPr>
                <w:rFonts w:ascii="Times New Roman" w:hAnsi="Times New Roman" w:cs="Times New Roman"/>
                <w:sz w:val="24"/>
                <w:szCs w:val="24"/>
                <w:lang w:val="en-US" w:eastAsia="en-IN"/>
              </w:rPr>
              <w:t>7.2±0.9</w:t>
            </w:r>
            <w:r>
              <w:rPr>
                <w:rFonts w:ascii="Times New Roman" w:hAnsi="Times New Roman" w:cs="Times New Roman"/>
                <w:sz w:val="24"/>
                <w:szCs w:val="24"/>
                <w:vertAlign w:val="superscript"/>
                <w:lang w:val="en-US" w:eastAsia="en-IN"/>
              </w:rPr>
              <w:t>1</w:t>
            </w:r>
          </w:p>
        </w:tc>
        <w:tc>
          <w:tcPr>
            <w:tcW w:w="2297" w:type="dxa"/>
            <w:tcBorders>
              <w:top w:val="single" w:sz="4" w:space="0" w:color="000000"/>
              <w:left w:val="single" w:sz="4" w:space="0" w:color="000000"/>
              <w:bottom w:val="single" w:sz="4" w:space="0" w:color="000000"/>
              <w:right w:val="single" w:sz="4" w:space="0" w:color="000000"/>
            </w:tcBorders>
          </w:tcPr>
          <w:p w14:paraId="1A94BD90" w14:textId="77777777" w:rsidR="00BA0599" w:rsidRDefault="00000000">
            <w:pPr>
              <w:spacing w:after="0" w:line="240" w:lineRule="auto"/>
              <w:jc w:val="both"/>
              <w:rPr>
                <w:rFonts w:ascii="Times New Roman" w:hAnsi="Times New Roman" w:cs="Times New Roman"/>
                <w:sz w:val="24"/>
                <w:szCs w:val="24"/>
                <w:lang w:val="en-US" w:eastAsia="en-IN"/>
              </w:rPr>
            </w:pPr>
            <w:r>
              <w:rPr>
                <w:rFonts w:ascii="Times New Roman" w:hAnsi="Times New Roman" w:cs="Times New Roman"/>
                <w:sz w:val="24"/>
                <w:szCs w:val="24"/>
                <w:lang w:val="en-US" w:eastAsia="en-IN"/>
              </w:rPr>
              <w:t>1.2±0.5</w:t>
            </w:r>
            <w:r>
              <w:rPr>
                <w:rFonts w:ascii="Times New Roman" w:hAnsi="Times New Roman" w:cs="Times New Roman"/>
                <w:sz w:val="24"/>
                <w:szCs w:val="24"/>
                <w:vertAlign w:val="superscript"/>
                <w:lang w:val="en-US" w:eastAsia="en-IN"/>
              </w:rPr>
              <w:t>1</w:t>
            </w:r>
          </w:p>
        </w:tc>
      </w:tr>
      <w:tr w:rsidR="00BA0599" w14:paraId="0848319F" w14:textId="77777777">
        <w:trPr>
          <w:trHeight w:val="354"/>
        </w:trPr>
        <w:tc>
          <w:tcPr>
            <w:tcW w:w="2296" w:type="dxa"/>
            <w:tcBorders>
              <w:top w:val="single" w:sz="4" w:space="0" w:color="000000"/>
              <w:left w:val="single" w:sz="4" w:space="0" w:color="000000"/>
              <w:bottom w:val="single" w:sz="4" w:space="0" w:color="000000"/>
              <w:right w:val="single" w:sz="4" w:space="0" w:color="000000"/>
            </w:tcBorders>
          </w:tcPr>
          <w:p w14:paraId="40ECEADD" w14:textId="77777777" w:rsidR="00BA0599" w:rsidRDefault="00000000">
            <w:pPr>
              <w:spacing w:after="0" w:line="240" w:lineRule="auto"/>
              <w:jc w:val="both"/>
              <w:rPr>
                <w:rFonts w:ascii="Times New Roman" w:hAnsi="Times New Roman" w:cs="Times New Roman"/>
                <w:sz w:val="24"/>
                <w:szCs w:val="24"/>
                <w:lang w:val="en-US" w:eastAsia="en-IN"/>
              </w:rPr>
            </w:pPr>
            <w:proofErr w:type="spellStart"/>
            <w:r>
              <w:rPr>
                <w:rFonts w:ascii="Times New Roman" w:hAnsi="Times New Roman" w:cs="Times New Roman"/>
                <w:b/>
                <w:bCs/>
                <w:sz w:val="24"/>
                <w:szCs w:val="24"/>
                <w:lang w:val="en-US" w:eastAsia="en-IN"/>
              </w:rPr>
              <w:t>Hygrotaxis</w:t>
            </w:r>
            <w:proofErr w:type="spellEnd"/>
          </w:p>
        </w:tc>
        <w:tc>
          <w:tcPr>
            <w:tcW w:w="2296" w:type="dxa"/>
            <w:tcBorders>
              <w:top w:val="single" w:sz="4" w:space="0" w:color="000000"/>
              <w:left w:val="single" w:sz="4" w:space="0" w:color="000000"/>
              <w:bottom w:val="single" w:sz="4" w:space="0" w:color="000000"/>
              <w:right w:val="single" w:sz="4" w:space="0" w:color="000000"/>
            </w:tcBorders>
          </w:tcPr>
          <w:p w14:paraId="5BFAE9A3" w14:textId="77777777" w:rsidR="00BA0599" w:rsidRDefault="00BA0599">
            <w:pPr>
              <w:snapToGrid w:val="0"/>
              <w:spacing w:after="0" w:line="240" w:lineRule="auto"/>
              <w:jc w:val="both"/>
              <w:rPr>
                <w:rFonts w:ascii="Times New Roman" w:hAnsi="Times New Roman" w:cs="Times New Roman"/>
                <w:sz w:val="24"/>
                <w:szCs w:val="24"/>
                <w:lang w:val="en-US" w:eastAsia="en-IN"/>
              </w:rPr>
            </w:pPr>
          </w:p>
        </w:tc>
        <w:tc>
          <w:tcPr>
            <w:tcW w:w="2296" w:type="dxa"/>
            <w:tcBorders>
              <w:top w:val="single" w:sz="4" w:space="0" w:color="000000"/>
              <w:left w:val="single" w:sz="4" w:space="0" w:color="000000"/>
              <w:bottom w:val="single" w:sz="4" w:space="0" w:color="000000"/>
              <w:right w:val="single" w:sz="4" w:space="0" w:color="000000"/>
            </w:tcBorders>
          </w:tcPr>
          <w:p w14:paraId="43E20BC0" w14:textId="77777777" w:rsidR="00BA0599" w:rsidRDefault="00BA0599">
            <w:pPr>
              <w:snapToGrid w:val="0"/>
              <w:spacing w:after="0" w:line="240" w:lineRule="auto"/>
              <w:jc w:val="both"/>
              <w:rPr>
                <w:rFonts w:ascii="Times New Roman" w:hAnsi="Times New Roman" w:cs="Times New Roman"/>
                <w:sz w:val="24"/>
                <w:szCs w:val="24"/>
                <w:lang w:val="en-US" w:eastAsia="en-IN"/>
              </w:rPr>
            </w:pPr>
          </w:p>
        </w:tc>
        <w:tc>
          <w:tcPr>
            <w:tcW w:w="2297" w:type="dxa"/>
            <w:tcBorders>
              <w:top w:val="single" w:sz="4" w:space="0" w:color="000000"/>
              <w:left w:val="single" w:sz="4" w:space="0" w:color="000000"/>
              <w:bottom w:val="single" w:sz="4" w:space="0" w:color="000000"/>
              <w:right w:val="single" w:sz="4" w:space="0" w:color="000000"/>
            </w:tcBorders>
          </w:tcPr>
          <w:p w14:paraId="51E9900D" w14:textId="77777777" w:rsidR="00BA0599" w:rsidRDefault="00BA0599">
            <w:pPr>
              <w:snapToGrid w:val="0"/>
              <w:spacing w:after="0" w:line="240" w:lineRule="auto"/>
              <w:jc w:val="both"/>
              <w:rPr>
                <w:rFonts w:ascii="Times New Roman" w:hAnsi="Times New Roman" w:cs="Times New Roman"/>
                <w:sz w:val="24"/>
                <w:szCs w:val="24"/>
                <w:lang w:val="en-US" w:eastAsia="en-IN"/>
              </w:rPr>
            </w:pPr>
          </w:p>
        </w:tc>
      </w:tr>
      <w:tr w:rsidR="00BA0599" w14:paraId="6F379706" w14:textId="77777777">
        <w:trPr>
          <w:trHeight w:val="354"/>
        </w:trPr>
        <w:tc>
          <w:tcPr>
            <w:tcW w:w="2296" w:type="dxa"/>
            <w:tcBorders>
              <w:top w:val="single" w:sz="4" w:space="0" w:color="000000"/>
              <w:left w:val="single" w:sz="4" w:space="0" w:color="000000"/>
              <w:bottom w:val="single" w:sz="4" w:space="0" w:color="000000"/>
              <w:right w:val="single" w:sz="4" w:space="0" w:color="000000"/>
            </w:tcBorders>
          </w:tcPr>
          <w:p w14:paraId="54A44DA5" w14:textId="77777777" w:rsidR="00BA0599" w:rsidRDefault="00000000">
            <w:pPr>
              <w:spacing w:after="0" w:line="240" w:lineRule="auto"/>
              <w:jc w:val="both"/>
              <w:rPr>
                <w:rFonts w:ascii="Times New Roman" w:hAnsi="Times New Roman" w:cs="Times New Roman"/>
                <w:sz w:val="24"/>
                <w:szCs w:val="24"/>
                <w:lang w:val="en-US" w:eastAsia="en-IN"/>
              </w:rPr>
            </w:pPr>
            <w:r>
              <w:rPr>
                <w:rFonts w:ascii="Times New Roman" w:hAnsi="Times New Roman" w:cs="Times New Roman"/>
                <w:sz w:val="24"/>
                <w:szCs w:val="24"/>
                <w:lang w:val="en-US" w:eastAsia="en-IN"/>
              </w:rPr>
              <w:t>WT (control)</w:t>
            </w:r>
          </w:p>
        </w:tc>
        <w:tc>
          <w:tcPr>
            <w:tcW w:w="2296" w:type="dxa"/>
            <w:tcBorders>
              <w:top w:val="single" w:sz="4" w:space="0" w:color="000000"/>
              <w:left w:val="single" w:sz="4" w:space="0" w:color="000000"/>
              <w:bottom w:val="single" w:sz="4" w:space="0" w:color="000000"/>
              <w:right w:val="single" w:sz="4" w:space="0" w:color="000000"/>
            </w:tcBorders>
          </w:tcPr>
          <w:p w14:paraId="3E438537" w14:textId="77777777" w:rsidR="00BA0599" w:rsidRDefault="00000000">
            <w:pPr>
              <w:spacing w:after="0" w:line="240" w:lineRule="auto"/>
              <w:jc w:val="both"/>
              <w:rPr>
                <w:rFonts w:ascii="Times New Roman" w:hAnsi="Times New Roman" w:cs="Times New Roman"/>
                <w:sz w:val="24"/>
                <w:szCs w:val="24"/>
                <w:lang w:val="en-US" w:eastAsia="en-IN"/>
              </w:rPr>
            </w:pPr>
            <w:r>
              <w:rPr>
                <w:rFonts w:ascii="Times New Roman" w:hAnsi="Times New Roman" w:cs="Times New Roman"/>
                <w:sz w:val="24"/>
                <w:szCs w:val="24"/>
                <w:lang w:val="en-US" w:eastAsia="en-IN"/>
              </w:rPr>
              <w:t>60.0±15.0</w:t>
            </w:r>
            <w:r>
              <w:rPr>
                <w:rFonts w:ascii="Times New Roman" w:hAnsi="Times New Roman" w:cs="Times New Roman"/>
                <w:sz w:val="24"/>
                <w:szCs w:val="24"/>
                <w:vertAlign w:val="superscript"/>
                <w:lang w:val="en-US" w:eastAsia="en-IN"/>
              </w:rPr>
              <w:t>1</w:t>
            </w:r>
          </w:p>
        </w:tc>
        <w:tc>
          <w:tcPr>
            <w:tcW w:w="2296" w:type="dxa"/>
            <w:tcBorders>
              <w:top w:val="single" w:sz="4" w:space="0" w:color="000000"/>
              <w:left w:val="single" w:sz="4" w:space="0" w:color="000000"/>
              <w:bottom w:val="single" w:sz="4" w:space="0" w:color="000000"/>
              <w:right w:val="single" w:sz="4" w:space="0" w:color="000000"/>
            </w:tcBorders>
          </w:tcPr>
          <w:p w14:paraId="3F5A5364" w14:textId="77777777" w:rsidR="00BA0599" w:rsidRDefault="00000000">
            <w:pPr>
              <w:spacing w:after="0" w:line="240" w:lineRule="auto"/>
              <w:jc w:val="both"/>
              <w:rPr>
                <w:rFonts w:ascii="Times New Roman" w:hAnsi="Times New Roman" w:cs="Times New Roman"/>
                <w:sz w:val="24"/>
                <w:szCs w:val="24"/>
                <w:lang w:val="en-US" w:eastAsia="en-IN"/>
              </w:rPr>
            </w:pPr>
            <w:r>
              <w:rPr>
                <w:rFonts w:ascii="Times New Roman" w:hAnsi="Times New Roman" w:cs="Times New Roman"/>
                <w:sz w:val="24"/>
                <w:szCs w:val="24"/>
                <w:lang w:val="en-US" w:eastAsia="en-IN"/>
              </w:rPr>
              <w:t>21.6±6.8</w:t>
            </w:r>
            <w:r>
              <w:rPr>
                <w:rFonts w:ascii="Times New Roman" w:hAnsi="Times New Roman" w:cs="Times New Roman"/>
                <w:sz w:val="24"/>
                <w:szCs w:val="24"/>
                <w:vertAlign w:val="superscript"/>
                <w:lang w:val="en-US" w:eastAsia="en-IN"/>
              </w:rPr>
              <w:t>1</w:t>
            </w:r>
          </w:p>
        </w:tc>
        <w:tc>
          <w:tcPr>
            <w:tcW w:w="2297" w:type="dxa"/>
            <w:tcBorders>
              <w:top w:val="single" w:sz="4" w:space="0" w:color="000000"/>
              <w:left w:val="single" w:sz="4" w:space="0" w:color="000000"/>
              <w:bottom w:val="single" w:sz="4" w:space="0" w:color="000000"/>
              <w:right w:val="single" w:sz="4" w:space="0" w:color="000000"/>
            </w:tcBorders>
          </w:tcPr>
          <w:p w14:paraId="073DF6F4" w14:textId="77777777" w:rsidR="00BA0599" w:rsidRDefault="00000000">
            <w:pPr>
              <w:spacing w:after="0" w:line="240" w:lineRule="auto"/>
              <w:jc w:val="both"/>
              <w:rPr>
                <w:rFonts w:ascii="Times New Roman" w:hAnsi="Times New Roman" w:cs="Times New Roman"/>
                <w:sz w:val="24"/>
                <w:szCs w:val="24"/>
                <w:lang w:val="en-US" w:eastAsia="en-IN"/>
              </w:rPr>
            </w:pPr>
            <w:r>
              <w:rPr>
                <w:rFonts w:ascii="Times New Roman" w:hAnsi="Times New Roman" w:cs="Times New Roman"/>
                <w:sz w:val="24"/>
                <w:szCs w:val="24"/>
                <w:lang w:val="en-US" w:eastAsia="en-IN"/>
              </w:rPr>
              <w:t>7.3±2.3</w:t>
            </w:r>
            <w:r>
              <w:rPr>
                <w:rFonts w:ascii="Times New Roman" w:hAnsi="Times New Roman" w:cs="Times New Roman"/>
                <w:sz w:val="24"/>
                <w:szCs w:val="24"/>
                <w:vertAlign w:val="superscript"/>
                <w:lang w:val="en-US" w:eastAsia="en-IN"/>
              </w:rPr>
              <w:t>1</w:t>
            </w:r>
          </w:p>
        </w:tc>
      </w:tr>
      <w:tr w:rsidR="00BA0599" w14:paraId="28C90508" w14:textId="77777777">
        <w:trPr>
          <w:trHeight w:val="354"/>
        </w:trPr>
        <w:tc>
          <w:tcPr>
            <w:tcW w:w="2296" w:type="dxa"/>
            <w:tcBorders>
              <w:top w:val="single" w:sz="4" w:space="0" w:color="000000"/>
              <w:left w:val="single" w:sz="4" w:space="0" w:color="000000"/>
              <w:bottom w:val="single" w:sz="4" w:space="0" w:color="000000"/>
              <w:right w:val="single" w:sz="4" w:space="0" w:color="000000"/>
            </w:tcBorders>
          </w:tcPr>
          <w:p w14:paraId="42A9BDB6" w14:textId="77777777" w:rsidR="00BA0599" w:rsidRDefault="00000000">
            <w:pPr>
              <w:spacing w:after="0" w:line="240" w:lineRule="auto"/>
              <w:jc w:val="both"/>
            </w:pPr>
            <w:r>
              <w:rPr>
                <w:rFonts w:ascii="Times New Roman" w:hAnsi="Times New Roman" w:cs="Times New Roman"/>
                <w:sz w:val="24"/>
                <w:szCs w:val="24"/>
                <w:lang w:val="en-US" w:eastAsia="en-IN"/>
              </w:rPr>
              <w:t>UV treated</w:t>
            </w:r>
          </w:p>
        </w:tc>
        <w:tc>
          <w:tcPr>
            <w:tcW w:w="2296" w:type="dxa"/>
            <w:tcBorders>
              <w:top w:val="single" w:sz="4" w:space="0" w:color="000000"/>
              <w:left w:val="single" w:sz="4" w:space="0" w:color="000000"/>
              <w:bottom w:val="single" w:sz="4" w:space="0" w:color="000000"/>
              <w:right w:val="single" w:sz="4" w:space="0" w:color="000000"/>
            </w:tcBorders>
          </w:tcPr>
          <w:p w14:paraId="04DFC4C4" w14:textId="77777777" w:rsidR="00BA0599" w:rsidRDefault="00000000">
            <w:pPr>
              <w:spacing w:after="0" w:line="240" w:lineRule="auto"/>
              <w:jc w:val="both"/>
              <w:rPr>
                <w:rFonts w:ascii="Times New Roman" w:hAnsi="Times New Roman" w:cs="Times New Roman"/>
                <w:sz w:val="24"/>
                <w:szCs w:val="24"/>
                <w:lang w:val="en-US" w:eastAsia="en-IN"/>
              </w:rPr>
            </w:pPr>
            <w:r>
              <w:rPr>
                <w:rFonts w:ascii="Times New Roman" w:hAnsi="Times New Roman" w:cs="Times New Roman"/>
                <w:sz w:val="24"/>
                <w:szCs w:val="24"/>
                <w:lang w:val="en-US" w:eastAsia="en-IN"/>
              </w:rPr>
              <w:t>70.5±6.7</w:t>
            </w:r>
            <w:r>
              <w:rPr>
                <w:rFonts w:ascii="Times New Roman" w:hAnsi="Times New Roman" w:cs="Times New Roman"/>
                <w:sz w:val="24"/>
                <w:szCs w:val="24"/>
                <w:vertAlign w:val="superscript"/>
                <w:lang w:val="en-US" w:eastAsia="en-IN"/>
              </w:rPr>
              <w:t>2</w:t>
            </w:r>
          </w:p>
        </w:tc>
        <w:tc>
          <w:tcPr>
            <w:tcW w:w="2296" w:type="dxa"/>
            <w:tcBorders>
              <w:top w:val="single" w:sz="4" w:space="0" w:color="000000"/>
              <w:left w:val="single" w:sz="4" w:space="0" w:color="000000"/>
              <w:bottom w:val="single" w:sz="4" w:space="0" w:color="000000"/>
              <w:right w:val="single" w:sz="4" w:space="0" w:color="000000"/>
            </w:tcBorders>
          </w:tcPr>
          <w:p w14:paraId="178C37EC" w14:textId="77777777" w:rsidR="00BA0599" w:rsidRDefault="00000000">
            <w:pPr>
              <w:spacing w:after="0" w:line="240" w:lineRule="auto"/>
              <w:jc w:val="both"/>
              <w:rPr>
                <w:rFonts w:ascii="Times New Roman" w:hAnsi="Times New Roman" w:cs="Times New Roman"/>
                <w:sz w:val="24"/>
                <w:szCs w:val="24"/>
                <w:lang w:val="en-US" w:eastAsia="en-IN"/>
              </w:rPr>
            </w:pPr>
            <w:r>
              <w:rPr>
                <w:rFonts w:ascii="Times New Roman" w:hAnsi="Times New Roman" w:cs="Times New Roman"/>
                <w:sz w:val="24"/>
                <w:szCs w:val="24"/>
                <w:lang w:val="en-US" w:eastAsia="en-IN"/>
              </w:rPr>
              <w:t>26.3±5.2</w:t>
            </w:r>
            <w:r>
              <w:rPr>
                <w:rFonts w:ascii="Times New Roman" w:hAnsi="Times New Roman" w:cs="Times New Roman"/>
                <w:sz w:val="24"/>
                <w:szCs w:val="24"/>
                <w:vertAlign w:val="superscript"/>
                <w:lang w:val="en-US" w:eastAsia="en-IN"/>
              </w:rPr>
              <w:t>2</w:t>
            </w:r>
          </w:p>
        </w:tc>
        <w:tc>
          <w:tcPr>
            <w:tcW w:w="2297" w:type="dxa"/>
            <w:tcBorders>
              <w:top w:val="single" w:sz="4" w:space="0" w:color="000000"/>
              <w:left w:val="single" w:sz="4" w:space="0" w:color="000000"/>
              <w:bottom w:val="single" w:sz="4" w:space="0" w:color="000000"/>
              <w:right w:val="single" w:sz="4" w:space="0" w:color="000000"/>
            </w:tcBorders>
          </w:tcPr>
          <w:p w14:paraId="794A0C5B" w14:textId="77777777" w:rsidR="00BA0599" w:rsidRDefault="00000000">
            <w:pPr>
              <w:spacing w:after="0" w:line="240" w:lineRule="auto"/>
              <w:jc w:val="both"/>
              <w:rPr>
                <w:rFonts w:ascii="Times New Roman" w:hAnsi="Times New Roman" w:cs="Times New Roman"/>
                <w:sz w:val="24"/>
                <w:szCs w:val="24"/>
                <w:lang w:val="en-US" w:eastAsia="en-IN"/>
              </w:rPr>
            </w:pPr>
            <w:r>
              <w:rPr>
                <w:rFonts w:ascii="Times New Roman" w:hAnsi="Times New Roman" w:cs="Times New Roman"/>
                <w:sz w:val="24"/>
                <w:szCs w:val="24"/>
                <w:lang w:val="en-US" w:eastAsia="en-IN"/>
              </w:rPr>
              <w:t>9.8±2.1</w:t>
            </w:r>
            <w:r>
              <w:rPr>
                <w:rFonts w:ascii="Times New Roman" w:hAnsi="Times New Roman" w:cs="Times New Roman"/>
                <w:sz w:val="24"/>
                <w:szCs w:val="24"/>
                <w:vertAlign w:val="superscript"/>
                <w:lang w:val="en-US" w:eastAsia="en-IN"/>
              </w:rPr>
              <w:t>2</w:t>
            </w:r>
          </w:p>
        </w:tc>
      </w:tr>
      <w:tr w:rsidR="00BA0599" w14:paraId="043199D5" w14:textId="77777777">
        <w:trPr>
          <w:trHeight w:val="354"/>
        </w:trPr>
        <w:tc>
          <w:tcPr>
            <w:tcW w:w="2296" w:type="dxa"/>
            <w:tcBorders>
              <w:top w:val="single" w:sz="4" w:space="0" w:color="000000"/>
              <w:left w:val="single" w:sz="4" w:space="0" w:color="000000"/>
              <w:bottom w:val="single" w:sz="4" w:space="0" w:color="000000"/>
              <w:right w:val="single" w:sz="4" w:space="0" w:color="000000"/>
            </w:tcBorders>
          </w:tcPr>
          <w:p w14:paraId="42D2D50E" w14:textId="77777777" w:rsidR="00BA0599" w:rsidRDefault="00000000">
            <w:pPr>
              <w:spacing w:after="0" w:line="240" w:lineRule="auto"/>
              <w:jc w:val="both"/>
              <w:rPr>
                <w:rFonts w:ascii="Times New Roman" w:hAnsi="Times New Roman" w:cs="Times New Roman"/>
                <w:sz w:val="24"/>
                <w:szCs w:val="24"/>
                <w:lang w:val="en-US" w:eastAsia="en-IN"/>
              </w:rPr>
            </w:pPr>
            <w:r>
              <w:rPr>
                <w:rFonts w:ascii="Times New Roman" w:hAnsi="Times New Roman" w:cs="Times New Roman"/>
                <w:sz w:val="24"/>
                <w:szCs w:val="24"/>
                <w:lang w:val="en-US" w:eastAsia="en-IN"/>
              </w:rPr>
              <w:t>UV + vanillic acid</w:t>
            </w:r>
          </w:p>
        </w:tc>
        <w:tc>
          <w:tcPr>
            <w:tcW w:w="2296" w:type="dxa"/>
            <w:tcBorders>
              <w:top w:val="single" w:sz="4" w:space="0" w:color="000000"/>
              <w:left w:val="single" w:sz="4" w:space="0" w:color="000000"/>
              <w:bottom w:val="single" w:sz="4" w:space="0" w:color="000000"/>
              <w:right w:val="single" w:sz="4" w:space="0" w:color="000000"/>
            </w:tcBorders>
          </w:tcPr>
          <w:p w14:paraId="2D444910" w14:textId="77777777" w:rsidR="00BA0599" w:rsidRDefault="00000000">
            <w:pPr>
              <w:spacing w:after="0" w:line="240" w:lineRule="auto"/>
              <w:jc w:val="both"/>
              <w:rPr>
                <w:rFonts w:ascii="Times New Roman" w:hAnsi="Times New Roman" w:cs="Times New Roman"/>
                <w:sz w:val="24"/>
                <w:szCs w:val="24"/>
                <w:lang w:val="en-US" w:eastAsia="en-IN"/>
              </w:rPr>
            </w:pPr>
            <w:r>
              <w:rPr>
                <w:rFonts w:ascii="Times New Roman" w:hAnsi="Times New Roman" w:cs="Times New Roman"/>
                <w:sz w:val="24"/>
                <w:szCs w:val="24"/>
                <w:lang w:val="en-US" w:eastAsia="en-IN"/>
              </w:rPr>
              <w:t>87.6±7.1</w:t>
            </w:r>
            <w:r>
              <w:rPr>
                <w:rFonts w:ascii="Times New Roman" w:hAnsi="Times New Roman" w:cs="Times New Roman"/>
                <w:sz w:val="24"/>
                <w:szCs w:val="24"/>
                <w:vertAlign w:val="superscript"/>
                <w:lang w:val="en-US" w:eastAsia="en-IN"/>
              </w:rPr>
              <w:t>1</w:t>
            </w:r>
          </w:p>
        </w:tc>
        <w:tc>
          <w:tcPr>
            <w:tcW w:w="2296" w:type="dxa"/>
            <w:tcBorders>
              <w:top w:val="single" w:sz="4" w:space="0" w:color="000000"/>
              <w:left w:val="single" w:sz="4" w:space="0" w:color="000000"/>
              <w:bottom w:val="single" w:sz="4" w:space="0" w:color="000000"/>
              <w:right w:val="single" w:sz="4" w:space="0" w:color="000000"/>
            </w:tcBorders>
          </w:tcPr>
          <w:p w14:paraId="2FB3AF86" w14:textId="77777777" w:rsidR="00BA0599" w:rsidRDefault="00000000">
            <w:pPr>
              <w:spacing w:after="0" w:line="240" w:lineRule="auto"/>
              <w:jc w:val="both"/>
              <w:rPr>
                <w:rFonts w:ascii="Times New Roman" w:hAnsi="Times New Roman" w:cs="Times New Roman"/>
                <w:sz w:val="24"/>
                <w:szCs w:val="24"/>
                <w:lang w:val="en-US" w:eastAsia="en-IN"/>
              </w:rPr>
            </w:pPr>
            <w:r>
              <w:rPr>
                <w:rFonts w:ascii="Times New Roman" w:hAnsi="Times New Roman" w:cs="Times New Roman"/>
                <w:sz w:val="24"/>
                <w:szCs w:val="24"/>
                <w:lang w:val="en-US" w:eastAsia="en-IN"/>
              </w:rPr>
              <w:t>22.7±5.4</w:t>
            </w:r>
            <w:r>
              <w:rPr>
                <w:rFonts w:ascii="Times New Roman" w:hAnsi="Times New Roman" w:cs="Times New Roman"/>
                <w:sz w:val="24"/>
                <w:szCs w:val="24"/>
                <w:vertAlign w:val="superscript"/>
                <w:lang w:val="en-US" w:eastAsia="en-IN"/>
              </w:rPr>
              <w:t>1</w:t>
            </w:r>
          </w:p>
        </w:tc>
        <w:tc>
          <w:tcPr>
            <w:tcW w:w="2297" w:type="dxa"/>
            <w:tcBorders>
              <w:top w:val="single" w:sz="4" w:space="0" w:color="000000"/>
              <w:left w:val="single" w:sz="4" w:space="0" w:color="000000"/>
              <w:bottom w:val="single" w:sz="4" w:space="0" w:color="000000"/>
              <w:right w:val="single" w:sz="4" w:space="0" w:color="000000"/>
            </w:tcBorders>
          </w:tcPr>
          <w:p w14:paraId="1B6170D0" w14:textId="77777777" w:rsidR="00BA0599" w:rsidRDefault="00000000">
            <w:pPr>
              <w:spacing w:after="0" w:line="240" w:lineRule="auto"/>
              <w:jc w:val="both"/>
              <w:rPr>
                <w:rFonts w:ascii="Times New Roman" w:hAnsi="Times New Roman" w:cs="Times New Roman"/>
                <w:sz w:val="24"/>
                <w:szCs w:val="24"/>
                <w:lang w:val="en-US" w:eastAsia="en-IN"/>
              </w:rPr>
            </w:pPr>
            <w:r>
              <w:rPr>
                <w:rFonts w:ascii="Times New Roman" w:hAnsi="Times New Roman" w:cs="Times New Roman"/>
                <w:sz w:val="24"/>
                <w:szCs w:val="24"/>
                <w:lang w:val="en-US" w:eastAsia="en-IN"/>
              </w:rPr>
              <w:t>6.5±1.8</w:t>
            </w:r>
            <w:r>
              <w:rPr>
                <w:rFonts w:ascii="Times New Roman" w:hAnsi="Times New Roman" w:cs="Times New Roman"/>
                <w:sz w:val="24"/>
                <w:szCs w:val="24"/>
                <w:vertAlign w:val="superscript"/>
                <w:lang w:val="en-US" w:eastAsia="en-IN"/>
              </w:rPr>
              <w:t>1</w:t>
            </w:r>
          </w:p>
        </w:tc>
      </w:tr>
      <w:tr w:rsidR="00BA0599" w14:paraId="0EE0C5AF" w14:textId="77777777">
        <w:trPr>
          <w:trHeight w:val="354"/>
        </w:trPr>
        <w:tc>
          <w:tcPr>
            <w:tcW w:w="2296" w:type="dxa"/>
            <w:tcBorders>
              <w:top w:val="single" w:sz="4" w:space="0" w:color="000000"/>
              <w:left w:val="single" w:sz="4" w:space="0" w:color="000000"/>
              <w:bottom w:val="single" w:sz="4" w:space="0" w:color="000000"/>
              <w:right w:val="single" w:sz="4" w:space="0" w:color="000000"/>
            </w:tcBorders>
          </w:tcPr>
          <w:p w14:paraId="7DE731AE" w14:textId="77777777" w:rsidR="00BA0599" w:rsidRDefault="00000000">
            <w:pPr>
              <w:spacing w:after="0" w:line="240" w:lineRule="auto"/>
              <w:jc w:val="both"/>
              <w:rPr>
                <w:rFonts w:ascii="Times New Roman" w:hAnsi="Times New Roman" w:cs="Times New Roman"/>
                <w:sz w:val="24"/>
                <w:szCs w:val="24"/>
                <w:lang w:val="en-US" w:eastAsia="en-IN"/>
              </w:rPr>
            </w:pPr>
            <w:r>
              <w:rPr>
                <w:rFonts w:ascii="Times New Roman" w:hAnsi="Times New Roman" w:cs="Times New Roman"/>
                <w:sz w:val="24"/>
                <w:szCs w:val="24"/>
                <w:lang w:val="en-US" w:eastAsia="en-IN"/>
              </w:rPr>
              <w:t>Vanillic acid alone</w:t>
            </w:r>
          </w:p>
        </w:tc>
        <w:tc>
          <w:tcPr>
            <w:tcW w:w="2296" w:type="dxa"/>
            <w:tcBorders>
              <w:top w:val="single" w:sz="4" w:space="0" w:color="000000"/>
              <w:left w:val="single" w:sz="4" w:space="0" w:color="000000"/>
              <w:bottom w:val="single" w:sz="4" w:space="0" w:color="000000"/>
              <w:right w:val="single" w:sz="4" w:space="0" w:color="000000"/>
            </w:tcBorders>
          </w:tcPr>
          <w:p w14:paraId="2969CDFC" w14:textId="77777777" w:rsidR="00BA0599" w:rsidRDefault="00000000">
            <w:pPr>
              <w:spacing w:after="0" w:line="240" w:lineRule="auto"/>
              <w:jc w:val="both"/>
              <w:rPr>
                <w:rFonts w:ascii="Times New Roman" w:hAnsi="Times New Roman" w:cs="Times New Roman"/>
                <w:sz w:val="24"/>
                <w:szCs w:val="24"/>
                <w:lang w:val="en-US" w:eastAsia="en-IN"/>
              </w:rPr>
            </w:pPr>
            <w:r>
              <w:rPr>
                <w:rFonts w:ascii="Times New Roman" w:hAnsi="Times New Roman" w:cs="Times New Roman"/>
                <w:sz w:val="24"/>
                <w:szCs w:val="24"/>
                <w:lang w:val="en-US" w:eastAsia="en-IN"/>
              </w:rPr>
              <w:t>92.5±8.3</w:t>
            </w:r>
            <w:r>
              <w:rPr>
                <w:rFonts w:ascii="Times New Roman" w:hAnsi="Times New Roman" w:cs="Times New Roman"/>
                <w:sz w:val="24"/>
                <w:szCs w:val="24"/>
                <w:vertAlign w:val="superscript"/>
                <w:lang w:val="en-US" w:eastAsia="en-IN"/>
              </w:rPr>
              <w:t>1</w:t>
            </w:r>
          </w:p>
        </w:tc>
        <w:tc>
          <w:tcPr>
            <w:tcW w:w="2296" w:type="dxa"/>
            <w:tcBorders>
              <w:top w:val="single" w:sz="4" w:space="0" w:color="000000"/>
              <w:left w:val="single" w:sz="4" w:space="0" w:color="000000"/>
              <w:bottom w:val="single" w:sz="4" w:space="0" w:color="000000"/>
              <w:right w:val="single" w:sz="4" w:space="0" w:color="000000"/>
            </w:tcBorders>
          </w:tcPr>
          <w:p w14:paraId="5B0FF411" w14:textId="77777777" w:rsidR="00BA0599" w:rsidRDefault="00000000">
            <w:pPr>
              <w:spacing w:after="0" w:line="240" w:lineRule="auto"/>
              <w:jc w:val="both"/>
              <w:rPr>
                <w:rFonts w:ascii="Times New Roman" w:hAnsi="Times New Roman" w:cs="Times New Roman"/>
                <w:sz w:val="24"/>
                <w:szCs w:val="24"/>
                <w:lang w:val="en-US" w:eastAsia="en-IN"/>
              </w:rPr>
            </w:pPr>
            <w:r>
              <w:rPr>
                <w:rFonts w:ascii="Times New Roman" w:hAnsi="Times New Roman" w:cs="Times New Roman"/>
                <w:sz w:val="24"/>
                <w:szCs w:val="24"/>
                <w:lang w:val="en-US" w:eastAsia="en-IN"/>
              </w:rPr>
              <w:t>20.6±5.8</w:t>
            </w:r>
            <w:r>
              <w:rPr>
                <w:rFonts w:ascii="Times New Roman" w:hAnsi="Times New Roman" w:cs="Times New Roman"/>
                <w:sz w:val="24"/>
                <w:szCs w:val="24"/>
                <w:vertAlign w:val="superscript"/>
                <w:lang w:val="en-US" w:eastAsia="en-IN"/>
              </w:rPr>
              <w:t>1</w:t>
            </w:r>
          </w:p>
        </w:tc>
        <w:tc>
          <w:tcPr>
            <w:tcW w:w="2297" w:type="dxa"/>
            <w:tcBorders>
              <w:top w:val="single" w:sz="4" w:space="0" w:color="000000"/>
              <w:left w:val="single" w:sz="4" w:space="0" w:color="000000"/>
              <w:bottom w:val="single" w:sz="4" w:space="0" w:color="000000"/>
              <w:right w:val="single" w:sz="4" w:space="0" w:color="000000"/>
            </w:tcBorders>
          </w:tcPr>
          <w:p w14:paraId="0E1320DF" w14:textId="77777777" w:rsidR="00BA0599" w:rsidRDefault="00000000">
            <w:pPr>
              <w:spacing w:after="0" w:line="240" w:lineRule="auto"/>
              <w:jc w:val="both"/>
              <w:rPr>
                <w:rFonts w:ascii="Times New Roman" w:hAnsi="Times New Roman" w:cs="Times New Roman"/>
                <w:sz w:val="24"/>
                <w:szCs w:val="24"/>
                <w:lang w:val="en-US" w:eastAsia="en-IN"/>
              </w:rPr>
            </w:pPr>
            <w:r>
              <w:rPr>
                <w:rFonts w:ascii="Times New Roman" w:hAnsi="Times New Roman" w:cs="Times New Roman"/>
                <w:sz w:val="24"/>
                <w:szCs w:val="24"/>
                <w:lang w:val="en-US" w:eastAsia="en-IN"/>
              </w:rPr>
              <w:t>7.1±2.1</w:t>
            </w:r>
            <w:r>
              <w:rPr>
                <w:rFonts w:ascii="Times New Roman" w:hAnsi="Times New Roman" w:cs="Times New Roman"/>
                <w:sz w:val="24"/>
                <w:szCs w:val="24"/>
                <w:vertAlign w:val="superscript"/>
                <w:lang w:val="en-US" w:eastAsia="en-IN"/>
              </w:rPr>
              <w:t>1</w:t>
            </w:r>
          </w:p>
        </w:tc>
      </w:tr>
    </w:tbl>
    <w:p w14:paraId="600C86AA" w14:textId="77777777" w:rsidR="00BA0599" w:rsidRDefault="00000000">
      <w:pPr>
        <w:spacing w:line="360" w:lineRule="auto"/>
        <w:jc w:val="both"/>
        <w:rPr>
          <w:rFonts w:ascii="Times New Roman" w:hAnsi="Times New Roman" w:cs="Times New Roman"/>
          <w:bCs/>
          <w:iCs/>
          <w:sz w:val="24"/>
          <w:szCs w:val="24"/>
        </w:rPr>
      </w:pPr>
      <w:r>
        <w:rPr>
          <w:rFonts w:ascii="Times New Roman" w:hAnsi="Times New Roman" w:cs="Times New Roman"/>
          <w:bCs/>
          <w:iCs/>
          <w:sz w:val="24"/>
          <w:szCs w:val="24"/>
        </w:rPr>
        <w:t xml:space="preserve">Values are expressed as mean ± SD. Values not sharing a common superscript differ significantly at </w:t>
      </w:r>
      <w:r>
        <w:rPr>
          <w:rFonts w:ascii="Times New Roman" w:hAnsi="Times New Roman" w:cs="Times New Roman"/>
          <w:bCs/>
          <w:i/>
          <w:iCs/>
          <w:sz w:val="24"/>
          <w:szCs w:val="24"/>
        </w:rPr>
        <w:t>p</w:t>
      </w:r>
      <w:r>
        <w:rPr>
          <w:rFonts w:ascii="Times New Roman" w:hAnsi="Times New Roman" w:cs="Times New Roman"/>
          <w:bCs/>
          <w:iCs/>
          <w:sz w:val="24"/>
          <w:szCs w:val="24"/>
        </w:rPr>
        <w:t>&lt; 0.05 (DMRT).</w:t>
      </w:r>
    </w:p>
    <w:p w14:paraId="5B971B85" w14:textId="77777777" w:rsidR="00BA0599" w:rsidRDefault="00BA0599">
      <w:pPr>
        <w:spacing w:line="360" w:lineRule="auto"/>
        <w:jc w:val="both"/>
        <w:rPr>
          <w:rFonts w:ascii="Times New Roman" w:hAnsi="Times New Roman" w:cs="Times New Roman"/>
          <w:bCs/>
          <w:iCs/>
          <w:sz w:val="24"/>
          <w:szCs w:val="24"/>
        </w:rPr>
      </w:pPr>
    </w:p>
    <w:p w14:paraId="4F07AF82" w14:textId="77777777" w:rsidR="00BA0599" w:rsidRDefault="00000000">
      <w:pPr>
        <w:spacing w:line="360" w:lineRule="auto"/>
        <w:jc w:val="both"/>
        <w:rPr>
          <w:rFonts w:ascii="Times New Roman" w:hAnsi="Times New Roman" w:cs="Times New Roman"/>
          <w:b/>
          <w:bCs/>
          <w:iCs/>
          <w:sz w:val="24"/>
          <w:szCs w:val="24"/>
        </w:rPr>
      </w:pPr>
      <w:r>
        <w:rPr>
          <w:rFonts w:ascii="Times New Roman" w:hAnsi="Times New Roman" w:cs="Times New Roman"/>
          <w:b/>
          <w:bCs/>
          <w:iCs/>
          <w:sz w:val="24"/>
          <w:szCs w:val="24"/>
        </w:rPr>
        <w:t>Biochemical indices</w:t>
      </w:r>
    </w:p>
    <w:p w14:paraId="74E4E12B" w14:textId="77777777" w:rsidR="00BA0599" w:rsidRDefault="00000000">
      <w:pPr>
        <w:spacing w:line="360" w:lineRule="auto"/>
        <w:jc w:val="both"/>
      </w:pPr>
      <w:r>
        <w:rPr>
          <w:rFonts w:ascii="Times New Roman" w:hAnsi="Times New Roman" w:cs="Times New Roman"/>
          <w:bCs/>
          <w:iCs/>
          <w:sz w:val="24"/>
          <w:szCs w:val="24"/>
        </w:rPr>
        <w:t xml:space="preserve">The levels of lipid peroxidation, protein oxidation, and antioxidant enzymes in whole-body homogenates are </w:t>
      </w:r>
      <w:r>
        <w:rPr>
          <w:rFonts w:ascii="Times New Roman" w:hAnsi="Times New Roman" w:cs="Times New Roman"/>
          <w:bCs/>
          <w:iCs/>
          <w:sz w:val="24"/>
          <w:szCs w:val="24"/>
          <w:highlight w:val="yellow"/>
        </w:rPr>
        <w:t>summarised</w:t>
      </w:r>
      <w:r>
        <w:rPr>
          <w:rFonts w:ascii="Times New Roman" w:hAnsi="Times New Roman" w:cs="Times New Roman"/>
          <w:bCs/>
          <w:iCs/>
          <w:sz w:val="24"/>
          <w:szCs w:val="24"/>
        </w:rPr>
        <w:t xml:space="preserve"> in Table 3. UV-treated flies exhibited a significant increase in </w:t>
      </w:r>
      <w:proofErr w:type="spellStart"/>
      <w:r>
        <w:rPr>
          <w:rFonts w:ascii="Times New Roman" w:hAnsi="Times New Roman" w:cs="Times New Roman"/>
          <w:bCs/>
          <w:iCs/>
          <w:sz w:val="24"/>
          <w:szCs w:val="24"/>
        </w:rPr>
        <w:t>thiobarbituric</w:t>
      </w:r>
      <w:proofErr w:type="spellEnd"/>
      <w:r>
        <w:rPr>
          <w:rFonts w:ascii="Times New Roman" w:hAnsi="Times New Roman" w:cs="Times New Roman"/>
          <w:bCs/>
          <w:iCs/>
          <w:sz w:val="24"/>
          <w:szCs w:val="24"/>
        </w:rPr>
        <w:t xml:space="preserve"> acid reactive substances (TBARS) and protein carbonyl content compared with WT controls (</w:t>
      </w:r>
      <w:r>
        <w:rPr>
          <w:rFonts w:ascii="Times New Roman" w:hAnsi="Times New Roman" w:cs="Times New Roman"/>
          <w:bCs/>
          <w:i/>
          <w:iCs/>
          <w:sz w:val="24"/>
          <w:szCs w:val="24"/>
          <w:highlight w:val="yellow"/>
        </w:rPr>
        <w:t xml:space="preserve">p </w:t>
      </w:r>
      <w:r>
        <w:rPr>
          <w:rFonts w:ascii="Times New Roman" w:hAnsi="Times New Roman" w:cs="Times New Roman"/>
          <w:bCs/>
          <w:iCs/>
          <w:sz w:val="24"/>
          <w:szCs w:val="24"/>
        </w:rPr>
        <w:t>&lt; 0.05), indicating enhanced oxidative stress. Superoxide dismutase (SOD) activity was concurrently reduced in UV-treated flies.</w:t>
      </w:r>
    </w:p>
    <w:p w14:paraId="0B9F31C0" w14:textId="77777777" w:rsidR="00BA0599" w:rsidRDefault="00000000">
      <w:pPr>
        <w:spacing w:line="360" w:lineRule="auto"/>
        <w:jc w:val="both"/>
      </w:pPr>
      <w:r>
        <w:rPr>
          <w:rFonts w:ascii="Times New Roman" w:hAnsi="Times New Roman" w:cs="Times New Roman"/>
          <w:bCs/>
          <w:iCs/>
          <w:sz w:val="24"/>
          <w:szCs w:val="24"/>
        </w:rPr>
        <w:t>Administration of vanillic acid to UV-exposed flies significantly reduced TBARS and protein carbonyl levels while restoring SOD activity (</w:t>
      </w:r>
      <w:r>
        <w:rPr>
          <w:rFonts w:ascii="Times New Roman" w:hAnsi="Times New Roman" w:cs="Times New Roman"/>
          <w:bCs/>
          <w:i/>
          <w:iCs/>
          <w:sz w:val="24"/>
          <w:szCs w:val="24"/>
          <w:highlight w:val="yellow"/>
        </w:rPr>
        <w:t xml:space="preserve">p </w:t>
      </w:r>
      <w:r>
        <w:rPr>
          <w:rFonts w:ascii="Times New Roman" w:hAnsi="Times New Roman" w:cs="Times New Roman"/>
          <w:bCs/>
          <w:iCs/>
          <w:sz w:val="24"/>
          <w:szCs w:val="24"/>
        </w:rPr>
        <w:t>&lt; 0.05). Flies treated with vanillic acid alone displayed biochemical profiles comparable to those of control flies, with no significant differences observed (</w:t>
      </w:r>
      <w:r>
        <w:rPr>
          <w:rFonts w:ascii="Times New Roman" w:hAnsi="Times New Roman" w:cs="Times New Roman"/>
          <w:bCs/>
          <w:i/>
          <w:iCs/>
          <w:sz w:val="24"/>
          <w:szCs w:val="24"/>
          <w:highlight w:val="yellow"/>
        </w:rPr>
        <w:t xml:space="preserve">p </w:t>
      </w:r>
      <w:r>
        <w:rPr>
          <w:rFonts w:ascii="Times New Roman" w:hAnsi="Times New Roman" w:cs="Times New Roman"/>
          <w:bCs/>
          <w:iCs/>
          <w:sz w:val="24"/>
          <w:szCs w:val="24"/>
        </w:rPr>
        <w:t>&gt; 0.05).</w:t>
      </w:r>
    </w:p>
    <w:p w14:paraId="7544416D" w14:textId="77777777" w:rsidR="00BA0599" w:rsidRDefault="00000000">
      <w:pPr>
        <w:jc w:val="center"/>
      </w:pPr>
      <w:r>
        <w:rPr>
          <w:rFonts w:ascii="Times New Roman" w:hAnsi="Times New Roman" w:cs="Times New Roman"/>
          <w:b/>
          <w:bCs/>
          <w:iCs/>
          <w:sz w:val="24"/>
          <w:szCs w:val="24"/>
        </w:rPr>
        <w:t>Table 3. Biochemical parameters</w:t>
      </w:r>
      <w:r>
        <w:t xml:space="preserve"> in whole-body homogenates</w:t>
      </w:r>
    </w:p>
    <w:tbl>
      <w:tblPr>
        <w:tblW w:w="8608" w:type="dxa"/>
        <w:tblLayout w:type="fixed"/>
        <w:tblLook w:val="0000" w:firstRow="0" w:lastRow="0" w:firstColumn="0" w:lastColumn="0" w:noHBand="0" w:noVBand="0"/>
      </w:tblPr>
      <w:tblGrid>
        <w:gridCol w:w="703"/>
        <w:gridCol w:w="2685"/>
        <w:gridCol w:w="2610"/>
        <w:gridCol w:w="2610"/>
      </w:tblGrid>
      <w:tr w:rsidR="00BA0599" w14:paraId="73977717" w14:textId="77777777">
        <w:tc>
          <w:tcPr>
            <w:tcW w:w="703" w:type="dxa"/>
            <w:tcBorders>
              <w:top w:val="single" w:sz="4" w:space="0" w:color="000000"/>
              <w:bottom w:val="single" w:sz="4" w:space="0" w:color="000000"/>
            </w:tcBorders>
          </w:tcPr>
          <w:p w14:paraId="568EF905" w14:textId="77777777" w:rsidR="00BA0599" w:rsidRDefault="00000000">
            <w:pPr>
              <w:spacing w:after="0" w:line="240" w:lineRule="auto"/>
              <w:jc w:val="center"/>
              <w:rPr>
                <w:rFonts w:ascii="Times New Roman" w:hAnsi="Times New Roman" w:cs="Times New Roman"/>
                <w:b/>
                <w:sz w:val="24"/>
                <w:szCs w:val="24"/>
                <w:lang w:val="en-US"/>
              </w:rPr>
            </w:pPr>
            <w:proofErr w:type="spellStart"/>
            <w:proofErr w:type="gramStart"/>
            <w:r>
              <w:rPr>
                <w:rFonts w:ascii="Times New Roman" w:hAnsi="Times New Roman" w:cs="Times New Roman"/>
                <w:b/>
                <w:sz w:val="24"/>
                <w:szCs w:val="24"/>
                <w:lang w:val="en-US"/>
              </w:rPr>
              <w:t>S.No</w:t>
            </w:r>
            <w:proofErr w:type="spellEnd"/>
            <w:proofErr w:type="gramEnd"/>
          </w:p>
        </w:tc>
        <w:tc>
          <w:tcPr>
            <w:tcW w:w="2685" w:type="dxa"/>
            <w:tcBorders>
              <w:top w:val="single" w:sz="4" w:space="0" w:color="000000"/>
              <w:bottom w:val="single" w:sz="4" w:space="0" w:color="000000"/>
            </w:tcBorders>
          </w:tcPr>
          <w:p w14:paraId="45F4098F" w14:textId="77777777" w:rsidR="00BA0599" w:rsidRDefault="00000000">
            <w:pPr>
              <w:spacing w:after="0" w:line="240" w:lineRule="auto"/>
              <w:jc w:val="center"/>
              <w:rPr>
                <w:rFonts w:ascii="Times New Roman" w:hAnsi="Times New Roman" w:cs="Times New Roman"/>
                <w:b/>
                <w:sz w:val="24"/>
                <w:szCs w:val="24"/>
                <w:lang w:val="en-US"/>
              </w:rPr>
            </w:pPr>
            <w:r>
              <w:rPr>
                <w:rFonts w:ascii="Times New Roman" w:hAnsi="Times New Roman" w:cs="Times New Roman"/>
                <w:b/>
                <w:sz w:val="24"/>
                <w:szCs w:val="24"/>
                <w:lang w:val="en-US"/>
              </w:rPr>
              <w:t>Biochemical Parameter</w:t>
            </w:r>
          </w:p>
        </w:tc>
        <w:tc>
          <w:tcPr>
            <w:tcW w:w="2610" w:type="dxa"/>
            <w:tcBorders>
              <w:top w:val="single" w:sz="4" w:space="0" w:color="000000"/>
              <w:bottom w:val="single" w:sz="4" w:space="0" w:color="000000"/>
            </w:tcBorders>
          </w:tcPr>
          <w:p w14:paraId="3E1F9D7F" w14:textId="77777777" w:rsidR="00BA0599" w:rsidRDefault="00000000">
            <w:pPr>
              <w:spacing w:after="0" w:line="240" w:lineRule="auto"/>
              <w:jc w:val="center"/>
              <w:rPr>
                <w:rFonts w:ascii="Times New Roman" w:hAnsi="Times New Roman" w:cs="Times New Roman"/>
                <w:b/>
                <w:sz w:val="24"/>
                <w:szCs w:val="24"/>
                <w:lang w:val="en-US"/>
              </w:rPr>
            </w:pPr>
            <w:r>
              <w:rPr>
                <w:rFonts w:ascii="Times New Roman" w:hAnsi="Times New Roman" w:cs="Times New Roman"/>
                <w:b/>
                <w:sz w:val="24"/>
                <w:szCs w:val="24"/>
                <w:lang w:val="en-US"/>
              </w:rPr>
              <w:t>Group</w:t>
            </w:r>
          </w:p>
        </w:tc>
        <w:tc>
          <w:tcPr>
            <w:tcW w:w="2610" w:type="dxa"/>
            <w:tcBorders>
              <w:top w:val="single" w:sz="4" w:space="0" w:color="000000"/>
              <w:bottom w:val="single" w:sz="4" w:space="0" w:color="000000"/>
            </w:tcBorders>
          </w:tcPr>
          <w:p w14:paraId="5DE9F637" w14:textId="77777777" w:rsidR="00BA0599" w:rsidRDefault="00000000">
            <w:pPr>
              <w:spacing w:after="0" w:line="240" w:lineRule="auto"/>
              <w:jc w:val="center"/>
              <w:rPr>
                <w:rFonts w:ascii="Times New Roman" w:hAnsi="Times New Roman" w:cs="Times New Roman"/>
                <w:b/>
                <w:sz w:val="24"/>
                <w:szCs w:val="24"/>
                <w:lang w:val="en-US"/>
              </w:rPr>
            </w:pPr>
            <w:r>
              <w:rPr>
                <w:rFonts w:ascii="Times New Roman" w:hAnsi="Times New Roman" w:cs="Times New Roman"/>
                <w:b/>
                <w:sz w:val="24"/>
                <w:szCs w:val="24"/>
                <w:lang w:val="en-US"/>
              </w:rPr>
              <w:t>Whole body homogenate</w:t>
            </w:r>
          </w:p>
        </w:tc>
      </w:tr>
      <w:tr w:rsidR="00BA0599" w14:paraId="53ED0208" w14:textId="77777777">
        <w:trPr>
          <w:trHeight w:val="210"/>
        </w:trPr>
        <w:tc>
          <w:tcPr>
            <w:tcW w:w="703" w:type="dxa"/>
            <w:vMerge w:val="restart"/>
            <w:tcBorders>
              <w:top w:val="single" w:sz="4" w:space="0" w:color="000000"/>
            </w:tcBorders>
          </w:tcPr>
          <w:p w14:paraId="14C0A8C4" w14:textId="77777777" w:rsidR="00BA0599" w:rsidRDefault="00000000">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1.</w:t>
            </w:r>
          </w:p>
        </w:tc>
        <w:tc>
          <w:tcPr>
            <w:tcW w:w="2685" w:type="dxa"/>
            <w:vMerge w:val="restart"/>
            <w:tcBorders>
              <w:top w:val="single" w:sz="4" w:space="0" w:color="000000"/>
            </w:tcBorders>
          </w:tcPr>
          <w:p w14:paraId="3E1720F9" w14:textId="77777777" w:rsidR="00BA0599" w:rsidRDefault="00000000">
            <w:pPr>
              <w:spacing w:after="0" w:line="240" w:lineRule="auto"/>
              <w:jc w:val="both"/>
              <w:rPr>
                <w:rFonts w:ascii="Times New Roman" w:hAnsi="Times New Roman" w:cs="Times New Roman"/>
                <w:sz w:val="24"/>
                <w:szCs w:val="24"/>
                <w:lang w:val="nl-BE"/>
              </w:rPr>
            </w:pPr>
            <w:r>
              <w:rPr>
                <w:rFonts w:ascii="Times New Roman" w:hAnsi="Times New Roman" w:cs="Times New Roman"/>
                <w:sz w:val="24"/>
                <w:szCs w:val="24"/>
                <w:lang w:val="nl-BE"/>
              </w:rPr>
              <w:t>Protein carbonyl(nmole/mg protein</w:t>
            </w:r>
          </w:p>
        </w:tc>
        <w:tc>
          <w:tcPr>
            <w:tcW w:w="2610" w:type="dxa"/>
            <w:tcBorders>
              <w:top w:val="single" w:sz="4" w:space="0" w:color="000000"/>
            </w:tcBorders>
          </w:tcPr>
          <w:p w14:paraId="1858CC06" w14:textId="77777777" w:rsidR="00BA0599" w:rsidRDefault="00000000">
            <w:pPr>
              <w:spacing w:after="0" w:line="240" w:lineRule="auto"/>
              <w:jc w:val="both"/>
              <w:rPr>
                <w:rFonts w:ascii="Times New Roman" w:hAnsi="Times New Roman" w:cs="Times New Roman"/>
                <w:sz w:val="24"/>
                <w:szCs w:val="24"/>
                <w:lang w:val="en-US" w:eastAsia="en-IN"/>
              </w:rPr>
            </w:pPr>
            <w:r>
              <w:rPr>
                <w:rFonts w:ascii="Times New Roman" w:hAnsi="Times New Roman" w:cs="Times New Roman"/>
                <w:sz w:val="24"/>
                <w:szCs w:val="24"/>
                <w:lang w:val="en-US" w:eastAsia="en-IN"/>
              </w:rPr>
              <w:t>WT (control)</w:t>
            </w:r>
          </w:p>
        </w:tc>
        <w:tc>
          <w:tcPr>
            <w:tcW w:w="2610" w:type="dxa"/>
            <w:tcBorders>
              <w:top w:val="single" w:sz="4" w:space="0" w:color="000000"/>
            </w:tcBorders>
          </w:tcPr>
          <w:p w14:paraId="2197B44F" w14:textId="77777777" w:rsidR="00BA0599" w:rsidRDefault="00000000">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5.9</w:t>
            </w:r>
            <w:r>
              <w:rPr>
                <w:rFonts w:ascii="Times New Roman" w:hAnsi="Times New Roman" w:cs="Times New Roman"/>
                <w:kern w:val="2"/>
                <w:sz w:val="24"/>
                <w:szCs w:val="24"/>
                <w:lang w:val="en-US"/>
              </w:rPr>
              <w:t>±1.05</w:t>
            </w:r>
            <w:r>
              <w:rPr>
                <w:rFonts w:ascii="Times New Roman" w:hAnsi="Times New Roman" w:cs="Times New Roman"/>
                <w:kern w:val="2"/>
                <w:sz w:val="24"/>
                <w:szCs w:val="24"/>
                <w:vertAlign w:val="superscript"/>
                <w:lang w:val="en-US"/>
              </w:rPr>
              <w:t>1</w:t>
            </w:r>
          </w:p>
        </w:tc>
      </w:tr>
      <w:tr w:rsidR="00BA0599" w14:paraId="500EC2DF" w14:textId="77777777">
        <w:trPr>
          <w:trHeight w:val="270"/>
        </w:trPr>
        <w:tc>
          <w:tcPr>
            <w:tcW w:w="703" w:type="dxa"/>
            <w:vMerge/>
            <w:tcBorders>
              <w:top w:val="single" w:sz="4" w:space="0" w:color="000000"/>
            </w:tcBorders>
          </w:tcPr>
          <w:p w14:paraId="4673C3C0" w14:textId="77777777" w:rsidR="00BA0599" w:rsidRDefault="00BA0599">
            <w:pPr>
              <w:snapToGrid w:val="0"/>
              <w:spacing w:after="0" w:line="240" w:lineRule="auto"/>
              <w:jc w:val="both"/>
              <w:rPr>
                <w:rFonts w:ascii="Times New Roman" w:hAnsi="Times New Roman" w:cs="Times New Roman"/>
                <w:sz w:val="24"/>
                <w:szCs w:val="24"/>
                <w:lang w:val="en-US"/>
              </w:rPr>
            </w:pPr>
          </w:p>
        </w:tc>
        <w:tc>
          <w:tcPr>
            <w:tcW w:w="2685" w:type="dxa"/>
            <w:vMerge/>
            <w:tcBorders>
              <w:top w:val="single" w:sz="4" w:space="0" w:color="000000"/>
            </w:tcBorders>
          </w:tcPr>
          <w:p w14:paraId="6229643B" w14:textId="77777777" w:rsidR="00BA0599" w:rsidRDefault="00BA0599">
            <w:pPr>
              <w:snapToGrid w:val="0"/>
              <w:spacing w:after="0" w:line="240" w:lineRule="auto"/>
              <w:jc w:val="both"/>
              <w:rPr>
                <w:rFonts w:ascii="Times New Roman" w:hAnsi="Times New Roman" w:cs="Times New Roman"/>
                <w:sz w:val="24"/>
                <w:szCs w:val="24"/>
                <w:lang w:val="en-US"/>
              </w:rPr>
            </w:pPr>
          </w:p>
        </w:tc>
        <w:tc>
          <w:tcPr>
            <w:tcW w:w="2610" w:type="dxa"/>
          </w:tcPr>
          <w:p w14:paraId="68F71036" w14:textId="77777777" w:rsidR="00BA0599" w:rsidRDefault="00000000">
            <w:pPr>
              <w:spacing w:after="0" w:line="240" w:lineRule="auto"/>
              <w:jc w:val="both"/>
              <w:rPr>
                <w:rFonts w:ascii="Times New Roman" w:hAnsi="Times New Roman" w:cs="Times New Roman"/>
                <w:sz w:val="24"/>
                <w:szCs w:val="24"/>
                <w:lang w:val="en-US" w:eastAsia="en-IN"/>
              </w:rPr>
            </w:pPr>
            <w:r>
              <w:rPr>
                <w:rFonts w:ascii="Times New Roman" w:hAnsi="Times New Roman" w:cs="Times New Roman"/>
                <w:sz w:val="24"/>
                <w:szCs w:val="24"/>
                <w:lang w:val="en-US" w:eastAsia="en-IN"/>
              </w:rPr>
              <w:t>UV treated</w:t>
            </w:r>
          </w:p>
        </w:tc>
        <w:tc>
          <w:tcPr>
            <w:tcW w:w="2610" w:type="dxa"/>
          </w:tcPr>
          <w:p w14:paraId="6935CD38" w14:textId="77777777" w:rsidR="00BA0599" w:rsidRDefault="00000000">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9.2</w:t>
            </w:r>
            <w:r>
              <w:rPr>
                <w:rFonts w:ascii="Times New Roman" w:hAnsi="Times New Roman" w:cs="Times New Roman"/>
                <w:kern w:val="2"/>
                <w:sz w:val="24"/>
                <w:szCs w:val="24"/>
                <w:lang w:val="en-US"/>
              </w:rPr>
              <w:t>±2.46</w:t>
            </w:r>
            <w:r>
              <w:rPr>
                <w:rFonts w:ascii="Times New Roman" w:hAnsi="Times New Roman" w:cs="Times New Roman"/>
                <w:kern w:val="2"/>
                <w:sz w:val="24"/>
                <w:szCs w:val="24"/>
                <w:vertAlign w:val="superscript"/>
                <w:lang w:val="en-US"/>
              </w:rPr>
              <w:t>2</w:t>
            </w:r>
          </w:p>
        </w:tc>
      </w:tr>
      <w:tr w:rsidR="00BA0599" w14:paraId="58C4D4EB" w14:textId="77777777">
        <w:trPr>
          <w:trHeight w:val="210"/>
        </w:trPr>
        <w:tc>
          <w:tcPr>
            <w:tcW w:w="703" w:type="dxa"/>
            <w:vMerge/>
            <w:tcBorders>
              <w:top w:val="single" w:sz="4" w:space="0" w:color="000000"/>
            </w:tcBorders>
          </w:tcPr>
          <w:p w14:paraId="6156C392" w14:textId="77777777" w:rsidR="00BA0599" w:rsidRDefault="00BA0599">
            <w:pPr>
              <w:snapToGrid w:val="0"/>
              <w:spacing w:after="0" w:line="240" w:lineRule="auto"/>
              <w:jc w:val="both"/>
              <w:rPr>
                <w:rFonts w:ascii="Times New Roman" w:hAnsi="Times New Roman" w:cs="Times New Roman"/>
                <w:sz w:val="24"/>
                <w:szCs w:val="24"/>
                <w:lang w:val="en-US"/>
              </w:rPr>
            </w:pPr>
          </w:p>
        </w:tc>
        <w:tc>
          <w:tcPr>
            <w:tcW w:w="2685" w:type="dxa"/>
            <w:vMerge/>
            <w:tcBorders>
              <w:top w:val="single" w:sz="4" w:space="0" w:color="000000"/>
            </w:tcBorders>
          </w:tcPr>
          <w:p w14:paraId="58999AB8" w14:textId="77777777" w:rsidR="00BA0599" w:rsidRDefault="00BA0599">
            <w:pPr>
              <w:snapToGrid w:val="0"/>
              <w:spacing w:after="0" w:line="240" w:lineRule="auto"/>
              <w:jc w:val="both"/>
              <w:rPr>
                <w:rFonts w:ascii="Times New Roman" w:hAnsi="Times New Roman" w:cs="Times New Roman"/>
                <w:sz w:val="24"/>
                <w:szCs w:val="24"/>
                <w:lang w:val="en-US"/>
              </w:rPr>
            </w:pPr>
          </w:p>
        </w:tc>
        <w:tc>
          <w:tcPr>
            <w:tcW w:w="2610" w:type="dxa"/>
          </w:tcPr>
          <w:p w14:paraId="17D16727" w14:textId="77777777" w:rsidR="00BA0599" w:rsidRDefault="00000000">
            <w:pPr>
              <w:spacing w:after="0" w:line="240" w:lineRule="auto"/>
              <w:jc w:val="both"/>
              <w:rPr>
                <w:rFonts w:ascii="Times New Roman" w:hAnsi="Times New Roman" w:cs="Times New Roman"/>
                <w:sz w:val="24"/>
                <w:szCs w:val="24"/>
                <w:lang w:val="en-US" w:eastAsia="en-IN"/>
              </w:rPr>
            </w:pPr>
            <w:r>
              <w:rPr>
                <w:rFonts w:ascii="Times New Roman" w:hAnsi="Times New Roman" w:cs="Times New Roman"/>
                <w:sz w:val="24"/>
                <w:szCs w:val="24"/>
                <w:lang w:val="en-US" w:eastAsia="en-IN"/>
              </w:rPr>
              <w:t>UV + Vanillic acid treated</w:t>
            </w:r>
          </w:p>
        </w:tc>
        <w:tc>
          <w:tcPr>
            <w:tcW w:w="2610" w:type="dxa"/>
          </w:tcPr>
          <w:p w14:paraId="576F02A2" w14:textId="77777777" w:rsidR="00BA0599" w:rsidRDefault="00000000">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6.4</w:t>
            </w:r>
            <w:r>
              <w:rPr>
                <w:rFonts w:ascii="Times New Roman" w:hAnsi="Times New Roman" w:cs="Times New Roman"/>
                <w:kern w:val="2"/>
                <w:sz w:val="24"/>
                <w:szCs w:val="24"/>
                <w:lang w:val="en-US"/>
              </w:rPr>
              <w:t>±0.09</w:t>
            </w:r>
            <w:r>
              <w:rPr>
                <w:rFonts w:ascii="Times New Roman" w:hAnsi="Times New Roman" w:cs="Times New Roman"/>
                <w:kern w:val="2"/>
                <w:sz w:val="24"/>
                <w:szCs w:val="24"/>
                <w:vertAlign w:val="superscript"/>
                <w:lang w:val="en-US"/>
              </w:rPr>
              <w:t>1</w:t>
            </w:r>
          </w:p>
        </w:tc>
      </w:tr>
      <w:tr w:rsidR="00BA0599" w14:paraId="6AC04738" w14:textId="77777777">
        <w:trPr>
          <w:trHeight w:val="413"/>
        </w:trPr>
        <w:tc>
          <w:tcPr>
            <w:tcW w:w="703" w:type="dxa"/>
            <w:vMerge/>
            <w:tcBorders>
              <w:top w:val="single" w:sz="4" w:space="0" w:color="000000"/>
            </w:tcBorders>
          </w:tcPr>
          <w:p w14:paraId="122933EF" w14:textId="77777777" w:rsidR="00BA0599" w:rsidRDefault="00BA0599">
            <w:pPr>
              <w:snapToGrid w:val="0"/>
              <w:spacing w:after="0" w:line="240" w:lineRule="auto"/>
              <w:jc w:val="both"/>
              <w:rPr>
                <w:rFonts w:ascii="Times New Roman" w:hAnsi="Times New Roman" w:cs="Times New Roman"/>
                <w:sz w:val="24"/>
                <w:szCs w:val="24"/>
                <w:lang w:val="en-US"/>
              </w:rPr>
            </w:pPr>
          </w:p>
        </w:tc>
        <w:tc>
          <w:tcPr>
            <w:tcW w:w="2685" w:type="dxa"/>
            <w:vMerge/>
            <w:tcBorders>
              <w:top w:val="single" w:sz="4" w:space="0" w:color="000000"/>
            </w:tcBorders>
          </w:tcPr>
          <w:p w14:paraId="51BA1544" w14:textId="77777777" w:rsidR="00BA0599" w:rsidRDefault="00BA0599">
            <w:pPr>
              <w:snapToGrid w:val="0"/>
              <w:spacing w:after="0" w:line="240" w:lineRule="auto"/>
              <w:jc w:val="both"/>
              <w:rPr>
                <w:rFonts w:ascii="Times New Roman" w:hAnsi="Times New Roman" w:cs="Times New Roman"/>
                <w:sz w:val="24"/>
                <w:szCs w:val="24"/>
                <w:lang w:val="en-US"/>
              </w:rPr>
            </w:pPr>
          </w:p>
        </w:tc>
        <w:tc>
          <w:tcPr>
            <w:tcW w:w="2610" w:type="dxa"/>
            <w:tcBorders>
              <w:bottom w:val="single" w:sz="4" w:space="0" w:color="000000"/>
            </w:tcBorders>
          </w:tcPr>
          <w:p w14:paraId="6ACEA971" w14:textId="77777777" w:rsidR="00BA0599" w:rsidRDefault="00000000">
            <w:pPr>
              <w:spacing w:after="0" w:line="240" w:lineRule="auto"/>
              <w:jc w:val="both"/>
              <w:rPr>
                <w:rFonts w:ascii="Times New Roman" w:hAnsi="Times New Roman" w:cs="Times New Roman"/>
                <w:sz w:val="24"/>
                <w:szCs w:val="24"/>
                <w:lang w:val="en-US" w:eastAsia="en-IN"/>
              </w:rPr>
            </w:pPr>
            <w:r>
              <w:rPr>
                <w:rFonts w:ascii="Times New Roman" w:hAnsi="Times New Roman" w:cs="Times New Roman"/>
                <w:sz w:val="24"/>
                <w:szCs w:val="24"/>
                <w:lang w:val="en-US" w:eastAsia="en-IN"/>
              </w:rPr>
              <w:t>Vanillic acid alone</w:t>
            </w:r>
          </w:p>
        </w:tc>
        <w:tc>
          <w:tcPr>
            <w:tcW w:w="2610" w:type="dxa"/>
            <w:tcBorders>
              <w:bottom w:val="single" w:sz="4" w:space="0" w:color="000000"/>
            </w:tcBorders>
          </w:tcPr>
          <w:p w14:paraId="154748CB" w14:textId="77777777" w:rsidR="00BA0599" w:rsidRDefault="00000000">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5.6</w:t>
            </w:r>
            <w:r>
              <w:rPr>
                <w:rFonts w:ascii="Times New Roman" w:hAnsi="Times New Roman" w:cs="Times New Roman"/>
                <w:kern w:val="2"/>
                <w:sz w:val="24"/>
                <w:szCs w:val="24"/>
                <w:lang w:val="en-US"/>
              </w:rPr>
              <w:t>±1.01</w:t>
            </w:r>
            <w:r>
              <w:rPr>
                <w:rFonts w:ascii="Times New Roman" w:hAnsi="Times New Roman" w:cs="Times New Roman"/>
                <w:kern w:val="2"/>
                <w:sz w:val="24"/>
                <w:szCs w:val="24"/>
                <w:vertAlign w:val="superscript"/>
                <w:lang w:val="en-US"/>
              </w:rPr>
              <w:t>1</w:t>
            </w:r>
          </w:p>
        </w:tc>
      </w:tr>
      <w:tr w:rsidR="00BA0599" w14:paraId="35B02AAA" w14:textId="77777777">
        <w:trPr>
          <w:trHeight w:val="300"/>
        </w:trPr>
        <w:tc>
          <w:tcPr>
            <w:tcW w:w="703" w:type="dxa"/>
            <w:vMerge w:val="restart"/>
            <w:tcBorders>
              <w:top w:val="single" w:sz="4" w:space="0" w:color="000000"/>
            </w:tcBorders>
          </w:tcPr>
          <w:p w14:paraId="6D792760" w14:textId="77777777" w:rsidR="00BA0599" w:rsidRDefault="00000000">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2.</w:t>
            </w:r>
          </w:p>
        </w:tc>
        <w:tc>
          <w:tcPr>
            <w:tcW w:w="2685" w:type="dxa"/>
            <w:vMerge w:val="restart"/>
            <w:tcBorders>
              <w:top w:val="single" w:sz="4" w:space="0" w:color="000000"/>
            </w:tcBorders>
          </w:tcPr>
          <w:p w14:paraId="5BE88DA0" w14:textId="77777777" w:rsidR="00BA0599" w:rsidRDefault="00000000">
            <w:pPr>
              <w:spacing w:after="0" w:line="240" w:lineRule="auto"/>
              <w:jc w:val="both"/>
              <w:rPr>
                <w:rFonts w:ascii="Times New Roman" w:hAnsi="Times New Roman" w:cs="Times New Roman"/>
                <w:sz w:val="24"/>
                <w:szCs w:val="24"/>
                <w:lang w:val="en-US"/>
              </w:rPr>
            </w:pPr>
            <w:proofErr w:type="spellStart"/>
            <w:r>
              <w:rPr>
                <w:rFonts w:ascii="Times New Roman" w:hAnsi="Times New Roman" w:cs="Times New Roman"/>
                <w:sz w:val="24"/>
                <w:szCs w:val="24"/>
                <w:lang w:val="en-US"/>
              </w:rPr>
              <w:t>Thiobarbituricacid</w:t>
            </w:r>
            <w:proofErr w:type="spellEnd"/>
            <w:r>
              <w:rPr>
                <w:rFonts w:ascii="Times New Roman" w:hAnsi="Times New Roman" w:cs="Times New Roman"/>
                <w:sz w:val="24"/>
                <w:szCs w:val="24"/>
                <w:lang w:val="en-US"/>
              </w:rPr>
              <w:t xml:space="preserve"> </w:t>
            </w:r>
            <w:r>
              <w:rPr>
                <w:rFonts w:ascii="Times New Roman" w:hAnsi="Times New Roman" w:cs="Times New Roman"/>
                <w:sz w:val="24"/>
                <w:szCs w:val="24"/>
                <w:lang w:val="en-US"/>
              </w:rPr>
              <w:lastRenderedPageBreak/>
              <w:t>reactive substances (TBARS</w:t>
            </w:r>
            <w:proofErr w:type="gramStart"/>
            <w:r>
              <w:rPr>
                <w:rFonts w:ascii="Times New Roman" w:hAnsi="Times New Roman" w:cs="Times New Roman"/>
                <w:sz w:val="24"/>
                <w:szCs w:val="24"/>
                <w:lang w:val="en-US"/>
              </w:rPr>
              <w:t>)(</w:t>
            </w:r>
            <w:proofErr w:type="spellStart"/>
            <w:proofErr w:type="gramEnd"/>
            <w:r>
              <w:rPr>
                <w:rFonts w:ascii="Times New Roman" w:hAnsi="Times New Roman" w:cs="Times New Roman"/>
                <w:sz w:val="24"/>
                <w:szCs w:val="24"/>
                <w:lang w:val="en-US"/>
              </w:rPr>
              <w:t>nmole</w:t>
            </w:r>
            <w:proofErr w:type="spellEnd"/>
            <w:r>
              <w:rPr>
                <w:rFonts w:ascii="Times New Roman" w:hAnsi="Times New Roman" w:cs="Times New Roman"/>
                <w:sz w:val="24"/>
                <w:szCs w:val="24"/>
                <w:lang w:val="en-US"/>
              </w:rPr>
              <w:t xml:space="preserve">/mg protein) </w:t>
            </w:r>
          </w:p>
        </w:tc>
        <w:tc>
          <w:tcPr>
            <w:tcW w:w="2610" w:type="dxa"/>
            <w:tcBorders>
              <w:top w:val="single" w:sz="4" w:space="0" w:color="000000"/>
            </w:tcBorders>
          </w:tcPr>
          <w:p w14:paraId="038E27CB" w14:textId="77777777" w:rsidR="00BA0599" w:rsidRDefault="00000000">
            <w:pPr>
              <w:spacing w:after="0"/>
              <w:jc w:val="both"/>
              <w:rPr>
                <w:rFonts w:ascii="Times New Roman" w:hAnsi="Times New Roman" w:cs="Times New Roman"/>
                <w:sz w:val="24"/>
                <w:szCs w:val="24"/>
                <w:lang w:val="en-US"/>
              </w:rPr>
            </w:pPr>
            <w:r>
              <w:rPr>
                <w:rFonts w:ascii="Times New Roman" w:hAnsi="Times New Roman" w:cs="Times New Roman"/>
                <w:sz w:val="24"/>
                <w:szCs w:val="24"/>
                <w:lang w:val="en-US"/>
              </w:rPr>
              <w:lastRenderedPageBreak/>
              <w:t>WT (control)</w:t>
            </w:r>
          </w:p>
        </w:tc>
        <w:tc>
          <w:tcPr>
            <w:tcW w:w="2610" w:type="dxa"/>
            <w:tcBorders>
              <w:top w:val="single" w:sz="4" w:space="0" w:color="000000"/>
            </w:tcBorders>
          </w:tcPr>
          <w:p w14:paraId="7F99431A" w14:textId="77777777" w:rsidR="00BA0599" w:rsidRDefault="00000000">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12.8</w:t>
            </w:r>
            <w:r>
              <w:rPr>
                <w:rFonts w:ascii="Times New Roman" w:hAnsi="Times New Roman" w:cs="Times New Roman"/>
                <w:kern w:val="2"/>
                <w:sz w:val="24"/>
                <w:szCs w:val="24"/>
                <w:lang w:val="en-US"/>
              </w:rPr>
              <w:t>±2.63</w:t>
            </w:r>
            <w:r>
              <w:rPr>
                <w:rFonts w:ascii="Times New Roman" w:hAnsi="Times New Roman" w:cs="Times New Roman"/>
                <w:kern w:val="2"/>
                <w:sz w:val="24"/>
                <w:szCs w:val="24"/>
                <w:vertAlign w:val="superscript"/>
                <w:lang w:val="en-US"/>
              </w:rPr>
              <w:t>1</w:t>
            </w:r>
          </w:p>
        </w:tc>
      </w:tr>
      <w:tr w:rsidR="00BA0599" w14:paraId="03A42083" w14:textId="77777777">
        <w:trPr>
          <w:trHeight w:val="210"/>
        </w:trPr>
        <w:tc>
          <w:tcPr>
            <w:tcW w:w="703" w:type="dxa"/>
            <w:vMerge/>
            <w:tcBorders>
              <w:top w:val="single" w:sz="4" w:space="0" w:color="000000"/>
            </w:tcBorders>
          </w:tcPr>
          <w:p w14:paraId="42619D17" w14:textId="77777777" w:rsidR="00BA0599" w:rsidRDefault="00BA0599">
            <w:pPr>
              <w:snapToGrid w:val="0"/>
              <w:spacing w:after="0" w:line="240" w:lineRule="auto"/>
              <w:jc w:val="both"/>
              <w:rPr>
                <w:rFonts w:ascii="Times New Roman" w:hAnsi="Times New Roman" w:cs="Times New Roman"/>
                <w:sz w:val="24"/>
                <w:szCs w:val="24"/>
                <w:lang w:val="en-US"/>
              </w:rPr>
            </w:pPr>
          </w:p>
        </w:tc>
        <w:tc>
          <w:tcPr>
            <w:tcW w:w="2685" w:type="dxa"/>
            <w:vMerge/>
            <w:tcBorders>
              <w:top w:val="single" w:sz="4" w:space="0" w:color="000000"/>
            </w:tcBorders>
          </w:tcPr>
          <w:p w14:paraId="35D45352" w14:textId="77777777" w:rsidR="00BA0599" w:rsidRDefault="00BA0599">
            <w:pPr>
              <w:snapToGrid w:val="0"/>
              <w:spacing w:after="0" w:line="240" w:lineRule="auto"/>
              <w:jc w:val="both"/>
              <w:rPr>
                <w:rFonts w:ascii="Times New Roman" w:hAnsi="Times New Roman" w:cs="Times New Roman"/>
                <w:sz w:val="24"/>
                <w:szCs w:val="24"/>
                <w:lang w:val="en-US"/>
              </w:rPr>
            </w:pPr>
          </w:p>
        </w:tc>
        <w:tc>
          <w:tcPr>
            <w:tcW w:w="2610" w:type="dxa"/>
          </w:tcPr>
          <w:p w14:paraId="2D8D5412" w14:textId="77777777" w:rsidR="00BA0599" w:rsidRDefault="00000000">
            <w:pPr>
              <w:spacing w:after="0"/>
              <w:jc w:val="both"/>
              <w:rPr>
                <w:rFonts w:ascii="Times New Roman" w:hAnsi="Times New Roman" w:cs="Times New Roman"/>
                <w:sz w:val="24"/>
                <w:szCs w:val="24"/>
                <w:lang w:val="en-US"/>
              </w:rPr>
            </w:pPr>
            <w:r>
              <w:rPr>
                <w:rFonts w:ascii="Times New Roman" w:hAnsi="Times New Roman" w:cs="Times New Roman"/>
                <w:sz w:val="24"/>
                <w:szCs w:val="24"/>
                <w:lang w:val="en-US"/>
              </w:rPr>
              <w:t>UV treated</w:t>
            </w:r>
          </w:p>
        </w:tc>
        <w:tc>
          <w:tcPr>
            <w:tcW w:w="2610" w:type="dxa"/>
          </w:tcPr>
          <w:p w14:paraId="21DF03DE" w14:textId="77777777" w:rsidR="00BA0599" w:rsidRDefault="00000000">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18.0</w:t>
            </w:r>
            <w:r>
              <w:rPr>
                <w:rFonts w:ascii="Times New Roman" w:hAnsi="Times New Roman" w:cs="Times New Roman"/>
                <w:kern w:val="2"/>
                <w:sz w:val="24"/>
                <w:szCs w:val="24"/>
                <w:lang w:val="en-US"/>
              </w:rPr>
              <w:t>±3.85</w:t>
            </w:r>
            <w:r>
              <w:rPr>
                <w:rFonts w:ascii="Times New Roman" w:hAnsi="Times New Roman" w:cs="Times New Roman"/>
                <w:kern w:val="2"/>
                <w:sz w:val="24"/>
                <w:szCs w:val="24"/>
                <w:vertAlign w:val="superscript"/>
                <w:lang w:val="en-US"/>
              </w:rPr>
              <w:t>2</w:t>
            </w:r>
          </w:p>
        </w:tc>
      </w:tr>
      <w:tr w:rsidR="00BA0599" w14:paraId="3BC617ED" w14:textId="77777777">
        <w:trPr>
          <w:trHeight w:val="255"/>
        </w:trPr>
        <w:tc>
          <w:tcPr>
            <w:tcW w:w="703" w:type="dxa"/>
            <w:vMerge/>
            <w:tcBorders>
              <w:top w:val="single" w:sz="4" w:space="0" w:color="000000"/>
            </w:tcBorders>
          </w:tcPr>
          <w:p w14:paraId="4A7FF24B" w14:textId="77777777" w:rsidR="00BA0599" w:rsidRDefault="00BA0599">
            <w:pPr>
              <w:snapToGrid w:val="0"/>
              <w:spacing w:after="0" w:line="240" w:lineRule="auto"/>
              <w:jc w:val="both"/>
              <w:rPr>
                <w:rFonts w:ascii="Times New Roman" w:hAnsi="Times New Roman" w:cs="Times New Roman"/>
                <w:sz w:val="24"/>
                <w:szCs w:val="24"/>
                <w:lang w:val="en-US"/>
              </w:rPr>
            </w:pPr>
          </w:p>
        </w:tc>
        <w:tc>
          <w:tcPr>
            <w:tcW w:w="2685" w:type="dxa"/>
            <w:vMerge/>
            <w:tcBorders>
              <w:top w:val="single" w:sz="4" w:space="0" w:color="000000"/>
            </w:tcBorders>
          </w:tcPr>
          <w:p w14:paraId="297F03A2" w14:textId="77777777" w:rsidR="00BA0599" w:rsidRDefault="00BA0599">
            <w:pPr>
              <w:snapToGrid w:val="0"/>
              <w:spacing w:after="0" w:line="240" w:lineRule="auto"/>
              <w:jc w:val="both"/>
              <w:rPr>
                <w:rFonts w:ascii="Times New Roman" w:hAnsi="Times New Roman" w:cs="Times New Roman"/>
                <w:sz w:val="24"/>
                <w:szCs w:val="24"/>
                <w:lang w:val="en-US"/>
              </w:rPr>
            </w:pPr>
          </w:p>
        </w:tc>
        <w:tc>
          <w:tcPr>
            <w:tcW w:w="2610" w:type="dxa"/>
          </w:tcPr>
          <w:p w14:paraId="08BB3645" w14:textId="77777777" w:rsidR="00BA0599" w:rsidRDefault="00000000">
            <w:pPr>
              <w:spacing w:after="0"/>
              <w:jc w:val="both"/>
              <w:rPr>
                <w:rFonts w:ascii="Times New Roman" w:hAnsi="Times New Roman" w:cs="Times New Roman"/>
                <w:sz w:val="24"/>
                <w:szCs w:val="24"/>
                <w:lang w:val="en-US"/>
              </w:rPr>
            </w:pPr>
            <w:r>
              <w:rPr>
                <w:rFonts w:ascii="Times New Roman" w:hAnsi="Times New Roman" w:cs="Times New Roman"/>
                <w:sz w:val="24"/>
                <w:szCs w:val="24"/>
                <w:lang w:val="en-US"/>
              </w:rPr>
              <w:t>UV + Vanillic acid treated</w:t>
            </w:r>
          </w:p>
        </w:tc>
        <w:tc>
          <w:tcPr>
            <w:tcW w:w="2610" w:type="dxa"/>
          </w:tcPr>
          <w:p w14:paraId="111DB56F" w14:textId="77777777" w:rsidR="00BA0599" w:rsidRDefault="00000000">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12.1</w:t>
            </w:r>
            <w:r>
              <w:rPr>
                <w:rFonts w:ascii="Times New Roman" w:hAnsi="Times New Roman" w:cs="Times New Roman"/>
                <w:kern w:val="2"/>
                <w:sz w:val="24"/>
                <w:szCs w:val="24"/>
                <w:lang w:val="en-US"/>
              </w:rPr>
              <w:t>±1.99</w:t>
            </w:r>
            <w:r>
              <w:rPr>
                <w:rFonts w:ascii="Times New Roman" w:hAnsi="Times New Roman" w:cs="Times New Roman"/>
                <w:kern w:val="2"/>
                <w:sz w:val="24"/>
                <w:szCs w:val="24"/>
                <w:vertAlign w:val="superscript"/>
                <w:lang w:val="en-US"/>
              </w:rPr>
              <w:t>1</w:t>
            </w:r>
          </w:p>
        </w:tc>
      </w:tr>
      <w:tr w:rsidR="00BA0599" w14:paraId="76D46841" w14:textId="77777777">
        <w:trPr>
          <w:trHeight w:val="210"/>
        </w:trPr>
        <w:tc>
          <w:tcPr>
            <w:tcW w:w="703" w:type="dxa"/>
            <w:vMerge/>
            <w:tcBorders>
              <w:top w:val="single" w:sz="4" w:space="0" w:color="000000"/>
            </w:tcBorders>
          </w:tcPr>
          <w:p w14:paraId="3990A635" w14:textId="77777777" w:rsidR="00BA0599" w:rsidRDefault="00BA0599">
            <w:pPr>
              <w:snapToGrid w:val="0"/>
              <w:spacing w:after="0" w:line="240" w:lineRule="auto"/>
              <w:jc w:val="both"/>
              <w:rPr>
                <w:rFonts w:ascii="Times New Roman" w:hAnsi="Times New Roman" w:cs="Times New Roman"/>
                <w:sz w:val="24"/>
                <w:szCs w:val="24"/>
                <w:lang w:val="en-US"/>
              </w:rPr>
            </w:pPr>
          </w:p>
        </w:tc>
        <w:tc>
          <w:tcPr>
            <w:tcW w:w="2685" w:type="dxa"/>
            <w:vMerge/>
            <w:tcBorders>
              <w:top w:val="single" w:sz="4" w:space="0" w:color="000000"/>
            </w:tcBorders>
          </w:tcPr>
          <w:p w14:paraId="7D450130" w14:textId="77777777" w:rsidR="00BA0599" w:rsidRDefault="00BA0599">
            <w:pPr>
              <w:snapToGrid w:val="0"/>
              <w:spacing w:after="0" w:line="240" w:lineRule="auto"/>
              <w:jc w:val="both"/>
              <w:rPr>
                <w:rFonts w:ascii="Times New Roman" w:hAnsi="Times New Roman" w:cs="Times New Roman"/>
                <w:sz w:val="24"/>
                <w:szCs w:val="24"/>
                <w:lang w:val="en-US"/>
              </w:rPr>
            </w:pPr>
          </w:p>
        </w:tc>
        <w:tc>
          <w:tcPr>
            <w:tcW w:w="2610" w:type="dxa"/>
            <w:tcBorders>
              <w:bottom w:val="single" w:sz="4" w:space="0" w:color="000000"/>
            </w:tcBorders>
          </w:tcPr>
          <w:p w14:paraId="5B4B88A5" w14:textId="77777777" w:rsidR="00BA0599" w:rsidRDefault="00000000">
            <w:pPr>
              <w:spacing w:after="0"/>
              <w:jc w:val="both"/>
              <w:rPr>
                <w:rFonts w:ascii="Times New Roman" w:hAnsi="Times New Roman" w:cs="Times New Roman"/>
                <w:sz w:val="24"/>
                <w:szCs w:val="24"/>
                <w:lang w:val="en-US"/>
              </w:rPr>
            </w:pPr>
            <w:r>
              <w:rPr>
                <w:rFonts w:ascii="Times New Roman" w:hAnsi="Times New Roman" w:cs="Times New Roman"/>
                <w:sz w:val="24"/>
                <w:szCs w:val="24"/>
                <w:lang w:val="en-US"/>
              </w:rPr>
              <w:t>Vanillic acid alone</w:t>
            </w:r>
          </w:p>
        </w:tc>
        <w:tc>
          <w:tcPr>
            <w:tcW w:w="2610" w:type="dxa"/>
            <w:tcBorders>
              <w:bottom w:val="single" w:sz="4" w:space="0" w:color="000000"/>
            </w:tcBorders>
          </w:tcPr>
          <w:p w14:paraId="7BC605AB" w14:textId="77777777" w:rsidR="00BA0599" w:rsidRDefault="00000000">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13.7</w:t>
            </w:r>
            <w:r>
              <w:rPr>
                <w:rFonts w:ascii="Times New Roman" w:hAnsi="Times New Roman" w:cs="Times New Roman"/>
                <w:kern w:val="2"/>
                <w:sz w:val="24"/>
                <w:szCs w:val="24"/>
                <w:lang w:val="en-US"/>
              </w:rPr>
              <w:t>±3.95</w:t>
            </w:r>
            <w:r>
              <w:rPr>
                <w:rFonts w:ascii="Times New Roman" w:hAnsi="Times New Roman" w:cs="Times New Roman"/>
                <w:kern w:val="2"/>
                <w:sz w:val="24"/>
                <w:szCs w:val="24"/>
                <w:vertAlign w:val="superscript"/>
                <w:lang w:val="en-US"/>
              </w:rPr>
              <w:t>1</w:t>
            </w:r>
          </w:p>
        </w:tc>
      </w:tr>
      <w:tr w:rsidR="00BA0599" w14:paraId="54E4321B" w14:textId="77777777">
        <w:trPr>
          <w:trHeight w:val="225"/>
        </w:trPr>
        <w:tc>
          <w:tcPr>
            <w:tcW w:w="703" w:type="dxa"/>
            <w:vMerge w:val="restart"/>
            <w:tcBorders>
              <w:top w:val="single" w:sz="4" w:space="0" w:color="000000"/>
            </w:tcBorders>
          </w:tcPr>
          <w:p w14:paraId="4DB07E9F" w14:textId="77777777" w:rsidR="00BA0599" w:rsidRDefault="00000000">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3.</w:t>
            </w:r>
          </w:p>
        </w:tc>
        <w:tc>
          <w:tcPr>
            <w:tcW w:w="2685" w:type="dxa"/>
            <w:vMerge w:val="restart"/>
            <w:tcBorders>
              <w:top w:val="single" w:sz="4" w:space="0" w:color="000000"/>
            </w:tcBorders>
          </w:tcPr>
          <w:p w14:paraId="06F68117" w14:textId="77777777" w:rsidR="00BA0599" w:rsidRDefault="00000000">
            <w:pPr>
              <w:spacing w:after="0" w:line="240" w:lineRule="auto"/>
              <w:jc w:val="both"/>
            </w:pPr>
            <w:r>
              <w:rPr>
                <w:rFonts w:ascii="Times New Roman" w:hAnsi="Times New Roman" w:cs="Times New Roman"/>
                <w:sz w:val="24"/>
                <w:szCs w:val="24"/>
                <w:lang w:val="en-US"/>
              </w:rPr>
              <w:t>Superoxide dismutase (SOD) (</w:t>
            </w:r>
            <w:proofErr w:type="spellStart"/>
            <w:r>
              <w:rPr>
                <w:rFonts w:ascii="Times New Roman" w:hAnsi="Times New Roman" w:cs="Times New Roman"/>
                <w:sz w:val="24"/>
                <w:szCs w:val="24"/>
                <w:lang w:val="en-US"/>
              </w:rPr>
              <w:t>Unit</w:t>
            </w:r>
            <w:r>
              <w:rPr>
                <w:rFonts w:ascii="Times New Roman" w:hAnsi="Times New Roman" w:cs="Times New Roman"/>
                <w:sz w:val="24"/>
                <w:szCs w:val="24"/>
                <w:vertAlign w:val="superscript"/>
                <w:lang w:val="en-US"/>
              </w:rPr>
              <w:t>a</w:t>
            </w:r>
            <w:r>
              <w:rPr>
                <w:rFonts w:ascii="Times New Roman" w:hAnsi="Times New Roman" w:cs="Times New Roman"/>
                <w:sz w:val="24"/>
                <w:szCs w:val="24"/>
                <w:lang w:val="en-US"/>
              </w:rPr>
              <w:t>nmole</w:t>
            </w:r>
            <w:proofErr w:type="spellEnd"/>
            <w:r>
              <w:rPr>
                <w:rFonts w:ascii="Times New Roman" w:hAnsi="Times New Roman" w:cs="Times New Roman"/>
                <w:sz w:val="24"/>
                <w:szCs w:val="24"/>
                <w:lang w:val="en-US"/>
              </w:rPr>
              <w:t>/mg protein)</w:t>
            </w:r>
          </w:p>
        </w:tc>
        <w:tc>
          <w:tcPr>
            <w:tcW w:w="2610" w:type="dxa"/>
            <w:tcBorders>
              <w:top w:val="single" w:sz="4" w:space="0" w:color="000000"/>
            </w:tcBorders>
          </w:tcPr>
          <w:p w14:paraId="39C31557" w14:textId="77777777" w:rsidR="00BA0599" w:rsidRDefault="00000000">
            <w:pPr>
              <w:spacing w:after="0" w:line="240" w:lineRule="auto"/>
              <w:jc w:val="both"/>
              <w:rPr>
                <w:rFonts w:ascii="Times New Roman" w:hAnsi="Times New Roman" w:cs="Times New Roman"/>
                <w:sz w:val="24"/>
                <w:szCs w:val="24"/>
                <w:lang w:val="en-US" w:eastAsia="en-IN"/>
              </w:rPr>
            </w:pPr>
            <w:r>
              <w:rPr>
                <w:rFonts w:ascii="Times New Roman" w:hAnsi="Times New Roman" w:cs="Times New Roman"/>
                <w:sz w:val="24"/>
                <w:szCs w:val="24"/>
                <w:lang w:val="en-US" w:eastAsia="en-IN"/>
              </w:rPr>
              <w:t>WT (control)</w:t>
            </w:r>
          </w:p>
        </w:tc>
        <w:tc>
          <w:tcPr>
            <w:tcW w:w="2610" w:type="dxa"/>
            <w:tcBorders>
              <w:top w:val="single" w:sz="4" w:space="0" w:color="000000"/>
            </w:tcBorders>
          </w:tcPr>
          <w:p w14:paraId="0C16771C" w14:textId="77777777" w:rsidR="00BA0599" w:rsidRDefault="00000000">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12.1</w:t>
            </w:r>
            <w:r>
              <w:rPr>
                <w:rFonts w:ascii="Times New Roman" w:hAnsi="Times New Roman" w:cs="Times New Roman"/>
                <w:kern w:val="2"/>
                <w:sz w:val="24"/>
                <w:szCs w:val="24"/>
                <w:lang w:val="en-US"/>
              </w:rPr>
              <w:t>±2.01</w:t>
            </w:r>
            <w:r>
              <w:rPr>
                <w:rFonts w:ascii="Times New Roman" w:hAnsi="Times New Roman" w:cs="Times New Roman"/>
                <w:kern w:val="2"/>
                <w:sz w:val="24"/>
                <w:szCs w:val="24"/>
                <w:vertAlign w:val="superscript"/>
                <w:lang w:val="en-US"/>
              </w:rPr>
              <w:t>1</w:t>
            </w:r>
          </w:p>
        </w:tc>
      </w:tr>
      <w:tr w:rsidR="00BA0599" w14:paraId="386EFBE3" w14:textId="77777777">
        <w:trPr>
          <w:trHeight w:val="255"/>
        </w:trPr>
        <w:tc>
          <w:tcPr>
            <w:tcW w:w="703" w:type="dxa"/>
            <w:vMerge/>
            <w:tcBorders>
              <w:top w:val="single" w:sz="4" w:space="0" w:color="000000"/>
            </w:tcBorders>
          </w:tcPr>
          <w:p w14:paraId="516313D8" w14:textId="77777777" w:rsidR="00BA0599" w:rsidRDefault="00BA0599">
            <w:pPr>
              <w:snapToGrid w:val="0"/>
              <w:spacing w:after="0" w:line="240" w:lineRule="auto"/>
              <w:jc w:val="both"/>
              <w:rPr>
                <w:rFonts w:ascii="Times New Roman" w:hAnsi="Times New Roman" w:cs="Times New Roman"/>
                <w:sz w:val="24"/>
                <w:szCs w:val="24"/>
                <w:lang w:val="en-US"/>
              </w:rPr>
            </w:pPr>
          </w:p>
        </w:tc>
        <w:tc>
          <w:tcPr>
            <w:tcW w:w="2685" w:type="dxa"/>
            <w:vMerge/>
            <w:tcBorders>
              <w:top w:val="single" w:sz="4" w:space="0" w:color="000000"/>
            </w:tcBorders>
          </w:tcPr>
          <w:p w14:paraId="60FD1DBC" w14:textId="77777777" w:rsidR="00BA0599" w:rsidRDefault="00BA0599">
            <w:pPr>
              <w:snapToGrid w:val="0"/>
              <w:spacing w:after="0" w:line="240" w:lineRule="auto"/>
              <w:jc w:val="both"/>
              <w:rPr>
                <w:rFonts w:ascii="Times New Roman" w:hAnsi="Times New Roman" w:cs="Times New Roman"/>
                <w:sz w:val="24"/>
                <w:szCs w:val="24"/>
                <w:lang w:val="en-US"/>
              </w:rPr>
            </w:pPr>
          </w:p>
        </w:tc>
        <w:tc>
          <w:tcPr>
            <w:tcW w:w="2610" w:type="dxa"/>
          </w:tcPr>
          <w:p w14:paraId="696A8E16" w14:textId="77777777" w:rsidR="00BA0599" w:rsidRDefault="00000000">
            <w:pPr>
              <w:spacing w:after="0"/>
              <w:jc w:val="both"/>
              <w:rPr>
                <w:rFonts w:ascii="Times New Roman" w:hAnsi="Times New Roman" w:cs="Times New Roman"/>
                <w:sz w:val="24"/>
                <w:szCs w:val="24"/>
                <w:lang w:val="en-US"/>
              </w:rPr>
            </w:pPr>
            <w:r>
              <w:rPr>
                <w:rFonts w:ascii="Times New Roman" w:hAnsi="Times New Roman" w:cs="Times New Roman"/>
                <w:sz w:val="24"/>
                <w:szCs w:val="24"/>
                <w:lang w:val="en-US"/>
              </w:rPr>
              <w:t>UV treated</w:t>
            </w:r>
          </w:p>
        </w:tc>
        <w:tc>
          <w:tcPr>
            <w:tcW w:w="2610" w:type="dxa"/>
          </w:tcPr>
          <w:p w14:paraId="37D9C533" w14:textId="77777777" w:rsidR="00BA0599" w:rsidRDefault="00000000">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11.6</w:t>
            </w:r>
            <w:r>
              <w:rPr>
                <w:rFonts w:ascii="Times New Roman" w:hAnsi="Times New Roman" w:cs="Times New Roman"/>
                <w:kern w:val="2"/>
                <w:sz w:val="24"/>
                <w:szCs w:val="24"/>
                <w:lang w:val="en-US"/>
              </w:rPr>
              <w:t>±2.15</w:t>
            </w:r>
            <w:r>
              <w:rPr>
                <w:rFonts w:ascii="Times New Roman" w:hAnsi="Times New Roman" w:cs="Times New Roman"/>
                <w:kern w:val="2"/>
                <w:sz w:val="24"/>
                <w:szCs w:val="24"/>
                <w:vertAlign w:val="superscript"/>
                <w:lang w:val="en-US"/>
              </w:rPr>
              <w:t>2</w:t>
            </w:r>
          </w:p>
        </w:tc>
      </w:tr>
      <w:tr w:rsidR="00BA0599" w14:paraId="737E436D" w14:textId="77777777">
        <w:trPr>
          <w:trHeight w:val="180"/>
        </w:trPr>
        <w:tc>
          <w:tcPr>
            <w:tcW w:w="703" w:type="dxa"/>
            <w:vMerge/>
            <w:tcBorders>
              <w:top w:val="single" w:sz="4" w:space="0" w:color="000000"/>
            </w:tcBorders>
          </w:tcPr>
          <w:p w14:paraId="14C1FC73" w14:textId="77777777" w:rsidR="00BA0599" w:rsidRDefault="00BA0599">
            <w:pPr>
              <w:snapToGrid w:val="0"/>
              <w:spacing w:after="0" w:line="240" w:lineRule="auto"/>
              <w:jc w:val="both"/>
              <w:rPr>
                <w:rFonts w:ascii="Times New Roman" w:hAnsi="Times New Roman" w:cs="Times New Roman"/>
                <w:sz w:val="24"/>
                <w:szCs w:val="24"/>
                <w:lang w:val="en-US"/>
              </w:rPr>
            </w:pPr>
          </w:p>
        </w:tc>
        <w:tc>
          <w:tcPr>
            <w:tcW w:w="2685" w:type="dxa"/>
            <w:vMerge/>
            <w:tcBorders>
              <w:top w:val="single" w:sz="4" w:space="0" w:color="000000"/>
            </w:tcBorders>
          </w:tcPr>
          <w:p w14:paraId="70FE781A" w14:textId="77777777" w:rsidR="00BA0599" w:rsidRDefault="00BA0599">
            <w:pPr>
              <w:snapToGrid w:val="0"/>
              <w:spacing w:after="0" w:line="240" w:lineRule="auto"/>
              <w:jc w:val="both"/>
              <w:rPr>
                <w:rFonts w:ascii="Times New Roman" w:hAnsi="Times New Roman" w:cs="Times New Roman"/>
                <w:sz w:val="24"/>
                <w:szCs w:val="24"/>
                <w:lang w:val="en-US"/>
              </w:rPr>
            </w:pPr>
          </w:p>
        </w:tc>
        <w:tc>
          <w:tcPr>
            <w:tcW w:w="2610" w:type="dxa"/>
          </w:tcPr>
          <w:p w14:paraId="6D5283B7" w14:textId="77777777" w:rsidR="00BA0599" w:rsidRDefault="00000000">
            <w:pPr>
              <w:spacing w:after="0"/>
              <w:jc w:val="both"/>
              <w:rPr>
                <w:rFonts w:ascii="Times New Roman" w:hAnsi="Times New Roman" w:cs="Times New Roman"/>
                <w:sz w:val="24"/>
                <w:szCs w:val="24"/>
                <w:lang w:val="en-US"/>
              </w:rPr>
            </w:pPr>
            <w:r>
              <w:rPr>
                <w:rFonts w:ascii="Times New Roman" w:hAnsi="Times New Roman" w:cs="Times New Roman"/>
                <w:sz w:val="24"/>
                <w:szCs w:val="24"/>
                <w:lang w:val="en-US"/>
              </w:rPr>
              <w:t>UV + Vanillic acid treated</w:t>
            </w:r>
          </w:p>
        </w:tc>
        <w:tc>
          <w:tcPr>
            <w:tcW w:w="2610" w:type="dxa"/>
          </w:tcPr>
          <w:p w14:paraId="1193F081" w14:textId="77777777" w:rsidR="00BA0599" w:rsidRDefault="00000000">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18.3</w:t>
            </w:r>
            <w:r>
              <w:rPr>
                <w:rFonts w:ascii="Times New Roman" w:hAnsi="Times New Roman" w:cs="Times New Roman"/>
                <w:kern w:val="2"/>
                <w:sz w:val="24"/>
                <w:szCs w:val="24"/>
                <w:lang w:val="en-US"/>
              </w:rPr>
              <w:t>±3.02</w:t>
            </w:r>
            <w:r>
              <w:rPr>
                <w:rFonts w:ascii="Times New Roman" w:hAnsi="Times New Roman" w:cs="Times New Roman"/>
                <w:kern w:val="2"/>
                <w:sz w:val="24"/>
                <w:szCs w:val="24"/>
                <w:vertAlign w:val="superscript"/>
                <w:lang w:val="en-US"/>
              </w:rPr>
              <w:t>1</w:t>
            </w:r>
          </w:p>
        </w:tc>
      </w:tr>
      <w:tr w:rsidR="00BA0599" w14:paraId="3E6F501B" w14:textId="77777777">
        <w:trPr>
          <w:trHeight w:val="495"/>
        </w:trPr>
        <w:tc>
          <w:tcPr>
            <w:tcW w:w="703" w:type="dxa"/>
            <w:vMerge/>
            <w:tcBorders>
              <w:top w:val="single" w:sz="4" w:space="0" w:color="000000"/>
            </w:tcBorders>
          </w:tcPr>
          <w:p w14:paraId="4DEDA023" w14:textId="77777777" w:rsidR="00BA0599" w:rsidRDefault="00BA0599">
            <w:pPr>
              <w:snapToGrid w:val="0"/>
              <w:spacing w:after="0" w:line="240" w:lineRule="auto"/>
              <w:jc w:val="both"/>
              <w:rPr>
                <w:rFonts w:ascii="Times New Roman" w:hAnsi="Times New Roman" w:cs="Times New Roman"/>
                <w:sz w:val="24"/>
                <w:szCs w:val="24"/>
                <w:lang w:val="en-US"/>
              </w:rPr>
            </w:pPr>
          </w:p>
        </w:tc>
        <w:tc>
          <w:tcPr>
            <w:tcW w:w="2685" w:type="dxa"/>
            <w:vMerge/>
            <w:tcBorders>
              <w:top w:val="single" w:sz="4" w:space="0" w:color="000000"/>
            </w:tcBorders>
          </w:tcPr>
          <w:p w14:paraId="30253C27" w14:textId="77777777" w:rsidR="00BA0599" w:rsidRDefault="00BA0599">
            <w:pPr>
              <w:snapToGrid w:val="0"/>
              <w:spacing w:after="0" w:line="240" w:lineRule="auto"/>
              <w:jc w:val="both"/>
              <w:rPr>
                <w:rFonts w:ascii="Times New Roman" w:hAnsi="Times New Roman" w:cs="Times New Roman"/>
                <w:sz w:val="24"/>
                <w:szCs w:val="24"/>
                <w:lang w:val="en-US"/>
              </w:rPr>
            </w:pPr>
          </w:p>
        </w:tc>
        <w:tc>
          <w:tcPr>
            <w:tcW w:w="2610" w:type="dxa"/>
            <w:tcBorders>
              <w:bottom w:val="single" w:sz="4" w:space="0" w:color="000000"/>
            </w:tcBorders>
          </w:tcPr>
          <w:p w14:paraId="1F816B0D" w14:textId="77777777" w:rsidR="00BA0599" w:rsidRDefault="00000000">
            <w:pPr>
              <w:spacing w:after="0"/>
              <w:jc w:val="both"/>
              <w:rPr>
                <w:rFonts w:ascii="Times New Roman" w:hAnsi="Times New Roman" w:cs="Times New Roman"/>
                <w:sz w:val="24"/>
                <w:szCs w:val="24"/>
                <w:lang w:val="en-US"/>
              </w:rPr>
            </w:pPr>
            <w:r>
              <w:rPr>
                <w:rFonts w:ascii="Times New Roman" w:hAnsi="Times New Roman" w:cs="Times New Roman"/>
                <w:sz w:val="24"/>
                <w:szCs w:val="24"/>
                <w:lang w:val="en-US"/>
              </w:rPr>
              <w:t>Vanillic acid alone</w:t>
            </w:r>
          </w:p>
        </w:tc>
        <w:tc>
          <w:tcPr>
            <w:tcW w:w="2610" w:type="dxa"/>
            <w:tcBorders>
              <w:bottom w:val="single" w:sz="4" w:space="0" w:color="000000"/>
            </w:tcBorders>
          </w:tcPr>
          <w:p w14:paraId="42F4A51E" w14:textId="77777777" w:rsidR="00BA0599" w:rsidRDefault="00000000">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20.8</w:t>
            </w:r>
            <w:r>
              <w:rPr>
                <w:rFonts w:ascii="Times New Roman" w:hAnsi="Times New Roman" w:cs="Times New Roman"/>
                <w:kern w:val="2"/>
                <w:sz w:val="24"/>
                <w:szCs w:val="24"/>
                <w:lang w:val="en-US"/>
              </w:rPr>
              <w:t>±3.29</w:t>
            </w:r>
            <w:r>
              <w:rPr>
                <w:rFonts w:ascii="Times New Roman" w:hAnsi="Times New Roman" w:cs="Times New Roman"/>
                <w:kern w:val="2"/>
                <w:sz w:val="24"/>
                <w:szCs w:val="24"/>
                <w:vertAlign w:val="superscript"/>
                <w:lang w:val="en-US"/>
              </w:rPr>
              <w:t>1</w:t>
            </w:r>
          </w:p>
        </w:tc>
      </w:tr>
    </w:tbl>
    <w:p w14:paraId="4F60FE57" w14:textId="77777777" w:rsidR="00BA0599" w:rsidRDefault="00000000">
      <w:pPr>
        <w:spacing w:line="360" w:lineRule="auto"/>
        <w:jc w:val="both"/>
      </w:pPr>
      <w:r>
        <w:rPr>
          <w:rFonts w:ascii="Times New Roman" w:hAnsi="Times New Roman" w:cs="Times New Roman"/>
          <w:bCs/>
          <w:iCs/>
          <w:sz w:val="24"/>
          <w:szCs w:val="24"/>
        </w:rPr>
        <w:t xml:space="preserve">Values are expressed as mean ± SD. Values not sharing a common superscript differ significantly at </w:t>
      </w:r>
      <w:r>
        <w:rPr>
          <w:rFonts w:ascii="Times New Roman" w:hAnsi="Times New Roman" w:cs="Times New Roman"/>
          <w:bCs/>
          <w:i/>
          <w:iCs/>
          <w:sz w:val="24"/>
          <w:szCs w:val="24"/>
        </w:rPr>
        <w:t>p</w:t>
      </w:r>
      <w:r>
        <w:rPr>
          <w:rFonts w:ascii="Times New Roman" w:hAnsi="Times New Roman" w:cs="Times New Roman"/>
          <w:bCs/>
          <w:iCs/>
          <w:sz w:val="24"/>
          <w:szCs w:val="24"/>
        </w:rPr>
        <w:t>&lt; 0.05 (DMRT).</w:t>
      </w:r>
    </w:p>
    <w:p w14:paraId="570A23F9" w14:textId="77777777" w:rsidR="00BA0599" w:rsidRDefault="00000000">
      <w:pPr>
        <w:spacing w:line="360" w:lineRule="auto"/>
        <w:jc w:val="both"/>
      </w:pPr>
      <w:r>
        <w:rPr>
          <w:rFonts w:ascii="Times New Roman" w:hAnsi="Times New Roman" w:cs="Times New Roman"/>
          <w:bCs/>
          <w:iCs/>
          <w:sz w:val="24"/>
          <w:szCs w:val="24"/>
        </w:rPr>
        <w:t xml:space="preserve">UV exposure induced oxidative stress as evidenced by elevated lipid peroxidation and protein oxidation, accompanied by impaired </w:t>
      </w:r>
      <w:r>
        <w:rPr>
          <w:rFonts w:ascii="Times New Roman" w:hAnsi="Times New Roman" w:cs="Times New Roman"/>
          <w:bCs/>
          <w:iCs/>
          <w:sz w:val="24"/>
          <w:szCs w:val="24"/>
          <w:highlight w:val="yellow"/>
        </w:rPr>
        <w:t>behavioural</w:t>
      </w:r>
      <w:r>
        <w:rPr>
          <w:rFonts w:ascii="Times New Roman" w:hAnsi="Times New Roman" w:cs="Times New Roman"/>
          <w:bCs/>
          <w:iCs/>
          <w:sz w:val="24"/>
          <w:szCs w:val="24"/>
        </w:rPr>
        <w:t xml:space="preserve"> performance. These alterations likely contributed to deficits in locomotor activity, sensory responses, and cognitive </w:t>
      </w:r>
      <w:r>
        <w:rPr>
          <w:rFonts w:ascii="Times New Roman" w:hAnsi="Times New Roman" w:cs="Times New Roman"/>
          <w:bCs/>
          <w:iCs/>
          <w:sz w:val="24"/>
          <w:szCs w:val="24"/>
          <w:highlight w:val="yellow"/>
        </w:rPr>
        <w:t>behaviours</w:t>
      </w:r>
      <w:r>
        <w:rPr>
          <w:rFonts w:ascii="Times New Roman" w:hAnsi="Times New Roman" w:cs="Times New Roman"/>
          <w:bCs/>
          <w:iCs/>
          <w:sz w:val="24"/>
          <w:szCs w:val="24"/>
        </w:rPr>
        <w:t xml:space="preserve">. Treatment with vanillic acid markedly attenuated oxidative stress and restored both enzymatic and non-enzymatic antioxidant </w:t>
      </w:r>
      <w:r>
        <w:rPr>
          <w:rFonts w:ascii="Times New Roman" w:hAnsi="Times New Roman" w:cs="Times New Roman"/>
          <w:bCs/>
          <w:iCs/>
          <w:sz w:val="24"/>
          <w:szCs w:val="24"/>
          <w:highlight w:val="yellow"/>
        </w:rPr>
        <w:t>defences</w:t>
      </w:r>
      <w:r>
        <w:rPr>
          <w:rFonts w:ascii="Times New Roman" w:hAnsi="Times New Roman" w:cs="Times New Roman"/>
          <w:bCs/>
          <w:iCs/>
          <w:sz w:val="24"/>
          <w:szCs w:val="24"/>
        </w:rPr>
        <w:t xml:space="preserve">, resulting in </w:t>
      </w:r>
      <w:r>
        <w:rPr>
          <w:rFonts w:ascii="Times New Roman" w:hAnsi="Times New Roman" w:cs="Times New Roman"/>
          <w:bCs/>
          <w:iCs/>
          <w:sz w:val="24"/>
          <w:szCs w:val="24"/>
          <w:highlight w:val="yellow"/>
        </w:rPr>
        <w:t>normalisation</w:t>
      </w:r>
      <w:r>
        <w:rPr>
          <w:rFonts w:ascii="Times New Roman" w:hAnsi="Times New Roman" w:cs="Times New Roman"/>
          <w:bCs/>
          <w:iCs/>
          <w:sz w:val="24"/>
          <w:szCs w:val="24"/>
        </w:rPr>
        <w:t xml:space="preserve"> of </w:t>
      </w:r>
      <w:r>
        <w:rPr>
          <w:rFonts w:ascii="Times New Roman" w:hAnsi="Times New Roman" w:cs="Times New Roman"/>
          <w:bCs/>
          <w:iCs/>
          <w:sz w:val="24"/>
          <w:szCs w:val="24"/>
          <w:highlight w:val="yellow"/>
        </w:rPr>
        <w:t>behavioural</w:t>
      </w:r>
      <w:r>
        <w:rPr>
          <w:rFonts w:ascii="Times New Roman" w:hAnsi="Times New Roman" w:cs="Times New Roman"/>
          <w:bCs/>
          <w:iCs/>
          <w:sz w:val="24"/>
          <w:szCs w:val="24"/>
        </w:rPr>
        <w:t xml:space="preserve"> indices.</w:t>
      </w:r>
    </w:p>
    <w:p w14:paraId="3B12F587" w14:textId="77777777" w:rsidR="00BA0599" w:rsidRDefault="00000000">
      <w:pPr>
        <w:spacing w:line="360" w:lineRule="auto"/>
        <w:jc w:val="both"/>
      </w:pPr>
      <w:r>
        <w:rPr>
          <w:rFonts w:ascii="Times New Roman" w:hAnsi="Times New Roman" w:cs="Times New Roman"/>
          <w:bCs/>
          <w:iCs/>
          <w:sz w:val="24"/>
          <w:szCs w:val="24"/>
        </w:rPr>
        <w:t xml:space="preserve">The reduction in TBARS and protein carbonyl levels following vanillic acid treatment suggests effective scavenging of reactive oxygen species (ROS), potentially attributable to the polyphenolic structure and hydroxyl groups of vanillic acid. Restoration of SOD activity further supports its protective antioxidant role. Collectively, these findings indicate that </w:t>
      </w:r>
      <w:r>
        <w:rPr>
          <w:rFonts w:ascii="Times New Roman" w:hAnsi="Times New Roman" w:cs="Times New Roman"/>
          <w:bCs/>
          <w:iCs/>
          <w:sz w:val="24"/>
          <w:szCs w:val="24"/>
          <w:highlight w:val="yellow"/>
        </w:rPr>
        <w:t xml:space="preserve">vanillic acid mitigates behavioural dysfunctions associated with UV-induced oxidative damage in </w:t>
      </w:r>
      <w:r>
        <w:rPr>
          <w:rFonts w:ascii="Times New Roman" w:hAnsi="Times New Roman" w:cs="Times New Roman"/>
          <w:bCs/>
          <w:i/>
          <w:iCs/>
          <w:sz w:val="24"/>
          <w:szCs w:val="24"/>
        </w:rPr>
        <w:t>D. melanogaster</w:t>
      </w:r>
      <w:r>
        <w:rPr>
          <w:rFonts w:ascii="Times New Roman" w:hAnsi="Times New Roman" w:cs="Times New Roman"/>
          <w:bCs/>
          <w:iCs/>
          <w:sz w:val="24"/>
          <w:szCs w:val="24"/>
        </w:rPr>
        <w:t>.</w:t>
      </w:r>
    </w:p>
    <w:p w14:paraId="61620F5D" w14:textId="77777777" w:rsidR="00BA0599" w:rsidRDefault="00000000">
      <w:pPr>
        <w:spacing w:line="360" w:lineRule="auto"/>
        <w:jc w:val="both"/>
        <w:rPr>
          <w:rFonts w:ascii="Times New Roman" w:hAnsi="Times New Roman" w:cs="Times New Roman"/>
          <w:b/>
          <w:bCs/>
          <w:iCs/>
          <w:sz w:val="24"/>
          <w:szCs w:val="24"/>
        </w:rPr>
      </w:pPr>
      <w:r>
        <w:rPr>
          <w:rFonts w:ascii="Times New Roman" w:hAnsi="Times New Roman" w:cs="Times New Roman"/>
          <w:b/>
          <w:bCs/>
          <w:iCs/>
          <w:sz w:val="24"/>
          <w:szCs w:val="24"/>
        </w:rPr>
        <w:t>Discussion</w:t>
      </w:r>
    </w:p>
    <w:p w14:paraId="09F43C07" w14:textId="77777777" w:rsidR="00BA0599" w:rsidRDefault="00000000">
      <w:pPr>
        <w:spacing w:line="360" w:lineRule="auto"/>
        <w:jc w:val="both"/>
        <w:rPr>
          <w:rFonts w:ascii="Times New Roman" w:hAnsi="Times New Roman" w:cs="Times New Roman"/>
          <w:bCs/>
          <w:iCs/>
          <w:sz w:val="24"/>
          <w:szCs w:val="24"/>
        </w:rPr>
      </w:pPr>
      <w:r>
        <w:rPr>
          <w:rFonts w:ascii="Times New Roman" w:hAnsi="Times New Roman" w:cs="Times New Roman"/>
          <w:bCs/>
          <w:iCs/>
          <w:sz w:val="24"/>
          <w:szCs w:val="24"/>
        </w:rPr>
        <w:t xml:space="preserve">Ultraviolet (UV) radiation </w:t>
      </w:r>
      <w:r>
        <w:rPr>
          <w:rFonts w:ascii="Times New Roman" w:hAnsi="Times New Roman" w:cs="Times New Roman"/>
          <w:bCs/>
          <w:iCs/>
          <w:sz w:val="24"/>
          <w:szCs w:val="24"/>
          <w:highlight w:val="yellow"/>
        </w:rPr>
        <w:t>is a well-established inducer</w:t>
      </w:r>
      <w:r>
        <w:rPr>
          <w:rFonts w:ascii="Times New Roman" w:hAnsi="Times New Roman" w:cs="Times New Roman"/>
          <w:bCs/>
          <w:iCs/>
          <w:sz w:val="24"/>
          <w:szCs w:val="24"/>
        </w:rPr>
        <w:t xml:space="preserve"> of oxidative stress leading to marked physiological and behavioural impairments. DNA integrity is critical for normal cellular function, yet it remains highly vulnerable to environmental stressors such as UV radiation </w:t>
      </w:r>
      <w:r>
        <w:rPr>
          <w:rFonts w:ascii="Times New Roman" w:hAnsi="Times New Roman" w:cs="Times New Roman"/>
          <w:bCs/>
          <w:iCs/>
          <w:sz w:val="24"/>
          <w:szCs w:val="24"/>
          <w:highlight w:val="yellow"/>
        </w:rPr>
        <w:t>(Pray, 2008)</w:t>
      </w:r>
      <w:r>
        <w:rPr>
          <w:rFonts w:ascii="Times New Roman" w:hAnsi="Times New Roman" w:cs="Times New Roman"/>
          <w:bCs/>
          <w:iCs/>
          <w:sz w:val="24"/>
          <w:szCs w:val="24"/>
        </w:rPr>
        <w:t xml:space="preserve">. Increased UV exposure, particularly UVB (290–320 nm), can induce direct DNA damage, including strand breaks and mutagenesis, thereby contributing to carcinogenesis </w:t>
      </w:r>
      <w:r>
        <w:rPr>
          <w:rFonts w:ascii="Times New Roman" w:hAnsi="Times New Roman" w:cs="Times New Roman"/>
          <w:bCs/>
          <w:iCs/>
          <w:sz w:val="24"/>
          <w:szCs w:val="24"/>
          <w:highlight w:val="yellow"/>
        </w:rPr>
        <w:t xml:space="preserve">(Sinha &amp; </w:t>
      </w:r>
      <w:proofErr w:type="spellStart"/>
      <w:r>
        <w:rPr>
          <w:rFonts w:ascii="Times New Roman" w:hAnsi="Times New Roman" w:cs="Times New Roman"/>
          <w:bCs/>
          <w:iCs/>
          <w:sz w:val="24"/>
          <w:szCs w:val="24"/>
          <w:highlight w:val="yellow"/>
        </w:rPr>
        <w:t>Häder</w:t>
      </w:r>
      <w:proofErr w:type="spellEnd"/>
      <w:r>
        <w:rPr>
          <w:rFonts w:ascii="Times New Roman" w:hAnsi="Times New Roman" w:cs="Times New Roman"/>
          <w:bCs/>
          <w:iCs/>
          <w:sz w:val="24"/>
          <w:szCs w:val="24"/>
          <w:highlight w:val="yellow"/>
        </w:rPr>
        <w:t>, 2002)</w:t>
      </w:r>
      <w:r>
        <w:rPr>
          <w:rFonts w:ascii="Times New Roman" w:hAnsi="Times New Roman" w:cs="Times New Roman"/>
          <w:bCs/>
          <w:iCs/>
          <w:sz w:val="24"/>
          <w:szCs w:val="24"/>
        </w:rPr>
        <w:t>. Additionally, UV radiation promotes indirect DNA damage through excessive generation of reactive oxygen species (ROS), which can overwhelm cellular repair mechanisms (</w:t>
      </w:r>
      <w:proofErr w:type="spellStart"/>
      <w:r>
        <w:rPr>
          <w:rFonts w:ascii="Times New Roman" w:hAnsi="Times New Roman" w:cs="Times New Roman"/>
          <w:bCs/>
          <w:iCs/>
          <w:sz w:val="24"/>
          <w:szCs w:val="24"/>
        </w:rPr>
        <w:t>Ravanat</w:t>
      </w:r>
      <w:proofErr w:type="spellEnd"/>
      <w:r>
        <w:rPr>
          <w:rFonts w:ascii="Times New Roman" w:hAnsi="Times New Roman" w:cs="Times New Roman"/>
          <w:bCs/>
          <w:iCs/>
          <w:sz w:val="24"/>
          <w:szCs w:val="24"/>
        </w:rPr>
        <w:t xml:space="preserve"> et al., 2001). </w:t>
      </w:r>
      <w:r>
        <w:rPr>
          <w:rFonts w:ascii="Times New Roman" w:hAnsi="Times New Roman" w:cs="Times New Roman"/>
          <w:bCs/>
          <w:i/>
          <w:iCs/>
          <w:sz w:val="24"/>
          <w:szCs w:val="24"/>
        </w:rPr>
        <w:t>Drosophila melanogaster</w:t>
      </w:r>
      <w:r>
        <w:rPr>
          <w:rFonts w:ascii="Times New Roman" w:hAnsi="Times New Roman" w:cs="Times New Roman"/>
          <w:bCs/>
          <w:iCs/>
          <w:sz w:val="24"/>
          <w:szCs w:val="24"/>
        </w:rPr>
        <w:t xml:space="preserve"> possesses a highly conserved antioxidant defence system (de Aguiar et al., 2016). In </w:t>
      </w:r>
      <w:r>
        <w:rPr>
          <w:rFonts w:ascii="Times New Roman" w:hAnsi="Times New Roman" w:cs="Times New Roman"/>
          <w:bCs/>
          <w:i/>
          <w:iCs/>
          <w:sz w:val="24"/>
          <w:szCs w:val="24"/>
        </w:rPr>
        <w:t>D. melanogaster</w:t>
      </w:r>
      <w:r>
        <w:rPr>
          <w:rFonts w:ascii="Times New Roman" w:hAnsi="Times New Roman" w:cs="Times New Roman"/>
          <w:bCs/>
          <w:iCs/>
          <w:sz w:val="24"/>
          <w:szCs w:val="24"/>
        </w:rPr>
        <w:t xml:space="preserve">, UV-induced oxidative stress has been shown to adversely affect lifespan, </w:t>
      </w:r>
      <w:r>
        <w:rPr>
          <w:rFonts w:ascii="Times New Roman" w:hAnsi="Times New Roman" w:cs="Times New Roman"/>
          <w:bCs/>
          <w:iCs/>
          <w:sz w:val="24"/>
          <w:szCs w:val="24"/>
        </w:rPr>
        <w:lastRenderedPageBreak/>
        <w:t xml:space="preserve">fertility, and tissue integrity. In the present study, UV-exposed </w:t>
      </w:r>
      <w:r>
        <w:rPr>
          <w:rFonts w:ascii="Times New Roman" w:hAnsi="Times New Roman" w:cs="Times New Roman"/>
          <w:bCs/>
          <w:i/>
          <w:iCs/>
          <w:sz w:val="24"/>
          <w:szCs w:val="24"/>
        </w:rPr>
        <w:t>Drosophila melanogaster</w:t>
      </w:r>
      <w:r>
        <w:rPr>
          <w:rFonts w:ascii="Times New Roman" w:hAnsi="Times New Roman" w:cs="Times New Roman"/>
          <w:bCs/>
          <w:iCs/>
          <w:sz w:val="24"/>
          <w:szCs w:val="24"/>
        </w:rPr>
        <w:t xml:space="preserve"> exhibited significant alterations in behavioural parameters, indicating compromised cognitive and neuromotor functions. Oxidative stress </w:t>
      </w:r>
      <w:r>
        <w:rPr>
          <w:rFonts w:ascii="Times New Roman" w:hAnsi="Times New Roman" w:cs="Times New Roman"/>
          <w:bCs/>
          <w:iCs/>
          <w:sz w:val="24"/>
          <w:szCs w:val="24"/>
          <w:highlight w:val="yellow"/>
        </w:rPr>
        <w:t>has also been associated</w:t>
      </w:r>
      <w:r>
        <w:rPr>
          <w:rFonts w:ascii="Times New Roman" w:hAnsi="Times New Roman" w:cs="Times New Roman"/>
          <w:bCs/>
          <w:iCs/>
          <w:sz w:val="24"/>
          <w:szCs w:val="24"/>
        </w:rPr>
        <w:t xml:space="preserve"> with impaired negative geotaxis, altered locomotion, and reduced sleep duration in flies </w:t>
      </w:r>
      <w:r>
        <w:rPr>
          <w:rFonts w:ascii="Times New Roman" w:hAnsi="Times New Roman" w:cs="Times New Roman"/>
          <w:bCs/>
          <w:iCs/>
          <w:sz w:val="24"/>
          <w:szCs w:val="24"/>
          <w:highlight w:val="yellow"/>
        </w:rPr>
        <w:t xml:space="preserve">(Hill et al., 2018; </w:t>
      </w:r>
      <w:proofErr w:type="spellStart"/>
      <w:r>
        <w:rPr>
          <w:rFonts w:ascii="Times New Roman" w:hAnsi="Times New Roman" w:cs="Times New Roman"/>
          <w:bCs/>
          <w:iCs/>
          <w:sz w:val="24"/>
          <w:szCs w:val="24"/>
          <w:highlight w:val="yellow"/>
        </w:rPr>
        <w:t>Hosamani</w:t>
      </w:r>
      <w:proofErr w:type="spellEnd"/>
      <w:r>
        <w:rPr>
          <w:rFonts w:ascii="Times New Roman" w:hAnsi="Times New Roman" w:cs="Times New Roman"/>
          <w:bCs/>
          <w:iCs/>
          <w:sz w:val="24"/>
          <w:szCs w:val="24"/>
          <w:highlight w:val="yellow"/>
        </w:rPr>
        <w:t xml:space="preserve"> &amp; Muralidhara, 2009; Silveira et al., 2017)</w:t>
      </w:r>
      <w:r>
        <w:rPr>
          <w:rFonts w:ascii="Times New Roman" w:hAnsi="Times New Roman" w:cs="Times New Roman"/>
          <w:bCs/>
          <w:iCs/>
          <w:sz w:val="24"/>
          <w:szCs w:val="24"/>
        </w:rPr>
        <w:t xml:space="preserve">. </w:t>
      </w:r>
    </w:p>
    <w:p w14:paraId="79AF98D4" w14:textId="77777777" w:rsidR="00BA0599" w:rsidRDefault="00000000">
      <w:pPr>
        <w:spacing w:line="360" w:lineRule="auto"/>
        <w:ind w:firstLine="720"/>
        <w:jc w:val="both"/>
      </w:pPr>
      <w:r>
        <w:rPr>
          <w:rFonts w:ascii="Times New Roman" w:hAnsi="Times New Roman" w:cs="Times New Roman"/>
          <w:bCs/>
          <w:iCs/>
          <w:sz w:val="24"/>
          <w:szCs w:val="24"/>
        </w:rPr>
        <w:t xml:space="preserve">Vanillic acid is a naturally occurring phenolic compound with well-documented antioxidant and </w:t>
      </w:r>
      <w:r>
        <w:rPr>
          <w:rFonts w:ascii="Times New Roman" w:hAnsi="Times New Roman" w:cs="Times New Roman"/>
          <w:bCs/>
          <w:iCs/>
          <w:sz w:val="24"/>
          <w:szCs w:val="24"/>
          <w:highlight w:val="yellow"/>
        </w:rPr>
        <w:t>antitumour</w:t>
      </w:r>
      <w:r>
        <w:rPr>
          <w:rFonts w:ascii="Times New Roman" w:hAnsi="Times New Roman" w:cs="Times New Roman"/>
          <w:bCs/>
          <w:iCs/>
          <w:sz w:val="24"/>
          <w:szCs w:val="24"/>
        </w:rPr>
        <w:t xml:space="preserve"> properties. This study provides novel evidence that vanillic acid (VA) supplementation significantly ameliorates behavioural dysfunction </w:t>
      </w:r>
      <w:r>
        <w:rPr>
          <w:rFonts w:ascii="Times New Roman" w:hAnsi="Times New Roman" w:cs="Times New Roman"/>
          <w:bCs/>
          <w:iCs/>
          <w:sz w:val="24"/>
          <w:szCs w:val="24"/>
          <w:highlight w:val="yellow"/>
        </w:rPr>
        <w:t>in a dose-dependent manner in UV-treated flies</w:t>
      </w:r>
      <w:r>
        <w:rPr>
          <w:rFonts w:ascii="Times New Roman" w:hAnsi="Times New Roman" w:cs="Times New Roman"/>
          <w:bCs/>
          <w:iCs/>
          <w:sz w:val="24"/>
          <w:szCs w:val="24"/>
        </w:rPr>
        <w:t xml:space="preserve">, highlighting its neuroprotective potential. </w:t>
      </w:r>
      <w:r>
        <w:rPr>
          <w:rFonts w:ascii="Times New Roman" w:hAnsi="Times New Roman" w:cs="Times New Roman"/>
          <w:bCs/>
          <w:iCs/>
          <w:sz w:val="24"/>
          <w:szCs w:val="24"/>
          <w:highlight w:val="yellow"/>
        </w:rPr>
        <w:t>The present findings demonstrated marked disruption of multiple behavioural indices</w:t>
      </w:r>
      <w:r>
        <w:rPr>
          <w:rFonts w:ascii="Times New Roman" w:hAnsi="Times New Roman" w:cs="Times New Roman"/>
          <w:bCs/>
          <w:iCs/>
          <w:sz w:val="24"/>
          <w:szCs w:val="24"/>
        </w:rPr>
        <w:t xml:space="preserve">, including negative geotaxis, phototaxis, olfactory and gustatory chemotaxis, thermotaxis, and </w:t>
      </w:r>
      <w:proofErr w:type="spellStart"/>
      <w:r>
        <w:rPr>
          <w:rFonts w:ascii="Times New Roman" w:hAnsi="Times New Roman" w:cs="Times New Roman"/>
          <w:bCs/>
          <w:iCs/>
          <w:sz w:val="24"/>
          <w:szCs w:val="24"/>
        </w:rPr>
        <w:t>hygrotaxis</w:t>
      </w:r>
      <w:proofErr w:type="spellEnd"/>
      <w:r>
        <w:rPr>
          <w:rFonts w:ascii="Times New Roman" w:hAnsi="Times New Roman" w:cs="Times New Roman"/>
          <w:bCs/>
          <w:iCs/>
          <w:sz w:val="24"/>
          <w:szCs w:val="24"/>
        </w:rPr>
        <w:t xml:space="preserve">. Cognitive impairment is increasingly recognised as a consequence of cancer and associated metabolic disturbances (Huang et al., 2019). The observed behavioural deficits in carcinogenic flies suggest that oxidative stress progression may interfere with neural signalling and sensory integration. Notably, VA treatment restored these behavioural responses </w:t>
      </w:r>
      <w:r>
        <w:rPr>
          <w:rFonts w:ascii="Times New Roman" w:hAnsi="Times New Roman" w:cs="Times New Roman"/>
          <w:bCs/>
          <w:iCs/>
          <w:sz w:val="24"/>
          <w:szCs w:val="24"/>
          <w:highlight w:val="yellow"/>
        </w:rPr>
        <w:t>towards</w:t>
      </w:r>
      <w:r>
        <w:rPr>
          <w:rFonts w:ascii="Times New Roman" w:hAnsi="Times New Roman" w:cs="Times New Roman"/>
          <w:bCs/>
          <w:iCs/>
          <w:sz w:val="24"/>
          <w:szCs w:val="24"/>
        </w:rPr>
        <w:t xml:space="preserve"> near-normal levels, indicating that suppression of oxidative stress burden may directly contribute to improved cognitive performance. Previous studies have demonstrated its ability to inhibit </w:t>
      </w:r>
      <w:r>
        <w:rPr>
          <w:rFonts w:ascii="Times New Roman" w:hAnsi="Times New Roman" w:cs="Times New Roman"/>
          <w:bCs/>
          <w:iCs/>
          <w:sz w:val="24"/>
          <w:szCs w:val="24"/>
          <w:highlight w:val="yellow"/>
        </w:rPr>
        <w:t>tumour</w:t>
      </w:r>
      <w:r>
        <w:rPr>
          <w:rFonts w:ascii="Times New Roman" w:hAnsi="Times New Roman" w:cs="Times New Roman"/>
          <w:bCs/>
          <w:iCs/>
          <w:sz w:val="24"/>
          <w:szCs w:val="24"/>
        </w:rPr>
        <w:t xml:space="preserve"> proliferation in animal models and cancer cell lines by modulating key signalling pathways involved in oxidative balance, apoptosis, and cell survival </w:t>
      </w:r>
      <w:r>
        <w:rPr>
          <w:rFonts w:ascii="Times New Roman" w:hAnsi="Times New Roman" w:cs="Times New Roman"/>
          <w:bCs/>
          <w:iCs/>
          <w:sz w:val="24"/>
          <w:szCs w:val="24"/>
          <w:highlight w:val="yellow"/>
        </w:rPr>
        <w:t xml:space="preserve">(Hao et al., 2025; </w:t>
      </w:r>
      <w:proofErr w:type="spellStart"/>
      <w:r>
        <w:rPr>
          <w:rFonts w:ascii="Times New Roman" w:hAnsi="Times New Roman" w:cs="Times New Roman"/>
          <w:bCs/>
          <w:iCs/>
          <w:sz w:val="24"/>
          <w:szCs w:val="24"/>
          <w:highlight w:val="yellow"/>
        </w:rPr>
        <w:t>Taqvi</w:t>
      </w:r>
      <w:proofErr w:type="spellEnd"/>
      <w:r>
        <w:rPr>
          <w:rFonts w:ascii="Times New Roman" w:hAnsi="Times New Roman" w:cs="Times New Roman"/>
          <w:bCs/>
          <w:iCs/>
          <w:sz w:val="24"/>
          <w:szCs w:val="24"/>
          <w:highlight w:val="yellow"/>
        </w:rPr>
        <w:t xml:space="preserve"> et al., 2021; Yang et al., 2020; Zhang et al., 2018)</w:t>
      </w:r>
      <w:r>
        <w:rPr>
          <w:rFonts w:ascii="Times New Roman" w:hAnsi="Times New Roman" w:cs="Times New Roman"/>
          <w:bCs/>
          <w:iCs/>
          <w:sz w:val="24"/>
          <w:szCs w:val="24"/>
        </w:rPr>
        <w:t xml:space="preserve">. </w:t>
      </w:r>
    </w:p>
    <w:p w14:paraId="6086F75F" w14:textId="77777777" w:rsidR="00BA0599" w:rsidRDefault="00000000">
      <w:pPr>
        <w:spacing w:line="360" w:lineRule="auto"/>
        <w:ind w:firstLine="720"/>
        <w:jc w:val="both"/>
        <w:rPr>
          <w:rFonts w:ascii="Times New Roman" w:hAnsi="Times New Roman" w:cs="Times New Roman"/>
          <w:bCs/>
          <w:i/>
          <w:iCs/>
          <w:sz w:val="24"/>
          <w:szCs w:val="24"/>
        </w:rPr>
      </w:pPr>
      <w:r>
        <w:rPr>
          <w:rFonts w:ascii="Times New Roman" w:hAnsi="Times New Roman" w:cs="Times New Roman"/>
          <w:bCs/>
          <w:iCs/>
          <w:sz w:val="24"/>
          <w:szCs w:val="24"/>
        </w:rPr>
        <w:t xml:space="preserve">VA supplementation, particularly at 0.01%, effectively restored antioxidant enzyme activities. VA administration in the present study significantly reduced lipid peroxidation markers, particularly </w:t>
      </w:r>
      <w:proofErr w:type="spellStart"/>
      <w:r>
        <w:rPr>
          <w:rFonts w:ascii="Times New Roman" w:hAnsi="Times New Roman" w:cs="Times New Roman"/>
          <w:bCs/>
          <w:iCs/>
          <w:sz w:val="24"/>
          <w:szCs w:val="24"/>
        </w:rPr>
        <w:t>thiobarbituric</w:t>
      </w:r>
      <w:proofErr w:type="spellEnd"/>
      <w:r>
        <w:rPr>
          <w:rFonts w:ascii="Times New Roman" w:hAnsi="Times New Roman" w:cs="Times New Roman"/>
          <w:bCs/>
          <w:iCs/>
          <w:sz w:val="24"/>
          <w:szCs w:val="24"/>
        </w:rPr>
        <w:t xml:space="preserve"> acid reactive substances (TBARS), in UV-treated flies. Elevated TBARS and lipid hydroperoxides in the flies are indicative of excessive ROS generation and membrane damage associated with hypoxia </w:t>
      </w:r>
      <w:r>
        <w:rPr>
          <w:rFonts w:ascii="Times New Roman" w:hAnsi="Times New Roman" w:cs="Times New Roman"/>
          <w:bCs/>
          <w:iCs/>
          <w:sz w:val="24"/>
          <w:szCs w:val="24"/>
          <w:highlight w:val="yellow"/>
        </w:rPr>
        <w:t xml:space="preserve">(Kasapoglu &amp; </w:t>
      </w:r>
      <w:proofErr w:type="spellStart"/>
      <w:r>
        <w:rPr>
          <w:rFonts w:ascii="Times New Roman" w:hAnsi="Times New Roman" w:cs="Times New Roman"/>
          <w:bCs/>
          <w:iCs/>
          <w:sz w:val="24"/>
          <w:szCs w:val="24"/>
          <w:highlight w:val="yellow"/>
        </w:rPr>
        <w:t>Ozben</w:t>
      </w:r>
      <w:proofErr w:type="spellEnd"/>
      <w:r>
        <w:rPr>
          <w:rFonts w:ascii="Times New Roman" w:hAnsi="Times New Roman" w:cs="Times New Roman"/>
          <w:bCs/>
          <w:iCs/>
          <w:sz w:val="24"/>
          <w:szCs w:val="24"/>
          <w:highlight w:val="yellow"/>
        </w:rPr>
        <w:t>, 2001; Weinberg et al., 2019)</w:t>
      </w:r>
      <w:r>
        <w:rPr>
          <w:rFonts w:ascii="Times New Roman" w:hAnsi="Times New Roman" w:cs="Times New Roman"/>
          <w:bCs/>
          <w:iCs/>
          <w:sz w:val="24"/>
          <w:szCs w:val="24"/>
        </w:rPr>
        <w:t xml:space="preserve">. The reduction of these oxidative markers following VA treatment can be attributed to its strong ROS-scavenging activity, conferred by its hydroxylated phenolic structure. Vanillic acid exerts antioxidant effects both directly, by neutralising reactive oxygen and nitrogen species, and indirectly, by enhancing endogenous antioxidant defences while suppressing pro-oxidant pathways (Itoh </w:t>
      </w:r>
      <w:r>
        <w:rPr>
          <w:rFonts w:ascii="Times New Roman" w:hAnsi="Times New Roman" w:cs="Times New Roman"/>
          <w:bCs/>
          <w:i/>
          <w:iCs/>
          <w:sz w:val="24"/>
          <w:szCs w:val="24"/>
        </w:rPr>
        <w:t>et al.,</w:t>
      </w:r>
      <w:r>
        <w:rPr>
          <w:rFonts w:ascii="Times New Roman" w:hAnsi="Times New Roman" w:cs="Times New Roman"/>
          <w:bCs/>
          <w:iCs/>
          <w:sz w:val="24"/>
          <w:szCs w:val="24"/>
        </w:rPr>
        <w:t xml:space="preserve"> 2009). VA (0.01%) in this study effectively alleviated oxidative stress. The present findings are consistent with the study of Kani and Subramanian (2021), who reported that vanillic acid exhibited dose-dependent antioxidant and neuroprotective effects in </w:t>
      </w:r>
      <w:r>
        <w:rPr>
          <w:rFonts w:ascii="Times New Roman" w:hAnsi="Times New Roman" w:cs="Times New Roman"/>
          <w:bCs/>
          <w:i/>
          <w:iCs/>
          <w:sz w:val="24"/>
          <w:szCs w:val="24"/>
        </w:rPr>
        <w:t>D. melanogaster</w:t>
      </w:r>
      <w:r>
        <w:rPr>
          <w:rFonts w:ascii="Times New Roman" w:hAnsi="Times New Roman" w:cs="Times New Roman"/>
          <w:bCs/>
          <w:iCs/>
          <w:sz w:val="24"/>
          <w:szCs w:val="24"/>
        </w:rPr>
        <w:t xml:space="preserve">, with the 0.01% concentration </w:t>
      </w:r>
      <w:r>
        <w:rPr>
          <w:rFonts w:ascii="Times New Roman" w:hAnsi="Times New Roman" w:cs="Times New Roman"/>
          <w:bCs/>
          <w:iCs/>
          <w:sz w:val="24"/>
          <w:szCs w:val="24"/>
        </w:rPr>
        <w:lastRenderedPageBreak/>
        <w:t xml:space="preserve">providing the most effective protection against oxidative stress and </w:t>
      </w:r>
      <w:r>
        <w:rPr>
          <w:rFonts w:ascii="Times New Roman" w:hAnsi="Times New Roman" w:cs="Times New Roman"/>
          <w:bCs/>
          <w:iCs/>
          <w:sz w:val="24"/>
          <w:szCs w:val="24"/>
          <w:highlight w:val="yellow"/>
        </w:rPr>
        <w:t>behavioural</w:t>
      </w:r>
      <w:r>
        <w:rPr>
          <w:rFonts w:ascii="Times New Roman" w:hAnsi="Times New Roman" w:cs="Times New Roman"/>
          <w:bCs/>
          <w:iCs/>
          <w:sz w:val="24"/>
          <w:szCs w:val="24"/>
        </w:rPr>
        <w:t xml:space="preserve"> impairments. </w:t>
      </w:r>
      <w:r>
        <w:rPr>
          <w:rFonts w:ascii="Times New Roman" w:hAnsi="Times New Roman" w:cs="Times New Roman"/>
          <w:bCs/>
          <w:iCs/>
          <w:sz w:val="24"/>
          <w:szCs w:val="24"/>
          <w:highlight w:val="yellow"/>
        </w:rPr>
        <w:t>In another study, Toraman and Karaman</w:t>
      </w:r>
      <w:r>
        <w:rPr>
          <w:rFonts w:ascii="Times New Roman" w:hAnsi="Times New Roman" w:cs="Times New Roman"/>
          <w:bCs/>
          <w:iCs/>
          <w:sz w:val="24"/>
          <w:szCs w:val="24"/>
        </w:rPr>
        <w:t xml:space="preserve"> (2024) reported that vanillic acid effectively mitigated copper-induced oxidative damage in </w:t>
      </w:r>
      <w:r>
        <w:rPr>
          <w:rFonts w:ascii="Times New Roman" w:hAnsi="Times New Roman" w:cs="Times New Roman"/>
          <w:bCs/>
          <w:i/>
          <w:iCs/>
          <w:sz w:val="24"/>
          <w:szCs w:val="24"/>
        </w:rPr>
        <w:t>D. melanogaster</w:t>
      </w:r>
      <w:r>
        <w:rPr>
          <w:rFonts w:ascii="Times New Roman" w:hAnsi="Times New Roman" w:cs="Times New Roman"/>
          <w:bCs/>
          <w:iCs/>
          <w:sz w:val="24"/>
          <w:szCs w:val="24"/>
        </w:rPr>
        <w:t xml:space="preserve"> by enhancing antioxidant </w:t>
      </w:r>
      <w:r>
        <w:rPr>
          <w:rFonts w:ascii="Times New Roman" w:hAnsi="Times New Roman" w:cs="Times New Roman"/>
          <w:bCs/>
          <w:iCs/>
          <w:sz w:val="24"/>
          <w:szCs w:val="24"/>
          <w:highlight w:val="yellow"/>
        </w:rPr>
        <w:t>defences</w:t>
      </w:r>
      <w:r>
        <w:rPr>
          <w:rFonts w:ascii="Times New Roman" w:hAnsi="Times New Roman" w:cs="Times New Roman"/>
          <w:bCs/>
          <w:iCs/>
          <w:sz w:val="24"/>
          <w:szCs w:val="24"/>
        </w:rPr>
        <w:t xml:space="preserve"> and reducing oxidative stress biomarkers, thereby protecting flies from metal-induced toxicity. Similarly, Dai et al. (2024) demonstrated that </w:t>
      </w:r>
      <w:r>
        <w:rPr>
          <w:rFonts w:ascii="Times New Roman" w:hAnsi="Times New Roman" w:cs="Times New Roman"/>
          <w:bCs/>
          <w:i/>
          <w:iCs/>
          <w:sz w:val="24"/>
          <w:szCs w:val="24"/>
        </w:rPr>
        <w:t xml:space="preserve">Astragalus </w:t>
      </w:r>
      <w:proofErr w:type="spellStart"/>
      <w:r>
        <w:rPr>
          <w:rFonts w:ascii="Times New Roman" w:hAnsi="Times New Roman" w:cs="Times New Roman"/>
          <w:bCs/>
          <w:i/>
          <w:iCs/>
          <w:sz w:val="24"/>
          <w:szCs w:val="24"/>
        </w:rPr>
        <w:t>membranaceus</w:t>
      </w:r>
      <w:proofErr w:type="spellEnd"/>
      <w:r>
        <w:rPr>
          <w:rFonts w:ascii="Times New Roman" w:hAnsi="Times New Roman" w:cs="Times New Roman"/>
          <w:bCs/>
          <w:iCs/>
          <w:sz w:val="24"/>
          <w:szCs w:val="24"/>
        </w:rPr>
        <w:t xml:space="preserve"> and its bioactive compounds exert significant neuroprotective effects in </w:t>
      </w:r>
      <w:r>
        <w:rPr>
          <w:rFonts w:ascii="Times New Roman" w:hAnsi="Times New Roman" w:cs="Times New Roman"/>
          <w:bCs/>
          <w:i/>
          <w:iCs/>
          <w:sz w:val="24"/>
          <w:szCs w:val="24"/>
        </w:rPr>
        <w:t>Drosophila</w:t>
      </w:r>
      <w:r>
        <w:rPr>
          <w:rFonts w:ascii="Times New Roman" w:hAnsi="Times New Roman" w:cs="Times New Roman"/>
          <w:bCs/>
          <w:iCs/>
          <w:sz w:val="24"/>
          <w:szCs w:val="24"/>
        </w:rPr>
        <w:t xml:space="preserve"> by alleviating oxidative stress, reducing reactive oxygen species accumulation, and enhancing antioxidant </w:t>
      </w:r>
      <w:r>
        <w:rPr>
          <w:rFonts w:ascii="Times New Roman" w:hAnsi="Times New Roman" w:cs="Times New Roman"/>
          <w:bCs/>
          <w:iCs/>
          <w:sz w:val="24"/>
          <w:szCs w:val="24"/>
          <w:highlight w:val="yellow"/>
        </w:rPr>
        <w:t>defence</w:t>
      </w:r>
      <w:r>
        <w:rPr>
          <w:rFonts w:ascii="Times New Roman" w:hAnsi="Times New Roman" w:cs="Times New Roman"/>
          <w:bCs/>
          <w:iCs/>
          <w:sz w:val="24"/>
          <w:szCs w:val="24"/>
        </w:rPr>
        <w:t xml:space="preserve"> mechanisms, thereby protecting against neurodegenerative damage. Wong et al. (2021) demonstrated that melatonin supplementation significantly improved cognitive performance, reduced oxidative stress, and restored metabolic homeostasis in the </w:t>
      </w:r>
      <w:r>
        <w:rPr>
          <w:rFonts w:ascii="Times New Roman" w:hAnsi="Times New Roman" w:cs="Times New Roman"/>
          <w:bCs/>
          <w:iCs/>
          <w:sz w:val="24"/>
          <w:szCs w:val="24"/>
          <w:highlight w:val="yellow"/>
        </w:rPr>
        <w:t>tumour-prone</w:t>
      </w:r>
      <w:r>
        <w:rPr>
          <w:rFonts w:ascii="Times New Roman" w:hAnsi="Times New Roman" w:cs="Times New Roman"/>
          <w:bCs/>
          <w:iCs/>
          <w:sz w:val="24"/>
          <w:szCs w:val="24"/>
        </w:rPr>
        <w:t xml:space="preserve"> </w:t>
      </w:r>
      <w:r>
        <w:rPr>
          <w:rFonts w:ascii="Times New Roman" w:hAnsi="Times New Roman" w:cs="Times New Roman"/>
          <w:bCs/>
          <w:i/>
          <w:iCs/>
          <w:sz w:val="24"/>
          <w:szCs w:val="24"/>
        </w:rPr>
        <w:t>lethal giant larvae</w:t>
      </w:r>
      <w:r>
        <w:rPr>
          <w:rFonts w:ascii="Times New Roman" w:hAnsi="Times New Roman" w:cs="Times New Roman"/>
          <w:bCs/>
          <w:iCs/>
          <w:sz w:val="24"/>
          <w:szCs w:val="24"/>
        </w:rPr>
        <w:t xml:space="preserve"> mutant of </w:t>
      </w:r>
      <w:r>
        <w:rPr>
          <w:rFonts w:ascii="Times New Roman" w:hAnsi="Times New Roman" w:cs="Times New Roman"/>
          <w:bCs/>
          <w:i/>
          <w:iCs/>
          <w:sz w:val="24"/>
          <w:szCs w:val="24"/>
        </w:rPr>
        <w:t>D. melanogaster.</w:t>
      </w:r>
    </w:p>
    <w:p w14:paraId="34CCE92E" w14:textId="77777777" w:rsidR="00BA0599" w:rsidRDefault="00000000">
      <w:pPr>
        <w:spacing w:line="360" w:lineRule="auto"/>
        <w:ind w:firstLine="720"/>
        <w:jc w:val="both"/>
        <w:rPr>
          <w:rFonts w:ascii="Times New Roman" w:hAnsi="Times New Roman" w:cs="Times New Roman"/>
          <w:bCs/>
          <w:iCs/>
          <w:sz w:val="24"/>
          <w:szCs w:val="24"/>
        </w:rPr>
      </w:pPr>
      <w:r>
        <w:rPr>
          <w:rFonts w:ascii="Times New Roman" w:hAnsi="Times New Roman" w:cs="Times New Roman"/>
          <w:iCs/>
          <w:sz w:val="24"/>
          <w:szCs w:val="24"/>
        </w:rPr>
        <w:t xml:space="preserve">Previous studies have demonstrated tissue-specific variations in oxidative stress responses and antioxidant </w:t>
      </w:r>
      <w:r>
        <w:rPr>
          <w:rFonts w:ascii="Times New Roman" w:hAnsi="Times New Roman" w:cs="Times New Roman"/>
          <w:iCs/>
          <w:sz w:val="24"/>
          <w:szCs w:val="24"/>
          <w:highlight w:val="yellow"/>
        </w:rPr>
        <w:t>defences</w:t>
      </w:r>
      <w:r>
        <w:rPr>
          <w:rFonts w:ascii="Times New Roman" w:hAnsi="Times New Roman" w:cs="Times New Roman"/>
          <w:iCs/>
          <w:sz w:val="24"/>
          <w:szCs w:val="24"/>
        </w:rPr>
        <w:t xml:space="preserve">. Oxidative stress markers such as protein carbonyls, TBARS, protein thiols, and lipid peroxides were elevated in the haemolymph but comparatively reduced in head and intestinal tissues </w:t>
      </w:r>
      <w:r>
        <w:rPr>
          <w:rFonts w:ascii="Times New Roman" w:hAnsi="Times New Roman" w:cs="Times New Roman"/>
          <w:iCs/>
          <w:sz w:val="24"/>
          <w:szCs w:val="24"/>
          <w:highlight w:val="yellow"/>
        </w:rPr>
        <w:t>(Kuo et al., 2020; Weinberg et al., 2019)</w:t>
      </w:r>
      <w:r>
        <w:rPr>
          <w:rFonts w:ascii="Times New Roman" w:hAnsi="Times New Roman" w:cs="Times New Roman"/>
          <w:iCs/>
          <w:sz w:val="24"/>
          <w:szCs w:val="24"/>
        </w:rPr>
        <w:t xml:space="preserve">. This variation may reflect cellular metabolic adaptations that regulate intracellular ROS levels through enhanced peroxide scavenging, while the haemolymph represents the cumulative systemic oxidative burden. </w:t>
      </w:r>
      <w:r>
        <w:rPr>
          <w:rFonts w:ascii="Times New Roman" w:hAnsi="Times New Roman" w:cs="Times New Roman"/>
          <w:iCs/>
          <w:sz w:val="24"/>
          <w:szCs w:val="24"/>
          <w:highlight w:val="yellow"/>
        </w:rPr>
        <w:t>In a previous study, reduced antioxidant enzyme activities across tissues were reported, further indicating rapid consumption</w:t>
      </w:r>
      <w:r>
        <w:rPr>
          <w:rFonts w:ascii="Times New Roman" w:hAnsi="Times New Roman" w:cs="Times New Roman"/>
          <w:iCs/>
          <w:sz w:val="24"/>
          <w:szCs w:val="24"/>
        </w:rPr>
        <w:t xml:space="preserve"> of antioxidant reserves under oxidative stress conditions (Gaya-Bover et al., 2020). </w:t>
      </w:r>
    </w:p>
    <w:p w14:paraId="341A523E" w14:textId="77777777" w:rsidR="00BA0599" w:rsidRDefault="00000000">
      <w:pPr>
        <w:spacing w:line="360" w:lineRule="auto"/>
        <w:jc w:val="both"/>
        <w:rPr>
          <w:rFonts w:ascii="Times New Roman" w:hAnsi="Times New Roman" w:cs="Times New Roman"/>
          <w:b/>
          <w:bCs/>
          <w:iCs/>
          <w:sz w:val="24"/>
          <w:szCs w:val="24"/>
        </w:rPr>
      </w:pPr>
      <w:r>
        <w:rPr>
          <w:rFonts w:ascii="Times New Roman" w:hAnsi="Times New Roman" w:cs="Times New Roman"/>
          <w:b/>
          <w:bCs/>
          <w:iCs/>
          <w:sz w:val="24"/>
          <w:szCs w:val="24"/>
        </w:rPr>
        <w:t>Conclusion</w:t>
      </w:r>
    </w:p>
    <w:p w14:paraId="70D1E7C4" w14:textId="77777777" w:rsidR="00BA0599" w:rsidRDefault="00000000">
      <w:pPr>
        <w:spacing w:line="360" w:lineRule="auto"/>
        <w:jc w:val="both"/>
      </w:pPr>
      <w:r>
        <w:rPr>
          <w:rFonts w:ascii="Times New Roman" w:hAnsi="Times New Roman" w:cs="Times New Roman"/>
          <w:bCs/>
          <w:iCs/>
          <w:sz w:val="24"/>
          <w:szCs w:val="24"/>
          <w:lang w:val="en-US"/>
        </w:rPr>
        <w:t xml:space="preserve">The present investigation demonstrates that exposure to UV radiation induces significant oxidative stress and </w:t>
      </w:r>
      <w:proofErr w:type="spellStart"/>
      <w:r>
        <w:rPr>
          <w:rFonts w:ascii="Times New Roman" w:hAnsi="Times New Roman" w:cs="Times New Roman"/>
          <w:bCs/>
          <w:iCs/>
          <w:sz w:val="24"/>
          <w:szCs w:val="24"/>
          <w:highlight w:val="yellow"/>
          <w:lang w:val="en-US"/>
        </w:rPr>
        <w:t>behavioural</w:t>
      </w:r>
      <w:proofErr w:type="spellEnd"/>
      <w:r>
        <w:rPr>
          <w:rFonts w:ascii="Times New Roman" w:hAnsi="Times New Roman" w:cs="Times New Roman"/>
          <w:bCs/>
          <w:iCs/>
          <w:sz w:val="24"/>
          <w:szCs w:val="24"/>
          <w:lang w:val="en-US"/>
        </w:rPr>
        <w:t xml:space="preserve"> impairments in </w:t>
      </w:r>
      <w:r>
        <w:rPr>
          <w:rFonts w:ascii="Times New Roman" w:hAnsi="Times New Roman" w:cs="Times New Roman"/>
          <w:bCs/>
          <w:i/>
          <w:iCs/>
          <w:sz w:val="24"/>
          <w:szCs w:val="24"/>
          <w:lang w:val="en-US"/>
        </w:rPr>
        <w:t>Drosophila melanogaster</w:t>
      </w:r>
      <w:r>
        <w:rPr>
          <w:rFonts w:ascii="Times New Roman" w:hAnsi="Times New Roman" w:cs="Times New Roman"/>
          <w:bCs/>
          <w:iCs/>
          <w:sz w:val="24"/>
          <w:szCs w:val="24"/>
          <w:lang w:val="en-US"/>
        </w:rPr>
        <w:t xml:space="preserve">. UV-treated flies exhibited altered locomotor and sensory </w:t>
      </w:r>
      <w:proofErr w:type="spellStart"/>
      <w:r>
        <w:rPr>
          <w:rFonts w:ascii="Times New Roman" w:hAnsi="Times New Roman" w:cs="Times New Roman"/>
          <w:bCs/>
          <w:iCs/>
          <w:sz w:val="24"/>
          <w:szCs w:val="24"/>
          <w:highlight w:val="yellow"/>
          <w:lang w:val="en-US"/>
        </w:rPr>
        <w:t>behaviours</w:t>
      </w:r>
      <w:proofErr w:type="spellEnd"/>
      <w:r>
        <w:rPr>
          <w:rFonts w:ascii="Times New Roman" w:hAnsi="Times New Roman" w:cs="Times New Roman"/>
          <w:bCs/>
          <w:iCs/>
          <w:sz w:val="24"/>
          <w:szCs w:val="24"/>
          <w:lang w:val="en-US"/>
        </w:rPr>
        <w:t xml:space="preserve">, increased lipid peroxidation and protein oxidation, and reduced antioxidant enzyme activity, indicating a strong association between oxidative stress and UV-induced physiological and </w:t>
      </w:r>
      <w:proofErr w:type="spellStart"/>
      <w:r>
        <w:rPr>
          <w:rFonts w:ascii="Times New Roman" w:hAnsi="Times New Roman" w:cs="Times New Roman"/>
          <w:bCs/>
          <w:iCs/>
          <w:sz w:val="24"/>
          <w:szCs w:val="24"/>
          <w:highlight w:val="yellow"/>
          <w:lang w:val="en-US"/>
        </w:rPr>
        <w:t>behavioural</w:t>
      </w:r>
      <w:proofErr w:type="spellEnd"/>
      <w:r>
        <w:rPr>
          <w:rFonts w:ascii="Times New Roman" w:hAnsi="Times New Roman" w:cs="Times New Roman"/>
          <w:bCs/>
          <w:iCs/>
          <w:sz w:val="24"/>
          <w:szCs w:val="24"/>
          <w:lang w:val="en-US"/>
        </w:rPr>
        <w:t xml:space="preserve"> dysfunctions.</w:t>
      </w:r>
    </w:p>
    <w:p w14:paraId="3FB542D7" w14:textId="77777777" w:rsidR="00BA0599" w:rsidRDefault="00000000">
      <w:pPr>
        <w:spacing w:line="360" w:lineRule="auto"/>
        <w:jc w:val="both"/>
      </w:pPr>
      <w:r>
        <w:rPr>
          <w:rFonts w:ascii="Times New Roman" w:hAnsi="Times New Roman" w:cs="Times New Roman"/>
          <w:bCs/>
          <w:iCs/>
          <w:sz w:val="24"/>
          <w:szCs w:val="24"/>
          <w:lang w:val="en-US"/>
        </w:rPr>
        <w:t xml:space="preserve">Vanillic acid supplementation significantly mitigated these adverse effects by enhancing antioxidant </w:t>
      </w:r>
      <w:proofErr w:type="spellStart"/>
      <w:r>
        <w:rPr>
          <w:rFonts w:ascii="Times New Roman" w:hAnsi="Times New Roman" w:cs="Times New Roman"/>
          <w:bCs/>
          <w:iCs/>
          <w:sz w:val="24"/>
          <w:szCs w:val="24"/>
          <w:highlight w:val="yellow"/>
          <w:lang w:val="en-US"/>
        </w:rPr>
        <w:t>defence</w:t>
      </w:r>
      <w:proofErr w:type="spellEnd"/>
      <w:r>
        <w:rPr>
          <w:rFonts w:ascii="Times New Roman" w:hAnsi="Times New Roman" w:cs="Times New Roman"/>
          <w:bCs/>
          <w:iCs/>
          <w:sz w:val="24"/>
          <w:szCs w:val="24"/>
          <w:lang w:val="en-US"/>
        </w:rPr>
        <w:t xml:space="preserve"> mechanisms and reducing oxidative damage. The observed decrease in </w:t>
      </w:r>
      <w:proofErr w:type="spellStart"/>
      <w:r>
        <w:rPr>
          <w:rFonts w:ascii="Times New Roman" w:hAnsi="Times New Roman" w:cs="Times New Roman"/>
          <w:bCs/>
          <w:iCs/>
          <w:sz w:val="24"/>
          <w:szCs w:val="24"/>
          <w:lang w:val="en-US"/>
        </w:rPr>
        <w:t>thiobarbituric</w:t>
      </w:r>
      <w:proofErr w:type="spellEnd"/>
      <w:r>
        <w:rPr>
          <w:rFonts w:ascii="Times New Roman" w:hAnsi="Times New Roman" w:cs="Times New Roman"/>
          <w:bCs/>
          <w:iCs/>
          <w:sz w:val="24"/>
          <w:szCs w:val="24"/>
          <w:lang w:val="en-US"/>
        </w:rPr>
        <w:t xml:space="preserve"> acid reactive substances and protein carbonyl content, together with improved superoxide dismutase activity, provides evidence for the antioxidant and cytoprotective properties of vanillic acid. Furthermore, the improvement in locomotor activity and sensory </w:t>
      </w:r>
      <w:proofErr w:type="spellStart"/>
      <w:r>
        <w:rPr>
          <w:rFonts w:ascii="Times New Roman" w:hAnsi="Times New Roman" w:cs="Times New Roman"/>
          <w:bCs/>
          <w:iCs/>
          <w:sz w:val="24"/>
          <w:szCs w:val="24"/>
          <w:highlight w:val="yellow"/>
          <w:lang w:val="en-US"/>
        </w:rPr>
        <w:lastRenderedPageBreak/>
        <w:t>behavioural</w:t>
      </w:r>
      <w:proofErr w:type="spellEnd"/>
      <w:r>
        <w:rPr>
          <w:rFonts w:ascii="Times New Roman" w:hAnsi="Times New Roman" w:cs="Times New Roman"/>
          <w:bCs/>
          <w:iCs/>
          <w:sz w:val="24"/>
          <w:szCs w:val="24"/>
          <w:lang w:val="en-US"/>
        </w:rPr>
        <w:t xml:space="preserve"> responses suggests that protection against oxidative stress contributes to the restoration of normal physiological functions.</w:t>
      </w:r>
    </w:p>
    <w:p w14:paraId="27D1F6AB" w14:textId="77777777" w:rsidR="00BA0599" w:rsidRDefault="00000000">
      <w:pPr>
        <w:spacing w:line="360" w:lineRule="auto"/>
        <w:jc w:val="both"/>
        <w:rPr>
          <w:rFonts w:ascii="Times New Roman" w:hAnsi="Times New Roman" w:cs="Times New Roman"/>
          <w:bCs/>
          <w:iCs/>
          <w:sz w:val="24"/>
          <w:szCs w:val="24"/>
          <w:lang w:val="en-US"/>
        </w:rPr>
      </w:pPr>
      <w:r>
        <w:rPr>
          <w:rFonts w:ascii="Times New Roman" w:hAnsi="Times New Roman" w:cs="Times New Roman"/>
          <w:bCs/>
          <w:iCs/>
          <w:sz w:val="24"/>
          <w:szCs w:val="24"/>
          <w:lang w:val="en-US"/>
        </w:rPr>
        <w:t xml:space="preserve">Overall, the findings indicate that vanillic acid can effectively counteract UV-induced oxidative stress and its associated </w:t>
      </w:r>
      <w:proofErr w:type="spellStart"/>
      <w:r>
        <w:rPr>
          <w:rFonts w:ascii="Times New Roman" w:hAnsi="Times New Roman" w:cs="Times New Roman"/>
          <w:bCs/>
          <w:iCs/>
          <w:sz w:val="24"/>
          <w:szCs w:val="24"/>
          <w:highlight w:val="yellow"/>
          <w:lang w:val="en-US"/>
        </w:rPr>
        <w:t>behavioural</w:t>
      </w:r>
      <w:proofErr w:type="spellEnd"/>
      <w:r>
        <w:rPr>
          <w:rFonts w:ascii="Times New Roman" w:hAnsi="Times New Roman" w:cs="Times New Roman"/>
          <w:bCs/>
          <w:iCs/>
          <w:sz w:val="24"/>
          <w:szCs w:val="24"/>
          <w:lang w:val="en-US"/>
        </w:rPr>
        <w:t xml:space="preserve"> abnormalities in </w:t>
      </w:r>
      <w:r>
        <w:rPr>
          <w:rFonts w:ascii="Times New Roman" w:hAnsi="Times New Roman" w:cs="Times New Roman"/>
          <w:bCs/>
          <w:i/>
          <w:iCs/>
          <w:sz w:val="24"/>
          <w:szCs w:val="24"/>
          <w:lang w:val="en-US"/>
        </w:rPr>
        <w:t>Drosophila melanogaster</w:t>
      </w:r>
      <w:r>
        <w:rPr>
          <w:rFonts w:ascii="Times New Roman" w:hAnsi="Times New Roman" w:cs="Times New Roman"/>
          <w:bCs/>
          <w:iCs/>
          <w:sz w:val="24"/>
          <w:szCs w:val="24"/>
          <w:lang w:val="en-US"/>
        </w:rPr>
        <w:t xml:space="preserve">. The study highlights the usefulness of </w:t>
      </w:r>
      <w:r>
        <w:rPr>
          <w:rFonts w:ascii="Times New Roman" w:hAnsi="Times New Roman" w:cs="Times New Roman"/>
          <w:bCs/>
          <w:i/>
          <w:iCs/>
          <w:sz w:val="24"/>
          <w:szCs w:val="24"/>
          <w:lang w:val="en-US"/>
        </w:rPr>
        <w:t>D. melanogaster</w:t>
      </w:r>
      <w:r>
        <w:rPr>
          <w:rFonts w:ascii="Times New Roman" w:hAnsi="Times New Roman" w:cs="Times New Roman"/>
          <w:bCs/>
          <w:iCs/>
          <w:sz w:val="24"/>
          <w:szCs w:val="24"/>
          <w:lang w:val="en-US"/>
        </w:rPr>
        <w:t xml:space="preserve"> as a model for investigating oxidative stress–mediated biological effects and suggests the potential of vanillic acid as a natural antioxidant for reducing oxidative stress–related cellular and </w:t>
      </w:r>
      <w:proofErr w:type="spellStart"/>
      <w:r>
        <w:rPr>
          <w:rFonts w:ascii="Times New Roman" w:hAnsi="Times New Roman" w:cs="Times New Roman"/>
          <w:bCs/>
          <w:iCs/>
          <w:sz w:val="24"/>
          <w:szCs w:val="24"/>
          <w:highlight w:val="yellow"/>
          <w:lang w:val="en-US"/>
        </w:rPr>
        <w:t>behavioural</w:t>
      </w:r>
      <w:proofErr w:type="spellEnd"/>
      <w:r>
        <w:rPr>
          <w:rFonts w:ascii="Times New Roman" w:hAnsi="Times New Roman" w:cs="Times New Roman"/>
          <w:bCs/>
          <w:iCs/>
          <w:sz w:val="24"/>
          <w:szCs w:val="24"/>
          <w:lang w:val="en-US"/>
        </w:rPr>
        <w:t xml:space="preserve"> damage. Further studies focusing on underlying molecular mechanisms and dose-dependent responses are needed to better understand its mode of action and broader biological significance.</w:t>
      </w:r>
    </w:p>
    <w:p w14:paraId="41ABEDCA" w14:textId="4FAEC02F" w:rsidR="00503A30" w:rsidRPr="00CA78A5" w:rsidRDefault="00503A30" w:rsidP="00503A30">
      <w:pPr>
        <w:spacing w:line="360" w:lineRule="auto"/>
        <w:jc w:val="both"/>
        <w:rPr>
          <w:b/>
          <w:bCs/>
        </w:rPr>
      </w:pPr>
      <w:r w:rsidRPr="00CA78A5">
        <w:rPr>
          <w:b/>
          <w:bCs/>
        </w:rPr>
        <w:t xml:space="preserve">Limitation </w:t>
      </w:r>
    </w:p>
    <w:p w14:paraId="449DF239" w14:textId="7BCE4495" w:rsidR="00503A30" w:rsidRDefault="00503A30" w:rsidP="00503A30">
      <w:pPr>
        <w:spacing w:line="360" w:lineRule="auto"/>
        <w:jc w:val="both"/>
      </w:pPr>
      <w:r>
        <w:t xml:space="preserve">This study was conducted in adult wild-type </w:t>
      </w:r>
      <w:r w:rsidRPr="00A62CF9">
        <w:rPr>
          <w:i/>
          <w:iCs/>
        </w:rPr>
        <w:t>Drosophila melanogaster</w:t>
      </w:r>
      <w:r>
        <w:t xml:space="preserve"> using a single vanillic acid concentration (0.01%) and a defined UV exposure regimen. The findings are therefore specific to these experimental conditions. Whole-body biochemical measurements and selected behavioural endpoints do not resolve tissue-specific or molecular mechanisms. Further studies using additional vanillic acid concentrations, mechanistic endpoints, and complementary experimental models would help define the concentration-response relationship and biological basis of the observed protective effects.</w:t>
      </w:r>
    </w:p>
    <w:p w14:paraId="3CF0B951" w14:textId="77777777" w:rsidR="00BA0599" w:rsidRDefault="00000000">
      <w:pPr>
        <w:rPr>
          <w:rFonts w:ascii="Times New Roman" w:hAnsi="Times New Roman" w:cs="Times New Roman"/>
          <w:b/>
        </w:rPr>
      </w:pPr>
      <w:r>
        <w:rPr>
          <w:rFonts w:ascii="Times New Roman" w:hAnsi="Times New Roman" w:cs="Times New Roman"/>
          <w:b/>
        </w:rPr>
        <w:t>Declaration of AI Use</w:t>
      </w:r>
    </w:p>
    <w:p w14:paraId="24BF0C2F" w14:textId="77777777" w:rsidR="0037527A" w:rsidRDefault="0037527A">
      <w:pPr>
        <w:spacing w:line="360" w:lineRule="auto"/>
        <w:jc w:val="both"/>
        <w:rPr>
          <w:rFonts w:ascii="Times New Roman" w:hAnsi="Times New Roman" w:cs="Times New Roman"/>
        </w:rPr>
      </w:pPr>
      <w:r w:rsidRPr="0037527A">
        <w:rPr>
          <w:rFonts w:ascii="Times New Roman" w:hAnsi="Times New Roman" w:cs="Times New Roman"/>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3E698DBE" w14:textId="1B1F8F09" w:rsidR="00BA0599" w:rsidRDefault="00000000">
      <w:pPr>
        <w:spacing w:line="360" w:lineRule="auto"/>
        <w:jc w:val="both"/>
        <w:rPr>
          <w:rFonts w:ascii="Times New Roman" w:hAnsi="Times New Roman" w:cs="Times New Roman"/>
          <w:b/>
          <w:bCs/>
          <w:iCs/>
          <w:sz w:val="24"/>
          <w:szCs w:val="24"/>
        </w:rPr>
      </w:pPr>
      <w:r>
        <w:rPr>
          <w:rFonts w:ascii="Times New Roman" w:hAnsi="Times New Roman" w:cs="Times New Roman"/>
          <w:b/>
          <w:bCs/>
          <w:iCs/>
          <w:sz w:val="24"/>
          <w:szCs w:val="24"/>
        </w:rPr>
        <w:t>COMPETING INTERESTS</w:t>
      </w:r>
    </w:p>
    <w:p w14:paraId="726F8078" w14:textId="77777777" w:rsidR="00BA0599" w:rsidRDefault="00000000">
      <w:pPr>
        <w:spacing w:line="360" w:lineRule="auto"/>
        <w:jc w:val="both"/>
        <w:rPr>
          <w:rFonts w:ascii="Times New Roman" w:hAnsi="Times New Roman" w:cs="Times New Roman"/>
          <w:bCs/>
          <w:iCs/>
          <w:sz w:val="24"/>
          <w:szCs w:val="24"/>
        </w:rPr>
      </w:pPr>
      <w:r>
        <w:rPr>
          <w:rFonts w:ascii="Times New Roman" w:hAnsi="Times New Roman" w:cs="Times New Roman"/>
          <w:bCs/>
          <w:iCs/>
          <w:sz w:val="24"/>
          <w:szCs w:val="24"/>
        </w:rPr>
        <w:t>Authors have declared that no competing interests exist.</w:t>
      </w:r>
    </w:p>
    <w:p w14:paraId="3AA0829D" w14:textId="77777777" w:rsidR="00BA0599" w:rsidRDefault="00000000">
      <w:pPr>
        <w:spacing w:line="360" w:lineRule="auto"/>
        <w:jc w:val="both"/>
        <w:rPr>
          <w:rFonts w:ascii="Times New Roman" w:hAnsi="Times New Roman" w:cs="Times New Roman"/>
          <w:b/>
          <w:bCs/>
          <w:iCs/>
          <w:sz w:val="24"/>
          <w:szCs w:val="24"/>
        </w:rPr>
      </w:pPr>
      <w:r>
        <w:rPr>
          <w:rFonts w:ascii="Times New Roman" w:hAnsi="Times New Roman" w:cs="Times New Roman"/>
          <w:b/>
          <w:bCs/>
          <w:iCs/>
          <w:sz w:val="24"/>
          <w:szCs w:val="24"/>
        </w:rPr>
        <w:t>References</w:t>
      </w:r>
    </w:p>
    <w:p w14:paraId="3ABFA72A" w14:textId="77777777" w:rsidR="00BA0599" w:rsidRDefault="00000000">
      <w:pPr>
        <w:spacing w:before="280" w:after="280" w:line="240" w:lineRule="auto"/>
        <w:ind w:left="540" w:hanging="540"/>
        <w:jc w:val="both"/>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 xml:space="preserve">Adams, M. D., </w:t>
      </w:r>
      <w:proofErr w:type="spellStart"/>
      <w:r>
        <w:rPr>
          <w:rFonts w:ascii="Times New Roman" w:eastAsia="Times New Roman" w:hAnsi="Times New Roman" w:cs="Times New Roman"/>
          <w:sz w:val="24"/>
          <w:szCs w:val="24"/>
          <w:lang w:val="en-US"/>
        </w:rPr>
        <w:t>Celniker</w:t>
      </w:r>
      <w:proofErr w:type="spellEnd"/>
      <w:r>
        <w:rPr>
          <w:rFonts w:ascii="Times New Roman" w:eastAsia="Times New Roman" w:hAnsi="Times New Roman" w:cs="Times New Roman"/>
          <w:sz w:val="24"/>
          <w:szCs w:val="24"/>
          <w:lang w:val="en-US"/>
        </w:rPr>
        <w:t xml:space="preserve">, S. E., Holt, R. A., Evans, C. A., </w:t>
      </w:r>
      <w:proofErr w:type="spellStart"/>
      <w:r>
        <w:rPr>
          <w:rFonts w:ascii="Times New Roman" w:eastAsia="Times New Roman" w:hAnsi="Times New Roman" w:cs="Times New Roman"/>
          <w:sz w:val="24"/>
          <w:szCs w:val="24"/>
          <w:lang w:val="en-US"/>
        </w:rPr>
        <w:t>Gocayne</w:t>
      </w:r>
      <w:proofErr w:type="spellEnd"/>
      <w:r>
        <w:rPr>
          <w:rFonts w:ascii="Times New Roman" w:eastAsia="Times New Roman" w:hAnsi="Times New Roman" w:cs="Times New Roman"/>
          <w:sz w:val="24"/>
          <w:szCs w:val="24"/>
          <w:lang w:val="en-US"/>
        </w:rPr>
        <w:t xml:space="preserve">, J. D., </w:t>
      </w:r>
      <w:proofErr w:type="spellStart"/>
      <w:r>
        <w:rPr>
          <w:rFonts w:ascii="Times New Roman" w:eastAsia="Times New Roman" w:hAnsi="Times New Roman" w:cs="Times New Roman"/>
          <w:sz w:val="24"/>
          <w:szCs w:val="24"/>
          <w:lang w:val="en-US"/>
        </w:rPr>
        <w:t>Amanatides</w:t>
      </w:r>
      <w:proofErr w:type="spellEnd"/>
      <w:r>
        <w:rPr>
          <w:rFonts w:ascii="Times New Roman" w:eastAsia="Times New Roman" w:hAnsi="Times New Roman" w:cs="Times New Roman"/>
          <w:sz w:val="24"/>
          <w:szCs w:val="24"/>
          <w:lang w:val="en-US"/>
        </w:rPr>
        <w:t xml:space="preserve">, P. G., Scherer, S. E., Li, P. W., Hoskins, R. A., Galle, R. F., George, R. A., Lewis, S. E., Richards, S., Ashburner, M., Henderson, S. N., Sutton, G. G., Wortman, J. R., Yandell, M. D., Zhang, Q., … Venter, J. C. (2000). The genome sequence of </w:t>
      </w:r>
      <w:r>
        <w:rPr>
          <w:rFonts w:ascii="Times New Roman" w:eastAsia="Times New Roman" w:hAnsi="Times New Roman" w:cs="Times New Roman"/>
          <w:i/>
          <w:sz w:val="24"/>
          <w:szCs w:val="24"/>
          <w:lang w:val="en-US"/>
        </w:rPr>
        <w:t>Drosophila melanogaster</w:t>
      </w:r>
      <w:r>
        <w:rPr>
          <w:rFonts w:ascii="Times New Roman" w:eastAsia="Times New Roman" w:hAnsi="Times New Roman" w:cs="Times New Roman"/>
          <w:sz w:val="24"/>
          <w:szCs w:val="24"/>
          <w:lang w:val="en-US"/>
        </w:rPr>
        <w:t xml:space="preserve">. Science, 287(5461), 2185–2195. </w:t>
      </w:r>
      <w:hyperlink r:id="rId7">
        <w:r w:rsidR="00BA0599">
          <w:rPr>
            <w:rStyle w:val="Hyperlink"/>
            <w:rFonts w:ascii="Times New Roman" w:eastAsia="Times New Roman" w:hAnsi="Times New Roman" w:cs="Times New Roman"/>
            <w:color w:val="0000FF"/>
            <w:sz w:val="24"/>
            <w:szCs w:val="24"/>
            <w:lang w:val="en-US"/>
          </w:rPr>
          <w:t>https://doi.org/10.1126/science.287.5461.2185</w:t>
        </w:r>
      </w:hyperlink>
    </w:p>
    <w:p w14:paraId="657CBFD6" w14:textId="77777777" w:rsidR="00BA0599" w:rsidRDefault="00000000">
      <w:pPr>
        <w:spacing w:before="280" w:after="280" w:line="240" w:lineRule="auto"/>
        <w:ind w:left="540" w:hanging="540"/>
        <w:jc w:val="both"/>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lastRenderedPageBreak/>
        <w:t xml:space="preserve">Antoni, M. H., Lutgendorf, S. K., Cole, S. W., </w:t>
      </w:r>
      <w:proofErr w:type="spellStart"/>
      <w:r>
        <w:rPr>
          <w:rFonts w:ascii="Times New Roman" w:eastAsia="Times New Roman" w:hAnsi="Times New Roman" w:cs="Times New Roman"/>
          <w:sz w:val="24"/>
          <w:szCs w:val="24"/>
          <w:lang w:val="en-US"/>
        </w:rPr>
        <w:t>Dhabhar</w:t>
      </w:r>
      <w:proofErr w:type="spellEnd"/>
      <w:r>
        <w:rPr>
          <w:rFonts w:ascii="Times New Roman" w:eastAsia="Times New Roman" w:hAnsi="Times New Roman" w:cs="Times New Roman"/>
          <w:sz w:val="24"/>
          <w:szCs w:val="24"/>
          <w:lang w:val="en-US"/>
        </w:rPr>
        <w:t>, F. S., Sephton, S. E., McDonald, P. G., Stefanek, M., &amp; Sood, A. K. (2006). The influence of bio-</w:t>
      </w:r>
      <w:proofErr w:type="spellStart"/>
      <w:r>
        <w:rPr>
          <w:rFonts w:ascii="Times New Roman" w:eastAsia="Times New Roman" w:hAnsi="Times New Roman" w:cs="Times New Roman"/>
          <w:sz w:val="24"/>
          <w:szCs w:val="24"/>
          <w:lang w:val="en-US"/>
        </w:rPr>
        <w:t>behavioural</w:t>
      </w:r>
      <w:proofErr w:type="spellEnd"/>
      <w:r>
        <w:rPr>
          <w:rFonts w:ascii="Times New Roman" w:eastAsia="Times New Roman" w:hAnsi="Times New Roman" w:cs="Times New Roman"/>
          <w:sz w:val="24"/>
          <w:szCs w:val="24"/>
          <w:lang w:val="en-US"/>
        </w:rPr>
        <w:t xml:space="preserve"> factors on </w:t>
      </w:r>
      <w:proofErr w:type="spellStart"/>
      <w:r>
        <w:rPr>
          <w:rFonts w:ascii="Times New Roman" w:eastAsia="Times New Roman" w:hAnsi="Times New Roman" w:cs="Times New Roman"/>
          <w:sz w:val="24"/>
          <w:szCs w:val="24"/>
          <w:lang w:val="en-US"/>
        </w:rPr>
        <w:t>tumour</w:t>
      </w:r>
      <w:proofErr w:type="spellEnd"/>
      <w:r>
        <w:rPr>
          <w:rFonts w:ascii="Times New Roman" w:eastAsia="Times New Roman" w:hAnsi="Times New Roman" w:cs="Times New Roman"/>
          <w:sz w:val="24"/>
          <w:szCs w:val="24"/>
          <w:lang w:val="en-US"/>
        </w:rPr>
        <w:t xml:space="preserve"> biology: Pathways and mechanisms. </w:t>
      </w:r>
      <w:r>
        <w:rPr>
          <w:rFonts w:ascii="Times New Roman" w:eastAsia="Times New Roman" w:hAnsi="Times New Roman" w:cs="Times New Roman"/>
          <w:i/>
          <w:iCs/>
          <w:sz w:val="24"/>
          <w:szCs w:val="24"/>
          <w:lang w:val="en-US"/>
        </w:rPr>
        <w:t>Nature Reviews Cancer, 6</w:t>
      </w:r>
      <w:r>
        <w:rPr>
          <w:rFonts w:ascii="Times New Roman" w:eastAsia="Times New Roman" w:hAnsi="Times New Roman" w:cs="Times New Roman"/>
          <w:sz w:val="24"/>
          <w:szCs w:val="24"/>
          <w:lang w:val="en-US"/>
        </w:rPr>
        <w:t xml:space="preserve">(3), 240–248. </w:t>
      </w:r>
      <w:hyperlink r:id="rId8">
        <w:r w:rsidR="00BA0599">
          <w:rPr>
            <w:rStyle w:val="Hyperlink"/>
            <w:rFonts w:ascii="Times New Roman" w:eastAsia="Times New Roman" w:hAnsi="Times New Roman" w:cs="Times New Roman"/>
            <w:color w:val="0000FF"/>
            <w:sz w:val="24"/>
            <w:szCs w:val="24"/>
            <w:lang w:val="en-US"/>
          </w:rPr>
          <w:t>https://doi.org/10.1038/nrc1820</w:t>
        </w:r>
      </w:hyperlink>
    </w:p>
    <w:p w14:paraId="7DD85CD0" w14:textId="77777777" w:rsidR="00BA0599" w:rsidRDefault="00000000">
      <w:pPr>
        <w:spacing w:before="280" w:after="280" w:line="240" w:lineRule="auto"/>
        <w:ind w:left="540" w:hanging="540"/>
        <w:jc w:val="both"/>
        <w:rPr>
          <w:rFonts w:ascii="Times New Roman" w:eastAsia="Times New Roman" w:hAnsi="Times New Roman" w:cs="Times New Roman"/>
          <w:sz w:val="24"/>
          <w:szCs w:val="24"/>
          <w:lang w:val="en-US"/>
        </w:rPr>
      </w:pPr>
      <w:proofErr w:type="spellStart"/>
      <w:r>
        <w:rPr>
          <w:rFonts w:ascii="Times New Roman" w:hAnsi="Times New Roman"/>
          <w:b/>
          <w:sz w:val="24"/>
          <w:highlight w:val="yellow"/>
        </w:rPr>
        <w:t>Bomble</w:t>
      </w:r>
      <w:proofErr w:type="spellEnd"/>
      <w:r>
        <w:rPr>
          <w:rFonts w:ascii="Times New Roman" w:hAnsi="Times New Roman"/>
          <w:b/>
          <w:sz w:val="24"/>
          <w:highlight w:val="yellow"/>
        </w:rPr>
        <w:t xml:space="preserve">, P., &amp; Nath, B. B. (2024). Impact of singular versus combinatorial environmental stress on RONS generation in </w:t>
      </w:r>
      <w:r>
        <w:rPr>
          <w:rFonts w:ascii="Times New Roman" w:hAnsi="Times New Roman"/>
          <w:b/>
          <w:i/>
          <w:sz w:val="24"/>
          <w:highlight w:val="yellow"/>
        </w:rPr>
        <w:t>Drosophila melanogaster</w:t>
      </w:r>
      <w:r>
        <w:rPr>
          <w:rFonts w:ascii="Times New Roman" w:hAnsi="Times New Roman"/>
          <w:b/>
          <w:sz w:val="24"/>
          <w:highlight w:val="yellow"/>
        </w:rPr>
        <w:t xml:space="preserve"> larvae. </w:t>
      </w:r>
      <w:r>
        <w:rPr>
          <w:rFonts w:ascii="Times New Roman" w:hAnsi="Times New Roman"/>
          <w:b/>
          <w:i/>
          <w:sz w:val="24"/>
          <w:highlight w:val="yellow"/>
        </w:rPr>
        <w:t>Frontiers in Physiology, 15</w:t>
      </w:r>
      <w:r>
        <w:rPr>
          <w:rFonts w:ascii="Times New Roman" w:hAnsi="Times New Roman"/>
          <w:b/>
          <w:sz w:val="24"/>
          <w:highlight w:val="yellow"/>
        </w:rPr>
        <w:t>, 1426169. https://doi.org/10.3389/fphys.2024.1426169</w:t>
      </w:r>
    </w:p>
    <w:p w14:paraId="706DA33A" w14:textId="77777777" w:rsidR="00BA0599" w:rsidRDefault="00000000">
      <w:pPr>
        <w:spacing w:before="280" w:after="280" w:line="240" w:lineRule="auto"/>
        <w:ind w:left="540" w:hanging="540"/>
        <w:jc w:val="both"/>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Bonilla, E., Contreras, R., Medina-</w:t>
      </w:r>
      <w:proofErr w:type="spellStart"/>
      <w:r>
        <w:rPr>
          <w:rFonts w:ascii="Times New Roman" w:eastAsia="Times New Roman" w:hAnsi="Times New Roman" w:cs="Times New Roman"/>
          <w:sz w:val="24"/>
          <w:szCs w:val="24"/>
          <w:lang w:val="en-US"/>
        </w:rPr>
        <w:t>Leendertz</w:t>
      </w:r>
      <w:proofErr w:type="spellEnd"/>
      <w:r>
        <w:rPr>
          <w:rFonts w:ascii="Times New Roman" w:eastAsia="Times New Roman" w:hAnsi="Times New Roman" w:cs="Times New Roman"/>
          <w:sz w:val="24"/>
          <w:szCs w:val="24"/>
          <w:lang w:val="en-US"/>
        </w:rPr>
        <w:t xml:space="preserve">, S., Mora, M., Villalobos, V., &amp; Bravo, Y. (2012). Minocycline increases the life span and motor activity and decreases lipid peroxidation in manganese-treated </w:t>
      </w:r>
      <w:r>
        <w:rPr>
          <w:rFonts w:ascii="Times New Roman" w:eastAsia="Times New Roman" w:hAnsi="Times New Roman" w:cs="Times New Roman"/>
          <w:i/>
          <w:iCs/>
          <w:sz w:val="24"/>
          <w:szCs w:val="24"/>
          <w:lang w:val="en-US"/>
        </w:rPr>
        <w:t>Drosophila melanogaster</w:t>
      </w:r>
      <w:r>
        <w:rPr>
          <w:rFonts w:ascii="Times New Roman" w:eastAsia="Times New Roman" w:hAnsi="Times New Roman" w:cs="Times New Roman"/>
          <w:sz w:val="24"/>
          <w:szCs w:val="24"/>
          <w:lang w:val="en-US"/>
        </w:rPr>
        <w:t xml:space="preserve">. </w:t>
      </w:r>
      <w:r>
        <w:rPr>
          <w:rFonts w:ascii="Times New Roman" w:eastAsia="Times New Roman" w:hAnsi="Times New Roman" w:cs="Times New Roman"/>
          <w:i/>
          <w:iCs/>
          <w:sz w:val="24"/>
          <w:szCs w:val="24"/>
          <w:lang w:val="en-US"/>
        </w:rPr>
        <w:t>Toxicology, 294</w:t>
      </w:r>
      <w:r>
        <w:rPr>
          <w:rFonts w:ascii="Times New Roman" w:eastAsia="Times New Roman" w:hAnsi="Times New Roman" w:cs="Times New Roman"/>
          <w:sz w:val="24"/>
          <w:szCs w:val="24"/>
          <w:lang w:val="en-US"/>
        </w:rPr>
        <w:t xml:space="preserve">(1), 50–53. </w:t>
      </w:r>
      <w:hyperlink r:id="rId9">
        <w:r w:rsidR="00BA0599">
          <w:rPr>
            <w:rStyle w:val="Hyperlink"/>
            <w:rFonts w:ascii="Times New Roman" w:eastAsia="Times New Roman" w:hAnsi="Times New Roman" w:cs="Times New Roman"/>
            <w:color w:val="0000FF"/>
            <w:sz w:val="24"/>
            <w:szCs w:val="24"/>
            <w:lang w:val="en-US"/>
          </w:rPr>
          <w:t>https://doi.org/10.1016/j.tox.2012.01.016</w:t>
        </w:r>
      </w:hyperlink>
    </w:p>
    <w:p w14:paraId="391BD817" w14:textId="77777777" w:rsidR="00BA0599" w:rsidRDefault="00000000">
      <w:pPr>
        <w:spacing w:before="280" w:after="280" w:line="240" w:lineRule="auto"/>
        <w:ind w:left="540" w:hanging="540"/>
        <w:jc w:val="both"/>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 xml:space="preserve">Dai, Y., Wang, Y., Kang, Q., Wu, Y., Liu, Y., Su, Y., Wang, X., Xiu, M., &amp; He, J. (2024). The protective effect and bioactive compounds of </w:t>
      </w:r>
      <w:r>
        <w:rPr>
          <w:rFonts w:ascii="Times New Roman" w:eastAsia="Times New Roman" w:hAnsi="Times New Roman" w:cs="Times New Roman"/>
          <w:i/>
          <w:iCs/>
          <w:sz w:val="24"/>
          <w:szCs w:val="24"/>
          <w:lang w:val="en-US"/>
        </w:rPr>
        <w:t xml:space="preserve">Astragalus </w:t>
      </w:r>
      <w:proofErr w:type="spellStart"/>
      <w:r>
        <w:rPr>
          <w:rFonts w:ascii="Times New Roman" w:eastAsia="Times New Roman" w:hAnsi="Times New Roman" w:cs="Times New Roman"/>
          <w:i/>
          <w:iCs/>
          <w:sz w:val="24"/>
          <w:szCs w:val="24"/>
          <w:lang w:val="en-US"/>
        </w:rPr>
        <w:t>membranaceus</w:t>
      </w:r>
      <w:proofErr w:type="spellEnd"/>
      <w:r>
        <w:rPr>
          <w:rFonts w:ascii="Times New Roman" w:eastAsia="Times New Roman" w:hAnsi="Times New Roman" w:cs="Times New Roman"/>
          <w:sz w:val="24"/>
          <w:szCs w:val="24"/>
          <w:lang w:val="en-US"/>
        </w:rPr>
        <w:t xml:space="preserve"> against neurodegenerative disorders via alleviating oxidative stress in </w:t>
      </w:r>
      <w:r>
        <w:rPr>
          <w:rFonts w:ascii="Times New Roman" w:eastAsia="Times New Roman" w:hAnsi="Times New Roman" w:cs="Times New Roman"/>
          <w:i/>
          <w:iCs/>
          <w:sz w:val="24"/>
          <w:szCs w:val="24"/>
          <w:lang w:val="en-US"/>
        </w:rPr>
        <w:t>Drosophila</w:t>
      </w:r>
      <w:r>
        <w:rPr>
          <w:rFonts w:ascii="Times New Roman" w:eastAsia="Times New Roman" w:hAnsi="Times New Roman" w:cs="Times New Roman"/>
          <w:sz w:val="24"/>
          <w:szCs w:val="24"/>
          <w:lang w:val="en-US"/>
        </w:rPr>
        <w:t xml:space="preserve">. </w:t>
      </w:r>
      <w:r>
        <w:rPr>
          <w:rFonts w:ascii="Times New Roman" w:eastAsia="Times New Roman" w:hAnsi="Times New Roman" w:cs="Times New Roman"/>
          <w:i/>
          <w:iCs/>
          <w:sz w:val="24"/>
          <w:szCs w:val="24"/>
          <w:lang w:val="en-US"/>
        </w:rPr>
        <w:t>The FASEB Journal, 38</w:t>
      </w:r>
      <w:r>
        <w:rPr>
          <w:rFonts w:ascii="Times New Roman" w:eastAsia="Times New Roman" w:hAnsi="Times New Roman" w:cs="Times New Roman"/>
          <w:sz w:val="24"/>
          <w:szCs w:val="24"/>
          <w:lang w:val="en-US"/>
        </w:rPr>
        <w:t xml:space="preserve">(13), e23727. </w:t>
      </w:r>
      <w:hyperlink r:id="rId10">
        <w:r w:rsidR="00BA0599">
          <w:rPr>
            <w:rStyle w:val="Hyperlink"/>
            <w:rFonts w:ascii="Times New Roman" w:eastAsia="Times New Roman" w:hAnsi="Times New Roman" w:cs="Times New Roman"/>
            <w:color w:val="0000FF"/>
            <w:sz w:val="24"/>
            <w:szCs w:val="24"/>
            <w:lang w:val="en-US"/>
          </w:rPr>
          <w:t>https://doi.org/10.1096/fj.202400390R</w:t>
        </w:r>
      </w:hyperlink>
    </w:p>
    <w:p w14:paraId="7C3DB31C" w14:textId="77777777" w:rsidR="00BA0599" w:rsidRDefault="00000000">
      <w:pPr>
        <w:spacing w:before="280" w:after="280" w:line="240" w:lineRule="auto"/>
        <w:ind w:left="540" w:hanging="540"/>
        <w:jc w:val="both"/>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 xml:space="preserve">de Aguiar, L. M., Figueira, F. H., Gottschalk, M. S., &amp; da Rosa, C. E. (2016). Glyphosate-based herbicide exposure causes antioxidant </w:t>
      </w:r>
      <w:proofErr w:type="spellStart"/>
      <w:r>
        <w:rPr>
          <w:rFonts w:ascii="Times New Roman" w:eastAsia="Times New Roman" w:hAnsi="Times New Roman" w:cs="Times New Roman"/>
          <w:sz w:val="24"/>
          <w:szCs w:val="24"/>
          <w:lang w:val="en-US"/>
        </w:rPr>
        <w:t>defence</w:t>
      </w:r>
      <w:proofErr w:type="spellEnd"/>
      <w:r>
        <w:rPr>
          <w:rFonts w:ascii="Times New Roman" w:eastAsia="Times New Roman" w:hAnsi="Times New Roman" w:cs="Times New Roman"/>
          <w:sz w:val="24"/>
          <w:szCs w:val="24"/>
          <w:lang w:val="en-US"/>
        </w:rPr>
        <w:t xml:space="preserve"> responses in the fruit fly </w:t>
      </w:r>
      <w:r>
        <w:rPr>
          <w:rFonts w:ascii="Times New Roman" w:eastAsia="Times New Roman" w:hAnsi="Times New Roman" w:cs="Times New Roman"/>
          <w:i/>
          <w:iCs/>
          <w:sz w:val="24"/>
          <w:szCs w:val="24"/>
          <w:lang w:val="en-US"/>
        </w:rPr>
        <w:t>Drosophila melanogaster</w:t>
      </w:r>
      <w:r>
        <w:rPr>
          <w:rFonts w:ascii="Times New Roman" w:eastAsia="Times New Roman" w:hAnsi="Times New Roman" w:cs="Times New Roman"/>
          <w:sz w:val="24"/>
          <w:szCs w:val="24"/>
          <w:lang w:val="en-US"/>
        </w:rPr>
        <w:t xml:space="preserve">. </w:t>
      </w:r>
      <w:r>
        <w:rPr>
          <w:rFonts w:ascii="Times New Roman" w:eastAsia="Times New Roman" w:hAnsi="Times New Roman" w:cs="Times New Roman"/>
          <w:i/>
          <w:iCs/>
          <w:sz w:val="24"/>
          <w:szCs w:val="24"/>
          <w:lang w:val="en-US"/>
        </w:rPr>
        <w:t>Comparative Biochemistry and Physiology Part C: Toxicology &amp; Pharmacology, 185–186</w:t>
      </w:r>
      <w:r>
        <w:rPr>
          <w:rFonts w:ascii="Times New Roman" w:eastAsia="Times New Roman" w:hAnsi="Times New Roman" w:cs="Times New Roman"/>
          <w:sz w:val="24"/>
          <w:szCs w:val="24"/>
          <w:lang w:val="en-US"/>
        </w:rPr>
        <w:t xml:space="preserve">, 94–101. </w:t>
      </w:r>
      <w:hyperlink r:id="rId11">
        <w:r w:rsidR="00BA0599">
          <w:rPr>
            <w:rStyle w:val="Hyperlink"/>
            <w:rFonts w:ascii="Times New Roman" w:eastAsia="Times New Roman" w:hAnsi="Times New Roman" w:cs="Times New Roman"/>
            <w:color w:val="0000FF"/>
            <w:sz w:val="24"/>
            <w:szCs w:val="24"/>
            <w:lang w:val="en-US"/>
          </w:rPr>
          <w:t>https://doi.org/10.1016/j.cbpc.2016.03.006</w:t>
        </w:r>
      </w:hyperlink>
    </w:p>
    <w:p w14:paraId="660D2152" w14:textId="77777777" w:rsidR="00BA0599" w:rsidRDefault="00000000">
      <w:pPr>
        <w:spacing w:before="280" w:after="280" w:line="240" w:lineRule="auto"/>
        <w:ind w:left="540" w:hanging="540"/>
        <w:jc w:val="both"/>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 xml:space="preserve">Gaya-Bover, A., Hernández-López, R., </w:t>
      </w:r>
      <w:proofErr w:type="spellStart"/>
      <w:r>
        <w:rPr>
          <w:rFonts w:ascii="Times New Roman" w:eastAsia="Times New Roman" w:hAnsi="Times New Roman" w:cs="Times New Roman"/>
          <w:sz w:val="24"/>
          <w:szCs w:val="24"/>
          <w:lang w:val="en-US"/>
        </w:rPr>
        <w:t>Alorda</w:t>
      </w:r>
      <w:proofErr w:type="spellEnd"/>
      <w:r>
        <w:rPr>
          <w:rFonts w:ascii="Times New Roman" w:eastAsia="Times New Roman" w:hAnsi="Times New Roman" w:cs="Times New Roman"/>
          <w:sz w:val="24"/>
          <w:szCs w:val="24"/>
          <w:lang w:val="en-US"/>
        </w:rPr>
        <w:t xml:space="preserve">-Clara, M., Ibarra de la Rosa, J. M., Falcó, E., Fernández, T., Company, M. M., Torrens-Mas, M., Roca, P., Oliver, J., Sastre-Serra, J., &amp; Pons, D. G. (2020). Antioxidant enzymes change in different non-metastatic stages in tumoral and peritumoral tissues of colorectal cancer. </w:t>
      </w:r>
      <w:r>
        <w:rPr>
          <w:rFonts w:ascii="Times New Roman" w:eastAsia="Times New Roman" w:hAnsi="Times New Roman" w:cs="Times New Roman"/>
          <w:i/>
          <w:iCs/>
          <w:sz w:val="24"/>
          <w:szCs w:val="24"/>
          <w:lang w:val="en-US"/>
        </w:rPr>
        <w:t>International Journal of Biochemistry &amp; Cell Biology, 120</w:t>
      </w:r>
      <w:r>
        <w:rPr>
          <w:rFonts w:ascii="Times New Roman" w:eastAsia="Times New Roman" w:hAnsi="Times New Roman" w:cs="Times New Roman"/>
          <w:sz w:val="24"/>
          <w:szCs w:val="24"/>
          <w:lang w:val="en-US"/>
        </w:rPr>
        <w:t xml:space="preserve">, 105698. </w:t>
      </w:r>
      <w:hyperlink r:id="rId12">
        <w:r w:rsidR="00BA0599">
          <w:rPr>
            <w:rStyle w:val="Hyperlink"/>
            <w:rFonts w:ascii="Times New Roman" w:eastAsia="Times New Roman" w:hAnsi="Times New Roman" w:cs="Times New Roman"/>
            <w:color w:val="0000FF"/>
            <w:sz w:val="24"/>
            <w:szCs w:val="24"/>
            <w:lang w:val="en-US"/>
          </w:rPr>
          <w:t>https://doi.org/10.1016/j.biocel.2020.105698</w:t>
        </w:r>
      </w:hyperlink>
    </w:p>
    <w:p w14:paraId="20C43336" w14:textId="77777777" w:rsidR="00BA0599" w:rsidRDefault="00000000">
      <w:pPr>
        <w:spacing w:before="280" w:after="280" w:line="240" w:lineRule="auto"/>
        <w:ind w:left="540" w:hanging="540"/>
        <w:jc w:val="both"/>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 xml:space="preserve">Giansanti, M. G., Frappaolo, A., &amp; </w:t>
      </w:r>
      <w:proofErr w:type="spellStart"/>
      <w:r>
        <w:rPr>
          <w:rFonts w:ascii="Times New Roman" w:eastAsia="Times New Roman" w:hAnsi="Times New Roman" w:cs="Times New Roman"/>
          <w:sz w:val="24"/>
          <w:szCs w:val="24"/>
          <w:lang w:val="en-US"/>
        </w:rPr>
        <w:t>Piergentili</w:t>
      </w:r>
      <w:proofErr w:type="spellEnd"/>
      <w:r>
        <w:rPr>
          <w:rFonts w:ascii="Times New Roman" w:eastAsia="Times New Roman" w:hAnsi="Times New Roman" w:cs="Times New Roman"/>
          <w:sz w:val="24"/>
          <w:szCs w:val="24"/>
          <w:lang w:val="en-US"/>
        </w:rPr>
        <w:t xml:space="preserve">, R. (2025). </w:t>
      </w:r>
      <w:r>
        <w:rPr>
          <w:rFonts w:ascii="Times New Roman" w:eastAsia="Times New Roman" w:hAnsi="Times New Roman" w:cs="Times New Roman"/>
          <w:i/>
          <w:iCs/>
          <w:sz w:val="24"/>
          <w:szCs w:val="24"/>
          <w:lang w:val="en-US"/>
        </w:rPr>
        <w:t>Drosophila melanogaster</w:t>
      </w:r>
      <w:r>
        <w:rPr>
          <w:rFonts w:ascii="Times New Roman" w:eastAsia="Times New Roman" w:hAnsi="Times New Roman" w:cs="Times New Roman"/>
          <w:sz w:val="24"/>
          <w:szCs w:val="24"/>
          <w:lang w:val="en-US"/>
        </w:rPr>
        <w:t xml:space="preserve">: How and why it became a model organism. </w:t>
      </w:r>
      <w:r>
        <w:rPr>
          <w:rFonts w:ascii="Times New Roman" w:eastAsia="Times New Roman" w:hAnsi="Times New Roman" w:cs="Times New Roman"/>
          <w:i/>
          <w:iCs/>
          <w:sz w:val="24"/>
          <w:szCs w:val="24"/>
          <w:lang w:val="en-US"/>
        </w:rPr>
        <w:t>International Journal of Molecular Sciences, 26</w:t>
      </w:r>
      <w:r>
        <w:rPr>
          <w:rFonts w:ascii="Times New Roman" w:eastAsia="Times New Roman" w:hAnsi="Times New Roman" w:cs="Times New Roman"/>
          <w:sz w:val="24"/>
          <w:szCs w:val="24"/>
          <w:lang w:val="en-US"/>
        </w:rPr>
        <w:t xml:space="preserve">(15), 7485. </w:t>
      </w:r>
      <w:hyperlink r:id="rId13">
        <w:r w:rsidR="00BA0599">
          <w:rPr>
            <w:rStyle w:val="Hyperlink"/>
            <w:rFonts w:ascii="Times New Roman" w:eastAsia="Times New Roman" w:hAnsi="Times New Roman" w:cs="Times New Roman"/>
            <w:color w:val="0000FF"/>
            <w:sz w:val="24"/>
            <w:szCs w:val="24"/>
            <w:lang w:val="en-US"/>
          </w:rPr>
          <w:t>https://doi.org/10.3390/ijms26157485</w:t>
        </w:r>
      </w:hyperlink>
    </w:p>
    <w:p w14:paraId="21ED7217" w14:textId="77777777" w:rsidR="00BA0599" w:rsidRDefault="00000000">
      <w:pPr>
        <w:spacing w:before="280" w:after="280" w:line="240" w:lineRule="auto"/>
        <w:ind w:left="540" w:hanging="540"/>
        <w:jc w:val="both"/>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 xml:space="preserve">Hao, X., Gao, Z., &amp; Hu, M. (2025). Anti-tumor role and molecular mechanism of vanillic acid. </w:t>
      </w:r>
      <w:r>
        <w:rPr>
          <w:rFonts w:ascii="Times New Roman" w:eastAsia="Times New Roman" w:hAnsi="Times New Roman" w:cs="Times New Roman"/>
          <w:i/>
          <w:iCs/>
          <w:sz w:val="24"/>
          <w:szCs w:val="24"/>
          <w:lang w:val="en-US"/>
        </w:rPr>
        <w:t>Discover Oncology, 16</w:t>
      </w:r>
      <w:r>
        <w:rPr>
          <w:rFonts w:ascii="Times New Roman" w:eastAsia="Times New Roman" w:hAnsi="Times New Roman" w:cs="Times New Roman"/>
          <w:sz w:val="24"/>
          <w:szCs w:val="24"/>
          <w:lang w:val="en-US"/>
        </w:rPr>
        <w:t xml:space="preserve">(1), 20. </w:t>
      </w:r>
      <w:hyperlink r:id="rId14">
        <w:r w:rsidR="00BA0599">
          <w:rPr>
            <w:rStyle w:val="Hyperlink"/>
            <w:rFonts w:ascii="Times New Roman" w:eastAsia="Times New Roman" w:hAnsi="Times New Roman" w:cs="Times New Roman"/>
            <w:color w:val="0000FF"/>
            <w:sz w:val="24"/>
            <w:szCs w:val="24"/>
            <w:lang w:val="en-US"/>
          </w:rPr>
          <w:t>https://doi.org/10.1007/s12672-025-01746-6</w:t>
        </w:r>
      </w:hyperlink>
    </w:p>
    <w:p w14:paraId="2D3E9D2B" w14:textId="77777777" w:rsidR="00BA0599" w:rsidRDefault="00000000">
      <w:pPr>
        <w:spacing w:before="280" w:after="280" w:line="240" w:lineRule="auto"/>
        <w:ind w:left="540" w:hanging="540"/>
        <w:jc w:val="both"/>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 xml:space="preserve">Hill, V. M., O’Connor, R. M., Sissoko, G. B., </w:t>
      </w:r>
      <w:proofErr w:type="spellStart"/>
      <w:r>
        <w:rPr>
          <w:rFonts w:ascii="Times New Roman" w:eastAsia="Times New Roman" w:hAnsi="Times New Roman" w:cs="Times New Roman"/>
          <w:sz w:val="24"/>
          <w:szCs w:val="24"/>
          <w:lang w:val="en-US"/>
        </w:rPr>
        <w:t>Irobunda</w:t>
      </w:r>
      <w:proofErr w:type="spellEnd"/>
      <w:r>
        <w:rPr>
          <w:rFonts w:ascii="Times New Roman" w:eastAsia="Times New Roman" w:hAnsi="Times New Roman" w:cs="Times New Roman"/>
          <w:sz w:val="24"/>
          <w:szCs w:val="24"/>
          <w:lang w:val="en-US"/>
        </w:rPr>
        <w:t xml:space="preserve">, I. S., Leong, S., </w:t>
      </w:r>
      <w:proofErr w:type="spellStart"/>
      <w:r>
        <w:rPr>
          <w:rFonts w:ascii="Times New Roman" w:eastAsia="Times New Roman" w:hAnsi="Times New Roman" w:cs="Times New Roman"/>
          <w:sz w:val="24"/>
          <w:szCs w:val="24"/>
          <w:lang w:val="en-US"/>
        </w:rPr>
        <w:t>Canman</w:t>
      </w:r>
      <w:proofErr w:type="spellEnd"/>
      <w:r>
        <w:rPr>
          <w:rFonts w:ascii="Times New Roman" w:eastAsia="Times New Roman" w:hAnsi="Times New Roman" w:cs="Times New Roman"/>
          <w:sz w:val="24"/>
          <w:szCs w:val="24"/>
          <w:lang w:val="en-US"/>
        </w:rPr>
        <w:t xml:space="preserve">, J. C., Stavropoulos, N., &amp; </w:t>
      </w:r>
      <w:proofErr w:type="spellStart"/>
      <w:r>
        <w:rPr>
          <w:rFonts w:ascii="Times New Roman" w:eastAsia="Times New Roman" w:hAnsi="Times New Roman" w:cs="Times New Roman"/>
          <w:sz w:val="24"/>
          <w:szCs w:val="24"/>
          <w:lang w:val="en-US"/>
        </w:rPr>
        <w:t>Shirasu</w:t>
      </w:r>
      <w:proofErr w:type="spellEnd"/>
      <w:r>
        <w:rPr>
          <w:rFonts w:ascii="Times New Roman" w:eastAsia="Times New Roman" w:hAnsi="Times New Roman" w:cs="Times New Roman"/>
          <w:sz w:val="24"/>
          <w:szCs w:val="24"/>
          <w:lang w:val="en-US"/>
        </w:rPr>
        <w:t xml:space="preserve">-Hiza, M. (2018). A bidirectional relationship between sleep and oxidative stress in </w:t>
      </w:r>
      <w:r>
        <w:rPr>
          <w:rFonts w:ascii="Times New Roman" w:eastAsia="Times New Roman" w:hAnsi="Times New Roman" w:cs="Times New Roman"/>
          <w:i/>
          <w:iCs/>
          <w:sz w:val="24"/>
          <w:szCs w:val="24"/>
          <w:lang w:val="en-US"/>
        </w:rPr>
        <w:t>Drosophila</w:t>
      </w:r>
      <w:r>
        <w:rPr>
          <w:rFonts w:ascii="Times New Roman" w:eastAsia="Times New Roman" w:hAnsi="Times New Roman" w:cs="Times New Roman"/>
          <w:sz w:val="24"/>
          <w:szCs w:val="24"/>
          <w:lang w:val="en-US"/>
        </w:rPr>
        <w:t xml:space="preserve">. </w:t>
      </w:r>
      <w:r>
        <w:rPr>
          <w:rFonts w:ascii="Times New Roman" w:eastAsia="Times New Roman" w:hAnsi="Times New Roman" w:cs="Times New Roman"/>
          <w:i/>
          <w:iCs/>
          <w:sz w:val="24"/>
          <w:szCs w:val="24"/>
          <w:lang w:val="en-US"/>
        </w:rPr>
        <w:t>PLOS Biology, 16</w:t>
      </w:r>
      <w:r>
        <w:rPr>
          <w:rFonts w:ascii="Times New Roman" w:eastAsia="Times New Roman" w:hAnsi="Times New Roman" w:cs="Times New Roman"/>
          <w:sz w:val="24"/>
          <w:szCs w:val="24"/>
          <w:lang w:val="en-US"/>
        </w:rPr>
        <w:t xml:space="preserve">(7), e2005206. </w:t>
      </w:r>
      <w:hyperlink r:id="rId15">
        <w:r w:rsidR="00BA0599">
          <w:rPr>
            <w:rStyle w:val="Hyperlink"/>
            <w:rFonts w:ascii="Times New Roman" w:eastAsia="Times New Roman" w:hAnsi="Times New Roman" w:cs="Times New Roman"/>
            <w:color w:val="0000FF"/>
            <w:sz w:val="24"/>
            <w:szCs w:val="24"/>
            <w:lang w:val="en-US"/>
          </w:rPr>
          <w:t>https://doi.org/10.1371/journal.pbio.2005206</w:t>
        </w:r>
      </w:hyperlink>
    </w:p>
    <w:p w14:paraId="56205908" w14:textId="77777777" w:rsidR="00BA0599" w:rsidRDefault="00000000">
      <w:pPr>
        <w:spacing w:before="280" w:after="280" w:line="240" w:lineRule="auto"/>
        <w:ind w:left="540" w:hanging="540"/>
        <w:jc w:val="both"/>
        <w:rPr>
          <w:rFonts w:ascii="Times New Roman" w:eastAsia="Times New Roman" w:hAnsi="Times New Roman" w:cs="Times New Roman"/>
          <w:sz w:val="24"/>
          <w:szCs w:val="24"/>
          <w:lang w:val="en-US"/>
        </w:rPr>
      </w:pPr>
      <w:proofErr w:type="spellStart"/>
      <w:r>
        <w:rPr>
          <w:rFonts w:ascii="Times New Roman" w:eastAsia="Times New Roman" w:hAnsi="Times New Roman" w:cs="Times New Roman"/>
          <w:sz w:val="24"/>
          <w:szCs w:val="24"/>
          <w:lang w:val="en-US"/>
        </w:rPr>
        <w:t>Hosamani</w:t>
      </w:r>
      <w:proofErr w:type="spellEnd"/>
      <w:r>
        <w:rPr>
          <w:rFonts w:ascii="Times New Roman" w:eastAsia="Times New Roman" w:hAnsi="Times New Roman" w:cs="Times New Roman"/>
          <w:sz w:val="24"/>
          <w:szCs w:val="24"/>
          <w:lang w:val="en-US"/>
        </w:rPr>
        <w:t xml:space="preserve">, R., &amp; Muralidhara. (2009). Neuroprotective efficacy of </w:t>
      </w:r>
      <w:r>
        <w:rPr>
          <w:rFonts w:ascii="Times New Roman" w:eastAsia="Times New Roman" w:hAnsi="Times New Roman" w:cs="Times New Roman"/>
          <w:i/>
          <w:iCs/>
          <w:sz w:val="24"/>
          <w:szCs w:val="24"/>
          <w:lang w:val="en-US"/>
        </w:rPr>
        <w:t xml:space="preserve">Bacopa </w:t>
      </w:r>
      <w:proofErr w:type="spellStart"/>
      <w:r>
        <w:rPr>
          <w:rFonts w:ascii="Times New Roman" w:eastAsia="Times New Roman" w:hAnsi="Times New Roman" w:cs="Times New Roman"/>
          <w:i/>
          <w:iCs/>
          <w:sz w:val="24"/>
          <w:szCs w:val="24"/>
          <w:lang w:val="en-US"/>
        </w:rPr>
        <w:t>monnieri</w:t>
      </w:r>
      <w:proofErr w:type="spellEnd"/>
      <w:r>
        <w:rPr>
          <w:rFonts w:ascii="Times New Roman" w:eastAsia="Times New Roman" w:hAnsi="Times New Roman" w:cs="Times New Roman"/>
          <w:sz w:val="24"/>
          <w:szCs w:val="24"/>
          <w:lang w:val="en-US"/>
        </w:rPr>
        <w:t xml:space="preserve"> against rotenone-induced oxidative stress and neurotoxicity in </w:t>
      </w:r>
      <w:r>
        <w:rPr>
          <w:rFonts w:ascii="Times New Roman" w:eastAsia="Times New Roman" w:hAnsi="Times New Roman" w:cs="Times New Roman"/>
          <w:i/>
          <w:iCs/>
          <w:sz w:val="24"/>
          <w:szCs w:val="24"/>
          <w:lang w:val="en-US"/>
        </w:rPr>
        <w:t>Drosophila melanogaster</w:t>
      </w:r>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i/>
          <w:iCs/>
          <w:sz w:val="24"/>
          <w:szCs w:val="24"/>
          <w:lang w:val="en-US"/>
        </w:rPr>
        <w:t>NeuroToxicology</w:t>
      </w:r>
      <w:proofErr w:type="spellEnd"/>
      <w:r>
        <w:rPr>
          <w:rFonts w:ascii="Times New Roman" w:eastAsia="Times New Roman" w:hAnsi="Times New Roman" w:cs="Times New Roman"/>
          <w:i/>
          <w:iCs/>
          <w:sz w:val="24"/>
          <w:szCs w:val="24"/>
          <w:lang w:val="en-US"/>
        </w:rPr>
        <w:t>, 30</w:t>
      </w:r>
      <w:r>
        <w:rPr>
          <w:rFonts w:ascii="Times New Roman" w:eastAsia="Times New Roman" w:hAnsi="Times New Roman" w:cs="Times New Roman"/>
          <w:sz w:val="24"/>
          <w:szCs w:val="24"/>
          <w:lang w:val="en-US"/>
        </w:rPr>
        <w:t xml:space="preserve">(6), 977–985. </w:t>
      </w:r>
      <w:hyperlink r:id="rId16">
        <w:r w:rsidR="00BA0599">
          <w:rPr>
            <w:rStyle w:val="Hyperlink"/>
            <w:rFonts w:ascii="Times New Roman" w:eastAsia="Times New Roman" w:hAnsi="Times New Roman" w:cs="Times New Roman"/>
            <w:color w:val="0000FF"/>
            <w:sz w:val="24"/>
            <w:szCs w:val="24"/>
            <w:lang w:val="en-US"/>
          </w:rPr>
          <w:t>https://doi.org/10.1016/j.neuro.2009.08.012</w:t>
        </w:r>
      </w:hyperlink>
    </w:p>
    <w:p w14:paraId="32045CA7" w14:textId="77777777" w:rsidR="00BA0599" w:rsidRDefault="00000000">
      <w:pPr>
        <w:spacing w:before="280" w:after="280" w:line="240" w:lineRule="auto"/>
        <w:ind w:left="540" w:hanging="540"/>
        <w:jc w:val="both"/>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 xml:space="preserve">Huang, X., Xi, Y., Mao, Z., Chu, X., Zhang, R., Ma, X., Ni, B., Cheng, H., &amp; You, H. (2019). Vanillic acid attenuates cartilage degeneration by regulating the MAPK and </w:t>
      </w:r>
      <w:r>
        <w:rPr>
          <w:rFonts w:ascii="Times New Roman" w:eastAsia="Times New Roman" w:hAnsi="Times New Roman" w:cs="Times New Roman"/>
          <w:sz w:val="24"/>
          <w:szCs w:val="24"/>
          <w:lang w:val="en-US"/>
        </w:rPr>
        <w:lastRenderedPageBreak/>
        <w:t>PI3K/AKT/NF-</w:t>
      </w:r>
      <w:proofErr w:type="spellStart"/>
      <w:r>
        <w:rPr>
          <w:rFonts w:ascii="Times New Roman" w:eastAsia="Times New Roman" w:hAnsi="Times New Roman" w:cs="Times New Roman"/>
          <w:sz w:val="24"/>
          <w:szCs w:val="24"/>
          <w:lang w:val="en-US"/>
        </w:rPr>
        <w:t>κB</w:t>
      </w:r>
      <w:proofErr w:type="spellEnd"/>
      <w:r>
        <w:rPr>
          <w:rFonts w:ascii="Times New Roman" w:eastAsia="Times New Roman" w:hAnsi="Times New Roman" w:cs="Times New Roman"/>
          <w:sz w:val="24"/>
          <w:szCs w:val="24"/>
          <w:lang w:val="en-US"/>
        </w:rPr>
        <w:t xml:space="preserve"> pathways. </w:t>
      </w:r>
      <w:r>
        <w:rPr>
          <w:rFonts w:ascii="Times New Roman" w:eastAsia="Times New Roman" w:hAnsi="Times New Roman" w:cs="Times New Roman"/>
          <w:i/>
          <w:iCs/>
          <w:sz w:val="24"/>
          <w:szCs w:val="24"/>
          <w:lang w:val="en-US"/>
        </w:rPr>
        <w:t>European Journal of Pharmacology, 859</w:t>
      </w:r>
      <w:r>
        <w:rPr>
          <w:rFonts w:ascii="Times New Roman" w:eastAsia="Times New Roman" w:hAnsi="Times New Roman" w:cs="Times New Roman"/>
          <w:sz w:val="24"/>
          <w:szCs w:val="24"/>
          <w:lang w:val="en-US"/>
        </w:rPr>
        <w:t xml:space="preserve">, 172481. </w:t>
      </w:r>
      <w:hyperlink r:id="rId17">
        <w:r w:rsidR="00BA0599">
          <w:rPr>
            <w:rStyle w:val="Hyperlink"/>
            <w:rFonts w:ascii="Times New Roman" w:eastAsia="Times New Roman" w:hAnsi="Times New Roman" w:cs="Times New Roman"/>
            <w:color w:val="0000FF"/>
            <w:sz w:val="24"/>
            <w:szCs w:val="24"/>
            <w:lang w:val="en-US"/>
          </w:rPr>
          <w:t>https://doi.org/10.1016/j.ejphar.2019.172481</w:t>
        </w:r>
      </w:hyperlink>
    </w:p>
    <w:p w14:paraId="6C6336DA" w14:textId="77777777" w:rsidR="00BA0599" w:rsidRDefault="00000000">
      <w:pPr>
        <w:spacing w:before="280" w:after="280" w:line="240" w:lineRule="auto"/>
        <w:ind w:left="540" w:hanging="540"/>
        <w:jc w:val="both"/>
        <w:rPr>
          <w:rFonts w:ascii="Times New Roman" w:eastAsia="Times New Roman" w:hAnsi="Times New Roman" w:cs="Times New Roman"/>
          <w:sz w:val="24"/>
          <w:szCs w:val="24"/>
          <w:lang w:val="en-US"/>
        </w:rPr>
      </w:pPr>
      <w:r>
        <w:rPr>
          <w:rFonts w:ascii="Times New Roman" w:hAnsi="Times New Roman"/>
          <w:b/>
          <w:sz w:val="24"/>
          <w:highlight w:val="yellow"/>
        </w:rPr>
        <w:t xml:space="preserve">Hwang, G., Yang, D.-W., Geisseova, T. K., Kim, H. A., Oh, Y., &amp; Suh, G. S. B. (2025). Stress-induced preference for antioxidants by </w:t>
      </w:r>
      <w:r>
        <w:rPr>
          <w:rFonts w:ascii="Times New Roman" w:hAnsi="Times New Roman"/>
          <w:b/>
          <w:i/>
          <w:sz w:val="24"/>
          <w:highlight w:val="yellow"/>
        </w:rPr>
        <w:t>Drosophila</w:t>
      </w:r>
      <w:r>
        <w:rPr>
          <w:rFonts w:ascii="Times New Roman" w:hAnsi="Times New Roman"/>
          <w:b/>
          <w:sz w:val="24"/>
          <w:highlight w:val="yellow"/>
        </w:rPr>
        <w:t xml:space="preserve">. </w:t>
      </w:r>
      <w:r>
        <w:rPr>
          <w:rFonts w:ascii="Times New Roman" w:hAnsi="Times New Roman"/>
          <w:b/>
          <w:i/>
          <w:sz w:val="24"/>
          <w:highlight w:val="yellow"/>
        </w:rPr>
        <w:t>Proceedings of the National Academy of Sciences of the United States of America, 122</w:t>
      </w:r>
      <w:r>
        <w:rPr>
          <w:rFonts w:ascii="Times New Roman" w:hAnsi="Times New Roman"/>
          <w:b/>
          <w:sz w:val="24"/>
          <w:highlight w:val="yellow"/>
        </w:rPr>
        <w:t>(38), e2512852122. https://doi.org/10.1073/pnas.2512852122</w:t>
      </w:r>
    </w:p>
    <w:p w14:paraId="353C2E46" w14:textId="77777777" w:rsidR="00BA0599" w:rsidRDefault="00000000">
      <w:pPr>
        <w:spacing w:before="280" w:after="280" w:line="240" w:lineRule="auto"/>
        <w:ind w:left="540" w:hanging="540"/>
        <w:jc w:val="both"/>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 xml:space="preserve">Itoh, A., Isoda, K., </w:t>
      </w:r>
      <w:proofErr w:type="spellStart"/>
      <w:r>
        <w:rPr>
          <w:rFonts w:ascii="Times New Roman" w:eastAsia="Times New Roman" w:hAnsi="Times New Roman" w:cs="Times New Roman"/>
          <w:sz w:val="24"/>
          <w:szCs w:val="24"/>
          <w:lang w:val="en-US"/>
        </w:rPr>
        <w:t>Kondoh</w:t>
      </w:r>
      <w:proofErr w:type="spellEnd"/>
      <w:r>
        <w:rPr>
          <w:rFonts w:ascii="Times New Roman" w:eastAsia="Times New Roman" w:hAnsi="Times New Roman" w:cs="Times New Roman"/>
          <w:sz w:val="24"/>
          <w:szCs w:val="24"/>
          <w:lang w:val="en-US"/>
        </w:rPr>
        <w:t xml:space="preserve">, M., Kawase, M., Kobayashi, M., </w:t>
      </w:r>
      <w:proofErr w:type="spellStart"/>
      <w:r>
        <w:rPr>
          <w:rFonts w:ascii="Times New Roman" w:eastAsia="Times New Roman" w:hAnsi="Times New Roman" w:cs="Times New Roman"/>
          <w:sz w:val="24"/>
          <w:szCs w:val="24"/>
          <w:lang w:val="en-US"/>
        </w:rPr>
        <w:t>Tamesada</w:t>
      </w:r>
      <w:proofErr w:type="spellEnd"/>
      <w:r>
        <w:rPr>
          <w:rFonts w:ascii="Times New Roman" w:eastAsia="Times New Roman" w:hAnsi="Times New Roman" w:cs="Times New Roman"/>
          <w:sz w:val="24"/>
          <w:szCs w:val="24"/>
          <w:lang w:val="en-US"/>
        </w:rPr>
        <w:t xml:space="preserve">, M., &amp; Yagi, K. (2009). Hepatoprotective effect of syringic acid and vanillic acid on concanavalin A-induced liver injury. </w:t>
      </w:r>
      <w:r>
        <w:rPr>
          <w:rFonts w:ascii="Times New Roman" w:eastAsia="Times New Roman" w:hAnsi="Times New Roman" w:cs="Times New Roman"/>
          <w:i/>
          <w:iCs/>
          <w:sz w:val="24"/>
          <w:szCs w:val="24"/>
          <w:lang w:val="en-US"/>
        </w:rPr>
        <w:t>Biological &amp; Pharmaceutical Bulletin, 32</w:t>
      </w:r>
      <w:r>
        <w:rPr>
          <w:rFonts w:ascii="Times New Roman" w:eastAsia="Times New Roman" w:hAnsi="Times New Roman" w:cs="Times New Roman"/>
          <w:sz w:val="24"/>
          <w:szCs w:val="24"/>
          <w:lang w:val="en-US"/>
        </w:rPr>
        <w:t xml:space="preserve">(7), 1215–1219. </w:t>
      </w:r>
      <w:hyperlink r:id="rId18">
        <w:r w:rsidR="00BA0599">
          <w:rPr>
            <w:rStyle w:val="Hyperlink"/>
            <w:rFonts w:ascii="Times New Roman" w:eastAsia="Times New Roman" w:hAnsi="Times New Roman" w:cs="Times New Roman"/>
            <w:color w:val="0000FF"/>
            <w:sz w:val="24"/>
            <w:szCs w:val="24"/>
            <w:lang w:val="en-US"/>
          </w:rPr>
          <w:t>https://doi.org/10.1248/bpb.32.1215</w:t>
        </w:r>
      </w:hyperlink>
    </w:p>
    <w:p w14:paraId="60C80E9E" w14:textId="77777777" w:rsidR="00BA0599" w:rsidRDefault="00000000">
      <w:pPr>
        <w:spacing w:before="280" w:after="280" w:line="240" w:lineRule="auto"/>
        <w:ind w:left="540" w:hanging="540"/>
        <w:jc w:val="both"/>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 xml:space="preserve">Jennings, B. H. (2011). </w:t>
      </w:r>
      <w:r>
        <w:rPr>
          <w:rFonts w:ascii="Times New Roman" w:eastAsia="Times New Roman" w:hAnsi="Times New Roman" w:cs="Times New Roman"/>
          <w:i/>
          <w:sz w:val="24"/>
          <w:szCs w:val="24"/>
          <w:lang w:val="en-US"/>
        </w:rPr>
        <w:t>Drosophila</w:t>
      </w:r>
      <w:r>
        <w:rPr>
          <w:rFonts w:ascii="Times New Roman" w:eastAsia="Times New Roman" w:hAnsi="Times New Roman" w:cs="Times New Roman"/>
          <w:sz w:val="24"/>
          <w:szCs w:val="24"/>
          <w:lang w:val="en-US"/>
        </w:rPr>
        <w:t xml:space="preserve">—A versatile model in biology &amp; medicine. </w:t>
      </w:r>
      <w:r>
        <w:rPr>
          <w:rFonts w:ascii="Times New Roman" w:eastAsia="Times New Roman" w:hAnsi="Times New Roman" w:cs="Times New Roman"/>
          <w:i/>
          <w:iCs/>
          <w:sz w:val="24"/>
          <w:szCs w:val="24"/>
          <w:lang w:val="en-US"/>
        </w:rPr>
        <w:t>Materials Today, 14</w:t>
      </w:r>
      <w:r>
        <w:rPr>
          <w:rFonts w:ascii="Times New Roman" w:eastAsia="Times New Roman" w:hAnsi="Times New Roman" w:cs="Times New Roman"/>
          <w:sz w:val="24"/>
          <w:szCs w:val="24"/>
          <w:lang w:val="en-US"/>
        </w:rPr>
        <w:t xml:space="preserve">(5), 190–195. </w:t>
      </w:r>
      <w:hyperlink r:id="rId19">
        <w:r w:rsidR="00BA0599">
          <w:rPr>
            <w:rStyle w:val="Hyperlink"/>
            <w:rFonts w:ascii="Times New Roman" w:eastAsia="Times New Roman" w:hAnsi="Times New Roman" w:cs="Times New Roman"/>
            <w:color w:val="0000FF"/>
            <w:sz w:val="24"/>
            <w:szCs w:val="24"/>
            <w:lang w:val="en-US"/>
          </w:rPr>
          <w:t>https://doi.org/10.1016/S1369-7021(11)70113-4</w:t>
        </w:r>
      </w:hyperlink>
    </w:p>
    <w:p w14:paraId="75E59F68" w14:textId="77777777" w:rsidR="00BA0599" w:rsidRDefault="00000000">
      <w:pPr>
        <w:spacing w:before="280" w:after="280" w:line="240" w:lineRule="auto"/>
        <w:ind w:left="540" w:hanging="540"/>
        <w:jc w:val="both"/>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 xml:space="preserve">Kakkar, P., Das, B., &amp; Viswanathan, P. N. (1984). A modified spectrophotometric assay of superoxide dismutase. </w:t>
      </w:r>
      <w:r>
        <w:rPr>
          <w:rFonts w:ascii="Times New Roman" w:eastAsia="Times New Roman" w:hAnsi="Times New Roman" w:cs="Times New Roman"/>
          <w:i/>
          <w:iCs/>
          <w:sz w:val="24"/>
          <w:szCs w:val="24"/>
          <w:lang w:val="en-US"/>
        </w:rPr>
        <w:t>Indian Journal of Biochemistry and Biophysics, 21</w:t>
      </w:r>
      <w:r>
        <w:rPr>
          <w:rFonts w:ascii="Times New Roman" w:eastAsia="Times New Roman" w:hAnsi="Times New Roman" w:cs="Times New Roman"/>
          <w:sz w:val="24"/>
          <w:szCs w:val="24"/>
          <w:lang w:val="en-US"/>
        </w:rPr>
        <w:t xml:space="preserve">(2), 130–132. </w:t>
      </w:r>
      <w:hyperlink r:id="rId20">
        <w:r w:rsidR="00BA0599">
          <w:rPr>
            <w:rStyle w:val="Hyperlink"/>
            <w:rFonts w:ascii="Times New Roman" w:eastAsia="Times New Roman" w:hAnsi="Times New Roman" w:cs="Times New Roman"/>
            <w:color w:val="0000FF"/>
            <w:sz w:val="24"/>
            <w:szCs w:val="24"/>
            <w:lang w:val="en-US"/>
          </w:rPr>
          <w:t>https://nopr.niscpr.res.in/handle/123456789/19932</w:t>
        </w:r>
      </w:hyperlink>
    </w:p>
    <w:p w14:paraId="05215B16" w14:textId="77777777" w:rsidR="00BA0599" w:rsidRDefault="00000000">
      <w:pPr>
        <w:spacing w:before="280" w:after="280" w:line="240" w:lineRule="auto"/>
        <w:ind w:left="540" w:hanging="540"/>
        <w:jc w:val="both"/>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Kani, A., &amp; Subramanian, P. (2021). Dose-dependent influences of vanillic acid on cognitive function and redox homeostasis status in N-</w:t>
      </w:r>
      <w:proofErr w:type="spellStart"/>
      <w:r>
        <w:rPr>
          <w:rFonts w:ascii="Times New Roman" w:eastAsia="Times New Roman" w:hAnsi="Times New Roman" w:cs="Times New Roman"/>
          <w:sz w:val="24"/>
          <w:szCs w:val="24"/>
          <w:lang w:val="en-US"/>
        </w:rPr>
        <w:t>nitrosodiethylamine</w:t>
      </w:r>
      <w:proofErr w:type="spellEnd"/>
      <w:r>
        <w:rPr>
          <w:rFonts w:ascii="Times New Roman" w:eastAsia="Times New Roman" w:hAnsi="Times New Roman" w:cs="Times New Roman"/>
          <w:sz w:val="24"/>
          <w:szCs w:val="24"/>
          <w:lang w:val="en-US"/>
        </w:rPr>
        <w:t xml:space="preserve"> treated </w:t>
      </w:r>
      <w:r>
        <w:rPr>
          <w:rFonts w:ascii="Times New Roman" w:eastAsia="Times New Roman" w:hAnsi="Times New Roman" w:cs="Times New Roman"/>
          <w:i/>
          <w:iCs/>
          <w:sz w:val="24"/>
          <w:szCs w:val="24"/>
          <w:lang w:val="en-US"/>
        </w:rPr>
        <w:t>Drosophila melanogaster</w:t>
      </w:r>
      <w:r>
        <w:rPr>
          <w:rFonts w:ascii="Times New Roman" w:eastAsia="Times New Roman" w:hAnsi="Times New Roman" w:cs="Times New Roman"/>
          <w:sz w:val="24"/>
          <w:szCs w:val="24"/>
          <w:lang w:val="en-US"/>
        </w:rPr>
        <w:t xml:space="preserve">. </w:t>
      </w:r>
      <w:r>
        <w:rPr>
          <w:rFonts w:ascii="Times New Roman" w:eastAsia="Times New Roman" w:hAnsi="Times New Roman" w:cs="Times New Roman"/>
          <w:i/>
          <w:iCs/>
          <w:sz w:val="24"/>
          <w:szCs w:val="24"/>
          <w:lang w:val="en-US"/>
        </w:rPr>
        <w:t>International Journal of Current Pharmaceutical Research, 13</w:t>
      </w:r>
      <w:r>
        <w:rPr>
          <w:rFonts w:ascii="Times New Roman" w:eastAsia="Times New Roman" w:hAnsi="Times New Roman" w:cs="Times New Roman"/>
          <w:sz w:val="24"/>
          <w:szCs w:val="24"/>
          <w:lang w:val="en-US"/>
        </w:rPr>
        <w:t xml:space="preserve">(4), 85–92. </w:t>
      </w:r>
      <w:hyperlink r:id="rId21">
        <w:r w:rsidR="00BA0599">
          <w:rPr>
            <w:rStyle w:val="Hyperlink"/>
            <w:rFonts w:ascii="Times New Roman" w:eastAsia="Times New Roman" w:hAnsi="Times New Roman" w:cs="Times New Roman"/>
            <w:color w:val="0000FF"/>
            <w:sz w:val="24"/>
            <w:szCs w:val="24"/>
            <w:lang w:val="en-US"/>
          </w:rPr>
          <w:t>https://doi.org/10.22159/ijcpr.2021v13i4.42750</w:t>
        </w:r>
      </w:hyperlink>
    </w:p>
    <w:p w14:paraId="6BB009AC" w14:textId="77777777" w:rsidR="00BA0599" w:rsidRDefault="00000000">
      <w:pPr>
        <w:spacing w:before="280" w:after="280" w:line="240" w:lineRule="auto"/>
        <w:ind w:left="540" w:hanging="540"/>
        <w:jc w:val="both"/>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 xml:space="preserve">Kasapoglu, M., &amp; </w:t>
      </w:r>
      <w:proofErr w:type="spellStart"/>
      <w:r>
        <w:rPr>
          <w:rFonts w:ascii="Times New Roman" w:eastAsia="Times New Roman" w:hAnsi="Times New Roman" w:cs="Times New Roman"/>
          <w:sz w:val="24"/>
          <w:szCs w:val="24"/>
          <w:lang w:val="en-US"/>
        </w:rPr>
        <w:t>Ozben</w:t>
      </w:r>
      <w:proofErr w:type="spellEnd"/>
      <w:r>
        <w:rPr>
          <w:rFonts w:ascii="Times New Roman" w:eastAsia="Times New Roman" w:hAnsi="Times New Roman" w:cs="Times New Roman"/>
          <w:sz w:val="24"/>
          <w:szCs w:val="24"/>
          <w:lang w:val="en-US"/>
        </w:rPr>
        <w:t xml:space="preserve">, T. (2001). Alterations of antioxidant enzymes and oxidative stress markers in aging. </w:t>
      </w:r>
      <w:r>
        <w:rPr>
          <w:rFonts w:ascii="Times New Roman" w:eastAsia="Times New Roman" w:hAnsi="Times New Roman" w:cs="Times New Roman"/>
          <w:i/>
          <w:iCs/>
          <w:sz w:val="24"/>
          <w:szCs w:val="24"/>
          <w:lang w:val="en-US"/>
        </w:rPr>
        <w:t>Experimental Gerontology, 36</w:t>
      </w:r>
      <w:r>
        <w:rPr>
          <w:rFonts w:ascii="Times New Roman" w:eastAsia="Times New Roman" w:hAnsi="Times New Roman" w:cs="Times New Roman"/>
          <w:sz w:val="24"/>
          <w:szCs w:val="24"/>
          <w:lang w:val="en-US"/>
        </w:rPr>
        <w:t xml:space="preserve">(2), 209–220. </w:t>
      </w:r>
      <w:hyperlink r:id="rId22">
        <w:r w:rsidR="00BA0599">
          <w:rPr>
            <w:rStyle w:val="Hyperlink"/>
            <w:rFonts w:ascii="Times New Roman" w:eastAsia="Times New Roman" w:hAnsi="Times New Roman" w:cs="Times New Roman"/>
            <w:color w:val="0000FF"/>
            <w:sz w:val="24"/>
            <w:szCs w:val="24"/>
            <w:lang w:val="en-US"/>
          </w:rPr>
          <w:t>https://doi.org/10.1016/S0531-5565(00)00198-4</w:t>
        </w:r>
      </w:hyperlink>
    </w:p>
    <w:p w14:paraId="5B6FEB8B" w14:textId="77777777" w:rsidR="00BA0599" w:rsidRDefault="00000000">
      <w:pPr>
        <w:spacing w:before="280" w:after="280" w:line="240" w:lineRule="auto"/>
        <w:ind w:left="540" w:hanging="540"/>
        <w:jc w:val="both"/>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 xml:space="preserve">Krishnan, N., Davis, A. J., &amp; </w:t>
      </w:r>
      <w:proofErr w:type="spellStart"/>
      <w:r>
        <w:rPr>
          <w:rFonts w:ascii="Times New Roman" w:eastAsia="Times New Roman" w:hAnsi="Times New Roman" w:cs="Times New Roman"/>
          <w:sz w:val="24"/>
          <w:szCs w:val="24"/>
          <w:lang w:val="en-US"/>
        </w:rPr>
        <w:t>Giebultowicz</w:t>
      </w:r>
      <w:proofErr w:type="spellEnd"/>
      <w:r>
        <w:rPr>
          <w:rFonts w:ascii="Times New Roman" w:eastAsia="Times New Roman" w:hAnsi="Times New Roman" w:cs="Times New Roman"/>
          <w:sz w:val="24"/>
          <w:szCs w:val="24"/>
          <w:lang w:val="en-US"/>
        </w:rPr>
        <w:t xml:space="preserve">, J. M. (2008). Circadian regulation of response to oxidative stress in </w:t>
      </w:r>
      <w:r>
        <w:rPr>
          <w:rFonts w:ascii="Times New Roman" w:eastAsia="Times New Roman" w:hAnsi="Times New Roman" w:cs="Times New Roman"/>
          <w:i/>
          <w:iCs/>
          <w:sz w:val="24"/>
          <w:szCs w:val="24"/>
          <w:lang w:val="en-US"/>
        </w:rPr>
        <w:t>Drosophila melanogaster</w:t>
      </w:r>
      <w:r>
        <w:rPr>
          <w:rFonts w:ascii="Times New Roman" w:eastAsia="Times New Roman" w:hAnsi="Times New Roman" w:cs="Times New Roman"/>
          <w:sz w:val="24"/>
          <w:szCs w:val="24"/>
          <w:lang w:val="en-US"/>
        </w:rPr>
        <w:t xml:space="preserve">. </w:t>
      </w:r>
      <w:r>
        <w:rPr>
          <w:rFonts w:ascii="Times New Roman" w:eastAsia="Times New Roman" w:hAnsi="Times New Roman" w:cs="Times New Roman"/>
          <w:i/>
          <w:iCs/>
          <w:sz w:val="24"/>
          <w:szCs w:val="24"/>
          <w:lang w:val="en-US"/>
        </w:rPr>
        <w:t>Biochemical and Biophysical Research Communications, 374</w:t>
      </w:r>
      <w:r>
        <w:rPr>
          <w:rFonts w:ascii="Times New Roman" w:eastAsia="Times New Roman" w:hAnsi="Times New Roman" w:cs="Times New Roman"/>
          <w:sz w:val="24"/>
          <w:szCs w:val="24"/>
          <w:lang w:val="en-US"/>
        </w:rPr>
        <w:t xml:space="preserve">(2), 299–303. </w:t>
      </w:r>
      <w:hyperlink r:id="rId23">
        <w:r w:rsidR="00BA0599">
          <w:rPr>
            <w:rStyle w:val="Hyperlink"/>
            <w:rFonts w:ascii="Times New Roman" w:eastAsia="Times New Roman" w:hAnsi="Times New Roman" w:cs="Times New Roman"/>
            <w:color w:val="0000FF"/>
            <w:sz w:val="24"/>
            <w:szCs w:val="24"/>
            <w:lang w:val="en-US"/>
          </w:rPr>
          <w:t>https://doi.org/10.1016/j.bbrc.2008.07.011</w:t>
        </w:r>
      </w:hyperlink>
    </w:p>
    <w:p w14:paraId="6FAC083D" w14:textId="77777777" w:rsidR="00BA0599" w:rsidRDefault="00000000">
      <w:pPr>
        <w:spacing w:before="280" w:after="280" w:line="240" w:lineRule="auto"/>
        <w:ind w:left="540" w:hanging="540"/>
        <w:jc w:val="both"/>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 xml:space="preserve">Kuo, C. L., Chou, H. Y., Chiu, Y. C., Cheng, A. N., Fan, C. C., Chang, Y. N., Chen, C. H., Jiang, S. S., Chen, N. J., &amp; Lee, A. Y. L. (2020). Mitochondrial oxidative stress by Lon-PYCR1 maintains an immunosuppressive tumor microenvironment that promotes cancer progression and metastasis. </w:t>
      </w:r>
      <w:r>
        <w:rPr>
          <w:rFonts w:ascii="Times New Roman" w:eastAsia="Times New Roman" w:hAnsi="Times New Roman" w:cs="Times New Roman"/>
          <w:i/>
          <w:iCs/>
          <w:sz w:val="24"/>
          <w:szCs w:val="24"/>
          <w:lang w:val="en-US"/>
        </w:rPr>
        <w:t>Cancer Letters, 474</w:t>
      </w:r>
      <w:r>
        <w:rPr>
          <w:rFonts w:ascii="Times New Roman" w:eastAsia="Times New Roman" w:hAnsi="Times New Roman" w:cs="Times New Roman"/>
          <w:sz w:val="24"/>
          <w:szCs w:val="24"/>
          <w:lang w:val="en-US"/>
        </w:rPr>
        <w:t xml:space="preserve">, 138–150. </w:t>
      </w:r>
      <w:hyperlink r:id="rId24">
        <w:r w:rsidR="00BA0599">
          <w:rPr>
            <w:rStyle w:val="Hyperlink"/>
            <w:rFonts w:ascii="Times New Roman" w:eastAsia="Times New Roman" w:hAnsi="Times New Roman" w:cs="Times New Roman"/>
            <w:color w:val="0000FF"/>
            <w:sz w:val="24"/>
            <w:szCs w:val="24"/>
            <w:lang w:val="en-US"/>
          </w:rPr>
          <w:t>https://doi.org/10.1016/j.canlet.2020.01.019</w:t>
        </w:r>
      </w:hyperlink>
    </w:p>
    <w:p w14:paraId="35C4F6B6" w14:textId="77777777" w:rsidR="00BA0599" w:rsidRDefault="00000000">
      <w:pPr>
        <w:spacing w:before="280" w:after="280" w:line="240" w:lineRule="auto"/>
        <w:ind w:left="540" w:hanging="540"/>
        <w:jc w:val="both"/>
        <w:rPr>
          <w:rFonts w:ascii="Times New Roman" w:eastAsia="Times New Roman" w:hAnsi="Times New Roman" w:cs="Times New Roman"/>
          <w:sz w:val="24"/>
          <w:szCs w:val="24"/>
          <w:lang w:val="en-US"/>
        </w:rPr>
      </w:pPr>
      <w:r>
        <w:rPr>
          <w:rFonts w:ascii="Times New Roman" w:hAnsi="Times New Roman"/>
          <w:b/>
          <w:sz w:val="24"/>
          <w:highlight w:val="yellow"/>
        </w:rPr>
        <w:t xml:space="preserve">Marcel, H., </w:t>
      </w:r>
      <w:proofErr w:type="spellStart"/>
      <w:r>
        <w:rPr>
          <w:rFonts w:ascii="Times New Roman" w:hAnsi="Times New Roman"/>
          <w:b/>
          <w:sz w:val="24"/>
          <w:highlight w:val="yellow"/>
        </w:rPr>
        <w:t>Durodola</w:t>
      </w:r>
      <w:proofErr w:type="spellEnd"/>
      <w:r>
        <w:rPr>
          <w:rFonts w:ascii="Times New Roman" w:hAnsi="Times New Roman"/>
          <w:b/>
          <w:sz w:val="24"/>
          <w:highlight w:val="yellow"/>
        </w:rPr>
        <w:t xml:space="preserve">, T. A., Idowu, D. A., </w:t>
      </w:r>
      <w:proofErr w:type="spellStart"/>
      <w:r>
        <w:rPr>
          <w:rFonts w:ascii="Times New Roman" w:hAnsi="Times New Roman"/>
          <w:b/>
          <w:sz w:val="24"/>
          <w:highlight w:val="yellow"/>
        </w:rPr>
        <w:t>Larweh</w:t>
      </w:r>
      <w:proofErr w:type="spellEnd"/>
      <w:r>
        <w:rPr>
          <w:rFonts w:ascii="Times New Roman" w:hAnsi="Times New Roman"/>
          <w:b/>
          <w:sz w:val="24"/>
          <w:highlight w:val="yellow"/>
        </w:rPr>
        <w:t xml:space="preserve">, B. M., Idoko, A., Giwa, H. J., </w:t>
      </w:r>
      <w:proofErr w:type="spellStart"/>
      <w:r>
        <w:rPr>
          <w:rFonts w:ascii="Times New Roman" w:hAnsi="Times New Roman"/>
          <w:b/>
          <w:sz w:val="24"/>
          <w:highlight w:val="yellow"/>
        </w:rPr>
        <w:t>Igiekhumhe</w:t>
      </w:r>
      <w:proofErr w:type="spellEnd"/>
      <w:r>
        <w:rPr>
          <w:rFonts w:ascii="Times New Roman" w:hAnsi="Times New Roman"/>
          <w:b/>
          <w:sz w:val="24"/>
          <w:highlight w:val="yellow"/>
        </w:rPr>
        <w:t xml:space="preserve">, O. G., &amp; Oko, E. O. (2025). Antioxidant phytochemicals in environmental toxicology: Protective roles against oxidative stress from pollutants and heavy metals. </w:t>
      </w:r>
      <w:r>
        <w:rPr>
          <w:rFonts w:ascii="Times New Roman" w:hAnsi="Times New Roman"/>
          <w:b/>
          <w:i/>
          <w:sz w:val="24"/>
          <w:highlight w:val="yellow"/>
        </w:rPr>
        <w:t>Journal of Biology and Nature, 17</w:t>
      </w:r>
      <w:r>
        <w:rPr>
          <w:rFonts w:ascii="Times New Roman" w:hAnsi="Times New Roman"/>
          <w:b/>
          <w:sz w:val="24"/>
          <w:highlight w:val="yellow"/>
        </w:rPr>
        <w:t>(2), 614–631. https://doi.org/10.56557/joban/2025/v17i29878</w:t>
      </w:r>
    </w:p>
    <w:p w14:paraId="603962FB" w14:textId="77777777" w:rsidR="00BA0599" w:rsidRDefault="00000000">
      <w:pPr>
        <w:spacing w:before="280" w:after="280" w:line="240" w:lineRule="auto"/>
        <w:ind w:left="540" w:hanging="540"/>
        <w:jc w:val="both"/>
        <w:rPr>
          <w:rFonts w:ascii="Times New Roman" w:eastAsia="Times New Roman" w:hAnsi="Times New Roman" w:cs="Times New Roman"/>
          <w:sz w:val="24"/>
          <w:szCs w:val="24"/>
          <w:lang w:val="en-US"/>
        </w:rPr>
      </w:pPr>
      <w:proofErr w:type="spellStart"/>
      <w:r>
        <w:rPr>
          <w:rFonts w:ascii="Times New Roman" w:eastAsia="Times New Roman" w:hAnsi="Times New Roman" w:cs="Times New Roman"/>
          <w:sz w:val="24"/>
          <w:szCs w:val="24"/>
          <w:lang w:val="en-US"/>
        </w:rPr>
        <w:t>Neckameyer</w:t>
      </w:r>
      <w:proofErr w:type="spellEnd"/>
      <w:r>
        <w:rPr>
          <w:rFonts w:ascii="Times New Roman" w:eastAsia="Times New Roman" w:hAnsi="Times New Roman" w:cs="Times New Roman"/>
          <w:sz w:val="24"/>
          <w:szCs w:val="24"/>
          <w:lang w:val="en-US"/>
        </w:rPr>
        <w:t xml:space="preserve">, W. S., &amp; Bhatt, P. (2016). Protocols to study behavior in </w:t>
      </w:r>
      <w:r>
        <w:rPr>
          <w:rFonts w:ascii="Times New Roman" w:eastAsia="Times New Roman" w:hAnsi="Times New Roman" w:cs="Times New Roman"/>
          <w:i/>
          <w:iCs/>
          <w:sz w:val="24"/>
          <w:szCs w:val="24"/>
          <w:lang w:val="en-US"/>
        </w:rPr>
        <w:t>Drosophila</w:t>
      </w:r>
      <w:r>
        <w:rPr>
          <w:rFonts w:ascii="Times New Roman" w:eastAsia="Times New Roman" w:hAnsi="Times New Roman" w:cs="Times New Roman"/>
          <w:sz w:val="24"/>
          <w:szCs w:val="24"/>
          <w:lang w:val="en-US"/>
        </w:rPr>
        <w:t xml:space="preserve">. In C. </w:t>
      </w:r>
      <w:proofErr w:type="spellStart"/>
      <w:r>
        <w:rPr>
          <w:rFonts w:ascii="Times New Roman" w:eastAsia="Times New Roman" w:hAnsi="Times New Roman" w:cs="Times New Roman"/>
          <w:sz w:val="24"/>
          <w:szCs w:val="24"/>
          <w:lang w:val="en-US"/>
        </w:rPr>
        <w:t>Dahmann</w:t>
      </w:r>
      <w:proofErr w:type="spellEnd"/>
      <w:r>
        <w:rPr>
          <w:rFonts w:ascii="Times New Roman" w:eastAsia="Times New Roman" w:hAnsi="Times New Roman" w:cs="Times New Roman"/>
          <w:sz w:val="24"/>
          <w:szCs w:val="24"/>
          <w:lang w:val="en-US"/>
        </w:rPr>
        <w:t xml:space="preserve"> (Ed.), </w:t>
      </w:r>
      <w:r>
        <w:rPr>
          <w:rFonts w:ascii="Times New Roman" w:eastAsia="Times New Roman" w:hAnsi="Times New Roman" w:cs="Times New Roman"/>
          <w:i/>
          <w:iCs/>
          <w:sz w:val="24"/>
          <w:szCs w:val="24"/>
          <w:lang w:val="en-US"/>
        </w:rPr>
        <w:t>Drosophila: Methods and protocols</w:t>
      </w:r>
      <w:r>
        <w:rPr>
          <w:rFonts w:ascii="Times New Roman" w:eastAsia="Times New Roman" w:hAnsi="Times New Roman" w:cs="Times New Roman"/>
          <w:sz w:val="24"/>
          <w:szCs w:val="24"/>
          <w:lang w:val="en-US"/>
        </w:rPr>
        <w:t xml:space="preserve"> (Methods in Molecular Biology, Vol. 1478, pp. 303–320). Humana Press. </w:t>
      </w:r>
      <w:hyperlink r:id="rId25">
        <w:r w:rsidR="00BA0599">
          <w:rPr>
            <w:rStyle w:val="Hyperlink"/>
            <w:rFonts w:ascii="Times New Roman" w:eastAsia="Times New Roman" w:hAnsi="Times New Roman" w:cs="Times New Roman"/>
            <w:color w:val="0000FF"/>
            <w:sz w:val="24"/>
            <w:szCs w:val="24"/>
            <w:lang w:val="en-US"/>
          </w:rPr>
          <w:t>https://doi.org/10.1007/978-1-4939-6371-3_19</w:t>
        </w:r>
      </w:hyperlink>
    </w:p>
    <w:p w14:paraId="1497203C" w14:textId="77777777" w:rsidR="00BA0599" w:rsidRDefault="00000000">
      <w:pPr>
        <w:spacing w:before="280" w:after="280" w:line="240" w:lineRule="auto"/>
        <w:ind w:left="540" w:hanging="540"/>
        <w:jc w:val="both"/>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lastRenderedPageBreak/>
        <w:t xml:space="preserve">Niehaus, W. G., Jr., &amp; Samuelsson, B. (1968). Formation of malonaldehyde from phospholipid arachidonate during microsomal lipid peroxidation. </w:t>
      </w:r>
      <w:r>
        <w:rPr>
          <w:rFonts w:ascii="Times New Roman" w:eastAsia="Times New Roman" w:hAnsi="Times New Roman" w:cs="Times New Roman"/>
          <w:i/>
          <w:iCs/>
          <w:sz w:val="24"/>
          <w:szCs w:val="24"/>
          <w:lang w:val="en-US"/>
        </w:rPr>
        <w:t>European Journal of Biochemistry, 6</w:t>
      </w:r>
      <w:r>
        <w:rPr>
          <w:rFonts w:ascii="Times New Roman" w:eastAsia="Times New Roman" w:hAnsi="Times New Roman" w:cs="Times New Roman"/>
          <w:sz w:val="24"/>
          <w:szCs w:val="24"/>
          <w:lang w:val="en-US"/>
        </w:rPr>
        <w:t xml:space="preserve">(1), 126–130. </w:t>
      </w:r>
      <w:hyperlink r:id="rId26">
        <w:r w:rsidR="00BA0599">
          <w:rPr>
            <w:rStyle w:val="Hyperlink"/>
            <w:rFonts w:ascii="Times New Roman" w:eastAsia="Times New Roman" w:hAnsi="Times New Roman" w:cs="Times New Roman"/>
            <w:color w:val="0000FF"/>
            <w:sz w:val="24"/>
            <w:szCs w:val="24"/>
            <w:lang w:val="en-US"/>
          </w:rPr>
          <w:t>https://doi.org/10.1111/j.1432-1033.1968.tb00428.x</w:t>
        </w:r>
      </w:hyperlink>
    </w:p>
    <w:p w14:paraId="04BC6A9A" w14:textId="77777777" w:rsidR="00BA0599" w:rsidRDefault="00000000">
      <w:pPr>
        <w:spacing w:before="280" w:after="280" w:line="240" w:lineRule="auto"/>
        <w:ind w:left="540" w:hanging="540"/>
        <w:jc w:val="both"/>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 xml:space="preserve">Pray, L. (2008). Discovery of DNA structure and function: Watson and Crick. </w:t>
      </w:r>
      <w:r>
        <w:rPr>
          <w:rFonts w:ascii="Times New Roman" w:eastAsia="Times New Roman" w:hAnsi="Times New Roman" w:cs="Times New Roman"/>
          <w:i/>
          <w:iCs/>
          <w:sz w:val="24"/>
          <w:szCs w:val="24"/>
          <w:lang w:val="en-US"/>
        </w:rPr>
        <w:t>Nature Education, 1</w:t>
      </w:r>
      <w:r>
        <w:rPr>
          <w:rFonts w:ascii="Times New Roman" w:eastAsia="Times New Roman" w:hAnsi="Times New Roman" w:cs="Times New Roman"/>
          <w:sz w:val="24"/>
          <w:szCs w:val="24"/>
          <w:lang w:val="en-US"/>
        </w:rPr>
        <w:t xml:space="preserve">(1), 100. </w:t>
      </w:r>
      <w:hyperlink r:id="rId27">
        <w:r w:rsidR="00BA0599">
          <w:rPr>
            <w:rStyle w:val="Hyperlink"/>
            <w:rFonts w:ascii="Times New Roman" w:eastAsia="Times New Roman" w:hAnsi="Times New Roman" w:cs="Times New Roman"/>
            <w:color w:val="0000FF"/>
            <w:sz w:val="24"/>
            <w:szCs w:val="24"/>
            <w:lang w:val="en-US"/>
          </w:rPr>
          <w:t>https://www.nature.com/scitable/topicpage/discovery-of-dna-structure-and-function-watson-397/</w:t>
        </w:r>
      </w:hyperlink>
    </w:p>
    <w:p w14:paraId="4B525064" w14:textId="77777777" w:rsidR="00BA0599" w:rsidRDefault="00000000">
      <w:pPr>
        <w:spacing w:before="280" w:after="280" w:line="240" w:lineRule="auto"/>
        <w:ind w:left="540" w:hanging="540"/>
        <w:jc w:val="both"/>
        <w:rPr>
          <w:rFonts w:ascii="Times New Roman" w:eastAsia="Times New Roman" w:hAnsi="Times New Roman" w:cs="Times New Roman"/>
          <w:sz w:val="24"/>
          <w:szCs w:val="24"/>
          <w:lang w:val="en-US"/>
        </w:rPr>
      </w:pPr>
      <w:proofErr w:type="spellStart"/>
      <w:r>
        <w:rPr>
          <w:rFonts w:ascii="Times New Roman" w:eastAsia="Times New Roman" w:hAnsi="Times New Roman" w:cs="Times New Roman"/>
          <w:sz w:val="24"/>
          <w:szCs w:val="24"/>
          <w:lang w:val="en-US"/>
        </w:rPr>
        <w:t>Ravanat</w:t>
      </w:r>
      <w:proofErr w:type="spellEnd"/>
      <w:r>
        <w:rPr>
          <w:rFonts w:ascii="Times New Roman" w:eastAsia="Times New Roman" w:hAnsi="Times New Roman" w:cs="Times New Roman"/>
          <w:sz w:val="24"/>
          <w:szCs w:val="24"/>
          <w:lang w:val="en-US"/>
        </w:rPr>
        <w:t xml:space="preserve">, J. L., </w:t>
      </w:r>
      <w:proofErr w:type="spellStart"/>
      <w:r>
        <w:rPr>
          <w:rFonts w:ascii="Times New Roman" w:eastAsia="Times New Roman" w:hAnsi="Times New Roman" w:cs="Times New Roman"/>
          <w:sz w:val="24"/>
          <w:szCs w:val="24"/>
          <w:lang w:val="en-US"/>
        </w:rPr>
        <w:t>Douki</w:t>
      </w:r>
      <w:proofErr w:type="spellEnd"/>
      <w:r>
        <w:rPr>
          <w:rFonts w:ascii="Times New Roman" w:eastAsia="Times New Roman" w:hAnsi="Times New Roman" w:cs="Times New Roman"/>
          <w:sz w:val="24"/>
          <w:szCs w:val="24"/>
          <w:lang w:val="en-US"/>
        </w:rPr>
        <w:t xml:space="preserve">, T., &amp; Cadet, J. (2001). Direct and indirect effects of UV radiation on DNA and its components. </w:t>
      </w:r>
      <w:r>
        <w:rPr>
          <w:rFonts w:ascii="Times New Roman" w:eastAsia="Times New Roman" w:hAnsi="Times New Roman" w:cs="Times New Roman"/>
          <w:i/>
          <w:iCs/>
          <w:sz w:val="24"/>
          <w:szCs w:val="24"/>
          <w:lang w:val="en-US"/>
        </w:rPr>
        <w:t>Journal of Photochemistry and Photobiology B: Biology, 63</w:t>
      </w:r>
      <w:r>
        <w:rPr>
          <w:rFonts w:ascii="Times New Roman" w:eastAsia="Times New Roman" w:hAnsi="Times New Roman" w:cs="Times New Roman"/>
          <w:sz w:val="24"/>
          <w:szCs w:val="24"/>
          <w:lang w:val="en-US"/>
        </w:rPr>
        <w:t xml:space="preserve">(1–3), 88–102. </w:t>
      </w:r>
      <w:hyperlink r:id="rId28">
        <w:r w:rsidR="00BA0599">
          <w:rPr>
            <w:rStyle w:val="Hyperlink"/>
            <w:rFonts w:ascii="Times New Roman" w:eastAsia="Times New Roman" w:hAnsi="Times New Roman" w:cs="Times New Roman"/>
            <w:color w:val="0000FF"/>
            <w:sz w:val="24"/>
            <w:szCs w:val="24"/>
            <w:lang w:val="en-US"/>
          </w:rPr>
          <w:t>https://doi.org/10.1016/S1011-1344(01)00206-8</w:t>
        </w:r>
      </w:hyperlink>
    </w:p>
    <w:p w14:paraId="2FE2D9E1" w14:textId="77777777" w:rsidR="00BA0599" w:rsidRDefault="00000000">
      <w:pPr>
        <w:spacing w:before="280" w:after="280" w:line="240" w:lineRule="auto"/>
        <w:ind w:left="540" w:hanging="540"/>
        <w:jc w:val="both"/>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Silveira, T. F. F., Souza, T. C., Carvalho, A. V., Ribeiro, A. B., Kuhnle, G. G. C., &amp; Godoy, H. T. (2017). White açaí juice (</w:t>
      </w:r>
      <w:r>
        <w:rPr>
          <w:rFonts w:ascii="Times New Roman" w:eastAsia="Times New Roman" w:hAnsi="Times New Roman" w:cs="Times New Roman"/>
          <w:i/>
          <w:iCs/>
          <w:sz w:val="24"/>
          <w:szCs w:val="24"/>
          <w:lang w:val="en-US"/>
        </w:rPr>
        <w:t>Euterpe oleracea</w:t>
      </w:r>
      <w:r>
        <w:rPr>
          <w:rFonts w:ascii="Times New Roman" w:eastAsia="Times New Roman" w:hAnsi="Times New Roman" w:cs="Times New Roman"/>
          <w:sz w:val="24"/>
          <w:szCs w:val="24"/>
          <w:lang w:val="en-US"/>
        </w:rPr>
        <w:t xml:space="preserve">): Phenolic composition by LC-ESI-MS/MS, antioxidant capacity and inhibition effect on the formation of colorectal cancer related compounds. </w:t>
      </w:r>
      <w:r>
        <w:rPr>
          <w:rFonts w:ascii="Times New Roman" w:eastAsia="Times New Roman" w:hAnsi="Times New Roman" w:cs="Times New Roman"/>
          <w:i/>
          <w:iCs/>
          <w:sz w:val="24"/>
          <w:szCs w:val="24"/>
          <w:lang w:val="en-US"/>
        </w:rPr>
        <w:t>Journal of Functional Foods, 36</w:t>
      </w:r>
      <w:r>
        <w:rPr>
          <w:rFonts w:ascii="Times New Roman" w:eastAsia="Times New Roman" w:hAnsi="Times New Roman" w:cs="Times New Roman"/>
          <w:sz w:val="24"/>
          <w:szCs w:val="24"/>
          <w:lang w:val="en-US"/>
        </w:rPr>
        <w:t xml:space="preserve">, 215–223. </w:t>
      </w:r>
      <w:hyperlink r:id="rId29">
        <w:r w:rsidR="00BA0599">
          <w:rPr>
            <w:rStyle w:val="Hyperlink"/>
            <w:rFonts w:ascii="Times New Roman" w:eastAsia="Times New Roman" w:hAnsi="Times New Roman" w:cs="Times New Roman"/>
            <w:color w:val="0000FF"/>
            <w:sz w:val="24"/>
            <w:szCs w:val="24"/>
            <w:lang w:val="en-US"/>
          </w:rPr>
          <w:t>https://doi.org/10.1016/j.jff.2017.07.001</w:t>
        </w:r>
      </w:hyperlink>
    </w:p>
    <w:p w14:paraId="2CCD6681" w14:textId="77777777" w:rsidR="00BA0599" w:rsidRDefault="00000000">
      <w:pPr>
        <w:spacing w:before="280" w:after="280" w:line="240" w:lineRule="auto"/>
        <w:ind w:left="540" w:hanging="540"/>
        <w:jc w:val="both"/>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 xml:space="preserve">Sinha, R. P., &amp; </w:t>
      </w:r>
      <w:proofErr w:type="spellStart"/>
      <w:r>
        <w:rPr>
          <w:rFonts w:ascii="Times New Roman" w:eastAsia="Times New Roman" w:hAnsi="Times New Roman" w:cs="Times New Roman"/>
          <w:sz w:val="24"/>
          <w:szCs w:val="24"/>
          <w:lang w:val="en-US"/>
        </w:rPr>
        <w:t>Häder</w:t>
      </w:r>
      <w:proofErr w:type="spellEnd"/>
      <w:r>
        <w:rPr>
          <w:rFonts w:ascii="Times New Roman" w:eastAsia="Times New Roman" w:hAnsi="Times New Roman" w:cs="Times New Roman"/>
          <w:sz w:val="24"/>
          <w:szCs w:val="24"/>
          <w:lang w:val="en-US"/>
        </w:rPr>
        <w:t xml:space="preserve">, D. P. (2002). UV-induced DNA damage and repair: A review. </w:t>
      </w:r>
      <w:r>
        <w:rPr>
          <w:rFonts w:ascii="Times New Roman" w:eastAsia="Times New Roman" w:hAnsi="Times New Roman" w:cs="Times New Roman"/>
          <w:i/>
          <w:iCs/>
          <w:sz w:val="24"/>
          <w:szCs w:val="24"/>
          <w:lang w:val="en-US"/>
        </w:rPr>
        <w:t>Photochemical &amp; Photobiological Sciences, 1</w:t>
      </w:r>
      <w:r>
        <w:rPr>
          <w:rFonts w:ascii="Times New Roman" w:eastAsia="Times New Roman" w:hAnsi="Times New Roman" w:cs="Times New Roman"/>
          <w:sz w:val="24"/>
          <w:szCs w:val="24"/>
          <w:lang w:val="en-US"/>
        </w:rPr>
        <w:t xml:space="preserve">(4), 225–236. </w:t>
      </w:r>
      <w:hyperlink r:id="rId30">
        <w:r w:rsidR="00BA0599">
          <w:rPr>
            <w:rStyle w:val="Hyperlink"/>
            <w:rFonts w:ascii="Times New Roman" w:eastAsia="Times New Roman" w:hAnsi="Times New Roman" w:cs="Times New Roman"/>
            <w:color w:val="0000FF"/>
            <w:sz w:val="24"/>
            <w:szCs w:val="24"/>
            <w:lang w:val="en-US"/>
          </w:rPr>
          <w:t>https://doi.org/10.1039/b201230h</w:t>
        </w:r>
      </w:hyperlink>
    </w:p>
    <w:p w14:paraId="5EE22D91" w14:textId="77777777" w:rsidR="00BA0599" w:rsidRDefault="00000000">
      <w:pPr>
        <w:spacing w:before="280" w:after="280" w:line="240" w:lineRule="auto"/>
        <w:ind w:left="540" w:hanging="540"/>
        <w:jc w:val="both"/>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 xml:space="preserve">Subramanian, P., Prasanna, V., Jayapalan, J. J., Abdul Rahman, P. S., &amp; Hashim, O. H. (2014). Role of </w:t>
      </w:r>
      <w:r>
        <w:rPr>
          <w:rFonts w:ascii="Times New Roman" w:eastAsia="Times New Roman" w:hAnsi="Times New Roman" w:cs="Times New Roman"/>
          <w:i/>
          <w:iCs/>
          <w:sz w:val="24"/>
          <w:szCs w:val="24"/>
          <w:lang w:val="en-US"/>
        </w:rPr>
        <w:t xml:space="preserve">Bacopa </w:t>
      </w:r>
      <w:proofErr w:type="spellStart"/>
      <w:r>
        <w:rPr>
          <w:rFonts w:ascii="Times New Roman" w:eastAsia="Times New Roman" w:hAnsi="Times New Roman" w:cs="Times New Roman"/>
          <w:i/>
          <w:iCs/>
          <w:sz w:val="24"/>
          <w:szCs w:val="24"/>
          <w:lang w:val="en-US"/>
        </w:rPr>
        <w:t>monnieri</w:t>
      </w:r>
      <w:proofErr w:type="spellEnd"/>
      <w:r>
        <w:rPr>
          <w:rFonts w:ascii="Times New Roman" w:eastAsia="Times New Roman" w:hAnsi="Times New Roman" w:cs="Times New Roman"/>
          <w:sz w:val="24"/>
          <w:szCs w:val="24"/>
          <w:lang w:val="en-US"/>
        </w:rPr>
        <w:t xml:space="preserve"> in the temporal regulation of oxidative stress in clock mutant (</w:t>
      </w:r>
      <w:proofErr w:type="spellStart"/>
      <w:r>
        <w:rPr>
          <w:rFonts w:ascii="Times New Roman" w:eastAsia="Times New Roman" w:hAnsi="Times New Roman" w:cs="Times New Roman"/>
          <w:sz w:val="24"/>
          <w:szCs w:val="24"/>
          <w:lang w:val="en-US"/>
        </w:rPr>
        <w:t>cryb</w:t>
      </w:r>
      <w:proofErr w:type="spellEnd"/>
      <w:r>
        <w:rPr>
          <w:rFonts w:ascii="Times New Roman" w:eastAsia="Times New Roman" w:hAnsi="Times New Roman" w:cs="Times New Roman"/>
          <w:sz w:val="24"/>
          <w:szCs w:val="24"/>
          <w:lang w:val="en-US"/>
        </w:rPr>
        <w:t xml:space="preserve">) of </w:t>
      </w:r>
      <w:r>
        <w:rPr>
          <w:rFonts w:ascii="Times New Roman" w:eastAsia="Times New Roman" w:hAnsi="Times New Roman" w:cs="Times New Roman"/>
          <w:i/>
          <w:iCs/>
          <w:sz w:val="24"/>
          <w:szCs w:val="24"/>
          <w:lang w:val="en-US"/>
        </w:rPr>
        <w:t>Drosophila melanogaster</w:t>
      </w:r>
      <w:r>
        <w:rPr>
          <w:rFonts w:ascii="Times New Roman" w:eastAsia="Times New Roman" w:hAnsi="Times New Roman" w:cs="Times New Roman"/>
          <w:sz w:val="24"/>
          <w:szCs w:val="24"/>
          <w:lang w:val="en-US"/>
        </w:rPr>
        <w:t xml:space="preserve">. </w:t>
      </w:r>
      <w:r>
        <w:rPr>
          <w:rFonts w:ascii="Times New Roman" w:eastAsia="Times New Roman" w:hAnsi="Times New Roman" w:cs="Times New Roman"/>
          <w:i/>
          <w:iCs/>
          <w:sz w:val="24"/>
          <w:szCs w:val="24"/>
          <w:lang w:val="en-US"/>
        </w:rPr>
        <w:t>Journal of Insect Physiology, 65</w:t>
      </w:r>
      <w:r>
        <w:rPr>
          <w:rFonts w:ascii="Times New Roman" w:eastAsia="Times New Roman" w:hAnsi="Times New Roman" w:cs="Times New Roman"/>
          <w:sz w:val="24"/>
          <w:szCs w:val="24"/>
          <w:lang w:val="en-US"/>
        </w:rPr>
        <w:t xml:space="preserve">, 37–44. </w:t>
      </w:r>
      <w:hyperlink r:id="rId31">
        <w:r w:rsidR="00BA0599">
          <w:rPr>
            <w:rStyle w:val="Hyperlink"/>
            <w:rFonts w:ascii="Times New Roman" w:eastAsia="Times New Roman" w:hAnsi="Times New Roman" w:cs="Times New Roman"/>
            <w:color w:val="0000FF"/>
            <w:sz w:val="24"/>
            <w:szCs w:val="24"/>
            <w:lang w:val="en-US"/>
          </w:rPr>
          <w:t>https://doi.org/10.1016/j.jinsphys.2014.04.005</w:t>
        </w:r>
      </w:hyperlink>
    </w:p>
    <w:p w14:paraId="25FAF130" w14:textId="77777777" w:rsidR="00BA0599" w:rsidRDefault="00000000">
      <w:pPr>
        <w:spacing w:before="280" w:after="280" w:line="240" w:lineRule="auto"/>
        <w:ind w:left="540" w:hanging="540"/>
        <w:jc w:val="both"/>
        <w:rPr>
          <w:rFonts w:ascii="Times New Roman" w:eastAsia="Times New Roman" w:hAnsi="Times New Roman" w:cs="Times New Roman"/>
          <w:sz w:val="24"/>
          <w:szCs w:val="24"/>
          <w:lang w:val="en-US"/>
        </w:rPr>
      </w:pPr>
      <w:proofErr w:type="spellStart"/>
      <w:r>
        <w:rPr>
          <w:rFonts w:ascii="Times New Roman" w:eastAsia="Times New Roman" w:hAnsi="Times New Roman" w:cs="Times New Roman"/>
          <w:sz w:val="24"/>
          <w:szCs w:val="24"/>
          <w:lang w:val="en-US"/>
        </w:rPr>
        <w:t>Taqvi</w:t>
      </w:r>
      <w:proofErr w:type="spellEnd"/>
      <w:r>
        <w:rPr>
          <w:rFonts w:ascii="Times New Roman" w:eastAsia="Times New Roman" w:hAnsi="Times New Roman" w:cs="Times New Roman"/>
          <w:sz w:val="24"/>
          <w:szCs w:val="24"/>
          <w:lang w:val="en-US"/>
        </w:rPr>
        <w:t xml:space="preserve">, S., Bhat, E. A., Sajjad, N., Sabir, J. S. M., Qureshi, A., Rather, I. A., &amp; Rehman, S. (2021). Protective effect of vanillic acid in hydrogen peroxide-induced oxidative stress in </w:t>
      </w:r>
      <w:proofErr w:type="gramStart"/>
      <w:r>
        <w:rPr>
          <w:rFonts w:ascii="Times New Roman" w:eastAsia="Times New Roman" w:hAnsi="Times New Roman" w:cs="Times New Roman"/>
          <w:sz w:val="24"/>
          <w:szCs w:val="24"/>
          <w:lang w:val="en-US"/>
        </w:rPr>
        <w:t>D.Mel</w:t>
      </w:r>
      <w:proofErr w:type="gramEnd"/>
      <w:r>
        <w:rPr>
          <w:rFonts w:ascii="Times New Roman" w:eastAsia="Times New Roman" w:hAnsi="Times New Roman" w:cs="Times New Roman"/>
          <w:sz w:val="24"/>
          <w:szCs w:val="24"/>
          <w:lang w:val="en-US"/>
        </w:rPr>
        <w:t xml:space="preserve">-2 cell line. </w:t>
      </w:r>
      <w:r>
        <w:rPr>
          <w:rFonts w:ascii="Times New Roman" w:eastAsia="Times New Roman" w:hAnsi="Times New Roman" w:cs="Times New Roman"/>
          <w:i/>
          <w:iCs/>
          <w:sz w:val="24"/>
          <w:szCs w:val="24"/>
          <w:lang w:val="en-US"/>
        </w:rPr>
        <w:t>Saudi Journal of Biological Sciences, 28</w:t>
      </w:r>
      <w:r>
        <w:rPr>
          <w:rFonts w:ascii="Times New Roman" w:eastAsia="Times New Roman" w:hAnsi="Times New Roman" w:cs="Times New Roman"/>
          <w:sz w:val="24"/>
          <w:szCs w:val="24"/>
          <w:lang w:val="en-US"/>
        </w:rPr>
        <w:t xml:space="preserve">(3), 1795–1800. </w:t>
      </w:r>
      <w:hyperlink r:id="rId32">
        <w:r w:rsidR="00BA0599">
          <w:rPr>
            <w:rStyle w:val="Hyperlink"/>
            <w:rFonts w:ascii="Times New Roman" w:eastAsia="Times New Roman" w:hAnsi="Times New Roman" w:cs="Times New Roman"/>
            <w:color w:val="0000FF"/>
            <w:sz w:val="24"/>
            <w:szCs w:val="24"/>
            <w:lang w:val="en-US"/>
          </w:rPr>
          <w:t>https://doi.org/10.1016/j.sjbs.2020.12.023</w:t>
        </w:r>
      </w:hyperlink>
    </w:p>
    <w:p w14:paraId="27038C4A" w14:textId="77777777" w:rsidR="00BA0599" w:rsidRDefault="00000000">
      <w:pPr>
        <w:spacing w:before="280" w:after="280" w:line="240" w:lineRule="auto"/>
        <w:ind w:left="540" w:hanging="540"/>
        <w:jc w:val="both"/>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 xml:space="preserve">Tickoo, S., &amp; Russell, S. (2002). </w:t>
      </w:r>
      <w:r>
        <w:rPr>
          <w:rFonts w:ascii="Times New Roman" w:eastAsia="Times New Roman" w:hAnsi="Times New Roman" w:cs="Times New Roman"/>
          <w:i/>
          <w:iCs/>
          <w:sz w:val="24"/>
          <w:szCs w:val="24"/>
          <w:lang w:val="en-US"/>
        </w:rPr>
        <w:t>Drosophila melanogaster</w:t>
      </w:r>
      <w:r>
        <w:rPr>
          <w:rFonts w:ascii="Times New Roman" w:eastAsia="Times New Roman" w:hAnsi="Times New Roman" w:cs="Times New Roman"/>
          <w:sz w:val="24"/>
          <w:szCs w:val="24"/>
          <w:lang w:val="en-US"/>
        </w:rPr>
        <w:t xml:space="preserve"> as a model system for drug discovery and pathway screening. </w:t>
      </w:r>
      <w:r>
        <w:rPr>
          <w:rFonts w:ascii="Times New Roman" w:eastAsia="Times New Roman" w:hAnsi="Times New Roman" w:cs="Times New Roman"/>
          <w:i/>
          <w:iCs/>
          <w:sz w:val="24"/>
          <w:szCs w:val="24"/>
          <w:lang w:val="en-US"/>
        </w:rPr>
        <w:t>Current Opinion in Pharmacology, 2</w:t>
      </w:r>
      <w:r>
        <w:rPr>
          <w:rFonts w:ascii="Times New Roman" w:eastAsia="Times New Roman" w:hAnsi="Times New Roman" w:cs="Times New Roman"/>
          <w:sz w:val="24"/>
          <w:szCs w:val="24"/>
          <w:lang w:val="en-US"/>
        </w:rPr>
        <w:t xml:space="preserve">(5), 555–560. </w:t>
      </w:r>
      <w:hyperlink r:id="rId33">
        <w:r w:rsidR="00BA0599">
          <w:rPr>
            <w:rStyle w:val="Hyperlink"/>
            <w:rFonts w:ascii="Times New Roman" w:eastAsia="Times New Roman" w:hAnsi="Times New Roman" w:cs="Times New Roman"/>
            <w:color w:val="0000FF"/>
            <w:sz w:val="24"/>
            <w:szCs w:val="24"/>
            <w:lang w:val="en-US"/>
          </w:rPr>
          <w:t>https://doi.org/10.1016/S1471-4892(02)00206-0</w:t>
        </w:r>
      </w:hyperlink>
    </w:p>
    <w:p w14:paraId="4E29C228" w14:textId="77777777" w:rsidR="00BA0599" w:rsidRDefault="00000000">
      <w:pPr>
        <w:spacing w:before="280" w:after="280" w:line="240" w:lineRule="auto"/>
        <w:ind w:left="540" w:hanging="540"/>
        <w:jc w:val="both"/>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 xml:space="preserve">Toraman, E., &amp; Karaman, M. (2024). Investigation of the effects of maleic acid and vanillic acid on copper toxicity in the </w:t>
      </w:r>
      <w:r>
        <w:rPr>
          <w:rFonts w:ascii="Times New Roman" w:eastAsia="Times New Roman" w:hAnsi="Times New Roman" w:cs="Times New Roman"/>
          <w:i/>
          <w:iCs/>
          <w:sz w:val="24"/>
          <w:szCs w:val="24"/>
          <w:lang w:val="en-US"/>
        </w:rPr>
        <w:t>Drosophila melanogaster</w:t>
      </w:r>
      <w:r>
        <w:rPr>
          <w:rFonts w:ascii="Times New Roman" w:eastAsia="Times New Roman" w:hAnsi="Times New Roman" w:cs="Times New Roman"/>
          <w:sz w:val="24"/>
          <w:szCs w:val="24"/>
          <w:lang w:val="en-US"/>
        </w:rPr>
        <w:t xml:space="preserve"> model. </w:t>
      </w:r>
      <w:r>
        <w:rPr>
          <w:rFonts w:ascii="Times New Roman" w:eastAsia="Times New Roman" w:hAnsi="Times New Roman" w:cs="Times New Roman"/>
          <w:i/>
          <w:iCs/>
          <w:sz w:val="24"/>
          <w:szCs w:val="24"/>
          <w:lang w:val="en-US"/>
        </w:rPr>
        <w:t>Turkish Journal of Nature and Science, 13</w:t>
      </w:r>
      <w:r>
        <w:rPr>
          <w:rFonts w:ascii="Times New Roman" w:eastAsia="Times New Roman" w:hAnsi="Times New Roman" w:cs="Times New Roman"/>
          <w:sz w:val="24"/>
          <w:szCs w:val="24"/>
          <w:lang w:val="en-US"/>
        </w:rPr>
        <w:t xml:space="preserve">(3), 148–153. </w:t>
      </w:r>
      <w:hyperlink r:id="rId34">
        <w:r w:rsidR="00BA0599">
          <w:rPr>
            <w:rStyle w:val="Hyperlink"/>
            <w:rFonts w:ascii="Times New Roman" w:eastAsia="Times New Roman" w:hAnsi="Times New Roman" w:cs="Times New Roman"/>
            <w:color w:val="0000FF"/>
            <w:sz w:val="24"/>
            <w:szCs w:val="24"/>
            <w:lang w:val="en-US"/>
          </w:rPr>
          <w:t>https://doi.org/10.46810/tdfd.1454074</w:t>
        </w:r>
      </w:hyperlink>
    </w:p>
    <w:p w14:paraId="330A591D" w14:textId="77777777" w:rsidR="00BA0599" w:rsidRDefault="00000000">
      <w:pPr>
        <w:spacing w:before="280" w:after="280" w:line="240" w:lineRule="auto"/>
        <w:ind w:left="540" w:hanging="540"/>
        <w:jc w:val="both"/>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nl-BE"/>
        </w:rPr>
        <w:t xml:space="preserve">Vang, L. L., Medvedev, A. V., &amp; Adler, J. (2012). </w:t>
      </w:r>
      <w:r>
        <w:rPr>
          <w:rFonts w:ascii="Times New Roman" w:eastAsia="Times New Roman" w:hAnsi="Times New Roman" w:cs="Times New Roman"/>
          <w:sz w:val="24"/>
          <w:szCs w:val="24"/>
          <w:lang w:val="en-US"/>
        </w:rPr>
        <w:t xml:space="preserve">Simple ways to measure behavioral responses of </w:t>
      </w:r>
      <w:r>
        <w:rPr>
          <w:rFonts w:ascii="Times New Roman" w:eastAsia="Times New Roman" w:hAnsi="Times New Roman" w:cs="Times New Roman"/>
          <w:i/>
          <w:iCs/>
          <w:sz w:val="24"/>
          <w:szCs w:val="24"/>
          <w:lang w:val="en-US"/>
        </w:rPr>
        <w:t>Drosophila</w:t>
      </w:r>
      <w:r>
        <w:rPr>
          <w:rFonts w:ascii="Times New Roman" w:eastAsia="Times New Roman" w:hAnsi="Times New Roman" w:cs="Times New Roman"/>
          <w:sz w:val="24"/>
          <w:szCs w:val="24"/>
          <w:lang w:val="en-US"/>
        </w:rPr>
        <w:t xml:space="preserve"> to stimuli and use of these methods to characterize a novel mutant. </w:t>
      </w:r>
      <w:r>
        <w:rPr>
          <w:rFonts w:ascii="Times New Roman" w:eastAsia="Times New Roman" w:hAnsi="Times New Roman" w:cs="Times New Roman"/>
          <w:i/>
          <w:iCs/>
          <w:sz w:val="24"/>
          <w:szCs w:val="24"/>
          <w:lang w:val="en-US"/>
        </w:rPr>
        <w:t>PLOS ONE, 7</w:t>
      </w:r>
      <w:r>
        <w:rPr>
          <w:rFonts w:ascii="Times New Roman" w:eastAsia="Times New Roman" w:hAnsi="Times New Roman" w:cs="Times New Roman"/>
          <w:sz w:val="24"/>
          <w:szCs w:val="24"/>
          <w:lang w:val="en-US"/>
        </w:rPr>
        <w:t xml:space="preserve">(5), e37495. </w:t>
      </w:r>
      <w:hyperlink r:id="rId35">
        <w:r w:rsidR="00BA0599">
          <w:rPr>
            <w:rStyle w:val="Hyperlink"/>
            <w:rFonts w:ascii="Times New Roman" w:eastAsia="Times New Roman" w:hAnsi="Times New Roman" w:cs="Times New Roman"/>
            <w:color w:val="0000FF"/>
            <w:sz w:val="24"/>
            <w:szCs w:val="24"/>
            <w:lang w:val="en-US"/>
          </w:rPr>
          <w:t>https://doi.org/10.1371/journal.pone.0037495</w:t>
        </w:r>
      </w:hyperlink>
    </w:p>
    <w:p w14:paraId="2F098C8C" w14:textId="77777777" w:rsidR="00BA0599" w:rsidRDefault="00000000">
      <w:pPr>
        <w:spacing w:before="280" w:after="280" w:line="240" w:lineRule="auto"/>
        <w:ind w:left="540" w:hanging="540"/>
        <w:jc w:val="both"/>
        <w:rPr>
          <w:rFonts w:ascii="Times New Roman" w:eastAsia="Times New Roman" w:hAnsi="Times New Roman" w:cs="Times New Roman"/>
          <w:sz w:val="24"/>
          <w:szCs w:val="24"/>
          <w:lang w:val="en-US"/>
        </w:rPr>
      </w:pPr>
      <w:r>
        <w:rPr>
          <w:rFonts w:ascii="Times New Roman" w:hAnsi="Times New Roman"/>
          <w:b/>
          <w:sz w:val="24"/>
          <w:highlight w:val="yellow"/>
        </w:rPr>
        <w:t xml:space="preserve">Vijayalakshmi, K. V., Kavya, C., &amp; </w:t>
      </w:r>
      <w:proofErr w:type="spellStart"/>
      <w:r>
        <w:rPr>
          <w:rFonts w:ascii="Times New Roman" w:hAnsi="Times New Roman"/>
          <w:b/>
          <w:sz w:val="24"/>
          <w:highlight w:val="yellow"/>
        </w:rPr>
        <w:t>Ashadevi</w:t>
      </w:r>
      <w:proofErr w:type="spellEnd"/>
      <w:r>
        <w:rPr>
          <w:rFonts w:ascii="Times New Roman" w:hAnsi="Times New Roman"/>
          <w:b/>
          <w:sz w:val="24"/>
          <w:highlight w:val="yellow"/>
        </w:rPr>
        <w:t xml:space="preserve">, J. S. (2026). Impact of taxifolin on female fertility enhancing factors against oxidative stress in </w:t>
      </w:r>
      <w:r>
        <w:rPr>
          <w:rFonts w:ascii="Times New Roman" w:hAnsi="Times New Roman"/>
          <w:b/>
          <w:i/>
          <w:sz w:val="24"/>
          <w:highlight w:val="yellow"/>
        </w:rPr>
        <w:t>Drosophila melanogaster</w:t>
      </w:r>
      <w:r>
        <w:rPr>
          <w:rFonts w:ascii="Times New Roman" w:hAnsi="Times New Roman"/>
          <w:b/>
          <w:sz w:val="24"/>
          <w:highlight w:val="yellow"/>
        </w:rPr>
        <w:t xml:space="preserve">. </w:t>
      </w:r>
      <w:r>
        <w:rPr>
          <w:rFonts w:ascii="Times New Roman" w:hAnsi="Times New Roman"/>
          <w:b/>
          <w:i/>
          <w:sz w:val="24"/>
          <w:highlight w:val="yellow"/>
        </w:rPr>
        <w:t>Asian Journal of Research in Zoology, 9</w:t>
      </w:r>
      <w:r>
        <w:rPr>
          <w:rFonts w:ascii="Times New Roman" w:hAnsi="Times New Roman"/>
          <w:b/>
          <w:sz w:val="24"/>
          <w:highlight w:val="yellow"/>
        </w:rPr>
        <w:t>(3), 105–116. https://doi.org/10.9734/ajriz/2026/v9i3293</w:t>
      </w:r>
    </w:p>
    <w:p w14:paraId="1C6196A0" w14:textId="77777777" w:rsidR="00BA0599" w:rsidRDefault="00000000">
      <w:pPr>
        <w:spacing w:before="280" w:after="280" w:line="240" w:lineRule="auto"/>
        <w:ind w:left="540" w:hanging="540"/>
        <w:jc w:val="both"/>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lastRenderedPageBreak/>
        <w:t xml:space="preserve">Weinberg, F., Ramnath, N., &amp; Nagrath, D. (2019). Reactive oxygen species in the tumor microenvironment: An overview. </w:t>
      </w:r>
      <w:r>
        <w:rPr>
          <w:rFonts w:ascii="Times New Roman" w:eastAsia="Times New Roman" w:hAnsi="Times New Roman" w:cs="Times New Roman"/>
          <w:i/>
          <w:iCs/>
          <w:sz w:val="24"/>
          <w:szCs w:val="24"/>
          <w:lang w:val="en-US"/>
        </w:rPr>
        <w:t>Cancers, 11</w:t>
      </w:r>
      <w:r>
        <w:rPr>
          <w:rFonts w:ascii="Times New Roman" w:eastAsia="Times New Roman" w:hAnsi="Times New Roman" w:cs="Times New Roman"/>
          <w:sz w:val="24"/>
          <w:szCs w:val="24"/>
          <w:lang w:val="en-US"/>
        </w:rPr>
        <w:t xml:space="preserve">(8), 1191. </w:t>
      </w:r>
      <w:hyperlink r:id="rId36">
        <w:r w:rsidR="00BA0599">
          <w:rPr>
            <w:rStyle w:val="Hyperlink"/>
            <w:rFonts w:ascii="Times New Roman" w:eastAsia="Times New Roman" w:hAnsi="Times New Roman" w:cs="Times New Roman"/>
            <w:color w:val="0000FF"/>
            <w:sz w:val="24"/>
            <w:szCs w:val="24"/>
            <w:lang w:val="en-US"/>
          </w:rPr>
          <w:t>https://doi.org/10.3390/cancers11081191</w:t>
        </w:r>
      </w:hyperlink>
    </w:p>
    <w:p w14:paraId="66DC41B4" w14:textId="77777777" w:rsidR="00BA0599" w:rsidRDefault="00000000">
      <w:pPr>
        <w:spacing w:before="280" w:after="280" w:line="240" w:lineRule="auto"/>
        <w:ind w:left="540" w:hanging="540"/>
        <w:jc w:val="both"/>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 xml:space="preserve">Wong, K.-C., Sankaran, S., Jayapalan, J. J., Subramanian, P., &amp; Abdul-Rahman, P. S. (2021). Melatonin improves cognitive behavior, oxidative stress, and metabolism in tumor-prone lethal giant larvae mutant of </w:t>
      </w:r>
      <w:r>
        <w:rPr>
          <w:rFonts w:ascii="Times New Roman" w:eastAsia="Times New Roman" w:hAnsi="Times New Roman" w:cs="Times New Roman"/>
          <w:i/>
          <w:iCs/>
          <w:sz w:val="24"/>
          <w:szCs w:val="24"/>
          <w:lang w:val="en-US"/>
        </w:rPr>
        <w:t>Drosophila melanogaster</w:t>
      </w:r>
      <w:r>
        <w:rPr>
          <w:rFonts w:ascii="Times New Roman" w:eastAsia="Times New Roman" w:hAnsi="Times New Roman" w:cs="Times New Roman"/>
          <w:sz w:val="24"/>
          <w:szCs w:val="24"/>
          <w:lang w:val="en-US"/>
        </w:rPr>
        <w:t xml:space="preserve">. </w:t>
      </w:r>
      <w:r>
        <w:rPr>
          <w:rFonts w:ascii="Times New Roman" w:eastAsia="Times New Roman" w:hAnsi="Times New Roman" w:cs="Times New Roman"/>
          <w:i/>
          <w:iCs/>
          <w:sz w:val="24"/>
          <w:szCs w:val="24"/>
          <w:lang w:val="en-US"/>
        </w:rPr>
        <w:t>Archives of Insect Biochemistry and Physiology, 107</w:t>
      </w:r>
      <w:r>
        <w:rPr>
          <w:rFonts w:ascii="Times New Roman" w:eastAsia="Times New Roman" w:hAnsi="Times New Roman" w:cs="Times New Roman"/>
          <w:sz w:val="24"/>
          <w:szCs w:val="24"/>
          <w:lang w:val="en-US"/>
        </w:rPr>
        <w:t xml:space="preserve">(1), e21785. </w:t>
      </w:r>
      <w:hyperlink r:id="rId37">
        <w:r w:rsidR="00BA0599">
          <w:rPr>
            <w:rStyle w:val="Hyperlink"/>
            <w:rFonts w:ascii="Times New Roman" w:eastAsia="Times New Roman" w:hAnsi="Times New Roman" w:cs="Times New Roman"/>
            <w:color w:val="0000FF"/>
            <w:sz w:val="24"/>
            <w:szCs w:val="24"/>
            <w:lang w:val="en-US"/>
          </w:rPr>
          <w:t>https://doi.org/10.1002/arch.21785</w:t>
        </w:r>
      </w:hyperlink>
    </w:p>
    <w:p w14:paraId="2AD17E78" w14:textId="77777777" w:rsidR="00BA0599" w:rsidRDefault="00000000">
      <w:pPr>
        <w:spacing w:before="280" w:after="280" w:line="240" w:lineRule="auto"/>
        <w:ind w:left="540" w:hanging="540"/>
        <w:jc w:val="both"/>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 xml:space="preserve">Xu, C., Luo, J., He, L., Montell, C., &amp; </w:t>
      </w:r>
      <w:proofErr w:type="spellStart"/>
      <w:r>
        <w:rPr>
          <w:rFonts w:ascii="Times New Roman" w:eastAsia="Times New Roman" w:hAnsi="Times New Roman" w:cs="Times New Roman"/>
          <w:sz w:val="24"/>
          <w:szCs w:val="24"/>
          <w:lang w:val="en-US"/>
        </w:rPr>
        <w:t>Perrimon</w:t>
      </w:r>
      <w:proofErr w:type="spellEnd"/>
      <w:r>
        <w:rPr>
          <w:rFonts w:ascii="Times New Roman" w:eastAsia="Times New Roman" w:hAnsi="Times New Roman" w:cs="Times New Roman"/>
          <w:sz w:val="24"/>
          <w:szCs w:val="24"/>
          <w:lang w:val="en-US"/>
        </w:rPr>
        <w:t>, N. (2017). Oxidative stress induces stem cell proliferation via TRPA1/</w:t>
      </w:r>
      <w:proofErr w:type="spellStart"/>
      <w:r>
        <w:rPr>
          <w:rFonts w:ascii="Times New Roman" w:eastAsia="Times New Roman" w:hAnsi="Times New Roman" w:cs="Times New Roman"/>
          <w:sz w:val="24"/>
          <w:szCs w:val="24"/>
          <w:lang w:val="en-US"/>
        </w:rPr>
        <w:t>RyR</w:t>
      </w:r>
      <w:proofErr w:type="spellEnd"/>
      <w:r>
        <w:rPr>
          <w:rFonts w:ascii="Times New Roman" w:eastAsia="Times New Roman" w:hAnsi="Times New Roman" w:cs="Times New Roman"/>
          <w:sz w:val="24"/>
          <w:szCs w:val="24"/>
          <w:lang w:val="en-US"/>
        </w:rPr>
        <w:t xml:space="preserve">-mediated Ca²⁺ signaling in the </w:t>
      </w:r>
      <w:r>
        <w:rPr>
          <w:rFonts w:ascii="Times New Roman" w:eastAsia="Times New Roman" w:hAnsi="Times New Roman" w:cs="Times New Roman"/>
          <w:i/>
          <w:iCs/>
          <w:sz w:val="24"/>
          <w:szCs w:val="24"/>
          <w:lang w:val="en-US"/>
        </w:rPr>
        <w:t>Drosophila</w:t>
      </w:r>
      <w:r>
        <w:rPr>
          <w:rFonts w:ascii="Times New Roman" w:eastAsia="Times New Roman" w:hAnsi="Times New Roman" w:cs="Times New Roman"/>
          <w:sz w:val="24"/>
          <w:szCs w:val="24"/>
          <w:lang w:val="en-US"/>
        </w:rPr>
        <w:t xml:space="preserve"> midgut. </w:t>
      </w:r>
      <w:proofErr w:type="spellStart"/>
      <w:r>
        <w:rPr>
          <w:rFonts w:ascii="Times New Roman" w:eastAsia="Times New Roman" w:hAnsi="Times New Roman" w:cs="Times New Roman"/>
          <w:i/>
          <w:iCs/>
          <w:sz w:val="24"/>
          <w:szCs w:val="24"/>
          <w:lang w:val="en-US"/>
        </w:rPr>
        <w:t>eLife</w:t>
      </w:r>
      <w:proofErr w:type="spellEnd"/>
      <w:r>
        <w:rPr>
          <w:rFonts w:ascii="Times New Roman" w:eastAsia="Times New Roman" w:hAnsi="Times New Roman" w:cs="Times New Roman"/>
          <w:i/>
          <w:iCs/>
          <w:sz w:val="24"/>
          <w:szCs w:val="24"/>
          <w:lang w:val="en-US"/>
        </w:rPr>
        <w:t>, 6</w:t>
      </w:r>
      <w:r>
        <w:rPr>
          <w:rFonts w:ascii="Times New Roman" w:eastAsia="Times New Roman" w:hAnsi="Times New Roman" w:cs="Times New Roman"/>
          <w:sz w:val="24"/>
          <w:szCs w:val="24"/>
          <w:lang w:val="en-US"/>
        </w:rPr>
        <w:t xml:space="preserve">, e22441. </w:t>
      </w:r>
      <w:hyperlink r:id="rId38">
        <w:r w:rsidR="00BA0599">
          <w:rPr>
            <w:rStyle w:val="Hyperlink"/>
            <w:rFonts w:ascii="Times New Roman" w:eastAsia="Times New Roman" w:hAnsi="Times New Roman" w:cs="Times New Roman"/>
            <w:color w:val="0000FF"/>
            <w:sz w:val="24"/>
            <w:szCs w:val="24"/>
            <w:lang w:val="en-US"/>
          </w:rPr>
          <w:t>https://doi.org/10.7554/eLife.22441</w:t>
        </w:r>
      </w:hyperlink>
    </w:p>
    <w:p w14:paraId="41ED8089" w14:textId="77777777" w:rsidR="00BA0599" w:rsidRDefault="00000000">
      <w:pPr>
        <w:spacing w:before="280" w:after="280" w:line="240" w:lineRule="auto"/>
        <w:ind w:left="540" w:hanging="540"/>
        <w:jc w:val="both"/>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 xml:space="preserve">Yang, Y., Zhang, G., Guo, F., Li, Q., Luo, H., Shu, Y., Shen, Y., Gan, J., Xu, L., &amp; Yang, H. (2020). Mitochondrial UQCC3 modulates hypoxia adaptation by orchestrating OXPHOS and glycolysis in hepatocellular carcinoma. </w:t>
      </w:r>
      <w:r>
        <w:rPr>
          <w:rFonts w:ascii="Times New Roman" w:eastAsia="Times New Roman" w:hAnsi="Times New Roman" w:cs="Times New Roman"/>
          <w:i/>
          <w:iCs/>
          <w:sz w:val="24"/>
          <w:szCs w:val="24"/>
          <w:lang w:val="en-US"/>
        </w:rPr>
        <w:t>Cell Reports, 33</w:t>
      </w:r>
      <w:r>
        <w:rPr>
          <w:rFonts w:ascii="Times New Roman" w:eastAsia="Times New Roman" w:hAnsi="Times New Roman" w:cs="Times New Roman"/>
          <w:sz w:val="24"/>
          <w:szCs w:val="24"/>
          <w:lang w:val="en-US"/>
        </w:rPr>
        <w:t xml:space="preserve">(5), 108340. </w:t>
      </w:r>
      <w:hyperlink r:id="rId39">
        <w:r w:rsidR="00BA0599">
          <w:rPr>
            <w:rStyle w:val="Hyperlink"/>
            <w:rFonts w:ascii="Times New Roman" w:eastAsia="Times New Roman" w:hAnsi="Times New Roman" w:cs="Times New Roman"/>
            <w:color w:val="0000FF"/>
            <w:sz w:val="24"/>
            <w:szCs w:val="24"/>
            <w:lang w:val="en-US"/>
          </w:rPr>
          <w:t>https://doi.org/10.1016/j.celrep.2020.108340</w:t>
        </w:r>
      </w:hyperlink>
    </w:p>
    <w:p w14:paraId="4F68D16C" w14:textId="77777777" w:rsidR="00BA0599" w:rsidRDefault="00000000">
      <w:pPr>
        <w:spacing w:before="280" w:after="280" w:line="240" w:lineRule="auto"/>
        <w:ind w:left="540" w:hanging="540"/>
        <w:jc w:val="both"/>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 xml:space="preserve">Zhang, J. Y., Xiao, X., Dong, Y., &amp; Zhou, X. H. (2018). Fermented barley extracts with </w:t>
      </w:r>
      <w:r>
        <w:rPr>
          <w:rFonts w:ascii="Times New Roman" w:eastAsia="Times New Roman" w:hAnsi="Times New Roman" w:cs="Times New Roman"/>
          <w:i/>
          <w:iCs/>
          <w:sz w:val="24"/>
          <w:szCs w:val="24"/>
          <w:lang w:val="en-US"/>
        </w:rPr>
        <w:t>Lactobacillus plantarum</w:t>
      </w:r>
      <w:r>
        <w:rPr>
          <w:rFonts w:ascii="Times New Roman" w:eastAsia="Times New Roman" w:hAnsi="Times New Roman" w:cs="Times New Roman"/>
          <w:sz w:val="24"/>
          <w:szCs w:val="24"/>
          <w:lang w:val="en-US"/>
        </w:rPr>
        <w:t xml:space="preserve"> DY-1 rich in vanillic acid modulate glucose consumption in human HepG2 cells. </w:t>
      </w:r>
      <w:r>
        <w:rPr>
          <w:rFonts w:ascii="Times New Roman" w:eastAsia="Times New Roman" w:hAnsi="Times New Roman" w:cs="Times New Roman"/>
          <w:i/>
          <w:iCs/>
          <w:sz w:val="24"/>
          <w:szCs w:val="24"/>
          <w:lang w:val="en-US"/>
        </w:rPr>
        <w:t>Biomedical and Environmental Sciences, 31</w:t>
      </w:r>
      <w:r>
        <w:rPr>
          <w:rFonts w:ascii="Times New Roman" w:eastAsia="Times New Roman" w:hAnsi="Times New Roman" w:cs="Times New Roman"/>
          <w:sz w:val="24"/>
          <w:szCs w:val="24"/>
          <w:lang w:val="en-US"/>
        </w:rPr>
        <w:t xml:space="preserve">(9), 667–676. </w:t>
      </w:r>
      <w:hyperlink r:id="rId40">
        <w:r w:rsidR="00BA0599">
          <w:rPr>
            <w:rStyle w:val="Hyperlink"/>
            <w:rFonts w:ascii="Times New Roman" w:eastAsia="Times New Roman" w:hAnsi="Times New Roman" w:cs="Times New Roman"/>
            <w:color w:val="0000FF"/>
            <w:sz w:val="24"/>
            <w:szCs w:val="24"/>
            <w:lang w:val="en-US"/>
          </w:rPr>
          <w:t>https://doi.org/10.3967/bes2018.091</w:t>
        </w:r>
      </w:hyperlink>
    </w:p>
    <w:sectPr w:rsidR="00BA0599">
      <w:headerReference w:type="default" r:id="rId41"/>
      <w:pgSz w:w="11906" w:h="16838"/>
      <w:pgMar w:top="1440" w:right="1440" w:bottom="1440" w:left="1440" w:header="708" w:footer="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54E79B" w14:textId="77777777" w:rsidR="00A466A9" w:rsidRDefault="00A466A9">
      <w:pPr>
        <w:spacing w:after="0" w:line="240" w:lineRule="auto"/>
      </w:pPr>
      <w:r>
        <w:separator/>
      </w:r>
    </w:p>
  </w:endnote>
  <w:endnote w:type="continuationSeparator" w:id="0">
    <w:p w14:paraId="35AAA2DB" w14:textId="77777777" w:rsidR="00A466A9" w:rsidRDefault="00A466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Liberation Serif">
    <w:altName w:val="Times New Roman"/>
    <w:charset w:val="00"/>
    <w:family w:val="roman"/>
    <w:pitch w:val="variable"/>
  </w:font>
  <w:font w:name="Noto Serif CJK SC">
    <w:panose1 w:val="00000000000000000000"/>
    <w:charset w:val="00"/>
    <w:family w:val="roman"/>
    <w:notTrueType/>
    <w:pitch w:val="default"/>
  </w:font>
  <w:font w:name="Lohit Devanagari">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Latha">
    <w:panose1 w:val="02000400000000000000"/>
    <w:charset w:val="00"/>
    <w:family w:val="swiss"/>
    <w:pitch w:val="variable"/>
    <w:sig w:usb0="00100003" w:usb1="00000000" w:usb2="00000000" w:usb3="00000000" w:csb0="00000001"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A20C07" w14:textId="77777777" w:rsidR="00A466A9" w:rsidRDefault="00A466A9">
      <w:pPr>
        <w:spacing w:after="0" w:line="240" w:lineRule="auto"/>
      </w:pPr>
      <w:r>
        <w:separator/>
      </w:r>
    </w:p>
  </w:footnote>
  <w:footnote w:type="continuationSeparator" w:id="0">
    <w:p w14:paraId="1E13D872" w14:textId="77777777" w:rsidR="00A466A9" w:rsidRDefault="00A466A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12FE10" w14:textId="77777777" w:rsidR="00BA0599" w:rsidRDefault="00000000">
    <w:pPr>
      <w:pStyle w:val="Header"/>
      <w:rPr>
        <w:lang w:eastAsia="en-US"/>
      </w:rPr>
    </w:pPr>
    <w:r>
      <w:rPr>
        <w:lang w:eastAsia="en-US"/>
      </w:rPr>
      <w:pict w14:anchorId="7E82604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15333720" o:spid="_x0000_s1025" type="#_x0000_t136" style="position:absolute;margin-left:0;margin-top:0;width:535.75pt;height:81.85pt;rotation:315;z-index:1;mso-wrap-style:none;mso-position-horizontal:center;mso-position-horizontal-relative:margin;mso-position-vertical:center;mso-position-vertical-relative:margin;v-text-anchor:middle" o:allowincell="f" fillcolor="silver" stroked="f" strokecolor="#3465a4">
          <v:fill opacity=".5" color2="#3f3f3f" o:detectmouseclick="t"/>
          <v:textpath style="font-family:&quot;Calibri&quot;;font-size:1pt" trim="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9AD1C13"/>
    <w:multiLevelType w:val="multilevel"/>
    <w:tmpl w:val="938E416C"/>
    <w:lvl w:ilvl="0">
      <w:start w:val="1"/>
      <w:numFmt w:val="none"/>
      <w:pStyle w:val="Heading1"/>
      <w:suff w:val="nothing"/>
      <w:lvlText w:val=""/>
      <w:lvlJc w:val="left"/>
      <w:pPr>
        <w:tabs>
          <w:tab w:val="num" w:pos="0"/>
        </w:tabs>
        <w:ind w:left="0" w:firstLine="0"/>
      </w:pPr>
    </w:lvl>
    <w:lvl w:ilvl="1">
      <w:start w:val="1"/>
      <w:numFmt w:val="none"/>
      <w:pStyle w:val="Heading2"/>
      <w:suff w:val="nothing"/>
      <w:lvlText w:val=""/>
      <w:lvlJc w:val="left"/>
      <w:pPr>
        <w:tabs>
          <w:tab w:val="num" w:pos="0"/>
        </w:tabs>
        <w:ind w:left="0" w:firstLine="0"/>
      </w:pPr>
    </w:lvl>
    <w:lvl w:ilvl="2">
      <w:start w:val="1"/>
      <w:numFmt w:val="none"/>
      <w:pStyle w:val="Heading3"/>
      <w:suff w:val="nothing"/>
      <w:lvlText w:val=""/>
      <w:lvlJc w:val="left"/>
      <w:pPr>
        <w:tabs>
          <w:tab w:val="num" w:pos="0"/>
        </w:tabs>
        <w:ind w:left="0" w:firstLine="0"/>
      </w:pPr>
    </w:lvl>
    <w:lvl w:ilvl="3">
      <w:start w:val="1"/>
      <w:numFmt w:val="none"/>
      <w:pStyle w:val="Heading4"/>
      <w:suff w:val="nothing"/>
      <w:lvlText w:val=""/>
      <w:lvlJc w:val="left"/>
      <w:pPr>
        <w:tabs>
          <w:tab w:val="num" w:pos="0"/>
        </w:tabs>
        <w:ind w:left="0" w:firstLine="0"/>
      </w:pPr>
    </w:lvl>
    <w:lvl w:ilvl="4">
      <w:start w:val="1"/>
      <w:numFmt w:val="none"/>
      <w:pStyle w:val="Heading5"/>
      <w:suff w:val="nothing"/>
      <w:lvlText w:val=""/>
      <w:lvlJc w:val="left"/>
      <w:pPr>
        <w:tabs>
          <w:tab w:val="num" w:pos="0"/>
        </w:tabs>
        <w:ind w:left="0" w:firstLine="0"/>
      </w:pPr>
    </w:lvl>
    <w:lvl w:ilvl="5">
      <w:start w:val="1"/>
      <w:numFmt w:val="none"/>
      <w:pStyle w:val="Heading6"/>
      <w:suff w:val="nothing"/>
      <w:lvlText w:val=""/>
      <w:lvlJc w:val="left"/>
      <w:pPr>
        <w:tabs>
          <w:tab w:val="num" w:pos="0"/>
        </w:tabs>
        <w:ind w:left="0" w:firstLine="0"/>
      </w:pPr>
    </w:lvl>
    <w:lvl w:ilvl="6">
      <w:start w:val="1"/>
      <w:numFmt w:val="none"/>
      <w:pStyle w:val="Heading7"/>
      <w:suff w:val="nothing"/>
      <w:lvlText w:val=""/>
      <w:lvlJc w:val="left"/>
      <w:pPr>
        <w:tabs>
          <w:tab w:val="num" w:pos="0"/>
        </w:tabs>
        <w:ind w:left="0" w:firstLine="0"/>
      </w:pPr>
    </w:lvl>
    <w:lvl w:ilvl="7">
      <w:start w:val="1"/>
      <w:numFmt w:val="none"/>
      <w:pStyle w:val="Heading8"/>
      <w:suff w:val="nothing"/>
      <w:lvlText w:val=""/>
      <w:lvlJc w:val="left"/>
      <w:pPr>
        <w:tabs>
          <w:tab w:val="num" w:pos="0"/>
        </w:tabs>
        <w:ind w:left="0" w:firstLine="0"/>
      </w:pPr>
    </w:lvl>
    <w:lvl w:ilvl="8">
      <w:start w:val="1"/>
      <w:numFmt w:val="none"/>
      <w:pStyle w:val="Heading9"/>
      <w:suff w:val="nothing"/>
      <w:lvlText w:val=""/>
      <w:lvlJc w:val="left"/>
      <w:pPr>
        <w:tabs>
          <w:tab w:val="num" w:pos="0"/>
        </w:tabs>
        <w:ind w:left="0" w:firstLine="0"/>
      </w:pPr>
    </w:lvl>
  </w:abstractNum>
  <w:num w:numId="1" w16cid:durableId="3585490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oNotTrackMoves/>
  <w:defaultTabStop w:val="720"/>
  <w:autoHyphenation/>
  <w:hyphenationZone w:val="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NjQxMbUwMzYzsDAwMTNT0lEKTi0uzszPAykwqgUACdTpNiwAAAA="/>
  </w:docVars>
  <w:rsids>
    <w:rsidRoot w:val="00BA0599"/>
    <w:rsid w:val="001861B0"/>
    <w:rsid w:val="0037527A"/>
    <w:rsid w:val="0040118E"/>
    <w:rsid w:val="00503A30"/>
    <w:rsid w:val="00A466A9"/>
    <w:rsid w:val="00A62CF9"/>
    <w:rsid w:val="00BA0599"/>
    <w:rsid w:val="00CA78A5"/>
    <w:rsid w:val="00DF4D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7A39E1"/>
  <w15:docId w15:val="{93FB6361-53EC-45B0-933C-065FDBCCBB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oto Serif CJK SC" w:hAnsi="Liberation Serif" w:cs="Lohit Devanagar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after="160" w:line="257" w:lineRule="auto"/>
    </w:pPr>
    <w:rPr>
      <w:rFonts w:ascii="Aptos" w:eastAsia="Aptos" w:hAnsi="Aptos" w:cs="Latha"/>
      <w:sz w:val="22"/>
      <w:szCs w:val="22"/>
      <w:lang w:val="en-IN" w:eastAsia="zh-CN"/>
    </w:rPr>
  </w:style>
  <w:style w:type="paragraph" w:styleId="Heading1">
    <w:name w:val="heading 1"/>
    <w:basedOn w:val="Normal"/>
    <w:next w:val="Normal"/>
    <w:uiPriority w:val="9"/>
    <w:qFormat/>
    <w:pPr>
      <w:keepNext/>
      <w:keepLines/>
      <w:numPr>
        <w:numId w:val="1"/>
      </w:numPr>
      <w:spacing w:before="360" w:after="80"/>
      <w:outlineLvl w:val="0"/>
    </w:pPr>
    <w:rPr>
      <w:rFonts w:ascii="Aptos Display" w:eastAsia="Times New Roman" w:hAnsi="Aptos Display" w:cs="Times New Roman"/>
      <w:color w:val="0F4761"/>
      <w:sz w:val="40"/>
      <w:szCs w:val="40"/>
      <w:lang w:val="en-US"/>
    </w:rPr>
  </w:style>
  <w:style w:type="paragraph" w:styleId="Heading2">
    <w:name w:val="heading 2"/>
    <w:basedOn w:val="Normal"/>
    <w:next w:val="Normal"/>
    <w:uiPriority w:val="9"/>
    <w:semiHidden/>
    <w:unhideWhenUsed/>
    <w:qFormat/>
    <w:pPr>
      <w:keepNext/>
      <w:keepLines/>
      <w:numPr>
        <w:ilvl w:val="1"/>
        <w:numId w:val="1"/>
      </w:numPr>
      <w:spacing w:before="160" w:after="80"/>
      <w:outlineLvl w:val="1"/>
    </w:pPr>
    <w:rPr>
      <w:rFonts w:ascii="Aptos Display" w:eastAsia="Times New Roman" w:hAnsi="Aptos Display" w:cs="Times New Roman"/>
      <w:color w:val="0F4761"/>
      <w:sz w:val="32"/>
      <w:szCs w:val="32"/>
      <w:lang w:val="en-US"/>
    </w:rPr>
  </w:style>
  <w:style w:type="paragraph" w:styleId="Heading3">
    <w:name w:val="heading 3"/>
    <w:basedOn w:val="Normal"/>
    <w:next w:val="Normal"/>
    <w:uiPriority w:val="9"/>
    <w:semiHidden/>
    <w:unhideWhenUsed/>
    <w:qFormat/>
    <w:pPr>
      <w:keepNext/>
      <w:keepLines/>
      <w:numPr>
        <w:ilvl w:val="2"/>
        <w:numId w:val="1"/>
      </w:numPr>
      <w:spacing w:before="160" w:after="80"/>
      <w:outlineLvl w:val="2"/>
    </w:pPr>
    <w:rPr>
      <w:rFonts w:eastAsia="Times New Roman" w:cs="Times New Roman"/>
      <w:color w:val="0F4761"/>
      <w:sz w:val="28"/>
      <w:szCs w:val="28"/>
      <w:lang w:val="en-US"/>
    </w:rPr>
  </w:style>
  <w:style w:type="paragraph" w:styleId="Heading4">
    <w:name w:val="heading 4"/>
    <w:basedOn w:val="Normal"/>
    <w:next w:val="Normal"/>
    <w:uiPriority w:val="9"/>
    <w:semiHidden/>
    <w:unhideWhenUsed/>
    <w:qFormat/>
    <w:pPr>
      <w:keepNext/>
      <w:keepLines/>
      <w:numPr>
        <w:ilvl w:val="3"/>
        <w:numId w:val="1"/>
      </w:numPr>
      <w:spacing w:before="80" w:after="40"/>
      <w:outlineLvl w:val="3"/>
    </w:pPr>
    <w:rPr>
      <w:rFonts w:eastAsia="Times New Roman" w:cs="Times New Roman"/>
      <w:i/>
      <w:iCs/>
      <w:color w:val="0F4761"/>
      <w:sz w:val="20"/>
      <w:szCs w:val="20"/>
      <w:lang w:val="en-US"/>
    </w:rPr>
  </w:style>
  <w:style w:type="paragraph" w:styleId="Heading5">
    <w:name w:val="heading 5"/>
    <w:basedOn w:val="Normal"/>
    <w:next w:val="Normal"/>
    <w:uiPriority w:val="9"/>
    <w:semiHidden/>
    <w:unhideWhenUsed/>
    <w:qFormat/>
    <w:pPr>
      <w:keepNext/>
      <w:keepLines/>
      <w:numPr>
        <w:ilvl w:val="4"/>
        <w:numId w:val="1"/>
      </w:numPr>
      <w:spacing w:before="80" w:after="40"/>
      <w:outlineLvl w:val="4"/>
    </w:pPr>
    <w:rPr>
      <w:rFonts w:eastAsia="Times New Roman" w:cs="Times New Roman"/>
      <w:color w:val="0F4761"/>
      <w:sz w:val="20"/>
      <w:szCs w:val="20"/>
      <w:lang w:val="en-US"/>
    </w:rPr>
  </w:style>
  <w:style w:type="paragraph" w:styleId="Heading6">
    <w:name w:val="heading 6"/>
    <w:basedOn w:val="Normal"/>
    <w:next w:val="Normal"/>
    <w:uiPriority w:val="9"/>
    <w:semiHidden/>
    <w:unhideWhenUsed/>
    <w:qFormat/>
    <w:pPr>
      <w:keepNext/>
      <w:keepLines/>
      <w:numPr>
        <w:ilvl w:val="5"/>
        <w:numId w:val="1"/>
      </w:numPr>
      <w:spacing w:before="40" w:after="0"/>
      <w:outlineLvl w:val="5"/>
    </w:pPr>
    <w:rPr>
      <w:rFonts w:eastAsia="Times New Roman" w:cs="Times New Roman"/>
      <w:i/>
      <w:iCs/>
      <w:color w:val="595959"/>
      <w:sz w:val="20"/>
      <w:szCs w:val="20"/>
      <w:lang w:val="en-US"/>
    </w:rPr>
  </w:style>
  <w:style w:type="paragraph" w:styleId="Heading7">
    <w:name w:val="heading 7"/>
    <w:basedOn w:val="Normal"/>
    <w:next w:val="Normal"/>
    <w:qFormat/>
    <w:pPr>
      <w:keepNext/>
      <w:keepLines/>
      <w:numPr>
        <w:ilvl w:val="6"/>
        <w:numId w:val="1"/>
      </w:numPr>
      <w:spacing w:before="40" w:after="0"/>
      <w:outlineLvl w:val="6"/>
    </w:pPr>
    <w:rPr>
      <w:rFonts w:eastAsia="Times New Roman" w:cs="Times New Roman"/>
      <w:color w:val="595959"/>
      <w:sz w:val="20"/>
      <w:szCs w:val="20"/>
      <w:lang w:val="en-US"/>
    </w:rPr>
  </w:style>
  <w:style w:type="paragraph" w:styleId="Heading8">
    <w:name w:val="heading 8"/>
    <w:basedOn w:val="Normal"/>
    <w:next w:val="Normal"/>
    <w:qFormat/>
    <w:pPr>
      <w:keepNext/>
      <w:keepLines/>
      <w:numPr>
        <w:ilvl w:val="7"/>
        <w:numId w:val="1"/>
      </w:numPr>
      <w:spacing w:after="0"/>
      <w:outlineLvl w:val="7"/>
    </w:pPr>
    <w:rPr>
      <w:rFonts w:eastAsia="Times New Roman" w:cs="Times New Roman"/>
      <w:i/>
      <w:iCs/>
      <w:color w:val="272727"/>
      <w:sz w:val="20"/>
      <w:szCs w:val="20"/>
      <w:lang w:val="en-US"/>
    </w:rPr>
  </w:style>
  <w:style w:type="paragraph" w:styleId="Heading9">
    <w:name w:val="heading 9"/>
    <w:basedOn w:val="Normal"/>
    <w:next w:val="Normal"/>
    <w:qFormat/>
    <w:pPr>
      <w:keepNext/>
      <w:keepLines/>
      <w:numPr>
        <w:ilvl w:val="8"/>
        <w:numId w:val="1"/>
      </w:numPr>
      <w:spacing w:after="0"/>
      <w:outlineLvl w:val="8"/>
    </w:pPr>
    <w:rPr>
      <w:rFonts w:eastAsia="Times New Roman" w:cs="Times New Roman"/>
      <w:color w:val="272727"/>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qFormat/>
    <w:rPr>
      <w:rFonts w:ascii="Symbol" w:hAnsi="Symbol" w:cs="Symbol"/>
      <w:sz w:val="20"/>
    </w:rPr>
  </w:style>
  <w:style w:type="character" w:customStyle="1" w:styleId="WW8Num1z1">
    <w:name w:val="WW8Num1z1"/>
    <w:qFormat/>
    <w:rPr>
      <w:rFonts w:ascii="Courier New" w:hAnsi="Courier New" w:cs="Courier New"/>
      <w:sz w:val="20"/>
    </w:rPr>
  </w:style>
  <w:style w:type="character" w:customStyle="1" w:styleId="WW8Num1z2">
    <w:name w:val="WW8Num1z2"/>
    <w:qFormat/>
    <w:rPr>
      <w:rFonts w:ascii="Wingdings" w:hAnsi="Wingdings" w:cs="Wingdings"/>
      <w:sz w:val="20"/>
    </w:rPr>
  </w:style>
  <w:style w:type="character" w:customStyle="1" w:styleId="Heading1Char">
    <w:name w:val="Heading 1 Char"/>
    <w:qFormat/>
    <w:rPr>
      <w:rFonts w:ascii="Aptos Display" w:eastAsia="Times New Roman" w:hAnsi="Aptos Display" w:cs="Latha"/>
      <w:color w:val="0F4761"/>
      <w:sz w:val="40"/>
      <w:szCs w:val="40"/>
    </w:rPr>
  </w:style>
  <w:style w:type="character" w:customStyle="1" w:styleId="Heading2Char">
    <w:name w:val="Heading 2 Char"/>
    <w:qFormat/>
    <w:rPr>
      <w:rFonts w:ascii="Aptos Display" w:eastAsia="Times New Roman" w:hAnsi="Aptos Display" w:cs="Latha"/>
      <w:color w:val="0F4761"/>
      <w:sz w:val="32"/>
      <w:szCs w:val="32"/>
    </w:rPr>
  </w:style>
  <w:style w:type="character" w:customStyle="1" w:styleId="Heading3Char">
    <w:name w:val="Heading 3 Char"/>
    <w:qFormat/>
    <w:rPr>
      <w:rFonts w:eastAsia="Times New Roman" w:cs="Latha"/>
      <w:color w:val="0F4761"/>
      <w:sz w:val="28"/>
      <w:szCs w:val="28"/>
    </w:rPr>
  </w:style>
  <w:style w:type="character" w:customStyle="1" w:styleId="Heading4Char">
    <w:name w:val="Heading 4 Char"/>
    <w:qFormat/>
    <w:rPr>
      <w:rFonts w:eastAsia="Times New Roman" w:cs="Latha"/>
      <w:i/>
      <w:iCs/>
      <w:color w:val="0F4761"/>
    </w:rPr>
  </w:style>
  <w:style w:type="character" w:customStyle="1" w:styleId="Heading5Char">
    <w:name w:val="Heading 5 Char"/>
    <w:qFormat/>
    <w:rPr>
      <w:rFonts w:eastAsia="Times New Roman" w:cs="Latha"/>
      <w:color w:val="0F4761"/>
    </w:rPr>
  </w:style>
  <w:style w:type="character" w:customStyle="1" w:styleId="Heading6Char">
    <w:name w:val="Heading 6 Char"/>
    <w:qFormat/>
    <w:rPr>
      <w:rFonts w:eastAsia="Times New Roman" w:cs="Latha"/>
      <w:i/>
      <w:iCs/>
      <w:color w:val="595959"/>
    </w:rPr>
  </w:style>
  <w:style w:type="character" w:customStyle="1" w:styleId="Heading7Char">
    <w:name w:val="Heading 7 Char"/>
    <w:qFormat/>
    <w:rPr>
      <w:rFonts w:eastAsia="Times New Roman" w:cs="Latha"/>
      <w:color w:val="595959"/>
    </w:rPr>
  </w:style>
  <w:style w:type="character" w:customStyle="1" w:styleId="Heading8Char">
    <w:name w:val="Heading 8 Char"/>
    <w:qFormat/>
    <w:rPr>
      <w:rFonts w:eastAsia="Times New Roman" w:cs="Latha"/>
      <w:i/>
      <w:iCs/>
      <w:color w:val="272727"/>
    </w:rPr>
  </w:style>
  <w:style w:type="character" w:customStyle="1" w:styleId="Heading9Char">
    <w:name w:val="Heading 9 Char"/>
    <w:qFormat/>
    <w:rPr>
      <w:rFonts w:eastAsia="Times New Roman" w:cs="Latha"/>
      <w:color w:val="272727"/>
    </w:rPr>
  </w:style>
  <w:style w:type="character" w:customStyle="1" w:styleId="TitleChar">
    <w:name w:val="Title Char"/>
    <w:qFormat/>
    <w:rPr>
      <w:rFonts w:ascii="Aptos Display" w:eastAsia="Times New Roman" w:hAnsi="Aptos Display" w:cs="Latha"/>
      <w:spacing w:val="-10"/>
      <w:kern w:val="2"/>
      <w:sz w:val="56"/>
      <w:szCs w:val="56"/>
    </w:rPr>
  </w:style>
  <w:style w:type="character" w:customStyle="1" w:styleId="SubtitleChar">
    <w:name w:val="Subtitle Char"/>
    <w:qFormat/>
    <w:rPr>
      <w:rFonts w:eastAsia="Times New Roman" w:cs="Latha"/>
      <w:color w:val="595959"/>
      <w:spacing w:val="15"/>
      <w:sz w:val="28"/>
      <w:szCs w:val="28"/>
    </w:rPr>
  </w:style>
  <w:style w:type="character" w:customStyle="1" w:styleId="QuoteChar">
    <w:name w:val="Quote Char"/>
    <w:qFormat/>
    <w:rPr>
      <w:i/>
      <w:iCs/>
      <w:color w:val="404040"/>
    </w:rPr>
  </w:style>
  <w:style w:type="character" w:styleId="IntenseEmphasis">
    <w:name w:val="Intense Emphasis"/>
    <w:qFormat/>
    <w:rPr>
      <w:i/>
      <w:iCs/>
      <w:color w:val="0F4761"/>
    </w:rPr>
  </w:style>
  <w:style w:type="character" w:customStyle="1" w:styleId="IntenseQuoteChar">
    <w:name w:val="Intense Quote Char"/>
    <w:qFormat/>
    <w:rPr>
      <w:i/>
      <w:iCs/>
      <w:color w:val="0F4761"/>
    </w:rPr>
  </w:style>
  <w:style w:type="character" w:styleId="IntenseReference">
    <w:name w:val="Intense Reference"/>
    <w:qFormat/>
    <w:rPr>
      <w:b/>
      <w:bCs/>
      <w:smallCaps/>
      <w:color w:val="0F4761"/>
      <w:spacing w:val="5"/>
    </w:rPr>
  </w:style>
  <w:style w:type="character" w:customStyle="1" w:styleId="HeaderChar">
    <w:name w:val="Header Char"/>
    <w:qFormat/>
    <w:rPr>
      <w:rFonts w:ascii="Times New Roman" w:eastAsia="Times New Roman" w:hAnsi="Times New Roman" w:cs="Times New Roman"/>
      <w:kern w:val="0"/>
      <w:sz w:val="22"/>
      <w:szCs w:val="22"/>
    </w:rPr>
  </w:style>
  <w:style w:type="character" w:styleId="Hyperlink">
    <w:name w:val="Hyperlink"/>
    <w:rPr>
      <w:color w:val="0563C1"/>
      <w:u w:val="single"/>
    </w:rPr>
  </w:style>
  <w:style w:type="character" w:styleId="UnresolvedMention">
    <w:name w:val="Unresolved Mention"/>
    <w:qFormat/>
    <w:rPr>
      <w:color w:val="605E5C"/>
      <w:shd w:val="clear" w:color="auto" w:fill="E1DFDD"/>
    </w:rPr>
  </w:style>
  <w:style w:type="character" w:customStyle="1" w:styleId="FooterChar">
    <w:name w:val="Footer Char"/>
    <w:qFormat/>
    <w:rPr>
      <w:sz w:val="22"/>
      <w:szCs w:val="22"/>
      <w:lang w:val="en-IN"/>
    </w:rPr>
  </w:style>
  <w:style w:type="paragraph" w:customStyle="1" w:styleId="Heading">
    <w:name w:val="Heading"/>
    <w:basedOn w:val="Normal"/>
    <w:next w:val="Normal"/>
    <w:qFormat/>
    <w:pPr>
      <w:spacing w:after="80" w:line="240" w:lineRule="auto"/>
      <w:contextualSpacing/>
    </w:pPr>
    <w:rPr>
      <w:rFonts w:ascii="Aptos Display" w:eastAsia="Times New Roman" w:hAnsi="Aptos Display" w:cs="Times New Roman"/>
      <w:spacing w:val="-10"/>
      <w:kern w:val="2"/>
      <w:sz w:val="56"/>
      <w:szCs w:val="56"/>
      <w:lang w:val="en-US"/>
    </w:rPr>
  </w:style>
  <w:style w:type="paragraph" w:styleId="BodyText">
    <w:name w:val="Body Text"/>
    <w:basedOn w:val="Normal"/>
    <w:pPr>
      <w:spacing w:after="140" w:line="276" w:lineRule="auto"/>
    </w:pPr>
  </w:style>
  <w:style w:type="paragraph" w:styleId="List">
    <w:name w:val="List"/>
    <w:basedOn w:val="BodyText"/>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customStyle="1" w:styleId="Index">
    <w:name w:val="Index"/>
    <w:basedOn w:val="Normal"/>
    <w:qFormat/>
    <w:pPr>
      <w:suppressLineNumbers/>
    </w:pPr>
    <w:rPr>
      <w:rFonts w:cs="Lohit Devanagari"/>
    </w:rPr>
  </w:style>
  <w:style w:type="paragraph" w:styleId="Subtitle">
    <w:name w:val="Subtitle"/>
    <w:basedOn w:val="Normal"/>
    <w:next w:val="Normal"/>
    <w:uiPriority w:val="11"/>
    <w:qFormat/>
    <w:rPr>
      <w:rFonts w:eastAsia="Times New Roman" w:cs="Times New Roman"/>
      <w:color w:val="595959"/>
      <w:spacing w:val="15"/>
      <w:sz w:val="28"/>
      <w:szCs w:val="28"/>
      <w:lang w:val="en-US"/>
    </w:rPr>
  </w:style>
  <w:style w:type="paragraph" w:styleId="Quote">
    <w:name w:val="Quote"/>
    <w:basedOn w:val="Normal"/>
    <w:next w:val="Normal"/>
    <w:qFormat/>
    <w:pPr>
      <w:spacing w:before="160"/>
      <w:jc w:val="center"/>
    </w:pPr>
    <w:rPr>
      <w:rFonts w:cs="Times New Roman"/>
      <w:i/>
      <w:iCs/>
      <w:color w:val="404040"/>
      <w:sz w:val="20"/>
      <w:szCs w:val="20"/>
      <w:lang w:val="en-US"/>
    </w:rPr>
  </w:style>
  <w:style w:type="paragraph" w:styleId="ListParagraph">
    <w:name w:val="List Paragraph"/>
    <w:basedOn w:val="Normal"/>
    <w:qFormat/>
    <w:pPr>
      <w:ind w:left="720"/>
      <w:contextualSpacing/>
    </w:pPr>
  </w:style>
  <w:style w:type="paragraph" w:styleId="IntenseQuote">
    <w:name w:val="Intense Quote"/>
    <w:basedOn w:val="Normal"/>
    <w:next w:val="Normal"/>
    <w:qFormat/>
    <w:pPr>
      <w:pBdr>
        <w:top w:val="single" w:sz="4" w:space="10" w:color="0F4761"/>
        <w:bottom w:val="single" w:sz="4" w:space="10" w:color="0F4761"/>
      </w:pBdr>
      <w:spacing w:before="360" w:after="360"/>
      <w:ind w:left="864" w:right="864"/>
      <w:jc w:val="center"/>
    </w:pPr>
    <w:rPr>
      <w:rFonts w:cs="Times New Roman"/>
      <w:i/>
      <w:iCs/>
      <w:color w:val="0F4761"/>
      <w:sz w:val="20"/>
      <w:szCs w:val="20"/>
      <w:lang w:val="en-US"/>
    </w:rPr>
  </w:style>
  <w:style w:type="paragraph" w:customStyle="1" w:styleId="HeaderandFooter">
    <w:name w:val="Header and Footer"/>
    <w:basedOn w:val="Normal"/>
    <w:qFormat/>
    <w:pPr>
      <w:suppressLineNumbers/>
      <w:tabs>
        <w:tab w:val="center" w:pos="4819"/>
        <w:tab w:val="right" w:pos="9638"/>
      </w:tabs>
    </w:pPr>
  </w:style>
  <w:style w:type="paragraph" w:styleId="Header">
    <w:name w:val="header"/>
    <w:basedOn w:val="Normal"/>
    <w:rPr>
      <w:rFonts w:ascii="Times New Roman" w:eastAsia="Times New Roman" w:hAnsi="Times New Roman" w:cs="Times New Roman"/>
      <w:lang w:val="en-US"/>
    </w:rPr>
  </w:style>
  <w:style w:type="paragraph" w:styleId="Footer">
    <w:name w:val="footer"/>
    <w:basedOn w:val="Normal"/>
    <w:pPr>
      <w:tabs>
        <w:tab w:val="center" w:pos="4680"/>
        <w:tab w:val="right" w:pos="9360"/>
      </w:tabs>
    </w:pPr>
    <w:rPr>
      <w:rFonts w:cs="Times New Roman"/>
    </w:rPr>
  </w:style>
  <w:style w:type="paragraph" w:customStyle="1" w:styleId="TableContents">
    <w:name w:val="Table Contents"/>
    <w:basedOn w:val="Normal"/>
    <w:qFormat/>
    <w:pPr>
      <w:widowControl w:val="0"/>
      <w:suppressLineNumbers/>
    </w:pPr>
  </w:style>
  <w:style w:type="paragraph" w:customStyle="1" w:styleId="TableHeading">
    <w:name w:val="Table Heading"/>
    <w:basedOn w:val="TableContents"/>
    <w:qFormat/>
    <w:pPr>
      <w:jc w:val="center"/>
    </w:pPr>
    <w:rPr>
      <w:b/>
      <w:bCs/>
    </w:rPr>
  </w:style>
  <w:style w:type="numbering" w:customStyle="1" w:styleId="WW8Num1">
    <w:name w:val="WW8Num1"/>
    <w:qFormat/>
  </w:style>
  <w:style w:type="numbering" w:customStyle="1" w:styleId="WW8Num2">
    <w:name w:val="WW8Num2"/>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doi.org/10.3390/ijms26157485" TargetMode="External"/><Relationship Id="rId18" Type="http://schemas.openxmlformats.org/officeDocument/2006/relationships/hyperlink" Target="https://doi.org/10.1248/bpb.32.1215" TargetMode="External"/><Relationship Id="rId26" Type="http://schemas.openxmlformats.org/officeDocument/2006/relationships/hyperlink" Target="https://doi.org/10.1111/j.1432-1033.1968.tb00428.x" TargetMode="External"/><Relationship Id="rId39" Type="http://schemas.openxmlformats.org/officeDocument/2006/relationships/hyperlink" Target="https://doi.org/10.1016/j.celrep.2020.108340" TargetMode="External"/><Relationship Id="rId21" Type="http://schemas.openxmlformats.org/officeDocument/2006/relationships/hyperlink" Target="https://doi.org/10.22159/ijcpr.2021v13i4.42750" TargetMode="External"/><Relationship Id="rId34" Type="http://schemas.openxmlformats.org/officeDocument/2006/relationships/hyperlink" Target="https://doi.org/10.46810/tdfd.1454074" TargetMode="External"/><Relationship Id="rId42" Type="http://schemas.openxmlformats.org/officeDocument/2006/relationships/fontTable" Target="fontTable.xml"/><Relationship Id="rId7" Type="http://schemas.openxmlformats.org/officeDocument/2006/relationships/hyperlink" Target="https://doi.org/10.1126/science.287.5461.2185" TargetMode="External"/><Relationship Id="rId2" Type="http://schemas.openxmlformats.org/officeDocument/2006/relationships/styles" Target="styles.xml"/><Relationship Id="rId16" Type="http://schemas.openxmlformats.org/officeDocument/2006/relationships/hyperlink" Target="https://doi.org/10.1016/j.neuro.2009.08.012" TargetMode="External"/><Relationship Id="rId20" Type="http://schemas.openxmlformats.org/officeDocument/2006/relationships/hyperlink" Target="https://nopr.niscpr.res.in/handle/123456789/19932" TargetMode="External"/><Relationship Id="rId29" Type="http://schemas.openxmlformats.org/officeDocument/2006/relationships/hyperlink" Target="https://doi.org/10.1016/j.jff.2017.07.001" TargetMode="External"/><Relationship Id="rId41"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10.1016/j.cbpc.2016.03.006" TargetMode="External"/><Relationship Id="rId24" Type="http://schemas.openxmlformats.org/officeDocument/2006/relationships/hyperlink" Target="https://doi.org/10.1016/j.canlet.2020.01.019" TargetMode="External"/><Relationship Id="rId32" Type="http://schemas.openxmlformats.org/officeDocument/2006/relationships/hyperlink" Target="https://doi.org/10.1016/j.sjbs.2020.12.023" TargetMode="External"/><Relationship Id="rId37" Type="http://schemas.openxmlformats.org/officeDocument/2006/relationships/hyperlink" Target="https://doi.org/10.1002/arch.21785" TargetMode="External"/><Relationship Id="rId40" Type="http://schemas.openxmlformats.org/officeDocument/2006/relationships/hyperlink" Target="https://doi.org/10.3967/bes2018.091" TargetMode="External"/><Relationship Id="rId5" Type="http://schemas.openxmlformats.org/officeDocument/2006/relationships/footnotes" Target="footnotes.xml"/><Relationship Id="rId15" Type="http://schemas.openxmlformats.org/officeDocument/2006/relationships/hyperlink" Target="https://doi.org/10.1371/journal.pbio.2005206" TargetMode="External"/><Relationship Id="rId23" Type="http://schemas.openxmlformats.org/officeDocument/2006/relationships/hyperlink" Target="https://doi.org/10.1016/j.bbrc.2008.07.011" TargetMode="External"/><Relationship Id="rId28" Type="http://schemas.openxmlformats.org/officeDocument/2006/relationships/hyperlink" Target="https://doi.org/10.1016/S1011-1344(01)00206-8" TargetMode="External"/><Relationship Id="rId36" Type="http://schemas.openxmlformats.org/officeDocument/2006/relationships/hyperlink" Target="https://doi.org/10.3390/cancers11081191" TargetMode="External"/><Relationship Id="rId10" Type="http://schemas.openxmlformats.org/officeDocument/2006/relationships/hyperlink" Target="https://doi.org/10.1096/fj.202400390R" TargetMode="External"/><Relationship Id="rId19" Type="http://schemas.openxmlformats.org/officeDocument/2006/relationships/hyperlink" Target="https://doi.org/10.1016/S1369-7021(11)70113-4" TargetMode="External"/><Relationship Id="rId31" Type="http://schemas.openxmlformats.org/officeDocument/2006/relationships/hyperlink" Target="https://doi.org/10.1016/j.jinsphys.2014.04.005" TargetMode="External"/><Relationship Id="rId4" Type="http://schemas.openxmlformats.org/officeDocument/2006/relationships/webSettings" Target="webSettings.xml"/><Relationship Id="rId9" Type="http://schemas.openxmlformats.org/officeDocument/2006/relationships/hyperlink" Target="https://doi.org/10.1016/j.tox.2012.01.016" TargetMode="External"/><Relationship Id="rId14" Type="http://schemas.openxmlformats.org/officeDocument/2006/relationships/hyperlink" Target="https://doi.org/10.1007/s12672-025-01746-6" TargetMode="External"/><Relationship Id="rId22" Type="http://schemas.openxmlformats.org/officeDocument/2006/relationships/hyperlink" Target="https://doi.org/10.1016/S0531-5565(00)00198-4" TargetMode="External"/><Relationship Id="rId27" Type="http://schemas.openxmlformats.org/officeDocument/2006/relationships/hyperlink" Target="https://www.nature.com/scitable/topicpage/discovery-of-dna-structure-and-function-watson-397/" TargetMode="External"/><Relationship Id="rId30" Type="http://schemas.openxmlformats.org/officeDocument/2006/relationships/hyperlink" Target="https://doi.org/10.1039/b201230h" TargetMode="External"/><Relationship Id="rId35" Type="http://schemas.openxmlformats.org/officeDocument/2006/relationships/hyperlink" Target="https://doi.org/10.1371/journal.pone.0037495" TargetMode="External"/><Relationship Id="rId43" Type="http://schemas.openxmlformats.org/officeDocument/2006/relationships/theme" Target="theme/theme1.xml"/><Relationship Id="rId8" Type="http://schemas.openxmlformats.org/officeDocument/2006/relationships/hyperlink" Target="https://doi.org/10.1038/nrc1820" TargetMode="External"/><Relationship Id="rId3" Type="http://schemas.openxmlformats.org/officeDocument/2006/relationships/settings" Target="settings.xml"/><Relationship Id="rId12" Type="http://schemas.openxmlformats.org/officeDocument/2006/relationships/hyperlink" Target="https://doi.org/10.1016/j.biocel.2020.105698" TargetMode="External"/><Relationship Id="rId17" Type="http://schemas.openxmlformats.org/officeDocument/2006/relationships/hyperlink" Target="https://doi.org/10.1016/j.ejphar.2019.172481" TargetMode="External"/><Relationship Id="rId25" Type="http://schemas.openxmlformats.org/officeDocument/2006/relationships/hyperlink" Target="https://doi.org/10.1007/978-1-4939-6371-3_19" TargetMode="External"/><Relationship Id="rId33" Type="http://schemas.openxmlformats.org/officeDocument/2006/relationships/hyperlink" Target="https://doi.org/10.1016/S1471-4892(02)00206-0" TargetMode="External"/><Relationship Id="rId38" Type="http://schemas.openxmlformats.org/officeDocument/2006/relationships/hyperlink" Target="https://doi.org/10.7554/eLife.22441" TargetMode="Externa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16</Pages>
  <Words>5779</Words>
  <Characters>32944</Characters>
  <Application>Microsoft Office Word</Application>
  <DocSecurity>0</DocSecurity>
  <Lines>274</Lines>
  <Paragraphs>77</Paragraphs>
  <ScaleCrop>false</ScaleCrop>
  <Company/>
  <LinksUpToDate>false</LinksUpToDate>
  <CharactersWithSpaces>38646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Ashif Newform</dc:creator>
  <cp:keywords/>
  <dc:description/>
  <cp:lastModifiedBy>SDI 1020</cp:lastModifiedBy>
  <cp:revision>11</cp:revision>
  <dcterms:created xsi:type="dcterms:W3CDTF">2026-08-17T10:21:00Z</dcterms:created>
  <dcterms:modified xsi:type="dcterms:W3CDTF">2026-08-17T13:12:00Z</dcterms:modified>
  <dc:language>en-US</dc:language>
</cp:coreProperties>
</file>