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8FEAB" w14:textId="77777777" w:rsidR="006D2956" w:rsidRPr="006D2956" w:rsidRDefault="006D2956" w:rsidP="00955A12">
      <w:pPr>
        <w:spacing w:before="100" w:beforeAutospacing="1" w:after="100" w:afterAutospacing="1" w:line="240" w:lineRule="auto"/>
        <w:jc w:val="both"/>
        <w:outlineLvl w:val="1"/>
        <w:rPr>
          <w:rFonts w:ascii="Times New Roman" w:eastAsia="Times New Roman" w:hAnsi="Times New Roman" w:cs="Times New Roman"/>
          <w:b/>
          <w:bCs/>
          <w:sz w:val="36"/>
          <w:szCs w:val="36"/>
          <w:lang w:eastAsia="en-GB"/>
        </w:rPr>
      </w:pPr>
      <w:r w:rsidRPr="006D2956">
        <w:rPr>
          <w:rFonts w:ascii="Times New Roman" w:eastAsia="Times New Roman" w:hAnsi="Times New Roman" w:cs="Times New Roman"/>
          <w:b/>
          <w:bCs/>
          <w:sz w:val="36"/>
          <w:szCs w:val="36"/>
          <w:lang w:eastAsia="en-GB"/>
        </w:rPr>
        <w:t>Carbon Footprints of Aquaculture Systems: Advances in Life Cycle Assessment and Emission Reduction Strategies</w:t>
      </w:r>
    </w:p>
    <w:p w14:paraId="0FDEB7B9" w14:textId="77777777" w:rsidR="006D2956" w:rsidRPr="006D2956" w:rsidRDefault="006D2956" w:rsidP="00955A12">
      <w:pPr>
        <w:spacing w:after="0" w:line="240" w:lineRule="auto"/>
        <w:jc w:val="both"/>
        <w:rPr>
          <w:rFonts w:ascii="Times New Roman" w:eastAsia="Times New Roman" w:hAnsi="Times New Roman" w:cs="Times New Roman"/>
          <w:sz w:val="24"/>
          <w:szCs w:val="24"/>
          <w:lang w:eastAsia="en-GB"/>
        </w:rPr>
      </w:pPr>
    </w:p>
    <w:p w14:paraId="6E3AE043" w14:textId="77777777" w:rsidR="006D2956" w:rsidRPr="006D2956" w:rsidRDefault="006D2956" w:rsidP="00955A12">
      <w:pPr>
        <w:spacing w:before="100" w:beforeAutospacing="1" w:after="100" w:afterAutospacing="1" w:line="240" w:lineRule="auto"/>
        <w:jc w:val="both"/>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Abstract</w:t>
      </w:r>
    </w:p>
    <w:p w14:paraId="63BA630C"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Global aquaculture has expanded considerably over recent decades, now supplying more than half of the world's seafood for direct human consumption. Despite its recognised contribution to food security and nutrition, the sector generates greenhouse gas (GHG) emissions through diverse pathways that include feed production, energy consumption, land-use change, and direct gaseous emissions from production systems. Life cycle assessment (LCA) has become the principal methodological framework for quantifying the carbon footprints of farmed seafood, yet its application across different species, production systems, and geographic contexts remains highly heterogeneous, complicating cross-study comparisons and the formulation of targeted policy responses. This review critically examines the state of knowledge on carbon footprints in aquaculture, with particular attention to methodological advances in LCA, comparative emissions across production systems, and promising strategies for emission reduction. The evidence indicates that carbon footprints vary enormously across species and systems — from less than 1 kg CO₂-equivalent per kilogram of live-weight product for filter-feeding bivalves and certain seaweed species, to well over 20 kg CO₂-eq kg⁻¹ for intensively produced carnivorous species. Feed production, particularly the harvesting and processing of wild fish for fishmeal and fish oil, consistently emerges as the dominant emission hotspot in fed aquaculture. Advances in LCA methodology, including the adoption of consequential approaches, enhanced allocation procedures, and integration with biodiversity and water-use impact categories, are improving the analytical rigour and policy relevance of carbon accounting in the sector. Mitigation strategies such as alternative protein feeds, renewable energy uptake, recirculating aquaculture systems, and integrated multi-trophic aquaculture offer credible pathways toward decarbonisation, though their effective deployment requires supportive governance frameworks and sustained investment in infrastructure and monitoring capacity.</w:t>
      </w:r>
    </w:p>
    <w:p w14:paraId="0076B52E"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b/>
          <w:bCs/>
          <w:sz w:val="24"/>
          <w:szCs w:val="24"/>
          <w:lang w:eastAsia="en-GB"/>
        </w:rPr>
        <w:t>Keywords:</w:t>
      </w:r>
      <w:r w:rsidRPr="006D2956">
        <w:rPr>
          <w:rFonts w:ascii="Times New Roman" w:eastAsia="Times New Roman" w:hAnsi="Times New Roman" w:cs="Times New Roman"/>
          <w:sz w:val="24"/>
          <w:szCs w:val="24"/>
          <w:lang w:eastAsia="en-GB"/>
        </w:rPr>
        <w:t xml:space="preserve"> aquaculture; carbon footprint; life cycle assessment; greenhouse gas emissions; emission reduction; recirculating aquaculture systems; integrated multi-trophic aquaculture; sustainable seafood</w:t>
      </w:r>
    </w:p>
    <w:p w14:paraId="651155D0" w14:textId="77777777" w:rsidR="006D2956" w:rsidRPr="006D2956" w:rsidRDefault="006D2956" w:rsidP="00955A12">
      <w:pPr>
        <w:spacing w:after="0" w:line="240" w:lineRule="auto"/>
        <w:jc w:val="both"/>
        <w:rPr>
          <w:rFonts w:ascii="Times New Roman" w:eastAsia="Times New Roman" w:hAnsi="Times New Roman" w:cs="Times New Roman"/>
          <w:sz w:val="24"/>
          <w:szCs w:val="24"/>
          <w:lang w:eastAsia="en-GB"/>
        </w:rPr>
      </w:pPr>
    </w:p>
    <w:p w14:paraId="6515FDEE" w14:textId="77777777" w:rsidR="006D2956" w:rsidRPr="006D2956" w:rsidRDefault="006D2956" w:rsidP="00955A12">
      <w:pPr>
        <w:spacing w:before="100" w:beforeAutospacing="1" w:after="100" w:afterAutospacing="1" w:line="240" w:lineRule="auto"/>
        <w:jc w:val="both"/>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1. Introduction</w:t>
      </w:r>
    </w:p>
    <w:p w14:paraId="17BB71F3"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1.1 Global Aquaculture Growth and the Environmental Context</w:t>
      </w:r>
    </w:p>
    <w:p w14:paraId="0D0F2CA1"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Aquaculture has undergone a profound transformation over the past four decades, evolving from a largely subsistence and small-scale activity concentrated in parts of Asia into a genuinely global industry. Global production of aquatic animals through aquaculture now exceeds 90 million tonnes annually, and the sector accounts for approximately 57% of fish and seafood consumed directly by humans worldwide (FAO, 2024). This growth has been driven by stagnating wild capture fisheries, rising per capita demand for seafood protein, and a series of technological and husbandry advances that have made intensive production </w:t>
      </w:r>
      <w:r w:rsidRPr="006D2956">
        <w:rPr>
          <w:rFonts w:ascii="Times New Roman" w:eastAsia="Times New Roman" w:hAnsi="Times New Roman" w:cs="Times New Roman"/>
          <w:sz w:val="24"/>
          <w:szCs w:val="24"/>
          <w:lang w:eastAsia="en-GB"/>
        </w:rPr>
        <w:lastRenderedPageBreak/>
        <w:t>commercially viable across a widening range of species. The sector now spans an exceptionally diverse array of organisms and production configurations — from open-water net-pen salmon farming in Norwegian fjords and intensive shrimp ponds in Southeast Asia, to freshwater tilapia cage culture in sub-Saharan Africa, bivalve longlines along temperate coastlines, and emerging offshore finfish farms in exposed marine environments. As Troell et al. (2014) observed, this diversity is one of the sector's fundamental strengths from a food security perspective, but it also makes aquaculture inherently difficult to characterise in terms of aggregate environmental performance.</w:t>
      </w:r>
    </w:p>
    <w:p w14:paraId="1A2FDC8E"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continued growth of aquaculture has proceeded against a backdrop of mounting concern about its environmental externalities. Early scientific critiques focused on nutrient and chemical pollution, antibiotic resistance, disease transmission to wild stocks, and large-scale destruction of mangrove ecosystems for pond construction (Naylor et al., 1998; Primavera, 2006). More recently, attention has shifted progressively towards the sector's contribution to global climate change, and its reciprocal exposure to rising sea surface temperatures, ocean acidification, increased storm frequency, and altered precipitation regimes. Global food systems are estimated to account for between 21% and 37% of total anthropogenic GHG emissions (IPCC, 2019b), and as wild capture fisheries increasingly approach or exceed maximum sustainable yields, the dietary protein needs of a growing and more affluent global population will need to be met in substantial measure through expanded aquaculture production (FAO, 2020; Naylor et al., 2021). Ensuring that this expansion occurs without a proportionate rise in GHG emissions is therefore a central challenge for the sector and for food systems policy more broadly.</w:t>
      </w:r>
    </w:p>
    <w:p w14:paraId="0C66AE71" w14:textId="6565B7D5" w:rsidR="003871B6" w:rsidRPr="00955A12"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relationship between aquaculture and climate change runs in both directions: the sector contributes to GHG emissions while also being threatened by changing climatic conditions. From a mitigation standpoint, there is growing scientific recognition that some forms of aquaculture — particularly shellfish and seaweed cultivation — carry comparatively low carbon footprints relative to terrestrial livestock production (Poore &amp; Nemecek, 2018), and may even provide carbon sequestration co-benefits under appropriate management. Realising these advantages, however, requires a systematic and rigorous understanding of where and how emissions arise across the sector's full diversity of production systems.</w:t>
      </w:r>
      <w:r w:rsidR="00955A12">
        <w:rPr>
          <w:rFonts w:ascii="Times New Roman" w:eastAsia="Times New Roman" w:hAnsi="Times New Roman" w:cs="Times New Roman"/>
          <w:sz w:val="24"/>
          <w:szCs w:val="24"/>
          <w:lang w:eastAsia="en-GB"/>
        </w:rPr>
        <w:t xml:space="preserve"> </w:t>
      </w:r>
      <w:r w:rsidRPr="00955A12">
        <w:rPr>
          <w:rFonts w:ascii="Times New Roman" w:eastAsia="Times New Roman" w:hAnsi="Times New Roman"/>
          <w:bCs/>
          <w:sz w:val="24"/>
          <w:highlight w:val="yellow"/>
        </w:rPr>
        <w:t>Recent synthesis of mariculture pathways indicates that emissions-reduction opportunities differ among fed finfish, bivalve, and seaweed systems and depend on both farm operations and supply-chain management (Jones et al., 2022). System-level evidence for bivalve cultivation also demonstrates that assessments of climate benefit are sensitive to life cycle boundaries and to the treatment of shell formation, operational emissions, and post-harvest shell fate (Tamburini et al., 2022).</w:t>
      </w:r>
    </w:p>
    <w:p w14:paraId="5A3EE57D"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1.2 Life Cycle Assessment and Carbon Accounting in Aquaculture</w:t>
      </w:r>
    </w:p>
    <w:p w14:paraId="39F6CE58"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Life cycle assessment is a standardised analytical framework for quantifying the environmental burdens associated with a product or service across its entire life cycle, from raw material extraction through production, use, and end-of-life management. Its application to aquaculture has grown steadily since the early 2000s, generating a body of literature that, while increasingly sophisticated, is characterised by considerable methodological heterogeneity in system boundary definitions, functional units, allocation procedures, and background inventory datasets (Bohnes et al., 2019; Finnveden et al., 2009). These differences can produce seemingly contradictory findings about the relative environmental </w:t>
      </w:r>
      <w:r w:rsidRPr="006D2956">
        <w:rPr>
          <w:rFonts w:ascii="Times New Roman" w:eastAsia="Times New Roman" w:hAnsi="Times New Roman" w:cs="Times New Roman"/>
          <w:sz w:val="24"/>
          <w:szCs w:val="24"/>
          <w:lang w:eastAsia="en-GB"/>
        </w:rPr>
        <w:lastRenderedPageBreak/>
        <w:t>performance of different species and production systems, and have prompted calls for greater standardisation in reporting practice.</w:t>
      </w:r>
    </w:p>
    <w:p w14:paraId="0DD2F0C1" w14:textId="1B7E7318" w:rsidR="003871B6" w:rsidRPr="00955A12"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Despite these challenges, published LCA studies have generated important insights. Pelletier et al. (2009) showed that the carbon footprints of Atlantic salmon produced by six major exporting nations varied markedly, driven primarily by feed formulation and by the energy sources underpinning feed manufacture and farm operations. At a global scale, MacLeod et al. (2020) estimated that aquaculture contributes approximately 0.49% of global anthropogenic GHG emissions, though this aggregate figure conceals substantial variation across subsectors and production systems. Pelletier and Tyedmers (2010), comparing aquatic and terrestrial livestock systems more broadly, showed that the carbon intensity of aquatic food production is highly system-dependent and resists simple generalisation. The scientific community has since widened the set of environmental concerns addressed in aquaculture LCA to encompass eutrophication, land use, water use, and biodiversity impacts (Henriksson et al., 2015; Newton &amp; Little, 2018), although climate change impact remains the dominant metric in policy debates and commercial sustainability assessments.</w:t>
      </w:r>
      <w:r w:rsidR="00955A12">
        <w:rPr>
          <w:rFonts w:ascii="Times New Roman" w:eastAsia="Times New Roman" w:hAnsi="Times New Roman" w:cs="Times New Roman"/>
          <w:sz w:val="24"/>
          <w:szCs w:val="24"/>
          <w:lang w:eastAsia="en-GB"/>
        </w:rPr>
        <w:t xml:space="preserve"> </w:t>
      </w:r>
      <w:r w:rsidRPr="00955A12">
        <w:rPr>
          <w:rFonts w:ascii="Times New Roman" w:eastAsia="Times New Roman" w:hAnsi="Times New Roman"/>
          <w:bCs/>
          <w:sz w:val="24"/>
          <w:highlight w:val="yellow"/>
        </w:rPr>
        <w:t>Recent case-study evidence further confirms that feed can dominate multiple environmental impact categories in seabass and seabream production, while resource-use context and the selected functional basis influence interpretation of system performance (Briones-Hidrovo et al., 2023). A recent review of integrated multi-trophic aquaculture LCAs likewise identifies continuing inconsistencies in functional units, data collection, impact-category selection, and methodological implementation, supporting the development of aquaculture-specific inventories and more standardised assessment practice (Hala et al., 2024).</w:t>
      </w:r>
      <w:r w:rsidR="00955A12">
        <w:rPr>
          <w:rFonts w:ascii="Times New Roman" w:eastAsia="Times New Roman" w:hAnsi="Times New Roman" w:cs="Times New Roman"/>
          <w:sz w:val="24"/>
          <w:szCs w:val="24"/>
          <w:lang w:eastAsia="en-GB"/>
        </w:rPr>
        <w:t xml:space="preserve"> </w:t>
      </w:r>
      <w:r w:rsidRPr="00955A12">
        <w:rPr>
          <w:rFonts w:ascii="Times New Roman" w:eastAsia="Times New Roman" w:hAnsi="Times New Roman"/>
          <w:bCs/>
          <w:sz w:val="24"/>
          <w:highlight w:val="yellow"/>
        </w:rPr>
        <w:t>Despite this expanding evidence base, aquaculture carbon-footprint research remains fragmented across species, production technologies, geographical settings, functional units, system boundaries, and allocation procedures. Consequently, an integrated synthesis is needed to distinguish robust cross-system patterns from context-dependent findings and to connect methodological advances with emission hotspots and feasible mitigation strategies.</w:t>
      </w:r>
    </w:p>
    <w:p w14:paraId="706AC4CC"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1.3 Scope and Objectives of This Review</w:t>
      </w:r>
    </w:p>
    <w:p w14:paraId="4B0CB826"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This review critically examines the current state of knowledge on carbon footprints in aquaculture, with particular focus on life cycle assessment methodology, comparative emissions across major production systems, and strategies for emission reduction. The paper draws primarily on peer-reviewed literature published between 2000 and 2024, with emphasis on studies from the past decade that reflect methodological advances and the evolving structure of global aquaculture production. The specific objectives are: first, to review and critically evaluate LCA methodologies as applied to aquaculture carbon accounting; second, to synthesise comparative carbon footprint data across species and production systems; third, to identify the primary emission hotspots and their underlying drivers; fourth, to assess recent advances in LCA methodology applicable to the sector; and fifth, to evaluate the evidence base for proposed emission reduction strategies. By providing a structured and critical synthesis of existing knowledge, this review aims to support researchers, practitioners, and policymakers in identifying the most effective pathways toward a lower-carbon aquaculture sector.</w:t>
      </w:r>
    </w:p>
    <w:p w14:paraId="42017554" w14:textId="77777777" w:rsidR="006D2956" w:rsidRPr="006D2956" w:rsidRDefault="006D2956" w:rsidP="00955A12">
      <w:pPr>
        <w:spacing w:after="0" w:line="240" w:lineRule="auto"/>
        <w:jc w:val="both"/>
        <w:rPr>
          <w:rFonts w:ascii="Times New Roman" w:eastAsia="Times New Roman" w:hAnsi="Times New Roman" w:cs="Times New Roman"/>
          <w:sz w:val="24"/>
          <w:szCs w:val="24"/>
          <w:lang w:eastAsia="en-GB"/>
        </w:rPr>
      </w:pPr>
    </w:p>
    <w:p w14:paraId="4CFEE418" w14:textId="77777777" w:rsidR="006D2956" w:rsidRPr="006D2956" w:rsidRDefault="006D2956" w:rsidP="00955A12">
      <w:pPr>
        <w:spacing w:before="100" w:beforeAutospacing="1" w:after="100" w:afterAutospacing="1" w:line="240" w:lineRule="auto"/>
        <w:jc w:val="both"/>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2. Methods for Literature Selection</w:t>
      </w:r>
    </w:p>
    <w:p w14:paraId="6981389E"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lastRenderedPageBreak/>
        <w:t>2.1 Databases and Search Strategy</w:t>
      </w:r>
    </w:p>
    <w:p w14:paraId="1D6605AE"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This narrative review was conducted through </w:t>
      </w:r>
      <w:r>
        <w:rPr>
          <w:rFonts w:ascii="Times New Roman" w:eastAsia="Times New Roman" w:hAnsi="Times New Roman" w:cs="Times New Roman"/>
          <w:sz w:val="24"/>
          <w:szCs w:val="24"/>
          <w:lang w:eastAsia="en-GB"/>
        </w:rPr>
        <w:t>stratified</w:t>
      </w:r>
      <w:r w:rsidRPr="006D2956">
        <w:rPr>
          <w:rFonts w:ascii="Times New Roman" w:eastAsia="Times New Roman" w:hAnsi="Times New Roman" w:cs="Times New Roman"/>
          <w:sz w:val="24"/>
          <w:szCs w:val="24"/>
          <w:lang w:eastAsia="en-GB"/>
        </w:rPr>
        <w:t xml:space="preserve"> searching of multiple bibliographic databases spanning natural sciences, environmental engineering, food technology, and fisheries.</w:t>
      </w:r>
      <w:r>
        <w:rPr>
          <w:rFonts w:ascii="Times New Roman" w:eastAsia="Times New Roman" w:hAnsi="Times New Roman" w:cs="Times New Roman"/>
          <w:sz w:val="24"/>
          <w:szCs w:val="24"/>
          <w:lang w:eastAsia="en-GB"/>
        </w:rPr>
        <w:t xml:space="preserve"> </w:t>
      </w:r>
      <w:r w:rsidRPr="006D2956">
        <w:rPr>
          <w:rFonts w:ascii="Times New Roman" w:eastAsia="Times New Roman" w:hAnsi="Times New Roman" w:cs="Times New Roman"/>
          <w:sz w:val="24"/>
          <w:szCs w:val="24"/>
          <w:lang w:eastAsia="en-GB"/>
        </w:rPr>
        <w:t>The literature search covered publications from January 20</w:t>
      </w:r>
      <w:r>
        <w:rPr>
          <w:rFonts w:ascii="Times New Roman" w:eastAsia="Times New Roman" w:hAnsi="Times New Roman" w:cs="Times New Roman"/>
          <w:sz w:val="24"/>
          <w:szCs w:val="24"/>
          <w:lang w:eastAsia="en-GB"/>
        </w:rPr>
        <w:t>00</w:t>
      </w:r>
      <w:r w:rsidRPr="006D2956">
        <w:rPr>
          <w:rFonts w:ascii="Times New Roman" w:eastAsia="Times New Roman" w:hAnsi="Times New Roman" w:cs="Times New Roman"/>
          <w:sz w:val="24"/>
          <w:szCs w:val="24"/>
          <w:lang w:eastAsia="en-GB"/>
        </w:rPr>
        <w:t xml:space="preserve"> to 2 April 2026, with earlier foundational sources included selectively where they represented seminal methodological or conceptual contributions The primary databases searched were Web of Science, Scopus, Google Scholar, and PubMed. In addition, field-specific databases and information resources were consulted, including Aquatic Sciences and Fisheries Abstracts (ASFA), CAB Abstracts, the Food and Agriculture Organization eLibrary (FAO eLibrary), the Global Aquaculture Alliance Digital Library, FAOSTAT, and the Aquaculture Compendium (CABI). The literature search covered publications from January 2000 to December 2024. While this range captures the full development of the aquaculture LCA literature, particular emphasis was placed on studies published after 2012, reflecting both methodological advances and the emergence of more recently developed production systems. Seminal studies published before 2012 were retained where they represented foundational contributions to LCA methodology or established key benchmarks in carbon footprint accounting.</w:t>
      </w:r>
    </w:p>
    <w:p w14:paraId="6DF4967C"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following core search strings were used, adapted as necessary to the controlled vocabulary conventions of individual databases: ("aquaculture" OR "fish farming" OR "mariculture" OR "shrimp farming" OR "salmon farming") AND ("life cycle assessment" OR "LCA" OR "carbon footprint" OR "greenhouse gas" OR "GHG emissions" OR "CO2 equivalent" OR "climate change impact"); ("salmon" OR "shrimp" OR "tilapia" OR "shellfish" OR "seaweed" OR "bivalve" OR "mussel") AND ("life cycle assessment" OR "environmental impact assessment" OR "emission factor"); ("emission reduction" OR "decarbonisation" OR "mitigation" OR "low-carbon") AND ("aquaculture" OR "fish production" OR "farmed seafood"). Boolean operators were applied consistently throughout, and the reference lists of highly cited review articles were manually screened to identify studies not returned by the primary database searches.</w:t>
      </w:r>
    </w:p>
    <w:p w14:paraId="5B3E0EAD"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2.2 Inclusion and Exclusion Criteria</w:t>
      </w:r>
    </w:p>
    <w:p w14:paraId="76C5F7F5"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Studies were included if they were published in peer-reviewed academic journals, or constituted authoritative institutional reports from bodies such as the Food and Agriculture Organization of the United Nations, the Intergovernmental Panel on Climate Change, or equivalent national and intergovernmental organisations. Conference papers, trade publications, grey literature, book chapters, preprints, and patents were excluded. Included studies were required to be published in English, to address quantitative or semi-quantitative assessment of environmental burdens in aquaculture contexts, and to employ recognised methodological frameworks such as LCA, carbon footprint analysis, or equivalent environmental impact assessment approaches. Publications addressing solely economic or social sustainability dimensions without quantitative environmental indicators, and those focused on wild-capture fisheries rather than aquaculture, were excluded unless they offered directly relevant comparative data. Influential studies were selected with particular attention to citation count, methodological rigour, geographic and species coverage, and contribution to advancing either empirical understanding or methodological practice.</w:t>
      </w:r>
    </w:p>
    <w:p w14:paraId="23C66E89"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2.3 Screening Workflow and Justification for Narrative Review</w:t>
      </w:r>
    </w:p>
    <w:p w14:paraId="0E8B536A"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Titles and abstracts of all retrieved records were screened against the inclusion and exclusion criteria described above. Full texts were retrieved for all potentially eligible studies and subjected to a second round of assessment. Duplicate records identified across multiple databases were removed at the screening stage, and language restriction to English was applied throughout. A narrative rather than systematic review approach was adopted for this article. This decision reflects the inherent methodological heterogeneity of published aquaculture LCA studies in terms of system boundaries, functional units, allocation procedures, and background datasets — heterogeneity that would preclude meaningful meta-analytical aggregation of quantitative carbon footprint estimates. As Snyder (2019) argues, narrative reviews are particularly well suited to synthesising literatures characterised by methodological diversity, and to generating conceptual insights and critical evaluations that go beyond what systematic quantitative synthesis would allow. The narrative approach also makes it possible to treat methodological limitations, context-specific findings, and emerging research directions with the kind of nuance that is central to this review's purpose.</w:t>
      </w:r>
    </w:p>
    <w:p w14:paraId="120BD497" w14:textId="77777777" w:rsidR="006D2956" w:rsidRPr="006D2956" w:rsidRDefault="006D2956" w:rsidP="00955A12">
      <w:pPr>
        <w:spacing w:after="0" w:line="240" w:lineRule="auto"/>
        <w:jc w:val="both"/>
        <w:rPr>
          <w:rFonts w:ascii="Times New Roman" w:eastAsia="Times New Roman" w:hAnsi="Times New Roman" w:cs="Times New Roman"/>
          <w:sz w:val="24"/>
          <w:szCs w:val="24"/>
          <w:lang w:eastAsia="en-GB"/>
        </w:rPr>
      </w:pPr>
    </w:p>
    <w:p w14:paraId="6AE7587B" w14:textId="77777777" w:rsidR="006D2956" w:rsidRPr="006D2956" w:rsidRDefault="006D2956" w:rsidP="00955A12">
      <w:pPr>
        <w:spacing w:before="100" w:beforeAutospacing="1" w:after="100" w:afterAutospacing="1" w:line="240" w:lineRule="auto"/>
        <w:jc w:val="both"/>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3. Life Cycle Assessment as an Environmental Accounting Tool</w:t>
      </w:r>
    </w:p>
    <w:p w14:paraId="483A464B"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3.1 Principles and Methodological Framework</w:t>
      </w:r>
    </w:p>
    <w:p w14:paraId="7EA77C64"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Life cycle assessment is a well-established environmental systems analysis methodology that quantifies the material and energy inputs, waste and emissions outputs, and potential environmental impacts associated with a product system throughout its complete life cycle. The methodology proceeds through four interdependent phases under the ISO 14040 and ISO 14044 standards: goal and scope definition, life cycle inventory analysis, life cycle impact assessment, and interpretation. Decisions made at each phase can materially affect the outcome of an assessment, and the transparency with which these decisions are reported largely determines how comparable and reproducible results are across studies (Finnveden et al., 2009).</w:t>
      </w:r>
    </w:p>
    <w:p w14:paraId="7A5BFDAA"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 aquaculture contexts, the goal and scope definition phase involves specifying the production system under assessment, the functional unit serving as the basis for comparison, and the system boundary delineating which upstream and downstream processes are included. The life cycle inventory analysis phase compiles data on all material and energy flows throughout the system — feed ingredient cultivation, fishing operations for wild-caught ingredients, transport, feed manufacture, on-farm energy use, waste treatment, and, where relevant, product processing, packaging, and distribution. The impact assessment phase then translates these inventory flows into environmental impact category scores, of which climate change, expressed as CO₂-equivalent on a 100-year global warming potential (GWP100) basis, is the most frequently assessed in aquaculture studies.</w:t>
      </w:r>
    </w:p>
    <w:p w14:paraId="361F4DFB"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The reliability of aquaculture LCA results depends fundamentally on the quality of primary data collected at farm level, supplemented by secondary data from life cycle inventory databases. Differences in background datasets across studies represent a significant source of inter-study variability, and have prompted calls for harmonised, regularly updated inventory datasets developed specifically for aquaculture supply chains (Bohnes et al., 2019; Newton &amp; Little, 2018). Papatryphon et al. (2004), in one of the earliest comprehensive LCA studies of aquafeeds, noted that the quality and provenance of background data for feed ingredients </w:t>
      </w:r>
      <w:r w:rsidRPr="006D2956">
        <w:rPr>
          <w:rFonts w:ascii="Times New Roman" w:eastAsia="Times New Roman" w:hAnsi="Times New Roman" w:cs="Times New Roman"/>
          <w:sz w:val="24"/>
          <w:szCs w:val="24"/>
          <w:lang w:eastAsia="en-GB"/>
        </w:rPr>
        <w:lastRenderedPageBreak/>
        <w:t>were critical determinants of result reliability — a concern that retains its full relevance as ingredient compositions continue to evolve.</w:t>
      </w:r>
    </w:p>
    <w:p w14:paraId="69FF6D53"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3.2 Allocation Approaches in Aquaculture LCA</w:t>
      </w:r>
    </w:p>
    <w:p w14:paraId="0711EC83"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One of the most consequential methodological choices in aquaculture LCA is the procedure used to allocate environmental burdens among the multiple co-products generated by an aquaculture operation, including whole fish, fillets, trimmings, and sludge. The allocation method chosen can substantially alter the apparent environmental performance of the primary product of interest. Three principal approaches appear in the literature: mass allocation, which distributes burdens in proportion to the physical mass of co-products; economic allocation, which uses relative market prices; and system expansion, which avoids allocation altogether by enlarging the system boundary to include the avoided burdens of co-products that substitute for functionally equivalent goods elsewhere in the economy.</w:t>
      </w:r>
    </w:p>
    <w:p w14:paraId="55AB0B85"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Aubin et al. (2009) and Ayer and Tyedmers (2009), in early comparative studies, demonstrated that the choice of allocation method can produce marked differences in reported carbon footprints for salmonid systems, sometimes altering conclusions about the relative performance of production alternatives entirely. The ISO standards express a preference for system expansion as the primary approach, with allocation by physical causality as the secondary option. In practice, economic allocation is widely used in aquaculture LCA because it reflects the commercial logic underlying production decisions, even though introducing price variability adds a further layer of uncertainty to the results. The choice of allocation approach should therefore be treated as a sensitivity parameter requiring explicit justification and testing in all published studies, rather than as a routine methodological default.</w:t>
      </w:r>
    </w:p>
    <w:p w14:paraId="1DE5D46C"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3.3 Functional Units and System Boundaries</w:t>
      </w:r>
    </w:p>
    <w:p w14:paraId="1512E451"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functional unit in aquaculture LCA determines the basis on which environmental performance is expressed and comparisons are drawn. The most common functional units in published studies are one tonne of live-weight product and one tonne of edible-weight product after accounting for processing losses. The edible-weight basis is increasingly favoured because it more accurately reflects the nutritional value delivered to the consumer and enables more meaningful cross-species comparisons (Henriksson et al., 2015). More recent studies have explored protein-based or nutrient-density-based functional units to facilitate comparisons with terrestrial protein sources — an approach particularly relevant to policy discussions centred on dietary transition and food system decarbonisation.</w:t>
      </w:r>
    </w:p>
    <w:p w14:paraId="10CDA9EE"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System boundaries in aquaculture LCA typically extend from the production of feed ingredients through to the farm gate, although more comprehensive studies extend further, to retail or to the point of consumption. The inclusion or exclusion of post-harvest stages — processing, packaging, refrigerated transport, and consumer food waste — can substantially affect the relative carbon intensity attributed to different species. Ziegler et al. (2013) showed, for Norwegian seafood products, that processing and cold-chain logistics contribute meaningfully to total carbon footprint for products exported to distant markets, underlining the importance of clearly specifying and justifying system boundary choices in primary publications.</w:t>
      </w:r>
    </w:p>
    <w:p w14:paraId="3CFCD346"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Table 1 sets out the principal methodological choices in aquaculture LCA and their likely implications for reported carbon footprint outcomes. The diversity of approaches captured in this table is one reason why reported values vary so widely across published studies, and why the development of sector-specific reporting guidelines — comparable to those that exist for some terrestrial livestock systems — represents an important priority for the aquaculture LCA research community.</w:t>
      </w:r>
    </w:p>
    <w:p w14:paraId="4A41E6AA" w14:textId="77777777" w:rsidR="006D2956" w:rsidRPr="006D2956" w:rsidRDefault="006D2956" w:rsidP="00955A12">
      <w:pPr>
        <w:spacing w:after="0" w:line="240" w:lineRule="auto"/>
        <w:jc w:val="both"/>
        <w:rPr>
          <w:rFonts w:ascii="Times New Roman" w:eastAsia="Times New Roman" w:hAnsi="Times New Roman" w:cs="Times New Roman"/>
          <w:sz w:val="24"/>
          <w:szCs w:val="24"/>
          <w:lang w:eastAsia="en-GB"/>
        </w:rPr>
      </w:pPr>
    </w:p>
    <w:p w14:paraId="5D3AF779"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b/>
          <w:bCs/>
          <w:sz w:val="24"/>
          <w:szCs w:val="24"/>
          <w:lang w:eastAsia="en-GB"/>
        </w:rPr>
        <w:t>Table 1: Key Methodological Choices in Aquaculture LCA and Their Implications for Carbon Footprint Assessment</w:t>
      </w:r>
    </w:p>
    <w:tbl>
      <w:tblPr>
        <w:tblStyle w:val="TableGridLight"/>
        <w:tblW w:w="0" w:type="auto"/>
        <w:tblLook w:val="04A0" w:firstRow="1" w:lastRow="0" w:firstColumn="1" w:lastColumn="0" w:noHBand="0" w:noVBand="1"/>
      </w:tblPr>
      <w:tblGrid>
        <w:gridCol w:w="2070"/>
        <w:gridCol w:w="2759"/>
        <w:gridCol w:w="4413"/>
      </w:tblGrid>
      <w:tr w:rsidR="006D2956" w:rsidRPr="006D2956" w14:paraId="5540B35B" w14:textId="77777777" w:rsidTr="006D2956">
        <w:tc>
          <w:tcPr>
            <w:tcW w:w="0" w:type="auto"/>
            <w:hideMark/>
          </w:tcPr>
          <w:p w14:paraId="3A34D67E"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Methodological Choice</w:t>
            </w:r>
          </w:p>
        </w:tc>
        <w:tc>
          <w:tcPr>
            <w:tcW w:w="0" w:type="auto"/>
            <w:hideMark/>
          </w:tcPr>
          <w:p w14:paraId="18156B14"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Common Approaches in Literature</w:t>
            </w:r>
          </w:p>
        </w:tc>
        <w:tc>
          <w:tcPr>
            <w:tcW w:w="0" w:type="auto"/>
            <w:hideMark/>
          </w:tcPr>
          <w:p w14:paraId="08B9A6CD"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Implications for Carbon Footprint Outcomes</w:t>
            </w:r>
          </w:p>
        </w:tc>
      </w:tr>
      <w:tr w:rsidR="006D2956" w:rsidRPr="006D2956" w14:paraId="7D92DA9C" w14:textId="77777777" w:rsidTr="006D2956">
        <w:tc>
          <w:tcPr>
            <w:tcW w:w="0" w:type="auto"/>
            <w:hideMark/>
          </w:tcPr>
          <w:p w14:paraId="2E2D7C55"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Functional unit</w:t>
            </w:r>
          </w:p>
        </w:tc>
        <w:tc>
          <w:tcPr>
            <w:tcW w:w="0" w:type="auto"/>
            <w:hideMark/>
          </w:tcPr>
          <w:p w14:paraId="22078D4A"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Live weight; edible weight; protein content</w:t>
            </w:r>
          </w:p>
        </w:tc>
        <w:tc>
          <w:tcPr>
            <w:tcW w:w="0" w:type="auto"/>
            <w:hideMark/>
          </w:tcPr>
          <w:p w14:paraId="16C42381"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Edible weight and protein-based units enable fairer cross-species and food group comparisons</w:t>
            </w:r>
          </w:p>
        </w:tc>
      </w:tr>
      <w:tr w:rsidR="006D2956" w:rsidRPr="006D2956" w14:paraId="37BD93D2" w14:textId="77777777" w:rsidTr="006D2956">
        <w:tc>
          <w:tcPr>
            <w:tcW w:w="0" w:type="auto"/>
            <w:hideMark/>
          </w:tcPr>
          <w:p w14:paraId="05D98F35"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System boundary</w:t>
            </w:r>
          </w:p>
        </w:tc>
        <w:tc>
          <w:tcPr>
            <w:tcW w:w="0" w:type="auto"/>
            <w:hideMark/>
          </w:tcPr>
          <w:p w14:paraId="0657938A"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Farm gate; processor gate; consumer</w:t>
            </w:r>
          </w:p>
        </w:tc>
        <w:tc>
          <w:tcPr>
            <w:tcW w:w="0" w:type="auto"/>
            <w:hideMark/>
          </w:tcPr>
          <w:p w14:paraId="68C3B9D8"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Extension beyond farm gate adds transport and cold chain emissions; boundary choice strongly affects comparative conclusions</w:t>
            </w:r>
          </w:p>
        </w:tc>
      </w:tr>
      <w:tr w:rsidR="006D2956" w:rsidRPr="006D2956" w14:paraId="6148A0CD" w14:textId="77777777" w:rsidTr="006D2956">
        <w:tc>
          <w:tcPr>
            <w:tcW w:w="0" w:type="auto"/>
            <w:hideMark/>
          </w:tcPr>
          <w:p w14:paraId="7EDCBEE5"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Allocation method</w:t>
            </w:r>
          </w:p>
        </w:tc>
        <w:tc>
          <w:tcPr>
            <w:tcW w:w="0" w:type="auto"/>
            <w:hideMark/>
          </w:tcPr>
          <w:p w14:paraId="75944EB3"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Mass allocation; economic allocation; system expansion</w:t>
            </w:r>
          </w:p>
        </w:tc>
        <w:tc>
          <w:tcPr>
            <w:tcW w:w="0" w:type="auto"/>
            <w:hideMark/>
          </w:tcPr>
          <w:p w14:paraId="559C1E70"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Method choice can alter absolute and relative carbon footprints substantially; system expansion is preferred under ISO standards</w:t>
            </w:r>
          </w:p>
        </w:tc>
      </w:tr>
      <w:tr w:rsidR="006D2956" w:rsidRPr="006D2956" w14:paraId="1B6AA978" w14:textId="77777777" w:rsidTr="006D2956">
        <w:tc>
          <w:tcPr>
            <w:tcW w:w="0" w:type="auto"/>
            <w:hideMark/>
          </w:tcPr>
          <w:p w14:paraId="3A4DCAD0"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Background datasets</w:t>
            </w:r>
          </w:p>
        </w:tc>
        <w:tc>
          <w:tcPr>
            <w:tcW w:w="0" w:type="auto"/>
            <w:hideMark/>
          </w:tcPr>
          <w:p w14:paraId="556A6E72"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Regional and global life cycle inventory databases; primary data</w:t>
            </w:r>
          </w:p>
        </w:tc>
        <w:tc>
          <w:tcPr>
            <w:tcW w:w="0" w:type="auto"/>
            <w:hideMark/>
          </w:tcPr>
          <w:p w14:paraId="6F1BDFEE"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Regional variation in energy mixes and agricultural practices creates large inter-study variability</w:t>
            </w:r>
          </w:p>
        </w:tc>
      </w:tr>
      <w:tr w:rsidR="006D2956" w:rsidRPr="006D2956" w14:paraId="78A8B006" w14:textId="77777777" w:rsidTr="006D2956">
        <w:tc>
          <w:tcPr>
            <w:tcW w:w="0" w:type="auto"/>
            <w:hideMark/>
          </w:tcPr>
          <w:p w14:paraId="65F42BBF"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Land-use change treatment</w:t>
            </w:r>
          </w:p>
        </w:tc>
        <w:tc>
          <w:tcPr>
            <w:tcW w:w="0" w:type="auto"/>
            <w:hideMark/>
          </w:tcPr>
          <w:p w14:paraId="633F1F58"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Included or excluded</w:t>
            </w:r>
          </w:p>
        </w:tc>
        <w:tc>
          <w:tcPr>
            <w:tcW w:w="0" w:type="auto"/>
            <w:hideMark/>
          </w:tcPr>
          <w:p w14:paraId="07A24E76"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Inclusion can dramatically increase footprints for systems linked to mangrove or forest conversion</w:t>
            </w:r>
          </w:p>
        </w:tc>
      </w:tr>
      <w:tr w:rsidR="006D2956" w:rsidRPr="006D2956" w14:paraId="09CA1E59" w14:textId="77777777" w:rsidTr="006D2956">
        <w:tc>
          <w:tcPr>
            <w:tcW w:w="0" w:type="auto"/>
            <w:hideMark/>
          </w:tcPr>
          <w:p w14:paraId="7A75C7FE"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Direct pond emissions</w:t>
            </w:r>
          </w:p>
        </w:tc>
        <w:tc>
          <w:tcPr>
            <w:tcW w:w="0" w:type="auto"/>
            <w:hideMark/>
          </w:tcPr>
          <w:p w14:paraId="1386582F"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Measured empirically or estimated from default emission factors</w:t>
            </w:r>
          </w:p>
        </w:tc>
        <w:tc>
          <w:tcPr>
            <w:tcW w:w="0" w:type="auto"/>
            <w:hideMark/>
          </w:tcPr>
          <w:p w14:paraId="23F1AEC2"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Empirical measurement is scarce; default emission factors introduce significant uncertainty</w:t>
            </w:r>
          </w:p>
        </w:tc>
      </w:tr>
    </w:tbl>
    <w:p w14:paraId="29FAF5F4"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i/>
          <w:iCs/>
          <w:sz w:val="24"/>
          <w:szCs w:val="24"/>
          <w:lang w:eastAsia="en-GB"/>
        </w:rPr>
        <w:t xml:space="preserve">Sources: Aubin et al. (2009); Ayer &amp; Tyedmers (2009); Bohnes et al. </w:t>
      </w:r>
      <w:r w:rsidRPr="00E3715D">
        <w:rPr>
          <w:rFonts w:ascii="Times New Roman" w:eastAsia="Times New Roman" w:hAnsi="Times New Roman" w:cs="Times New Roman"/>
          <w:i/>
          <w:iCs/>
          <w:sz w:val="24"/>
          <w:szCs w:val="24"/>
          <w:lang w:val="nl-BE" w:eastAsia="en-GB"/>
        </w:rPr>
        <w:t xml:space="preserve">(2019); Finnveden et al. (2009); Henriksson et al. (2015); Newton &amp; Little (2018); Ziegler et al. </w:t>
      </w:r>
      <w:r w:rsidRPr="006D2956">
        <w:rPr>
          <w:rFonts w:ascii="Times New Roman" w:eastAsia="Times New Roman" w:hAnsi="Times New Roman" w:cs="Times New Roman"/>
          <w:i/>
          <w:iCs/>
          <w:sz w:val="24"/>
          <w:szCs w:val="24"/>
          <w:lang w:eastAsia="en-GB"/>
        </w:rPr>
        <w:t>(2013)</w:t>
      </w:r>
    </w:p>
    <w:p w14:paraId="1BBA5F45" w14:textId="77777777" w:rsidR="006D2956" w:rsidRPr="006D2956" w:rsidRDefault="006D2956" w:rsidP="00955A12">
      <w:pPr>
        <w:spacing w:after="0" w:line="240" w:lineRule="auto"/>
        <w:jc w:val="both"/>
        <w:rPr>
          <w:rFonts w:ascii="Times New Roman" w:eastAsia="Times New Roman" w:hAnsi="Times New Roman" w:cs="Times New Roman"/>
          <w:sz w:val="24"/>
          <w:szCs w:val="24"/>
          <w:lang w:eastAsia="en-GB"/>
        </w:rPr>
      </w:pPr>
    </w:p>
    <w:p w14:paraId="57E5946F" w14:textId="77777777" w:rsidR="006D2956" w:rsidRPr="006D2956" w:rsidRDefault="006D2956" w:rsidP="00955A12">
      <w:pPr>
        <w:spacing w:before="100" w:beforeAutospacing="1" w:after="100" w:afterAutospacing="1" w:line="240" w:lineRule="auto"/>
        <w:jc w:val="both"/>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4. Carbon Footprints of Major Aquaculture Systems</w:t>
      </w:r>
    </w:p>
    <w:p w14:paraId="1D7C5346"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4.1 Salmonid Aquaculture</w:t>
      </w:r>
    </w:p>
    <w:p w14:paraId="45935BF4"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Salmonid farming, principally of Atlantic salmon (</w:t>
      </w:r>
      <w:r w:rsidRPr="006D2956">
        <w:rPr>
          <w:rFonts w:ascii="Times New Roman" w:eastAsia="Times New Roman" w:hAnsi="Times New Roman" w:cs="Times New Roman"/>
          <w:i/>
          <w:iCs/>
          <w:sz w:val="24"/>
          <w:szCs w:val="24"/>
          <w:lang w:eastAsia="en-GB"/>
        </w:rPr>
        <w:t>Salmo salar</w:t>
      </w:r>
      <w:r w:rsidRPr="006D2956">
        <w:rPr>
          <w:rFonts w:ascii="Times New Roman" w:eastAsia="Times New Roman" w:hAnsi="Times New Roman" w:cs="Times New Roman"/>
          <w:sz w:val="24"/>
          <w:szCs w:val="24"/>
          <w:lang w:eastAsia="en-GB"/>
        </w:rPr>
        <w:t>) and rainbow trout (</w:t>
      </w:r>
      <w:r w:rsidRPr="006D2956">
        <w:rPr>
          <w:rFonts w:ascii="Times New Roman" w:eastAsia="Times New Roman" w:hAnsi="Times New Roman" w:cs="Times New Roman"/>
          <w:i/>
          <w:iCs/>
          <w:sz w:val="24"/>
          <w:szCs w:val="24"/>
          <w:lang w:eastAsia="en-GB"/>
        </w:rPr>
        <w:t>Oncorhynchus mykiss</w:t>
      </w:r>
      <w:r w:rsidRPr="006D2956">
        <w:rPr>
          <w:rFonts w:ascii="Times New Roman" w:eastAsia="Times New Roman" w:hAnsi="Times New Roman" w:cs="Times New Roman"/>
          <w:sz w:val="24"/>
          <w:szCs w:val="24"/>
          <w:lang w:eastAsia="en-GB"/>
        </w:rPr>
        <w:t xml:space="preserve">), has attracted more LCA studies than any other aquaculture subsector, reflecting both the commercial importance of Norwegian and Chilean production and the relative accessibility of industry data for research purposes. In a landmark comparative analysis, Pelletier et al. (2009) assessed the carbon footprints of salmon produced by six major exporting nations and found significant variation across systems, with global warming potential estimates ranging from approximately 2.9 kg CO₂-eq kg⁻¹ live </w:t>
      </w:r>
      <w:r w:rsidRPr="006D2956">
        <w:rPr>
          <w:rFonts w:ascii="Times New Roman" w:eastAsia="Times New Roman" w:hAnsi="Times New Roman" w:cs="Times New Roman"/>
          <w:sz w:val="24"/>
          <w:szCs w:val="24"/>
          <w:lang w:eastAsia="en-GB"/>
        </w:rPr>
        <w:lastRenderedPageBreak/>
        <w:t>weight for Norwegian net-pen systems to substantially higher values for certain land-based and indoor facilities. The principal driver of this variability was feed formulation — specifically the proportion of marine ingredients derived from wild-caught fish — combined with the energy mix underpinning feed manufacture and farm operations.</w:t>
      </w:r>
    </w:p>
    <w:p w14:paraId="413B69F8"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Norwegian Atlantic salmon has been the subject of particularly thorough analysis. Ziegler et al. (2013) found that the carbon footprint of Norwegian salmon at the point of export to European markets was strongly influenced by the production of marine ingredients in fishmeal and fish oil, as well as by the energy used in processing and refrigerated transport. The progressive substitution of marine ingredients with soy protein concentrates and other plant-based ingredients in Norwegian and Chilean salmon feeds has generally yielded modest reductions in the carbon intensity of feed production, though these gains have been partially offset in some analyses by land-use-related emissions associated with soy cultivation in South America (Froehlich et al., 2018).</w:t>
      </w:r>
    </w:p>
    <w:p w14:paraId="1F5D3021" w14:textId="32409D8B"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Trout farming, studied in European contexts by </w:t>
      </w:r>
      <w:r w:rsidR="00E3715D" w:rsidRPr="00E3715D">
        <w:rPr>
          <w:rFonts w:ascii="Times New Roman" w:eastAsia="Times New Roman" w:hAnsi="Times New Roman" w:cs="Times New Roman"/>
          <w:sz w:val="24"/>
          <w:szCs w:val="24"/>
          <w:lang w:eastAsia="en-GB"/>
        </w:rPr>
        <w:t>Roque d'Orbcastel</w:t>
      </w:r>
      <w:r w:rsidRPr="006D2956">
        <w:rPr>
          <w:rFonts w:ascii="Times New Roman" w:eastAsia="Times New Roman" w:hAnsi="Times New Roman" w:cs="Times New Roman"/>
          <w:sz w:val="24"/>
          <w:szCs w:val="24"/>
          <w:lang w:eastAsia="en-GB"/>
        </w:rPr>
        <w:t xml:space="preserve"> et al. (2009) and Aubin et al. (2009), typically exhibits lower carbon footprints per kilogram of product than salmon — partly because trout are more often produced in flow-through freshwater systems with lower energy demands, and partly because trout feeds generally contain a smaller proportion of marine ingredients. The shift towards recirculating aquaculture systems in premium trout production adds energy-related emissions but can reduce environmental burdens in other categories, particularly those linked to water use and effluent discharge (Ahmed &amp; Turchini, 2021). Ayer and Tyedmers (2009), comparing conventional and land-based salmonid systems in Canada, found that while RAS offered important advantages in waste management and site flexibility, its substantially higher energy consumption was a significant environmental liability under the Canadian grid conditions prevailing at the time of their study.</w:t>
      </w:r>
    </w:p>
    <w:p w14:paraId="550C1E14"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4.2 Shrimp and Prawn Farming</w:t>
      </w:r>
    </w:p>
    <w:p w14:paraId="4CEAD908"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Shrimp aquaculture, concentrated primarily in South and Southeast Asia and Latin America, has attracted considerable environmental scrutiny owing to its historical association with mangrove deforestation, substantial feed and chemical inputs, and high energy consumption relative to product yield. Carbon footprint estimates for farmed shrimp vary very widely in the literature, ranging from approximately 4 to more than 18 kg CO₂-eq kg⁻¹ live weight, with the higher end of this range largely attributable to systems that account for the carbon debt accumulated through mangrove destruction (Jonell &amp; Henriksson, 2015; Primavera, 2006).</w:t>
      </w:r>
    </w:p>
    <w:p w14:paraId="6894D3BB"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Henriksson et al. (2018) applied LCA to shrimp and other aquaculture systems in Bangladesh and showed that intensifying traditional extensive and semi-intensive pond systems — while improving production efficiency per unit area — does not necessarily reduce the carbon footprint per kilogram of output if it is accompanied by increased energy and feed inputs without corresponding gains in feed conversion efficiency. Mungkung et al. (2013) compared conventional and integrated aquaculture systems for carp and tilapia in Indonesia and highlighted the potential for integrated cultivation approaches to achieve lower environmental impacts than mono-species intensive systems. Jonell and Henriksson (2015) further showed that certified organic shrimp farming in mangrove-integrated systems in Vietnam carried markedly different carbon profiles depending on whether changes in mangrove carbon stocks were included within the system boundary — underscoring how critical land-use change accounting is for coastal aquaculture assessments.</w:t>
      </w:r>
    </w:p>
    <w:p w14:paraId="308BA63E"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The relationship between mangrove loss and carbon emissions is particularly consequential for shrimp farming. Hamilton and Casey (2016) documented the scale of global mangrove loss during the early twenty-first century and noted the exceptionally high densities of organic carbon stored in mangrove soils, the disturbance of which releases long-sequestered carbon over timescales spanning decades. When mangrove carbon stock changes are incorporated into LCA inventories, the resulting carbon footprints for shrimp produced on converted land can rise dramatically relative to estimates that use narrower system boundaries. Bush et al. (2013) argued on this basis that certification schemes must build in robust mangrove protection and carbon accounting requirements if they are to be credible as sustainability instruments.</w:t>
      </w:r>
    </w:p>
    <w:p w14:paraId="78757548"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4.3 Tilapia and Freshwater Species</w:t>
      </w:r>
    </w:p>
    <w:p w14:paraId="4D21466A"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Tilapia (</w:t>
      </w:r>
      <w:r w:rsidRPr="006D2956">
        <w:rPr>
          <w:rFonts w:ascii="Times New Roman" w:eastAsia="Times New Roman" w:hAnsi="Times New Roman" w:cs="Times New Roman"/>
          <w:i/>
          <w:iCs/>
          <w:sz w:val="24"/>
          <w:szCs w:val="24"/>
          <w:lang w:eastAsia="en-GB"/>
        </w:rPr>
        <w:t>Oreochromis</w:t>
      </w:r>
      <w:r w:rsidRPr="006D2956">
        <w:rPr>
          <w:rFonts w:ascii="Times New Roman" w:eastAsia="Times New Roman" w:hAnsi="Times New Roman" w:cs="Times New Roman"/>
          <w:sz w:val="24"/>
          <w:szCs w:val="24"/>
          <w:lang w:eastAsia="en-GB"/>
        </w:rPr>
        <w:t xml:space="preserve"> spp.) are among the most widely produced freshwater fish globally and are cultivated across a broad spectrum of production intensities, from subsistence pond culture to highly intensive cage and RAS systems. Published LCA studies report carbon footprints for tilapia broadly in the range of 1.5 to 7 kg CO₂-eq kg⁻¹ live weight — a range that reflects considerable variation in feed composition, energy source, and production intensity (Henriksson et al., 2015; MacLeod et al., 2020). In extensive and semi-intensive pond systems, where naturally occurring algae and detritus supplement formulated feeds, carbon footprints tend towards the lower end of this range, but direct pond emissions of methane (CH₄) and nitrous oxide (N₂O) from organic matter decomposition and nitrification–denitrification cycles can be significant contributors to the overall climate burden (Hu et al., 2012).</w:t>
      </w:r>
    </w:p>
    <w:p w14:paraId="109722B5"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b/>
          <w:bCs/>
          <w:sz w:val="24"/>
          <w:szCs w:val="24"/>
          <w:lang w:eastAsia="en-GB"/>
        </w:rPr>
        <w:t>Bosma et al. (2011) examined intensive striped catfish pond farming in the Mekong Delta and highlighted the influence of feed production and local energy conditions on the environmental profile of pangasius (</w:t>
      </w:r>
      <w:r w:rsidRPr="006D2956">
        <w:rPr>
          <w:rFonts w:ascii="Times New Roman" w:eastAsia="Times New Roman" w:hAnsi="Times New Roman" w:cs="Times New Roman"/>
          <w:b/>
          <w:bCs/>
          <w:i/>
          <w:iCs/>
          <w:sz w:val="24"/>
          <w:szCs w:val="24"/>
          <w:lang w:eastAsia="en-GB"/>
        </w:rPr>
        <w:t>Pangasianodon hypophthalmus</w:t>
      </w:r>
      <w:r w:rsidRPr="006D2956">
        <w:rPr>
          <w:rFonts w:ascii="Times New Roman" w:eastAsia="Times New Roman" w:hAnsi="Times New Roman" w:cs="Times New Roman"/>
          <w:b/>
          <w:bCs/>
          <w:sz w:val="24"/>
          <w:szCs w:val="24"/>
          <w:lang w:eastAsia="en-GB"/>
        </w:rPr>
        <w:t>) production</w:t>
      </w:r>
      <w:r w:rsidRPr="006D2956">
        <w:rPr>
          <w:rFonts w:ascii="Times New Roman" w:eastAsia="Times New Roman" w:hAnsi="Times New Roman" w:cs="Times New Roman"/>
          <w:sz w:val="24"/>
          <w:szCs w:val="24"/>
          <w:lang w:eastAsia="en-GB"/>
        </w:rPr>
        <w:t xml:space="preserve"> — a species that has grown rapidly in importance as an exported commodity. Their findings pointed to considerable scope for improving environmental performance through better feed quality and management practice, an argument later echoed by Henriksson et al. (2018) in relation to the potential for sustainable intensification across South and Southeast Asian aquaculture more broadly.</w:t>
      </w:r>
    </w:p>
    <w:p w14:paraId="111B3733"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4.4 Bivalves and Shellfish</w:t>
      </w:r>
    </w:p>
    <w:p w14:paraId="5C2150E7"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Bivalve molluscs — principally mussels, oysters, clams, and scallops — occupy a distinctive position in the environmental performance landscape of aquaculture. Because bivalves are filter feeders that extract particulate matter directly from the water column and require no formulated feeds, the emissions associated with feed ingredient production — the dominant category in fed aquaculture — are essentially absent from their carbon footprint. LCA studies consistently report climate change impacts for bivalves among the lowest of any animal protein food, typically in the range of 0.4 to 2.0 kg CO₂-eq kg⁻¹ live weight (MacLeod et al., 2020; Poore &amp; Nemecek, 2018). Wilfart et al. (2013), examining a range of aquaculture configurations including bivalve systems using both LCA and emergy accounting, found that the ecological intensification potential of filter-feeders aligns particularly well with the sector's sustainability objectives.</w:t>
      </w:r>
    </w:p>
    <w:p w14:paraId="0529A2A9"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The possibility that bivalves may also provide a modest carbon sequestration function — through the incorporation of dissolved inorganic carbon into calcium carbonate shells — has </w:t>
      </w:r>
      <w:r w:rsidRPr="006D2956">
        <w:rPr>
          <w:rFonts w:ascii="Times New Roman" w:eastAsia="Times New Roman" w:hAnsi="Times New Roman" w:cs="Times New Roman"/>
          <w:sz w:val="24"/>
          <w:szCs w:val="24"/>
          <w:lang w:eastAsia="en-GB"/>
        </w:rPr>
        <w:lastRenderedPageBreak/>
        <w:t>attracted scientific and policy interest. Filgueira et al. (2015) explored the potential for cultivated bivalve shells to be integrated into carbon trading frameworks and concluded that, while the carbon immobilised in shells could in principle be credited, robust accounting protocols and long-term verification of shell fate would be prerequisites for any credible crediting mechanism.</w:t>
      </w:r>
    </w:p>
    <w:p w14:paraId="2951E0B9"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4.5 Seaweed and Algae Cultivation</w:t>
      </w:r>
    </w:p>
    <w:p w14:paraId="4526DCF1"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Seaweed aquaculture constitutes a rapidly growing segment of global production and has attracted increasing scientific and policy interest as a potential contributor to climate change mitigation through carbon sequestration, nutrient bioextraction, and the replacement of energy-intensive terrestrial agricultural ingredients in food and feed systems. Duarte et al. (2017) provided a comprehensive assessment of the potential roles of seaweed farming in climate mitigation and adaptation, identifying both the genuine promise of kelp and other macroalgae systems and the significant uncertainties that still surround carbon flux dynamics in cultivation environments. Krause-Jensen and Duarte (2016) estimated that natural macroalgal ecosystems play a substantial role in global marine carbon cycling, providing part of the scientific basis for assessing whether cultivated seaweed could replicate or enhance this function.</w:t>
      </w:r>
    </w:p>
    <w:p w14:paraId="7EF6EB2E"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carbon footprint of seaweed cultivation itself is very low — often near zero or marginally negative per kilogram of biomass once a credit is applied for the removal of dissolved inorganic nitrogen and phosphorus from the water column — although the net climate benefit depends on what the seaweed displaces elsewhere in the value chain (Chopin et al., 2001). As an ingredient in aquafeeds, seaweed-derived meal or algal oil can substitute for marine-derived or terrestrial crop-derived ingredients with potentially significant reductions in carbon intensity per tonne of feed (Becker, 2007). Integrated multi-trophic aquaculture systems that combine finfish, shellfish, and seaweed cultivation within a single production framework represent perhaps the most systematic attempt to capture the carbon and nutrient cycling benefits of macroalgae within a commercial setting (Troell et al., 2009).</w:t>
      </w:r>
    </w:p>
    <w:p w14:paraId="61A9378C"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Table 2 brings together carbon footprint estimates from peer-reviewed LCA studies for the major aquaculture species and production system types discussed in this section. The figures illustrate the enormous variation both between and within species groups, reinforcing the case for system-specific analysis rather than broad generalisation.</w:t>
      </w:r>
    </w:p>
    <w:p w14:paraId="33C4EF2B" w14:textId="77777777" w:rsidR="006D2956" w:rsidRPr="006D2956" w:rsidRDefault="006D2956" w:rsidP="00955A12">
      <w:pPr>
        <w:spacing w:after="0" w:line="240" w:lineRule="auto"/>
        <w:jc w:val="both"/>
        <w:rPr>
          <w:rFonts w:ascii="Times New Roman" w:eastAsia="Times New Roman" w:hAnsi="Times New Roman" w:cs="Times New Roman"/>
          <w:sz w:val="24"/>
          <w:szCs w:val="24"/>
          <w:lang w:eastAsia="en-GB"/>
        </w:rPr>
      </w:pPr>
    </w:p>
    <w:p w14:paraId="25182162"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b/>
          <w:bCs/>
          <w:sz w:val="24"/>
          <w:szCs w:val="24"/>
          <w:lang w:eastAsia="en-GB"/>
        </w:rPr>
        <w:t>Table 2: Approximate Carbon Footprint Estimates (kg CO₂-eq per kg Live-weight Product) for Major Aquaculture Systems</w:t>
      </w:r>
    </w:p>
    <w:tbl>
      <w:tblPr>
        <w:tblStyle w:val="TableGridLight"/>
        <w:tblW w:w="0" w:type="auto"/>
        <w:tblLook w:val="04A0" w:firstRow="1" w:lastRow="0" w:firstColumn="1" w:lastColumn="0" w:noHBand="0" w:noVBand="1"/>
      </w:tblPr>
      <w:tblGrid>
        <w:gridCol w:w="1421"/>
        <w:gridCol w:w="2065"/>
        <w:gridCol w:w="2508"/>
        <w:gridCol w:w="3248"/>
      </w:tblGrid>
      <w:tr w:rsidR="006D2956" w:rsidRPr="006D2956" w14:paraId="1CD7019A" w14:textId="77777777" w:rsidTr="006D2956">
        <w:tc>
          <w:tcPr>
            <w:tcW w:w="0" w:type="auto"/>
            <w:hideMark/>
          </w:tcPr>
          <w:p w14:paraId="29C5817F"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Species / System</w:t>
            </w:r>
          </w:p>
        </w:tc>
        <w:tc>
          <w:tcPr>
            <w:tcW w:w="0" w:type="auto"/>
            <w:hideMark/>
          </w:tcPr>
          <w:p w14:paraId="1905B743"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Production System Type</w:t>
            </w:r>
          </w:p>
        </w:tc>
        <w:tc>
          <w:tcPr>
            <w:tcW w:w="0" w:type="auto"/>
            <w:hideMark/>
          </w:tcPr>
          <w:p w14:paraId="0B543BD1"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Carbon Footprint Range (kg CO₂-eq kg⁻¹ LW)</w:t>
            </w:r>
          </w:p>
        </w:tc>
        <w:tc>
          <w:tcPr>
            <w:tcW w:w="0" w:type="auto"/>
            <w:hideMark/>
          </w:tcPr>
          <w:p w14:paraId="3987766D"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Key Drivers of Variation</w:t>
            </w:r>
          </w:p>
        </w:tc>
      </w:tr>
      <w:tr w:rsidR="006D2956" w:rsidRPr="006D2956" w14:paraId="4F9AC45D" w14:textId="77777777" w:rsidTr="006D2956">
        <w:tc>
          <w:tcPr>
            <w:tcW w:w="0" w:type="auto"/>
            <w:hideMark/>
          </w:tcPr>
          <w:p w14:paraId="7F6527CA"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Atlantic salmon</w:t>
            </w:r>
          </w:p>
        </w:tc>
        <w:tc>
          <w:tcPr>
            <w:tcW w:w="0" w:type="auto"/>
            <w:hideMark/>
          </w:tcPr>
          <w:p w14:paraId="66B46F16"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Marine net-pen (Norway / Chile)</w:t>
            </w:r>
          </w:p>
        </w:tc>
        <w:tc>
          <w:tcPr>
            <w:tcW w:w="0" w:type="auto"/>
            <w:hideMark/>
          </w:tcPr>
          <w:p w14:paraId="33167ED4"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2.9 – 6.0</w:t>
            </w:r>
          </w:p>
        </w:tc>
        <w:tc>
          <w:tcPr>
            <w:tcW w:w="0" w:type="auto"/>
            <w:hideMark/>
          </w:tcPr>
          <w:p w14:paraId="010C4AB5"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marine ingredient content; energy mix; feed conversion ratio</w:t>
            </w:r>
          </w:p>
        </w:tc>
      </w:tr>
      <w:tr w:rsidR="006D2956" w:rsidRPr="006D2956" w14:paraId="6F16AA9F" w14:textId="77777777" w:rsidTr="006D2956">
        <w:tc>
          <w:tcPr>
            <w:tcW w:w="0" w:type="auto"/>
            <w:hideMark/>
          </w:tcPr>
          <w:p w14:paraId="7F6C0FFB"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Rainbow trout</w:t>
            </w:r>
          </w:p>
        </w:tc>
        <w:tc>
          <w:tcPr>
            <w:tcW w:w="0" w:type="auto"/>
            <w:hideMark/>
          </w:tcPr>
          <w:p w14:paraId="6FAE0093"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Flow-through freshwater; RAS</w:t>
            </w:r>
          </w:p>
        </w:tc>
        <w:tc>
          <w:tcPr>
            <w:tcW w:w="0" w:type="auto"/>
            <w:hideMark/>
          </w:tcPr>
          <w:p w14:paraId="0158F2EE"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1.5 – 5.0</w:t>
            </w:r>
          </w:p>
        </w:tc>
        <w:tc>
          <w:tcPr>
            <w:tcW w:w="0" w:type="auto"/>
            <w:hideMark/>
          </w:tcPr>
          <w:p w14:paraId="4C6C3AC0"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Energy source; feed ingredient mix; system intensity</w:t>
            </w:r>
          </w:p>
        </w:tc>
      </w:tr>
      <w:tr w:rsidR="006D2956" w:rsidRPr="006D2956" w14:paraId="1AFE4B5D" w14:textId="77777777" w:rsidTr="006D2956">
        <w:tc>
          <w:tcPr>
            <w:tcW w:w="0" w:type="auto"/>
            <w:hideMark/>
          </w:tcPr>
          <w:p w14:paraId="539C7705"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Whiteleg </w:t>
            </w:r>
            <w:r w:rsidRPr="006D2956">
              <w:rPr>
                <w:rFonts w:ascii="Times New Roman" w:eastAsia="Times New Roman" w:hAnsi="Times New Roman" w:cs="Times New Roman"/>
                <w:sz w:val="24"/>
                <w:szCs w:val="24"/>
                <w:lang w:eastAsia="en-GB"/>
              </w:rPr>
              <w:lastRenderedPageBreak/>
              <w:t>shrimp</w:t>
            </w:r>
          </w:p>
        </w:tc>
        <w:tc>
          <w:tcPr>
            <w:tcW w:w="0" w:type="auto"/>
            <w:hideMark/>
          </w:tcPr>
          <w:p w14:paraId="348ECBF7"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 xml:space="preserve">Semi-intensive / </w:t>
            </w:r>
            <w:r w:rsidRPr="006D2956">
              <w:rPr>
                <w:rFonts w:ascii="Times New Roman" w:eastAsia="Times New Roman" w:hAnsi="Times New Roman" w:cs="Times New Roman"/>
                <w:sz w:val="24"/>
                <w:szCs w:val="24"/>
                <w:lang w:eastAsia="en-GB"/>
              </w:rPr>
              <w:lastRenderedPageBreak/>
              <w:t>intensive pond</w:t>
            </w:r>
          </w:p>
        </w:tc>
        <w:tc>
          <w:tcPr>
            <w:tcW w:w="0" w:type="auto"/>
            <w:hideMark/>
          </w:tcPr>
          <w:p w14:paraId="653391B4"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4.0 – 18.0+</w:t>
            </w:r>
          </w:p>
        </w:tc>
        <w:tc>
          <w:tcPr>
            <w:tcW w:w="0" w:type="auto"/>
            <w:hideMark/>
          </w:tcPr>
          <w:p w14:paraId="06699178"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Mangrove land-use change; </w:t>
            </w:r>
            <w:r w:rsidRPr="006D2956">
              <w:rPr>
                <w:rFonts w:ascii="Times New Roman" w:eastAsia="Times New Roman" w:hAnsi="Times New Roman" w:cs="Times New Roman"/>
                <w:sz w:val="24"/>
                <w:szCs w:val="24"/>
                <w:lang w:eastAsia="en-GB"/>
              </w:rPr>
              <w:lastRenderedPageBreak/>
              <w:t>feed composition; energy intensity</w:t>
            </w:r>
          </w:p>
        </w:tc>
      </w:tr>
      <w:tr w:rsidR="006D2956" w:rsidRPr="006D2956" w14:paraId="3B9C2188" w14:textId="77777777" w:rsidTr="006D2956">
        <w:tc>
          <w:tcPr>
            <w:tcW w:w="0" w:type="auto"/>
            <w:hideMark/>
          </w:tcPr>
          <w:p w14:paraId="289DED0D"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Tilapia</w:t>
            </w:r>
          </w:p>
        </w:tc>
        <w:tc>
          <w:tcPr>
            <w:tcW w:w="0" w:type="auto"/>
            <w:hideMark/>
          </w:tcPr>
          <w:p w14:paraId="4D9BE363"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Pond (extensive to intensive)</w:t>
            </w:r>
          </w:p>
        </w:tc>
        <w:tc>
          <w:tcPr>
            <w:tcW w:w="0" w:type="auto"/>
            <w:hideMark/>
          </w:tcPr>
          <w:p w14:paraId="706F3ABB"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1.5 – 7.0</w:t>
            </w:r>
          </w:p>
        </w:tc>
        <w:tc>
          <w:tcPr>
            <w:tcW w:w="0" w:type="auto"/>
            <w:hideMark/>
          </w:tcPr>
          <w:p w14:paraId="762D1C1B"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quality; direct pond emissions; energy source</w:t>
            </w:r>
          </w:p>
        </w:tc>
      </w:tr>
      <w:tr w:rsidR="006D2956" w:rsidRPr="006D2956" w14:paraId="267F4727" w14:textId="77777777" w:rsidTr="006D2956">
        <w:tc>
          <w:tcPr>
            <w:tcW w:w="0" w:type="auto"/>
            <w:hideMark/>
          </w:tcPr>
          <w:p w14:paraId="6FBF43A2"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Pangasius</w:t>
            </w:r>
          </w:p>
        </w:tc>
        <w:tc>
          <w:tcPr>
            <w:tcW w:w="0" w:type="auto"/>
            <w:hideMark/>
          </w:tcPr>
          <w:p w14:paraId="179286E7"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Pond / cage (intensive)</w:t>
            </w:r>
          </w:p>
        </w:tc>
        <w:tc>
          <w:tcPr>
            <w:tcW w:w="0" w:type="auto"/>
            <w:hideMark/>
          </w:tcPr>
          <w:p w14:paraId="6B4E18DE"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2.0 – 6.0</w:t>
            </w:r>
          </w:p>
        </w:tc>
        <w:tc>
          <w:tcPr>
            <w:tcW w:w="0" w:type="auto"/>
            <w:hideMark/>
          </w:tcPr>
          <w:p w14:paraId="2E1CEB65"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formulation; local energy mix</w:t>
            </w:r>
          </w:p>
        </w:tc>
      </w:tr>
      <w:tr w:rsidR="006D2956" w:rsidRPr="006D2956" w14:paraId="488AE540" w14:textId="77777777" w:rsidTr="006D2956">
        <w:tc>
          <w:tcPr>
            <w:tcW w:w="0" w:type="auto"/>
            <w:hideMark/>
          </w:tcPr>
          <w:p w14:paraId="7BD96540"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Mussels / oysters</w:t>
            </w:r>
          </w:p>
        </w:tc>
        <w:tc>
          <w:tcPr>
            <w:tcW w:w="0" w:type="auto"/>
            <w:hideMark/>
          </w:tcPr>
          <w:p w14:paraId="5E0E5065"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Longline / raft</w:t>
            </w:r>
          </w:p>
        </w:tc>
        <w:tc>
          <w:tcPr>
            <w:tcW w:w="0" w:type="auto"/>
            <w:hideMark/>
          </w:tcPr>
          <w:p w14:paraId="662F0E2D"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0.4 – 2.0</w:t>
            </w:r>
          </w:p>
        </w:tc>
        <w:tc>
          <w:tcPr>
            <w:tcW w:w="0" w:type="auto"/>
            <w:hideMark/>
          </w:tcPr>
          <w:p w14:paraId="363FCC3C"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No feed inputs; energy for harvest and processing</w:t>
            </w:r>
          </w:p>
        </w:tc>
      </w:tr>
      <w:tr w:rsidR="006D2956" w:rsidRPr="006D2956" w14:paraId="400308DF" w14:textId="77777777" w:rsidTr="006D2956">
        <w:tc>
          <w:tcPr>
            <w:tcW w:w="0" w:type="auto"/>
            <w:hideMark/>
          </w:tcPr>
          <w:p w14:paraId="13899EB8"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Seaweed</w:t>
            </w:r>
          </w:p>
        </w:tc>
        <w:tc>
          <w:tcPr>
            <w:tcW w:w="0" w:type="auto"/>
            <w:hideMark/>
          </w:tcPr>
          <w:p w14:paraId="219AC3D9"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Longline cultivation</w:t>
            </w:r>
          </w:p>
        </w:tc>
        <w:tc>
          <w:tcPr>
            <w:tcW w:w="0" w:type="auto"/>
            <w:hideMark/>
          </w:tcPr>
          <w:p w14:paraId="49582EDA"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Near zero to negative</w:t>
            </w:r>
          </w:p>
        </w:tc>
        <w:tc>
          <w:tcPr>
            <w:tcW w:w="0" w:type="auto"/>
            <w:hideMark/>
          </w:tcPr>
          <w:p w14:paraId="570A44EC"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Nutrient bioextraction credit; minimal energy inputs</w:t>
            </w:r>
          </w:p>
        </w:tc>
      </w:tr>
    </w:tbl>
    <w:p w14:paraId="4F782582" w14:textId="1CBB62A5"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E3715D">
        <w:rPr>
          <w:rFonts w:ascii="Times New Roman" w:eastAsia="Times New Roman" w:hAnsi="Times New Roman" w:cs="Times New Roman"/>
          <w:i/>
          <w:iCs/>
          <w:sz w:val="24"/>
          <w:szCs w:val="24"/>
          <w:lang w:val="nl-BE" w:eastAsia="en-GB"/>
        </w:rPr>
        <w:t xml:space="preserve">Sources: Aubin et al. (2009); Ayer &amp; Tyedmers (2009); </w:t>
      </w:r>
      <w:r w:rsidRPr="00E3715D">
        <w:rPr>
          <w:rFonts w:ascii="Times New Roman" w:eastAsia="Times New Roman" w:hAnsi="Times New Roman" w:cs="Times New Roman"/>
          <w:b/>
          <w:bCs/>
          <w:i/>
          <w:iCs/>
          <w:sz w:val="24"/>
          <w:szCs w:val="24"/>
          <w:lang w:val="nl-BE" w:eastAsia="en-GB"/>
        </w:rPr>
        <w:t>Bosma et al. (2011)</w:t>
      </w:r>
      <w:r w:rsidRPr="00E3715D">
        <w:rPr>
          <w:rFonts w:ascii="Times New Roman" w:eastAsia="Times New Roman" w:hAnsi="Times New Roman" w:cs="Times New Roman"/>
          <w:i/>
          <w:iCs/>
          <w:sz w:val="24"/>
          <w:szCs w:val="24"/>
          <w:lang w:val="nl-BE" w:eastAsia="en-GB"/>
        </w:rPr>
        <w:t xml:space="preserve">; </w:t>
      </w:r>
      <w:r w:rsidR="00E3715D" w:rsidRPr="00E3715D">
        <w:rPr>
          <w:rFonts w:ascii="Times New Roman" w:eastAsia="Times New Roman" w:hAnsi="Times New Roman" w:cs="Times New Roman"/>
          <w:i/>
          <w:iCs/>
          <w:sz w:val="24"/>
          <w:szCs w:val="24"/>
          <w:lang w:val="nl-BE" w:eastAsia="en-GB"/>
        </w:rPr>
        <w:t>Roque d'Orbcastel</w:t>
      </w:r>
      <w:r w:rsidRPr="00E3715D">
        <w:rPr>
          <w:rFonts w:ascii="Times New Roman" w:eastAsia="Times New Roman" w:hAnsi="Times New Roman" w:cs="Times New Roman"/>
          <w:i/>
          <w:iCs/>
          <w:sz w:val="24"/>
          <w:szCs w:val="24"/>
          <w:lang w:val="nl-BE" w:eastAsia="en-GB"/>
        </w:rPr>
        <w:t xml:space="preserve"> et al. (2009); Duarte et al. (2017); Henriksson et al. (2015); Jonell &amp; Henriksson (2015); MacLeod et al. (2020); Pelletier et al. </w:t>
      </w:r>
      <w:r w:rsidRPr="006D2956">
        <w:rPr>
          <w:rFonts w:ascii="Times New Roman" w:eastAsia="Times New Roman" w:hAnsi="Times New Roman" w:cs="Times New Roman"/>
          <w:i/>
          <w:iCs/>
          <w:sz w:val="24"/>
          <w:szCs w:val="24"/>
          <w:lang w:eastAsia="en-GB"/>
        </w:rPr>
        <w:t>(2009); Poore &amp; Nemecek (2018); Wilfart et al. (2013)</w:t>
      </w:r>
    </w:p>
    <w:p w14:paraId="4F43C58A" w14:textId="77777777" w:rsidR="006D2956" w:rsidRPr="006D2956" w:rsidRDefault="006D2956" w:rsidP="00955A12">
      <w:pPr>
        <w:spacing w:after="0" w:line="240" w:lineRule="auto"/>
        <w:jc w:val="both"/>
        <w:rPr>
          <w:rFonts w:ascii="Times New Roman" w:eastAsia="Times New Roman" w:hAnsi="Times New Roman" w:cs="Times New Roman"/>
          <w:sz w:val="24"/>
          <w:szCs w:val="24"/>
          <w:lang w:eastAsia="en-GB"/>
        </w:rPr>
      </w:pPr>
    </w:p>
    <w:p w14:paraId="75FE2CC0" w14:textId="77777777" w:rsidR="006D2956" w:rsidRPr="006D2956" w:rsidRDefault="006D2956" w:rsidP="00955A12">
      <w:pPr>
        <w:spacing w:before="100" w:beforeAutospacing="1" w:after="100" w:afterAutospacing="1" w:line="240" w:lineRule="auto"/>
        <w:jc w:val="both"/>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5. Primary Emission Sources in Aquaculture</w:t>
      </w:r>
    </w:p>
    <w:p w14:paraId="3307B7FD"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5.1 Feed Production and the Fishmeal Dependency</w:t>
      </w:r>
    </w:p>
    <w:p w14:paraId="4A2A30AA"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production is the single most important contributor to the carbon footprint of fed aquaculture, typically accounting for 50% to more than 80% of total cradle-to-farm-gate GHG emissions in intensive systems (Papatryphon et al., 2004; Pelletier et al., 2009). Within the feed fraction, the production of fishmeal and fish oil from industrial reduction fisheries — primarily the harvesting of small pelagic species such as Peruvian anchovies (</w:t>
      </w:r>
      <w:r w:rsidRPr="006D2956">
        <w:rPr>
          <w:rFonts w:ascii="Times New Roman" w:eastAsia="Times New Roman" w:hAnsi="Times New Roman" w:cs="Times New Roman"/>
          <w:i/>
          <w:iCs/>
          <w:sz w:val="24"/>
          <w:szCs w:val="24"/>
          <w:lang w:eastAsia="en-GB"/>
        </w:rPr>
        <w:t>Engraulis ringens</w:t>
      </w:r>
      <w:r w:rsidRPr="006D2956">
        <w:rPr>
          <w:rFonts w:ascii="Times New Roman" w:eastAsia="Times New Roman" w:hAnsi="Times New Roman" w:cs="Times New Roman"/>
          <w:sz w:val="24"/>
          <w:szCs w:val="24"/>
          <w:lang w:eastAsia="en-GB"/>
        </w:rPr>
        <w:t>), Atlantic herring, and sand eels — is consistently identified as the dominant emission hotspot. The diesel-powered fishing vessels used in these fisheries consume substantial fuel per tonne of raw material landed, and the thermal drying and pressing operations at reduction plants add a further layer of energy-related emissions. Tacon and Metian (2008) documented global trends in fishmeal and fish oil use in aquafeeds and concluded that a disproportionately large share of global fishmeal production is consumed by the aquaculture sector, particularly by salmon and shrimp producers. The fish-in, fish-out dynamics of the sector remain a subject of active analysis: Kok et al. (2020) quantified this ratio using economic allocation and found substantial variation across species and production contexts.</w:t>
      </w:r>
    </w:p>
    <w:p w14:paraId="4F99B5BC"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drive to reduce marine ingredient content in aquafeeds — motivated by both sustainability concerns and rising raw material costs — has led to the progressive substitution of fishmeal with terrestrial plant proteins, principally soy protein concentrate, pea protein, rapeseed meal, and wheat gluten (Froehlich et al., 2018; Olsen &amp; Hasan, 2012). While this substitution generally reduces the direct emission burden associated with marine ingredient production, it introduces new burdens linked to the cultivation and processing of plant-based ingredients, including potentially very large indirect land-use change emissions from soy production in tropical regions. Hamilton and Casey (2016) and Naylor et al. (2021) both highlighted the significance of such indirect land-use change emissions, noting that they can substantially erode the apparent carbon benefits of marine ingredient substitution depending on the origin and certification status of the plant protein ingredients used.</w:t>
      </w:r>
    </w:p>
    <w:p w14:paraId="56DDCE2E"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lastRenderedPageBreak/>
        <w:t>5.2 Energy Consumption</w:t>
      </w:r>
    </w:p>
    <w:p w14:paraId="163B8F3C" w14:textId="247AC801"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Energy consumption at the farm level — for water pumping, aeration, heating, refrigeration, lighting, and feed delivery — constitutes the second most important source of GHG emissions for most aquaculture systems, and becomes the dominant contributor in high-energy configurations such as recirculating aquaculture systems and heated indoor facilities (Badiola et al., 2018; </w:t>
      </w:r>
      <w:r w:rsidR="00E3715D" w:rsidRPr="00E3715D">
        <w:rPr>
          <w:rFonts w:ascii="Times New Roman" w:eastAsia="Times New Roman" w:hAnsi="Times New Roman" w:cs="Times New Roman"/>
          <w:sz w:val="24"/>
          <w:szCs w:val="24"/>
          <w:lang w:eastAsia="en-GB"/>
        </w:rPr>
        <w:t>Roque d'Orbcastel</w:t>
      </w:r>
      <w:r w:rsidRPr="006D2956">
        <w:rPr>
          <w:rFonts w:ascii="Times New Roman" w:eastAsia="Times New Roman" w:hAnsi="Times New Roman" w:cs="Times New Roman"/>
          <w:sz w:val="24"/>
          <w:szCs w:val="24"/>
          <w:lang w:eastAsia="en-GB"/>
        </w:rPr>
        <w:t xml:space="preserve"> et al., 2009). The carbon intensity of farm energy use depends critically on the electricity generation mix of the country or region in which the farm is located. Facilities operating in countries with a high share of hydroelectric or other renewable electricity — Norway and Iceland being obvious examples — carry a substantially lower energy-related GHG burden than equivalent operations in economies where coal or natural gas dominate power generation.</w:t>
      </w:r>
    </w:p>
    <w:p w14:paraId="05F2A015"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This sensitivity to the national energy mix has important implications both for the cross-country comparability of LCA results and for identifying emission reduction opportunities. MacLeod et al. (2020) estimated that shifting aquaculture production towards regions with lower-carbon electricity, or transitioning on-farm energy supply towards renewables, could yield significant sector-wide emissions reductions independently of any change in production technology or feed formulation. Badiola et al. (2018), reviewing the specific energy consumption profile of RAS facilities, identified water treatment processes — particularly aeration, biofiltration, and UV disinfection — as the principal energy consumers, providing a clear basis for technology-focused efficiency programmes in next-generation system designs.</w:t>
      </w:r>
    </w:p>
    <w:p w14:paraId="47F3EA58"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5.3 Land-use Change and Ecosystem Conversion</w:t>
      </w:r>
    </w:p>
    <w:p w14:paraId="73720BF4"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Land-use change is a frequently underappreciated but potentially very significant emission source in aquaculture, operating through two main pathways. The first, noted already in Section 5.1, is the cultivation of terrestrial feed ingredients — particularly soy — in regions where agricultural expansion encroaches on forests, cerrado, or other carbon-rich ecosystems. The second is the direct conversion of coastal habitats, most notably mangrove forests, for the construction of shrimp and fish ponds (Hamilton &amp; Casey, 2016; Primavera, 2006).</w:t>
      </w:r>
    </w:p>
    <w:p w14:paraId="7941959C"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Mangrove soils store exceptionally large quantities of organic carbon — so-called blue carbon — and their conversion releases this material into the atmosphere over timescales spanning decades (Krause-Jensen &amp; Duarte, 2016). As discussed in Section 4.2, Jonell and Henriksson (2015) showed that incorporating mangrove carbon stock changes into LCA inventories can increase the estimated carbon footprint of farmed shrimp by an order of magnitude relative to assessments that exclude land-use change emissions. Bush et al. (2013) noted that certification schemes for sustainable aquaculture have incorporated mangrove protection requirements with increasing rigour, although independent verification and enforcement remain challenging in many producing countries. Whether blue carbon fluxes are included or excluded from national GHG inventories and LCA studies is therefore both a scientific and a governance question, with far-reaching policy implications.</w:t>
      </w:r>
    </w:p>
    <w:p w14:paraId="6415792E"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5.4 Direct Greenhouse Gas Emissions from Water Bodies</w:t>
      </w:r>
    </w:p>
    <w:p w14:paraId="26D6CF20"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Aquaculture ponds, coastal embayments, and recirculating systems generate direct emissions of CO₂, CH₄, and N₂O through microbial processes linked to the decomposition of organic matter and the microbial nitrogen cycle. Among these direct emission pathways, N₂O is of particular concern, given its global warming potential of approximately 265 times that of CO₂ </w:t>
      </w:r>
      <w:r w:rsidRPr="006D2956">
        <w:rPr>
          <w:rFonts w:ascii="Times New Roman" w:eastAsia="Times New Roman" w:hAnsi="Times New Roman" w:cs="Times New Roman"/>
          <w:sz w:val="24"/>
          <w:szCs w:val="24"/>
          <w:lang w:eastAsia="en-GB"/>
        </w:rPr>
        <w:lastRenderedPageBreak/>
        <w:t>over a 100-year horizon (IPCC, 2019a). Hu et al. (2012) conducted a systematic review of N₂O emissions from aquaculture and found considerable variability in flux rates across production systems, with high-density intensive ponds showing the greatest emission intensities per unit area and, in some cases, per unit of product. Methane emissions from the anaerobic decomposition of organic sediments in semi-intensive and extensive ponds represent a further GHG flux of significance that is not consistently captured in farm-gate LCA inventories, partly because empirical flux measurements remain scarce across diverse production environments.</w:t>
      </w:r>
    </w:p>
    <w:p w14:paraId="19D4CA4E"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Quantifying direct pond emissions remains one of the most significant sources of uncertainty in aquaculture carbon accounting, and developing standardised measurement protocols adapted to different production systems and climatic contexts is widely recognised as a research priority (IPCC, 2019a; MacLeod et al., 2020). The IPCC's 2019 Refinement to the 2006 Guidelines for National Greenhouse Gas Inventories (IPCC, 2019a) provides updated emission factors for aquaculture ponds that partially address earlier data gaps, although coverage remains incomplete and regional representativeness variable.</w:t>
      </w:r>
    </w:p>
    <w:p w14:paraId="1361D759"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Table 3 offers an indicative synthesis of the primary GHG emission sources across the principal aquaculture system types reviewed in this section. The relative contributions shown reflect general patterns drawn from multiple LCA studies rather than universal values, which vary considerably across individual farms and geographic contexts.</w:t>
      </w:r>
    </w:p>
    <w:p w14:paraId="2B8F2FF9" w14:textId="77777777" w:rsidR="006D2956" w:rsidRPr="006D2956" w:rsidRDefault="006D2956" w:rsidP="00955A12">
      <w:pPr>
        <w:spacing w:after="0" w:line="240" w:lineRule="auto"/>
        <w:jc w:val="both"/>
        <w:rPr>
          <w:rFonts w:ascii="Times New Roman" w:eastAsia="Times New Roman" w:hAnsi="Times New Roman" w:cs="Times New Roman"/>
          <w:sz w:val="24"/>
          <w:szCs w:val="24"/>
          <w:lang w:eastAsia="en-GB"/>
        </w:rPr>
      </w:pPr>
    </w:p>
    <w:p w14:paraId="2F30379A"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b/>
          <w:bCs/>
          <w:sz w:val="24"/>
          <w:szCs w:val="24"/>
          <w:lang w:eastAsia="en-GB"/>
        </w:rPr>
        <w:t>Table 3: Primary GHG Emission Sources by Aquaculture System Type and Indicative Relative Contribution to Total Carbon Footprint</w:t>
      </w:r>
    </w:p>
    <w:tbl>
      <w:tblPr>
        <w:tblStyle w:val="TableGridLight"/>
        <w:tblW w:w="0" w:type="auto"/>
        <w:tblLook w:val="04A0" w:firstRow="1" w:lastRow="0" w:firstColumn="1" w:lastColumn="0" w:noHBand="0" w:noVBand="1"/>
      </w:tblPr>
      <w:tblGrid>
        <w:gridCol w:w="2018"/>
        <w:gridCol w:w="2330"/>
        <w:gridCol w:w="1893"/>
        <w:gridCol w:w="3001"/>
      </w:tblGrid>
      <w:tr w:rsidR="006D2956" w:rsidRPr="006D2956" w14:paraId="7154A779" w14:textId="77777777" w:rsidTr="006D2956">
        <w:tc>
          <w:tcPr>
            <w:tcW w:w="0" w:type="auto"/>
            <w:hideMark/>
          </w:tcPr>
          <w:p w14:paraId="67D1E81C"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Aquaculture System Type</w:t>
            </w:r>
          </w:p>
        </w:tc>
        <w:tc>
          <w:tcPr>
            <w:tcW w:w="0" w:type="auto"/>
            <w:hideMark/>
          </w:tcPr>
          <w:p w14:paraId="7AC259DA"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Dominant Emission Source</w:t>
            </w:r>
          </w:p>
        </w:tc>
        <w:tc>
          <w:tcPr>
            <w:tcW w:w="0" w:type="auto"/>
            <w:hideMark/>
          </w:tcPr>
          <w:p w14:paraId="0CFDFEAD"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Secondary Emission Source</w:t>
            </w:r>
          </w:p>
        </w:tc>
        <w:tc>
          <w:tcPr>
            <w:tcW w:w="0" w:type="auto"/>
            <w:hideMark/>
          </w:tcPr>
          <w:p w14:paraId="071FFDB4"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Notable Considerations</w:t>
            </w:r>
          </w:p>
        </w:tc>
      </w:tr>
      <w:tr w:rsidR="006D2956" w:rsidRPr="006D2956" w14:paraId="1AC976BF" w14:textId="77777777" w:rsidTr="006D2956">
        <w:tc>
          <w:tcPr>
            <w:tcW w:w="0" w:type="auto"/>
            <w:hideMark/>
          </w:tcPr>
          <w:p w14:paraId="57A9B8ED"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Intensive salmon / trout (net-pen)</w:t>
            </w:r>
          </w:p>
        </w:tc>
        <w:tc>
          <w:tcPr>
            <w:tcW w:w="0" w:type="auto"/>
            <w:hideMark/>
          </w:tcPr>
          <w:p w14:paraId="25285290"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production (fishmeal/fish oil; ~50–80%)</w:t>
            </w:r>
          </w:p>
        </w:tc>
        <w:tc>
          <w:tcPr>
            <w:tcW w:w="0" w:type="auto"/>
            <w:hideMark/>
          </w:tcPr>
          <w:p w14:paraId="16F41876"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Energy at farm level</w:t>
            </w:r>
          </w:p>
        </w:tc>
        <w:tc>
          <w:tcPr>
            <w:tcW w:w="0" w:type="auto"/>
            <w:hideMark/>
          </w:tcPr>
          <w:p w14:paraId="2D5B188C"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Marine ingredient share is critical; Norwegian grid is near-zero carbon</w:t>
            </w:r>
          </w:p>
        </w:tc>
      </w:tr>
      <w:tr w:rsidR="006D2956" w:rsidRPr="006D2956" w14:paraId="64E8F700" w14:textId="77777777" w:rsidTr="006D2956">
        <w:tc>
          <w:tcPr>
            <w:tcW w:w="0" w:type="auto"/>
            <w:hideMark/>
          </w:tcPr>
          <w:p w14:paraId="3DDD4698"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Intensive shrimp (pond)</w:t>
            </w:r>
          </w:p>
        </w:tc>
        <w:tc>
          <w:tcPr>
            <w:tcW w:w="0" w:type="auto"/>
            <w:hideMark/>
          </w:tcPr>
          <w:p w14:paraId="6CE9FA73"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production; land-use change (if mangrove)</w:t>
            </w:r>
          </w:p>
        </w:tc>
        <w:tc>
          <w:tcPr>
            <w:tcW w:w="0" w:type="auto"/>
            <w:hideMark/>
          </w:tcPr>
          <w:p w14:paraId="673A07AF"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Energy for pumping and aeration</w:t>
            </w:r>
          </w:p>
        </w:tc>
        <w:tc>
          <w:tcPr>
            <w:tcW w:w="0" w:type="auto"/>
            <w:hideMark/>
          </w:tcPr>
          <w:p w14:paraId="3845B2CB"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LUC can dominate if mangrove conversion is included in scope</w:t>
            </w:r>
          </w:p>
        </w:tc>
      </w:tr>
      <w:tr w:rsidR="006D2956" w:rsidRPr="006D2956" w14:paraId="4673CA9C" w14:textId="77777777" w:rsidTr="006D2956">
        <w:tc>
          <w:tcPr>
            <w:tcW w:w="0" w:type="auto"/>
            <w:hideMark/>
          </w:tcPr>
          <w:p w14:paraId="5858B25C"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Tilapia / pangasius (intensive pond)</w:t>
            </w:r>
          </w:p>
        </w:tc>
        <w:tc>
          <w:tcPr>
            <w:tcW w:w="0" w:type="auto"/>
            <w:hideMark/>
          </w:tcPr>
          <w:p w14:paraId="5DBF5AD2"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production (~40–60%)</w:t>
            </w:r>
          </w:p>
        </w:tc>
        <w:tc>
          <w:tcPr>
            <w:tcW w:w="0" w:type="auto"/>
            <w:hideMark/>
          </w:tcPr>
          <w:p w14:paraId="110C1D9B"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Direct pond N₂O / CH₄ emissions</w:t>
            </w:r>
          </w:p>
        </w:tc>
        <w:tc>
          <w:tcPr>
            <w:tcW w:w="0" w:type="auto"/>
            <w:hideMark/>
          </w:tcPr>
          <w:p w14:paraId="18D88BB1"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Emission factors for pond gases are highly uncertain</w:t>
            </w:r>
          </w:p>
        </w:tc>
      </w:tr>
      <w:tr w:rsidR="006D2956" w:rsidRPr="006D2956" w14:paraId="7F845CF7" w14:textId="77777777" w:rsidTr="006D2956">
        <w:tc>
          <w:tcPr>
            <w:tcW w:w="0" w:type="auto"/>
            <w:hideMark/>
          </w:tcPr>
          <w:p w14:paraId="63309D2F"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Bivalves (longline)</w:t>
            </w:r>
          </w:p>
        </w:tc>
        <w:tc>
          <w:tcPr>
            <w:tcW w:w="0" w:type="auto"/>
            <w:hideMark/>
          </w:tcPr>
          <w:p w14:paraId="5B0AFE19"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Energy for harvest and transport</w:t>
            </w:r>
          </w:p>
        </w:tc>
        <w:tc>
          <w:tcPr>
            <w:tcW w:w="0" w:type="auto"/>
            <w:hideMark/>
          </w:tcPr>
          <w:p w14:paraId="4FC2DFBF"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Processing and refrigeration</w:t>
            </w:r>
          </w:p>
        </w:tc>
        <w:tc>
          <w:tcPr>
            <w:tcW w:w="0" w:type="auto"/>
            <w:hideMark/>
          </w:tcPr>
          <w:p w14:paraId="020E73FD"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production absent; consistently lowest climate impact category</w:t>
            </w:r>
          </w:p>
        </w:tc>
      </w:tr>
      <w:tr w:rsidR="006D2956" w:rsidRPr="006D2956" w14:paraId="77E7E72A" w14:textId="77777777" w:rsidTr="006D2956">
        <w:tc>
          <w:tcPr>
            <w:tcW w:w="0" w:type="auto"/>
            <w:hideMark/>
          </w:tcPr>
          <w:p w14:paraId="13EF6872"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Seaweed (longline)</w:t>
            </w:r>
          </w:p>
        </w:tc>
        <w:tc>
          <w:tcPr>
            <w:tcW w:w="0" w:type="auto"/>
            <w:hideMark/>
          </w:tcPr>
          <w:p w14:paraId="6286996E"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Vessel fuel for maintenance and harvest</w:t>
            </w:r>
          </w:p>
        </w:tc>
        <w:tc>
          <w:tcPr>
            <w:tcW w:w="0" w:type="auto"/>
            <w:hideMark/>
          </w:tcPr>
          <w:p w14:paraId="60B8FDC1"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Processing energy</w:t>
            </w:r>
          </w:p>
        </w:tc>
        <w:tc>
          <w:tcPr>
            <w:tcW w:w="0" w:type="auto"/>
            <w:hideMark/>
          </w:tcPr>
          <w:p w14:paraId="33EBCB6D"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Can be net carbon-negative with bioextraction credit</w:t>
            </w:r>
          </w:p>
        </w:tc>
      </w:tr>
      <w:tr w:rsidR="006D2956" w:rsidRPr="006D2956" w14:paraId="46DAFFF9" w14:textId="77777777" w:rsidTr="006D2956">
        <w:tc>
          <w:tcPr>
            <w:tcW w:w="0" w:type="auto"/>
            <w:hideMark/>
          </w:tcPr>
          <w:p w14:paraId="169C3CE8"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RAS (land-based)</w:t>
            </w:r>
          </w:p>
        </w:tc>
        <w:tc>
          <w:tcPr>
            <w:tcW w:w="0" w:type="auto"/>
            <w:hideMark/>
          </w:tcPr>
          <w:p w14:paraId="02D9537F"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Electricity for water treatment</w:t>
            </w:r>
          </w:p>
        </w:tc>
        <w:tc>
          <w:tcPr>
            <w:tcW w:w="0" w:type="auto"/>
            <w:hideMark/>
          </w:tcPr>
          <w:p w14:paraId="6664DFFD"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production</w:t>
            </w:r>
          </w:p>
        </w:tc>
        <w:tc>
          <w:tcPr>
            <w:tcW w:w="0" w:type="auto"/>
            <w:hideMark/>
          </w:tcPr>
          <w:p w14:paraId="46F1D73C"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Carbon intensity depends almost entirely on the energy grid</w:t>
            </w:r>
          </w:p>
        </w:tc>
      </w:tr>
    </w:tbl>
    <w:p w14:paraId="5A9AD1DE" w14:textId="75BED8C3"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E3715D">
        <w:rPr>
          <w:rFonts w:ascii="Times New Roman" w:eastAsia="Times New Roman" w:hAnsi="Times New Roman" w:cs="Times New Roman"/>
          <w:i/>
          <w:iCs/>
          <w:sz w:val="24"/>
          <w:szCs w:val="24"/>
          <w:lang w:val="nl-BE" w:eastAsia="en-GB"/>
        </w:rPr>
        <w:lastRenderedPageBreak/>
        <w:t xml:space="preserve">Sources: Aubin et al. (2009); Badiola et al. (2018); </w:t>
      </w:r>
      <w:r w:rsidR="00E3715D" w:rsidRPr="00E3715D">
        <w:rPr>
          <w:rFonts w:ascii="Times New Roman" w:eastAsia="Times New Roman" w:hAnsi="Times New Roman" w:cs="Times New Roman"/>
          <w:i/>
          <w:iCs/>
          <w:sz w:val="24"/>
          <w:szCs w:val="24"/>
          <w:lang w:val="nl-BE" w:eastAsia="en-GB"/>
        </w:rPr>
        <w:t>Roque d'Orbcastel</w:t>
      </w:r>
      <w:r w:rsidRPr="00E3715D">
        <w:rPr>
          <w:rFonts w:ascii="Times New Roman" w:eastAsia="Times New Roman" w:hAnsi="Times New Roman" w:cs="Times New Roman"/>
          <w:i/>
          <w:iCs/>
          <w:sz w:val="24"/>
          <w:szCs w:val="24"/>
          <w:lang w:val="nl-BE" w:eastAsia="en-GB"/>
        </w:rPr>
        <w:t xml:space="preserve"> et al. </w:t>
      </w:r>
      <w:r w:rsidRPr="006D2956">
        <w:rPr>
          <w:rFonts w:ascii="Times New Roman" w:eastAsia="Times New Roman" w:hAnsi="Times New Roman" w:cs="Times New Roman"/>
          <w:i/>
          <w:iCs/>
          <w:sz w:val="24"/>
          <w:szCs w:val="24"/>
          <w:lang w:eastAsia="en-GB"/>
        </w:rPr>
        <w:t>(2009); Hamilton &amp; Casey (2016); Hu et al. (2012); IPCC (2019a); MacLeod et al. (2020); Papatryphon et al. (2004); Pelletier et al. (2009)</w:t>
      </w:r>
    </w:p>
    <w:p w14:paraId="00720666" w14:textId="77777777" w:rsidR="006D2956" w:rsidRPr="006D2956" w:rsidRDefault="006D2956" w:rsidP="00955A12">
      <w:pPr>
        <w:spacing w:after="0" w:line="240" w:lineRule="auto"/>
        <w:jc w:val="both"/>
        <w:rPr>
          <w:rFonts w:ascii="Times New Roman" w:eastAsia="Times New Roman" w:hAnsi="Times New Roman" w:cs="Times New Roman"/>
          <w:sz w:val="24"/>
          <w:szCs w:val="24"/>
          <w:lang w:eastAsia="en-GB"/>
        </w:rPr>
      </w:pPr>
    </w:p>
    <w:p w14:paraId="316C14E1" w14:textId="77777777" w:rsidR="006D2956" w:rsidRPr="006D2956" w:rsidRDefault="006D2956" w:rsidP="00955A12">
      <w:pPr>
        <w:spacing w:before="100" w:beforeAutospacing="1" w:after="100" w:afterAutospacing="1" w:line="240" w:lineRule="auto"/>
        <w:jc w:val="both"/>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6. Advances in Life Cycle Assessment for Aquaculture</w:t>
      </w:r>
    </w:p>
    <w:p w14:paraId="1A69BA75"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6.1 Methodological Innovations and Expanded Impact Coverage</w:t>
      </w:r>
    </w:p>
    <w:p w14:paraId="6522DAC1"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past decade has brought important methodological advances to aquaculture LCA, driven both by broader developments in the LCA field and by the specific challenges posed by the complexity and diversity of seafood production systems. Among the most significant developments is the progressive integration of multi-regional input-output analysis with process-based LCA, which allows global supply chain emissions to be attributed to specific production systems with greater geographic resolution than conventional process-based approaches achieve alone (Henriksson et al., 2015). This matters particularly for aquaculture, because the ingredient supply chains of major producing nations frequently span several continents, and the emission intensities of background processes — soy cultivation in Brazil or fishmeal production in Peru, for instance — vary enormously by region and production context.</w:t>
      </w:r>
    </w:p>
    <w:p w14:paraId="052F01CF"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Cashion et al. (2016) advanced the treatment of marine biotic resources in seafood LCA by developing and applying improved metrics for wild-caught marine ingredient use, better reflecting the ecological significance of removing small pelagic fish from marine food webs than simple mass-based accounting allows. This work highlights the multi-dimensional nature of aquaculture's environmental footprint and the limits of relying solely on climate impact metrics in sustainability assessments. Newton and Little (2018) subsequently applied LCA to Scottish Atlantic salmon production, mapping the geographic origins of environmental impacts across the full supply chain and demonstrating that a product commonly marketed as "local" generates the substantial majority of its environmental burdens — and its carbon footprint — in distant countries where feed ingredients are produced, thereby generating a more nuanced and policy-relevant picture of environmental trade-offs.</w:t>
      </w:r>
    </w:p>
    <w:p w14:paraId="77651C57"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6.2 Consequential and Dynamic Life Cycle Assessment</w:t>
      </w:r>
    </w:p>
    <w:p w14:paraId="7CFD3402"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Conventional attributional LCA, which accounts for the environmental burdens associated with the existing supply system serving a given functional unit, has been increasingly supplemented by consequential LCA approaches, which model the systemic changes expected to follow from a marginal decision to alter production scale or technology. In aquaculture contexts, consequential LCA is particularly relevant for evaluating the emissions implications of scaling up production of a given species, substituting one feed ingredient for another at market scale, or transitioning from conventional to novel production systems (Finnveden et al., 2009). Bohnes et al. (2019) applied a consequential perspective to aquaculture LCA in Denmark and demonstrated that marginal supply responses modelled under a consequential framework can yield substantially different conclusions about the environmental desirability of production changes compared with attributional analysis. Expanding production of a comparatively low-impact species, for instance, may displace </w:t>
      </w:r>
      <w:r w:rsidRPr="006D2956">
        <w:rPr>
          <w:rFonts w:ascii="Times New Roman" w:eastAsia="Times New Roman" w:hAnsi="Times New Roman" w:cs="Times New Roman"/>
          <w:sz w:val="24"/>
          <w:szCs w:val="24"/>
          <w:lang w:eastAsia="en-GB"/>
        </w:rPr>
        <w:lastRenderedPageBreak/>
        <w:t>production of higher-impact alternatives, generating system-level benefits that remain invisible in a static attributional assessment.</w:t>
      </w:r>
    </w:p>
    <w:p w14:paraId="18C11B0D"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Dynamic LCA, which incorporates time-dependent emission profiles rather than assuming steady-state production conditions, is also gaining traction in aquaculture contexts — particularly for assessing long-lived carbon pools such as mangrove soil carbon following land clearing (Hamilton &amp; Casey, 2016). Standard GWP100 metrics aggregate all emissions over a 100-year timeframe and do not distinguish between emissions occurring at the time of land clearing and those arising many decades later, potentially underweighting the significance of near-term emission pulses from the conversion of carbon-rich ecosystems.</w:t>
      </w:r>
    </w:p>
    <w:p w14:paraId="433791F9"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6.3 Integration with Other Environmental Impact Frameworks</w:t>
      </w:r>
    </w:p>
    <w:p w14:paraId="45E7C58A"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Recognising that carbon footprint is only one dimension of aquaculture's environmental burden, researchers have increasingly integrated LCA with complementary impact assessment methodologies. Work on water footprint methodologies has demonstrated their applicability to aquaculture systems, particularly for freshwater species farmed in regions experiencing water stress (Ahmed et al., 2019). Wilfart et al. (2013) demonstrated the complementarity of emergy accounting — which expresses all inputs in terms of their solar energy equivalent — with LCA for characterising the ecological intensity of aquaculture systems and identifying pathways towards ecological intensification. The integration of biodiversity impact assessment into aquaculture LCA remains at a relatively early stage of development, but is increasingly recognised as important given the documented impacts of aquaculture on benthic communities, wild fish populations, and coastal habitats. Ahmed et al. (2019) argued that climate mitigation strategies for aquaculture must be evaluated holistically, to avoid generating trade-offs with other sustainability dimensions, including water use, biodiversity, and social equity — a view consistent with the broader move within the LCA community towards multi-category impact characterisation.</w:t>
      </w:r>
    </w:p>
    <w:p w14:paraId="67920EEE"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Table 4 summarises recent advances in LCA methodology as applied to the aquaculture sector, setting out the principal development, the context of application, and the key implications for carbon footprint assessment.</w:t>
      </w:r>
    </w:p>
    <w:p w14:paraId="6953AB75" w14:textId="77777777" w:rsidR="006D2956" w:rsidRPr="006D2956" w:rsidRDefault="006D2956" w:rsidP="00955A12">
      <w:pPr>
        <w:spacing w:after="0" w:line="240" w:lineRule="auto"/>
        <w:jc w:val="both"/>
        <w:rPr>
          <w:rFonts w:ascii="Times New Roman" w:eastAsia="Times New Roman" w:hAnsi="Times New Roman" w:cs="Times New Roman"/>
          <w:sz w:val="24"/>
          <w:szCs w:val="24"/>
          <w:lang w:eastAsia="en-GB"/>
        </w:rPr>
      </w:pPr>
    </w:p>
    <w:p w14:paraId="49E59007"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b/>
          <w:bCs/>
          <w:sz w:val="24"/>
          <w:szCs w:val="24"/>
          <w:lang w:eastAsia="en-GB"/>
        </w:rPr>
        <w:t>Table 4: Recent Advances in LCA Methodology Applied to Aquaculture</w:t>
      </w:r>
    </w:p>
    <w:tbl>
      <w:tblPr>
        <w:tblStyle w:val="TableGridLight"/>
        <w:tblW w:w="0" w:type="auto"/>
        <w:tblLook w:val="04A0" w:firstRow="1" w:lastRow="0" w:firstColumn="1" w:lastColumn="0" w:noHBand="0" w:noVBand="1"/>
      </w:tblPr>
      <w:tblGrid>
        <w:gridCol w:w="2188"/>
        <w:gridCol w:w="2459"/>
        <w:gridCol w:w="1888"/>
        <w:gridCol w:w="2707"/>
      </w:tblGrid>
      <w:tr w:rsidR="006D2956" w:rsidRPr="006D2956" w14:paraId="01EC8D24" w14:textId="77777777" w:rsidTr="006D2956">
        <w:tc>
          <w:tcPr>
            <w:tcW w:w="0" w:type="auto"/>
            <w:hideMark/>
          </w:tcPr>
          <w:p w14:paraId="06D3454C"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Methodological Advance</w:t>
            </w:r>
          </w:p>
        </w:tc>
        <w:tc>
          <w:tcPr>
            <w:tcW w:w="0" w:type="auto"/>
            <w:hideMark/>
          </w:tcPr>
          <w:p w14:paraId="72162589"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Principal Development</w:t>
            </w:r>
          </w:p>
        </w:tc>
        <w:tc>
          <w:tcPr>
            <w:tcW w:w="0" w:type="auto"/>
            <w:hideMark/>
          </w:tcPr>
          <w:p w14:paraId="56AAEA0F"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Application Context</w:t>
            </w:r>
          </w:p>
        </w:tc>
        <w:tc>
          <w:tcPr>
            <w:tcW w:w="0" w:type="auto"/>
            <w:hideMark/>
          </w:tcPr>
          <w:p w14:paraId="75E233DD"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Key Implication for Carbon Assessment</w:t>
            </w:r>
          </w:p>
        </w:tc>
      </w:tr>
      <w:tr w:rsidR="006D2956" w:rsidRPr="006D2956" w14:paraId="7717FA10" w14:textId="77777777" w:rsidTr="006D2956">
        <w:tc>
          <w:tcPr>
            <w:tcW w:w="0" w:type="auto"/>
            <w:hideMark/>
          </w:tcPr>
          <w:p w14:paraId="6AEF4843"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Multi-regional input-output integration</w:t>
            </w:r>
          </w:p>
        </w:tc>
        <w:tc>
          <w:tcPr>
            <w:tcW w:w="0" w:type="auto"/>
            <w:hideMark/>
          </w:tcPr>
          <w:p w14:paraId="78B4164B"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Geographic attribution of supply chain emissions</w:t>
            </w:r>
          </w:p>
        </w:tc>
        <w:tc>
          <w:tcPr>
            <w:tcW w:w="0" w:type="auto"/>
            <w:hideMark/>
          </w:tcPr>
          <w:p w14:paraId="2FC83801"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Asian aquaculture systems</w:t>
            </w:r>
          </w:p>
        </w:tc>
        <w:tc>
          <w:tcPr>
            <w:tcW w:w="0" w:type="auto"/>
            <w:hideMark/>
          </w:tcPr>
          <w:p w14:paraId="2F194279"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Captures region-specific emission intensities of globally sourced ingredients</w:t>
            </w:r>
          </w:p>
        </w:tc>
      </w:tr>
      <w:tr w:rsidR="006D2956" w:rsidRPr="006D2956" w14:paraId="240ED27F" w14:textId="77777777" w:rsidTr="006D2956">
        <w:tc>
          <w:tcPr>
            <w:tcW w:w="0" w:type="auto"/>
            <w:hideMark/>
          </w:tcPr>
          <w:p w14:paraId="6DE13D68"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Marine biotic resource metric</w:t>
            </w:r>
          </w:p>
        </w:tc>
        <w:tc>
          <w:tcPr>
            <w:tcW w:w="0" w:type="auto"/>
            <w:hideMark/>
          </w:tcPr>
          <w:p w14:paraId="74FDB9E3"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Ecological weighting of wild marine ingredient use</w:t>
            </w:r>
          </w:p>
        </w:tc>
        <w:tc>
          <w:tcPr>
            <w:tcW w:w="0" w:type="auto"/>
            <w:hideMark/>
          </w:tcPr>
          <w:p w14:paraId="44D12416"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Norwegian salmon LCA</w:t>
            </w:r>
          </w:p>
        </w:tc>
        <w:tc>
          <w:tcPr>
            <w:tcW w:w="0" w:type="auto"/>
            <w:hideMark/>
          </w:tcPr>
          <w:p w14:paraId="26624C1E"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Complements GHG metric with ecosystem impact indicator</w:t>
            </w:r>
          </w:p>
        </w:tc>
      </w:tr>
      <w:tr w:rsidR="006D2956" w:rsidRPr="006D2956" w14:paraId="51D7E3BC" w14:textId="77777777" w:rsidTr="006D2956">
        <w:tc>
          <w:tcPr>
            <w:tcW w:w="0" w:type="auto"/>
            <w:hideMark/>
          </w:tcPr>
          <w:p w14:paraId="67AE236F"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Consequential LCA</w:t>
            </w:r>
          </w:p>
        </w:tc>
        <w:tc>
          <w:tcPr>
            <w:tcW w:w="0" w:type="auto"/>
            <w:hideMark/>
          </w:tcPr>
          <w:p w14:paraId="1E92363D"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Marginal supply system modelling</w:t>
            </w:r>
          </w:p>
        </w:tc>
        <w:tc>
          <w:tcPr>
            <w:tcW w:w="0" w:type="auto"/>
            <w:hideMark/>
          </w:tcPr>
          <w:p w14:paraId="6A377EA0"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Danish aquaculture expansion scenarios</w:t>
            </w:r>
          </w:p>
        </w:tc>
        <w:tc>
          <w:tcPr>
            <w:tcW w:w="0" w:type="auto"/>
            <w:hideMark/>
          </w:tcPr>
          <w:p w14:paraId="6E01B05D"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Captures system-level displacement effects missed by attributional analysis</w:t>
            </w:r>
          </w:p>
        </w:tc>
      </w:tr>
      <w:tr w:rsidR="006D2956" w:rsidRPr="006D2956" w14:paraId="504406EB" w14:textId="77777777" w:rsidTr="006D2956">
        <w:tc>
          <w:tcPr>
            <w:tcW w:w="0" w:type="auto"/>
            <w:hideMark/>
          </w:tcPr>
          <w:p w14:paraId="62487830"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Dynamic LCA</w:t>
            </w:r>
          </w:p>
        </w:tc>
        <w:tc>
          <w:tcPr>
            <w:tcW w:w="0" w:type="auto"/>
            <w:hideMark/>
          </w:tcPr>
          <w:p w14:paraId="1137C1ED"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Time-dependent emission profiles</w:t>
            </w:r>
          </w:p>
        </w:tc>
        <w:tc>
          <w:tcPr>
            <w:tcW w:w="0" w:type="auto"/>
            <w:hideMark/>
          </w:tcPr>
          <w:p w14:paraId="23175793"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Mangrove conversion for shrimp</w:t>
            </w:r>
          </w:p>
        </w:tc>
        <w:tc>
          <w:tcPr>
            <w:tcW w:w="0" w:type="auto"/>
            <w:hideMark/>
          </w:tcPr>
          <w:p w14:paraId="518757E7"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Accounts for near-term emission pulses from land clearing</w:t>
            </w:r>
          </w:p>
        </w:tc>
      </w:tr>
      <w:tr w:rsidR="006D2956" w:rsidRPr="006D2956" w14:paraId="7CE67F63" w14:textId="77777777" w:rsidTr="006D2956">
        <w:tc>
          <w:tcPr>
            <w:tcW w:w="0" w:type="auto"/>
            <w:hideMark/>
          </w:tcPr>
          <w:p w14:paraId="5CCA4295"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Supply chain impact mapping</w:t>
            </w:r>
          </w:p>
        </w:tc>
        <w:tc>
          <w:tcPr>
            <w:tcW w:w="0" w:type="auto"/>
            <w:hideMark/>
          </w:tcPr>
          <w:p w14:paraId="56692678"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Geographic tracing of environmental burdens across value chain</w:t>
            </w:r>
          </w:p>
        </w:tc>
        <w:tc>
          <w:tcPr>
            <w:tcW w:w="0" w:type="auto"/>
            <w:hideMark/>
          </w:tcPr>
          <w:p w14:paraId="1AF5A95B"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Scottish salmon LCA</w:t>
            </w:r>
          </w:p>
        </w:tc>
        <w:tc>
          <w:tcPr>
            <w:tcW w:w="0" w:type="auto"/>
            <w:hideMark/>
          </w:tcPr>
          <w:p w14:paraId="5D6EC0C7"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Demonstrates that locally marketed products generate most carbon impact abroad</w:t>
            </w:r>
          </w:p>
        </w:tc>
      </w:tr>
      <w:tr w:rsidR="006D2956" w:rsidRPr="006D2956" w14:paraId="092883A5" w14:textId="77777777" w:rsidTr="006D2956">
        <w:tc>
          <w:tcPr>
            <w:tcW w:w="0" w:type="auto"/>
            <w:hideMark/>
          </w:tcPr>
          <w:p w14:paraId="31B1E4CA"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Water footprint integration</w:t>
            </w:r>
          </w:p>
        </w:tc>
        <w:tc>
          <w:tcPr>
            <w:tcW w:w="0" w:type="auto"/>
            <w:hideMark/>
          </w:tcPr>
          <w:p w14:paraId="10A2DB8C"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Water scarcity weighting</w:t>
            </w:r>
          </w:p>
        </w:tc>
        <w:tc>
          <w:tcPr>
            <w:tcW w:w="0" w:type="auto"/>
            <w:hideMark/>
          </w:tcPr>
          <w:p w14:paraId="52CD4C3F"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Freshwater aquaculture systems</w:t>
            </w:r>
          </w:p>
        </w:tc>
        <w:tc>
          <w:tcPr>
            <w:tcW w:w="0" w:type="auto"/>
            <w:hideMark/>
          </w:tcPr>
          <w:p w14:paraId="28F2E42E"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Quantifies water stress risk alongside climate impact</w:t>
            </w:r>
          </w:p>
        </w:tc>
      </w:tr>
    </w:tbl>
    <w:p w14:paraId="724EF6A1"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i/>
          <w:iCs/>
          <w:sz w:val="24"/>
          <w:szCs w:val="24"/>
          <w:lang w:eastAsia="en-GB"/>
        </w:rPr>
        <w:t>Sources: Ahmed et al. (2019); Bohnes et al. (2019); Cashion et al. (2016); Finnveden et al. (2009); Hamilton &amp; Casey (2016); Henriksson et al. (2015); Newton &amp; Little (2018); Wilfart et al. (2013)</w:t>
      </w:r>
    </w:p>
    <w:p w14:paraId="5A586656" w14:textId="77777777" w:rsidR="006D2956" w:rsidRPr="006D2956" w:rsidRDefault="006D2956" w:rsidP="00955A12">
      <w:pPr>
        <w:spacing w:after="0" w:line="240" w:lineRule="auto"/>
        <w:jc w:val="both"/>
        <w:rPr>
          <w:rFonts w:ascii="Times New Roman" w:eastAsia="Times New Roman" w:hAnsi="Times New Roman" w:cs="Times New Roman"/>
          <w:sz w:val="24"/>
          <w:szCs w:val="24"/>
          <w:lang w:eastAsia="en-GB"/>
        </w:rPr>
      </w:pPr>
    </w:p>
    <w:p w14:paraId="0C5AE828" w14:textId="77777777" w:rsidR="006D2956" w:rsidRPr="006D2956" w:rsidRDefault="006D2956" w:rsidP="00955A12">
      <w:pPr>
        <w:spacing w:before="100" w:beforeAutospacing="1" w:after="100" w:afterAutospacing="1" w:line="240" w:lineRule="auto"/>
        <w:jc w:val="both"/>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7. Emission Reduction Strategies</w:t>
      </w:r>
    </w:p>
    <w:p w14:paraId="16890420"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7.1 Feed Reformulation and Alternative Protein Sources</w:t>
      </w:r>
    </w:p>
    <w:p w14:paraId="216FFEF1"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Given that feed production represents the dominant GHG emission source in fed aquaculture, reformulating aquafeeds to reduce the carbon intensity of the ingredient mix is the highest-leverage single strategy available for decarbonising the sector. Three categories of alternative protein have attracted the most research attention and commercial investment: terrestrial plant proteins, insect meals, and single-cell and microbial proteins.</w:t>
      </w:r>
    </w:p>
    <w:p w14:paraId="609429AF"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Plant proteins — including soy protein concentrate, canola meal, and pea protein — have been the primary substitutes for fishmeal in commercial aquafeeds over the past two decades. Replacing marine ingredients with plant proteins generally reduces the GHG burden attributable to fishing operations, but introduces land-use-related emissions from crop cultivation, which can be substantial where soy or other ingredients are sourced from regions subject to ongoing deforestation (Froehlich et al., 2018; Olsen &amp; Hasan, 2012). Tacon and Metian (2008), charting the trajectory of fishmeal substitution in global aquafeeds, emphasised that the net environmental impact of ingredient replacement depends critically on feed conversion ratios and nutritional performance: substitutes that reduce feed intake efficiency can partially or wholly offset the benefit of using a lower-carbon ingredient.</w:t>
      </w:r>
    </w:p>
    <w:p w14:paraId="2F0FF904"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Insect meals, particularly those derived from black soldier fly (</w:t>
      </w:r>
      <w:r w:rsidRPr="006D2956">
        <w:rPr>
          <w:rFonts w:ascii="Times New Roman" w:eastAsia="Times New Roman" w:hAnsi="Times New Roman" w:cs="Times New Roman"/>
          <w:i/>
          <w:iCs/>
          <w:sz w:val="24"/>
          <w:szCs w:val="24"/>
          <w:lang w:eastAsia="en-GB"/>
        </w:rPr>
        <w:t>Hermetia illucens</w:t>
      </w:r>
      <w:r w:rsidRPr="006D2956">
        <w:rPr>
          <w:rFonts w:ascii="Times New Roman" w:eastAsia="Times New Roman" w:hAnsi="Times New Roman" w:cs="Times New Roman"/>
          <w:sz w:val="24"/>
          <w:szCs w:val="24"/>
          <w:lang w:eastAsia="en-GB"/>
        </w:rPr>
        <w:t>) larvae, have emerged as promising partial replacements for fishmeal owing to their high-quality amino acid profiles and the possibility of rearing insects on certified organic waste streams, which could turn a waste management challenge into a low-carbon feed resource (Henry et al., 2015; Halloran et al., 2016). LCA studies comparing insect-meal-based diets with conventional aquafeeds suggest that the potential for carbon footprint reduction is substantial when insects are reared on organic by-product substrates, though the magnitude of benefit is highly sensitive to the energy mix of the rearing facility and to the carbon accounting approach adopted for the waste substrate input (Halloran et al., 2016). Henry et al. (2015) identified public acceptance and regulatory harmonisation across national markets as key barriers to the large-scale adoption of insect meal ingredients in commercial aquafeeds.</w:t>
      </w:r>
    </w:p>
    <w:p w14:paraId="12D0CB26"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Single-cell proteins derived from the fermentation of methane-oxidising bacteria, from microalgal cultivation, or from hydrogen-oxidising bacterial platforms powered by renewable electricity represent a further frontier in low-carbon aquafeed ingredient development. Becker (2007) reviewed microalgae as a protein source, highlighting both the very high protein density of algal biomass and the significant challenges of achieving cost-competitive production at commercial scale. More recently, gas-fermentation platforms producing single-cell protein from CO₂ and renewable hydrogen have attracted research interest as potentially very low-carbon alternatives to both marine and terrestrial plant-derived ingredients, although large-scale commercial deployment remains at an early stage.</w:t>
      </w:r>
    </w:p>
    <w:p w14:paraId="6F0E2939"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7.2 Energy Efficiency and Renewable Energy Transition</w:t>
      </w:r>
    </w:p>
    <w:p w14:paraId="0D50674C"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Improving energy efficiency and transitioning to renewable electricity are critical decarbonisation strategies for all aquaculture systems, but they matter most for energy-intensive configurations such as RAS and heated indoor facilities. MacLeod et al. (2020) identified energy transition as one of the largest single mitigation opportunities for global aquaculture, estimating that shifting farm energy supply from fossil fuel-based to renewable electricity would yield substantial reductions in total sector GHG emissions, particularly in countries where the grid is dominated by coal or natural gas.</w:t>
      </w:r>
    </w:p>
    <w:p w14:paraId="60977E30"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At the farm level, energy efficiency can be improved through optimisation of aeration systems, adoption of variable-speed drives for pumps and blowers, installation of heat-recovery systems on effluent streams, and deployment of energy management platforms to identify and reduce demand peaks (Badiola et al., 2018). The decarbonisation calculus for RAS is strongly context-dependent: facilities powered by renewable electricity can offer genuinely low carbon footprints across multiple impact categories, while those drawing on high-carbon grids may carry a heavier GHG burden per kilogram of product than conventional open-water systems (Ahmed &amp; Turchini, 2021). This asymmetry is a powerful argument for placing energy transition at the centre of national aquaculture development strategies, particularly in regions combining high aquaculture production with high grid carbon intensity.</w:t>
      </w:r>
    </w:p>
    <w:p w14:paraId="2ED0DE64"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7.3 Recirculating Aquaculture Systems</w:t>
      </w:r>
    </w:p>
    <w:p w14:paraId="1DF06BD6"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Recirculating aquaculture systems replace the continuous throughput of large water volumes typical of conventional flow-through and open-water production with closed-loop water treatment, enabling intensive production with minimal water consumption, precise environmental control, and elimination of untreated effluent discharge. From a carbon footprint perspective, RAS presents both genuine advantages and significant challenges relative to conventional systems. On the negative side, RAS consumes substantially more electrical energy per unit of production, which can translate into a much higher GHG burden where fossil fuel-derived electricity is used (Badiola et al., 2012; Badiola et al., 2018). On the positive side, RAS eliminates or greatly reduces the direct CH₄ and N₂O emissions associated with open-water systems, concentrates waste streams in ways amenable to biogas generation or nutrient recovery, and enables siting close to consumer markets, reducing cold-chain transport emissions (Ahmed &amp; Turchini, 2021).</w:t>
      </w:r>
    </w:p>
    <w:p w14:paraId="2B65AB7D" w14:textId="47CDA59F" w:rsidR="006D2956" w:rsidRPr="006D2956" w:rsidRDefault="00E3715D"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E3715D">
        <w:rPr>
          <w:rFonts w:ascii="Times New Roman" w:eastAsia="Times New Roman" w:hAnsi="Times New Roman" w:cs="Times New Roman"/>
          <w:sz w:val="24"/>
          <w:szCs w:val="24"/>
          <w:lang w:eastAsia="en-GB"/>
        </w:rPr>
        <w:t>Roque d'Orbcastel</w:t>
      </w:r>
      <w:r w:rsidR="006D2956" w:rsidRPr="006D2956">
        <w:rPr>
          <w:rFonts w:ascii="Times New Roman" w:eastAsia="Times New Roman" w:hAnsi="Times New Roman" w:cs="Times New Roman"/>
          <w:sz w:val="24"/>
          <w:szCs w:val="24"/>
          <w:lang w:eastAsia="en-GB"/>
        </w:rPr>
        <w:t xml:space="preserve"> et al. (2009) conducted one of the earliest comparative LCA studies of flow-through and recirculating trout systems, finding that RAS offered a lower land-use footprint and greater potential for nutrient recovery, but that its energy consumption was a </w:t>
      </w:r>
      <w:r w:rsidR="006D2956" w:rsidRPr="006D2956">
        <w:rPr>
          <w:rFonts w:ascii="Times New Roman" w:eastAsia="Times New Roman" w:hAnsi="Times New Roman" w:cs="Times New Roman"/>
          <w:sz w:val="24"/>
          <w:szCs w:val="24"/>
          <w:lang w:eastAsia="en-GB"/>
        </w:rPr>
        <w:lastRenderedPageBreak/>
        <w:t>significant environmental concern under the French grid conditions of the time. Ayer and Tyedmers (2009) reached similar conclusions for Canadian salmonid systems. The environmental case for RAS is therefore neither universally positive nor negative but deeply context-dependent, requiring site-by-site evaluation that weighs the local energy mix and regulatory environment against the specific environmental pressures that conventional production would otherwise impose on the receiving watershed or marine area.</w:t>
      </w:r>
    </w:p>
    <w:p w14:paraId="76709D78"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7.4 Integrated Multi-trophic Aquaculture</w:t>
      </w:r>
    </w:p>
    <w:p w14:paraId="5955F43C"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Integrated multi-trophic aquaculture is a production concept that co-cultures organisms from different trophic levels — typically finfish, bivalve shellfish, and seaweed or other extractive species — within or adjacent to a single production system, such that the dissolved and particulate waste outputs of higher-trophic-level organisms become inputs for extractive and lower-trophic-level species. The ecological and environmental rationale is compelling: by cycling nutrients and organic matter within the system, IMTA can simultaneously reduce effluent loads, improve nutrient use efficiency, lower per-unit environmental impacts, and generate additional marketable products (Chopin et al., 2001; Troell et al., 2009).</w:t>
      </w:r>
    </w:p>
    <w:p w14:paraId="51879483"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From a carbon footprint perspective, IMTA systems offer several potential benefits. The photosynthetic uptake of inorganic carbon by seaweed components provides a CO₂ absorption function, while the nutrient bioextraction capacity of both seaweeds and filter-feeding bivalves reduces the eutrophication potential and N₂O emission risk associated with dissolved nitrogen release. Wilfart et al. (2013) found that multi-trophic aquaculture configurations showed meaningful improvements in climate impact alongside improvements in other environmental categories, relative to mono-species intensive systems. Troell et al. (2009), reviewing the ecological engineering foundations of IMTA, concluded that the concept is scientifically well supported but that commercial upscaling requires resolving technical challenges around the spatial management of co-cultured species, economic viability at production scale, and regulatory frameworks that can accommodate mixed-species operations.</w:t>
      </w:r>
    </w:p>
    <w:p w14:paraId="595942F3"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7.5 Improved Pond Management and Integrated Farming Systems</w:t>
      </w:r>
    </w:p>
    <w:p w14:paraId="506A4A8E"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For the substantial proportion of global aquaculture production conducted in ponds — particularly extensive and semi-intensive systems across South and Southeast Asia — improved management of organic loading, water quality, and production intensity offers a practical and cost-effective route to reducing direct GHG emissions. Useful strategies include optimising feed formulation and feeding rates to minimise unconsumed feed accumulating in pond sediments, periodically drying and tilling ponds between production cycles to oxidise accumulated organic matter and disrupt methanogenic conditions, and using probiotics and other biological management approaches to shift microbial communities away from methanogenesis.</w:t>
      </w:r>
    </w:p>
    <w:p w14:paraId="18BB011B"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Hu et al. (2012) showed that N₂O and CH₄ emission rates from aquaculture ponds are sensitive to dissolved oxygen concentration, organic loading, stocking density, and feeding rate — all variables under farmer control. IPCC (2019a) refinements to default emission factors for aquaculture ponds have improved national GHG inventory estimates, although the high variability of emission rates across production systems and climatic zones means that farm-level monitoring remains important for accurate carbon accounting. Beyond ponds, integrated farming systems such as rice–fish co-cultivation also offer potential for managing </w:t>
      </w:r>
      <w:r w:rsidRPr="006D2956">
        <w:rPr>
          <w:rFonts w:ascii="Times New Roman" w:eastAsia="Times New Roman" w:hAnsi="Times New Roman" w:cs="Times New Roman"/>
          <w:sz w:val="24"/>
          <w:szCs w:val="24"/>
          <w:lang w:eastAsia="en-GB"/>
        </w:rPr>
        <w:lastRenderedPageBreak/>
        <w:t>emissions while improving resource use efficiency (Hu et al., 2016), and represent an important area for further investigation, particularly in Asian contexts where both rice cultivation and freshwater aquaculture are major components of rural food production. Henriksson et al. (2018) emphasised that sustainable intensification of Asian aquaculture — improving productivity per unit area through better management rather than simply expanding production area — could simultaneously improve food security outcomes and reduce total GHG emissions relative to simple area-based expansion.</w:t>
      </w:r>
    </w:p>
    <w:p w14:paraId="59262247" w14:textId="77777777" w:rsidR="006D2956" w:rsidRPr="006D2956" w:rsidRDefault="006D2956" w:rsidP="00955A12">
      <w:pPr>
        <w:spacing w:before="100" w:beforeAutospacing="1" w:after="100" w:afterAutospacing="1" w:line="240" w:lineRule="auto"/>
        <w:jc w:val="both"/>
        <w:outlineLvl w:val="3"/>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7.6 Policy and Governance Frameworks</w:t>
      </w:r>
    </w:p>
    <w:p w14:paraId="26FDE3D9"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Adopting emission reduction strategies at scale in aquaculture requires enabling policy environments and governance frameworks that create incentives for producers, supply chain actors, and investors to internalise environmental costs and commit resources to cleaner technologies and practices. Bush et al. (2013) assessed the role of voluntary certification schemes in driving environmental improvements in aquaculture and concluded that, while existing standards have had measurable effects on certain practices in some production systems, their effectiveness in reducing carbon footprints specifically is difficult to verify in the absence of explicit carbon accounting requirements within most standards. Naylor et al. (2021), in a comprehensive two-decade retrospective on global aquaculture development, argued for stronger integration of environmental accountability — including GHG emission monitoring and reduction requirements — into the governance frameworks shaping national aquaculture industries.</w:t>
      </w:r>
    </w:p>
    <w:p w14:paraId="751ABE71"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National and international climate policy frameworks provide important enabling conditions for sector-level decarbonisation. The Paris Agreement and its associated nationally determined contributions have been identified as frameworks within which aquaculture sector GHG reductions could increasingly be captured, particularly through the accounting of blue carbon sequestration associated with well-managed coastal aquaculture ecosystems (Filgueira et al., 2015; IPCC, 2019a). IPCC (2022) explicitly acknowledged the mitigation potential of the food and agriculture sector in the context of its sixth assessment cycle. Developing credible monitoring, reporting, and verification protocols specifically designed for aquaculture operations, however, remains an unresolved challenge — and represents a prerequisite for integrating the sector meaningfully into carbon market mechanisms.</w:t>
      </w:r>
    </w:p>
    <w:p w14:paraId="1E08E140"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Table 5 sets out the principal emission reduction strategies discussed in this section, indicating the primary emission category targeted, the evidence-supported mitigation potential, and the key barriers currently limiting wider adoption.</w:t>
      </w:r>
    </w:p>
    <w:p w14:paraId="55B612D0" w14:textId="77777777" w:rsidR="006D2956" w:rsidRPr="006D2956" w:rsidRDefault="006D2956" w:rsidP="00955A12">
      <w:pPr>
        <w:spacing w:after="0" w:line="240" w:lineRule="auto"/>
        <w:jc w:val="both"/>
        <w:rPr>
          <w:rFonts w:ascii="Times New Roman" w:eastAsia="Times New Roman" w:hAnsi="Times New Roman" w:cs="Times New Roman"/>
          <w:sz w:val="24"/>
          <w:szCs w:val="24"/>
          <w:lang w:eastAsia="en-GB"/>
        </w:rPr>
      </w:pPr>
    </w:p>
    <w:p w14:paraId="44FCA91A"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b/>
          <w:bCs/>
          <w:sz w:val="24"/>
          <w:szCs w:val="24"/>
          <w:lang w:eastAsia="en-GB"/>
        </w:rPr>
        <w:t>Table 5: Principal Emission Reduction Strategies for Aquaculture and Evidence of Mitigation Potential</w:t>
      </w:r>
    </w:p>
    <w:tbl>
      <w:tblPr>
        <w:tblStyle w:val="TableGridLight"/>
        <w:tblW w:w="0" w:type="auto"/>
        <w:tblLook w:val="04A0" w:firstRow="1" w:lastRow="0" w:firstColumn="1" w:lastColumn="0" w:noHBand="0" w:noVBand="1"/>
      </w:tblPr>
      <w:tblGrid>
        <w:gridCol w:w="2033"/>
        <w:gridCol w:w="2175"/>
        <w:gridCol w:w="2073"/>
        <w:gridCol w:w="2961"/>
      </w:tblGrid>
      <w:tr w:rsidR="006D2956" w:rsidRPr="006D2956" w14:paraId="5482006B" w14:textId="77777777" w:rsidTr="006D2956">
        <w:tc>
          <w:tcPr>
            <w:tcW w:w="0" w:type="auto"/>
            <w:hideMark/>
          </w:tcPr>
          <w:p w14:paraId="2BF027BC"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Strategy</w:t>
            </w:r>
          </w:p>
        </w:tc>
        <w:tc>
          <w:tcPr>
            <w:tcW w:w="0" w:type="auto"/>
            <w:hideMark/>
          </w:tcPr>
          <w:p w14:paraId="3731103E"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Primary Emission Category Targeted</w:t>
            </w:r>
          </w:p>
        </w:tc>
        <w:tc>
          <w:tcPr>
            <w:tcW w:w="0" w:type="auto"/>
            <w:hideMark/>
          </w:tcPr>
          <w:p w14:paraId="7048F628"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Mitigation Potential</w:t>
            </w:r>
          </w:p>
        </w:tc>
        <w:tc>
          <w:tcPr>
            <w:tcW w:w="0" w:type="auto"/>
            <w:hideMark/>
          </w:tcPr>
          <w:p w14:paraId="3A18625B" w14:textId="77777777" w:rsidR="006D2956" w:rsidRPr="006D2956" w:rsidRDefault="006D2956" w:rsidP="00955A12">
            <w:pPr>
              <w:jc w:val="both"/>
              <w:rPr>
                <w:rFonts w:ascii="Times New Roman" w:eastAsia="Times New Roman" w:hAnsi="Times New Roman" w:cs="Times New Roman"/>
                <w:b/>
                <w:bCs/>
                <w:sz w:val="24"/>
                <w:szCs w:val="24"/>
                <w:lang w:eastAsia="en-GB"/>
              </w:rPr>
            </w:pPr>
            <w:r w:rsidRPr="006D2956">
              <w:rPr>
                <w:rFonts w:ascii="Times New Roman" w:eastAsia="Times New Roman" w:hAnsi="Times New Roman" w:cs="Times New Roman"/>
                <w:b/>
                <w:bCs/>
                <w:sz w:val="24"/>
                <w:szCs w:val="24"/>
                <w:lang w:eastAsia="en-GB"/>
              </w:rPr>
              <w:t>Key Barriers to Adoption</w:t>
            </w:r>
          </w:p>
        </w:tc>
      </w:tr>
      <w:tr w:rsidR="006D2956" w:rsidRPr="006D2956" w14:paraId="4119A801" w14:textId="77777777" w:rsidTr="006D2956">
        <w:tc>
          <w:tcPr>
            <w:tcW w:w="0" w:type="auto"/>
            <w:hideMark/>
          </w:tcPr>
          <w:p w14:paraId="1A56EE07"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Insect meal / single-cell protein in feeds</w:t>
            </w:r>
          </w:p>
        </w:tc>
        <w:tc>
          <w:tcPr>
            <w:tcW w:w="0" w:type="auto"/>
            <w:hideMark/>
          </w:tcPr>
          <w:p w14:paraId="13F63E44"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production (fishmeal substitution)</w:t>
            </w:r>
          </w:p>
        </w:tc>
        <w:tc>
          <w:tcPr>
            <w:tcW w:w="0" w:type="auto"/>
            <w:hideMark/>
          </w:tcPr>
          <w:p w14:paraId="68BF6143"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High, conditional on substrate and energy mix</w:t>
            </w:r>
          </w:p>
        </w:tc>
        <w:tc>
          <w:tcPr>
            <w:tcW w:w="0" w:type="auto"/>
            <w:hideMark/>
          </w:tcPr>
          <w:p w14:paraId="110327C7"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Cost competitiveness; regulatory harmonisation; production scale-up</w:t>
            </w:r>
          </w:p>
        </w:tc>
      </w:tr>
      <w:tr w:rsidR="006D2956" w:rsidRPr="006D2956" w14:paraId="141EB355" w14:textId="77777777" w:rsidTr="006D2956">
        <w:tc>
          <w:tcPr>
            <w:tcW w:w="0" w:type="auto"/>
            <w:hideMark/>
          </w:tcPr>
          <w:p w14:paraId="104EF65F"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Certified plant protein </w:t>
            </w:r>
            <w:r w:rsidRPr="006D2956">
              <w:rPr>
                <w:rFonts w:ascii="Times New Roman" w:eastAsia="Times New Roman" w:hAnsi="Times New Roman" w:cs="Times New Roman"/>
                <w:sz w:val="24"/>
                <w:szCs w:val="24"/>
                <w:lang w:eastAsia="en-GB"/>
              </w:rPr>
              <w:lastRenderedPageBreak/>
              <w:t>substitution</w:t>
            </w:r>
          </w:p>
        </w:tc>
        <w:tc>
          <w:tcPr>
            <w:tcW w:w="0" w:type="auto"/>
            <w:hideMark/>
          </w:tcPr>
          <w:p w14:paraId="404E6358"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 xml:space="preserve">Feed production; marine ingredient </w:t>
            </w:r>
            <w:r w:rsidRPr="006D2956">
              <w:rPr>
                <w:rFonts w:ascii="Times New Roman" w:eastAsia="Times New Roman" w:hAnsi="Times New Roman" w:cs="Times New Roman"/>
                <w:sz w:val="24"/>
                <w:szCs w:val="24"/>
                <w:lang w:eastAsia="en-GB"/>
              </w:rPr>
              <w:lastRenderedPageBreak/>
              <w:t>use</w:t>
            </w:r>
          </w:p>
        </w:tc>
        <w:tc>
          <w:tcPr>
            <w:tcW w:w="0" w:type="auto"/>
            <w:hideMark/>
          </w:tcPr>
          <w:p w14:paraId="1A45EFBA"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 xml:space="preserve">Moderate; risk of LUC burden </w:t>
            </w:r>
            <w:r w:rsidRPr="006D2956">
              <w:rPr>
                <w:rFonts w:ascii="Times New Roman" w:eastAsia="Times New Roman" w:hAnsi="Times New Roman" w:cs="Times New Roman"/>
                <w:sz w:val="24"/>
                <w:szCs w:val="24"/>
                <w:lang w:eastAsia="en-GB"/>
              </w:rPr>
              <w:lastRenderedPageBreak/>
              <w:t>transfer</w:t>
            </w:r>
          </w:p>
        </w:tc>
        <w:tc>
          <w:tcPr>
            <w:tcW w:w="0" w:type="auto"/>
            <w:hideMark/>
          </w:tcPr>
          <w:p w14:paraId="080A745C"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 xml:space="preserve">Deforestation linkage in soy supply chains; nutritional </w:t>
            </w:r>
            <w:r w:rsidRPr="006D2956">
              <w:rPr>
                <w:rFonts w:ascii="Times New Roman" w:eastAsia="Times New Roman" w:hAnsi="Times New Roman" w:cs="Times New Roman"/>
                <w:sz w:val="24"/>
                <w:szCs w:val="24"/>
                <w:lang w:eastAsia="en-GB"/>
              </w:rPr>
              <w:lastRenderedPageBreak/>
              <w:t>constraints</w:t>
            </w:r>
          </w:p>
        </w:tc>
      </w:tr>
      <w:tr w:rsidR="006D2956" w:rsidRPr="006D2956" w14:paraId="3EBE86CF" w14:textId="77777777" w:rsidTr="006D2956">
        <w:tc>
          <w:tcPr>
            <w:tcW w:w="0" w:type="auto"/>
            <w:hideMark/>
          </w:tcPr>
          <w:p w14:paraId="78D28969"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lastRenderedPageBreak/>
              <w:t>Renewable electricity at farm</w:t>
            </w:r>
          </w:p>
        </w:tc>
        <w:tc>
          <w:tcPr>
            <w:tcW w:w="0" w:type="auto"/>
            <w:hideMark/>
          </w:tcPr>
          <w:p w14:paraId="3FEE7090"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Energy-related emissions</w:t>
            </w:r>
          </w:p>
        </w:tc>
        <w:tc>
          <w:tcPr>
            <w:tcW w:w="0" w:type="auto"/>
            <w:hideMark/>
          </w:tcPr>
          <w:p w14:paraId="3961220C"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High for grid-connected intensive systems</w:t>
            </w:r>
          </w:p>
        </w:tc>
        <w:tc>
          <w:tcPr>
            <w:tcW w:w="0" w:type="auto"/>
            <w:hideMark/>
          </w:tcPr>
          <w:p w14:paraId="5E64091D"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Capital costs; grid access in developing countries</w:t>
            </w:r>
          </w:p>
        </w:tc>
      </w:tr>
      <w:tr w:rsidR="006D2956" w:rsidRPr="006D2956" w14:paraId="18E4CF9C" w14:textId="77777777" w:rsidTr="006D2956">
        <w:tc>
          <w:tcPr>
            <w:tcW w:w="0" w:type="auto"/>
            <w:hideMark/>
          </w:tcPr>
          <w:p w14:paraId="2E4694E8"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RAS with low-carbon energy</w:t>
            </w:r>
          </w:p>
        </w:tc>
        <w:tc>
          <w:tcPr>
            <w:tcW w:w="0" w:type="auto"/>
            <w:hideMark/>
          </w:tcPr>
          <w:p w14:paraId="64CB5CB9"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Energy; direct water body emissions</w:t>
            </w:r>
          </w:p>
        </w:tc>
        <w:tc>
          <w:tcPr>
            <w:tcW w:w="0" w:type="auto"/>
            <w:hideMark/>
          </w:tcPr>
          <w:p w14:paraId="68B11A3E"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High with renewable electricity</w:t>
            </w:r>
          </w:p>
        </w:tc>
        <w:tc>
          <w:tcPr>
            <w:tcW w:w="0" w:type="auto"/>
            <w:hideMark/>
          </w:tcPr>
          <w:p w14:paraId="6D48B215"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Very high energy demand and capital investment requirements</w:t>
            </w:r>
          </w:p>
        </w:tc>
      </w:tr>
      <w:tr w:rsidR="006D2956" w:rsidRPr="006D2956" w14:paraId="70640079" w14:textId="77777777" w:rsidTr="006D2956">
        <w:tc>
          <w:tcPr>
            <w:tcW w:w="0" w:type="auto"/>
            <w:hideMark/>
          </w:tcPr>
          <w:p w14:paraId="1CFD5071"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Integrated multi-trophic aquaculture</w:t>
            </w:r>
          </w:p>
        </w:tc>
        <w:tc>
          <w:tcPr>
            <w:tcW w:w="0" w:type="auto"/>
            <w:hideMark/>
          </w:tcPr>
          <w:p w14:paraId="3D03BE71"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Feed-linked and direct emissions across system</w:t>
            </w:r>
          </w:p>
        </w:tc>
        <w:tc>
          <w:tcPr>
            <w:tcW w:w="0" w:type="auto"/>
            <w:hideMark/>
          </w:tcPr>
          <w:p w14:paraId="53ADC227"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Moderate to high; species-specific</w:t>
            </w:r>
          </w:p>
        </w:tc>
        <w:tc>
          <w:tcPr>
            <w:tcW w:w="0" w:type="auto"/>
            <w:hideMark/>
          </w:tcPr>
          <w:p w14:paraId="4BFE287C"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Technical complexity; spatial management; regulatory uncertainty</w:t>
            </w:r>
          </w:p>
        </w:tc>
      </w:tr>
      <w:tr w:rsidR="006D2956" w:rsidRPr="006D2956" w14:paraId="7E3A4D95" w14:textId="77777777" w:rsidTr="006D2956">
        <w:tc>
          <w:tcPr>
            <w:tcW w:w="0" w:type="auto"/>
            <w:hideMark/>
          </w:tcPr>
          <w:p w14:paraId="47732395"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Mangrove protection / blue carbon</w:t>
            </w:r>
          </w:p>
        </w:tc>
        <w:tc>
          <w:tcPr>
            <w:tcW w:w="0" w:type="auto"/>
            <w:hideMark/>
          </w:tcPr>
          <w:p w14:paraId="2728EE43"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Land-use change emissions</w:t>
            </w:r>
          </w:p>
        </w:tc>
        <w:tc>
          <w:tcPr>
            <w:tcW w:w="0" w:type="auto"/>
            <w:hideMark/>
          </w:tcPr>
          <w:p w14:paraId="68493FBA"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Very high if area-level conversion is prevented</w:t>
            </w:r>
          </w:p>
        </w:tc>
        <w:tc>
          <w:tcPr>
            <w:tcW w:w="0" w:type="auto"/>
            <w:hideMark/>
          </w:tcPr>
          <w:p w14:paraId="5D1EB609"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Governance capacity; verification and permanence protocols</w:t>
            </w:r>
          </w:p>
        </w:tc>
      </w:tr>
      <w:tr w:rsidR="006D2956" w:rsidRPr="006D2956" w14:paraId="0277A39B" w14:textId="77777777" w:rsidTr="006D2956">
        <w:tc>
          <w:tcPr>
            <w:tcW w:w="0" w:type="auto"/>
            <w:hideMark/>
          </w:tcPr>
          <w:p w14:paraId="1DBF56ED"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Improved pond management</w:t>
            </w:r>
          </w:p>
        </w:tc>
        <w:tc>
          <w:tcPr>
            <w:tcW w:w="0" w:type="auto"/>
            <w:hideMark/>
          </w:tcPr>
          <w:p w14:paraId="50767712"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Direct N₂O and CH₄ emissions</w:t>
            </w:r>
          </w:p>
        </w:tc>
        <w:tc>
          <w:tcPr>
            <w:tcW w:w="0" w:type="auto"/>
            <w:hideMark/>
          </w:tcPr>
          <w:p w14:paraId="6BC2D77C"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Moderate; context-specific</w:t>
            </w:r>
          </w:p>
        </w:tc>
        <w:tc>
          <w:tcPr>
            <w:tcW w:w="0" w:type="auto"/>
            <w:hideMark/>
          </w:tcPr>
          <w:p w14:paraId="2CD1AA1B"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Monitoring costs; farmer adoption incentives and training</w:t>
            </w:r>
          </w:p>
        </w:tc>
      </w:tr>
      <w:tr w:rsidR="006D2956" w:rsidRPr="006D2956" w14:paraId="16F2F12C" w14:textId="77777777" w:rsidTr="006D2956">
        <w:tc>
          <w:tcPr>
            <w:tcW w:w="0" w:type="auto"/>
            <w:hideMark/>
          </w:tcPr>
          <w:p w14:paraId="42CC23F6"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Carbon pricing / mandatory reporting</w:t>
            </w:r>
          </w:p>
        </w:tc>
        <w:tc>
          <w:tcPr>
            <w:tcW w:w="0" w:type="auto"/>
            <w:hideMark/>
          </w:tcPr>
          <w:p w14:paraId="2C8C661E"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Cross-cutting, all categories</w:t>
            </w:r>
          </w:p>
        </w:tc>
        <w:tc>
          <w:tcPr>
            <w:tcW w:w="0" w:type="auto"/>
            <w:hideMark/>
          </w:tcPr>
          <w:p w14:paraId="21365DE6"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Potentially large if well designed</w:t>
            </w:r>
          </w:p>
        </w:tc>
        <w:tc>
          <w:tcPr>
            <w:tcW w:w="0" w:type="auto"/>
            <w:hideMark/>
          </w:tcPr>
          <w:p w14:paraId="3DBD0198" w14:textId="77777777" w:rsidR="006D2956" w:rsidRPr="006D2956" w:rsidRDefault="006D2956" w:rsidP="00955A12">
            <w:pPr>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Data infrastructure; compliance costs; enforcement capacity</w:t>
            </w:r>
          </w:p>
        </w:tc>
      </w:tr>
    </w:tbl>
    <w:p w14:paraId="011AED5F"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i/>
          <w:iCs/>
          <w:sz w:val="24"/>
          <w:szCs w:val="24"/>
          <w:lang w:eastAsia="en-GB"/>
        </w:rPr>
        <w:t xml:space="preserve">Sources: Ahmed &amp; Turchini (2021); Badiola et al. </w:t>
      </w:r>
      <w:r w:rsidRPr="00E3715D">
        <w:rPr>
          <w:rFonts w:ascii="Times New Roman" w:eastAsia="Times New Roman" w:hAnsi="Times New Roman" w:cs="Times New Roman"/>
          <w:i/>
          <w:iCs/>
          <w:sz w:val="24"/>
          <w:szCs w:val="24"/>
          <w:lang w:val="nl-BE" w:eastAsia="en-GB"/>
        </w:rPr>
        <w:t xml:space="preserve">(2018); Bohnes et al. (2019); Bush et al. (2013); Chopin et al. (2001); Duarte et al. (2017); Filgueira et al. (2015); Froehlich et al. (2018); Halloran et al. (2016); Henry et al. (2015); Hu et al. (2012); IPCC (2019a); Jonell &amp; Henriksson (2015); MacLeod et al. </w:t>
      </w:r>
      <w:r w:rsidRPr="006D2956">
        <w:rPr>
          <w:rFonts w:ascii="Times New Roman" w:eastAsia="Times New Roman" w:hAnsi="Times New Roman" w:cs="Times New Roman"/>
          <w:i/>
          <w:iCs/>
          <w:sz w:val="24"/>
          <w:szCs w:val="24"/>
          <w:lang w:eastAsia="en-GB"/>
        </w:rPr>
        <w:t>(2020); Naylor et al. (2021); Troell et al. (2009); Wilfart et al. (2013)</w:t>
      </w:r>
    </w:p>
    <w:p w14:paraId="0110F476" w14:textId="77777777" w:rsidR="006D2956" w:rsidRPr="006D2956" w:rsidRDefault="006D2956" w:rsidP="00955A12">
      <w:pPr>
        <w:spacing w:after="0" w:line="240" w:lineRule="auto"/>
        <w:jc w:val="both"/>
        <w:rPr>
          <w:rFonts w:ascii="Times New Roman" w:eastAsia="Times New Roman" w:hAnsi="Times New Roman" w:cs="Times New Roman"/>
          <w:sz w:val="24"/>
          <w:szCs w:val="24"/>
          <w:lang w:eastAsia="en-GB"/>
        </w:rPr>
      </w:pPr>
    </w:p>
    <w:p w14:paraId="027F0706" w14:textId="77777777" w:rsidR="006D2956" w:rsidRPr="006D2956" w:rsidRDefault="006D2956" w:rsidP="00955A12">
      <w:pPr>
        <w:spacing w:before="100" w:beforeAutospacing="1" w:after="100" w:afterAutospacing="1" w:line="240" w:lineRule="auto"/>
        <w:jc w:val="both"/>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8. Synthesis and Critical Discussion</w:t>
      </w:r>
    </w:p>
    <w:p w14:paraId="5E3D19F9"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literature synthesised in this review reveals several robust patterns alongside persistent methodological challenges and important data gaps. The most important substantive finding is the sheer heterogeneity in carbon intensity across species and production systems. The range from sub-1 kg CO₂-eq kg⁻¹ for filter-feeding bivalves and seaweed to values exceeding 20 kg CO₂-eq kg⁻¹ for some shrimp systems incorporating mangrove conversion is substantially wider than the variation found within most other major protein source categories, and reflects the genuine ecological and technological diversity packed into the single term "aquaculture" (MacLeod et al., 2020; Poore &amp; Nemecek, 2018). Blanket characterisations of aquaculture as inherently low- or high-carbon are therefore empirically indefensible, and policy instruments that treat the sector as a homogeneous entity risk misallocating effort and resources.</w:t>
      </w:r>
    </w:p>
    <w:p w14:paraId="691A5E23"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Feed production remains the most powerful lever for reducing carbon footprints in fed aquaculture. The trajectory of fishmeal substitution over the past two decades has already driven measurable reductions in feed carbon intensity for salmon and trout (Naylor et al., 2021), though these gains have been partially eroded by land-use change emissions from expanded soy cultivation (Froehlich et al., 2018). The emerging generation of insect-based and microbial protein ingredients holds out the prospect of further significant reductions, and several of the LCA studies reviewed here suggest that systems adopting novel ingredients could achieve substantially lower carbon footprints than those dependent on conventional </w:t>
      </w:r>
      <w:r w:rsidRPr="006D2956">
        <w:rPr>
          <w:rFonts w:ascii="Times New Roman" w:eastAsia="Times New Roman" w:hAnsi="Times New Roman" w:cs="Times New Roman"/>
          <w:sz w:val="24"/>
          <w:szCs w:val="24"/>
          <w:lang w:eastAsia="en-GB"/>
        </w:rPr>
        <w:lastRenderedPageBreak/>
        <w:t>marine or terrestrial plant proteins (Halloran et al., 2016; Henry et al., 2015). Whether these technologies can scale cost-competitively to the volumes required by global aquaculture remains an open question, and early LCA results for novel ingredients are subject to the same methodological heterogeneity that continues to challenge the broader aquaculture LCA literature.</w:t>
      </w:r>
    </w:p>
    <w:p w14:paraId="339A4F0A"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Energy's role in aquaculture's GHG emissions is both a significant challenge and a genuinely tractable opportunity. For intensive land-based systems, the most direct route to low-carbon production is moving away from fossil fuel-derived electricity — a matter partly of national energy policy and partly of farm-level investment decisions (Badiola et al., 2018; MacLeod et al., 2020). For extensive and semi-intensive systems in lower-income countries, where energy use is relatively low but direct pond emissions and feed-related impacts may be significant, different intervention pathways are needed, centred on improved management practice, access to better-quality feeds, and farmer training. The sheer diversity of aquaculture contexts means that emission reduction policy must be tailored to specific production systems and geographies rather than pursuing a single uniform approach.</w:t>
      </w:r>
    </w:p>
    <w:p w14:paraId="41D702CE"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The methodological advances reviewed in Section 6 are gradually addressing some of the most significant limitations in the aquaculture LCA field. Consequential and dynamic approaches yield more policy-relevant assessments of sector-level emission implications, while improved marine resource use metrics, water footprint integration, and early work on biodiversity impact characterisation are building a progressively more complete picture of aquaculture's total environmental burden. Even so, data quality and primary measurement remain fundamental constraints — particularly for direct pond GHG fluxes across diverse geographic and climatic contexts, and for the rapidly evolving ingredient compositions of commercial aquafeeds. Both Hu et al. (2012) and IPCC (2019a) emphasised the need for expanded empirical measurement programmes for CH₄ and N₂O from aquaculture systems as a prerequisite for reducing uncertainty in global emission estimates.</w:t>
      </w:r>
    </w:p>
    <w:p w14:paraId="7093804F"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Comparisons of aquaculture with terrestrial livestock in climate impact terms have become increasingly prominent in food policy discussions and dietary guidelines. Poore and Nemecek (2018) demonstrated, in a comprehensive global analysis, that aquaculture systems generally produce lower GHG emissions per unit of protein than ruminant livestock, though results are more variable when compared with monogastric pigs and poultry. Golden et al. (2016) highlighted the nutritional co-benefits of aquatic food consumption, particularly for micronutrients and long-chain omega-3 fatty acids, while Springmann et al. (2020) found that dietary guidelines incorporating moderate amounts of fish and seafood were associated with better combined nutritional and environmental outcomes than diets reliant primarily on terrestrial livestock. These comparative findings reinforce the case for including aquaculture — particularly lower-impact species and systems — in food system transition strategies aimed at improving diet quality and reducing dietary GHG footprints simultaneously.</w:t>
      </w:r>
    </w:p>
    <w:p w14:paraId="65AE50FB"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Governance and certification remain essential enabling mechanisms. Bush et al. (2013) noted that voluntary standards have produced measurable improvements in specific practices in some contexts, but that the absence of robust carbon accounting requirements within most existing schemes limits their effectiveness as climate mitigation tools. Ahmed et al. (2019) and Naylor et al. (2021) both called for stronger integration of environmental accountability into national aquaculture development frameworks, arguing that the sector's long-term viability depends on its ability to demonstrate genuine improvement across multiple environmental dimensions, not GHG emissions alone.</w:t>
      </w:r>
    </w:p>
    <w:p w14:paraId="6B6597CE" w14:textId="77777777" w:rsidR="006D2956" w:rsidRPr="006D2956" w:rsidRDefault="006D2956" w:rsidP="00955A12">
      <w:pPr>
        <w:spacing w:after="0" w:line="240" w:lineRule="auto"/>
        <w:jc w:val="both"/>
        <w:rPr>
          <w:rFonts w:ascii="Times New Roman" w:eastAsia="Times New Roman" w:hAnsi="Times New Roman" w:cs="Times New Roman"/>
          <w:sz w:val="24"/>
          <w:szCs w:val="24"/>
          <w:lang w:eastAsia="en-GB"/>
        </w:rPr>
      </w:pPr>
    </w:p>
    <w:p w14:paraId="337DA5E2" w14:textId="77777777" w:rsidR="006D2956" w:rsidRPr="006D2956" w:rsidRDefault="006D2956" w:rsidP="00955A12">
      <w:pPr>
        <w:spacing w:before="100" w:beforeAutospacing="1" w:after="100" w:afterAutospacing="1" w:line="240" w:lineRule="auto"/>
        <w:jc w:val="both"/>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9. Conclusions</w:t>
      </w:r>
    </w:p>
    <w:p w14:paraId="7651A63D"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This review has synthesised a broad and growing body of evidence on the carbon footprints of aquaculture systems, with particular focus on life cycle assessment methodology, comparative emission profiles, primary emission sources, and strategies for mitigation. Several principal conclusions emerge from this synthesis.</w:t>
      </w:r>
    </w:p>
    <w:p w14:paraId="35637BE1"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Aquaculture as a sector encompasses an extraordinarily wide range of carbon footprints, from near-zero or marginally negative values for some seaweed and bivalve systems to values comparable with, or exceeding, those of intensive terrestrial livestock for certain carnivorous finfish and some shrimp production configurations. This diversity means the sector cannot be characterised meaningfully in simple aggregate terms, and that differentiated, system-specific approaches to carbon accounting and reduction are essential for both scientific progress and effective policy.</w:t>
      </w:r>
    </w:p>
    <w:p w14:paraId="44943B2F"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Feed production is the dominant emission source in fed aquaculture and the primary lever for mitigation. The progressive replacement of marine ingredients with lower-carbon alternatives — including certified plant proteins, insect meal, and single-cell proteins — represents the highest-impact intervention available to the sector. Substitution strategies that shift environmental burdens from one production stage or geography to another must, however, be assessed through rigorous full life cycle accounting, and developing verification systems for novel feed ingredients is an important parallel requirement.</w:t>
      </w:r>
    </w:p>
    <w:p w14:paraId="05AF48C1"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Energy consumption is the second most important emission source and is amenable to significant reduction through renewable energy transition and improved efficiency, particularly in recirculating aquaculture systems. The carbon intensity of farm energy is strongly mediated by the national electricity mix, meaning that policies accelerating grid decarbonisation will generate important co-benefits for aquaculture producers without requiring any change to production methods themselves.</w:t>
      </w:r>
    </w:p>
    <w:p w14:paraId="3086BCF3"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Advanced LCA methodologies, including consequential and dynamic approaches, multi-regional input-output analysis, and multi-impact assessment frameworks, are improving the analytical rigour and policy relevance of aquaculture carbon accounting. Despite this progress, methodological heterogeneity across published studies remains an obstacle to cross-system comparison, and sector-specific reporting guidelines for aquaculture LCA represent an important priority for the research community.</w:t>
      </w:r>
    </w:p>
    <w:p w14:paraId="3C0B8FE4"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Integrated multi-trophic aquaculture and recirculating systems with low-carbon energy supply represent the most technically promising pathways toward substantially lower-carbon production, but their wider adoption depends on resolving questions of economic viability, energy access, and regulatory complexity. Improved pond management practices, meanwhile, offer cost-effective and farmer-accessible mitigation opportunities for the large share of global production that occurs in semi-intensive systems.</w:t>
      </w:r>
    </w:p>
    <w:p w14:paraId="229C00F6"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 xml:space="preserve">Governance frameworks — certification standards, national aquaculture strategies, and international climate agreements among them — have a central role in incentivising, measuring, and verifying progress toward lower-carbon aquaculture. Mandatory carbon reporting requirements, credible offset protocols for blue carbon, and public investment in </w:t>
      </w:r>
      <w:r w:rsidRPr="006D2956">
        <w:rPr>
          <w:rFonts w:ascii="Times New Roman" w:eastAsia="Times New Roman" w:hAnsi="Times New Roman" w:cs="Times New Roman"/>
          <w:sz w:val="24"/>
          <w:szCs w:val="24"/>
          <w:lang w:eastAsia="en-GB"/>
        </w:rPr>
        <w:lastRenderedPageBreak/>
        <w:t>monitoring and data infrastructure are all components of the enabling environment the sector will need if it is to make a meaningful contribution to global climate mitigation objectives.</w:t>
      </w:r>
    </w:p>
    <w:p w14:paraId="55DD9CC1" w14:textId="77777777" w:rsidR="006D2956" w:rsidRPr="006D2956" w:rsidRDefault="006D2956" w:rsidP="00955A12">
      <w:pPr>
        <w:spacing w:after="0" w:line="240" w:lineRule="auto"/>
        <w:jc w:val="both"/>
        <w:rPr>
          <w:rFonts w:ascii="Times New Roman" w:eastAsia="Times New Roman" w:hAnsi="Times New Roman" w:cs="Times New Roman"/>
          <w:sz w:val="24"/>
          <w:szCs w:val="24"/>
          <w:lang w:eastAsia="en-GB"/>
        </w:rPr>
      </w:pPr>
    </w:p>
    <w:p w14:paraId="31D38B94" w14:textId="77777777" w:rsidR="006D2956" w:rsidRPr="006D2956" w:rsidRDefault="006D2956" w:rsidP="00955A12">
      <w:pPr>
        <w:spacing w:before="100" w:beforeAutospacing="1" w:after="100" w:afterAutospacing="1" w:line="240" w:lineRule="auto"/>
        <w:jc w:val="both"/>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10. Limitations</w:t>
      </w:r>
    </w:p>
    <w:p w14:paraId="1B9E8316"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This review carries several limitations that should be acknowledged openly. First, the adoption of a narrative rather than systematic review methodology, while appropriate for a heterogeneous and rapidly evolving literature, introduces an element of subjectivity into the selection, weighting, and interpretation of individual studies. The findings presented here should therefore be understood as a critical synthesis rather than a statistically representative sample of all available evidence.</w:t>
      </w:r>
    </w:p>
    <w:p w14:paraId="2B17A00F"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Second, the published LCA literature for aquaculture is heavily concentrated on a small number of commercially prominent species and production systems — Norwegian Atlantic salmon, Asian shrimp, and European trout, in particular — and significant evidence gaps remain for many species and systems of growing commercial importance, including carp (by far the most produced aquaculture taxon globally), seabass, seabream, and numerous tropical freshwater and brackish-water species.</w:t>
      </w:r>
    </w:p>
    <w:p w14:paraId="44643AB6"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Third, the great majority of published LCA studies have been conducted in developed-country contexts or for export-oriented production systems in producing countries. The carbon footprints of subsistence and small-scale aquaculture systems, which provide food security and livelihoods for hundreds of millions of people across South and Southeast Asia and sub-Saharan Africa, remain very poorly characterised in the peer-reviewed literature.</w:t>
      </w:r>
    </w:p>
    <w:p w14:paraId="542D3B19"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Fourth, the static nature of LCA methodology means that the dynamic and interactive effects of climate change itself on aquaculture production systems — including the influence of rising water temperatures on feed conversion efficiency, disease prevalence, and species range — are not systematically captured in existing assessments. The long-term climate compatibility of any given aquaculture system cannot, therefore, be fully evaluated through current LCA frameworks alone.</w:t>
      </w:r>
    </w:p>
    <w:p w14:paraId="664105E5" w14:textId="77777777" w:rsidR="006D2956" w:rsidRP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Fifth, this review focuses primarily on cradle-to-farm-gate or cradle-to-consumer system boundaries and does not comprehensively address post-consumer food waste, which can significantly alter the effective carbon footprint per unit of nutrition actually consumed by the end user.</w:t>
      </w:r>
    </w:p>
    <w:p w14:paraId="678C1DE5" w14:textId="77777777" w:rsidR="006D2956" w:rsidRDefault="006D2956"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D2956">
        <w:rPr>
          <w:rFonts w:ascii="Times New Roman" w:eastAsia="Times New Roman" w:hAnsi="Times New Roman" w:cs="Times New Roman"/>
          <w:sz w:val="24"/>
          <w:szCs w:val="24"/>
          <w:lang w:eastAsia="en-GB"/>
        </w:rPr>
        <w:t>Finally, the pace of technological change in aquaculture — including advances in precision nutrition, novel RAS designs, offshore production systems, and emerging feed technologies — means that specific quantitative claims drawn from published studies may have a comparatively short period of direct relevance, even where the methodological and strategic conclusions of this review retain their validity over a longer horizon.</w:t>
      </w:r>
    </w:p>
    <w:p w14:paraId="0563D620" w14:textId="77777777" w:rsidR="00B46195" w:rsidRDefault="00B46195"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621A4DBC" w14:textId="77777777" w:rsidR="00B46195" w:rsidRPr="00C04DA0" w:rsidRDefault="00B46195" w:rsidP="00955A12">
      <w:pPr>
        <w:spacing w:after="0" w:line="240" w:lineRule="auto"/>
        <w:jc w:val="both"/>
        <w:rPr>
          <w:rFonts w:ascii="Times New Roman" w:eastAsia="Calibri" w:hAnsi="Times New Roman" w:cs="Times New Roman"/>
          <w:b/>
        </w:rPr>
      </w:pPr>
      <w:r w:rsidRPr="00C04DA0">
        <w:rPr>
          <w:rFonts w:ascii="Times New Roman" w:eastAsia="Calibri" w:hAnsi="Times New Roman" w:cs="Times New Roman"/>
          <w:b/>
        </w:rPr>
        <w:t>Declaration of AI Use</w:t>
      </w:r>
    </w:p>
    <w:p w14:paraId="26250369" w14:textId="77777777" w:rsidR="00B46195" w:rsidRPr="00C04DA0" w:rsidRDefault="00B46195" w:rsidP="00955A12">
      <w:pPr>
        <w:spacing w:after="0" w:line="240" w:lineRule="auto"/>
        <w:jc w:val="both"/>
        <w:rPr>
          <w:rFonts w:ascii="Times New Roman" w:eastAsia="Calibri" w:hAnsi="Times New Roman" w:cs="Times New Roman"/>
        </w:rPr>
      </w:pPr>
    </w:p>
    <w:p w14:paraId="75008C03" w14:textId="77777777" w:rsidR="00B46195" w:rsidRDefault="00B46195" w:rsidP="00955A12">
      <w:pPr>
        <w:spacing w:after="0" w:line="240" w:lineRule="auto"/>
        <w:jc w:val="both"/>
        <w:rPr>
          <w:rFonts w:ascii="Times New Roman" w:eastAsia="Calibri" w:hAnsi="Times New Roman" w:cs="Times New Roman"/>
        </w:rPr>
      </w:pPr>
      <w:r w:rsidRPr="00C04DA0">
        <w:rPr>
          <w:rFonts w:ascii="Times New Roman" w:eastAsia="Calibri" w:hAnsi="Times New Roman" w:cs="Times New Roman"/>
        </w:rPr>
        <w:lastRenderedPageBreak/>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31084A20" w14:textId="77777777" w:rsidR="00B46195" w:rsidRDefault="00B46195" w:rsidP="00955A12">
      <w:pPr>
        <w:spacing w:after="0" w:line="240" w:lineRule="auto"/>
        <w:jc w:val="both"/>
        <w:rPr>
          <w:rFonts w:ascii="Times New Roman" w:eastAsia="Calibri" w:hAnsi="Times New Roman" w:cs="Times New Roman"/>
        </w:rPr>
      </w:pPr>
    </w:p>
    <w:p w14:paraId="26106AFE" w14:textId="77777777" w:rsidR="00B46195" w:rsidRDefault="00B46195" w:rsidP="00955A12">
      <w:pPr>
        <w:spacing w:after="0" w:line="240" w:lineRule="auto"/>
        <w:jc w:val="both"/>
        <w:rPr>
          <w:rFonts w:ascii="Times New Roman" w:eastAsia="Calibri" w:hAnsi="Times New Roman" w:cs="Times New Roman"/>
        </w:rPr>
      </w:pPr>
    </w:p>
    <w:p w14:paraId="5EE5630B" w14:textId="77777777" w:rsidR="00B46195" w:rsidRPr="00FA067A" w:rsidRDefault="00B46195" w:rsidP="00955A12">
      <w:pPr>
        <w:jc w:val="both"/>
        <w:rPr>
          <w:rFonts w:ascii="Arial" w:eastAsiaTheme="minorEastAsia" w:hAnsi="Arial" w:cs="Arial"/>
          <w:b/>
          <w:bCs/>
          <w:lang w:eastAsia="en-GB"/>
        </w:rPr>
      </w:pPr>
      <w:r w:rsidRPr="00FA067A">
        <w:rPr>
          <w:rFonts w:ascii="Arial" w:eastAsiaTheme="minorEastAsia" w:hAnsi="Arial" w:cs="Arial"/>
          <w:b/>
          <w:bCs/>
          <w:lang w:eastAsia="en-GB"/>
        </w:rPr>
        <w:t>COMPETING INTERESTS DISCLAIMER:</w:t>
      </w:r>
    </w:p>
    <w:p w14:paraId="211595DC" w14:textId="77777777" w:rsidR="00B46195" w:rsidRPr="00FA067A" w:rsidRDefault="00B46195" w:rsidP="00955A12">
      <w:pPr>
        <w:jc w:val="both"/>
        <w:rPr>
          <w:rFonts w:eastAsiaTheme="minorEastAsia"/>
          <w:lang w:eastAsia="en-GB"/>
        </w:rPr>
      </w:pPr>
      <w:r w:rsidRPr="00FA067A">
        <w:rPr>
          <w:rFonts w:ascii="Arial" w:eastAsiaTheme="minorEastAsia" w:hAnsi="Arial" w:cs="Arial"/>
          <w:lang w:eastAsia="en-GB"/>
        </w:rPr>
        <w:t>Authors have declared that they have no known competing financial interests OR non-financial interests OR personal relationships that could have appeared to influence the work reported in this paper.</w:t>
      </w:r>
    </w:p>
    <w:p w14:paraId="5422CBDF" w14:textId="77777777" w:rsidR="00B46195" w:rsidRPr="006D2956" w:rsidRDefault="00B46195" w:rsidP="00955A12">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55F417A1" w14:textId="77777777" w:rsidR="006D2956" w:rsidRPr="006D2956" w:rsidRDefault="006D2956" w:rsidP="00955A12">
      <w:pPr>
        <w:spacing w:after="0" w:line="240" w:lineRule="auto"/>
        <w:jc w:val="both"/>
        <w:rPr>
          <w:rFonts w:ascii="Times New Roman" w:eastAsia="Times New Roman" w:hAnsi="Times New Roman" w:cs="Times New Roman"/>
          <w:sz w:val="24"/>
          <w:szCs w:val="24"/>
          <w:lang w:eastAsia="en-GB"/>
        </w:rPr>
      </w:pPr>
    </w:p>
    <w:p w14:paraId="103B71BA" w14:textId="77777777" w:rsidR="006D2956" w:rsidRPr="006D2956" w:rsidRDefault="006D2956" w:rsidP="00955A12">
      <w:pPr>
        <w:spacing w:before="100" w:beforeAutospacing="1" w:after="100" w:afterAutospacing="1" w:line="240" w:lineRule="auto"/>
        <w:jc w:val="both"/>
        <w:outlineLvl w:val="2"/>
        <w:rPr>
          <w:rFonts w:ascii="Times New Roman" w:eastAsia="Times New Roman" w:hAnsi="Times New Roman" w:cs="Times New Roman"/>
          <w:b/>
          <w:bCs/>
          <w:sz w:val="27"/>
          <w:szCs w:val="27"/>
          <w:lang w:eastAsia="en-GB"/>
        </w:rPr>
      </w:pPr>
      <w:r w:rsidRPr="006D2956">
        <w:rPr>
          <w:rFonts w:ascii="Times New Roman" w:eastAsia="Times New Roman" w:hAnsi="Times New Roman" w:cs="Times New Roman"/>
          <w:b/>
          <w:bCs/>
          <w:sz w:val="27"/>
          <w:szCs w:val="27"/>
          <w:lang w:eastAsia="en-GB"/>
        </w:rPr>
        <w:t>References</w:t>
      </w:r>
    </w:p>
    <w:p w14:paraId="3B4C062B" w14:textId="40407B78" w:rsidR="00E3715D" w:rsidRDefault="00E3715D" w:rsidP="00E3715D">
      <w:pPr>
        <w:pStyle w:val="NormalWeb"/>
        <w:ind w:left="540" w:hanging="540"/>
        <w:jc w:val="both"/>
      </w:pPr>
      <w:r>
        <w:t>Ahmed, N., Thompson, S., &amp; Glaser, M. (2019). Global aquaculture productivity, environmental sustainability, and climate change adaptability. Environmental Management, 63(2), 159–172. https://doi.org/10.1007/s00267-018-1117-3</w:t>
      </w:r>
    </w:p>
    <w:p w14:paraId="6E9563CE" w14:textId="01595D65" w:rsidR="00E3715D" w:rsidRDefault="00E3715D" w:rsidP="00E3715D">
      <w:pPr>
        <w:pStyle w:val="NormalWeb"/>
        <w:ind w:left="540" w:hanging="540"/>
        <w:jc w:val="both"/>
      </w:pPr>
      <w:r>
        <w:t>Ahmed, N., &amp; Turchini, G. M. (2021). Recirculating aquaculture systems (RAS): Environmental solution and climate change adaptation. Journal of Cleaner Production, 297, Article 126604. https://doi.org/10.1016/j.jclepro.2021.126604</w:t>
      </w:r>
    </w:p>
    <w:p w14:paraId="7422BAE9" w14:textId="5C6089A9" w:rsidR="00E3715D" w:rsidRDefault="00E3715D" w:rsidP="00E3715D">
      <w:pPr>
        <w:pStyle w:val="NormalWeb"/>
        <w:ind w:left="540" w:hanging="540"/>
        <w:jc w:val="both"/>
      </w:pPr>
      <w:r w:rsidRPr="00E3715D">
        <w:rPr>
          <w:lang w:val="nl-BE"/>
        </w:rPr>
        <w:t xml:space="preserve">Aubin, J., Papatryphon, E., van der Werf, H. M. G., &amp; Chatzifotis, S. (2009). </w:t>
      </w:r>
      <w:r>
        <w:t>Assessment of the environmental impact of carnivorous finfish production systems using life cycle assessment. Journal of Cleaner Production, 17(3), 354–361. https://doi.org/10.1016/j.jclepro.2008.08.008</w:t>
      </w:r>
    </w:p>
    <w:p w14:paraId="73697E31" w14:textId="7E8E0B68" w:rsidR="00E3715D" w:rsidRDefault="00E3715D" w:rsidP="00E3715D">
      <w:pPr>
        <w:pStyle w:val="NormalWeb"/>
        <w:ind w:left="540" w:hanging="540"/>
        <w:jc w:val="both"/>
      </w:pPr>
      <w:r>
        <w:t>Ayer, N. W., &amp; Tyedmers, P. H. (2009). Assessing alternative aquaculture technologies: Life cycle assessment of salmonid culture systems in Canada. Journal of Cleaner Production, 17(3), 362–373. https://doi.org/10.1016/j.jclepro.2008.08.002</w:t>
      </w:r>
    </w:p>
    <w:p w14:paraId="311B2041" w14:textId="2A58997B" w:rsidR="00E3715D" w:rsidRDefault="00E3715D" w:rsidP="00E3715D">
      <w:pPr>
        <w:pStyle w:val="NormalWeb"/>
        <w:ind w:left="540" w:hanging="540"/>
        <w:jc w:val="both"/>
      </w:pPr>
      <w:r>
        <w:t>Badiola, M., Basurko, O. C., Piedrahita, R., Hundley, P., &amp; Mendiola, D. (2018). Energy use in recirculating aquaculture systems (RAS): A review. Aquacultural Engineering, 81, 57–70. https://doi.org/10.1016/j.aquaeng.2018.03.003</w:t>
      </w:r>
    </w:p>
    <w:p w14:paraId="78B11A3A" w14:textId="2404D189" w:rsidR="00E3715D" w:rsidRDefault="00E3715D" w:rsidP="00E3715D">
      <w:pPr>
        <w:pStyle w:val="NormalWeb"/>
        <w:ind w:left="540" w:hanging="540"/>
        <w:jc w:val="both"/>
      </w:pPr>
      <w:r>
        <w:t>Badiola, M., Mendiola, D., &amp; Bostock, J. (2012). Recirculating aquaculture systems (RAS) analysis: Main issues on management and future challenges. Aquacultural Engineering, 51, 26–35. https://doi.org/10.1016/j.aquaeng.2012.07.004</w:t>
      </w:r>
    </w:p>
    <w:p w14:paraId="3D482140" w14:textId="67E7440B" w:rsidR="00E3715D" w:rsidRDefault="00E3715D" w:rsidP="00E3715D">
      <w:pPr>
        <w:pStyle w:val="NormalWeb"/>
        <w:ind w:left="540" w:hanging="540"/>
        <w:jc w:val="both"/>
      </w:pPr>
      <w:r>
        <w:t>Becker, E. W. (2007). Micro-algae as a source of protein. Biotechnology Advances, 25(2), 207–210. https://doi.org/10.1016/j.biotechadv.2006.11.002</w:t>
      </w:r>
    </w:p>
    <w:p w14:paraId="13306999" w14:textId="2E2A3A94" w:rsidR="00E3715D" w:rsidRDefault="00E3715D" w:rsidP="00E3715D">
      <w:pPr>
        <w:pStyle w:val="NormalWeb"/>
        <w:ind w:left="540" w:hanging="540"/>
        <w:jc w:val="both"/>
      </w:pPr>
      <w:r>
        <w:lastRenderedPageBreak/>
        <w:t>Bohnes, F. A., Hauschild, M. Z., Schlundt, J., &amp; Laurent, A. (2019). Life cycle assessments of aquaculture systems: A critical review of reported findings with recommendations for policy and system development. Reviews in Aquaculture, 11(4), 1061–1079. https://doi.org/10.1111/raq.12280</w:t>
      </w:r>
    </w:p>
    <w:p w14:paraId="434FC1C9" w14:textId="25161EC7" w:rsidR="00E3715D" w:rsidRDefault="00E3715D" w:rsidP="00E3715D">
      <w:pPr>
        <w:pStyle w:val="NormalWeb"/>
        <w:ind w:left="540" w:hanging="540"/>
        <w:jc w:val="both"/>
      </w:pPr>
      <w:r>
        <w:t>Briones-Hidrovo, A., Quinteiro, P., &amp; Dias, A. C. (2023). Investigating the environmental sustainability of a seabass and seabream aquaculture system in Portugal based on life cycle and nexus approaches. Science of the Total Environment, 890, Article 164195. https://doi.org/10.1016/j.scitotenv.2023.164195</w:t>
      </w:r>
    </w:p>
    <w:p w14:paraId="65CA267E" w14:textId="5CA7780E" w:rsidR="00E3715D" w:rsidRDefault="00E3715D" w:rsidP="00E3715D">
      <w:pPr>
        <w:pStyle w:val="NormalWeb"/>
        <w:ind w:left="540" w:hanging="540"/>
        <w:jc w:val="both"/>
      </w:pPr>
      <w:r>
        <w:t>Bosma, R. H., Anh, P. T., &amp; Potting, J. (2011). Life cycle assessment of intensive striped catfish farming in the Mekong Delta for screening hotspots as input to environmental policy and research agenda. The International Journal of Life Cycle Assessment, 16(9), 903–915. https://doi.org/10.1007/s11367-011-0324-4</w:t>
      </w:r>
    </w:p>
    <w:p w14:paraId="17338DE3" w14:textId="1FB5A108" w:rsidR="00E3715D" w:rsidRDefault="00E3715D" w:rsidP="00E3715D">
      <w:pPr>
        <w:pStyle w:val="NormalWeb"/>
        <w:ind w:left="540" w:hanging="540"/>
        <w:jc w:val="both"/>
      </w:pPr>
      <w:r>
        <w:t>Bush, S. R., Belton, B., Hall, D., Vandergeest, P., Murray, F. J., Ponte, S., Oosterveer, P., Islam, M. S., Mol, A. P. J., Hatanaka, M., Kruijssen, F., Ha, T. T. T., Little, D. C., &amp; Kusumawati, R. (2013). Certify sustainable aquaculture? Science, 341(6150), 1067–1068. https://doi.org/10.1126/science.1237314</w:t>
      </w:r>
    </w:p>
    <w:p w14:paraId="2FD6F656" w14:textId="15EF719F" w:rsidR="00E3715D" w:rsidRDefault="00E3715D" w:rsidP="00E3715D">
      <w:pPr>
        <w:pStyle w:val="NormalWeb"/>
        <w:ind w:left="540" w:hanging="540"/>
        <w:jc w:val="both"/>
      </w:pPr>
      <w:r>
        <w:t>Cashion, T., Hornborg, S., Ziegler, F., Hognes, E. S., &amp; Tyedmers, P. (2016). Review and advancement of the marine biotic resource use metric in seafood LCAs: A case study of Norwegian salmon feed. The International Journal of Life Cycle Assessment, 21(8), 1106–1120. https://doi.org/10.1007/s11367-016-1092-y</w:t>
      </w:r>
    </w:p>
    <w:p w14:paraId="64B515E9" w14:textId="1DE69FB4" w:rsidR="00E3715D" w:rsidRDefault="00E3715D" w:rsidP="00E3715D">
      <w:pPr>
        <w:pStyle w:val="NormalWeb"/>
        <w:ind w:left="540" w:hanging="540"/>
        <w:jc w:val="both"/>
      </w:pPr>
      <w:r>
        <w:t>Chopin, T., Buschmann, A. H., Halling, C., Troell, M., Kautsky, N., Neori, A., Kraemer, G. P., Zertuche-González, J. A., Yarish, C., &amp; Neefus, C. (2001). Integrating seaweeds into marine aquaculture systems: A key toward sustainability. Journal of Phycology, 37(6), 975–986. https://doi.org/10.1046/j.1529-8817.2001.01137.x</w:t>
      </w:r>
    </w:p>
    <w:p w14:paraId="12166F3A" w14:textId="3389860C" w:rsidR="00E3715D" w:rsidRDefault="00E3715D" w:rsidP="00E3715D">
      <w:pPr>
        <w:pStyle w:val="NormalWeb"/>
        <w:ind w:left="540" w:hanging="540"/>
        <w:jc w:val="both"/>
      </w:pPr>
      <w:r>
        <w:t>Roque d'Orbcastel, E., Blancheton, J. P., &amp; Aubin, J. (2009). Towards environmentally sustainable aquaculture: Comparison between two trout farming systems using life cycle assessment. Aquacultural Engineering, 40(3), 113–119. https://doi.org/10.1016/j.aquaeng.2008.12.002</w:t>
      </w:r>
    </w:p>
    <w:p w14:paraId="359C8D05" w14:textId="3DE8430A" w:rsidR="00E3715D" w:rsidRDefault="00E3715D" w:rsidP="00E3715D">
      <w:pPr>
        <w:pStyle w:val="NormalWeb"/>
        <w:ind w:left="540" w:hanging="540"/>
        <w:jc w:val="both"/>
      </w:pPr>
      <w:r>
        <w:t>Duarte, C. M., Wu, J., Xiao, X., Bruhn, A., &amp; Krause-Jensen, D. (2017). Can seaweed farming play a role in climate change mitigation and adaptation? Frontiers in Marine Science, 4, Article 100. https://doi.org/10.3389/fmars.2017.00100</w:t>
      </w:r>
    </w:p>
    <w:p w14:paraId="51DAD162" w14:textId="1260B7D1" w:rsidR="00E3715D" w:rsidRDefault="00E3715D" w:rsidP="00E3715D">
      <w:pPr>
        <w:pStyle w:val="NormalWeb"/>
        <w:ind w:left="540" w:hanging="540"/>
        <w:jc w:val="both"/>
      </w:pPr>
      <w:r>
        <w:t>Food and Agriculture Organization of the United Nations. (2020). The state of world fisheries and aquaculture 2020: Sustainability in action. https://doi.org/10.4060/ca9229en</w:t>
      </w:r>
    </w:p>
    <w:p w14:paraId="529F81E7" w14:textId="237896F5" w:rsidR="00E3715D" w:rsidRDefault="00E3715D" w:rsidP="00E3715D">
      <w:pPr>
        <w:pStyle w:val="NormalWeb"/>
        <w:ind w:left="540" w:hanging="540"/>
        <w:jc w:val="both"/>
      </w:pPr>
      <w:r>
        <w:t>Food and Agriculture Organization of the United Nations. (2024). The state of world fisheries and aquaculture 2024: Blue transformation in action. https://doi.org/10.4060/cd0683en</w:t>
      </w:r>
    </w:p>
    <w:p w14:paraId="4C476AEF" w14:textId="6443FA29" w:rsidR="00E3715D" w:rsidRDefault="00E3715D" w:rsidP="00E3715D">
      <w:pPr>
        <w:pStyle w:val="NormalWeb"/>
        <w:ind w:left="540" w:hanging="540"/>
        <w:jc w:val="both"/>
      </w:pPr>
      <w:r>
        <w:t xml:space="preserve">Filgueira, R., Byron, C. J., Comeau, L. A., Costa-Pierce, B., Cranford, P. J., Ferreira, J. G., Grant, J., Guyondet, T., Jansen, H. M., Landry, T., McKindsey, C. W., Petersen, J. K., Reid, G. K., Robinson, S. M. C., Smaal, A. C., Sonier, R., Strand, Ø., &amp; Strohmeier, T. (2015). An integrated ecosystem approach for assessing the potential role of cultivated </w:t>
      </w:r>
      <w:r>
        <w:lastRenderedPageBreak/>
        <w:t>bivalve shells as part of the carbon trading system. Marine Ecology Progress Series, 518, 281–287. https://doi.org/10.3354/meps11048</w:t>
      </w:r>
    </w:p>
    <w:p w14:paraId="6ADE41DE" w14:textId="1EE0E9D6" w:rsidR="00E3715D" w:rsidRDefault="00E3715D" w:rsidP="00E3715D">
      <w:pPr>
        <w:pStyle w:val="NormalWeb"/>
        <w:ind w:left="540" w:hanging="540"/>
        <w:jc w:val="both"/>
      </w:pPr>
      <w:r>
        <w:t>Finnveden, G., Hauschild, M. Z., Ekvall, T., Guinée, J., Heijungs, R., Hellweg, S., Koehler, A., Pennington, D., &amp; Suh, S. (2009). Recent developments in life cycle assessment. Journal of Environmental Management, 91(1), 1–21. https://doi.org/10.1016/j.jenvman.2009.06.018</w:t>
      </w:r>
    </w:p>
    <w:p w14:paraId="6B91C2D4" w14:textId="357782A5" w:rsidR="00E3715D" w:rsidRDefault="00E3715D" w:rsidP="00E3715D">
      <w:pPr>
        <w:pStyle w:val="NormalWeb"/>
        <w:ind w:left="540" w:hanging="540"/>
        <w:jc w:val="both"/>
      </w:pPr>
      <w:r>
        <w:t>Froehlich, H. E., Runge, C. A., Gentry, R. R., Gaines, S. D., &amp; Halpern, B. S. (2018). Comparative terrestrial feed and land use of an aquaculture-dominant world. Proceedings of the National Academy of Sciences, 115(20), 5295–5300. https://doi.org/10.1073/pnas.1801692115</w:t>
      </w:r>
    </w:p>
    <w:p w14:paraId="51EC2F7B" w14:textId="44DBCDDB" w:rsidR="00E3715D" w:rsidRDefault="00E3715D" w:rsidP="00E3715D">
      <w:pPr>
        <w:pStyle w:val="NormalWeb"/>
        <w:ind w:left="540" w:hanging="540"/>
        <w:jc w:val="both"/>
      </w:pPr>
      <w:r>
        <w:t>Golden, C. D., Allison, E. H., Cheung, W. W. L., Dey, M. M., Halpern, B. S., McCauley, D. J., Smith, M., Vaitla, B., Zeller, D., &amp; Myers, S. S. (2016). Nutrition: Fall in fish catch threatens human health. Nature, 534(7607), 317–320. https://doi.org/10.1038/534317a</w:t>
      </w:r>
    </w:p>
    <w:p w14:paraId="6CE6743F" w14:textId="3F752333" w:rsidR="00E3715D" w:rsidRDefault="00E3715D" w:rsidP="00E3715D">
      <w:pPr>
        <w:pStyle w:val="NormalWeb"/>
        <w:ind w:left="540" w:hanging="540"/>
        <w:jc w:val="both"/>
      </w:pPr>
      <w:r>
        <w:t>Halloran, A., Roos, N., Eilenberg, J., Cerutti, A., &amp; Bruun, S. (2016). Life cycle assessment of edible insects for food protein: A review. Agronomy for Sustainable Development, 36(4), Article 57. https://doi.org/10.1007/s13593-016-0392-8</w:t>
      </w:r>
    </w:p>
    <w:p w14:paraId="60068AAC" w14:textId="0BD430CD" w:rsidR="00E3715D" w:rsidRDefault="00E3715D" w:rsidP="00E3715D">
      <w:pPr>
        <w:pStyle w:val="NormalWeb"/>
        <w:ind w:left="540" w:hanging="540"/>
        <w:jc w:val="both"/>
      </w:pPr>
      <w:r>
        <w:t>Hala, A. F., Chougule, K., Cunha, M. E., Mendes, M. C., Oliveira, I., Bradley, T., Forbes, J., &amp; Speranza, L. G. (2024). Life cycle assessment of integrated multi-trophic aquaculture: A review on methodology and challenges for its sustainability evaluation. Aquaculture, 590, Article 741035. https://doi.org/10.1016/j.aquaculture.2024.741035</w:t>
      </w:r>
    </w:p>
    <w:p w14:paraId="7602D700" w14:textId="6660D0B5" w:rsidR="00E3715D" w:rsidRDefault="00E3715D" w:rsidP="00E3715D">
      <w:pPr>
        <w:pStyle w:val="NormalWeb"/>
        <w:ind w:left="540" w:hanging="540"/>
        <w:jc w:val="both"/>
      </w:pPr>
      <w:r>
        <w:t>Hamilton, S. E., &amp; Casey, D. (2016). Creation of a high spatio-temporal resolution global database of continuous mangrove forest cover for the 21st century (CGMFC-21). Global Ecology and Biogeography, 25(6), 729–738. https://doi.org/10.1111/geb.12449</w:t>
      </w:r>
    </w:p>
    <w:p w14:paraId="65FF1821" w14:textId="2B339E5A" w:rsidR="00E3715D" w:rsidRDefault="00E3715D" w:rsidP="00E3715D">
      <w:pPr>
        <w:pStyle w:val="NormalWeb"/>
        <w:ind w:left="540" w:hanging="540"/>
        <w:jc w:val="both"/>
      </w:pPr>
      <w:r>
        <w:t>Henry, M., Gasco, L., Piccolo, G., &amp; Fountoulaki, E. (2015). Review on the use of insects in the diet of farmed fish: Past and future. Animal Feed Science and Technology, 203, 1–22. https://doi.org/10.1016/j.anifeedsci.2015.03.001</w:t>
      </w:r>
    </w:p>
    <w:p w14:paraId="064D9105" w14:textId="764E9A10" w:rsidR="00E3715D" w:rsidRDefault="00E3715D" w:rsidP="00E3715D">
      <w:pPr>
        <w:pStyle w:val="NormalWeb"/>
        <w:ind w:left="540" w:hanging="540"/>
        <w:jc w:val="both"/>
      </w:pPr>
      <w:r>
        <w:t>Henriksson, P. J. G., Belton, B., Murshed-e-Jahan, K., &amp; Rico, A. (2018). Measuring the potential for sustainable intensification of aquaculture in Bangladesh using life cycle assessment. Proceedings of the National Academy of Sciences, 115(12), 2958–2963. https://doi.org/10.1073/pnas.1716530115</w:t>
      </w:r>
    </w:p>
    <w:p w14:paraId="68C116ED" w14:textId="407960EE" w:rsidR="00E3715D" w:rsidRDefault="00E3715D" w:rsidP="00E3715D">
      <w:pPr>
        <w:pStyle w:val="NormalWeb"/>
        <w:ind w:left="540" w:hanging="540"/>
        <w:jc w:val="both"/>
      </w:pPr>
      <w:r>
        <w:t>Henriksson, P. J. G., Rico, A., Zhang, W., Ahmad-Al-Nahid, S., Newton, R., Phan, L. T., Zhang, Z., Jaithiang, J., Dao, H. M., Phu, T. M., Little, D. C., Murray, F. J., Satapornvanit, K., Liu, L., Liu, Q., Haque, M. M., Kruijssen, F., de Snoo, G. R., Heijungs, R., ... Guinée, J. B. (2015). Comparison of Asian aquaculture products by use of statistically supported life cycle assessment. Environmental Science &amp; Technology, 49(24), 14176–14183. https://doi.org/10.1021/acs.est.5b04634</w:t>
      </w:r>
    </w:p>
    <w:p w14:paraId="60E1926D" w14:textId="0B8873E3" w:rsidR="00E3715D" w:rsidRDefault="00E3715D" w:rsidP="00E3715D">
      <w:pPr>
        <w:pStyle w:val="NormalWeb"/>
        <w:ind w:left="540" w:hanging="540"/>
        <w:jc w:val="both"/>
      </w:pPr>
      <w:r>
        <w:t>Hu, L., Zhang, J., Ren, W., Guo, L., Cheng, Y., Li, J., Li, K., Zhu, Z., Zhang, J., Luo, S., Cheng, L., Tang, J., &amp; Chen, X. (2016). Can the co-cultivation of rice and fish help sustain rice production? Scientific Reports, 6, Article 28728. https://doi.org/10.1038/srep28728</w:t>
      </w:r>
    </w:p>
    <w:p w14:paraId="48BB4BB8" w14:textId="0CD294C0" w:rsidR="00E3715D" w:rsidRDefault="00E3715D" w:rsidP="00E3715D">
      <w:pPr>
        <w:pStyle w:val="NormalWeb"/>
        <w:ind w:left="540" w:hanging="540"/>
        <w:jc w:val="both"/>
      </w:pPr>
      <w:r>
        <w:lastRenderedPageBreak/>
        <w:t>Hu, Z., Lee, J. W., Chandran, K., Kim, S., &amp; Khanal, S. K. (2012). Nitrous oxide (N₂O) emission from aquaculture: A review. Environmental Science &amp; Technology, 46(12), 6470–6480. https://doi.org/10.1021/es300110x</w:t>
      </w:r>
    </w:p>
    <w:p w14:paraId="5454AFCE" w14:textId="05A12F98" w:rsidR="00E3715D" w:rsidRDefault="00E3715D" w:rsidP="00E3715D">
      <w:pPr>
        <w:pStyle w:val="NormalWeb"/>
        <w:ind w:left="540" w:hanging="540"/>
        <w:jc w:val="both"/>
      </w:pPr>
      <w:r>
        <w:t>Intergovernmental Panel on Climate Change. (2019a). 2019 refinement to the 2006 IPCC guidelines for national greenhouse gas inventories. https://www.ipcc.ch/report/2019-refinement-to-the-2006-ipcc-guidelines-for-national-greenhouse-gas-inventories/</w:t>
      </w:r>
    </w:p>
    <w:p w14:paraId="4FE94322" w14:textId="13AB8348" w:rsidR="00E3715D" w:rsidRDefault="00E3715D" w:rsidP="00E3715D">
      <w:pPr>
        <w:pStyle w:val="NormalWeb"/>
        <w:ind w:left="540" w:hanging="540"/>
        <w:jc w:val="both"/>
      </w:pPr>
      <w:r>
        <w:t>Intergovernmental Panel on Climate Change. (2019b). Climate change and land: An IPCC special report on climate change, desertification, land degradation, sustainable land management, food security, and greenhouse gas fluxes in terrestrial ecosystems. Cambridge University Press. https://doi.org/10.1017/9781009157988</w:t>
      </w:r>
    </w:p>
    <w:p w14:paraId="42C14C43" w14:textId="35D82950" w:rsidR="00E3715D" w:rsidRDefault="00E3715D" w:rsidP="00E3715D">
      <w:pPr>
        <w:pStyle w:val="NormalWeb"/>
        <w:ind w:left="540" w:hanging="540"/>
        <w:jc w:val="both"/>
      </w:pPr>
      <w:r>
        <w:t>Intergovernmental Panel on Climate Change. (2022). Climate change 2022: Mitigation of climate change. Contribution of Working Group III to the Sixth Assessment Report of the Intergovernmental Panel on Climate Change. Cambridge University Press. https://doi.org/10.1017/9781009157926</w:t>
      </w:r>
    </w:p>
    <w:p w14:paraId="0C97892C" w14:textId="40B5B8D4" w:rsidR="00E3715D" w:rsidRDefault="00E3715D" w:rsidP="00E3715D">
      <w:pPr>
        <w:pStyle w:val="NormalWeb"/>
        <w:ind w:left="540" w:hanging="540"/>
        <w:jc w:val="both"/>
      </w:pPr>
      <w:r>
        <w:t>Jonell, M., &amp; Henriksson, P. J. G. (2015). Mangrove–shrimp farms in Vietnam—Comparing organic and conventional systems using life cycle assessment. Aquaculture, 447, 66–75. https://doi.org/10.1016/j.aquaculture.2014.11.001</w:t>
      </w:r>
    </w:p>
    <w:p w14:paraId="2C7626DD" w14:textId="168083E5" w:rsidR="00E3715D" w:rsidRDefault="00E3715D" w:rsidP="00E3715D">
      <w:pPr>
        <w:pStyle w:val="NormalWeb"/>
        <w:ind w:left="540" w:hanging="540"/>
        <w:jc w:val="both"/>
      </w:pPr>
      <w:r>
        <w:t>Jones, A. R., Alleway, H. K., McAfee, D., Reis-Santos, P., Theuerkauf, S. J., &amp; Jones, R. C. (2022). Climate-friendly seafood: The potential for emissions reduction and carbon capture in marine aquaculture. BioScience, 72(2), 123–143. https://doi.org/10.1093/biosci/biab126</w:t>
      </w:r>
    </w:p>
    <w:p w14:paraId="4BBDC9DF" w14:textId="5B50AABA" w:rsidR="00E3715D" w:rsidRDefault="00E3715D" w:rsidP="00E3715D">
      <w:pPr>
        <w:pStyle w:val="NormalWeb"/>
        <w:ind w:left="540" w:hanging="540"/>
        <w:jc w:val="both"/>
      </w:pPr>
      <w:r>
        <w:t>Kok, B., Malcorps, W., Tlusty, M. F., Eltholth, M. M., Auchterlonie, N. A., Little, D. C., Harmsen, R., Newton, R. W., &amp; Davies, S. J. (2020). Fish as feed: Using economic allocation to quantify the fish in–fish out ratio of major fed aquaculture species. Aquaculture, 528, Article 735474. https://doi.org/10.1016/j.aquaculture.2020.735474</w:t>
      </w:r>
    </w:p>
    <w:p w14:paraId="4AF644D5" w14:textId="40B286CC" w:rsidR="00E3715D" w:rsidRDefault="00E3715D" w:rsidP="00E3715D">
      <w:pPr>
        <w:pStyle w:val="NormalWeb"/>
        <w:ind w:left="540" w:hanging="540"/>
        <w:jc w:val="both"/>
      </w:pPr>
      <w:r>
        <w:t>Krause-Jensen, D., &amp; Duarte, C. M. (2016). Substantial role of macroalgae in marine carbon sequestration. Nature Geoscience, 9(10), 737–742. https://doi.org/10.1038/ngeo2790</w:t>
      </w:r>
    </w:p>
    <w:p w14:paraId="64BB6A88" w14:textId="1BEA2929" w:rsidR="00E3715D" w:rsidRDefault="00E3715D" w:rsidP="00E3715D">
      <w:pPr>
        <w:pStyle w:val="NormalWeb"/>
        <w:ind w:left="540" w:hanging="540"/>
        <w:jc w:val="both"/>
      </w:pPr>
      <w:r>
        <w:t>MacLeod, M. J., Hasan, M. R., Robb, D. H. F., &amp; Mamun-Ur-Rashid, M. (2020). Quantifying greenhouse gas emissions from global aquaculture. Scientific Reports, 10, Article 11679. https://doi.org/10.1038/s41598-020-68231-8</w:t>
      </w:r>
    </w:p>
    <w:p w14:paraId="04F2C45E" w14:textId="0139D6B3" w:rsidR="00E3715D" w:rsidRDefault="00E3715D" w:rsidP="00E3715D">
      <w:pPr>
        <w:pStyle w:val="NormalWeb"/>
        <w:ind w:left="540" w:hanging="540"/>
        <w:jc w:val="both"/>
      </w:pPr>
      <w:r w:rsidRPr="00E3715D">
        <w:rPr>
          <w:lang w:val="nl-BE"/>
        </w:rPr>
        <w:t xml:space="preserve">Mungkung, R., Aubin, J., Prihadi, T. H., Slembrouck, J., van der Werf, H. M. G., &amp; Legendre, M. (2013). </w:t>
      </w:r>
      <w:r>
        <w:t>Life cycle assessment for environmentally sustainable aquaculture management: A case study of combined aquaculture systems for carp and tilapia. Journal of Cleaner Production, 57, 249–256. https://doi.org/10.1016/j.jclepro.2013.05.029</w:t>
      </w:r>
    </w:p>
    <w:p w14:paraId="7063FF45" w14:textId="22EE4B79" w:rsidR="00E3715D" w:rsidRDefault="00E3715D" w:rsidP="00E3715D">
      <w:pPr>
        <w:pStyle w:val="NormalWeb"/>
        <w:ind w:left="540" w:hanging="540"/>
        <w:jc w:val="both"/>
      </w:pPr>
      <w:r>
        <w:t>Naylor, R. L., Goldburg, R. J., Mooney, H., Beveridge, M., Clay, J., Folke, C., Kautsky, N., Lubchenco, J., Primavera, J., &amp; Williams, M. (1998). Nature's subsidies to shrimp and salmon farming. Science, 282(5390), 883–884. https://doi.org/10.1126/science.282.5390.883</w:t>
      </w:r>
    </w:p>
    <w:p w14:paraId="4744F1F4" w14:textId="2AD22E83" w:rsidR="00E3715D" w:rsidRDefault="00E3715D" w:rsidP="00E3715D">
      <w:pPr>
        <w:pStyle w:val="NormalWeb"/>
        <w:ind w:left="540" w:hanging="540"/>
        <w:jc w:val="both"/>
      </w:pPr>
      <w:r>
        <w:lastRenderedPageBreak/>
        <w:t>Naylor, R. L., Hardy, R. W., Buschmann, A. H., Bush, S. R., Cao, L., Klinger, D. H., Little, D. C., Lubchenco, J., Shumway, S. E., &amp; Troell, M. (2021). A 20-year retrospective review of global aquaculture. Nature, 591(7851), 551–563. https://doi.org/10.1038/s41586-021-03308-6</w:t>
      </w:r>
    </w:p>
    <w:p w14:paraId="3B02E918" w14:textId="5C4F167E" w:rsidR="00E3715D" w:rsidRDefault="00E3715D" w:rsidP="00E3715D">
      <w:pPr>
        <w:pStyle w:val="NormalWeb"/>
        <w:ind w:left="540" w:hanging="540"/>
        <w:jc w:val="both"/>
      </w:pPr>
      <w:r>
        <w:t>Newton, R. W., &amp; Little, D. C. (2018). Mapping the impacts of farmed Scottish salmon from a life cycle perspective. The International Journal of Life Cycle Assessment, 23(5), 1018–1029. https://doi.org/10.1007/s11367-017-1386-8</w:t>
      </w:r>
    </w:p>
    <w:p w14:paraId="79B5142F" w14:textId="611EB920" w:rsidR="00E3715D" w:rsidRDefault="00E3715D" w:rsidP="00E3715D">
      <w:pPr>
        <w:pStyle w:val="NormalWeb"/>
        <w:ind w:left="540" w:hanging="540"/>
        <w:jc w:val="both"/>
      </w:pPr>
      <w:r>
        <w:t>Olsen, R. L., &amp; Hasan, M. R. (2012). A limited supply of fishmeal: Impact on future increases in global aquaculture production. Trends in Food Science &amp; Technology, 27(2), 120–128. https://doi.org/10.1016/j.tifs.2012.06.003</w:t>
      </w:r>
    </w:p>
    <w:p w14:paraId="32D44071" w14:textId="72B0DE95" w:rsidR="00E3715D" w:rsidRDefault="00E3715D" w:rsidP="00E3715D">
      <w:pPr>
        <w:pStyle w:val="NormalWeb"/>
        <w:ind w:left="540" w:hanging="540"/>
        <w:jc w:val="both"/>
      </w:pPr>
      <w:r w:rsidRPr="00E3715D">
        <w:rPr>
          <w:lang w:val="nl-BE"/>
        </w:rPr>
        <w:t xml:space="preserve">Papatryphon, E., Petit, J., Kaushik, S. J., &amp; van der Werf, H. M. G. (2004). </w:t>
      </w:r>
      <w:r>
        <w:t>Environmental impact assessment of salmonid feeds using life cycle assessment (LCA). AMBIO, 33(6), 316–323. https://doi.org/10.1579/0044-7447-33.6.316</w:t>
      </w:r>
    </w:p>
    <w:p w14:paraId="13B90226" w14:textId="0657F1CB" w:rsidR="00E3715D" w:rsidRDefault="00E3715D" w:rsidP="00E3715D">
      <w:pPr>
        <w:pStyle w:val="NormalWeb"/>
        <w:ind w:left="540" w:hanging="540"/>
        <w:jc w:val="both"/>
      </w:pPr>
      <w:r>
        <w:t>Pelletier, N., &amp; Tyedmers, P. (2010). Forecasting potential global environmental costs of livestock production 2000–2050. Proceedings of the National Academy of Sciences, 107(43), 18371–18374. https://doi.org/10.1073/pnas.1004659107</w:t>
      </w:r>
    </w:p>
    <w:p w14:paraId="3B943024" w14:textId="76E3AF5E" w:rsidR="00E3715D" w:rsidRDefault="00E3715D" w:rsidP="00E3715D">
      <w:pPr>
        <w:pStyle w:val="NormalWeb"/>
        <w:ind w:left="540" w:hanging="540"/>
        <w:jc w:val="both"/>
      </w:pPr>
      <w:r>
        <w:t>Pelletier, N., Tyedmers, P., Sonesson, U., Scholz, A., Ziegler, F., Flysjö, A., Kruse, S., Cancino, B., &amp; Silverman, H. (2009). Not all salmon are created equal: Life cycle assessment (LCA) of global salmon farming systems. Environmental Science &amp; Technology, 43(23), 8730–8736. https://doi.org/10.1021/es9010114</w:t>
      </w:r>
    </w:p>
    <w:p w14:paraId="3F07A1BB" w14:textId="17CB92F3" w:rsidR="00E3715D" w:rsidRDefault="00E3715D" w:rsidP="00E3715D">
      <w:pPr>
        <w:pStyle w:val="NormalWeb"/>
        <w:ind w:left="540" w:hanging="540"/>
        <w:jc w:val="both"/>
      </w:pPr>
      <w:r>
        <w:t>Poore, J., &amp; Nemecek, T. (2018). Reducing food's environmental impacts through producers and consumers. Science, 360(6392), 987–992. https://doi.org/10.1126/science.aaq0216</w:t>
      </w:r>
    </w:p>
    <w:p w14:paraId="22D455CE" w14:textId="77D13A08" w:rsidR="00E3715D" w:rsidRDefault="00E3715D" w:rsidP="00E3715D">
      <w:pPr>
        <w:pStyle w:val="NormalWeb"/>
        <w:ind w:left="540" w:hanging="540"/>
        <w:jc w:val="both"/>
      </w:pPr>
      <w:r>
        <w:t>Primavera, J. H. (2006). Overcoming the impacts of aquaculture on the coastal zone. Ocean &amp; Coastal Management, 49(9–10), 531–545. https://doi.org/10.1016/j.ocecoaman.2006.06.018</w:t>
      </w:r>
    </w:p>
    <w:p w14:paraId="46EC95A1" w14:textId="30AC493B" w:rsidR="00E3715D" w:rsidRDefault="00E3715D" w:rsidP="00E3715D">
      <w:pPr>
        <w:pStyle w:val="NormalWeb"/>
        <w:ind w:left="540" w:hanging="540"/>
        <w:jc w:val="both"/>
      </w:pPr>
      <w:r>
        <w:t>Snyder, H. (2019). Literature review as a research methodology: An overview and guidelines. Journal of Business Research, 104, 333–339. https://doi.org/10.1016/j.jbusres.2019.07.039</w:t>
      </w:r>
    </w:p>
    <w:p w14:paraId="7D351A80" w14:textId="5C822DE1" w:rsidR="00E3715D" w:rsidRDefault="00E3715D" w:rsidP="00E3715D">
      <w:pPr>
        <w:pStyle w:val="NormalWeb"/>
        <w:ind w:left="540" w:hanging="540"/>
        <w:jc w:val="both"/>
      </w:pPr>
      <w:r>
        <w:t>Springmann, M., Spajic, L., Clark, M. A., Poore, J., Herforth, A., Webb, P., Rayner, M., &amp; Scarborough, P. (2020). The healthiness and sustainability of national and global food based dietary guidelines: Modelling study. BMJ, 370, Article m2322. https://doi.org/10.1136/bmj.m2322</w:t>
      </w:r>
    </w:p>
    <w:p w14:paraId="7946989B" w14:textId="0926FB97" w:rsidR="00E3715D" w:rsidRDefault="00E3715D" w:rsidP="00E3715D">
      <w:pPr>
        <w:pStyle w:val="NormalWeb"/>
        <w:ind w:left="540" w:hanging="540"/>
        <w:jc w:val="both"/>
      </w:pPr>
      <w:r>
        <w:t>Tamburini, E., Turolla, E., Lanzoni, M., Moore, D., &amp; Castaldelli, G. (2022). Manila clam and Mediterranean mussel aquaculture is sustainable and a net carbon sink. Science of the Total Environment, 848, Article 157508. https://doi.org/10.1016/j.scitotenv.2022.157508</w:t>
      </w:r>
    </w:p>
    <w:p w14:paraId="2459791B" w14:textId="378E8415" w:rsidR="00E3715D" w:rsidRDefault="00E3715D" w:rsidP="00E3715D">
      <w:pPr>
        <w:pStyle w:val="NormalWeb"/>
        <w:ind w:left="540" w:hanging="540"/>
        <w:jc w:val="both"/>
      </w:pPr>
      <w:r>
        <w:t>Tacon, A. G. J., &amp; Metian, M. (2008). Global overview on the use of fish meal and fish oil in industrially compounded aquafeeds: Trends and future prospects. Aquaculture, 285(1–4), 146–158. https://doi.org/10.1016/j.aquaculture.2008.08.015</w:t>
      </w:r>
    </w:p>
    <w:p w14:paraId="1787D1F5" w14:textId="716DE441" w:rsidR="00E3715D" w:rsidRDefault="00E3715D" w:rsidP="00E3715D">
      <w:pPr>
        <w:pStyle w:val="NormalWeb"/>
        <w:ind w:left="540" w:hanging="540"/>
        <w:jc w:val="both"/>
      </w:pPr>
      <w:r>
        <w:lastRenderedPageBreak/>
        <w:t>Troell, M., Joyce, A., Chopin, T., Neori, A., Buschmann, A. H., &amp; Fang, J. G. (2009). Ecological engineering in aquaculture—Potential for integrated multi-trophic aquaculture (IMTA) in marine offshore systems. Aquaculture, 297(1–4), 1–9. https://doi.org/10.1016/j.aquaculture.2009.09.010</w:t>
      </w:r>
    </w:p>
    <w:p w14:paraId="508E72FA" w14:textId="1FDA8E85" w:rsidR="00E3715D" w:rsidRDefault="00E3715D" w:rsidP="00E3715D">
      <w:pPr>
        <w:pStyle w:val="NormalWeb"/>
        <w:ind w:left="540" w:hanging="540"/>
        <w:jc w:val="both"/>
      </w:pPr>
      <w:r>
        <w:t>Troell, M., Naylor, R. L., Metian, M., Beveridge, M., Tyedmers, P., Folke, C., Arrow, K. J., Barrett, S., Crépin, A. S., Ehrlich, P. R., Gren, Å., Kautsky, N., Levin, S. A., Nyborg, K., Österblom, H., Polasky, S., Scheffer, M., Walker, B. H., Xepapadeas, T., &amp; de Zeeuw, A. (2014). Does aquaculture add resilience to the global food system? Proceedings of the National Academy of Sciences, 111(37), 13257–13263. https://doi.org/10.1073/pnas.1404067111</w:t>
      </w:r>
    </w:p>
    <w:p w14:paraId="03DDCBE6" w14:textId="1E9A565E" w:rsidR="00E3715D" w:rsidRDefault="00E3715D" w:rsidP="00E3715D">
      <w:pPr>
        <w:pStyle w:val="NormalWeb"/>
        <w:ind w:left="540" w:hanging="540"/>
        <w:jc w:val="both"/>
      </w:pPr>
      <w:r>
        <w:t>Wilfart, A., Prudhomme, J., Blancheton, J. P., &amp; Aubin, J. (2013). LCA and emergy accounting of aquaculture systems: Towards ecological intensification. Journal of Environmental Management, 121, 96–109. https://doi.org/10.1016/j.jenvman.2013.01.031</w:t>
      </w:r>
    </w:p>
    <w:p w14:paraId="6EE3D952" w14:textId="21F003A8" w:rsidR="00E3715D" w:rsidRDefault="00E3715D" w:rsidP="00E3715D">
      <w:pPr>
        <w:pStyle w:val="NormalWeb"/>
        <w:ind w:left="540" w:hanging="540"/>
        <w:jc w:val="both"/>
      </w:pPr>
      <w:r>
        <w:t>Ziegler, F., Winther, U., Hognes, E. S., Emanuelsson, A., Sund, V., &amp; Ellingsen, H. (2013). The carbon footprint of Norwegian seafood products on the global seafood market. Journal of Industrial Ecology, 17(1), 103–116. https://doi.org/10.1111/j.1530-9290.2012.00485.x</w:t>
      </w:r>
    </w:p>
    <w:p w14:paraId="62192B42" w14:textId="77777777" w:rsidR="004841B3" w:rsidRDefault="004841B3" w:rsidP="00955A12">
      <w:pPr>
        <w:jc w:val="both"/>
      </w:pPr>
    </w:p>
    <w:sectPr w:rsidR="004841B3" w:rsidSect="004841B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884A7" w14:textId="77777777" w:rsidR="001D35E9" w:rsidRDefault="001D35E9" w:rsidP="007D2412">
      <w:pPr>
        <w:spacing w:after="0" w:line="240" w:lineRule="auto"/>
      </w:pPr>
      <w:r>
        <w:separator/>
      </w:r>
    </w:p>
  </w:endnote>
  <w:endnote w:type="continuationSeparator" w:id="0">
    <w:p w14:paraId="5550448A" w14:textId="77777777" w:rsidR="001D35E9" w:rsidRDefault="001D35E9" w:rsidP="007D2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68928" w14:textId="77777777" w:rsidR="007D2412" w:rsidRDefault="007D24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65DD7" w14:textId="77777777" w:rsidR="007D2412" w:rsidRDefault="007D24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64BC9" w14:textId="77777777" w:rsidR="007D2412" w:rsidRDefault="007D24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E027F" w14:textId="77777777" w:rsidR="001D35E9" w:rsidRDefault="001D35E9" w:rsidP="007D2412">
      <w:pPr>
        <w:spacing w:after="0" w:line="240" w:lineRule="auto"/>
      </w:pPr>
      <w:r>
        <w:separator/>
      </w:r>
    </w:p>
  </w:footnote>
  <w:footnote w:type="continuationSeparator" w:id="0">
    <w:p w14:paraId="6F0AC110" w14:textId="77777777" w:rsidR="001D35E9" w:rsidRDefault="001D35E9" w:rsidP="007D24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9C8A3" w14:textId="77777777" w:rsidR="007D2412" w:rsidRDefault="00000000">
    <w:pPr>
      <w:pStyle w:val="Header"/>
    </w:pPr>
    <w:r>
      <w:rPr>
        <w:noProof/>
      </w:rPr>
      <w:pict w14:anchorId="52C93B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8540204"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9DB0" w14:textId="77777777" w:rsidR="007D2412" w:rsidRDefault="00000000">
    <w:pPr>
      <w:pStyle w:val="Header"/>
    </w:pPr>
    <w:r>
      <w:rPr>
        <w:noProof/>
      </w:rPr>
      <w:pict w14:anchorId="3C45CE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8540205"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0A5F" w14:textId="77777777" w:rsidR="007D2412" w:rsidRDefault="00000000">
    <w:pPr>
      <w:pStyle w:val="Header"/>
    </w:pPr>
    <w:r>
      <w:rPr>
        <w:noProof/>
      </w:rPr>
      <w:pict w14:anchorId="4B34C0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8540203"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6654"/>
    <w:multiLevelType w:val="hybridMultilevel"/>
    <w:tmpl w:val="35788F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5C496D"/>
    <w:multiLevelType w:val="hybridMultilevel"/>
    <w:tmpl w:val="4852F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1414798">
    <w:abstractNumId w:val="1"/>
  </w:num>
  <w:num w:numId="2" w16cid:durableId="1299993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CE1AD7"/>
    <w:rsid w:val="001D35E9"/>
    <w:rsid w:val="001D4398"/>
    <w:rsid w:val="002C5299"/>
    <w:rsid w:val="00345F3B"/>
    <w:rsid w:val="003871B6"/>
    <w:rsid w:val="00475948"/>
    <w:rsid w:val="004841B3"/>
    <w:rsid w:val="005D7C3F"/>
    <w:rsid w:val="006D2956"/>
    <w:rsid w:val="007D2412"/>
    <w:rsid w:val="00824882"/>
    <w:rsid w:val="00955A12"/>
    <w:rsid w:val="009C30DF"/>
    <w:rsid w:val="00A651C3"/>
    <w:rsid w:val="00B46195"/>
    <w:rsid w:val="00CE1AD7"/>
    <w:rsid w:val="00E214DE"/>
    <w:rsid w:val="00E3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C1CF2"/>
  <w15:chartTrackingRefBased/>
  <w15:docId w15:val="{A1CA372C-0D87-45E7-926B-73CD32DDD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1B3"/>
  </w:style>
  <w:style w:type="paragraph" w:styleId="Heading1">
    <w:name w:val="heading 1"/>
    <w:basedOn w:val="Normal"/>
    <w:next w:val="Normal"/>
    <w:link w:val="Heading1Char"/>
    <w:uiPriority w:val="9"/>
    <w:qFormat/>
    <w:rsid w:val="00CE1AD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E1AD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E1AD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E1AD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E1AD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E1A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1A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1A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1A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Shading1-Accent1">
    <w:name w:val="Medium Shading 1 Accent 1"/>
    <w:basedOn w:val="TableNormal"/>
    <w:uiPriority w:val="63"/>
    <w:rsid w:val="00824882"/>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9"/>
    <w:rsid w:val="00CE1AD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E1AD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E1AD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E1AD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E1AD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E1A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1A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1A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1AD7"/>
    <w:rPr>
      <w:rFonts w:eastAsiaTheme="majorEastAsia" w:cstheme="majorBidi"/>
      <w:color w:val="272727" w:themeColor="text1" w:themeTint="D8"/>
    </w:rPr>
  </w:style>
  <w:style w:type="paragraph" w:styleId="Title">
    <w:name w:val="Title"/>
    <w:basedOn w:val="Normal"/>
    <w:next w:val="Normal"/>
    <w:link w:val="TitleChar"/>
    <w:uiPriority w:val="10"/>
    <w:qFormat/>
    <w:rsid w:val="00CE1A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A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1AD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A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1A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E1AD7"/>
    <w:rPr>
      <w:i/>
      <w:iCs/>
      <w:color w:val="404040" w:themeColor="text1" w:themeTint="BF"/>
    </w:rPr>
  </w:style>
  <w:style w:type="paragraph" w:styleId="ListParagraph">
    <w:name w:val="List Paragraph"/>
    <w:basedOn w:val="Normal"/>
    <w:uiPriority w:val="34"/>
    <w:qFormat/>
    <w:rsid w:val="00CE1AD7"/>
    <w:pPr>
      <w:ind w:left="720"/>
      <w:contextualSpacing/>
    </w:pPr>
  </w:style>
  <w:style w:type="character" w:styleId="IntenseEmphasis">
    <w:name w:val="Intense Emphasis"/>
    <w:basedOn w:val="DefaultParagraphFont"/>
    <w:uiPriority w:val="21"/>
    <w:qFormat/>
    <w:rsid w:val="00CE1AD7"/>
    <w:rPr>
      <w:i/>
      <w:iCs/>
      <w:color w:val="365F91" w:themeColor="accent1" w:themeShade="BF"/>
    </w:rPr>
  </w:style>
  <w:style w:type="paragraph" w:styleId="IntenseQuote">
    <w:name w:val="Intense Quote"/>
    <w:basedOn w:val="Normal"/>
    <w:next w:val="Normal"/>
    <w:link w:val="IntenseQuoteChar"/>
    <w:uiPriority w:val="30"/>
    <w:qFormat/>
    <w:rsid w:val="00CE1AD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E1AD7"/>
    <w:rPr>
      <w:i/>
      <w:iCs/>
      <w:color w:val="365F91" w:themeColor="accent1" w:themeShade="BF"/>
    </w:rPr>
  </w:style>
  <w:style w:type="character" w:styleId="IntenseReference">
    <w:name w:val="Intense Reference"/>
    <w:basedOn w:val="DefaultParagraphFont"/>
    <w:uiPriority w:val="32"/>
    <w:qFormat/>
    <w:rsid w:val="00CE1AD7"/>
    <w:rPr>
      <w:b/>
      <w:bCs/>
      <w:smallCaps/>
      <w:color w:val="365F91" w:themeColor="accent1" w:themeShade="BF"/>
      <w:spacing w:val="5"/>
    </w:rPr>
  </w:style>
  <w:style w:type="table" w:styleId="TableGridLight">
    <w:name w:val="Grid Table Light"/>
    <w:basedOn w:val="TableNormal"/>
    <w:uiPriority w:val="40"/>
    <w:rsid w:val="006D295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7D2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412"/>
  </w:style>
  <w:style w:type="paragraph" w:styleId="Footer">
    <w:name w:val="footer"/>
    <w:basedOn w:val="Normal"/>
    <w:link w:val="FooterChar"/>
    <w:uiPriority w:val="99"/>
    <w:unhideWhenUsed/>
    <w:rsid w:val="007D2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412"/>
  </w:style>
  <w:style w:type="paragraph" w:styleId="NormalWeb">
    <w:name w:val="Normal (Web)"/>
    <w:basedOn w:val="Normal"/>
    <w:uiPriority w:val="99"/>
    <w:semiHidden/>
    <w:unhideWhenUsed/>
    <w:rsid w:val="00E3715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29</Pages>
  <Words>13821</Words>
  <Characters>78782</Characters>
  <Application>Microsoft Office Word</Application>
  <DocSecurity>0</DocSecurity>
  <Lines>656</Lines>
  <Paragraphs>184</Paragraphs>
  <ScaleCrop>false</ScaleCrop>
  <Company>HP</Company>
  <LinksUpToDate>false</LinksUpToDate>
  <CharactersWithSpaces>92419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Pinaki Mondal</dc:creator>
  <cp:keywords/>
  <dc:description/>
  <cp:lastModifiedBy>Editor-90</cp:lastModifiedBy>
  <cp:revision>7</cp:revision>
  <dcterms:created xsi:type="dcterms:W3CDTF">2026-07-14T19:23:00Z</dcterms:created>
  <dcterms:modified xsi:type="dcterms:W3CDTF">2026-10-08T11:03:00Z</dcterms:modified>
</cp:coreProperties>
</file>