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D4D41" w14:textId="77777777" w:rsidR="00F15FD7" w:rsidRDefault="00F15FD7">
      <w:pPr>
        <w:spacing w:line="276" w:lineRule="auto"/>
        <w:jc w:val="center"/>
        <w:rPr>
          <w:rFonts w:cs="Times New Roman"/>
          <w:b/>
          <w:bCs/>
        </w:rPr>
      </w:pPr>
    </w:p>
    <w:p w14:paraId="1C7981FE" w14:textId="77777777" w:rsidR="00F15FD7" w:rsidRDefault="00563E74">
      <w:pPr>
        <w:spacing w:line="276" w:lineRule="auto"/>
        <w:jc w:val="center"/>
        <w:rPr>
          <w:rFonts w:ascii="Times New Roman" w:hAnsi="Times New Roman" w:cs="Times New Roman"/>
          <w:b/>
          <w:bCs/>
          <w:i/>
          <w:iCs/>
          <w:sz w:val="32"/>
          <w:szCs w:val="32"/>
        </w:rPr>
      </w:pPr>
      <w:r>
        <w:rPr>
          <w:rFonts w:ascii="Times New Roman" w:hAnsi="Times New Roman" w:cs="Times New Roman"/>
          <w:b/>
          <w:bCs/>
          <w:sz w:val="32"/>
          <w:szCs w:val="32"/>
        </w:rPr>
        <w:t>Differential watering and organic amendment effects on the yield, quality and metabolite constituents of pepper</w:t>
      </w:r>
      <w:r>
        <w:rPr>
          <w:rFonts w:ascii="Times New Roman" w:hAnsi="Times New Roman" w:cs="Times New Roman"/>
          <w:b/>
          <w:bCs/>
          <w:i/>
          <w:iCs/>
          <w:sz w:val="32"/>
          <w:szCs w:val="32"/>
        </w:rPr>
        <w:t xml:space="preserve"> (</w:t>
      </w:r>
      <w:r>
        <w:rPr>
          <w:rStyle w:val="Emphasis"/>
          <w:rFonts w:ascii="Times New Roman" w:hAnsi="Times New Roman" w:cs="Times New Roman"/>
          <w:b/>
          <w:bCs/>
          <w:sz w:val="32"/>
          <w:szCs w:val="32"/>
        </w:rPr>
        <w:t xml:space="preserve">Capsicum </w:t>
      </w:r>
      <w:proofErr w:type="spellStart"/>
      <w:r>
        <w:rPr>
          <w:rStyle w:val="Emphasis"/>
          <w:rFonts w:ascii="Times New Roman" w:hAnsi="Times New Roman" w:cs="Times New Roman"/>
          <w:b/>
          <w:bCs/>
          <w:sz w:val="32"/>
          <w:szCs w:val="32"/>
        </w:rPr>
        <w:t>chinense</w:t>
      </w:r>
      <w:proofErr w:type="spellEnd"/>
      <w:r>
        <w:rPr>
          <w:rFonts w:ascii="Times New Roman" w:hAnsi="Times New Roman" w:cs="Times New Roman"/>
          <w:b/>
          <w:bCs/>
          <w:i/>
          <w:iCs/>
          <w:sz w:val="32"/>
          <w:szCs w:val="32"/>
        </w:rPr>
        <w:t xml:space="preserve"> </w:t>
      </w:r>
      <w:r>
        <w:rPr>
          <w:rFonts w:ascii="Times New Roman" w:hAnsi="Times New Roman" w:cs="Times New Roman"/>
          <w:b/>
          <w:bCs/>
          <w:sz w:val="32"/>
          <w:szCs w:val="32"/>
        </w:rPr>
        <w:t>Jacq.</w:t>
      </w:r>
      <w:r>
        <w:rPr>
          <w:rFonts w:ascii="Times New Roman" w:hAnsi="Times New Roman" w:cs="Times New Roman"/>
          <w:b/>
          <w:bCs/>
          <w:i/>
          <w:iCs/>
          <w:sz w:val="32"/>
          <w:szCs w:val="32"/>
        </w:rPr>
        <w:t>)</w:t>
      </w:r>
    </w:p>
    <w:p w14:paraId="0DBB6F75" w14:textId="77777777" w:rsidR="00F15FD7" w:rsidRDefault="00F15FD7">
      <w:pPr>
        <w:spacing w:line="276" w:lineRule="auto"/>
        <w:rPr>
          <w:rFonts w:ascii="Times New Roman" w:hAnsi="Times New Roman" w:cs="Times New Roman"/>
          <w:b/>
          <w:bCs/>
          <w:lang w:val="en-GB"/>
        </w:rPr>
      </w:pPr>
    </w:p>
    <w:p w14:paraId="6AAF85D6" w14:textId="77777777" w:rsidR="00F15FD7" w:rsidRDefault="00563E74">
      <w:pPr>
        <w:spacing w:line="276" w:lineRule="auto"/>
        <w:jc w:val="center"/>
        <w:rPr>
          <w:rFonts w:ascii="Times New Roman" w:hAnsi="Times New Roman" w:cs="Times New Roman"/>
          <w:b/>
          <w:bCs/>
          <w:lang w:val="en-GB"/>
        </w:rPr>
      </w:pPr>
      <w:bookmarkStart w:id="0" w:name="_Hlk227877308"/>
      <w:r>
        <w:rPr>
          <w:rFonts w:ascii="Times New Roman" w:hAnsi="Times New Roman" w:cs="Times New Roman"/>
          <w:b/>
          <w:bCs/>
          <w:lang w:val="en-GB"/>
        </w:rPr>
        <w:t>Abstract</w:t>
      </w:r>
    </w:p>
    <w:bookmarkEnd w:id="0"/>
    <w:p w14:paraId="323D85F4" w14:textId="77777777" w:rsidR="00C35951" w:rsidRPr="00E838C3" w:rsidRDefault="00C35951" w:rsidP="00C35951">
      <w:pPr>
        <w:spacing w:line="278" w:lineRule="auto"/>
        <w:jc w:val="both"/>
        <w:rPr>
          <w:rFonts w:ascii="Times New Roman" w:hAnsi="Times New Roman" w:cs="Times New Roman"/>
        </w:rPr>
      </w:pPr>
      <w:r w:rsidRPr="00E838C3">
        <w:rPr>
          <w:rFonts w:ascii="Times New Roman" w:hAnsi="Times New Roman" w:cs="Times New Roman"/>
          <w:highlight w:val="yellow"/>
        </w:rPr>
        <w:t xml:space="preserve">Water deficit remains a major constraint to pepper production in tropical </w:t>
      </w:r>
      <w:proofErr w:type="spellStart"/>
      <w:r w:rsidRPr="00E838C3">
        <w:rPr>
          <w:rFonts w:ascii="Times New Roman" w:hAnsi="Times New Roman" w:cs="Times New Roman"/>
          <w:highlight w:val="yellow"/>
        </w:rPr>
        <w:t>agro</w:t>
      </w:r>
      <w:proofErr w:type="spellEnd"/>
      <w:r w:rsidRPr="00E838C3">
        <w:rPr>
          <w:rFonts w:ascii="Times New Roman" w:hAnsi="Times New Roman" w:cs="Times New Roman"/>
          <w:highlight w:val="yellow"/>
        </w:rPr>
        <w:t xml:space="preserve">-ecosystems, necessitating sustainable soil and microbial management strategies. This study evaluated the effects of biochar and </w:t>
      </w:r>
      <w:r w:rsidRPr="00E838C3">
        <w:rPr>
          <w:rFonts w:ascii="Times New Roman" w:hAnsi="Times New Roman" w:cs="Times New Roman"/>
          <w:i/>
          <w:iCs/>
          <w:highlight w:val="yellow"/>
        </w:rPr>
        <w:t xml:space="preserve">Trichoderma </w:t>
      </w:r>
      <w:proofErr w:type="spellStart"/>
      <w:r w:rsidRPr="00E838C3">
        <w:rPr>
          <w:rFonts w:ascii="Times New Roman" w:hAnsi="Times New Roman" w:cs="Times New Roman"/>
          <w:i/>
          <w:iCs/>
          <w:highlight w:val="yellow"/>
        </w:rPr>
        <w:t>harzianum</w:t>
      </w:r>
      <w:proofErr w:type="spellEnd"/>
      <w:r w:rsidRPr="00E838C3">
        <w:rPr>
          <w:rFonts w:ascii="Times New Roman" w:hAnsi="Times New Roman" w:cs="Times New Roman"/>
          <w:highlight w:val="yellow"/>
        </w:rPr>
        <w:t xml:space="preserve"> on the growth, yield, fruit quality, soil properties, and stress physiology of pepper (</w:t>
      </w:r>
      <w:r w:rsidRPr="00E838C3">
        <w:rPr>
          <w:rFonts w:ascii="Times New Roman" w:hAnsi="Times New Roman" w:cs="Times New Roman"/>
          <w:i/>
          <w:iCs/>
          <w:highlight w:val="yellow"/>
        </w:rPr>
        <w:t xml:space="preserve">Capsicum </w:t>
      </w:r>
      <w:proofErr w:type="spellStart"/>
      <w:r w:rsidRPr="00E838C3">
        <w:rPr>
          <w:rFonts w:ascii="Times New Roman" w:hAnsi="Times New Roman" w:cs="Times New Roman"/>
          <w:i/>
          <w:iCs/>
          <w:highlight w:val="yellow"/>
        </w:rPr>
        <w:t>chinense</w:t>
      </w:r>
      <w:proofErr w:type="spellEnd"/>
      <w:r w:rsidRPr="00E838C3">
        <w:rPr>
          <w:rFonts w:ascii="Times New Roman" w:hAnsi="Times New Roman" w:cs="Times New Roman"/>
          <w:highlight w:val="yellow"/>
        </w:rPr>
        <w:t xml:space="preserve"> Jacq.) under varying watering regimes. A screenhouse experiment was conducted using a Completely Randomized Design (CRD) with fourteen treatment combinations, including sole and combined applications of biochar and </w:t>
      </w:r>
      <w:r w:rsidRPr="00E838C3">
        <w:rPr>
          <w:rFonts w:ascii="Times New Roman" w:hAnsi="Times New Roman" w:cs="Times New Roman"/>
          <w:i/>
          <w:iCs/>
          <w:highlight w:val="yellow"/>
        </w:rPr>
        <w:t xml:space="preserve">T. </w:t>
      </w:r>
      <w:proofErr w:type="spellStart"/>
      <w:r w:rsidRPr="00E838C3">
        <w:rPr>
          <w:rFonts w:ascii="Times New Roman" w:hAnsi="Times New Roman" w:cs="Times New Roman"/>
          <w:i/>
          <w:iCs/>
          <w:highlight w:val="yellow"/>
        </w:rPr>
        <w:t>harzianum</w:t>
      </w:r>
      <w:proofErr w:type="spellEnd"/>
      <w:r w:rsidRPr="00E838C3">
        <w:rPr>
          <w:rFonts w:ascii="Times New Roman" w:hAnsi="Times New Roman" w:cs="Times New Roman"/>
          <w:highlight w:val="yellow"/>
        </w:rPr>
        <w:t xml:space="preserve"> under 100, 60, and 40% field capacity, replicated ten times. Growth, yield, physiological, and biochemical parameters, including antioxidant enzymes (SOD, CAT, POD, APX) and proline, were assessed alongside fruit quality and soil properties.</w:t>
      </w:r>
      <w:r w:rsidRPr="00C35951">
        <w:rPr>
          <w:rFonts w:ascii="Times New Roman" w:hAnsi="Times New Roman" w:cs="Times New Roman"/>
          <w:highlight w:val="yellow"/>
        </w:rPr>
        <w:t xml:space="preserve"> </w:t>
      </w:r>
      <w:r w:rsidRPr="00E838C3">
        <w:rPr>
          <w:rFonts w:ascii="Times New Roman" w:hAnsi="Times New Roman" w:cs="Times New Roman"/>
          <w:highlight w:val="yellow"/>
        </w:rPr>
        <w:t xml:space="preserve">Results showed that the combined application of biochar and </w:t>
      </w:r>
      <w:r w:rsidRPr="00E838C3">
        <w:rPr>
          <w:rFonts w:ascii="Times New Roman" w:hAnsi="Times New Roman" w:cs="Times New Roman"/>
          <w:i/>
          <w:iCs/>
          <w:highlight w:val="yellow"/>
        </w:rPr>
        <w:t xml:space="preserve">T. </w:t>
      </w:r>
      <w:proofErr w:type="spellStart"/>
      <w:r w:rsidRPr="00E838C3">
        <w:rPr>
          <w:rFonts w:ascii="Times New Roman" w:hAnsi="Times New Roman" w:cs="Times New Roman"/>
          <w:i/>
          <w:iCs/>
          <w:highlight w:val="yellow"/>
        </w:rPr>
        <w:t>harzianum</w:t>
      </w:r>
      <w:proofErr w:type="spellEnd"/>
      <w:r w:rsidRPr="00E838C3">
        <w:rPr>
          <w:rFonts w:ascii="Times New Roman" w:hAnsi="Times New Roman" w:cs="Times New Roman"/>
          <w:highlight w:val="yellow"/>
        </w:rPr>
        <w:t xml:space="preserve"> under full irrigation (B+T+100% FC) produced the highest growth and yield, with plant height (90.27 cm), leaf area (166.69 cm²), and fruit yield (36.93 fruits plant⁻¹; 150.00 g fresh weight). The B+T+60% FC treatment also significantly enhanced growth and yield (35.23 fruits plant⁻¹), indicating improved tolerance to moderate water deficit, whereas 40% FC markedly reduced performance.</w:t>
      </w:r>
      <w:r w:rsidRPr="00C35951">
        <w:rPr>
          <w:rFonts w:ascii="Times New Roman" w:hAnsi="Times New Roman" w:cs="Times New Roman"/>
          <w:highlight w:val="yellow"/>
        </w:rPr>
        <w:t xml:space="preserve"> </w:t>
      </w:r>
      <w:r w:rsidRPr="00E838C3">
        <w:rPr>
          <w:rFonts w:ascii="Times New Roman" w:hAnsi="Times New Roman" w:cs="Times New Roman"/>
          <w:highlight w:val="yellow"/>
        </w:rPr>
        <w:t>Water stress significantly increased proline (60 µmol g⁻¹ DW), total phenolics (820 mg GAE/100 g DW), and antioxidant enzyme activities, while amendment treatments, particularly B+T, reduced these stress indicators (proline: 6–11 µmol g⁻¹). Chlorophyll content was highest under combined treatments at 60–100% FC (~73 mg g⁻¹ FW).</w:t>
      </w:r>
      <w:r w:rsidRPr="00C35951">
        <w:rPr>
          <w:rFonts w:ascii="Times New Roman" w:hAnsi="Times New Roman" w:cs="Times New Roman"/>
          <w:highlight w:val="yellow"/>
        </w:rPr>
        <w:t xml:space="preserve"> </w:t>
      </w:r>
      <w:r w:rsidRPr="00E838C3">
        <w:rPr>
          <w:rFonts w:ascii="Times New Roman" w:hAnsi="Times New Roman" w:cs="Times New Roman"/>
          <w:highlight w:val="yellow"/>
        </w:rPr>
        <w:t xml:space="preserve">Biochar improved ash (5.88%), crude </w:t>
      </w:r>
      <w:proofErr w:type="spellStart"/>
      <w:r w:rsidRPr="00E838C3">
        <w:rPr>
          <w:rFonts w:ascii="Times New Roman" w:hAnsi="Times New Roman" w:cs="Times New Roman"/>
          <w:highlight w:val="yellow"/>
        </w:rPr>
        <w:t>fibre</w:t>
      </w:r>
      <w:proofErr w:type="spellEnd"/>
      <w:r w:rsidRPr="00E838C3">
        <w:rPr>
          <w:rFonts w:ascii="Times New Roman" w:hAnsi="Times New Roman" w:cs="Times New Roman"/>
          <w:highlight w:val="yellow"/>
        </w:rPr>
        <w:t xml:space="preserve"> (38.11%), and protein (2.43%), whereas </w:t>
      </w:r>
      <w:r w:rsidRPr="00E838C3">
        <w:rPr>
          <w:rFonts w:ascii="Times New Roman" w:hAnsi="Times New Roman" w:cs="Times New Roman"/>
          <w:i/>
          <w:iCs/>
          <w:highlight w:val="yellow"/>
        </w:rPr>
        <w:t xml:space="preserve">T. </w:t>
      </w:r>
      <w:proofErr w:type="spellStart"/>
      <w:r w:rsidRPr="00E838C3">
        <w:rPr>
          <w:rFonts w:ascii="Times New Roman" w:hAnsi="Times New Roman" w:cs="Times New Roman"/>
          <w:i/>
          <w:iCs/>
          <w:highlight w:val="yellow"/>
        </w:rPr>
        <w:t>harzianum</w:t>
      </w:r>
      <w:proofErr w:type="spellEnd"/>
      <w:r w:rsidRPr="00E838C3">
        <w:rPr>
          <w:rFonts w:ascii="Times New Roman" w:hAnsi="Times New Roman" w:cs="Times New Roman"/>
          <w:highlight w:val="yellow"/>
        </w:rPr>
        <w:t xml:space="preserve"> enhanced carbohydrate (65.44%) and vitamin content (155.22 mg/100 g). Mineral composition was highest under B+T+100% FC, notably K (224.19 mg/100 g), Ca (15.64 mg/100 g), and Mg (39.87 mg/100 g).</w:t>
      </w:r>
      <w:r w:rsidRPr="00C35951">
        <w:rPr>
          <w:rFonts w:ascii="Times New Roman" w:hAnsi="Times New Roman" w:cs="Times New Roman"/>
          <w:highlight w:val="yellow"/>
        </w:rPr>
        <w:t xml:space="preserve"> </w:t>
      </w:r>
      <w:r w:rsidRPr="00E838C3">
        <w:rPr>
          <w:rFonts w:ascii="Times New Roman" w:hAnsi="Times New Roman" w:cs="Times New Roman"/>
          <w:highlight w:val="yellow"/>
        </w:rPr>
        <w:t xml:space="preserve">Soil properties were also improved, with reduced bulk density (1.03 g cm⁻³) and increased water-holding capacity (34.10%) and organic matter (14.25%). Overall, co-application of biochar and </w:t>
      </w:r>
      <w:r w:rsidRPr="00E838C3">
        <w:rPr>
          <w:rFonts w:ascii="Times New Roman" w:hAnsi="Times New Roman" w:cs="Times New Roman"/>
          <w:i/>
          <w:iCs/>
          <w:highlight w:val="yellow"/>
        </w:rPr>
        <w:t xml:space="preserve">T. </w:t>
      </w:r>
      <w:proofErr w:type="spellStart"/>
      <w:r w:rsidRPr="00E838C3">
        <w:rPr>
          <w:rFonts w:ascii="Times New Roman" w:hAnsi="Times New Roman" w:cs="Times New Roman"/>
          <w:i/>
          <w:iCs/>
          <w:highlight w:val="yellow"/>
        </w:rPr>
        <w:t>harzianum</w:t>
      </w:r>
      <w:proofErr w:type="spellEnd"/>
      <w:r w:rsidRPr="00E838C3">
        <w:rPr>
          <w:rFonts w:ascii="Times New Roman" w:hAnsi="Times New Roman" w:cs="Times New Roman"/>
          <w:highlight w:val="yellow"/>
        </w:rPr>
        <w:t xml:space="preserve"> enhanced pepper productivity, stress tolerance, and soil quality under water-limited conditions.</w:t>
      </w:r>
    </w:p>
    <w:p w14:paraId="3CF1A84A" w14:textId="18423AEF" w:rsidR="00F15FD7" w:rsidRDefault="00563E74">
      <w:pPr>
        <w:pStyle w:val="NormalWeb"/>
        <w:spacing w:line="276" w:lineRule="auto"/>
        <w:jc w:val="both"/>
        <w:rPr>
          <w:sz w:val="22"/>
          <w:szCs w:val="22"/>
        </w:rPr>
      </w:pPr>
      <w:r>
        <w:rPr>
          <w:rStyle w:val="Strong"/>
          <w:rFonts w:eastAsiaTheme="majorEastAsia"/>
          <w:sz w:val="22"/>
          <w:szCs w:val="22"/>
        </w:rPr>
        <w:t>Keywords:</w:t>
      </w:r>
      <w:r>
        <w:rPr>
          <w:sz w:val="22"/>
          <w:szCs w:val="22"/>
        </w:rPr>
        <w:t xml:space="preserve"> Biochar; </w:t>
      </w:r>
      <w:r>
        <w:rPr>
          <w:rStyle w:val="Emphasis"/>
          <w:sz w:val="22"/>
          <w:szCs w:val="22"/>
        </w:rPr>
        <w:t xml:space="preserve">Trichoderma </w:t>
      </w:r>
      <w:proofErr w:type="spellStart"/>
      <w:r>
        <w:rPr>
          <w:rStyle w:val="Emphasis"/>
          <w:sz w:val="22"/>
          <w:szCs w:val="22"/>
        </w:rPr>
        <w:t>harzianum</w:t>
      </w:r>
      <w:proofErr w:type="spellEnd"/>
      <w:r>
        <w:rPr>
          <w:sz w:val="22"/>
          <w:szCs w:val="22"/>
        </w:rPr>
        <w:t xml:space="preserve">; </w:t>
      </w:r>
      <w:r>
        <w:rPr>
          <w:rStyle w:val="Emphasis"/>
          <w:sz w:val="22"/>
          <w:szCs w:val="22"/>
        </w:rPr>
        <w:t xml:space="preserve">Capsicum </w:t>
      </w:r>
      <w:proofErr w:type="spellStart"/>
      <w:r>
        <w:rPr>
          <w:rStyle w:val="Emphasis"/>
          <w:sz w:val="22"/>
          <w:szCs w:val="22"/>
        </w:rPr>
        <w:t>chinense</w:t>
      </w:r>
      <w:proofErr w:type="spellEnd"/>
      <w:r>
        <w:rPr>
          <w:sz w:val="22"/>
          <w:szCs w:val="22"/>
        </w:rPr>
        <w:t>; Water stress; Antioxidant enzymes</w:t>
      </w:r>
    </w:p>
    <w:p w14:paraId="1DD1E5C4" w14:textId="77777777" w:rsidR="00F15FD7" w:rsidRDefault="00563E74">
      <w:pPr>
        <w:pStyle w:val="ListParagraph"/>
        <w:numPr>
          <w:ilvl w:val="0"/>
          <w:numId w:val="1"/>
        </w:numPr>
        <w:rPr>
          <w:rFonts w:cs="Times New Roman"/>
          <w:b/>
          <w:bCs/>
          <w:sz w:val="22"/>
        </w:rPr>
      </w:pPr>
      <w:r>
        <w:rPr>
          <w:rFonts w:cs="Times New Roman"/>
          <w:b/>
          <w:bCs/>
          <w:sz w:val="22"/>
        </w:rPr>
        <w:t xml:space="preserve"> Introduction</w:t>
      </w:r>
    </w:p>
    <w:p w14:paraId="1868639A" w14:textId="3FDBA79C" w:rsidR="00F15FD7" w:rsidRDefault="00563E74">
      <w:pPr>
        <w:spacing w:line="276" w:lineRule="auto"/>
        <w:jc w:val="both"/>
        <w:rPr>
          <w:rFonts w:ascii="Times New Roman" w:hAnsi="Times New Roman" w:cs="Times New Roman"/>
        </w:rPr>
      </w:pPr>
      <w:r>
        <w:rPr>
          <w:rFonts w:ascii="Times New Roman" w:hAnsi="Times New Roman" w:cs="Times New Roman"/>
        </w:rPr>
        <w:t>Pepper (</w:t>
      </w:r>
      <w:r>
        <w:rPr>
          <w:rFonts w:ascii="Times New Roman" w:hAnsi="Times New Roman" w:cs="Times New Roman"/>
          <w:i/>
          <w:iCs/>
        </w:rPr>
        <w:t xml:space="preserve">Capsicum </w:t>
      </w:r>
      <w:proofErr w:type="spellStart"/>
      <w:r>
        <w:rPr>
          <w:rFonts w:ascii="Times New Roman" w:hAnsi="Times New Roman" w:cs="Times New Roman"/>
          <w:i/>
          <w:iCs/>
        </w:rPr>
        <w:t>chinense</w:t>
      </w:r>
      <w:proofErr w:type="spellEnd"/>
      <w:r>
        <w:rPr>
          <w:rFonts w:ascii="Times New Roman" w:hAnsi="Times New Roman" w:cs="Times New Roman"/>
        </w:rPr>
        <w:t xml:space="preserve"> Jacq.) is one of the most widely cultivated vegetable and spice crops worldwide, valued for its economic importance, culinary versatility, and nutritional and medicinal properties. In Nigeria and other tropical regions, pepper occupies an important place in local diets and markets due to its pungency, high vitamin content, and strong consumer demand (FAOSTAT, 2012; Mustapha </w:t>
      </w:r>
      <w:r>
        <w:rPr>
          <w:rFonts w:ascii="Times New Roman" w:hAnsi="Times New Roman" w:cs="Times New Roman"/>
          <w:i/>
          <w:iCs/>
        </w:rPr>
        <w:t>et al.,</w:t>
      </w:r>
      <w:r>
        <w:rPr>
          <w:rFonts w:ascii="Times New Roman" w:hAnsi="Times New Roman" w:cs="Times New Roman"/>
        </w:rPr>
        <w:t xml:space="preserve"> 2021). Nigeria is recognized as the largest producer of pepper among the sub-Saharan African countries (Akpan </w:t>
      </w:r>
      <w:r w:rsidRPr="00C35951">
        <w:rPr>
          <w:rFonts w:ascii="Times New Roman" w:hAnsi="Times New Roman" w:cs="Times New Roman"/>
          <w:i/>
          <w:iCs/>
        </w:rPr>
        <w:t>et al.,</w:t>
      </w:r>
      <w:r>
        <w:rPr>
          <w:rFonts w:ascii="Times New Roman" w:hAnsi="Times New Roman" w:cs="Times New Roman"/>
        </w:rPr>
        <w:t xml:space="preserve"> 2023) and ranks among the leading producers globally, contributing about 50</w:t>
      </w:r>
      <w:r w:rsidR="00C35951">
        <w:rPr>
          <w:rFonts w:ascii="Times New Roman" w:hAnsi="Times New Roman" w:cs="Times New Roman"/>
        </w:rPr>
        <w:t xml:space="preserve"> </w:t>
      </w:r>
      <w:r>
        <w:rPr>
          <w:rFonts w:ascii="Times New Roman" w:hAnsi="Times New Roman" w:cs="Times New Roman"/>
        </w:rPr>
        <w:t>% of Africa’s total pepper production. The crop is predominantly cultivated in the northern region of the country (</w:t>
      </w:r>
      <w:proofErr w:type="spellStart"/>
      <w:r>
        <w:rPr>
          <w:rFonts w:ascii="Times New Roman" w:hAnsi="Times New Roman" w:cs="Times New Roman"/>
        </w:rPr>
        <w:t>Ogunbo</w:t>
      </w:r>
      <w:proofErr w:type="spellEnd"/>
      <w:r>
        <w:rPr>
          <w:rFonts w:ascii="Times New Roman" w:hAnsi="Times New Roman" w:cs="Times New Roman"/>
        </w:rPr>
        <w:t xml:space="preserve">, 2015). In 2020, Nigeria produced 762,174 </w:t>
      </w:r>
      <w:proofErr w:type="spellStart"/>
      <w:r>
        <w:rPr>
          <w:rFonts w:ascii="Times New Roman" w:hAnsi="Times New Roman" w:cs="Times New Roman"/>
        </w:rPr>
        <w:t>tonnes</w:t>
      </w:r>
      <w:proofErr w:type="spellEnd"/>
      <w:r>
        <w:rPr>
          <w:rFonts w:ascii="Times New Roman" w:hAnsi="Times New Roman" w:cs="Times New Roman"/>
        </w:rPr>
        <w:t xml:space="preserve"> of green chilies and peppers, representing a slight increase of 0.27% compared to the production recorded in 2019 (FAO, 2020).</w:t>
      </w:r>
    </w:p>
    <w:p w14:paraId="77C1C4C9" w14:textId="487573B7" w:rsidR="00F15FD7" w:rsidRDefault="00563E74">
      <w:pPr>
        <w:spacing w:line="276" w:lineRule="auto"/>
        <w:jc w:val="both"/>
        <w:rPr>
          <w:rFonts w:ascii="Times New Roman" w:hAnsi="Times New Roman" w:cs="Times New Roman"/>
        </w:rPr>
      </w:pPr>
      <w:r>
        <w:rPr>
          <w:rFonts w:ascii="Times New Roman" w:hAnsi="Times New Roman" w:cs="Times New Roman"/>
        </w:rPr>
        <w:t xml:space="preserve">Drought has been reported to affect several physiological and biochemical processes in plants, including photosynthesis, nitrogen assimilation, and metabolic activities (Nadeem </w:t>
      </w:r>
      <w:r>
        <w:rPr>
          <w:rFonts w:ascii="Times New Roman" w:hAnsi="Times New Roman" w:cs="Times New Roman"/>
          <w:i/>
          <w:iCs/>
        </w:rPr>
        <w:t>et al.,</w:t>
      </w:r>
      <w:r>
        <w:rPr>
          <w:rFonts w:ascii="Times New Roman" w:hAnsi="Times New Roman" w:cs="Times New Roman"/>
        </w:rPr>
        <w:t xml:space="preserve"> 2019; Kim </w:t>
      </w:r>
      <w:r>
        <w:rPr>
          <w:rFonts w:ascii="Times New Roman" w:hAnsi="Times New Roman" w:cs="Times New Roman"/>
          <w:i/>
          <w:iCs/>
        </w:rPr>
        <w:t>et al.,</w:t>
      </w:r>
      <w:r>
        <w:rPr>
          <w:rFonts w:ascii="Times New Roman" w:hAnsi="Times New Roman" w:cs="Times New Roman"/>
        </w:rPr>
        <w:t xml:space="preserve"> 2023; Pei </w:t>
      </w:r>
      <w:r>
        <w:rPr>
          <w:rFonts w:ascii="Times New Roman" w:hAnsi="Times New Roman" w:cs="Times New Roman"/>
          <w:i/>
          <w:iCs/>
        </w:rPr>
        <w:t>et al.,</w:t>
      </w:r>
      <w:r>
        <w:rPr>
          <w:rFonts w:ascii="Times New Roman" w:hAnsi="Times New Roman" w:cs="Times New Roman"/>
        </w:rPr>
        <w:t xml:space="preserve"> 2023). In response to drought stress, plants undergo a range of physiological adjustments aimed at maximizing water-use efficiency while maintaining essential metabolic pathways (Qi </w:t>
      </w:r>
      <w:r>
        <w:rPr>
          <w:rFonts w:ascii="Times New Roman" w:hAnsi="Times New Roman" w:cs="Times New Roman"/>
          <w:i/>
          <w:iCs/>
        </w:rPr>
        <w:t>et al.,</w:t>
      </w:r>
      <w:r>
        <w:rPr>
          <w:rFonts w:ascii="Times New Roman" w:hAnsi="Times New Roman" w:cs="Times New Roman"/>
        </w:rPr>
        <w:t xml:space="preserve"> 2021; Sato </w:t>
      </w:r>
      <w:r>
        <w:rPr>
          <w:rFonts w:ascii="Times New Roman" w:hAnsi="Times New Roman" w:cs="Times New Roman"/>
          <w:i/>
          <w:iCs/>
        </w:rPr>
        <w:t xml:space="preserve">et </w:t>
      </w:r>
      <w:r>
        <w:rPr>
          <w:rFonts w:ascii="Times New Roman" w:hAnsi="Times New Roman" w:cs="Times New Roman"/>
          <w:i/>
          <w:iCs/>
        </w:rPr>
        <w:lastRenderedPageBreak/>
        <w:t>al.,</w:t>
      </w:r>
      <w:r>
        <w:rPr>
          <w:rFonts w:ascii="Times New Roman" w:hAnsi="Times New Roman" w:cs="Times New Roman"/>
        </w:rPr>
        <w:t xml:space="preserve"> 2024). These adaptations include stomatal closure to reduce water loss through transpiration and modifications in root architecture to enhance water uptake from the soil (Gupta </w:t>
      </w:r>
      <w:r>
        <w:rPr>
          <w:rFonts w:ascii="Times New Roman" w:hAnsi="Times New Roman" w:cs="Times New Roman"/>
          <w:i/>
          <w:iCs/>
        </w:rPr>
        <w:t>et al.,</w:t>
      </w:r>
      <w:r>
        <w:rPr>
          <w:rFonts w:ascii="Times New Roman" w:hAnsi="Times New Roman" w:cs="Times New Roman"/>
        </w:rPr>
        <w:t xml:space="preserve"> 2020). In southwestern Nigeria, particularly within the Akoko region of Ondo State, pepper cultivation is strongly influenced by seasonal water availability. Farmers in communities such as </w:t>
      </w:r>
      <w:proofErr w:type="spellStart"/>
      <w:r>
        <w:rPr>
          <w:rFonts w:ascii="Times New Roman" w:hAnsi="Times New Roman" w:cs="Times New Roman"/>
        </w:rPr>
        <w:t>Etioro-Supare</w:t>
      </w:r>
      <w:proofErr w:type="spellEnd"/>
      <w:r>
        <w:rPr>
          <w:rFonts w:ascii="Times New Roman" w:hAnsi="Times New Roman" w:cs="Times New Roman"/>
        </w:rPr>
        <w:t xml:space="preserve"> Akoko, </w:t>
      </w:r>
      <w:proofErr w:type="spellStart"/>
      <w:r>
        <w:rPr>
          <w:rFonts w:ascii="Times New Roman" w:hAnsi="Times New Roman" w:cs="Times New Roman"/>
        </w:rPr>
        <w:t>Akungba</w:t>
      </w:r>
      <w:proofErr w:type="spellEnd"/>
      <w:r>
        <w:rPr>
          <w:rFonts w:ascii="Times New Roman" w:hAnsi="Times New Roman" w:cs="Times New Roman"/>
        </w:rPr>
        <w:t xml:space="preserve"> Akoko, and </w:t>
      </w:r>
      <w:proofErr w:type="spellStart"/>
      <w:r>
        <w:rPr>
          <w:rFonts w:ascii="Times New Roman" w:hAnsi="Times New Roman" w:cs="Times New Roman"/>
        </w:rPr>
        <w:t>Ayegunle</w:t>
      </w:r>
      <w:proofErr w:type="spellEnd"/>
      <w:r>
        <w:rPr>
          <w:rFonts w:ascii="Times New Roman" w:hAnsi="Times New Roman" w:cs="Times New Roman"/>
        </w:rPr>
        <w:t xml:space="preserve"> Akoko communities often experience reduced production during the dry season due to limited soil moisture and inadequate irrigation facilities. This seasonal decline in production frequently results in supply shortages and noticeable increases in market prices toward the end of the year and during the early months of January and February.</w:t>
      </w:r>
      <w:r w:rsidR="00C35951">
        <w:rPr>
          <w:rFonts w:ascii="Times New Roman" w:hAnsi="Times New Roman" w:cs="Times New Roman"/>
        </w:rPr>
        <w:t xml:space="preserve"> </w:t>
      </w:r>
      <w:r>
        <w:rPr>
          <w:rFonts w:ascii="Times New Roman" w:hAnsi="Times New Roman" w:cs="Times New Roman"/>
        </w:rPr>
        <w:t xml:space="preserve">Water plays a fundamental </w:t>
      </w:r>
      <w:r w:rsidRPr="00C35951">
        <w:rPr>
          <w:rFonts w:ascii="Times New Roman" w:hAnsi="Times New Roman" w:cs="Times New Roman"/>
        </w:rPr>
        <w:t xml:space="preserve">role in plant growth and development, constituting between 80 and 95% of the biomass of fresh plant tissues (Lisar </w:t>
      </w:r>
      <w:r w:rsidRPr="00C35951">
        <w:rPr>
          <w:rFonts w:ascii="Times New Roman" w:hAnsi="Times New Roman" w:cs="Times New Roman"/>
          <w:i/>
          <w:iCs/>
        </w:rPr>
        <w:t>et al.,</w:t>
      </w:r>
      <w:r w:rsidRPr="00C35951">
        <w:rPr>
          <w:rFonts w:ascii="Times New Roman" w:hAnsi="Times New Roman" w:cs="Times New Roman"/>
        </w:rPr>
        <w:t xml:space="preserve"> 2012).</w:t>
      </w:r>
      <w:r>
        <w:rPr>
          <w:rFonts w:ascii="Times New Roman" w:hAnsi="Times New Roman" w:cs="Times New Roman"/>
        </w:rPr>
        <w:t xml:space="preserve"> Under drought conditions, plants experience metabolic disruptions and oxidative stress resulting from excessive production of reactive oxygen species (ROS), which can damage cellular membranes, proteins, and nucleic acids (</w:t>
      </w:r>
      <w:proofErr w:type="spellStart"/>
      <w:r>
        <w:rPr>
          <w:rFonts w:ascii="Times New Roman" w:hAnsi="Times New Roman" w:cs="Times New Roman"/>
        </w:rPr>
        <w:t>Hasanuzzaman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2022). Although plants accumulate compatible solutes such as sugars, proline, and sugar alcohols to stabilize proteins and cellular structures under stress conditions (Ghosh </w:t>
      </w:r>
      <w:r w:rsidRPr="00C35951">
        <w:rPr>
          <w:rFonts w:ascii="Times New Roman" w:hAnsi="Times New Roman" w:cs="Times New Roman"/>
          <w:i/>
          <w:iCs/>
        </w:rPr>
        <w:t>et al.,</w:t>
      </w:r>
      <w:r>
        <w:rPr>
          <w:rFonts w:ascii="Times New Roman" w:hAnsi="Times New Roman" w:cs="Times New Roman"/>
        </w:rPr>
        <w:t xml:space="preserve"> 2021),</w:t>
      </w:r>
      <w:r w:rsidR="00C35951">
        <w:rPr>
          <w:rFonts w:ascii="Times New Roman" w:hAnsi="Times New Roman" w:cs="Times New Roman"/>
        </w:rPr>
        <w:t xml:space="preserve"> </w:t>
      </w:r>
      <w:proofErr w:type="gramStart"/>
      <w:r w:rsidR="00C35951">
        <w:rPr>
          <w:rFonts w:ascii="Times New Roman" w:hAnsi="Times New Roman" w:cs="Times New Roman"/>
        </w:rPr>
        <w:t xml:space="preserve">however, </w:t>
      </w:r>
      <w:r>
        <w:rPr>
          <w:rFonts w:ascii="Times New Roman" w:hAnsi="Times New Roman" w:cs="Times New Roman"/>
        </w:rPr>
        <w:t xml:space="preserve"> prolonged</w:t>
      </w:r>
      <w:proofErr w:type="gramEnd"/>
      <w:r>
        <w:rPr>
          <w:rFonts w:ascii="Times New Roman" w:hAnsi="Times New Roman" w:cs="Times New Roman"/>
        </w:rPr>
        <w:t xml:space="preserve"> water scarcity can nevertheless lead to a substantial decline in crop productivity. Thus, sustainable agronomic strategies capable of improving soil moisture retention and enhancing plant stress tolerance are increasingly being explored. Biochar, a carbon-rich material produced through the pyrolysis of organic biomass under limited oxygen conditions, has gained considerable attention as a climate-smart soil amendment. Biochar improves soil structure, porosity, cation exchange capacity, and water-holding capacity, thereby enhancing soil moisture retention and nutrient availability under drought conditions (Blanco-Canqui </w:t>
      </w:r>
      <w:hyperlink r:id="rId7" w:anchor="ref-CR17" w:tooltip="Blanco-Canqui H (2017) Biochar and Soil Physical Properties. SSSAJ 81(4):687–711" w:history="1">
        <w:r w:rsidR="00F15FD7">
          <w:rPr>
            <w:rStyle w:val="Hyperlink"/>
            <w:rFonts w:ascii="Times New Roman" w:hAnsi="Times New Roman" w:cs="Times New Roman"/>
            <w:color w:val="auto"/>
            <w:u w:val="none"/>
          </w:rPr>
          <w:t>2017</w:t>
        </w:r>
      </w:hyperlink>
      <w:r>
        <w:rPr>
          <w:rFonts w:ascii="Times New Roman" w:hAnsi="Times New Roman" w:cs="Times New Roman"/>
        </w:rPr>
        <w:t xml:space="preserve">; Bohara </w:t>
      </w:r>
      <w:r>
        <w:rPr>
          <w:rFonts w:ascii="Times New Roman" w:hAnsi="Times New Roman" w:cs="Times New Roman"/>
          <w:i/>
          <w:iCs/>
        </w:rPr>
        <w:t>et al.</w:t>
      </w:r>
      <w:r>
        <w:rPr>
          <w:rFonts w:ascii="Times New Roman" w:hAnsi="Times New Roman" w:cs="Times New Roman"/>
        </w:rPr>
        <w:t xml:space="preserve"> </w:t>
      </w:r>
      <w:hyperlink r:id="rId8" w:anchor="ref-CR20" w:tooltip="Bohara H, Dodla S, Wang JJ, Darapuneni M, Acharya BS, Magdi S, Pavuluri K (2019) Influence of poultry litter and biochar on soil water dynamics and nutrient leaching from a very fine sandy loam soil. Soil Tillage Res 189:44–51" w:history="1">
        <w:r w:rsidR="00F15FD7">
          <w:rPr>
            <w:rStyle w:val="Hyperlink"/>
            <w:rFonts w:ascii="Times New Roman" w:hAnsi="Times New Roman" w:cs="Times New Roman"/>
            <w:color w:val="auto"/>
            <w:u w:val="none"/>
          </w:rPr>
          <w:t>2019</w:t>
        </w:r>
      </w:hyperlink>
      <w:r>
        <w:rPr>
          <w:rFonts w:ascii="Times New Roman" w:hAnsi="Times New Roman" w:cs="Times New Roman"/>
        </w:rPr>
        <w:t>). In addition, the porous structure of biochar provides favorable habitats for beneficial soil microorganisms, promoting microbial colonization and activity in the rhizosphere (Wu et al.</w:t>
      </w:r>
      <w:r>
        <w:rPr>
          <w:rFonts w:ascii="Times New Roman" w:hAnsi="Times New Roman" w:cs="Times New Roman"/>
          <w:i/>
          <w:iCs/>
        </w:rPr>
        <w:t>.,</w:t>
      </w:r>
      <w:r>
        <w:rPr>
          <w:rFonts w:ascii="Times New Roman" w:hAnsi="Times New Roman" w:cs="Times New Roman"/>
        </w:rPr>
        <w:t xml:space="preserve"> 2022).</w:t>
      </w:r>
    </w:p>
    <w:p w14:paraId="5FA75BE9" w14:textId="77777777" w:rsidR="00F15FD7" w:rsidRDefault="00563E74">
      <w:pPr>
        <w:spacing w:line="276" w:lineRule="auto"/>
        <w:jc w:val="both"/>
        <w:rPr>
          <w:rFonts w:ascii="Times New Roman" w:hAnsi="Times New Roman" w:cs="Times New Roman"/>
        </w:rPr>
      </w:pP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is a widely studied beneficial fungus known for its </w:t>
      </w:r>
      <w:proofErr w:type="spellStart"/>
      <w:r>
        <w:rPr>
          <w:rFonts w:ascii="Times New Roman" w:hAnsi="Times New Roman" w:cs="Times New Roman"/>
        </w:rPr>
        <w:t>mycoparasitic</w:t>
      </w:r>
      <w:proofErr w:type="spellEnd"/>
      <w:r>
        <w:rPr>
          <w:rFonts w:ascii="Times New Roman" w:hAnsi="Times New Roman" w:cs="Times New Roman"/>
        </w:rPr>
        <w:t xml:space="preserve"> and plant growth–promoting abilities (Mukherjee </w:t>
      </w:r>
      <w:r>
        <w:rPr>
          <w:rFonts w:ascii="Times New Roman" w:hAnsi="Times New Roman" w:cs="Times New Roman"/>
          <w:i/>
          <w:iCs/>
        </w:rPr>
        <w:t>et al.,</w:t>
      </w:r>
      <w:r>
        <w:rPr>
          <w:rFonts w:ascii="Times New Roman" w:hAnsi="Times New Roman" w:cs="Times New Roman"/>
        </w:rPr>
        <w:t xml:space="preserve"> 2013). Its root colonization enhances plant tolerance to stress through physiological and biochemical adjustments, improving root growth, nutrient uptake, and overall plant development (Ji </w:t>
      </w:r>
      <w:r>
        <w:rPr>
          <w:rFonts w:ascii="Times New Roman" w:hAnsi="Times New Roman" w:cs="Times New Roman"/>
          <w:i/>
          <w:iCs/>
        </w:rPr>
        <w:t>et al.,</w:t>
      </w:r>
      <w:r>
        <w:rPr>
          <w:rFonts w:ascii="Times New Roman" w:hAnsi="Times New Roman" w:cs="Times New Roman"/>
        </w:rPr>
        <w:t xml:space="preserve"> 2012). Saha </w:t>
      </w:r>
      <w:r>
        <w:rPr>
          <w:rFonts w:ascii="Times New Roman" w:hAnsi="Times New Roman" w:cs="Times New Roman"/>
          <w:i/>
          <w:iCs/>
        </w:rPr>
        <w:t>et al.</w:t>
      </w:r>
      <w:r>
        <w:rPr>
          <w:rFonts w:ascii="Times New Roman" w:hAnsi="Times New Roman" w:cs="Times New Roman"/>
        </w:rPr>
        <w:t xml:space="preserve"> (2024) reported that the concentrations of essential nutrients (N, P, S, Ca, Mg, and K) were significantly increased under different </w:t>
      </w:r>
      <w:r>
        <w:rPr>
          <w:rFonts w:ascii="Times New Roman" w:hAnsi="Times New Roman" w:cs="Times New Roman"/>
          <w:i/>
        </w:rPr>
        <w:t>Trichoderma</w:t>
      </w:r>
      <w:r>
        <w:rPr>
          <w:rFonts w:ascii="Times New Roman" w:hAnsi="Times New Roman" w:cs="Times New Roman"/>
        </w:rPr>
        <w:t xml:space="preserve"> treatments, while the Na/K ratio was markedly reduced, mainly due to enhanced potassium uptake. Druzhinina </w:t>
      </w:r>
      <w:r>
        <w:rPr>
          <w:rFonts w:ascii="Times New Roman" w:hAnsi="Times New Roman" w:cs="Times New Roman"/>
          <w:i/>
          <w:iCs/>
        </w:rPr>
        <w:t>et al.</w:t>
      </w:r>
      <w:r>
        <w:rPr>
          <w:rFonts w:ascii="Times New Roman" w:hAnsi="Times New Roman" w:cs="Times New Roman"/>
        </w:rPr>
        <w:t xml:space="preserve"> (2011) explained that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rPr>
        <w:t xml:space="preserve">, a prominent species of </w:t>
      </w:r>
      <w:r>
        <w:rPr>
          <w:rFonts w:ascii="Times New Roman" w:hAnsi="Times New Roman" w:cs="Times New Roman"/>
          <w:i/>
        </w:rPr>
        <w:t>Trichoderma</w:t>
      </w:r>
      <w:r>
        <w:rPr>
          <w:rFonts w:ascii="Times New Roman" w:hAnsi="Times New Roman" w:cs="Times New Roman"/>
        </w:rPr>
        <w:t xml:space="preserve">, produces various growth-promoting substances, including ethylene and indole-3-acetic acid (IAA), which stimulate root development. They further noted that </w:t>
      </w:r>
      <w:proofErr w:type="spellStart"/>
      <w:r>
        <w:rPr>
          <w:rFonts w:ascii="Times New Roman" w:hAnsi="Times New Roman" w:cs="Times New Roman"/>
        </w:rPr>
        <w:t>hydrophobins</w:t>
      </w:r>
      <w:proofErr w:type="spellEnd"/>
      <w:r>
        <w:rPr>
          <w:rFonts w:ascii="Times New Roman" w:hAnsi="Times New Roman" w:cs="Times New Roman"/>
        </w:rPr>
        <w:t xml:space="preserve"> and </w:t>
      </w:r>
      <w:proofErr w:type="spellStart"/>
      <w:r>
        <w:rPr>
          <w:rFonts w:ascii="Times New Roman" w:hAnsi="Times New Roman" w:cs="Times New Roman"/>
        </w:rPr>
        <w:t>swollenin</w:t>
      </w:r>
      <w:proofErr w:type="spellEnd"/>
      <w:r>
        <w:rPr>
          <w:rFonts w:ascii="Times New Roman" w:hAnsi="Times New Roman" w:cs="Times New Roman"/>
        </w:rPr>
        <w:t xml:space="preserve"> produced by </w:t>
      </w:r>
      <w:r>
        <w:rPr>
          <w:rFonts w:ascii="Times New Roman" w:hAnsi="Times New Roman" w:cs="Times New Roman"/>
          <w:i/>
        </w:rPr>
        <w:t>Trichoderma</w:t>
      </w:r>
      <w:r>
        <w:rPr>
          <w:rFonts w:ascii="Times New Roman" w:hAnsi="Times New Roman" w:cs="Times New Roman"/>
        </w:rPr>
        <w:t xml:space="preserve"> facilitate effective colonization of plant roots. Zhang </w:t>
      </w:r>
      <w:r>
        <w:rPr>
          <w:rFonts w:ascii="Times New Roman" w:hAnsi="Times New Roman" w:cs="Times New Roman"/>
          <w:i/>
          <w:iCs/>
        </w:rPr>
        <w:t>et al.</w:t>
      </w:r>
      <w:r>
        <w:rPr>
          <w:rFonts w:ascii="Times New Roman" w:hAnsi="Times New Roman" w:cs="Times New Roman"/>
        </w:rPr>
        <w:t xml:space="preserve"> (2019) demonstrated that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induces increased expression of antioxidant enzyme genes and enhances the activity of key antioxidant enzymes such as superoxide dismutase (SOD), peroxidase (POD), and catalase (CAT), thereby reducing reactive oxygen species (ROS) levels in plant cells. Similarly, Saha</w:t>
      </w:r>
      <w:r>
        <w:rPr>
          <w:rFonts w:ascii="Times New Roman" w:hAnsi="Times New Roman" w:cs="Times New Roman"/>
          <w:i/>
          <w:iCs/>
        </w:rPr>
        <w:t xml:space="preserve"> et al. </w:t>
      </w:r>
      <w:r>
        <w:rPr>
          <w:rFonts w:ascii="Times New Roman" w:hAnsi="Times New Roman" w:cs="Times New Roman"/>
        </w:rPr>
        <w:t xml:space="preserve">(2024) observed increased activities of POD and ascorbate peroxidase (APX) in </w:t>
      </w:r>
      <w:r>
        <w:rPr>
          <w:rFonts w:ascii="Times New Roman" w:hAnsi="Times New Roman" w:cs="Times New Roman"/>
          <w:i/>
          <w:iCs/>
        </w:rPr>
        <w:t>Trichoderma</w:t>
      </w:r>
      <w:r>
        <w:rPr>
          <w:rFonts w:ascii="Times New Roman" w:hAnsi="Times New Roman" w:cs="Times New Roman"/>
        </w:rPr>
        <w:t>-treated Indian mustard under saline conditions, which were associated with improved yield and enhanced stress tolerance.</w:t>
      </w:r>
    </w:p>
    <w:p w14:paraId="1E4C2521" w14:textId="5CE506CD" w:rsidR="00F15FD7" w:rsidRDefault="00563E74">
      <w:pPr>
        <w:spacing w:line="276" w:lineRule="auto"/>
        <w:jc w:val="both"/>
        <w:rPr>
          <w:rFonts w:ascii="Times New Roman" w:hAnsi="Times New Roman" w:cs="Times New Roman"/>
        </w:rPr>
      </w:pPr>
      <w:r>
        <w:rPr>
          <w:rFonts w:ascii="Times New Roman" w:hAnsi="Times New Roman" w:cs="Times New Roman"/>
        </w:rPr>
        <w:t xml:space="preserve">Although the individual roles of biochar and </w:t>
      </w:r>
      <w:r>
        <w:rPr>
          <w:rFonts w:ascii="Times New Roman" w:hAnsi="Times New Roman" w:cs="Times New Roman"/>
          <w:i/>
          <w:iCs/>
        </w:rPr>
        <w:t>Trichoderma</w:t>
      </w:r>
      <w:r>
        <w:rPr>
          <w:rFonts w:ascii="Times New Roman" w:hAnsi="Times New Roman" w:cs="Times New Roman"/>
        </w:rPr>
        <w:t xml:space="preserve"> in improving crop performance under abiotic stress have been widely reported, information on their combined effects under varying moisture regimes remains limited, particularly for pepper. Therefore, this study evaluated the effects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applied individually and in combination, on the growth, yield, fruit quality, soil properties, and stress-related metabolites of pepper under different watering regimes (100%, 60%, and 40% field capacity). The findings will help provide insights into sustainable soil management strategies for improving pepper productivity under water-limited conditions.</w:t>
      </w:r>
      <w:bookmarkStart w:id="1" w:name="_Toc208713642"/>
    </w:p>
    <w:p w14:paraId="6A39163D"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2.0 Materials and Methods</w:t>
      </w:r>
    </w:p>
    <w:p w14:paraId="2B17054B"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2.1 Experimental Site</w:t>
      </w:r>
    </w:p>
    <w:p w14:paraId="2D32CDA3"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The study was conducted in the screenhouse of the Department of Plant Science and Biotechnology, Adekunle Ajasin University, Akungba</w:t>
      </w:r>
      <w:r>
        <w:rPr>
          <w:rFonts w:ascii="Times New Roman" w:hAnsi="Times New Roman" w:cs="Times New Roman"/>
        </w:rPr>
        <w:noBreakHyphen/>
        <w:t>Akoko, Nigeria.</w:t>
      </w:r>
    </w:p>
    <w:p w14:paraId="1107B352"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lastRenderedPageBreak/>
        <w:t>2.2 Biochar Preparation</w:t>
      </w:r>
    </w:p>
    <w:p w14:paraId="6F7700BE"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 xml:space="preserve">Biochar was produced from cow dung, poultry droppings, </w:t>
      </w:r>
      <w:r>
        <w:rPr>
          <w:rFonts w:ascii="Times New Roman" w:hAnsi="Times New Roman" w:cs="Times New Roman"/>
          <w:i/>
          <w:iCs/>
        </w:rPr>
        <w:t>Pennisetum purpureum</w:t>
      </w:r>
      <w:r>
        <w:rPr>
          <w:rFonts w:ascii="Times New Roman" w:hAnsi="Times New Roman" w:cs="Times New Roman"/>
        </w:rPr>
        <w:t xml:space="preserve"> (elephant grass), </w:t>
      </w:r>
      <w:proofErr w:type="spellStart"/>
      <w:r>
        <w:rPr>
          <w:rFonts w:ascii="Times New Roman" w:hAnsi="Times New Roman" w:cs="Times New Roman"/>
          <w:i/>
          <w:iCs/>
        </w:rPr>
        <w:t>Chromolaena</w:t>
      </w:r>
      <w:proofErr w:type="spellEnd"/>
      <w:r>
        <w:rPr>
          <w:rFonts w:ascii="Times New Roman" w:hAnsi="Times New Roman" w:cs="Times New Roman"/>
          <w:i/>
          <w:iCs/>
        </w:rPr>
        <w:t xml:space="preserve"> odorata</w:t>
      </w:r>
      <w:r>
        <w:rPr>
          <w:rFonts w:ascii="Times New Roman" w:hAnsi="Times New Roman" w:cs="Times New Roman"/>
        </w:rPr>
        <w:t xml:space="preserve">, and </w:t>
      </w:r>
      <w:r>
        <w:rPr>
          <w:rFonts w:ascii="Times New Roman" w:hAnsi="Times New Roman" w:cs="Times New Roman"/>
          <w:i/>
          <w:iCs/>
        </w:rPr>
        <w:t xml:space="preserve">Tithonia </w:t>
      </w:r>
      <w:proofErr w:type="spellStart"/>
      <w:r>
        <w:rPr>
          <w:rFonts w:ascii="Times New Roman" w:hAnsi="Times New Roman" w:cs="Times New Roman"/>
          <w:i/>
          <w:iCs/>
        </w:rPr>
        <w:t>diversifolia</w:t>
      </w:r>
      <w:proofErr w:type="spellEnd"/>
      <w:r>
        <w:rPr>
          <w:rFonts w:ascii="Times New Roman" w:hAnsi="Times New Roman" w:cs="Times New Roman"/>
        </w:rPr>
        <w:t>. Raw materials were cleaned of debris, chopped into 2–5 cm pieces, air</w:t>
      </w:r>
      <w:r>
        <w:rPr>
          <w:rFonts w:ascii="Times New Roman" w:hAnsi="Times New Roman" w:cs="Times New Roman"/>
        </w:rPr>
        <w:noBreakHyphen/>
        <w:t>dried for 5–7 days, oven</w:t>
      </w:r>
      <w:r>
        <w:rPr>
          <w:rFonts w:ascii="Times New Roman" w:hAnsi="Times New Roman" w:cs="Times New Roman"/>
        </w:rPr>
        <w:noBreakHyphen/>
        <w:t xml:space="preserve">dried at 60–70 °C for 24–48 h to reduce moisture, ground, and sieved through a 2 mm mesh (Downie </w:t>
      </w:r>
      <w:r>
        <w:rPr>
          <w:rFonts w:ascii="Times New Roman" w:hAnsi="Times New Roman" w:cs="Times New Roman"/>
          <w:i/>
          <w:iCs/>
        </w:rPr>
        <w:t xml:space="preserve">et al., </w:t>
      </w:r>
      <w:r>
        <w:rPr>
          <w:rFonts w:ascii="Times New Roman" w:hAnsi="Times New Roman" w:cs="Times New Roman"/>
        </w:rPr>
        <w:t>2011). Equal proportions of the biomass were mixed thoroughly. Two hundred grams of the mixed biomass was placed into sealed stainless</w:t>
      </w:r>
      <w:r>
        <w:rPr>
          <w:rFonts w:ascii="Times New Roman" w:hAnsi="Times New Roman" w:cs="Times New Roman"/>
        </w:rPr>
        <w:noBreakHyphen/>
        <w:t>steel crucibles to limit oxygen and pyrolyzed in a muffle furnace at 400 °C for 1–2 h After cooling to &lt;100 °C, biochar was stored in clean airtight containers labeled with feedstock composition, pyrolysis temperature, and production date pending use. (</w:t>
      </w:r>
      <w:proofErr w:type="spellStart"/>
      <w:r>
        <w:rPr>
          <w:rFonts w:ascii="Times New Roman" w:hAnsi="Times New Roman" w:cs="Times New Roman"/>
        </w:rPr>
        <w:t>Narzari</w:t>
      </w:r>
      <w:proofErr w:type="spellEnd"/>
      <w:r>
        <w:rPr>
          <w:rFonts w:ascii="Times New Roman" w:hAnsi="Times New Roman" w:cs="Times New Roman"/>
        </w:rPr>
        <w:t xml:space="preserve"> </w:t>
      </w:r>
      <w:r>
        <w:rPr>
          <w:rFonts w:ascii="Times New Roman" w:hAnsi="Times New Roman" w:cs="Times New Roman"/>
          <w:i/>
          <w:iCs/>
        </w:rPr>
        <w:t xml:space="preserve">et al., </w:t>
      </w:r>
      <w:hyperlink r:id="rId9" w:anchor="B39" w:history="1">
        <w:r w:rsidR="00F15FD7">
          <w:rPr>
            <w:rStyle w:val="Hyperlink"/>
            <w:rFonts w:ascii="Times New Roman" w:hAnsi="Times New Roman" w:cs="Times New Roman"/>
            <w:color w:val="auto"/>
            <w:u w:val="none"/>
          </w:rPr>
          <w:t>2017</w:t>
        </w:r>
      </w:hyperlink>
      <w:r>
        <w:rPr>
          <w:rFonts w:ascii="Times New Roman" w:hAnsi="Times New Roman" w:cs="Times New Roman"/>
        </w:rPr>
        <w:t>)</w:t>
      </w:r>
    </w:p>
    <w:p w14:paraId="43645C74"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 xml:space="preserve">2.3 Isolation and Culture of </w:t>
      </w:r>
      <w:r>
        <w:rPr>
          <w:rFonts w:ascii="Times New Roman" w:hAnsi="Times New Roman" w:cs="Times New Roman"/>
          <w:b/>
          <w:bCs/>
          <w:i/>
          <w:iCs/>
        </w:rPr>
        <w:t xml:space="preserve">Trichoderma </w:t>
      </w:r>
      <w:proofErr w:type="spellStart"/>
      <w:r>
        <w:rPr>
          <w:rFonts w:ascii="Times New Roman" w:hAnsi="Times New Roman" w:cs="Times New Roman"/>
          <w:b/>
          <w:bCs/>
          <w:i/>
          <w:iCs/>
        </w:rPr>
        <w:t>harzianum</w:t>
      </w:r>
      <w:proofErr w:type="spellEnd"/>
    </w:p>
    <w:p w14:paraId="7C3BA97A"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 xml:space="preserve">Soil samples were collected from the rhizosphere of healthy plants. Serial dilutions (10⁻¹–10⁻⁶) were prepared in sterile distilled water and aliquots plated on Potato Dextrose Agar (PDA) amended with streptomycin to inhibit bacterial growth (Elad </w:t>
      </w:r>
      <w:r>
        <w:rPr>
          <w:rFonts w:ascii="Times New Roman" w:hAnsi="Times New Roman" w:cs="Times New Roman"/>
          <w:i/>
          <w:iCs/>
        </w:rPr>
        <w:t>et al.,</w:t>
      </w:r>
      <w:r>
        <w:rPr>
          <w:rFonts w:ascii="Times New Roman" w:hAnsi="Times New Roman" w:cs="Times New Roman"/>
        </w:rPr>
        <w:t xml:space="preserve"> 1981). Plates were incubated at 25 ± 2 °C for 5–7 days. Distinct </w:t>
      </w:r>
      <w:r>
        <w:rPr>
          <w:rFonts w:ascii="Times New Roman" w:hAnsi="Times New Roman" w:cs="Times New Roman"/>
          <w:i/>
          <w:iCs/>
        </w:rPr>
        <w:t>Trichoderma</w:t>
      </w:r>
      <w:r>
        <w:rPr>
          <w:rFonts w:ascii="Times New Roman" w:hAnsi="Times New Roman" w:cs="Times New Roman"/>
        </w:rPr>
        <w:t xml:space="preserve"> colonies were sub</w:t>
      </w:r>
      <w:r>
        <w:rPr>
          <w:rFonts w:ascii="Times New Roman" w:hAnsi="Times New Roman" w:cs="Times New Roman"/>
        </w:rPr>
        <w:noBreakHyphen/>
        <w:t xml:space="preserve">cultured via hyphal tip transfer to obtain pure isolates. Identification was based on colony morphology and microscopic features of conidiophores and conidia (Sharma and Singh, 2014). For mass culture, 5 mm mycelial discs from pure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cultures were inoculated into Potato Dextrose Broth (PDB) and incubated on a rotary shaker at 25 ± 2 °C for 7–10 days (</w:t>
      </w:r>
      <w:proofErr w:type="spellStart"/>
      <w:r>
        <w:rPr>
          <w:rFonts w:ascii="Times New Roman" w:hAnsi="Times New Roman" w:cs="Times New Roman"/>
        </w:rPr>
        <w:t>Hewavitharana</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2018). The resulting fungal biomass was harvested by filtration, washed with sterile distilled water, and prepared as a suspension containing ≥10⁶–10⁸ CFU mL⁻¹ for experimental application.</w:t>
      </w:r>
    </w:p>
    <w:p w14:paraId="17E19746"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2.4 Seed and Soil Sources</w:t>
      </w:r>
    </w:p>
    <w:p w14:paraId="447505E9"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 xml:space="preserve">The local variety of </w:t>
      </w:r>
      <w:r>
        <w:rPr>
          <w:rFonts w:ascii="Times New Roman" w:hAnsi="Times New Roman" w:cs="Times New Roman"/>
          <w:i/>
          <w:iCs/>
        </w:rPr>
        <w:t xml:space="preserve">Capsicum </w:t>
      </w:r>
      <w:proofErr w:type="spellStart"/>
      <w:r>
        <w:rPr>
          <w:rFonts w:ascii="Times New Roman" w:hAnsi="Times New Roman" w:cs="Times New Roman"/>
          <w:i/>
          <w:iCs/>
        </w:rPr>
        <w:t>chinense</w:t>
      </w:r>
      <w:proofErr w:type="spellEnd"/>
      <w:r>
        <w:rPr>
          <w:rFonts w:ascii="Times New Roman" w:hAnsi="Times New Roman" w:cs="Times New Roman"/>
        </w:rPr>
        <w:t xml:space="preserve"> (</w:t>
      </w:r>
      <w:proofErr w:type="spellStart"/>
      <w:r>
        <w:rPr>
          <w:rFonts w:ascii="Times New Roman" w:hAnsi="Times New Roman" w:cs="Times New Roman"/>
        </w:rPr>
        <w:t>Atarodo</w:t>
      </w:r>
      <w:proofErr w:type="spellEnd"/>
      <w:r>
        <w:rPr>
          <w:rFonts w:ascii="Times New Roman" w:hAnsi="Times New Roman" w:cs="Times New Roman"/>
        </w:rPr>
        <w:t>) seeds used were obtained from a local market in Akungba</w:t>
      </w:r>
      <w:r>
        <w:rPr>
          <w:rFonts w:ascii="Times New Roman" w:hAnsi="Times New Roman" w:cs="Times New Roman"/>
        </w:rPr>
        <w:noBreakHyphen/>
        <w:t>Akoko, Ondo State, Nigeria. Topsoil was collected from the experimental field of the Department of Plant Science and Biotechnology, Adekunle Ajasin University, Akungba</w:t>
      </w:r>
      <w:r>
        <w:rPr>
          <w:rFonts w:ascii="Times New Roman" w:hAnsi="Times New Roman" w:cs="Times New Roman"/>
        </w:rPr>
        <w:noBreakHyphen/>
        <w:t>Akoko, Nigeria.</w:t>
      </w:r>
    </w:p>
    <w:p w14:paraId="58709F4C"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2.5 Experimental Set</w:t>
      </w:r>
      <w:r>
        <w:rPr>
          <w:rFonts w:ascii="Times New Roman" w:hAnsi="Times New Roman" w:cs="Times New Roman"/>
          <w:b/>
          <w:bCs/>
        </w:rPr>
        <w:noBreakHyphen/>
        <w:t>Up</w:t>
      </w:r>
    </w:p>
    <w:p w14:paraId="739C16C6"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Four</w:t>
      </w:r>
      <w:r>
        <w:rPr>
          <w:rFonts w:ascii="Times New Roman" w:hAnsi="Times New Roman" w:cs="Times New Roman"/>
        </w:rPr>
        <w:noBreakHyphen/>
        <w:t>week</w:t>
      </w:r>
      <w:r>
        <w:rPr>
          <w:rFonts w:ascii="Times New Roman" w:hAnsi="Times New Roman" w:cs="Times New Roman"/>
        </w:rPr>
        <w:noBreakHyphen/>
        <w:t xml:space="preserve">old seedlings were transplanted into pots containing 5 kg of the collected topsoil. Biochar (150 g) was incorporated into designated pots two weeks before transplanting. One week after transplanting,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suspension (30 mL; ≥10⁶–10⁸ CFU mL⁻¹) was applied near the root zone of plants assigned to </w:t>
      </w:r>
      <w:r>
        <w:rPr>
          <w:rFonts w:ascii="Times New Roman" w:hAnsi="Times New Roman" w:cs="Times New Roman"/>
          <w:i/>
          <w:iCs/>
        </w:rPr>
        <w:t>Trichoderma</w:t>
      </w:r>
      <w:r>
        <w:rPr>
          <w:rFonts w:ascii="Times New Roman" w:hAnsi="Times New Roman" w:cs="Times New Roman"/>
        </w:rPr>
        <w:t xml:space="preserve"> treatments.</w:t>
      </w:r>
    </w:p>
    <w:p w14:paraId="4622A6E9"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The experiment was arranged in a Completely Randomized Design (CRD) with fourteen treatments, each replicated ten times:</w:t>
      </w:r>
    </w:p>
    <w:p w14:paraId="3A6A1196"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T1 = 100% Field Capacity</w:t>
      </w:r>
    </w:p>
    <w:p w14:paraId="12317246"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T2 = 60% Field Capacity</w:t>
      </w:r>
    </w:p>
    <w:p w14:paraId="0DF9A58C"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T3 = 40% Field Capacity</w:t>
      </w:r>
    </w:p>
    <w:p w14:paraId="3D50B597"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T4 = Biochar alone</w:t>
      </w:r>
    </w:p>
    <w:p w14:paraId="5C533181"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T5 = </w:t>
      </w:r>
      <w:r>
        <w:rPr>
          <w:rFonts w:ascii="Times New Roman" w:hAnsi="Times New Roman" w:cs="Times New Roman"/>
          <w:i/>
          <w:iCs/>
        </w:rPr>
        <w:t>Trichoderma</w:t>
      </w:r>
      <w:r>
        <w:rPr>
          <w:rFonts w:ascii="Times New Roman" w:hAnsi="Times New Roman" w:cs="Times New Roman"/>
        </w:rPr>
        <w:t xml:space="preserve"> alone</w:t>
      </w:r>
    </w:p>
    <w:p w14:paraId="7E9EFEEC"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T6 = Biochar + 100% Field Capacity</w:t>
      </w:r>
    </w:p>
    <w:p w14:paraId="34A69481"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T7 = Biochar + 60% Field Capacity</w:t>
      </w:r>
    </w:p>
    <w:p w14:paraId="759BDA93"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T8 = Biochar + 40% Field Capacity</w:t>
      </w:r>
    </w:p>
    <w:p w14:paraId="771D1EB4"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T9 = </w:t>
      </w:r>
      <w:r>
        <w:rPr>
          <w:rFonts w:ascii="Times New Roman" w:hAnsi="Times New Roman" w:cs="Times New Roman"/>
          <w:i/>
          <w:iCs/>
        </w:rPr>
        <w:t>Trichoderma</w:t>
      </w:r>
      <w:r>
        <w:rPr>
          <w:rFonts w:ascii="Times New Roman" w:hAnsi="Times New Roman" w:cs="Times New Roman"/>
        </w:rPr>
        <w:t xml:space="preserve"> + 100% Field Capacity</w:t>
      </w:r>
    </w:p>
    <w:p w14:paraId="332FCF69"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T10 = </w:t>
      </w:r>
      <w:r>
        <w:rPr>
          <w:rFonts w:ascii="Times New Roman" w:hAnsi="Times New Roman" w:cs="Times New Roman"/>
          <w:i/>
          <w:iCs/>
        </w:rPr>
        <w:t>Trichoderma</w:t>
      </w:r>
      <w:r>
        <w:rPr>
          <w:rFonts w:ascii="Times New Roman" w:hAnsi="Times New Roman" w:cs="Times New Roman"/>
        </w:rPr>
        <w:t xml:space="preserve"> + 60% Field Capacity</w:t>
      </w:r>
    </w:p>
    <w:p w14:paraId="4C34B7E6"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T11 = </w:t>
      </w:r>
      <w:r>
        <w:rPr>
          <w:rFonts w:ascii="Times New Roman" w:hAnsi="Times New Roman" w:cs="Times New Roman"/>
          <w:i/>
          <w:iCs/>
        </w:rPr>
        <w:t>Trichoderma</w:t>
      </w:r>
      <w:r>
        <w:rPr>
          <w:rFonts w:ascii="Times New Roman" w:hAnsi="Times New Roman" w:cs="Times New Roman"/>
        </w:rPr>
        <w:t xml:space="preserve"> + 40% Field Capacity</w:t>
      </w:r>
    </w:p>
    <w:p w14:paraId="1D7FDAB5"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T12 = Biochar + </w:t>
      </w:r>
      <w:r>
        <w:rPr>
          <w:rFonts w:ascii="Times New Roman" w:hAnsi="Times New Roman" w:cs="Times New Roman"/>
          <w:i/>
          <w:iCs/>
        </w:rPr>
        <w:t>Trichoderma</w:t>
      </w:r>
      <w:r>
        <w:rPr>
          <w:rFonts w:ascii="Times New Roman" w:hAnsi="Times New Roman" w:cs="Times New Roman"/>
        </w:rPr>
        <w:t xml:space="preserve"> + 100% Field Capacity</w:t>
      </w:r>
    </w:p>
    <w:p w14:paraId="4CF617A9"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T13 = Biochar + </w:t>
      </w:r>
      <w:r>
        <w:rPr>
          <w:rFonts w:ascii="Times New Roman" w:hAnsi="Times New Roman" w:cs="Times New Roman"/>
          <w:i/>
          <w:iCs/>
        </w:rPr>
        <w:t>Trichoderma</w:t>
      </w:r>
      <w:r>
        <w:rPr>
          <w:rFonts w:ascii="Times New Roman" w:hAnsi="Times New Roman" w:cs="Times New Roman"/>
        </w:rPr>
        <w:t xml:space="preserve"> + 60% Field Capacity</w:t>
      </w:r>
    </w:p>
    <w:p w14:paraId="17F69A4B"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T14 = Biochar + </w:t>
      </w:r>
      <w:r>
        <w:rPr>
          <w:rFonts w:ascii="Times New Roman" w:hAnsi="Times New Roman" w:cs="Times New Roman"/>
          <w:i/>
          <w:iCs/>
        </w:rPr>
        <w:t>Trichoderma</w:t>
      </w:r>
      <w:r>
        <w:rPr>
          <w:rFonts w:ascii="Times New Roman" w:hAnsi="Times New Roman" w:cs="Times New Roman"/>
        </w:rPr>
        <w:t xml:space="preserve"> + 40% Field Capacity</w:t>
      </w:r>
    </w:p>
    <w:p w14:paraId="6A89F84D"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b/>
          <w:bCs/>
        </w:rPr>
        <w:t>2.6 Data collection</w:t>
      </w:r>
    </w:p>
    <w:p w14:paraId="4A077FA2" w14:textId="77777777" w:rsidR="00F15FD7" w:rsidRDefault="00563E74">
      <w:pPr>
        <w:spacing w:after="0" w:line="276" w:lineRule="auto"/>
        <w:ind w:left="180"/>
        <w:jc w:val="both"/>
        <w:rPr>
          <w:rFonts w:ascii="Times New Roman" w:hAnsi="Times New Roman" w:cs="Times New Roman"/>
        </w:rPr>
      </w:pPr>
      <w:r>
        <w:rPr>
          <w:rFonts w:ascii="Times New Roman" w:hAnsi="Times New Roman" w:cs="Times New Roman"/>
        </w:rPr>
        <w:t xml:space="preserve">Plant height was measured from the surface of the soil to the plant apical bud using a meter rule. Stem girth was measured at the 2 cm point from the base of the plants using a digital vernier caliper (model 0-200 mm). Leaf length and breadth were measured using a meter rule, and leaf area was calculated. The number of leaves were counted manually on each plant. Root growth was determined by measuring the </w:t>
      </w:r>
      <w:r>
        <w:rPr>
          <w:rFonts w:ascii="Times New Roman" w:hAnsi="Times New Roman" w:cs="Times New Roman"/>
        </w:rPr>
        <w:lastRenderedPageBreak/>
        <w:t xml:space="preserve">root length using a meter rule after uprooting, and the number of roots was counted manually. Fresh and dry mass of plant parts were assessed using an electronic weighing balance. </w:t>
      </w:r>
    </w:p>
    <w:p w14:paraId="1CB845A4"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2.7 Chlorophyll Content Analysis</w:t>
      </w:r>
    </w:p>
    <w:p w14:paraId="64546B9C" w14:textId="77777777" w:rsidR="00F15FD7" w:rsidRDefault="00563E74">
      <w:pPr>
        <w:ind w:left="180"/>
        <w:jc w:val="both"/>
        <w:rPr>
          <w:rFonts w:ascii="Times New Roman" w:hAnsi="Times New Roman" w:cs="Times New Roman"/>
        </w:rPr>
      </w:pPr>
      <w:r>
        <w:rPr>
          <w:rFonts w:ascii="Times New Roman" w:hAnsi="Times New Roman" w:cs="Times New Roman"/>
        </w:rPr>
        <w:t xml:space="preserve">The leaf total chlorophyll content was determined using Arnon (1949) method and calculated using the formula: Total chlorophyll= [(20.2 × D645) + (8.02 × D665)] × [50/1000] × [100/5] × ½ where D645= absorbance of the extract at 645 wave length (nm), 663= absorbance of the extract at 663 wave length (nm). </w:t>
      </w:r>
    </w:p>
    <w:p w14:paraId="15B12102"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2.8 Fruit Quality Analyses</w:t>
      </w:r>
    </w:p>
    <w:p w14:paraId="474BFB54" w14:textId="77777777" w:rsidR="00F15FD7" w:rsidRDefault="00563E74">
      <w:pPr>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Dried fruit samples were digested using 10 ml of 20% </w:t>
      </w:r>
      <w:proofErr w:type="spellStart"/>
      <w:r>
        <w:rPr>
          <w:rFonts w:ascii="Times New Roman" w:hAnsi="Times New Roman" w:cs="Times New Roman"/>
        </w:rPr>
        <w:t>sulphuric</w:t>
      </w:r>
      <w:proofErr w:type="spellEnd"/>
      <w:r>
        <w:rPr>
          <w:rFonts w:ascii="Times New Roman" w:hAnsi="Times New Roman" w:cs="Times New Roman"/>
        </w:rPr>
        <w:t xml:space="preserve"> acid. Na + and K + were analyzed by flame photometry while Mg2+ and Ca 2+ were determined by EDTA titration (AOAC, 1990). The proximate composition was also assayed using the standard laboratory procedures by AOAC (1990).</w:t>
      </w:r>
    </w:p>
    <w:p w14:paraId="48F5A8CC"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2.9 Determination of Antioxidant Enzyme Activities</w:t>
      </w:r>
    </w:p>
    <w:p w14:paraId="13596770" w14:textId="77777777" w:rsidR="00F15FD7" w:rsidRDefault="00563E74">
      <w:pPr>
        <w:spacing w:after="0" w:line="278" w:lineRule="auto"/>
        <w:jc w:val="both"/>
        <w:rPr>
          <w:rFonts w:ascii="Times New Roman" w:hAnsi="Times New Roman" w:cs="Times New Roman"/>
        </w:rPr>
      </w:pPr>
      <w:r>
        <w:rPr>
          <w:rFonts w:ascii="Times New Roman" w:hAnsi="Times New Roman" w:cs="Times New Roman"/>
        </w:rPr>
        <w:t>Leaf samples were immediately frozen in liquid nitrogen, freeze-dried, and stored at −80 °C until analysis. About 25 mg of sample was homogenized in 50 mM sodium phosphate buffer (pH 7.8) and centrifuged at 15,000 × g for 20 min at 4 °C. The resulting supernatant was used as the enzyme extract. The activities of superoxide dismutase (SOD) were determined using the method proposed by (</w:t>
      </w:r>
      <w:proofErr w:type="spellStart"/>
      <w:r>
        <w:rPr>
          <w:rFonts w:ascii="Times New Roman" w:hAnsi="Times New Roman" w:cs="Times New Roman"/>
        </w:rPr>
        <w:t>Giannopolitis</w:t>
      </w:r>
      <w:proofErr w:type="spellEnd"/>
      <w:r>
        <w:rPr>
          <w:rFonts w:ascii="Times New Roman" w:hAnsi="Times New Roman" w:cs="Times New Roman"/>
        </w:rPr>
        <w:t xml:space="preserve"> and Ries, 1988) by measuring the inhibition of nitro blue tetrazolium (NBT) reduction at 560 nm. One unit of SOD activity corresponded to 50% inhibition of NBT reduction. Peroxidase (POD) and catalase (CAT) activities were determined following the method of (Zhang and </w:t>
      </w:r>
      <w:r>
        <w:t>Kirkham, 1994)</w:t>
      </w:r>
      <w:r>
        <w:rPr>
          <w:rFonts w:ascii="Times New Roman" w:hAnsi="Times New Roman" w:cs="Times New Roman"/>
        </w:rPr>
        <w:t>. POD activity was measured from the increase in absorbance at 470 nm due to guaiacol oxidation, while CAT activity was determined from the decrease in absorbance at 240 nm resulting from H₂O₂ decomposition. Ascorbate peroxidase (APX) activity was assayed according to the method of (Nakano and Asada, 1981) by monitoring the decline in absorbance at 290 nm due to ascorbate oxidation.</w:t>
      </w:r>
    </w:p>
    <w:p w14:paraId="67E1F88B" w14:textId="77777777" w:rsidR="00F15FD7" w:rsidRDefault="00563E74">
      <w:pPr>
        <w:spacing w:line="278" w:lineRule="auto"/>
        <w:rPr>
          <w:rFonts w:ascii="Times New Roman" w:hAnsi="Times New Roman" w:cs="Times New Roman"/>
          <w:b/>
          <w:bCs/>
        </w:rPr>
      </w:pPr>
      <w:r>
        <w:rPr>
          <w:rFonts w:ascii="Times New Roman" w:hAnsi="Times New Roman" w:cs="Times New Roman"/>
          <w:b/>
          <w:bCs/>
        </w:rPr>
        <w:t xml:space="preserve">2.10 Determination of Proline and </w:t>
      </w:r>
      <w:r>
        <w:rPr>
          <w:rFonts w:ascii="Times New Roman" w:eastAsia="Times New Roman" w:hAnsi="Times New Roman" w:cs="Times New Roman"/>
          <w:b/>
          <w:bCs/>
        </w:rPr>
        <w:t>Total phenolics</w:t>
      </w:r>
      <w:r>
        <w:rPr>
          <w:rFonts w:ascii="Times New Roman" w:hAnsi="Times New Roman" w:cs="Times New Roman"/>
          <w:b/>
          <w:bCs/>
        </w:rPr>
        <w:t xml:space="preserve"> Content</w:t>
      </w:r>
    </w:p>
    <w:p w14:paraId="6308E9ED" w14:textId="77777777" w:rsidR="00F15FD7" w:rsidRDefault="00563E74">
      <w:pPr>
        <w:spacing w:after="0" w:line="278" w:lineRule="auto"/>
        <w:jc w:val="both"/>
        <w:rPr>
          <w:rFonts w:ascii="Times New Roman" w:hAnsi="Times New Roman" w:cs="Times New Roman"/>
        </w:rPr>
      </w:pPr>
      <w:r>
        <w:rPr>
          <w:rFonts w:ascii="Times New Roman" w:hAnsi="Times New Roman" w:cs="Times New Roman"/>
        </w:rPr>
        <w:t xml:space="preserve">Proline concentration was determined by following the method of Bates </w:t>
      </w:r>
      <w:r>
        <w:rPr>
          <w:rFonts w:ascii="Times New Roman" w:hAnsi="Times New Roman" w:cs="Times New Roman"/>
          <w:i/>
          <w:iCs/>
        </w:rPr>
        <w:t>et al.</w:t>
      </w:r>
      <w:r>
        <w:rPr>
          <w:rFonts w:ascii="Times New Roman" w:hAnsi="Times New Roman" w:cs="Times New Roman"/>
        </w:rPr>
        <w:t xml:space="preserve"> (1973). Approximately 25 mg of freeze-dried plant material was homogenized in 10 mL sulfosalicylic acid (3%) and filtered through Whatman’s filter paper. Two milliliters of the filtrate was mixed with a similar amount (2 mL) of acid-ninhydrin and glacial acetic acid. The mixture was heated for 1 h at 100 °C and cooled immediately on an ice bath. The reaction mixture was extracted with toluene (4 mL). The upper chromophore layer (upper layer) was aspirated and cooled to room temperature. The absorbance was taken at 520 nm with a UV-Vis spectrophotometer and calculations were done by using an appropriate proline standard curve</w:t>
      </w:r>
    </w:p>
    <w:p w14:paraId="6803057B" w14:textId="77777777" w:rsidR="00F15FD7" w:rsidRDefault="00563E74">
      <w:pPr>
        <w:spacing w:after="0" w:line="278" w:lineRule="auto"/>
        <w:jc w:val="both"/>
        <w:rPr>
          <w:rFonts w:ascii="Times New Roman" w:hAnsi="Times New Roman" w:cs="Times New Roman"/>
        </w:rPr>
      </w:pPr>
      <w:r>
        <w:rPr>
          <w:rFonts w:ascii="Times New Roman" w:hAnsi="Times New Roman" w:cs="Times New Roman"/>
        </w:rPr>
        <w:t>Total phenolic content (TPC) was determined using the Folin–</w:t>
      </w:r>
      <w:proofErr w:type="spellStart"/>
      <w:r>
        <w:rPr>
          <w:rFonts w:ascii="Times New Roman" w:hAnsi="Times New Roman" w:cs="Times New Roman"/>
        </w:rPr>
        <w:t>Ciocalteu</w:t>
      </w:r>
      <w:proofErr w:type="spellEnd"/>
      <w:r>
        <w:rPr>
          <w:rFonts w:ascii="Times New Roman" w:hAnsi="Times New Roman" w:cs="Times New Roman"/>
        </w:rPr>
        <w:t xml:space="preserve"> method described by (</w:t>
      </w:r>
      <w:r>
        <w:t xml:space="preserve">Rizvi </w:t>
      </w:r>
      <w:r>
        <w:rPr>
          <w:i/>
          <w:iCs/>
        </w:rPr>
        <w:t>et al.,</w:t>
      </w:r>
      <w:r>
        <w:t xml:space="preserve"> 2023</w:t>
      </w:r>
      <w:r>
        <w:rPr>
          <w:rFonts w:ascii="Times New Roman" w:hAnsi="Times New Roman" w:cs="Times New Roman"/>
        </w:rPr>
        <w:t>). The reaction mixture contained 1 mL of sample, 200 µL of Folin–</w:t>
      </w:r>
      <w:proofErr w:type="spellStart"/>
      <w:r>
        <w:rPr>
          <w:rFonts w:ascii="Times New Roman" w:hAnsi="Times New Roman" w:cs="Times New Roman"/>
        </w:rPr>
        <w:t>Ciocalteu</w:t>
      </w:r>
      <w:proofErr w:type="spellEnd"/>
      <w:r>
        <w:rPr>
          <w:rFonts w:ascii="Times New Roman" w:hAnsi="Times New Roman" w:cs="Times New Roman"/>
        </w:rPr>
        <w:t xml:space="preserve"> reagent (1 N), and 1.8 mL of distilled water. After 3 min, 400 µL of 10% </w:t>
      </w:r>
      <w:proofErr w:type="spellStart"/>
      <w:r>
        <w:rPr>
          <w:rFonts w:ascii="Times New Roman" w:hAnsi="Times New Roman" w:cs="Times New Roman"/>
        </w:rPr>
        <w:t>Na₂CO</w:t>
      </w:r>
      <w:proofErr w:type="spellEnd"/>
      <w:r>
        <w:rPr>
          <w:rFonts w:ascii="Times New Roman" w:hAnsi="Times New Roman" w:cs="Times New Roman"/>
        </w:rPr>
        <w:t xml:space="preserve">₃ was added, followed by 600 µL of distilled water to bring the final volume to 4 </w:t>
      </w:r>
      <w:proofErr w:type="spellStart"/>
      <w:r>
        <w:rPr>
          <w:rFonts w:ascii="Times New Roman" w:hAnsi="Times New Roman" w:cs="Times New Roman"/>
        </w:rPr>
        <w:t>mL.</w:t>
      </w:r>
      <w:proofErr w:type="spellEnd"/>
      <w:r>
        <w:rPr>
          <w:rFonts w:ascii="Times New Roman" w:hAnsi="Times New Roman" w:cs="Times New Roman"/>
        </w:rPr>
        <w:t xml:space="preserve"> The mixture was incubated at room temperature for 1 h, and absorbance was measured at 725 nm. Total phenolic content was calculated using a gallic acid standard curve and expressed as µg g⁻¹ dry weight.</w:t>
      </w:r>
    </w:p>
    <w:p w14:paraId="56F63E76" w14:textId="77777777" w:rsidR="00F15FD7" w:rsidRDefault="00F15FD7">
      <w:pPr>
        <w:spacing w:after="0" w:line="278" w:lineRule="auto"/>
        <w:jc w:val="both"/>
        <w:rPr>
          <w:rFonts w:ascii="Times New Roman" w:hAnsi="Times New Roman" w:cs="Times New Roman"/>
        </w:rPr>
      </w:pPr>
    </w:p>
    <w:p w14:paraId="3FC71B98" w14:textId="77777777" w:rsidR="00F15FD7" w:rsidRDefault="00563E74">
      <w:pPr>
        <w:jc w:val="both"/>
        <w:rPr>
          <w:rFonts w:ascii="Times New Roman" w:hAnsi="Times New Roman" w:cs="Times New Roman"/>
          <w:b/>
          <w:bCs/>
        </w:rPr>
      </w:pPr>
      <w:r>
        <w:rPr>
          <w:rFonts w:ascii="Times New Roman" w:hAnsi="Times New Roman" w:cs="Times New Roman"/>
          <w:b/>
          <w:bCs/>
        </w:rPr>
        <w:t>2.11 Soil Analysis</w:t>
      </w:r>
    </w:p>
    <w:p w14:paraId="547A712E" w14:textId="77777777" w:rsidR="00F15FD7" w:rsidRDefault="00563E74">
      <w:pPr>
        <w:jc w:val="both"/>
        <w:rPr>
          <w:rFonts w:ascii="Times New Roman" w:hAnsi="Times New Roman" w:cs="Times New Roman"/>
        </w:rPr>
      </w:pPr>
      <w:r>
        <w:rPr>
          <w:rFonts w:ascii="Times New Roman" w:hAnsi="Times New Roman" w:cs="Times New Roman"/>
        </w:rPr>
        <w:t>Soil pH was determined using a Metro pH meter (Model E250). Soil particle size was determined using the hydrometer method (</w:t>
      </w:r>
      <w:proofErr w:type="spellStart"/>
      <w:r>
        <w:rPr>
          <w:rFonts w:ascii="Times New Roman" w:hAnsi="Times New Roman" w:cs="Times New Roman"/>
        </w:rPr>
        <w:t>Bouyoucos</w:t>
      </w:r>
      <w:proofErr w:type="spellEnd"/>
      <w:r>
        <w:rPr>
          <w:rFonts w:ascii="Times New Roman" w:hAnsi="Times New Roman" w:cs="Times New Roman"/>
        </w:rPr>
        <w:t xml:space="preserve">, 1962). Cation exchange capacity (CEC) was determined by the ammonium saturation method (Jackson, 1968). Organic matter was determined by the wet oxidation method (Walkley and Black, 1934). The determinations of K and Na were carried out using flame photometry, while Ca and Mg were determined by the </w:t>
      </w:r>
      <w:proofErr w:type="spellStart"/>
      <w:r>
        <w:rPr>
          <w:rFonts w:ascii="Times New Roman" w:hAnsi="Times New Roman" w:cs="Times New Roman"/>
        </w:rPr>
        <w:t>versenate</w:t>
      </w:r>
      <w:proofErr w:type="spellEnd"/>
      <w:r>
        <w:rPr>
          <w:rFonts w:ascii="Times New Roman" w:hAnsi="Times New Roman" w:cs="Times New Roman"/>
        </w:rPr>
        <w:t xml:space="preserve"> or EDTA method. Soil available phosphorus was determined using the Olsen and </w:t>
      </w:r>
      <w:proofErr w:type="spellStart"/>
      <w:r>
        <w:rPr>
          <w:rFonts w:ascii="Times New Roman" w:hAnsi="Times New Roman" w:cs="Times New Roman"/>
        </w:rPr>
        <w:t>Mehlich</w:t>
      </w:r>
      <w:proofErr w:type="spellEnd"/>
      <w:r>
        <w:rPr>
          <w:rFonts w:ascii="Times New Roman" w:hAnsi="Times New Roman" w:cs="Times New Roman"/>
        </w:rPr>
        <w:t xml:space="preserve"> method (Iatrou </w:t>
      </w:r>
      <w:r>
        <w:rPr>
          <w:rFonts w:ascii="Times New Roman" w:hAnsi="Times New Roman" w:cs="Times New Roman"/>
          <w:i/>
          <w:iCs/>
        </w:rPr>
        <w:t>et al</w:t>
      </w:r>
      <w:r>
        <w:rPr>
          <w:rFonts w:ascii="Times New Roman" w:hAnsi="Times New Roman" w:cs="Times New Roman"/>
        </w:rPr>
        <w:t>., 2014). Microbial loads in the soil were determined by the standard spread-plate dilution method described by (Seeley and Vandemark, 1981).</w:t>
      </w:r>
    </w:p>
    <w:p w14:paraId="7854DF2E"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2.12 Statistical Analysis</w:t>
      </w:r>
    </w:p>
    <w:p w14:paraId="6B02D002"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lastRenderedPageBreak/>
        <w:t>All data were analyzed using SPSS software. Treatment means were separated using Tukey’s Honest Significant Difference (HSD) test at a 5% level of significance.</w:t>
      </w:r>
    </w:p>
    <w:p w14:paraId="65F2D6EF" w14:textId="77777777" w:rsidR="00F15FD7" w:rsidRDefault="00F15FD7">
      <w:pPr>
        <w:spacing w:after="0" w:line="276" w:lineRule="auto"/>
        <w:jc w:val="both"/>
        <w:rPr>
          <w:rFonts w:ascii="Times New Roman" w:hAnsi="Times New Roman" w:cs="Times New Roman"/>
        </w:rPr>
      </w:pPr>
    </w:p>
    <w:p w14:paraId="302C728E" w14:textId="77777777" w:rsidR="00F15FD7" w:rsidRDefault="00563E74">
      <w:pPr>
        <w:pStyle w:val="Caption"/>
        <w:tabs>
          <w:tab w:val="left" w:pos="2880"/>
        </w:tabs>
        <w:spacing w:line="276" w:lineRule="auto"/>
        <w:rPr>
          <w:rFonts w:cs="Times New Roman"/>
          <w:sz w:val="22"/>
          <w:szCs w:val="22"/>
        </w:rPr>
      </w:pPr>
      <w:r>
        <w:rPr>
          <w:rFonts w:cs="Times New Roman"/>
          <w:sz w:val="22"/>
          <w:szCs w:val="22"/>
        </w:rPr>
        <w:t xml:space="preserve">3.0 RESULTS </w:t>
      </w:r>
    </w:p>
    <w:p w14:paraId="3433825C" w14:textId="77777777" w:rsidR="00F15FD7" w:rsidRDefault="00563E74">
      <w:pPr>
        <w:jc w:val="both"/>
        <w:rPr>
          <w:rFonts w:ascii="Times New Roman" w:hAnsi="Times New Roman" w:cs="Times New Roman"/>
          <w:b/>
          <w:bCs/>
        </w:rPr>
      </w:pPr>
      <w:bookmarkStart w:id="2" w:name="_Hlk227877147"/>
      <w:r>
        <w:rPr>
          <w:rFonts w:ascii="Times New Roman" w:hAnsi="Times New Roman" w:cs="Times New Roman"/>
          <w:b/>
          <w:bCs/>
        </w:rPr>
        <w:t>3.1. Physicochemical properties of biochar produced</w:t>
      </w:r>
    </w:p>
    <w:p w14:paraId="371CD5EB" w14:textId="77777777" w:rsidR="00F15FD7" w:rsidRDefault="00563E74">
      <w:pPr>
        <w:jc w:val="both"/>
        <w:rPr>
          <w:rFonts w:ascii="Times New Roman" w:hAnsi="Times New Roman" w:cs="Times New Roman"/>
        </w:rPr>
      </w:pPr>
      <w:r>
        <w:rPr>
          <w:rFonts w:ascii="Times New Roman" w:hAnsi="Times New Roman" w:cs="Times New Roman"/>
        </w:rPr>
        <w:t xml:space="preserve">Table 1 shows the physicochemical properties of the biochar produced. The biochar had a pH of 9.50, indicating that it is alkaline. The cation exchange capacity (CEC) was 35.54 </w:t>
      </w:r>
      <w:proofErr w:type="spellStart"/>
      <w:r>
        <w:rPr>
          <w:rFonts w:ascii="Times New Roman" w:hAnsi="Times New Roman" w:cs="Times New Roman"/>
        </w:rPr>
        <w:t>cmol</w:t>
      </w:r>
      <w:proofErr w:type="spellEnd"/>
      <w:r>
        <w:rPr>
          <w:rFonts w:ascii="Times New Roman" w:hAnsi="Times New Roman" w:cs="Times New Roman"/>
        </w:rPr>
        <w:t xml:space="preserve"> kg⁻¹, while the carbon content was 33.18 g kg⁻¹ with a carbon-to-nitrogen ratio of 150:1. The concentrations of macronutrients recorded were phosphorus (0.25 g kg⁻¹), potassium (2.597 g kg⁻¹), calcium (0.43 g kg⁻¹), and magnesium (0.188 g kg⁻¹). Other elements present included sodium (0.0248 g kg⁻¹), silicon (0.0385 g kg⁻¹), iron (0.0267 g kg⁻¹), copper (0.0398 g kg⁻¹), manganese (0.1264 g kg⁻¹), zinc (0.277 g kg⁻¹), and boron (0.048 g kg⁻¹). The ash content of the biochar was 46.08 g kg⁻¹.</w:t>
      </w:r>
    </w:p>
    <w:p w14:paraId="684771AF" w14:textId="77777777" w:rsidR="00F15FD7" w:rsidRDefault="00563E74">
      <w:pPr>
        <w:spacing w:line="276" w:lineRule="auto"/>
        <w:rPr>
          <w:rFonts w:ascii="Times New Roman" w:hAnsi="Times New Roman" w:cs="Times New Roman"/>
          <w:b/>
        </w:rPr>
      </w:pPr>
      <w:r>
        <w:rPr>
          <w:rFonts w:ascii="Times New Roman" w:hAnsi="Times New Roman" w:cs="Times New Roman"/>
          <w:b/>
        </w:rPr>
        <w:t>Table 1. Physical and chemical properties of biochar used for the study</w:t>
      </w:r>
    </w:p>
    <w:tbl>
      <w:tblPr>
        <w:tblStyle w:val="LightShading2"/>
        <w:tblW w:w="0" w:type="auto"/>
        <w:tblInd w:w="-211" w:type="dxa"/>
        <w:tblLook w:val="04A0" w:firstRow="1" w:lastRow="0" w:firstColumn="1" w:lastColumn="0" w:noHBand="0" w:noVBand="1"/>
      </w:tblPr>
      <w:tblGrid>
        <w:gridCol w:w="3585"/>
        <w:gridCol w:w="1912"/>
      </w:tblGrid>
      <w:tr w:rsidR="00F15FD7" w14:paraId="4438753C" w14:textId="77777777" w:rsidTr="00F15FD7">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7E13432" w14:textId="77777777" w:rsidR="00F15FD7" w:rsidRDefault="00563E74">
            <w:pPr>
              <w:spacing w:after="0" w:line="276" w:lineRule="auto"/>
              <w:rPr>
                <w:rFonts w:ascii="Times New Roman" w:hAnsi="Times New Roman" w:cs="Times New Roman"/>
              </w:rPr>
            </w:pPr>
            <w:r>
              <w:rPr>
                <w:rFonts w:ascii="Times New Roman" w:hAnsi="Times New Roman" w:cs="Times New Roman"/>
              </w:rPr>
              <w:t>Properties</w:t>
            </w:r>
          </w:p>
        </w:tc>
        <w:tc>
          <w:tcPr>
            <w:tcW w:w="1912" w:type="dxa"/>
          </w:tcPr>
          <w:p w14:paraId="359C320A" w14:textId="77777777" w:rsidR="00F15FD7" w:rsidRDefault="00563E74">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Values</w:t>
            </w:r>
          </w:p>
        </w:tc>
      </w:tr>
      <w:tr w:rsidR="00F15FD7" w14:paraId="6815CE70"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44F66333"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 xml:space="preserve">pH </w:t>
            </w:r>
          </w:p>
        </w:tc>
        <w:tc>
          <w:tcPr>
            <w:tcW w:w="1912" w:type="dxa"/>
            <w:tcBorders>
              <w:right w:val="nil"/>
            </w:tcBorders>
          </w:tcPr>
          <w:p w14:paraId="3B4884A7"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9.50</w:t>
            </w:r>
          </w:p>
        </w:tc>
      </w:tr>
      <w:tr w:rsidR="00F15FD7" w14:paraId="20A091B8"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279D7B60"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CEC (</w:t>
            </w:r>
            <w:proofErr w:type="spellStart"/>
            <w:r>
              <w:rPr>
                <w:rFonts w:ascii="Times New Roman" w:hAnsi="Times New Roman" w:cs="Times New Roman"/>
                <w:b w:val="0"/>
              </w:rPr>
              <w:t>cmol</w:t>
            </w:r>
            <w:proofErr w:type="spellEnd"/>
            <w:r>
              <w:rPr>
                <w:rFonts w:ascii="Times New Roman" w:hAnsi="Times New Roman" w:cs="Times New Roman"/>
                <w:b w:val="0"/>
              </w:rPr>
              <w:t>/kg)</w:t>
            </w:r>
          </w:p>
        </w:tc>
        <w:tc>
          <w:tcPr>
            <w:tcW w:w="1912" w:type="dxa"/>
          </w:tcPr>
          <w:p w14:paraId="5F92DFCC"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35.54</w:t>
            </w:r>
          </w:p>
        </w:tc>
      </w:tr>
      <w:tr w:rsidR="00F15FD7" w14:paraId="20979C6F"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4B02F5F1"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Carbon (g/kg)</w:t>
            </w:r>
          </w:p>
        </w:tc>
        <w:tc>
          <w:tcPr>
            <w:tcW w:w="1912" w:type="dxa"/>
            <w:tcBorders>
              <w:right w:val="nil"/>
            </w:tcBorders>
          </w:tcPr>
          <w:p w14:paraId="4BA1FDEF"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33.18</w:t>
            </w:r>
          </w:p>
        </w:tc>
      </w:tr>
      <w:tr w:rsidR="00F15FD7" w14:paraId="137E95CC"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7359034C"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Carbon/Nitrogen ratio</w:t>
            </w:r>
          </w:p>
        </w:tc>
        <w:tc>
          <w:tcPr>
            <w:tcW w:w="1912" w:type="dxa"/>
          </w:tcPr>
          <w:p w14:paraId="38E0648F"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150:1</w:t>
            </w:r>
          </w:p>
        </w:tc>
      </w:tr>
      <w:tr w:rsidR="00F15FD7" w14:paraId="79010665"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7A457066"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P (g/kg)</w:t>
            </w:r>
          </w:p>
        </w:tc>
        <w:tc>
          <w:tcPr>
            <w:tcW w:w="1912" w:type="dxa"/>
            <w:tcBorders>
              <w:right w:val="nil"/>
            </w:tcBorders>
          </w:tcPr>
          <w:p w14:paraId="54F5E939"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p>
        </w:tc>
      </w:tr>
      <w:tr w:rsidR="00F15FD7" w14:paraId="6686A2D1"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375F56F7"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K (g/kg)</w:t>
            </w:r>
          </w:p>
        </w:tc>
        <w:tc>
          <w:tcPr>
            <w:tcW w:w="1912" w:type="dxa"/>
          </w:tcPr>
          <w:p w14:paraId="5F980863"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2.597</w:t>
            </w:r>
          </w:p>
        </w:tc>
      </w:tr>
      <w:tr w:rsidR="00F15FD7" w14:paraId="2903306F"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5621187F"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Ca (g/kg)</w:t>
            </w:r>
          </w:p>
        </w:tc>
        <w:tc>
          <w:tcPr>
            <w:tcW w:w="1912" w:type="dxa"/>
            <w:tcBorders>
              <w:right w:val="nil"/>
            </w:tcBorders>
          </w:tcPr>
          <w:p w14:paraId="4EB5A18B"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w:t>
            </w:r>
          </w:p>
        </w:tc>
      </w:tr>
      <w:tr w:rsidR="00F15FD7" w14:paraId="3D3F9225"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3585" w:type="dxa"/>
          </w:tcPr>
          <w:p w14:paraId="7A65CB1E"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Mg (g/kg)</w:t>
            </w:r>
          </w:p>
        </w:tc>
        <w:tc>
          <w:tcPr>
            <w:tcW w:w="1912" w:type="dxa"/>
          </w:tcPr>
          <w:p w14:paraId="2E2E31F7"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0.188</w:t>
            </w:r>
          </w:p>
        </w:tc>
      </w:tr>
      <w:tr w:rsidR="00F15FD7" w14:paraId="00D57E5B"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4AD65EDF"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Na (g/kg)</w:t>
            </w:r>
          </w:p>
        </w:tc>
        <w:tc>
          <w:tcPr>
            <w:tcW w:w="1912" w:type="dxa"/>
            <w:tcBorders>
              <w:right w:val="nil"/>
            </w:tcBorders>
          </w:tcPr>
          <w:p w14:paraId="1D026B27"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0.0248</w:t>
            </w:r>
          </w:p>
        </w:tc>
      </w:tr>
      <w:tr w:rsidR="00F15FD7" w14:paraId="1B0EA9A8"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95D0B9A"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Si (g/kg)</w:t>
            </w:r>
          </w:p>
        </w:tc>
        <w:tc>
          <w:tcPr>
            <w:tcW w:w="1912" w:type="dxa"/>
          </w:tcPr>
          <w:p w14:paraId="2192E2AC"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0.0385</w:t>
            </w:r>
          </w:p>
        </w:tc>
      </w:tr>
      <w:tr w:rsidR="00F15FD7" w14:paraId="379D021B"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1C8F409A"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Fe (g/kg)</w:t>
            </w:r>
          </w:p>
        </w:tc>
        <w:tc>
          <w:tcPr>
            <w:tcW w:w="1912" w:type="dxa"/>
            <w:tcBorders>
              <w:right w:val="nil"/>
            </w:tcBorders>
          </w:tcPr>
          <w:p w14:paraId="3EAE165F"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0.0267</w:t>
            </w:r>
          </w:p>
        </w:tc>
      </w:tr>
      <w:tr w:rsidR="00F15FD7" w14:paraId="0819730B"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D66A1D3"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Cu (g/kg)</w:t>
            </w:r>
          </w:p>
        </w:tc>
        <w:tc>
          <w:tcPr>
            <w:tcW w:w="1912" w:type="dxa"/>
          </w:tcPr>
          <w:p w14:paraId="055AD13B"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0.0398</w:t>
            </w:r>
          </w:p>
        </w:tc>
      </w:tr>
      <w:tr w:rsidR="00F15FD7" w14:paraId="4F053DF8"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535F1FB9"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Mn (g/kg)</w:t>
            </w:r>
          </w:p>
        </w:tc>
        <w:tc>
          <w:tcPr>
            <w:tcW w:w="1912" w:type="dxa"/>
            <w:tcBorders>
              <w:right w:val="nil"/>
            </w:tcBorders>
          </w:tcPr>
          <w:p w14:paraId="0350D4ED"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0.1264</w:t>
            </w:r>
          </w:p>
        </w:tc>
      </w:tr>
      <w:tr w:rsidR="00F15FD7" w14:paraId="62F7BC41"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72743F1"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Zn (g/kg)</w:t>
            </w:r>
          </w:p>
        </w:tc>
        <w:tc>
          <w:tcPr>
            <w:tcW w:w="1912" w:type="dxa"/>
          </w:tcPr>
          <w:p w14:paraId="58662DCB"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0.277</w:t>
            </w:r>
          </w:p>
        </w:tc>
      </w:tr>
      <w:tr w:rsidR="00F15FD7" w14:paraId="109694D4"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54FDFEF3"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B (g/kg)</w:t>
            </w:r>
          </w:p>
        </w:tc>
        <w:tc>
          <w:tcPr>
            <w:tcW w:w="1912" w:type="dxa"/>
            <w:tcBorders>
              <w:right w:val="nil"/>
            </w:tcBorders>
          </w:tcPr>
          <w:p w14:paraId="2F2A9B5A"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0.048</w:t>
            </w:r>
          </w:p>
        </w:tc>
      </w:tr>
      <w:tr w:rsidR="00F15FD7" w14:paraId="56E2A235"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7BD84747"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Ash Content (g/Kg)</w:t>
            </w:r>
          </w:p>
        </w:tc>
        <w:tc>
          <w:tcPr>
            <w:tcW w:w="1912" w:type="dxa"/>
          </w:tcPr>
          <w:p w14:paraId="33336CD3"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46.08</w:t>
            </w:r>
          </w:p>
        </w:tc>
      </w:tr>
    </w:tbl>
    <w:p w14:paraId="4F75B700" w14:textId="77777777" w:rsidR="00F15FD7" w:rsidRDefault="00F15FD7">
      <w:pPr>
        <w:spacing w:line="276" w:lineRule="auto"/>
        <w:rPr>
          <w:rFonts w:ascii="Times New Roman" w:hAnsi="Times New Roman" w:cs="Times New Roman"/>
          <w:b/>
        </w:rPr>
      </w:pPr>
    </w:p>
    <w:p w14:paraId="71FA5C7B" w14:textId="77777777" w:rsidR="00F15FD7" w:rsidRDefault="00563E74">
      <w:pPr>
        <w:pStyle w:val="Caption"/>
        <w:tabs>
          <w:tab w:val="left" w:pos="2880"/>
        </w:tabs>
        <w:spacing w:line="276" w:lineRule="auto"/>
        <w:rPr>
          <w:rFonts w:cs="Times New Roman"/>
          <w:sz w:val="22"/>
          <w:szCs w:val="22"/>
          <w:lang w:val="en-US"/>
        </w:rPr>
      </w:pPr>
      <w:r>
        <w:rPr>
          <w:rFonts w:cs="Times New Roman"/>
          <w:sz w:val="22"/>
          <w:szCs w:val="22"/>
        </w:rPr>
        <w:t xml:space="preserve">3.2 Effects of </w:t>
      </w:r>
      <w:r>
        <w:rPr>
          <w:rFonts w:cs="Times New Roman"/>
          <w:sz w:val="22"/>
          <w:szCs w:val="22"/>
          <w:lang w:val="en-US"/>
        </w:rPr>
        <w:t>amendments on pepper g</w:t>
      </w:r>
      <w:proofErr w:type="spellStart"/>
      <w:r>
        <w:rPr>
          <w:rFonts w:cs="Times New Roman"/>
          <w:sz w:val="22"/>
          <w:szCs w:val="22"/>
        </w:rPr>
        <w:t>rowth</w:t>
      </w:r>
      <w:proofErr w:type="spellEnd"/>
      <w:r>
        <w:rPr>
          <w:rFonts w:cs="Times New Roman"/>
          <w:sz w:val="22"/>
          <w:szCs w:val="22"/>
          <w:lang w:val="en-US"/>
        </w:rPr>
        <w:t xml:space="preserve"> variables of pepper under differential watering</w:t>
      </w:r>
    </w:p>
    <w:p w14:paraId="2CBAC096" w14:textId="77777777" w:rsidR="00F15FD7" w:rsidRDefault="00563E74">
      <w:pPr>
        <w:pStyle w:val="Caption"/>
        <w:tabs>
          <w:tab w:val="left" w:pos="2880"/>
        </w:tabs>
        <w:spacing w:line="276" w:lineRule="auto"/>
        <w:rPr>
          <w:rFonts w:cs="Times New Roman"/>
          <w:b w:val="0"/>
          <w:bCs/>
          <w:sz w:val="22"/>
          <w:szCs w:val="16"/>
          <w:lang w:val="en-US"/>
        </w:rPr>
      </w:pPr>
      <w:r>
        <w:rPr>
          <w:rFonts w:cs="Times New Roman"/>
          <w:b w:val="0"/>
          <w:bCs/>
          <w:sz w:val="22"/>
          <w:szCs w:val="16"/>
          <w:lang w:val="en-US"/>
        </w:rPr>
        <w:t xml:space="preserve">Table 2 shows that both biochar and </w:t>
      </w:r>
      <w:r>
        <w:rPr>
          <w:rFonts w:cs="Times New Roman"/>
          <w:b w:val="0"/>
          <w:bCs/>
          <w:i/>
          <w:iCs w:val="0"/>
          <w:sz w:val="22"/>
          <w:szCs w:val="16"/>
          <w:lang w:val="en-US"/>
        </w:rPr>
        <w:t xml:space="preserve">Trichoderma </w:t>
      </w:r>
      <w:proofErr w:type="spellStart"/>
      <w:r>
        <w:rPr>
          <w:rFonts w:cs="Times New Roman"/>
          <w:b w:val="0"/>
          <w:bCs/>
          <w:i/>
          <w:iCs w:val="0"/>
          <w:sz w:val="22"/>
          <w:szCs w:val="16"/>
          <w:lang w:val="en-US"/>
        </w:rPr>
        <w:t>harzianum</w:t>
      </w:r>
      <w:proofErr w:type="spellEnd"/>
      <w:r>
        <w:rPr>
          <w:rFonts w:cs="Times New Roman"/>
          <w:b w:val="0"/>
          <w:bCs/>
          <w:sz w:val="22"/>
          <w:szCs w:val="16"/>
          <w:lang w:val="en-US"/>
        </w:rPr>
        <w:t xml:space="preserve"> individually improved pepper growth, but their combined application (B+T) had the greatest effect. For example, plant height reached 90.27 cm under B+T at 100% FC, compared to 76.13 cm with biochar alone and 68.10 cm with </w:t>
      </w:r>
      <w:r>
        <w:rPr>
          <w:rFonts w:cs="Times New Roman"/>
          <w:b w:val="0"/>
          <w:bCs/>
          <w:i/>
          <w:iCs w:val="0"/>
          <w:sz w:val="22"/>
          <w:szCs w:val="16"/>
          <w:lang w:val="en-US"/>
        </w:rPr>
        <w:t xml:space="preserve">Trichoderma </w:t>
      </w:r>
      <w:r>
        <w:rPr>
          <w:rFonts w:cs="Times New Roman"/>
          <w:b w:val="0"/>
          <w:bCs/>
          <w:sz w:val="22"/>
          <w:szCs w:val="16"/>
          <w:lang w:val="en-US"/>
        </w:rPr>
        <w:t xml:space="preserve">alone. Leaf number was highest (169.67 leaves) under B+T at 60% FC, while leaf area reached 166.69 cm² under B+T at 100% FC. Root development was also enhanced, with the number of roots increasing to 125 and root length to 19.00 cm under B+T at 100% FC. These values show that the combination of biochar and </w:t>
      </w:r>
      <w:r>
        <w:rPr>
          <w:rFonts w:cs="Times New Roman"/>
          <w:b w:val="0"/>
          <w:bCs/>
          <w:i/>
          <w:iCs w:val="0"/>
          <w:sz w:val="22"/>
          <w:szCs w:val="16"/>
          <w:lang w:val="en-US"/>
        </w:rPr>
        <w:t>Trichoderma,</w:t>
      </w:r>
      <w:r>
        <w:rPr>
          <w:rFonts w:cs="Times New Roman"/>
          <w:b w:val="0"/>
          <w:bCs/>
          <w:sz w:val="22"/>
          <w:szCs w:val="16"/>
          <w:lang w:val="en-US"/>
        </w:rPr>
        <w:t xml:space="preserve"> especially under higher watering regimes, significantly promotes pepper growth.</w:t>
      </w:r>
    </w:p>
    <w:bookmarkEnd w:id="1"/>
    <w:p w14:paraId="137B1588" w14:textId="77777777" w:rsidR="00F15FD7" w:rsidRDefault="00F15FD7">
      <w:pPr>
        <w:pStyle w:val="Caption"/>
        <w:tabs>
          <w:tab w:val="left" w:pos="2880"/>
        </w:tabs>
        <w:spacing w:line="276" w:lineRule="auto"/>
        <w:rPr>
          <w:rFonts w:cs="Times New Roman"/>
          <w:sz w:val="22"/>
          <w:szCs w:val="22"/>
        </w:rPr>
      </w:pPr>
    </w:p>
    <w:p w14:paraId="73F5D07B" w14:textId="77777777" w:rsidR="00F15FD7" w:rsidRDefault="00563E74">
      <w:pPr>
        <w:pStyle w:val="Caption"/>
        <w:tabs>
          <w:tab w:val="left" w:pos="2880"/>
        </w:tabs>
        <w:spacing w:line="276" w:lineRule="auto"/>
        <w:rPr>
          <w:rFonts w:cs="Times New Roman"/>
          <w:sz w:val="22"/>
          <w:szCs w:val="22"/>
        </w:rPr>
      </w:pPr>
      <w:r>
        <w:rPr>
          <w:rFonts w:cs="Times New Roman"/>
          <w:sz w:val="22"/>
          <w:szCs w:val="22"/>
        </w:rPr>
        <w:lastRenderedPageBreak/>
        <w:t xml:space="preserve">Table 2. </w:t>
      </w:r>
      <w:r>
        <w:rPr>
          <w:rFonts w:cs="Times New Roman"/>
          <w:b w:val="0"/>
          <w:sz w:val="22"/>
          <w:szCs w:val="22"/>
        </w:rPr>
        <w:t xml:space="preserve">Effects of application of Biochar and </w:t>
      </w:r>
      <w:r>
        <w:rPr>
          <w:rFonts w:cs="Times New Roman"/>
          <w:b w:val="0"/>
          <w:i/>
          <w:sz w:val="22"/>
          <w:szCs w:val="22"/>
        </w:rPr>
        <w:t xml:space="preserve">Trichoderma </w:t>
      </w:r>
      <w:proofErr w:type="spellStart"/>
      <w:r>
        <w:rPr>
          <w:rFonts w:cs="Times New Roman"/>
          <w:b w:val="0"/>
          <w:i/>
          <w:sz w:val="22"/>
          <w:szCs w:val="22"/>
        </w:rPr>
        <w:t>harzianum</w:t>
      </w:r>
      <w:proofErr w:type="spellEnd"/>
      <w:r>
        <w:rPr>
          <w:rFonts w:cs="Times New Roman"/>
          <w:b w:val="0"/>
          <w:sz w:val="22"/>
          <w:szCs w:val="22"/>
        </w:rPr>
        <w:t xml:space="preserve"> on growth parameters of pepper subjected to differential watering regimes</w:t>
      </w:r>
    </w:p>
    <w:tbl>
      <w:tblPr>
        <w:tblStyle w:val="LightShading2"/>
        <w:tblW w:w="9516" w:type="dxa"/>
        <w:tblLook w:val="04A0" w:firstRow="1" w:lastRow="0" w:firstColumn="1" w:lastColumn="0" w:noHBand="0" w:noVBand="1"/>
      </w:tblPr>
      <w:tblGrid>
        <w:gridCol w:w="1784"/>
        <w:gridCol w:w="1234"/>
        <w:gridCol w:w="1234"/>
        <w:gridCol w:w="1234"/>
        <w:gridCol w:w="1338"/>
        <w:gridCol w:w="1338"/>
        <w:gridCol w:w="1354"/>
      </w:tblGrid>
      <w:tr w:rsidR="00F15FD7" w14:paraId="141E6739" w14:textId="77777777" w:rsidTr="00F15FD7">
        <w:trPr>
          <w:cnfStyle w:val="100000000000" w:firstRow="1" w:lastRow="0" w:firstColumn="0" w:lastColumn="0" w:oddVBand="0" w:evenVBand="0" w:oddHBand="0"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784" w:type="dxa"/>
            <w:vMerge w:val="restart"/>
            <w:noWrap/>
            <w:vAlign w:val="center"/>
          </w:tcPr>
          <w:p w14:paraId="384BE2DD" w14:textId="77777777" w:rsidR="00F15FD7" w:rsidRDefault="00F15FD7">
            <w:pPr>
              <w:tabs>
                <w:tab w:val="left" w:pos="2880"/>
              </w:tabs>
              <w:spacing w:after="0" w:line="276" w:lineRule="auto"/>
              <w:jc w:val="center"/>
              <w:rPr>
                <w:rFonts w:ascii="Times New Roman" w:hAnsi="Times New Roman" w:cs="Times New Roman"/>
              </w:rPr>
            </w:pPr>
          </w:p>
          <w:p w14:paraId="524B0C94" w14:textId="77777777" w:rsidR="00F15FD7" w:rsidRDefault="00F15FD7">
            <w:pPr>
              <w:tabs>
                <w:tab w:val="left" w:pos="2880"/>
              </w:tabs>
              <w:spacing w:after="0" w:line="276" w:lineRule="auto"/>
              <w:jc w:val="center"/>
              <w:rPr>
                <w:rFonts w:ascii="Times New Roman" w:hAnsi="Times New Roman" w:cs="Times New Roman"/>
                <w:b w:val="0"/>
                <w:bCs w:val="0"/>
              </w:rPr>
            </w:pPr>
          </w:p>
          <w:p w14:paraId="242E70DE"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TREATMENTS</w:t>
            </w:r>
          </w:p>
        </w:tc>
        <w:tc>
          <w:tcPr>
            <w:tcW w:w="7732" w:type="dxa"/>
            <w:gridSpan w:val="6"/>
            <w:noWrap/>
            <w:vAlign w:val="center"/>
          </w:tcPr>
          <w:p w14:paraId="24ACCC17" w14:textId="7167BAF2" w:rsidR="00F15FD7" w:rsidRDefault="00563E74">
            <w:pPr>
              <w:tabs>
                <w:tab w:val="left" w:pos="2880"/>
              </w:tabs>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Pepper growth </w:t>
            </w:r>
            <w:r w:rsidR="00A91106">
              <w:rPr>
                <w:rFonts w:ascii="Times New Roman" w:hAnsi="Times New Roman" w:cs="Times New Roman"/>
              </w:rPr>
              <w:t>variables at</w:t>
            </w:r>
            <w:r>
              <w:rPr>
                <w:rFonts w:ascii="Times New Roman" w:hAnsi="Times New Roman" w:cs="Times New Roman"/>
              </w:rPr>
              <w:t xml:space="preserve"> 12</w:t>
            </w:r>
            <w:r>
              <w:rPr>
                <w:rFonts w:ascii="Times New Roman" w:hAnsi="Times New Roman" w:cs="Times New Roman"/>
                <w:vertAlign w:val="superscript"/>
              </w:rPr>
              <w:t>th</w:t>
            </w:r>
            <w:r>
              <w:rPr>
                <w:rFonts w:ascii="Times New Roman" w:hAnsi="Times New Roman" w:cs="Times New Roman"/>
              </w:rPr>
              <w:t xml:space="preserve"> WAT</w:t>
            </w:r>
          </w:p>
        </w:tc>
      </w:tr>
      <w:tr w:rsidR="00F15FD7" w14:paraId="47BED07F"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vMerge/>
            <w:tcBorders>
              <w:left w:val="nil"/>
              <w:right w:val="nil"/>
            </w:tcBorders>
            <w:noWrap/>
            <w:vAlign w:val="center"/>
          </w:tcPr>
          <w:p w14:paraId="6D6AB984" w14:textId="77777777" w:rsidR="00F15FD7" w:rsidRDefault="00F15FD7">
            <w:pPr>
              <w:tabs>
                <w:tab w:val="left" w:pos="2880"/>
              </w:tabs>
              <w:spacing w:after="0" w:line="276" w:lineRule="auto"/>
              <w:jc w:val="center"/>
              <w:rPr>
                <w:rFonts w:ascii="Times New Roman" w:hAnsi="Times New Roman" w:cs="Times New Roman"/>
              </w:rPr>
            </w:pPr>
          </w:p>
        </w:tc>
        <w:tc>
          <w:tcPr>
            <w:tcW w:w="1234" w:type="dxa"/>
            <w:tcBorders>
              <w:right w:val="nil"/>
            </w:tcBorders>
            <w:noWrap/>
            <w:vAlign w:val="center"/>
          </w:tcPr>
          <w:p w14:paraId="325BE58E"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Plant height (cm)</w:t>
            </w:r>
          </w:p>
        </w:tc>
        <w:tc>
          <w:tcPr>
            <w:tcW w:w="1234" w:type="dxa"/>
            <w:tcBorders>
              <w:right w:val="nil"/>
            </w:tcBorders>
            <w:noWrap/>
            <w:vAlign w:val="center"/>
          </w:tcPr>
          <w:p w14:paraId="0A8241F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Number of leaves</w:t>
            </w:r>
          </w:p>
        </w:tc>
        <w:tc>
          <w:tcPr>
            <w:tcW w:w="1234" w:type="dxa"/>
            <w:tcBorders>
              <w:right w:val="nil"/>
            </w:tcBorders>
            <w:noWrap/>
            <w:vAlign w:val="center"/>
          </w:tcPr>
          <w:p w14:paraId="42288DB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Leaf area (cm</w:t>
            </w:r>
            <w:r>
              <w:rPr>
                <w:rFonts w:ascii="Times New Roman" w:hAnsi="Times New Roman" w:cs="Times New Roman"/>
                <w:b/>
                <w:vertAlign w:val="superscript"/>
              </w:rPr>
              <w:t>2</w:t>
            </w:r>
            <w:r>
              <w:rPr>
                <w:rFonts w:ascii="Times New Roman" w:hAnsi="Times New Roman" w:cs="Times New Roman"/>
                <w:b/>
              </w:rPr>
              <w:t>)</w:t>
            </w:r>
          </w:p>
        </w:tc>
        <w:tc>
          <w:tcPr>
            <w:tcW w:w="1338" w:type="dxa"/>
            <w:tcBorders>
              <w:right w:val="nil"/>
            </w:tcBorders>
            <w:noWrap/>
            <w:vAlign w:val="center"/>
          </w:tcPr>
          <w:p w14:paraId="28D1BD8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Stem girth (cm)</w:t>
            </w:r>
          </w:p>
        </w:tc>
        <w:tc>
          <w:tcPr>
            <w:tcW w:w="1338" w:type="dxa"/>
            <w:tcBorders>
              <w:right w:val="nil"/>
            </w:tcBorders>
            <w:noWrap/>
            <w:vAlign w:val="center"/>
          </w:tcPr>
          <w:p w14:paraId="11601320"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Number of roots</w:t>
            </w:r>
          </w:p>
        </w:tc>
        <w:tc>
          <w:tcPr>
            <w:tcW w:w="1354" w:type="dxa"/>
            <w:tcBorders>
              <w:right w:val="nil"/>
            </w:tcBorders>
            <w:noWrap/>
            <w:vAlign w:val="center"/>
          </w:tcPr>
          <w:p w14:paraId="2DCA5F8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Root length (cm)</w:t>
            </w:r>
          </w:p>
        </w:tc>
      </w:tr>
      <w:tr w:rsidR="00F15FD7" w14:paraId="255A91CC"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7E5182E8"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Biochar</w:t>
            </w:r>
          </w:p>
        </w:tc>
        <w:tc>
          <w:tcPr>
            <w:tcW w:w="1234" w:type="dxa"/>
            <w:noWrap/>
            <w:vAlign w:val="center"/>
          </w:tcPr>
          <w:p w14:paraId="1817F844"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76.13</w:t>
            </w:r>
            <w:r>
              <w:rPr>
                <w:rFonts w:ascii="Times New Roman" w:hAnsi="Times New Roman" w:cs="Times New Roman"/>
                <w:vertAlign w:val="superscript"/>
              </w:rPr>
              <w:t>c</w:t>
            </w:r>
          </w:p>
        </w:tc>
        <w:tc>
          <w:tcPr>
            <w:tcW w:w="1234" w:type="dxa"/>
            <w:noWrap/>
            <w:vAlign w:val="center"/>
          </w:tcPr>
          <w:p w14:paraId="6A9C177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114.00</w:t>
            </w:r>
            <w:r>
              <w:rPr>
                <w:rFonts w:ascii="Times New Roman" w:hAnsi="Times New Roman" w:cs="Times New Roman"/>
                <w:vertAlign w:val="superscript"/>
              </w:rPr>
              <w:t>cd</w:t>
            </w:r>
          </w:p>
        </w:tc>
        <w:tc>
          <w:tcPr>
            <w:tcW w:w="1234" w:type="dxa"/>
            <w:noWrap/>
            <w:vAlign w:val="center"/>
          </w:tcPr>
          <w:p w14:paraId="013C9350"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74.60</w:t>
            </w:r>
            <w:r>
              <w:rPr>
                <w:rFonts w:ascii="Times New Roman" w:hAnsi="Times New Roman" w:cs="Times New Roman"/>
                <w:color w:val="auto"/>
                <w:vertAlign w:val="superscript"/>
              </w:rPr>
              <w:t>b</w:t>
            </w:r>
          </w:p>
        </w:tc>
        <w:tc>
          <w:tcPr>
            <w:tcW w:w="1338" w:type="dxa"/>
            <w:noWrap/>
            <w:vAlign w:val="center"/>
          </w:tcPr>
          <w:p w14:paraId="0BEC133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8.23</w:t>
            </w:r>
            <w:r>
              <w:rPr>
                <w:rFonts w:ascii="Times New Roman" w:hAnsi="Times New Roman" w:cs="Times New Roman"/>
                <w:color w:val="auto"/>
                <w:vertAlign w:val="superscript"/>
              </w:rPr>
              <w:t>ab</w:t>
            </w:r>
          </w:p>
        </w:tc>
        <w:tc>
          <w:tcPr>
            <w:tcW w:w="1338" w:type="dxa"/>
            <w:noWrap/>
            <w:vAlign w:val="center"/>
          </w:tcPr>
          <w:p w14:paraId="7AA9224E"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58.00</w:t>
            </w:r>
            <w:r>
              <w:rPr>
                <w:rFonts w:ascii="Times New Roman" w:hAnsi="Times New Roman" w:cs="Times New Roman"/>
                <w:color w:val="auto"/>
                <w:vertAlign w:val="superscript"/>
              </w:rPr>
              <w:t>b</w:t>
            </w:r>
          </w:p>
        </w:tc>
        <w:tc>
          <w:tcPr>
            <w:tcW w:w="1354" w:type="dxa"/>
            <w:noWrap/>
            <w:vAlign w:val="center"/>
          </w:tcPr>
          <w:p w14:paraId="4595F81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21.53</w:t>
            </w:r>
            <w:r>
              <w:rPr>
                <w:rFonts w:ascii="Times New Roman" w:hAnsi="Times New Roman" w:cs="Times New Roman"/>
                <w:color w:val="auto"/>
                <w:vertAlign w:val="superscript"/>
              </w:rPr>
              <w:t>d</w:t>
            </w:r>
          </w:p>
        </w:tc>
      </w:tr>
      <w:tr w:rsidR="00F15FD7" w14:paraId="33A046BD"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E980EFC"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i/>
              </w:rPr>
              <w:t>Trichoderma</w:t>
            </w:r>
          </w:p>
        </w:tc>
        <w:tc>
          <w:tcPr>
            <w:tcW w:w="1234" w:type="dxa"/>
            <w:tcBorders>
              <w:right w:val="nil"/>
            </w:tcBorders>
            <w:noWrap/>
            <w:vAlign w:val="center"/>
          </w:tcPr>
          <w:p w14:paraId="4A83A52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68.10</w:t>
            </w:r>
            <w:r>
              <w:rPr>
                <w:rFonts w:ascii="Times New Roman" w:hAnsi="Times New Roman" w:cs="Times New Roman"/>
                <w:vertAlign w:val="superscript"/>
              </w:rPr>
              <w:t>abc</w:t>
            </w:r>
          </w:p>
        </w:tc>
        <w:tc>
          <w:tcPr>
            <w:tcW w:w="1234" w:type="dxa"/>
            <w:tcBorders>
              <w:right w:val="nil"/>
            </w:tcBorders>
            <w:noWrap/>
            <w:vAlign w:val="center"/>
          </w:tcPr>
          <w:p w14:paraId="3763873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100.33</w:t>
            </w:r>
            <w:r>
              <w:rPr>
                <w:rFonts w:ascii="Times New Roman" w:hAnsi="Times New Roman" w:cs="Times New Roman"/>
                <w:color w:val="auto"/>
                <w:vertAlign w:val="superscript"/>
              </w:rPr>
              <w:t>bc</w:t>
            </w:r>
          </w:p>
        </w:tc>
        <w:tc>
          <w:tcPr>
            <w:tcW w:w="1234" w:type="dxa"/>
            <w:tcBorders>
              <w:right w:val="nil"/>
            </w:tcBorders>
            <w:noWrap/>
            <w:vAlign w:val="center"/>
          </w:tcPr>
          <w:p w14:paraId="0046E56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71.59</w:t>
            </w:r>
            <w:r>
              <w:rPr>
                <w:rFonts w:ascii="Times New Roman" w:hAnsi="Times New Roman" w:cs="Times New Roman"/>
                <w:color w:val="auto"/>
                <w:vertAlign w:val="superscript"/>
              </w:rPr>
              <w:t>ab</w:t>
            </w:r>
          </w:p>
        </w:tc>
        <w:tc>
          <w:tcPr>
            <w:tcW w:w="1338" w:type="dxa"/>
            <w:tcBorders>
              <w:right w:val="nil"/>
            </w:tcBorders>
            <w:noWrap/>
            <w:vAlign w:val="center"/>
          </w:tcPr>
          <w:p w14:paraId="3ADA8E0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8.21</w:t>
            </w:r>
            <w:r>
              <w:rPr>
                <w:rFonts w:ascii="Times New Roman" w:hAnsi="Times New Roman" w:cs="Times New Roman"/>
                <w:color w:val="auto"/>
                <w:vertAlign w:val="superscript"/>
              </w:rPr>
              <w:t>ab</w:t>
            </w:r>
          </w:p>
        </w:tc>
        <w:tc>
          <w:tcPr>
            <w:tcW w:w="1338" w:type="dxa"/>
            <w:tcBorders>
              <w:right w:val="nil"/>
            </w:tcBorders>
            <w:noWrap/>
            <w:vAlign w:val="center"/>
          </w:tcPr>
          <w:p w14:paraId="6D86BF6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82.33</w:t>
            </w:r>
            <w:r>
              <w:rPr>
                <w:rFonts w:ascii="Times New Roman" w:hAnsi="Times New Roman" w:cs="Times New Roman"/>
                <w:color w:val="auto"/>
                <w:vertAlign w:val="superscript"/>
              </w:rPr>
              <w:t>cde</w:t>
            </w:r>
          </w:p>
        </w:tc>
        <w:tc>
          <w:tcPr>
            <w:tcW w:w="1354" w:type="dxa"/>
            <w:tcBorders>
              <w:right w:val="nil"/>
            </w:tcBorders>
            <w:noWrap/>
            <w:vAlign w:val="center"/>
          </w:tcPr>
          <w:p w14:paraId="656A21D1"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18.33</w:t>
            </w:r>
            <w:r>
              <w:rPr>
                <w:rFonts w:ascii="Times New Roman" w:hAnsi="Times New Roman" w:cs="Times New Roman"/>
                <w:color w:val="auto"/>
                <w:vertAlign w:val="superscript"/>
              </w:rPr>
              <w:t>abc</w:t>
            </w:r>
          </w:p>
        </w:tc>
      </w:tr>
      <w:tr w:rsidR="00F15FD7" w14:paraId="5E01AA9A"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26C68525"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40% FC</w:t>
            </w:r>
          </w:p>
        </w:tc>
        <w:tc>
          <w:tcPr>
            <w:tcW w:w="1234" w:type="dxa"/>
            <w:noWrap/>
            <w:vAlign w:val="center"/>
          </w:tcPr>
          <w:p w14:paraId="28EEB70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43.83</w:t>
            </w:r>
            <w:r>
              <w:rPr>
                <w:rFonts w:ascii="Times New Roman" w:hAnsi="Times New Roman" w:cs="Times New Roman"/>
                <w:vertAlign w:val="superscript"/>
              </w:rPr>
              <w:t>a</w:t>
            </w:r>
          </w:p>
        </w:tc>
        <w:tc>
          <w:tcPr>
            <w:tcW w:w="1234" w:type="dxa"/>
            <w:noWrap/>
            <w:vAlign w:val="center"/>
          </w:tcPr>
          <w:p w14:paraId="68F0788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74.67</w:t>
            </w:r>
            <w:r>
              <w:rPr>
                <w:rFonts w:ascii="Times New Roman" w:hAnsi="Times New Roman" w:cs="Times New Roman"/>
                <w:color w:val="auto"/>
                <w:vertAlign w:val="superscript"/>
              </w:rPr>
              <w:t>a</w:t>
            </w:r>
          </w:p>
        </w:tc>
        <w:tc>
          <w:tcPr>
            <w:tcW w:w="1234" w:type="dxa"/>
            <w:noWrap/>
            <w:vAlign w:val="center"/>
          </w:tcPr>
          <w:p w14:paraId="6C4CF64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64.27</w:t>
            </w:r>
            <w:r>
              <w:rPr>
                <w:rFonts w:ascii="Times New Roman" w:hAnsi="Times New Roman" w:cs="Times New Roman"/>
                <w:color w:val="auto"/>
                <w:vertAlign w:val="superscript"/>
              </w:rPr>
              <w:t>a</w:t>
            </w:r>
          </w:p>
        </w:tc>
        <w:tc>
          <w:tcPr>
            <w:tcW w:w="1338" w:type="dxa"/>
            <w:noWrap/>
            <w:vAlign w:val="center"/>
          </w:tcPr>
          <w:p w14:paraId="5F922D0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7.97</w:t>
            </w:r>
            <w:r>
              <w:rPr>
                <w:rFonts w:ascii="Times New Roman" w:hAnsi="Times New Roman" w:cs="Times New Roman"/>
                <w:color w:val="auto"/>
                <w:vertAlign w:val="superscript"/>
              </w:rPr>
              <w:t>a</w:t>
            </w:r>
          </w:p>
        </w:tc>
        <w:tc>
          <w:tcPr>
            <w:tcW w:w="1338" w:type="dxa"/>
            <w:noWrap/>
            <w:vAlign w:val="center"/>
          </w:tcPr>
          <w:p w14:paraId="05D6815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48.67</w:t>
            </w:r>
            <w:r>
              <w:rPr>
                <w:rFonts w:ascii="Times New Roman" w:hAnsi="Times New Roman" w:cs="Times New Roman"/>
                <w:color w:val="auto"/>
                <w:vertAlign w:val="superscript"/>
              </w:rPr>
              <w:t>a</w:t>
            </w:r>
          </w:p>
        </w:tc>
        <w:tc>
          <w:tcPr>
            <w:tcW w:w="1354" w:type="dxa"/>
            <w:noWrap/>
            <w:vAlign w:val="center"/>
          </w:tcPr>
          <w:p w14:paraId="112BF27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14.73</w:t>
            </w:r>
            <w:r>
              <w:rPr>
                <w:rFonts w:ascii="Times New Roman" w:hAnsi="Times New Roman" w:cs="Times New Roman"/>
                <w:color w:val="auto"/>
                <w:vertAlign w:val="superscript"/>
              </w:rPr>
              <w:t>ab</w:t>
            </w:r>
          </w:p>
        </w:tc>
      </w:tr>
      <w:tr w:rsidR="00F15FD7" w14:paraId="3D094AC6"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00FABAF4"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60% FC</w:t>
            </w:r>
          </w:p>
        </w:tc>
        <w:tc>
          <w:tcPr>
            <w:tcW w:w="1234" w:type="dxa"/>
            <w:tcBorders>
              <w:right w:val="nil"/>
            </w:tcBorders>
            <w:noWrap/>
            <w:vAlign w:val="center"/>
          </w:tcPr>
          <w:p w14:paraId="2DE2D06C"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49.50</w:t>
            </w:r>
            <w:r>
              <w:rPr>
                <w:rFonts w:ascii="Times New Roman" w:hAnsi="Times New Roman" w:cs="Times New Roman"/>
                <w:vertAlign w:val="superscript"/>
              </w:rPr>
              <w:t>a</w:t>
            </w:r>
          </w:p>
        </w:tc>
        <w:tc>
          <w:tcPr>
            <w:tcW w:w="1234" w:type="dxa"/>
            <w:tcBorders>
              <w:right w:val="nil"/>
            </w:tcBorders>
            <w:noWrap/>
            <w:vAlign w:val="center"/>
          </w:tcPr>
          <w:p w14:paraId="7162986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89.00</w:t>
            </w:r>
            <w:r>
              <w:rPr>
                <w:rFonts w:ascii="Times New Roman" w:hAnsi="Times New Roman" w:cs="Times New Roman"/>
                <w:color w:val="auto"/>
                <w:vertAlign w:val="superscript"/>
              </w:rPr>
              <w:t>ab</w:t>
            </w:r>
          </w:p>
        </w:tc>
        <w:tc>
          <w:tcPr>
            <w:tcW w:w="1234" w:type="dxa"/>
            <w:tcBorders>
              <w:right w:val="nil"/>
            </w:tcBorders>
            <w:noWrap/>
            <w:vAlign w:val="center"/>
          </w:tcPr>
          <w:p w14:paraId="6E7D6C3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69.82</w:t>
            </w:r>
            <w:r>
              <w:rPr>
                <w:rFonts w:ascii="Times New Roman" w:hAnsi="Times New Roman" w:cs="Times New Roman"/>
                <w:color w:val="auto"/>
                <w:vertAlign w:val="superscript"/>
              </w:rPr>
              <w:t>ab</w:t>
            </w:r>
          </w:p>
        </w:tc>
        <w:tc>
          <w:tcPr>
            <w:tcW w:w="1338" w:type="dxa"/>
            <w:tcBorders>
              <w:right w:val="nil"/>
            </w:tcBorders>
            <w:noWrap/>
            <w:vAlign w:val="center"/>
          </w:tcPr>
          <w:p w14:paraId="5CAE470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7.07</w:t>
            </w:r>
            <w:r>
              <w:rPr>
                <w:rFonts w:ascii="Times New Roman" w:hAnsi="Times New Roman" w:cs="Times New Roman"/>
                <w:color w:val="auto"/>
                <w:vertAlign w:val="superscript"/>
              </w:rPr>
              <w:t>a</w:t>
            </w:r>
          </w:p>
        </w:tc>
        <w:tc>
          <w:tcPr>
            <w:tcW w:w="1338" w:type="dxa"/>
            <w:tcBorders>
              <w:right w:val="nil"/>
            </w:tcBorders>
            <w:noWrap/>
            <w:vAlign w:val="center"/>
          </w:tcPr>
          <w:p w14:paraId="24E80D3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51.67</w:t>
            </w:r>
            <w:r>
              <w:rPr>
                <w:rFonts w:ascii="Times New Roman" w:hAnsi="Times New Roman" w:cs="Times New Roman"/>
                <w:color w:val="auto"/>
                <w:vertAlign w:val="superscript"/>
              </w:rPr>
              <w:t>ab</w:t>
            </w:r>
          </w:p>
        </w:tc>
        <w:tc>
          <w:tcPr>
            <w:tcW w:w="1354" w:type="dxa"/>
            <w:tcBorders>
              <w:right w:val="nil"/>
            </w:tcBorders>
            <w:noWrap/>
            <w:vAlign w:val="center"/>
          </w:tcPr>
          <w:p w14:paraId="7550EFB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15.40</w:t>
            </w:r>
            <w:r>
              <w:rPr>
                <w:rFonts w:ascii="Times New Roman" w:hAnsi="Times New Roman" w:cs="Times New Roman"/>
                <w:color w:val="auto"/>
                <w:vertAlign w:val="superscript"/>
              </w:rPr>
              <w:t>ab</w:t>
            </w:r>
          </w:p>
        </w:tc>
      </w:tr>
      <w:tr w:rsidR="00F15FD7" w14:paraId="5433007C"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28865B2F"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100% FC</w:t>
            </w:r>
          </w:p>
        </w:tc>
        <w:tc>
          <w:tcPr>
            <w:tcW w:w="1234" w:type="dxa"/>
            <w:noWrap/>
            <w:vAlign w:val="center"/>
          </w:tcPr>
          <w:p w14:paraId="4564D7F7"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75.40</w:t>
            </w:r>
            <w:r>
              <w:rPr>
                <w:rFonts w:ascii="Times New Roman" w:hAnsi="Times New Roman" w:cs="Times New Roman"/>
                <w:vertAlign w:val="superscript"/>
              </w:rPr>
              <w:t>c</w:t>
            </w:r>
          </w:p>
        </w:tc>
        <w:tc>
          <w:tcPr>
            <w:tcW w:w="1234" w:type="dxa"/>
            <w:noWrap/>
            <w:vAlign w:val="center"/>
          </w:tcPr>
          <w:p w14:paraId="48BDF9E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135.67</w:t>
            </w:r>
            <w:r>
              <w:rPr>
                <w:rFonts w:ascii="Times New Roman" w:hAnsi="Times New Roman" w:cs="Times New Roman"/>
                <w:color w:val="auto"/>
                <w:vertAlign w:val="superscript"/>
              </w:rPr>
              <w:t>a</w:t>
            </w:r>
          </w:p>
        </w:tc>
        <w:tc>
          <w:tcPr>
            <w:tcW w:w="1234" w:type="dxa"/>
            <w:noWrap/>
            <w:vAlign w:val="center"/>
          </w:tcPr>
          <w:p w14:paraId="3B29886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86.33</w:t>
            </w:r>
            <w:r>
              <w:rPr>
                <w:rFonts w:ascii="Times New Roman" w:hAnsi="Times New Roman" w:cs="Times New Roman"/>
                <w:color w:val="auto"/>
                <w:vertAlign w:val="superscript"/>
              </w:rPr>
              <w:t>c</w:t>
            </w:r>
          </w:p>
        </w:tc>
        <w:tc>
          <w:tcPr>
            <w:tcW w:w="1338" w:type="dxa"/>
            <w:noWrap/>
            <w:vAlign w:val="center"/>
          </w:tcPr>
          <w:p w14:paraId="4361F38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8.20</w:t>
            </w:r>
            <w:r>
              <w:rPr>
                <w:rFonts w:ascii="Times New Roman" w:hAnsi="Times New Roman" w:cs="Times New Roman"/>
                <w:color w:val="auto"/>
                <w:vertAlign w:val="superscript"/>
              </w:rPr>
              <w:t>ab</w:t>
            </w:r>
          </w:p>
        </w:tc>
        <w:tc>
          <w:tcPr>
            <w:tcW w:w="1338" w:type="dxa"/>
            <w:noWrap/>
            <w:vAlign w:val="center"/>
          </w:tcPr>
          <w:p w14:paraId="1FC8CA1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78.33</w:t>
            </w:r>
            <w:r>
              <w:rPr>
                <w:rFonts w:ascii="Times New Roman" w:hAnsi="Times New Roman" w:cs="Times New Roman"/>
                <w:color w:val="auto"/>
                <w:vertAlign w:val="superscript"/>
              </w:rPr>
              <w:t>cd</w:t>
            </w:r>
          </w:p>
        </w:tc>
        <w:tc>
          <w:tcPr>
            <w:tcW w:w="1354" w:type="dxa"/>
            <w:noWrap/>
            <w:vAlign w:val="center"/>
          </w:tcPr>
          <w:p w14:paraId="74FE208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12.73</w:t>
            </w:r>
            <w:r>
              <w:rPr>
                <w:rFonts w:ascii="Times New Roman" w:hAnsi="Times New Roman" w:cs="Times New Roman"/>
                <w:color w:val="auto"/>
                <w:vertAlign w:val="superscript"/>
              </w:rPr>
              <w:t>a</w:t>
            </w:r>
          </w:p>
        </w:tc>
      </w:tr>
      <w:tr w:rsidR="00F15FD7" w14:paraId="7144F090"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43A67149"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B+40% FC</w:t>
            </w:r>
          </w:p>
        </w:tc>
        <w:tc>
          <w:tcPr>
            <w:tcW w:w="1234" w:type="dxa"/>
            <w:tcBorders>
              <w:right w:val="nil"/>
            </w:tcBorders>
            <w:noWrap/>
            <w:vAlign w:val="center"/>
          </w:tcPr>
          <w:p w14:paraId="6354C7F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67.40</w:t>
            </w:r>
            <w:r>
              <w:rPr>
                <w:rFonts w:ascii="Times New Roman" w:hAnsi="Times New Roman" w:cs="Times New Roman"/>
                <w:vertAlign w:val="superscript"/>
              </w:rPr>
              <w:t>abc</w:t>
            </w:r>
          </w:p>
        </w:tc>
        <w:tc>
          <w:tcPr>
            <w:tcW w:w="1234" w:type="dxa"/>
            <w:tcBorders>
              <w:right w:val="nil"/>
            </w:tcBorders>
            <w:noWrap/>
            <w:vAlign w:val="center"/>
          </w:tcPr>
          <w:p w14:paraId="4689709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102.67</w:t>
            </w:r>
            <w:r>
              <w:rPr>
                <w:rFonts w:ascii="Times New Roman" w:hAnsi="Times New Roman" w:cs="Times New Roman"/>
                <w:color w:val="auto"/>
                <w:vertAlign w:val="superscript"/>
              </w:rPr>
              <w:t>cd</w:t>
            </w:r>
          </w:p>
        </w:tc>
        <w:tc>
          <w:tcPr>
            <w:tcW w:w="1234" w:type="dxa"/>
            <w:tcBorders>
              <w:right w:val="nil"/>
            </w:tcBorders>
            <w:noWrap/>
            <w:vAlign w:val="center"/>
          </w:tcPr>
          <w:p w14:paraId="21B1C48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76.69</w:t>
            </w:r>
            <w:r>
              <w:rPr>
                <w:rFonts w:ascii="Times New Roman" w:hAnsi="Times New Roman" w:cs="Times New Roman"/>
                <w:color w:val="auto"/>
                <w:vertAlign w:val="superscript"/>
              </w:rPr>
              <w:t>ab</w:t>
            </w:r>
          </w:p>
        </w:tc>
        <w:tc>
          <w:tcPr>
            <w:tcW w:w="1338" w:type="dxa"/>
            <w:tcBorders>
              <w:right w:val="nil"/>
            </w:tcBorders>
            <w:noWrap/>
            <w:vAlign w:val="center"/>
          </w:tcPr>
          <w:p w14:paraId="3BCD16D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9.43</w:t>
            </w:r>
            <w:r>
              <w:rPr>
                <w:rFonts w:ascii="Times New Roman" w:hAnsi="Times New Roman" w:cs="Times New Roman"/>
                <w:color w:val="auto"/>
                <w:vertAlign w:val="superscript"/>
              </w:rPr>
              <w:t>bc</w:t>
            </w:r>
          </w:p>
        </w:tc>
        <w:tc>
          <w:tcPr>
            <w:tcW w:w="1338" w:type="dxa"/>
            <w:tcBorders>
              <w:right w:val="nil"/>
            </w:tcBorders>
            <w:noWrap/>
            <w:vAlign w:val="center"/>
          </w:tcPr>
          <w:p w14:paraId="45F1AE2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68.00</w:t>
            </w:r>
            <w:r>
              <w:rPr>
                <w:rFonts w:ascii="Times New Roman" w:hAnsi="Times New Roman" w:cs="Times New Roman"/>
                <w:color w:val="auto"/>
                <w:vertAlign w:val="superscript"/>
              </w:rPr>
              <w:t>bc</w:t>
            </w:r>
          </w:p>
        </w:tc>
        <w:tc>
          <w:tcPr>
            <w:tcW w:w="1354" w:type="dxa"/>
            <w:tcBorders>
              <w:right w:val="nil"/>
            </w:tcBorders>
            <w:noWrap/>
            <w:vAlign w:val="center"/>
          </w:tcPr>
          <w:p w14:paraId="63B3515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16.50</w:t>
            </w:r>
            <w:r>
              <w:rPr>
                <w:rFonts w:ascii="Times New Roman" w:hAnsi="Times New Roman" w:cs="Times New Roman"/>
                <w:color w:val="auto"/>
                <w:vertAlign w:val="superscript"/>
              </w:rPr>
              <w:t>b</w:t>
            </w:r>
          </w:p>
        </w:tc>
      </w:tr>
      <w:tr w:rsidR="00F15FD7" w14:paraId="3D19AC83"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7CCDC2B7"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B+60% FC</w:t>
            </w:r>
          </w:p>
        </w:tc>
        <w:tc>
          <w:tcPr>
            <w:tcW w:w="1234" w:type="dxa"/>
            <w:noWrap/>
            <w:vAlign w:val="center"/>
          </w:tcPr>
          <w:p w14:paraId="7CB3D0C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55.93</w:t>
            </w:r>
            <w:r>
              <w:rPr>
                <w:rFonts w:ascii="Times New Roman" w:hAnsi="Times New Roman" w:cs="Times New Roman"/>
                <w:vertAlign w:val="superscript"/>
              </w:rPr>
              <w:t>ab</w:t>
            </w:r>
          </w:p>
        </w:tc>
        <w:tc>
          <w:tcPr>
            <w:tcW w:w="1234" w:type="dxa"/>
            <w:noWrap/>
            <w:vAlign w:val="center"/>
          </w:tcPr>
          <w:p w14:paraId="195E3F1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102.67</w:t>
            </w:r>
            <w:r>
              <w:rPr>
                <w:rFonts w:ascii="Times New Roman" w:hAnsi="Times New Roman" w:cs="Times New Roman"/>
                <w:color w:val="auto"/>
                <w:vertAlign w:val="superscript"/>
              </w:rPr>
              <w:t>c</w:t>
            </w:r>
          </w:p>
        </w:tc>
        <w:tc>
          <w:tcPr>
            <w:tcW w:w="1234" w:type="dxa"/>
            <w:noWrap/>
            <w:vAlign w:val="center"/>
          </w:tcPr>
          <w:p w14:paraId="4FA6F72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101.02</w:t>
            </w:r>
            <w:r>
              <w:rPr>
                <w:rFonts w:ascii="Times New Roman" w:hAnsi="Times New Roman" w:cs="Times New Roman"/>
                <w:color w:val="auto"/>
                <w:vertAlign w:val="superscript"/>
              </w:rPr>
              <w:t>d</w:t>
            </w:r>
          </w:p>
        </w:tc>
        <w:tc>
          <w:tcPr>
            <w:tcW w:w="1338" w:type="dxa"/>
            <w:noWrap/>
            <w:vAlign w:val="center"/>
          </w:tcPr>
          <w:p w14:paraId="5364439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9.83</w:t>
            </w:r>
            <w:r>
              <w:rPr>
                <w:rFonts w:ascii="Times New Roman" w:hAnsi="Times New Roman" w:cs="Times New Roman"/>
                <w:color w:val="auto"/>
                <w:vertAlign w:val="superscript"/>
              </w:rPr>
              <w:t>bc</w:t>
            </w:r>
          </w:p>
        </w:tc>
        <w:tc>
          <w:tcPr>
            <w:tcW w:w="1338" w:type="dxa"/>
            <w:noWrap/>
            <w:vAlign w:val="center"/>
          </w:tcPr>
          <w:p w14:paraId="48811EE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80.00</w:t>
            </w:r>
            <w:r>
              <w:rPr>
                <w:rFonts w:ascii="Times New Roman" w:hAnsi="Times New Roman" w:cs="Times New Roman"/>
                <w:color w:val="auto"/>
                <w:vertAlign w:val="superscript"/>
              </w:rPr>
              <w:t>cd</w:t>
            </w:r>
          </w:p>
        </w:tc>
        <w:tc>
          <w:tcPr>
            <w:tcW w:w="1354" w:type="dxa"/>
            <w:noWrap/>
            <w:vAlign w:val="center"/>
          </w:tcPr>
          <w:p w14:paraId="1C8BDFE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18.73</w:t>
            </w:r>
            <w:r>
              <w:rPr>
                <w:rFonts w:ascii="Times New Roman" w:hAnsi="Times New Roman" w:cs="Times New Roman"/>
                <w:color w:val="auto"/>
                <w:vertAlign w:val="superscript"/>
              </w:rPr>
              <w:t>ab</w:t>
            </w:r>
          </w:p>
        </w:tc>
      </w:tr>
      <w:tr w:rsidR="00F15FD7" w14:paraId="370AB231"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CFBE047"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B+100% FC</w:t>
            </w:r>
          </w:p>
        </w:tc>
        <w:tc>
          <w:tcPr>
            <w:tcW w:w="1234" w:type="dxa"/>
            <w:tcBorders>
              <w:right w:val="nil"/>
            </w:tcBorders>
            <w:noWrap/>
            <w:vAlign w:val="center"/>
          </w:tcPr>
          <w:p w14:paraId="05D7D09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74.29</w:t>
            </w:r>
            <w:r>
              <w:rPr>
                <w:rFonts w:ascii="Times New Roman" w:hAnsi="Times New Roman" w:cs="Times New Roman"/>
                <w:vertAlign w:val="superscript"/>
              </w:rPr>
              <w:t>c</w:t>
            </w:r>
          </w:p>
        </w:tc>
        <w:tc>
          <w:tcPr>
            <w:tcW w:w="1234" w:type="dxa"/>
            <w:tcBorders>
              <w:right w:val="nil"/>
            </w:tcBorders>
            <w:noWrap/>
            <w:vAlign w:val="center"/>
          </w:tcPr>
          <w:p w14:paraId="436A3807"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120.67</w:t>
            </w:r>
            <w:r>
              <w:rPr>
                <w:rFonts w:ascii="Times New Roman" w:hAnsi="Times New Roman" w:cs="Times New Roman"/>
                <w:color w:val="auto"/>
                <w:vertAlign w:val="superscript"/>
              </w:rPr>
              <w:t>b</w:t>
            </w:r>
          </w:p>
        </w:tc>
        <w:tc>
          <w:tcPr>
            <w:tcW w:w="1234" w:type="dxa"/>
            <w:tcBorders>
              <w:right w:val="nil"/>
            </w:tcBorders>
            <w:noWrap/>
            <w:vAlign w:val="center"/>
          </w:tcPr>
          <w:p w14:paraId="5CF4321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71.74a</w:t>
            </w:r>
            <w:r>
              <w:rPr>
                <w:rFonts w:ascii="Times New Roman" w:hAnsi="Times New Roman" w:cs="Times New Roman"/>
                <w:color w:val="auto"/>
                <w:vertAlign w:val="superscript"/>
              </w:rPr>
              <w:t>b</w:t>
            </w:r>
          </w:p>
        </w:tc>
        <w:tc>
          <w:tcPr>
            <w:tcW w:w="1338" w:type="dxa"/>
            <w:tcBorders>
              <w:right w:val="nil"/>
            </w:tcBorders>
            <w:noWrap/>
            <w:vAlign w:val="center"/>
          </w:tcPr>
          <w:p w14:paraId="1F329C7C"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8.93</w:t>
            </w:r>
            <w:r>
              <w:rPr>
                <w:rFonts w:ascii="Times New Roman" w:hAnsi="Times New Roman" w:cs="Times New Roman"/>
                <w:color w:val="auto"/>
                <w:vertAlign w:val="superscript"/>
              </w:rPr>
              <w:t>b</w:t>
            </w:r>
          </w:p>
        </w:tc>
        <w:tc>
          <w:tcPr>
            <w:tcW w:w="1338" w:type="dxa"/>
            <w:tcBorders>
              <w:right w:val="nil"/>
            </w:tcBorders>
            <w:noWrap/>
            <w:vAlign w:val="center"/>
          </w:tcPr>
          <w:p w14:paraId="73AA0BB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86.33</w:t>
            </w:r>
            <w:r>
              <w:rPr>
                <w:rFonts w:ascii="Times New Roman" w:hAnsi="Times New Roman" w:cs="Times New Roman"/>
                <w:color w:val="auto"/>
                <w:vertAlign w:val="superscript"/>
              </w:rPr>
              <w:t>cde</w:t>
            </w:r>
          </w:p>
        </w:tc>
        <w:tc>
          <w:tcPr>
            <w:tcW w:w="1354" w:type="dxa"/>
            <w:tcBorders>
              <w:right w:val="nil"/>
            </w:tcBorders>
            <w:noWrap/>
            <w:vAlign w:val="center"/>
          </w:tcPr>
          <w:p w14:paraId="5D91A24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14.13</w:t>
            </w:r>
            <w:r>
              <w:rPr>
                <w:rFonts w:ascii="Times New Roman" w:hAnsi="Times New Roman" w:cs="Times New Roman"/>
                <w:color w:val="auto"/>
                <w:vertAlign w:val="superscript"/>
              </w:rPr>
              <w:t>ab</w:t>
            </w:r>
          </w:p>
        </w:tc>
      </w:tr>
      <w:tr w:rsidR="00F15FD7" w14:paraId="6EBE637B"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3062D114"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T+40% FC</w:t>
            </w:r>
          </w:p>
        </w:tc>
        <w:tc>
          <w:tcPr>
            <w:tcW w:w="1234" w:type="dxa"/>
            <w:noWrap/>
            <w:vAlign w:val="center"/>
          </w:tcPr>
          <w:p w14:paraId="59FBA67C"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68.70</w:t>
            </w:r>
            <w:r>
              <w:rPr>
                <w:rFonts w:ascii="Times New Roman" w:hAnsi="Times New Roman" w:cs="Times New Roman"/>
                <w:vertAlign w:val="superscript"/>
              </w:rPr>
              <w:t>abc</w:t>
            </w:r>
          </w:p>
        </w:tc>
        <w:tc>
          <w:tcPr>
            <w:tcW w:w="1234" w:type="dxa"/>
            <w:noWrap/>
            <w:vAlign w:val="center"/>
          </w:tcPr>
          <w:p w14:paraId="262EC20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96.33</w:t>
            </w:r>
            <w:r>
              <w:rPr>
                <w:rFonts w:ascii="Times New Roman" w:hAnsi="Times New Roman" w:cs="Times New Roman"/>
                <w:color w:val="auto"/>
                <w:vertAlign w:val="superscript"/>
              </w:rPr>
              <w:t>a</w:t>
            </w:r>
          </w:p>
        </w:tc>
        <w:tc>
          <w:tcPr>
            <w:tcW w:w="1234" w:type="dxa"/>
            <w:noWrap/>
            <w:vAlign w:val="center"/>
          </w:tcPr>
          <w:p w14:paraId="6AD7793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87.44</w:t>
            </w:r>
            <w:r>
              <w:rPr>
                <w:rFonts w:ascii="Times New Roman" w:hAnsi="Times New Roman" w:cs="Times New Roman"/>
                <w:color w:val="auto"/>
                <w:vertAlign w:val="superscript"/>
              </w:rPr>
              <w:t>bc</w:t>
            </w:r>
          </w:p>
        </w:tc>
        <w:tc>
          <w:tcPr>
            <w:tcW w:w="1338" w:type="dxa"/>
            <w:noWrap/>
            <w:vAlign w:val="center"/>
          </w:tcPr>
          <w:p w14:paraId="6751FC8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8.83</w:t>
            </w:r>
            <w:r>
              <w:rPr>
                <w:rFonts w:ascii="Times New Roman" w:hAnsi="Times New Roman" w:cs="Times New Roman"/>
                <w:color w:val="auto"/>
                <w:vertAlign w:val="superscript"/>
              </w:rPr>
              <w:t>b</w:t>
            </w:r>
          </w:p>
        </w:tc>
        <w:tc>
          <w:tcPr>
            <w:tcW w:w="1338" w:type="dxa"/>
            <w:noWrap/>
            <w:vAlign w:val="center"/>
          </w:tcPr>
          <w:p w14:paraId="4F52E22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71.67</w:t>
            </w:r>
            <w:r>
              <w:rPr>
                <w:rFonts w:ascii="Times New Roman" w:hAnsi="Times New Roman" w:cs="Times New Roman"/>
                <w:color w:val="auto"/>
                <w:vertAlign w:val="superscript"/>
              </w:rPr>
              <w:t>c</w:t>
            </w:r>
          </w:p>
        </w:tc>
        <w:tc>
          <w:tcPr>
            <w:tcW w:w="1354" w:type="dxa"/>
            <w:noWrap/>
            <w:vAlign w:val="center"/>
          </w:tcPr>
          <w:p w14:paraId="39BBA53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14.40</w:t>
            </w:r>
            <w:r>
              <w:rPr>
                <w:rFonts w:ascii="Times New Roman" w:hAnsi="Times New Roman" w:cs="Times New Roman"/>
                <w:color w:val="auto"/>
                <w:vertAlign w:val="superscript"/>
              </w:rPr>
              <w:t>ab</w:t>
            </w:r>
          </w:p>
        </w:tc>
      </w:tr>
      <w:tr w:rsidR="00F15FD7" w14:paraId="1E5C368E"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8FB557B"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T+60% FC</w:t>
            </w:r>
          </w:p>
        </w:tc>
        <w:tc>
          <w:tcPr>
            <w:tcW w:w="1234" w:type="dxa"/>
            <w:tcBorders>
              <w:right w:val="nil"/>
            </w:tcBorders>
            <w:noWrap/>
            <w:vAlign w:val="center"/>
          </w:tcPr>
          <w:p w14:paraId="7D0B037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55.70</w:t>
            </w:r>
            <w:r>
              <w:rPr>
                <w:rFonts w:ascii="Times New Roman" w:hAnsi="Times New Roman" w:cs="Times New Roman"/>
                <w:vertAlign w:val="superscript"/>
              </w:rPr>
              <w:t>ab</w:t>
            </w:r>
          </w:p>
        </w:tc>
        <w:tc>
          <w:tcPr>
            <w:tcW w:w="1234" w:type="dxa"/>
            <w:tcBorders>
              <w:right w:val="nil"/>
            </w:tcBorders>
            <w:noWrap/>
            <w:vAlign w:val="center"/>
          </w:tcPr>
          <w:p w14:paraId="2A908D0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115.00</w:t>
            </w:r>
            <w:r>
              <w:rPr>
                <w:rFonts w:ascii="Times New Roman" w:hAnsi="Times New Roman" w:cs="Times New Roman"/>
                <w:color w:val="auto"/>
                <w:vertAlign w:val="superscript"/>
              </w:rPr>
              <w:t>cd</w:t>
            </w:r>
          </w:p>
        </w:tc>
        <w:tc>
          <w:tcPr>
            <w:tcW w:w="1234" w:type="dxa"/>
            <w:tcBorders>
              <w:right w:val="nil"/>
            </w:tcBorders>
            <w:noWrap/>
            <w:vAlign w:val="center"/>
          </w:tcPr>
          <w:p w14:paraId="067FF4C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96.06</w:t>
            </w:r>
            <w:r>
              <w:rPr>
                <w:rFonts w:ascii="Times New Roman" w:hAnsi="Times New Roman" w:cs="Times New Roman"/>
                <w:color w:val="auto"/>
                <w:vertAlign w:val="superscript"/>
              </w:rPr>
              <w:t>c</w:t>
            </w:r>
          </w:p>
        </w:tc>
        <w:tc>
          <w:tcPr>
            <w:tcW w:w="1338" w:type="dxa"/>
            <w:tcBorders>
              <w:right w:val="nil"/>
            </w:tcBorders>
            <w:noWrap/>
            <w:vAlign w:val="center"/>
          </w:tcPr>
          <w:p w14:paraId="75DE53F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8.43</w:t>
            </w:r>
            <w:r>
              <w:rPr>
                <w:rFonts w:ascii="Times New Roman" w:hAnsi="Times New Roman" w:cs="Times New Roman"/>
                <w:color w:val="auto"/>
                <w:vertAlign w:val="superscript"/>
              </w:rPr>
              <w:t>b</w:t>
            </w:r>
          </w:p>
        </w:tc>
        <w:tc>
          <w:tcPr>
            <w:tcW w:w="1338" w:type="dxa"/>
            <w:tcBorders>
              <w:right w:val="nil"/>
            </w:tcBorders>
            <w:noWrap/>
            <w:vAlign w:val="center"/>
          </w:tcPr>
          <w:p w14:paraId="6D47936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95.00</w:t>
            </w:r>
            <w:r>
              <w:rPr>
                <w:rFonts w:ascii="Times New Roman" w:hAnsi="Times New Roman" w:cs="Times New Roman"/>
                <w:color w:val="auto"/>
                <w:vertAlign w:val="superscript"/>
              </w:rPr>
              <w:t>de</w:t>
            </w:r>
          </w:p>
        </w:tc>
        <w:tc>
          <w:tcPr>
            <w:tcW w:w="1354" w:type="dxa"/>
            <w:tcBorders>
              <w:right w:val="nil"/>
            </w:tcBorders>
            <w:noWrap/>
            <w:vAlign w:val="center"/>
          </w:tcPr>
          <w:p w14:paraId="6DEFAA11"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14.73</w:t>
            </w:r>
            <w:r>
              <w:rPr>
                <w:rFonts w:ascii="Times New Roman" w:hAnsi="Times New Roman" w:cs="Times New Roman"/>
                <w:color w:val="auto"/>
                <w:vertAlign w:val="superscript"/>
              </w:rPr>
              <w:t>a</w:t>
            </w:r>
          </w:p>
        </w:tc>
      </w:tr>
      <w:tr w:rsidR="00F15FD7" w14:paraId="6E9D20A4"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52A59A1C"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T+100% FC</w:t>
            </w:r>
          </w:p>
        </w:tc>
        <w:tc>
          <w:tcPr>
            <w:tcW w:w="1234" w:type="dxa"/>
            <w:noWrap/>
            <w:vAlign w:val="center"/>
          </w:tcPr>
          <w:p w14:paraId="36160AA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76.13</w:t>
            </w:r>
            <w:r>
              <w:rPr>
                <w:rFonts w:ascii="Times New Roman" w:hAnsi="Times New Roman" w:cs="Times New Roman"/>
                <w:vertAlign w:val="superscript"/>
              </w:rPr>
              <w:t>c</w:t>
            </w:r>
          </w:p>
        </w:tc>
        <w:tc>
          <w:tcPr>
            <w:tcW w:w="1234" w:type="dxa"/>
            <w:noWrap/>
            <w:vAlign w:val="center"/>
          </w:tcPr>
          <w:p w14:paraId="06A454E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113.00</w:t>
            </w:r>
            <w:r>
              <w:rPr>
                <w:rFonts w:ascii="Times New Roman" w:hAnsi="Times New Roman" w:cs="Times New Roman"/>
                <w:color w:val="auto"/>
                <w:vertAlign w:val="superscript"/>
              </w:rPr>
              <w:t>b</w:t>
            </w:r>
          </w:p>
        </w:tc>
        <w:tc>
          <w:tcPr>
            <w:tcW w:w="1234" w:type="dxa"/>
            <w:noWrap/>
            <w:vAlign w:val="center"/>
          </w:tcPr>
          <w:p w14:paraId="695A1BC0"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79.60</w:t>
            </w:r>
            <w:r>
              <w:rPr>
                <w:rFonts w:ascii="Times New Roman" w:hAnsi="Times New Roman" w:cs="Times New Roman"/>
                <w:color w:val="auto"/>
                <w:vertAlign w:val="superscript"/>
              </w:rPr>
              <w:t>ab</w:t>
            </w:r>
          </w:p>
        </w:tc>
        <w:tc>
          <w:tcPr>
            <w:tcW w:w="1338" w:type="dxa"/>
            <w:noWrap/>
            <w:vAlign w:val="center"/>
          </w:tcPr>
          <w:p w14:paraId="40E77BE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8.33</w:t>
            </w:r>
            <w:r>
              <w:rPr>
                <w:rFonts w:ascii="Times New Roman" w:hAnsi="Times New Roman" w:cs="Times New Roman"/>
                <w:color w:val="auto"/>
                <w:vertAlign w:val="superscript"/>
              </w:rPr>
              <w:t>ab</w:t>
            </w:r>
          </w:p>
        </w:tc>
        <w:tc>
          <w:tcPr>
            <w:tcW w:w="1338" w:type="dxa"/>
            <w:noWrap/>
            <w:vAlign w:val="center"/>
          </w:tcPr>
          <w:p w14:paraId="0B8A118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87.00</w:t>
            </w:r>
            <w:r>
              <w:rPr>
                <w:rFonts w:ascii="Times New Roman" w:hAnsi="Times New Roman" w:cs="Times New Roman"/>
                <w:color w:val="auto"/>
                <w:vertAlign w:val="superscript"/>
              </w:rPr>
              <w:t>d</w:t>
            </w:r>
          </w:p>
        </w:tc>
        <w:tc>
          <w:tcPr>
            <w:tcW w:w="1354" w:type="dxa"/>
            <w:noWrap/>
            <w:vAlign w:val="center"/>
          </w:tcPr>
          <w:p w14:paraId="4ACE7CF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15.70</w:t>
            </w:r>
            <w:r>
              <w:rPr>
                <w:rFonts w:ascii="Times New Roman" w:hAnsi="Times New Roman" w:cs="Times New Roman"/>
                <w:color w:val="auto"/>
                <w:vertAlign w:val="superscript"/>
              </w:rPr>
              <w:t>ab</w:t>
            </w:r>
          </w:p>
        </w:tc>
      </w:tr>
      <w:tr w:rsidR="00F15FD7" w14:paraId="335B5ECE"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CFA18A9"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B+T+40% FC</w:t>
            </w:r>
          </w:p>
        </w:tc>
        <w:tc>
          <w:tcPr>
            <w:tcW w:w="1234" w:type="dxa"/>
            <w:tcBorders>
              <w:right w:val="nil"/>
            </w:tcBorders>
            <w:noWrap/>
            <w:vAlign w:val="center"/>
          </w:tcPr>
          <w:p w14:paraId="4190C03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51.40</w:t>
            </w:r>
            <w:r>
              <w:rPr>
                <w:rFonts w:ascii="Times New Roman" w:hAnsi="Times New Roman" w:cs="Times New Roman"/>
                <w:vertAlign w:val="superscript"/>
              </w:rPr>
              <w:t>ab</w:t>
            </w:r>
          </w:p>
        </w:tc>
        <w:tc>
          <w:tcPr>
            <w:tcW w:w="1234" w:type="dxa"/>
            <w:tcBorders>
              <w:right w:val="nil"/>
            </w:tcBorders>
            <w:noWrap/>
            <w:vAlign w:val="center"/>
          </w:tcPr>
          <w:p w14:paraId="692B005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79.67</w:t>
            </w:r>
            <w:r>
              <w:rPr>
                <w:rFonts w:ascii="Times New Roman" w:hAnsi="Times New Roman" w:cs="Times New Roman"/>
                <w:color w:val="auto"/>
                <w:vertAlign w:val="superscript"/>
              </w:rPr>
              <w:t>ab</w:t>
            </w:r>
          </w:p>
        </w:tc>
        <w:tc>
          <w:tcPr>
            <w:tcW w:w="1234" w:type="dxa"/>
            <w:tcBorders>
              <w:right w:val="nil"/>
            </w:tcBorders>
            <w:noWrap/>
            <w:vAlign w:val="center"/>
          </w:tcPr>
          <w:p w14:paraId="31B97EF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91.34</w:t>
            </w:r>
            <w:r>
              <w:rPr>
                <w:rFonts w:ascii="Times New Roman" w:hAnsi="Times New Roman" w:cs="Times New Roman"/>
                <w:color w:val="auto"/>
                <w:vertAlign w:val="superscript"/>
              </w:rPr>
              <w:t>c</w:t>
            </w:r>
          </w:p>
        </w:tc>
        <w:tc>
          <w:tcPr>
            <w:tcW w:w="1338" w:type="dxa"/>
            <w:tcBorders>
              <w:right w:val="nil"/>
            </w:tcBorders>
            <w:noWrap/>
            <w:vAlign w:val="center"/>
          </w:tcPr>
          <w:p w14:paraId="3449D19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8.83</w:t>
            </w:r>
            <w:r>
              <w:rPr>
                <w:rFonts w:ascii="Times New Roman" w:hAnsi="Times New Roman" w:cs="Times New Roman"/>
                <w:color w:val="auto"/>
                <w:vertAlign w:val="superscript"/>
              </w:rPr>
              <w:t>b</w:t>
            </w:r>
          </w:p>
        </w:tc>
        <w:tc>
          <w:tcPr>
            <w:tcW w:w="1338" w:type="dxa"/>
            <w:tcBorders>
              <w:right w:val="nil"/>
            </w:tcBorders>
            <w:noWrap/>
            <w:vAlign w:val="center"/>
          </w:tcPr>
          <w:p w14:paraId="0EFB0067"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70.33</w:t>
            </w:r>
            <w:r>
              <w:rPr>
                <w:rFonts w:ascii="Times New Roman" w:hAnsi="Times New Roman" w:cs="Times New Roman"/>
                <w:color w:val="auto"/>
                <w:vertAlign w:val="superscript"/>
              </w:rPr>
              <w:t>cd</w:t>
            </w:r>
          </w:p>
        </w:tc>
        <w:tc>
          <w:tcPr>
            <w:tcW w:w="1354" w:type="dxa"/>
            <w:tcBorders>
              <w:right w:val="nil"/>
            </w:tcBorders>
            <w:noWrap/>
            <w:vAlign w:val="center"/>
          </w:tcPr>
          <w:p w14:paraId="4E4B21C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15.83</w:t>
            </w:r>
            <w:r>
              <w:rPr>
                <w:rFonts w:ascii="Times New Roman" w:hAnsi="Times New Roman" w:cs="Times New Roman"/>
                <w:color w:val="auto"/>
                <w:vertAlign w:val="superscript"/>
              </w:rPr>
              <w:t>ab</w:t>
            </w:r>
          </w:p>
        </w:tc>
      </w:tr>
      <w:tr w:rsidR="00F15FD7" w14:paraId="143C5B5D" w14:textId="77777777" w:rsidTr="00F15FD7">
        <w:trPr>
          <w:trHeight w:val="498"/>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5350CF50"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B+T+60% FC</w:t>
            </w:r>
          </w:p>
        </w:tc>
        <w:tc>
          <w:tcPr>
            <w:tcW w:w="1234" w:type="dxa"/>
            <w:noWrap/>
            <w:vAlign w:val="center"/>
          </w:tcPr>
          <w:p w14:paraId="5E2E1F0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78.70</w:t>
            </w:r>
            <w:r>
              <w:rPr>
                <w:rFonts w:ascii="Times New Roman" w:hAnsi="Times New Roman" w:cs="Times New Roman"/>
                <w:vertAlign w:val="superscript"/>
              </w:rPr>
              <w:t>c</w:t>
            </w:r>
          </w:p>
        </w:tc>
        <w:tc>
          <w:tcPr>
            <w:tcW w:w="1234" w:type="dxa"/>
            <w:noWrap/>
            <w:vAlign w:val="center"/>
          </w:tcPr>
          <w:p w14:paraId="2A69501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169.67</w:t>
            </w:r>
            <w:r>
              <w:rPr>
                <w:rFonts w:ascii="Times New Roman" w:hAnsi="Times New Roman" w:cs="Times New Roman"/>
                <w:color w:val="auto"/>
                <w:vertAlign w:val="superscript"/>
              </w:rPr>
              <w:t>f</w:t>
            </w:r>
          </w:p>
        </w:tc>
        <w:tc>
          <w:tcPr>
            <w:tcW w:w="1234" w:type="dxa"/>
            <w:noWrap/>
            <w:vAlign w:val="center"/>
          </w:tcPr>
          <w:p w14:paraId="2533836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101.02</w:t>
            </w:r>
            <w:r>
              <w:rPr>
                <w:rFonts w:ascii="Times New Roman" w:hAnsi="Times New Roman" w:cs="Times New Roman"/>
                <w:color w:val="auto"/>
                <w:vertAlign w:val="superscript"/>
              </w:rPr>
              <w:t>d</w:t>
            </w:r>
          </w:p>
        </w:tc>
        <w:tc>
          <w:tcPr>
            <w:tcW w:w="1338" w:type="dxa"/>
            <w:noWrap/>
            <w:vAlign w:val="center"/>
          </w:tcPr>
          <w:p w14:paraId="44453E4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10.77</w:t>
            </w:r>
            <w:r>
              <w:rPr>
                <w:rFonts w:ascii="Times New Roman" w:hAnsi="Times New Roman" w:cs="Times New Roman"/>
                <w:color w:val="auto"/>
                <w:vertAlign w:val="superscript"/>
              </w:rPr>
              <w:t>c</w:t>
            </w:r>
          </w:p>
        </w:tc>
        <w:tc>
          <w:tcPr>
            <w:tcW w:w="1338" w:type="dxa"/>
            <w:noWrap/>
            <w:vAlign w:val="center"/>
          </w:tcPr>
          <w:p w14:paraId="2F73935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90.67</w:t>
            </w:r>
            <w:r>
              <w:rPr>
                <w:rFonts w:ascii="Times New Roman" w:hAnsi="Times New Roman" w:cs="Times New Roman"/>
                <w:color w:val="auto"/>
                <w:vertAlign w:val="superscript"/>
              </w:rPr>
              <w:t>d</w:t>
            </w:r>
          </w:p>
        </w:tc>
        <w:tc>
          <w:tcPr>
            <w:tcW w:w="1354" w:type="dxa"/>
            <w:noWrap/>
            <w:vAlign w:val="center"/>
          </w:tcPr>
          <w:p w14:paraId="7FE8777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15.10</w:t>
            </w:r>
            <w:r>
              <w:rPr>
                <w:rFonts w:ascii="Times New Roman" w:hAnsi="Times New Roman" w:cs="Times New Roman"/>
                <w:color w:val="auto"/>
                <w:vertAlign w:val="superscript"/>
              </w:rPr>
              <w:t>ab</w:t>
            </w:r>
          </w:p>
        </w:tc>
      </w:tr>
      <w:tr w:rsidR="00F15FD7" w14:paraId="733714FC"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6A89C2BE"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B+T+100%FC</w:t>
            </w:r>
          </w:p>
        </w:tc>
        <w:tc>
          <w:tcPr>
            <w:tcW w:w="1234" w:type="dxa"/>
            <w:tcBorders>
              <w:right w:val="nil"/>
            </w:tcBorders>
            <w:noWrap/>
            <w:vAlign w:val="center"/>
          </w:tcPr>
          <w:p w14:paraId="4200E98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90.27</w:t>
            </w:r>
            <w:r>
              <w:rPr>
                <w:rFonts w:ascii="Times New Roman" w:hAnsi="Times New Roman" w:cs="Times New Roman"/>
                <w:vertAlign w:val="superscript"/>
              </w:rPr>
              <w:t>d</w:t>
            </w:r>
          </w:p>
        </w:tc>
        <w:tc>
          <w:tcPr>
            <w:tcW w:w="1234" w:type="dxa"/>
            <w:tcBorders>
              <w:right w:val="nil"/>
            </w:tcBorders>
            <w:noWrap/>
            <w:vAlign w:val="center"/>
          </w:tcPr>
          <w:p w14:paraId="380CFA6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126.00</w:t>
            </w:r>
            <w:r>
              <w:rPr>
                <w:rFonts w:ascii="Times New Roman" w:hAnsi="Times New Roman" w:cs="Times New Roman"/>
                <w:color w:val="auto"/>
                <w:vertAlign w:val="superscript"/>
              </w:rPr>
              <w:t>de</w:t>
            </w:r>
          </w:p>
        </w:tc>
        <w:tc>
          <w:tcPr>
            <w:tcW w:w="1234" w:type="dxa"/>
            <w:tcBorders>
              <w:right w:val="nil"/>
            </w:tcBorders>
            <w:noWrap/>
            <w:vAlign w:val="center"/>
          </w:tcPr>
          <w:p w14:paraId="64EFFB84"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166.69</w:t>
            </w:r>
            <w:r>
              <w:rPr>
                <w:rFonts w:ascii="Times New Roman" w:hAnsi="Times New Roman" w:cs="Times New Roman"/>
                <w:color w:val="auto"/>
                <w:vertAlign w:val="superscript"/>
              </w:rPr>
              <w:t>e</w:t>
            </w:r>
          </w:p>
        </w:tc>
        <w:tc>
          <w:tcPr>
            <w:tcW w:w="1338" w:type="dxa"/>
            <w:tcBorders>
              <w:right w:val="nil"/>
            </w:tcBorders>
            <w:noWrap/>
            <w:vAlign w:val="center"/>
          </w:tcPr>
          <w:p w14:paraId="6590E19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10.83</w:t>
            </w:r>
            <w:r>
              <w:rPr>
                <w:rFonts w:ascii="Times New Roman" w:hAnsi="Times New Roman" w:cs="Times New Roman"/>
                <w:color w:val="auto"/>
                <w:vertAlign w:val="superscript"/>
              </w:rPr>
              <w:t>c</w:t>
            </w:r>
          </w:p>
        </w:tc>
        <w:tc>
          <w:tcPr>
            <w:tcW w:w="1338" w:type="dxa"/>
            <w:tcBorders>
              <w:right w:val="nil"/>
            </w:tcBorders>
            <w:noWrap/>
            <w:vAlign w:val="center"/>
          </w:tcPr>
          <w:p w14:paraId="022AB074"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125.00</w:t>
            </w:r>
            <w:r>
              <w:rPr>
                <w:rFonts w:ascii="Times New Roman" w:hAnsi="Times New Roman" w:cs="Times New Roman"/>
                <w:color w:val="auto"/>
                <w:vertAlign w:val="superscript"/>
              </w:rPr>
              <w:t>f</w:t>
            </w:r>
          </w:p>
        </w:tc>
        <w:tc>
          <w:tcPr>
            <w:tcW w:w="1354" w:type="dxa"/>
            <w:tcBorders>
              <w:right w:val="nil"/>
            </w:tcBorders>
            <w:noWrap/>
            <w:vAlign w:val="center"/>
          </w:tcPr>
          <w:p w14:paraId="3AC002C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19.00</w:t>
            </w:r>
            <w:r>
              <w:rPr>
                <w:rFonts w:ascii="Times New Roman" w:hAnsi="Times New Roman" w:cs="Times New Roman"/>
                <w:color w:val="auto"/>
                <w:vertAlign w:val="superscript"/>
              </w:rPr>
              <w:t>c</w:t>
            </w:r>
          </w:p>
        </w:tc>
      </w:tr>
    </w:tbl>
    <w:p w14:paraId="232CFB17" w14:textId="77777777" w:rsidR="00F15FD7" w:rsidRDefault="00563E74">
      <w:pPr>
        <w:tabs>
          <w:tab w:val="left" w:pos="2880"/>
        </w:tabs>
        <w:spacing w:after="0" w:line="276" w:lineRule="auto"/>
        <w:ind w:right="-784"/>
        <w:rPr>
          <w:rFonts w:ascii="Times New Roman" w:hAnsi="Times New Roman" w:cs="Times New Roman"/>
          <w:iCs/>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iCs/>
        </w:rPr>
        <w:t>, WAT= Weeks after treatment application.</w:t>
      </w:r>
    </w:p>
    <w:p w14:paraId="0FA9586E" w14:textId="77777777" w:rsidR="00F15FD7" w:rsidRDefault="00F15FD7">
      <w:pPr>
        <w:spacing w:line="360" w:lineRule="auto"/>
        <w:ind w:right="-180"/>
        <w:jc w:val="both"/>
        <w:rPr>
          <w:rFonts w:ascii="Times New Roman" w:hAnsi="Times New Roman" w:cs="Times New Roman"/>
        </w:rPr>
      </w:pPr>
    </w:p>
    <w:p w14:paraId="6EB23AD7" w14:textId="77777777" w:rsidR="00F15FD7" w:rsidRDefault="00F15FD7">
      <w:pPr>
        <w:spacing w:line="360" w:lineRule="auto"/>
        <w:ind w:right="-180"/>
        <w:jc w:val="both"/>
        <w:rPr>
          <w:rFonts w:ascii="Times New Roman" w:hAnsi="Times New Roman" w:cs="Times New Roman"/>
        </w:rPr>
      </w:pPr>
    </w:p>
    <w:p w14:paraId="468843DD" w14:textId="77777777" w:rsidR="00F15FD7" w:rsidRDefault="00563E74">
      <w:pPr>
        <w:spacing w:line="360" w:lineRule="auto"/>
        <w:ind w:right="-180"/>
        <w:jc w:val="both"/>
        <w:rPr>
          <w:rFonts w:ascii="Times New Roman" w:hAnsi="Times New Roman" w:cs="Times New Roman"/>
          <w:b/>
          <w:bCs/>
        </w:rPr>
      </w:pPr>
      <w:r>
        <w:rPr>
          <w:rFonts w:ascii="Times New Roman" w:hAnsi="Times New Roman" w:cs="Times New Roman"/>
          <w:b/>
          <w:bCs/>
        </w:rPr>
        <w:t xml:space="preserve">3.3. Effects on pepper biomass yields </w:t>
      </w:r>
    </w:p>
    <w:p w14:paraId="74A05591" w14:textId="77777777" w:rsidR="00F15FD7" w:rsidRDefault="00563E74">
      <w:pPr>
        <w:spacing w:line="360" w:lineRule="auto"/>
        <w:ind w:right="-180"/>
        <w:jc w:val="both"/>
        <w:rPr>
          <w:rFonts w:ascii="Times New Roman" w:hAnsi="Times New Roman" w:cs="Times New Roman"/>
        </w:rPr>
      </w:pPr>
      <w:r>
        <w:rPr>
          <w:rFonts w:ascii="Times New Roman" w:hAnsi="Times New Roman" w:cs="Times New Roman"/>
        </w:rPr>
        <w:t xml:space="preserve">Table 3 shows that both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i/>
          <w:iCs/>
        </w:rPr>
        <w:t>,</w:t>
      </w:r>
      <w:r>
        <w:rPr>
          <w:rFonts w:ascii="Times New Roman" w:hAnsi="Times New Roman" w:cs="Times New Roman"/>
        </w:rPr>
        <w:t xml:space="preserve"> individually and in combination, increased fresh and dry weights of pepper roots, leaves, and stems compared to untreated plants. For example, root fresh weight reached 14.93 g under biochar alone and 14.31 g under B+T at 100% FC, while leaf fresh weight peaked at 24.06 g under T+40% FC. Stem fresh weight was highest (26.97 g) under B+T at 60% FC. Overall, the combination of biochar and </w:t>
      </w:r>
      <w:r>
        <w:rPr>
          <w:rFonts w:ascii="Times New Roman" w:hAnsi="Times New Roman" w:cs="Times New Roman"/>
          <w:i/>
          <w:iCs/>
        </w:rPr>
        <w:t>Trichoderma,</w:t>
      </w:r>
      <w:r>
        <w:rPr>
          <w:rFonts w:ascii="Times New Roman" w:hAnsi="Times New Roman" w:cs="Times New Roman"/>
        </w:rPr>
        <w:t xml:space="preserve"> especially under higher watering regimes, consistently enhanced biomass accumulation across all plant parts.</w:t>
      </w:r>
    </w:p>
    <w:p w14:paraId="45FF852D" w14:textId="77777777" w:rsidR="00F15FD7" w:rsidRDefault="00563E74">
      <w:pPr>
        <w:pStyle w:val="Caption"/>
        <w:spacing w:line="276" w:lineRule="auto"/>
        <w:ind w:left="110" w:hangingChars="50" w:hanging="110"/>
        <w:rPr>
          <w:rFonts w:cs="Times New Roman"/>
          <w:b w:val="0"/>
          <w:sz w:val="22"/>
          <w:szCs w:val="22"/>
        </w:rPr>
      </w:pPr>
      <w:bookmarkStart w:id="3" w:name="_Toc208713647"/>
      <w:r>
        <w:rPr>
          <w:rFonts w:cs="Times New Roman"/>
          <w:sz w:val="22"/>
          <w:szCs w:val="22"/>
        </w:rPr>
        <w:t>Table 3.:</w:t>
      </w:r>
      <w:r>
        <w:rPr>
          <w:rFonts w:cs="Times New Roman"/>
          <w:b w:val="0"/>
          <w:sz w:val="22"/>
          <w:szCs w:val="22"/>
        </w:rPr>
        <w:t xml:space="preserve"> Effects of Biochar and </w:t>
      </w:r>
      <w:r>
        <w:rPr>
          <w:rFonts w:cs="Times New Roman"/>
          <w:b w:val="0"/>
          <w:i/>
          <w:sz w:val="22"/>
          <w:szCs w:val="22"/>
        </w:rPr>
        <w:t>Trichoderma</w:t>
      </w:r>
      <w:r>
        <w:rPr>
          <w:rFonts w:cs="Times New Roman"/>
          <w:b w:val="0"/>
          <w:sz w:val="22"/>
          <w:szCs w:val="22"/>
        </w:rPr>
        <w:t xml:space="preserve"> </w:t>
      </w:r>
      <w:r>
        <w:rPr>
          <w:rFonts w:cs="Times New Roman"/>
          <w:b w:val="0"/>
          <w:sz w:val="22"/>
          <w:szCs w:val="22"/>
          <w:lang w:val="en-US"/>
        </w:rPr>
        <w:t>and</w:t>
      </w:r>
      <w:r>
        <w:rPr>
          <w:rFonts w:cs="Times New Roman"/>
          <w:b w:val="0"/>
          <w:i/>
          <w:sz w:val="22"/>
          <w:szCs w:val="22"/>
        </w:rPr>
        <w:t>Trichoderma</w:t>
      </w:r>
      <w:r>
        <w:rPr>
          <w:rFonts w:cs="Times New Roman"/>
          <w:b w:val="0"/>
          <w:sz w:val="22"/>
          <w:szCs w:val="22"/>
        </w:rPr>
        <w:t xml:space="preserve"> </w:t>
      </w:r>
      <w:proofErr w:type="spellStart"/>
      <w:r>
        <w:rPr>
          <w:rFonts w:cs="Times New Roman"/>
          <w:b w:val="0"/>
          <w:i/>
          <w:sz w:val="22"/>
          <w:szCs w:val="22"/>
        </w:rPr>
        <w:t>harzianum</w:t>
      </w:r>
      <w:proofErr w:type="spellEnd"/>
      <w:r>
        <w:rPr>
          <w:rFonts w:cs="Times New Roman"/>
          <w:b w:val="0"/>
          <w:sz w:val="22"/>
          <w:szCs w:val="22"/>
        </w:rPr>
        <w:t xml:space="preserve"> on </w:t>
      </w:r>
      <w:r>
        <w:rPr>
          <w:rFonts w:cs="Times New Roman"/>
          <w:b w:val="0"/>
          <w:sz w:val="22"/>
          <w:szCs w:val="22"/>
          <w:lang w:val="en-US"/>
        </w:rPr>
        <w:t>p</w:t>
      </w:r>
      <w:proofErr w:type="spellStart"/>
      <w:r>
        <w:rPr>
          <w:rFonts w:cs="Times New Roman"/>
          <w:b w:val="0"/>
          <w:sz w:val="22"/>
          <w:szCs w:val="22"/>
        </w:rPr>
        <w:t>epper</w:t>
      </w:r>
      <w:proofErr w:type="spellEnd"/>
      <w:r>
        <w:rPr>
          <w:rFonts w:cs="Times New Roman"/>
          <w:b w:val="0"/>
          <w:sz w:val="22"/>
          <w:szCs w:val="22"/>
        </w:rPr>
        <w:t xml:space="preserve"> </w:t>
      </w:r>
      <w:r>
        <w:rPr>
          <w:rFonts w:cs="Times New Roman"/>
          <w:b w:val="0"/>
          <w:sz w:val="22"/>
          <w:szCs w:val="22"/>
          <w:lang w:val="en-US"/>
        </w:rPr>
        <w:t xml:space="preserve">biomass yields under differential </w:t>
      </w:r>
      <w:r>
        <w:rPr>
          <w:rFonts w:cs="Times New Roman"/>
          <w:b w:val="0"/>
          <w:sz w:val="22"/>
          <w:szCs w:val="22"/>
        </w:rPr>
        <w:t xml:space="preserve">watering </w:t>
      </w:r>
      <w:bookmarkEnd w:id="3"/>
    </w:p>
    <w:tbl>
      <w:tblPr>
        <w:tblStyle w:val="ListTable6Colorful1"/>
        <w:tblW w:w="10170" w:type="dxa"/>
        <w:tblLook w:val="04A0" w:firstRow="1" w:lastRow="0" w:firstColumn="1" w:lastColumn="0" w:noHBand="0" w:noVBand="1"/>
      </w:tblPr>
      <w:tblGrid>
        <w:gridCol w:w="1763"/>
        <w:gridCol w:w="1440"/>
        <w:gridCol w:w="1355"/>
        <w:gridCol w:w="1458"/>
        <w:gridCol w:w="1374"/>
        <w:gridCol w:w="1374"/>
        <w:gridCol w:w="1406"/>
      </w:tblGrid>
      <w:tr w:rsidR="00F15FD7" w14:paraId="20EA2370" w14:textId="77777777" w:rsidTr="00F15FD7">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763" w:type="dxa"/>
            <w:vMerge w:val="restart"/>
            <w:noWrap/>
          </w:tcPr>
          <w:p w14:paraId="76A4DF98" w14:textId="77777777" w:rsidR="00F15FD7" w:rsidRDefault="00F15FD7">
            <w:pPr>
              <w:spacing w:after="0" w:line="276" w:lineRule="auto"/>
              <w:rPr>
                <w:rFonts w:ascii="Times New Roman" w:hAnsi="Times New Roman" w:cs="Times New Roman"/>
                <w:b w:val="0"/>
                <w:color w:val="auto"/>
              </w:rPr>
            </w:pPr>
          </w:p>
          <w:p w14:paraId="2E22B8AA" w14:textId="77777777" w:rsidR="00F15FD7" w:rsidRDefault="00F15FD7">
            <w:pPr>
              <w:spacing w:after="0" w:line="276" w:lineRule="auto"/>
              <w:rPr>
                <w:rFonts w:ascii="Times New Roman" w:hAnsi="Times New Roman" w:cs="Times New Roman"/>
                <w:b w:val="0"/>
                <w:color w:val="auto"/>
              </w:rPr>
            </w:pPr>
          </w:p>
          <w:p w14:paraId="051321B6" w14:textId="77777777" w:rsidR="00F15FD7" w:rsidRDefault="00563E74">
            <w:pPr>
              <w:spacing w:after="0" w:line="276" w:lineRule="auto"/>
              <w:rPr>
                <w:rFonts w:ascii="Times New Roman" w:hAnsi="Times New Roman" w:cs="Times New Roman"/>
              </w:rPr>
            </w:pPr>
            <w:r>
              <w:rPr>
                <w:rFonts w:ascii="Times New Roman" w:hAnsi="Times New Roman" w:cs="Times New Roman"/>
                <w:color w:val="auto"/>
              </w:rPr>
              <w:t>TREATMENT</w:t>
            </w:r>
          </w:p>
        </w:tc>
        <w:tc>
          <w:tcPr>
            <w:tcW w:w="8407" w:type="dxa"/>
            <w:gridSpan w:val="6"/>
            <w:noWrap/>
          </w:tcPr>
          <w:p w14:paraId="4A00EF53"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 xml:space="preserve">Pepper biomass yields  </w:t>
            </w:r>
          </w:p>
        </w:tc>
      </w:tr>
      <w:tr w:rsidR="00F15FD7" w14:paraId="2F4082EE" w14:textId="77777777" w:rsidTr="00F15FD7">
        <w:trPr>
          <w:trHeight w:val="898"/>
        </w:trPr>
        <w:tc>
          <w:tcPr>
            <w:cnfStyle w:val="001000000000" w:firstRow="0" w:lastRow="0" w:firstColumn="1" w:lastColumn="0" w:oddVBand="0" w:evenVBand="0" w:oddHBand="0" w:evenHBand="0" w:firstRowFirstColumn="0" w:firstRowLastColumn="0" w:lastRowFirstColumn="0" w:lastRowLastColumn="0"/>
            <w:tcW w:w="1763" w:type="dxa"/>
            <w:vMerge/>
            <w:tcBorders>
              <w:bottom w:val="single" w:sz="4" w:space="0" w:color="auto"/>
            </w:tcBorders>
            <w:noWrap/>
          </w:tcPr>
          <w:p w14:paraId="515E42D3" w14:textId="77777777" w:rsidR="00F15FD7" w:rsidRDefault="00F15FD7">
            <w:pPr>
              <w:spacing w:after="0" w:line="276" w:lineRule="auto"/>
              <w:rPr>
                <w:rFonts w:ascii="Times New Roman" w:hAnsi="Times New Roman" w:cs="Times New Roman"/>
                <w:b w:val="0"/>
                <w:color w:val="auto"/>
              </w:rPr>
            </w:pPr>
          </w:p>
        </w:tc>
        <w:tc>
          <w:tcPr>
            <w:tcW w:w="1440" w:type="dxa"/>
            <w:tcBorders>
              <w:top w:val="single" w:sz="4" w:space="0" w:color="auto"/>
              <w:bottom w:val="single" w:sz="4" w:space="0" w:color="auto"/>
            </w:tcBorders>
            <w:noWrap/>
          </w:tcPr>
          <w:p w14:paraId="283668E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Root fresh weight (g)</w:t>
            </w:r>
          </w:p>
        </w:tc>
        <w:tc>
          <w:tcPr>
            <w:tcW w:w="1355" w:type="dxa"/>
            <w:tcBorders>
              <w:top w:val="single" w:sz="4" w:space="0" w:color="auto"/>
              <w:bottom w:val="single" w:sz="4" w:space="0" w:color="auto"/>
            </w:tcBorders>
            <w:noWrap/>
          </w:tcPr>
          <w:p w14:paraId="4A632E0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rPr>
              <w:t>Leaf</w:t>
            </w:r>
            <w:r>
              <w:rPr>
                <w:rFonts w:ascii="Times New Roman" w:hAnsi="Times New Roman" w:cs="Times New Roman"/>
                <w:b/>
                <w:color w:val="auto"/>
              </w:rPr>
              <w:t xml:space="preserve"> fresh weight (g)</w:t>
            </w:r>
          </w:p>
        </w:tc>
        <w:tc>
          <w:tcPr>
            <w:tcW w:w="1458" w:type="dxa"/>
            <w:tcBorders>
              <w:top w:val="single" w:sz="4" w:space="0" w:color="auto"/>
              <w:bottom w:val="single" w:sz="4" w:space="0" w:color="auto"/>
            </w:tcBorders>
            <w:noWrap/>
          </w:tcPr>
          <w:p w14:paraId="59E885C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Stem fresh weight (g)</w:t>
            </w:r>
          </w:p>
        </w:tc>
        <w:tc>
          <w:tcPr>
            <w:tcW w:w="1374" w:type="dxa"/>
            <w:tcBorders>
              <w:top w:val="single" w:sz="4" w:space="0" w:color="auto"/>
              <w:bottom w:val="single" w:sz="4" w:space="0" w:color="auto"/>
            </w:tcBorders>
            <w:noWrap/>
          </w:tcPr>
          <w:p w14:paraId="4861CE1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Root dry weight (g)</w:t>
            </w:r>
          </w:p>
        </w:tc>
        <w:tc>
          <w:tcPr>
            <w:tcW w:w="1374" w:type="dxa"/>
            <w:tcBorders>
              <w:top w:val="single" w:sz="4" w:space="0" w:color="auto"/>
              <w:bottom w:val="single" w:sz="4" w:space="0" w:color="auto"/>
            </w:tcBorders>
            <w:noWrap/>
          </w:tcPr>
          <w:p w14:paraId="6B2CCA5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rPr>
              <w:t>Leaf</w:t>
            </w:r>
            <w:r>
              <w:rPr>
                <w:rFonts w:ascii="Times New Roman" w:hAnsi="Times New Roman" w:cs="Times New Roman"/>
                <w:b/>
                <w:color w:val="auto"/>
              </w:rPr>
              <w:t xml:space="preserve"> dry weight (g)</w:t>
            </w:r>
          </w:p>
        </w:tc>
        <w:tc>
          <w:tcPr>
            <w:tcW w:w="1406" w:type="dxa"/>
            <w:tcBorders>
              <w:top w:val="single" w:sz="4" w:space="0" w:color="auto"/>
              <w:bottom w:val="single" w:sz="4" w:space="0" w:color="auto"/>
            </w:tcBorders>
          </w:tcPr>
          <w:p w14:paraId="305B07A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Stem dry weight (g)</w:t>
            </w:r>
          </w:p>
        </w:tc>
      </w:tr>
      <w:tr w:rsidR="00F15FD7" w14:paraId="10B4C4BA"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tcBorders>
              <w:top w:val="single" w:sz="4" w:space="0" w:color="auto"/>
            </w:tcBorders>
            <w:noWrap/>
          </w:tcPr>
          <w:p w14:paraId="58EBBD5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 xml:space="preserve">Biochar </w:t>
            </w:r>
          </w:p>
        </w:tc>
        <w:tc>
          <w:tcPr>
            <w:tcW w:w="1440" w:type="dxa"/>
            <w:tcBorders>
              <w:top w:val="single" w:sz="4" w:space="0" w:color="auto"/>
            </w:tcBorders>
            <w:noWrap/>
          </w:tcPr>
          <w:p w14:paraId="66CB035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14.93</w:t>
            </w:r>
            <w:r>
              <w:rPr>
                <w:rFonts w:ascii="Times New Roman" w:hAnsi="Times New Roman" w:cs="Times New Roman"/>
                <w:color w:val="auto"/>
                <w:vertAlign w:val="superscript"/>
              </w:rPr>
              <w:t>e</w:t>
            </w:r>
          </w:p>
        </w:tc>
        <w:tc>
          <w:tcPr>
            <w:tcW w:w="1355" w:type="dxa"/>
            <w:tcBorders>
              <w:top w:val="single" w:sz="4" w:space="0" w:color="auto"/>
            </w:tcBorders>
            <w:noWrap/>
          </w:tcPr>
          <w:p w14:paraId="154B6F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20.76</w:t>
            </w:r>
            <w:r>
              <w:rPr>
                <w:rFonts w:ascii="Times New Roman" w:hAnsi="Times New Roman" w:cs="Times New Roman"/>
                <w:color w:val="auto"/>
                <w:vertAlign w:val="superscript"/>
              </w:rPr>
              <w:t>e</w:t>
            </w:r>
          </w:p>
        </w:tc>
        <w:tc>
          <w:tcPr>
            <w:tcW w:w="1458" w:type="dxa"/>
            <w:tcBorders>
              <w:top w:val="single" w:sz="4" w:space="0" w:color="auto"/>
            </w:tcBorders>
            <w:noWrap/>
          </w:tcPr>
          <w:p w14:paraId="0A0B087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25.17</w:t>
            </w:r>
            <w:r>
              <w:rPr>
                <w:rFonts w:ascii="Times New Roman" w:hAnsi="Times New Roman" w:cs="Times New Roman"/>
                <w:color w:val="auto"/>
                <w:vertAlign w:val="superscript"/>
              </w:rPr>
              <w:t>c</w:t>
            </w:r>
          </w:p>
        </w:tc>
        <w:tc>
          <w:tcPr>
            <w:tcW w:w="1374" w:type="dxa"/>
            <w:tcBorders>
              <w:top w:val="single" w:sz="4" w:space="0" w:color="auto"/>
            </w:tcBorders>
            <w:noWrap/>
          </w:tcPr>
          <w:p w14:paraId="6450B6C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4.77</w:t>
            </w:r>
            <w:r>
              <w:rPr>
                <w:rFonts w:ascii="Times New Roman" w:hAnsi="Times New Roman" w:cs="Times New Roman"/>
                <w:color w:val="auto"/>
                <w:vertAlign w:val="superscript"/>
              </w:rPr>
              <w:t>c</w:t>
            </w:r>
          </w:p>
        </w:tc>
        <w:tc>
          <w:tcPr>
            <w:tcW w:w="1374" w:type="dxa"/>
            <w:tcBorders>
              <w:top w:val="single" w:sz="4" w:space="0" w:color="auto"/>
            </w:tcBorders>
            <w:noWrap/>
          </w:tcPr>
          <w:p w14:paraId="0780488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5.41</w:t>
            </w:r>
            <w:r>
              <w:rPr>
                <w:rFonts w:ascii="Times New Roman" w:hAnsi="Times New Roman" w:cs="Times New Roman"/>
                <w:color w:val="auto"/>
                <w:vertAlign w:val="superscript"/>
              </w:rPr>
              <w:t>c</w:t>
            </w:r>
          </w:p>
        </w:tc>
        <w:tc>
          <w:tcPr>
            <w:tcW w:w="1406" w:type="dxa"/>
            <w:tcBorders>
              <w:top w:val="single" w:sz="4" w:space="0" w:color="auto"/>
            </w:tcBorders>
          </w:tcPr>
          <w:p w14:paraId="5F6A6BC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6.44</w:t>
            </w:r>
            <w:r>
              <w:rPr>
                <w:rFonts w:ascii="Times New Roman" w:hAnsi="Times New Roman" w:cs="Times New Roman"/>
                <w:color w:val="auto"/>
                <w:vertAlign w:val="superscript"/>
              </w:rPr>
              <w:t>c</w:t>
            </w:r>
          </w:p>
        </w:tc>
      </w:tr>
      <w:tr w:rsidR="00F15FD7" w14:paraId="0C674271" w14:textId="77777777" w:rsidTr="00F15FD7">
        <w:trPr>
          <w:trHeight w:val="412"/>
        </w:trPr>
        <w:tc>
          <w:tcPr>
            <w:cnfStyle w:val="001000000000" w:firstRow="0" w:lastRow="0" w:firstColumn="1" w:lastColumn="0" w:oddVBand="0" w:evenVBand="0" w:oddHBand="0" w:evenHBand="0" w:firstRowFirstColumn="0" w:firstRowLastColumn="0" w:lastRowFirstColumn="0" w:lastRowLastColumn="0"/>
            <w:tcW w:w="1763" w:type="dxa"/>
            <w:noWrap/>
          </w:tcPr>
          <w:p w14:paraId="01EBBF7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440" w:type="dxa"/>
            <w:noWrap/>
          </w:tcPr>
          <w:p w14:paraId="4C1D9618"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12.20</w:t>
            </w:r>
            <w:r>
              <w:rPr>
                <w:rFonts w:ascii="Times New Roman" w:hAnsi="Times New Roman" w:cs="Times New Roman"/>
                <w:color w:val="auto"/>
                <w:vertAlign w:val="superscript"/>
              </w:rPr>
              <w:t>cd</w:t>
            </w:r>
          </w:p>
        </w:tc>
        <w:tc>
          <w:tcPr>
            <w:tcW w:w="1355" w:type="dxa"/>
            <w:noWrap/>
          </w:tcPr>
          <w:p w14:paraId="2613EA5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19.72</w:t>
            </w:r>
            <w:r>
              <w:rPr>
                <w:rFonts w:ascii="Times New Roman" w:hAnsi="Times New Roman" w:cs="Times New Roman"/>
                <w:color w:val="auto"/>
                <w:vertAlign w:val="superscript"/>
              </w:rPr>
              <w:t>de</w:t>
            </w:r>
          </w:p>
        </w:tc>
        <w:tc>
          <w:tcPr>
            <w:tcW w:w="1458" w:type="dxa"/>
            <w:noWrap/>
          </w:tcPr>
          <w:p w14:paraId="6511F15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24.56</w:t>
            </w:r>
            <w:r>
              <w:rPr>
                <w:rFonts w:ascii="Times New Roman" w:hAnsi="Times New Roman" w:cs="Times New Roman"/>
                <w:color w:val="auto"/>
                <w:vertAlign w:val="superscript"/>
              </w:rPr>
              <w:t>c</w:t>
            </w:r>
          </w:p>
        </w:tc>
        <w:tc>
          <w:tcPr>
            <w:tcW w:w="1374" w:type="dxa"/>
            <w:noWrap/>
          </w:tcPr>
          <w:p w14:paraId="7C652385"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3.68</w:t>
            </w:r>
            <w:r>
              <w:rPr>
                <w:rFonts w:ascii="Times New Roman" w:hAnsi="Times New Roman" w:cs="Times New Roman"/>
                <w:color w:val="auto"/>
                <w:vertAlign w:val="superscript"/>
              </w:rPr>
              <w:t>bc</w:t>
            </w:r>
          </w:p>
        </w:tc>
        <w:tc>
          <w:tcPr>
            <w:tcW w:w="1374" w:type="dxa"/>
            <w:noWrap/>
          </w:tcPr>
          <w:p w14:paraId="4F10A1F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3.16</w:t>
            </w:r>
            <w:r>
              <w:rPr>
                <w:rFonts w:ascii="Times New Roman" w:hAnsi="Times New Roman" w:cs="Times New Roman"/>
                <w:color w:val="auto"/>
                <w:vertAlign w:val="superscript"/>
              </w:rPr>
              <w:t>a</w:t>
            </w:r>
          </w:p>
        </w:tc>
        <w:tc>
          <w:tcPr>
            <w:tcW w:w="1406" w:type="dxa"/>
          </w:tcPr>
          <w:p w14:paraId="4C23971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4.25</w:t>
            </w:r>
            <w:r>
              <w:rPr>
                <w:rFonts w:ascii="Times New Roman" w:hAnsi="Times New Roman" w:cs="Times New Roman"/>
                <w:color w:val="auto"/>
                <w:vertAlign w:val="superscript"/>
              </w:rPr>
              <w:t>b</w:t>
            </w:r>
          </w:p>
        </w:tc>
      </w:tr>
      <w:tr w:rsidR="00F15FD7" w14:paraId="3F1F1619"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06CA5AA"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440" w:type="dxa"/>
            <w:noWrap/>
          </w:tcPr>
          <w:p w14:paraId="131C68F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9.86</w:t>
            </w:r>
            <w:r>
              <w:rPr>
                <w:rFonts w:ascii="Times New Roman" w:hAnsi="Times New Roman" w:cs="Times New Roman"/>
                <w:color w:val="auto"/>
                <w:vertAlign w:val="superscript"/>
              </w:rPr>
              <w:t>b</w:t>
            </w:r>
          </w:p>
        </w:tc>
        <w:tc>
          <w:tcPr>
            <w:tcW w:w="1355" w:type="dxa"/>
            <w:noWrap/>
          </w:tcPr>
          <w:p w14:paraId="43F2948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7.92</w:t>
            </w:r>
            <w:r>
              <w:rPr>
                <w:rFonts w:ascii="Times New Roman" w:hAnsi="Times New Roman" w:cs="Times New Roman"/>
                <w:color w:val="auto"/>
                <w:vertAlign w:val="superscript"/>
              </w:rPr>
              <w:t>a</w:t>
            </w:r>
          </w:p>
        </w:tc>
        <w:tc>
          <w:tcPr>
            <w:tcW w:w="1458" w:type="dxa"/>
            <w:noWrap/>
          </w:tcPr>
          <w:p w14:paraId="4C38FAF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14.03</w:t>
            </w:r>
            <w:r>
              <w:rPr>
                <w:rFonts w:ascii="Times New Roman" w:hAnsi="Times New Roman" w:cs="Times New Roman"/>
                <w:color w:val="auto"/>
                <w:vertAlign w:val="superscript"/>
              </w:rPr>
              <w:t>a</w:t>
            </w:r>
          </w:p>
        </w:tc>
        <w:tc>
          <w:tcPr>
            <w:tcW w:w="1374" w:type="dxa"/>
            <w:noWrap/>
          </w:tcPr>
          <w:p w14:paraId="41010CE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2.24</w:t>
            </w:r>
            <w:r>
              <w:rPr>
                <w:rFonts w:ascii="Times New Roman" w:hAnsi="Times New Roman" w:cs="Times New Roman"/>
                <w:color w:val="auto"/>
                <w:vertAlign w:val="superscript"/>
              </w:rPr>
              <w:t>a</w:t>
            </w:r>
          </w:p>
        </w:tc>
        <w:tc>
          <w:tcPr>
            <w:tcW w:w="1374" w:type="dxa"/>
            <w:noWrap/>
          </w:tcPr>
          <w:p w14:paraId="6059E49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3.56</w:t>
            </w:r>
            <w:r>
              <w:rPr>
                <w:rFonts w:ascii="Times New Roman" w:hAnsi="Times New Roman" w:cs="Times New Roman"/>
                <w:color w:val="auto"/>
                <w:vertAlign w:val="superscript"/>
              </w:rPr>
              <w:t>a</w:t>
            </w:r>
          </w:p>
        </w:tc>
        <w:tc>
          <w:tcPr>
            <w:tcW w:w="1406" w:type="dxa"/>
          </w:tcPr>
          <w:p w14:paraId="73A29445"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4.10</w:t>
            </w:r>
            <w:r>
              <w:rPr>
                <w:rFonts w:ascii="Times New Roman" w:hAnsi="Times New Roman" w:cs="Times New Roman"/>
                <w:color w:val="auto"/>
                <w:vertAlign w:val="superscript"/>
              </w:rPr>
              <w:t>b</w:t>
            </w:r>
          </w:p>
        </w:tc>
      </w:tr>
      <w:tr w:rsidR="00F15FD7" w14:paraId="28F5F682"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269FA0D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440" w:type="dxa"/>
            <w:noWrap/>
          </w:tcPr>
          <w:p w14:paraId="54E91C56"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9.82</w:t>
            </w:r>
            <w:r>
              <w:rPr>
                <w:rFonts w:ascii="Times New Roman" w:hAnsi="Times New Roman" w:cs="Times New Roman"/>
                <w:color w:val="auto"/>
                <w:vertAlign w:val="superscript"/>
              </w:rPr>
              <w:t>b</w:t>
            </w:r>
          </w:p>
        </w:tc>
        <w:tc>
          <w:tcPr>
            <w:tcW w:w="1355" w:type="dxa"/>
            <w:noWrap/>
          </w:tcPr>
          <w:p w14:paraId="0DF0E1B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12.13</w:t>
            </w:r>
            <w:r>
              <w:rPr>
                <w:rFonts w:ascii="Times New Roman" w:hAnsi="Times New Roman" w:cs="Times New Roman"/>
                <w:color w:val="auto"/>
                <w:vertAlign w:val="superscript"/>
              </w:rPr>
              <w:t>b</w:t>
            </w:r>
          </w:p>
        </w:tc>
        <w:tc>
          <w:tcPr>
            <w:tcW w:w="1458" w:type="dxa"/>
            <w:noWrap/>
          </w:tcPr>
          <w:p w14:paraId="6D10E8F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18.65</w:t>
            </w:r>
            <w:r>
              <w:rPr>
                <w:rFonts w:ascii="Times New Roman" w:hAnsi="Times New Roman" w:cs="Times New Roman"/>
                <w:color w:val="auto"/>
                <w:vertAlign w:val="superscript"/>
              </w:rPr>
              <w:t>b</w:t>
            </w:r>
          </w:p>
        </w:tc>
        <w:tc>
          <w:tcPr>
            <w:tcW w:w="1374" w:type="dxa"/>
            <w:noWrap/>
          </w:tcPr>
          <w:p w14:paraId="3CC68614"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2.74</w:t>
            </w:r>
            <w:r>
              <w:rPr>
                <w:rFonts w:ascii="Times New Roman" w:hAnsi="Times New Roman" w:cs="Times New Roman"/>
                <w:color w:val="auto"/>
                <w:vertAlign w:val="superscript"/>
              </w:rPr>
              <w:t>a</w:t>
            </w:r>
          </w:p>
        </w:tc>
        <w:tc>
          <w:tcPr>
            <w:tcW w:w="1374" w:type="dxa"/>
            <w:noWrap/>
          </w:tcPr>
          <w:p w14:paraId="27127D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3.09</w:t>
            </w:r>
            <w:r>
              <w:rPr>
                <w:rFonts w:ascii="Times New Roman" w:hAnsi="Times New Roman" w:cs="Times New Roman"/>
                <w:color w:val="auto"/>
                <w:vertAlign w:val="superscript"/>
              </w:rPr>
              <w:t>a</w:t>
            </w:r>
          </w:p>
        </w:tc>
        <w:tc>
          <w:tcPr>
            <w:tcW w:w="1406" w:type="dxa"/>
          </w:tcPr>
          <w:p w14:paraId="0B5A798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4.30</w:t>
            </w:r>
            <w:r>
              <w:rPr>
                <w:rFonts w:ascii="Times New Roman" w:hAnsi="Times New Roman" w:cs="Times New Roman"/>
                <w:color w:val="auto"/>
                <w:vertAlign w:val="superscript"/>
              </w:rPr>
              <w:t>b</w:t>
            </w:r>
          </w:p>
        </w:tc>
      </w:tr>
      <w:tr w:rsidR="00F15FD7" w14:paraId="1708546A"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EFE9C5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440" w:type="dxa"/>
            <w:noWrap/>
          </w:tcPr>
          <w:p w14:paraId="08C16C0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9.82</w:t>
            </w:r>
            <w:r>
              <w:rPr>
                <w:rFonts w:ascii="Times New Roman" w:hAnsi="Times New Roman" w:cs="Times New Roman"/>
                <w:color w:val="auto"/>
                <w:vertAlign w:val="superscript"/>
              </w:rPr>
              <w:t>b</w:t>
            </w:r>
          </w:p>
        </w:tc>
        <w:tc>
          <w:tcPr>
            <w:tcW w:w="1355" w:type="dxa"/>
            <w:noWrap/>
          </w:tcPr>
          <w:p w14:paraId="7F5A5D6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20.04</w:t>
            </w:r>
            <w:r>
              <w:rPr>
                <w:rFonts w:ascii="Times New Roman" w:hAnsi="Times New Roman" w:cs="Times New Roman"/>
                <w:color w:val="auto"/>
                <w:vertAlign w:val="superscript"/>
              </w:rPr>
              <w:t>e</w:t>
            </w:r>
          </w:p>
        </w:tc>
        <w:tc>
          <w:tcPr>
            <w:tcW w:w="1458" w:type="dxa"/>
            <w:noWrap/>
          </w:tcPr>
          <w:p w14:paraId="48BEF55D"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24.66</w:t>
            </w:r>
            <w:r>
              <w:rPr>
                <w:rFonts w:ascii="Times New Roman" w:hAnsi="Times New Roman" w:cs="Times New Roman"/>
                <w:color w:val="auto"/>
                <w:vertAlign w:val="superscript"/>
              </w:rPr>
              <w:t>c</w:t>
            </w:r>
          </w:p>
        </w:tc>
        <w:tc>
          <w:tcPr>
            <w:tcW w:w="1374" w:type="dxa"/>
            <w:noWrap/>
          </w:tcPr>
          <w:p w14:paraId="60D7D7C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2.25</w:t>
            </w:r>
            <w:r>
              <w:rPr>
                <w:rFonts w:ascii="Times New Roman" w:hAnsi="Times New Roman" w:cs="Times New Roman"/>
                <w:color w:val="auto"/>
                <w:vertAlign w:val="superscript"/>
              </w:rPr>
              <w:t>a</w:t>
            </w:r>
          </w:p>
        </w:tc>
        <w:tc>
          <w:tcPr>
            <w:tcW w:w="1374" w:type="dxa"/>
            <w:noWrap/>
          </w:tcPr>
          <w:p w14:paraId="537F17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4.05</w:t>
            </w:r>
            <w:r>
              <w:rPr>
                <w:rFonts w:ascii="Times New Roman" w:hAnsi="Times New Roman" w:cs="Times New Roman"/>
                <w:color w:val="auto"/>
                <w:vertAlign w:val="superscript"/>
              </w:rPr>
              <w:t>ab</w:t>
            </w:r>
          </w:p>
        </w:tc>
        <w:tc>
          <w:tcPr>
            <w:tcW w:w="1406" w:type="dxa"/>
          </w:tcPr>
          <w:p w14:paraId="4DA3914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5.06</w:t>
            </w:r>
            <w:r>
              <w:rPr>
                <w:rFonts w:ascii="Times New Roman" w:hAnsi="Times New Roman" w:cs="Times New Roman"/>
                <w:color w:val="auto"/>
                <w:vertAlign w:val="superscript"/>
              </w:rPr>
              <w:t>bc</w:t>
            </w:r>
          </w:p>
        </w:tc>
      </w:tr>
      <w:tr w:rsidR="00F15FD7" w14:paraId="6FE82E13"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359B2C4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440" w:type="dxa"/>
            <w:noWrap/>
          </w:tcPr>
          <w:p w14:paraId="1CFE0AA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11.25</w:t>
            </w:r>
            <w:r>
              <w:rPr>
                <w:rFonts w:ascii="Times New Roman" w:hAnsi="Times New Roman" w:cs="Times New Roman"/>
                <w:color w:val="auto"/>
                <w:vertAlign w:val="superscript"/>
              </w:rPr>
              <w:t>c</w:t>
            </w:r>
          </w:p>
        </w:tc>
        <w:tc>
          <w:tcPr>
            <w:tcW w:w="1355" w:type="dxa"/>
            <w:noWrap/>
          </w:tcPr>
          <w:p w14:paraId="58EBED0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18.37</w:t>
            </w:r>
            <w:r>
              <w:rPr>
                <w:rFonts w:ascii="Times New Roman" w:hAnsi="Times New Roman" w:cs="Times New Roman"/>
                <w:color w:val="auto"/>
                <w:vertAlign w:val="superscript"/>
              </w:rPr>
              <w:t>d</w:t>
            </w:r>
          </w:p>
        </w:tc>
        <w:tc>
          <w:tcPr>
            <w:tcW w:w="1458" w:type="dxa"/>
            <w:noWrap/>
          </w:tcPr>
          <w:p w14:paraId="6DF20EF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23.83</w:t>
            </w:r>
            <w:r>
              <w:rPr>
                <w:rFonts w:ascii="Times New Roman" w:hAnsi="Times New Roman" w:cs="Times New Roman"/>
                <w:color w:val="auto"/>
                <w:vertAlign w:val="superscript"/>
              </w:rPr>
              <w:t>c</w:t>
            </w:r>
          </w:p>
        </w:tc>
        <w:tc>
          <w:tcPr>
            <w:tcW w:w="1374" w:type="dxa"/>
            <w:noWrap/>
          </w:tcPr>
          <w:p w14:paraId="7A362F77"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3.58</w:t>
            </w:r>
            <w:r>
              <w:rPr>
                <w:rFonts w:ascii="Times New Roman" w:hAnsi="Times New Roman" w:cs="Times New Roman"/>
                <w:color w:val="auto"/>
                <w:vertAlign w:val="superscript"/>
              </w:rPr>
              <w:t>bc</w:t>
            </w:r>
          </w:p>
        </w:tc>
        <w:tc>
          <w:tcPr>
            <w:tcW w:w="1374" w:type="dxa"/>
            <w:noWrap/>
          </w:tcPr>
          <w:p w14:paraId="0BC7D8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3.09</w:t>
            </w:r>
            <w:r>
              <w:rPr>
                <w:rFonts w:ascii="Times New Roman" w:hAnsi="Times New Roman" w:cs="Times New Roman"/>
                <w:color w:val="auto"/>
                <w:vertAlign w:val="superscript"/>
              </w:rPr>
              <w:t>a</w:t>
            </w:r>
          </w:p>
        </w:tc>
        <w:tc>
          <w:tcPr>
            <w:tcW w:w="1406" w:type="dxa"/>
          </w:tcPr>
          <w:p w14:paraId="0CCB577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2.23</w:t>
            </w:r>
            <w:r>
              <w:rPr>
                <w:rFonts w:ascii="Times New Roman" w:hAnsi="Times New Roman" w:cs="Times New Roman"/>
                <w:color w:val="auto"/>
                <w:vertAlign w:val="superscript"/>
              </w:rPr>
              <w:t>a</w:t>
            </w:r>
          </w:p>
        </w:tc>
      </w:tr>
      <w:tr w:rsidR="00F15FD7" w14:paraId="7695D4B0"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393C7CA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440" w:type="dxa"/>
            <w:noWrap/>
          </w:tcPr>
          <w:p w14:paraId="6087B05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12.36</w:t>
            </w:r>
            <w:r>
              <w:rPr>
                <w:rFonts w:ascii="Times New Roman" w:hAnsi="Times New Roman" w:cs="Times New Roman"/>
                <w:color w:val="auto"/>
                <w:vertAlign w:val="superscript"/>
              </w:rPr>
              <w:t>cd</w:t>
            </w:r>
          </w:p>
        </w:tc>
        <w:tc>
          <w:tcPr>
            <w:tcW w:w="1355" w:type="dxa"/>
            <w:noWrap/>
          </w:tcPr>
          <w:p w14:paraId="5085F6D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21.29</w:t>
            </w:r>
            <w:r>
              <w:rPr>
                <w:rFonts w:ascii="Times New Roman" w:hAnsi="Times New Roman" w:cs="Times New Roman"/>
                <w:color w:val="auto"/>
                <w:vertAlign w:val="superscript"/>
              </w:rPr>
              <w:t>ef</w:t>
            </w:r>
          </w:p>
        </w:tc>
        <w:tc>
          <w:tcPr>
            <w:tcW w:w="1458" w:type="dxa"/>
            <w:noWrap/>
          </w:tcPr>
          <w:p w14:paraId="3E5B772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25.88</w:t>
            </w:r>
            <w:r>
              <w:rPr>
                <w:rFonts w:ascii="Times New Roman" w:hAnsi="Times New Roman" w:cs="Times New Roman"/>
                <w:color w:val="auto"/>
                <w:vertAlign w:val="superscript"/>
              </w:rPr>
              <w:t>c</w:t>
            </w:r>
          </w:p>
        </w:tc>
        <w:tc>
          <w:tcPr>
            <w:tcW w:w="1374" w:type="dxa"/>
            <w:noWrap/>
          </w:tcPr>
          <w:p w14:paraId="55F65C2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3.12</w:t>
            </w:r>
            <w:r>
              <w:rPr>
                <w:rFonts w:ascii="Times New Roman" w:hAnsi="Times New Roman" w:cs="Times New Roman"/>
                <w:color w:val="auto"/>
                <w:vertAlign w:val="superscript"/>
              </w:rPr>
              <w:t>bc</w:t>
            </w:r>
          </w:p>
        </w:tc>
        <w:tc>
          <w:tcPr>
            <w:tcW w:w="1374" w:type="dxa"/>
            <w:noWrap/>
          </w:tcPr>
          <w:p w14:paraId="673AD16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5.61</w:t>
            </w:r>
            <w:r>
              <w:rPr>
                <w:rFonts w:ascii="Times New Roman" w:hAnsi="Times New Roman" w:cs="Times New Roman"/>
                <w:color w:val="auto"/>
                <w:vertAlign w:val="superscript"/>
              </w:rPr>
              <w:t>ab</w:t>
            </w:r>
          </w:p>
        </w:tc>
        <w:tc>
          <w:tcPr>
            <w:tcW w:w="1406" w:type="dxa"/>
          </w:tcPr>
          <w:p w14:paraId="567F8EC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6.56</w:t>
            </w:r>
            <w:r>
              <w:rPr>
                <w:rFonts w:ascii="Times New Roman" w:hAnsi="Times New Roman" w:cs="Times New Roman"/>
                <w:color w:val="auto"/>
                <w:vertAlign w:val="superscript"/>
              </w:rPr>
              <w:t>c</w:t>
            </w:r>
          </w:p>
        </w:tc>
      </w:tr>
      <w:tr w:rsidR="00F15FD7" w14:paraId="71E39BA6"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6D0D670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440" w:type="dxa"/>
            <w:noWrap/>
          </w:tcPr>
          <w:p w14:paraId="3637A5D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13.58</w:t>
            </w:r>
            <w:r>
              <w:rPr>
                <w:rFonts w:ascii="Times New Roman" w:hAnsi="Times New Roman" w:cs="Times New Roman"/>
                <w:color w:val="auto"/>
                <w:vertAlign w:val="superscript"/>
              </w:rPr>
              <w:t>a</w:t>
            </w:r>
          </w:p>
        </w:tc>
        <w:tc>
          <w:tcPr>
            <w:tcW w:w="1355" w:type="dxa"/>
            <w:noWrap/>
          </w:tcPr>
          <w:p w14:paraId="0FE2A2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21.48</w:t>
            </w:r>
            <w:r>
              <w:rPr>
                <w:rFonts w:ascii="Times New Roman" w:hAnsi="Times New Roman" w:cs="Times New Roman"/>
                <w:color w:val="auto"/>
                <w:vertAlign w:val="superscript"/>
              </w:rPr>
              <w:t>ef</w:t>
            </w:r>
          </w:p>
        </w:tc>
        <w:tc>
          <w:tcPr>
            <w:tcW w:w="1458" w:type="dxa"/>
            <w:noWrap/>
          </w:tcPr>
          <w:p w14:paraId="04883BD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25.89</w:t>
            </w:r>
            <w:r>
              <w:rPr>
                <w:rFonts w:ascii="Times New Roman" w:hAnsi="Times New Roman" w:cs="Times New Roman"/>
                <w:color w:val="auto"/>
                <w:vertAlign w:val="superscript"/>
              </w:rPr>
              <w:t>c</w:t>
            </w:r>
          </w:p>
        </w:tc>
        <w:tc>
          <w:tcPr>
            <w:tcW w:w="1374" w:type="dxa"/>
            <w:noWrap/>
          </w:tcPr>
          <w:p w14:paraId="796D65C6"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3.89</w:t>
            </w:r>
            <w:r>
              <w:rPr>
                <w:rFonts w:ascii="Times New Roman" w:hAnsi="Times New Roman" w:cs="Times New Roman"/>
                <w:color w:val="auto"/>
                <w:vertAlign w:val="superscript"/>
              </w:rPr>
              <w:t>bc</w:t>
            </w:r>
          </w:p>
        </w:tc>
        <w:tc>
          <w:tcPr>
            <w:tcW w:w="1374" w:type="dxa"/>
            <w:noWrap/>
          </w:tcPr>
          <w:p w14:paraId="74E64A9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5.42</w:t>
            </w:r>
            <w:r>
              <w:rPr>
                <w:rFonts w:ascii="Times New Roman" w:hAnsi="Times New Roman" w:cs="Times New Roman"/>
                <w:color w:val="auto"/>
                <w:vertAlign w:val="superscript"/>
              </w:rPr>
              <w:t>ab</w:t>
            </w:r>
          </w:p>
        </w:tc>
        <w:tc>
          <w:tcPr>
            <w:tcW w:w="1406" w:type="dxa"/>
          </w:tcPr>
          <w:p w14:paraId="41C9B2F8"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6.74</w:t>
            </w:r>
            <w:r>
              <w:rPr>
                <w:rFonts w:ascii="Times New Roman" w:hAnsi="Times New Roman" w:cs="Times New Roman"/>
                <w:color w:val="auto"/>
                <w:vertAlign w:val="superscript"/>
              </w:rPr>
              <w:t>c</w:t>
            </w:r>
          </w:p>
        </w:tc>
      </w:tr>
      <w:tr w:rsidR="00F15FD7" w14:paraId="4FB5293E"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43D71B0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440" w:type="dxa"/>
            <w:noWrap/>
          </w:tcPr>
          <w:p w14:paraId="2E35A35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12.99</w:t>
            </w:r>
            <w:r>
              <w:rPr>
                <w:rFonts w:ascii="Times New Roman" w:hAnsi="Times New Roman" w:cs="Times New Roman"/>
                <w:color w:val="auto"/>
                <w:vertAlign w:val="superscript"/>
              </w:rPr>
              <w:t>a</w:t>
            </w:r>
          </w:p>
        </w:tc>
        <w:tc>
          <w:tcPr>
            <w:tcW w:w="1355" w:type="dxa"/>
            <w:noWrap/>
          </w:tcPr>
          <w:p w14:paraId="5AC8A78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24.06</w:t>
            </w:r>
            <w:r>
              <w:rPr>
                <w:rFonts w:ascii="Times New Roman" w:hAnsi="Times New Roman" w:cs="Times New Roman"/>
                <w:color w:val="auto"/>
                <w:vertAlign w:val="superscript"/>
              </w:rPr>
              <w:t>fg</w:t>
            </w:r>
          </w:p>
        </w:tc>
        <w:tc>
          <w:tcPr>
            <w:tcW w:w="1458" w:type="dxa"/>
            <w:noWrap/>
          </w:tcPr>
          <w:p w14:paraId="5ED00590"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20.46</w:t>
            </w:r>
            <w:r>
              <w:rPr>
                <w:rFonts w:ascii="Times New Roman" w:hAnsi="Times New Roman" w:cs="Times New Roman"/>
                <w:color w:val="auto"/>
                <w:vertAlign w:val="superscript"/>
              </w:rPr>
              <w:t>bc</w:t>
            </w:r>
          </w:p>
        </w:tc>
        <w:tc>
          <w:tcPr>
            <w:tcW w:w="1374" w:type="dxa"/>
            <w:noWrap/>
          </w:tcPr>
          <w:p w14:paraId="6D725A7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3.88</w:t>
            </w:r>
            <w:r>
              <w:rPr>
                <w:rFonts w:ascii="Times New Roman" w:hAnsi="Times New Roman" w:cs="Times New Roman"/>
                <w:color w:val="auto"/>
                <w:vertAlign w:val="superscript"/>
              </w:rPr>
              <w:t>bc</w:t>
            </w:r>
          </w:p>
        </w:tc>
        <w:tc>
          <w:tcPr>
            <w:tcW w:w="1374" w:type="dxa"/>
            <w:noWrap/>
          </w:tcPr>
          <w:p w14:paraId="5706BDA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5.07</w:t>
            </w:r>
            <w:r>
              <w:rPr>
                <w:rFonts w:ascii="Times New Roman" w:hAnsi="Times New Roman" w:cs="Times New Roman"/>
                <w:color w:val="auto"/>
                <w:vertAlign w:val="superscript"/>
              </w:rPr>
              <w:t>b</w:t>
            </w:r>
          </w:p>
        </w:tc>
        <w:tc>
          <w:tcPr>
            <w:tcW w:w="1406" w:type="dxa"/>
          </w:tcPr>
          <w:p w14:paraId="38A5E7A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6.90</w:t>
            </w:r>
            <w:r>
              <w:rPr>
                <w:rFonts w:ascii="Times New Roman" w:hAnsi="Times New Roman" w:cs="Times New Roman"/>
                <w:color w:val="auto"/>
                <w:vertAlign w:val="superscript"/>
              </w:rPr>
              <w:t>c</w:t>
            </w:r>
          </w:p>
        </w:tc>
      </w:tr>
      <w:tr w:rsidR="00F15FD7" w14:paraId="269D6645"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3FC0A1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440" w:type="dxa"/>
            <w:noWrap/>
          </w:tcPr>
          <w:p w14:paraId="271CC52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10.15</w:t>
            </w:r>
            <w:r>
              <w:rPr>
                <w:rFonts w:ascii="Times New Roman" w:hAnsi="Times New Roman" w:cs="Times New Roman"/>
                <w:color w:val="auto"/>
                <w:vertAlign w:val="superscript"/>
              </w:rPr>
              <w:t>bc</w:t>
            </w:r>
          </w:p>
        </w:tc>
        <w:tc>
          <w:tcPr>
            <w:tcW w:w="1355" w:type="dxa"/>
            <w:noWrap/>
          </w:tcPr>
          <w:p w14:paraId="15C4B2C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23.76</w:t>
            </w:r>
            <w:r>
              <w:rPr>
                <w:rFonts w:ascii="Times New Roman" w:hAnsi="Times New Roman" w:cs="Times New Roman"/>
                <w:color w:val="auto"/>
                <w:vertAlign w:val="superscript"/>
              </w:rPr>
              <w:t>fg</w:t>
            </w:r>
          </w:p>
        </w:tc>
        <w:tc>
          <w:tcPr>
            <w:tcW w:w="1458" w:type="dxa"/>
            <w:noWrap/>
          </w:tcPr>
          <w:p w14:paraId="360C3472"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26.87</w:t>
            </w:r>
            <w:r>
              <w:rPr>
                <w:rFonts w:ascii="Times New Roman" w:hAnsi="Times New Roman" w:cs="Times New Roman"/>
                <w:color w:val="auto"/>
                <w:vertAlign w:val="superscript"/>
              </w:rPr>
              <w:t>a</w:t>
            </w:r>
          </w:p>
        </w:tc>
        <w:tc>
          <w:tcPr>
            <w:tcW w:w="1374" w:type="dxa"/>
            <w:noWrap/>
          </w:tcPr>
          <w:p w14:paraId="0D44C85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2.93</w:t>
            </w:r>
            <w:r>
              <w:rPr>
                <w:rFonts w:ascii="Times New Roman" w:hAnsi="Times New Roman" w:cs="Times New Roman"/>
                <w:color w:val="auto"/>
                <w:vertAlign w:val="superscript"/>
              </w:rPr>
              <w:t>a</w:t>
            </w:r>
          </w:p>
        </w:tc>
        <w:tc>
          <w:tcPr>
            <w:tcW w:w="1374" w:type="dxa"/>
            <w:noWrap/>
          </w:tcPr>
          <w:p w14:paraId="22C5892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5.99</w:t>
            </w:r>
            <w:r>
              <w:rPr>
                <w:rFonts w:ascii="Times New Roman" w:hAnsi="Times New Roman" w:cs="Times New Roman"/>
                <w:color w:val="auto"/>
                <w:vertAlign w:val="superscript"/>
              </w:rPr>
              <w:t>ab</w:t>
            </w:r>
          </w:p>
        </w:tc>
        <w:tc>
          <w:tcPr>
            <w:tcW w:w="1406" w:type="dxa"/>
          </w:tcPr>
          <w:p w14:paraId="0F2C03E0"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6.73</w:t>
            </w:r>
            <w:r>
              <w:rPr>
                <w:rFonts w:ascii="Times New Roman" w:hAnsi="Times New Roman" w:cs="Times New Roman"/>
                <w:color w:val="auto"/>
                <w:vertAlign w:val="superscript"/>
              </w:rPr>
              <w:t>c</w:t>
            </w:r>
          </w:p>
        </w:tc>
      </w:tr>
      <w:tr w:rsidR="00F15FD7" w14:paraId="125D15CC"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F6919E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440" w:type="dxa"/>
            <w:noWrap/>
          </w:tcPr>
          <w:p w14:paraId="7E131BD6"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11.44</w:t>
            </w:r>
            <w:r>
              <w:rPr>
                <w:rFonts w:ascii="Times New Roman" w:hAnsi="Times New Roman" w:cs="Times New Roman"/>
                <w:color w:val="auto"/>
                <w:vertAlign w:val="superscript"/>
              </w:rPr>
              <w:t>c</w:t>
            </w:r>
          </w:p>
        </w:tc>
        <w:tc>
          <w:tcPr>
            <w:tcW w:w="1355" w:type="dxa"/>
            <w:noWrap/>
          </w:tcPr>
          <w:p w14:paraId="3E1FE30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15.16</w:t>
            </w:r>
            <w:r>
              <w:rPr>
                <w:rFonts w:ascii="Times New Roman" w:hAnsi="Times New Roman" w:cs="Times New Roman"/>
                <w:color w:val="auto"/>
                <w:vertAlign w:val="superscript"/>
              </w:rPr>
              <w:t>c</w:t>
            </w:r>
          </w:p>
        </w:tc>
        <w:tc>
          <w:tcPr>
            <w:tcW w:w="1458" w:type="dxa"/>
            <w:noWrap/>
          </w:tcPr>
          <w:p w14:paraId="6855F20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19.47</w:t>
            </w:r>
            <w:r>
              <w:rPr>
                <w:rFonts w:ascii="Times New Roman" w:hAnsi="Times New Roman" w:cs="Times New Roman"/>
                <w:color w:val="auto"/>
                <w:vertAlign w:val="superscript"/>
              </w:rPr>
              <w:t>b</w:t>
            </w:r>
          </w:p>
        </w:tc>
        <w:tc>
          <w:tcPr>
            <w:tcW w:w="1374" w:type="dxa"/>
            <w:noWrap/>
          </w:tcPr>
          <w:p w14:paraId="443349B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3.59</w:t>
            </w:r>
            <w:r>
              <w:rPr>
                <w:rFonts w:ascii="Times New Roman" w:hAnsi="Times New Roman" w:cs="Times New Roman"/>
                <w:color w:val="auto"/>
                <w:vertAlign w:val="superscript"/>
              </w:rPr>
              <w:t>bc</w:t>
            </w:r>
          </w:p>
        </w:tc>
        <w:tc>
          <w:tcPr>
            <w:tcW w:w="1374" w:type="dxa"/>
            <w:noWrap/>
          </w:tcPr>
          <w:p w14:paraId="7E9EDFE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3.95</w:t>
            </w:r>
            <w:r>
              <w:rPr>
                <w:rFonts w:ascii="Times New Roman" w:hAnsi="Times New Roman" w:cs="Times New Roman"/>
                <w:color w:val="auto"/>
                <w:vertAlign w:val="superscript"/>
              </w:rPr>
              <w:t>a</w:t>
            </w:r>
          </w:p>
        </w:tc>
        <w:tc>
          <w:tcPr>
            <w:tcW w:w="1406" w:type="dxa"/>
          </w:tcPr>
          <w:p w14:paraId="300030C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4.69</w:t>
            </w:r>
            <w:r>
              <w:rPr>
                <w:rFonts w:ascii="Times New Roman" w:hAnsi="Times New Roman" w:cs="Times New Roman"/>
                <w:color w:val="auto"/>
                <w:vertAlign w:val="superscript"/>
              </w:rPr>
              <w:t>b</w:t>
            </w:r>
          </w:p>
        </w:tc>
      </w:tr>
      <w:tr w:rsidR="00F15FD7" w14:paraId="30A61C2C"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1819E71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440" w:type="dxa"/>
            <w:noWrap/>
          </w:tcPr>
          <w:p w14:paraId="34C3F942"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7.31</w:t>
            </w:r>
            <w:r>
              <w:rPr>
                <w:rFonts w:ascii="Times New Roman" w:hAnsi="Times New Roman" w:cs="Times New Roman"/>
                <w:color w:val="auto"/>
                <w:vertAlign w:val="superscript"/>
              </w:rPr>
              <w:t>a</w:t>
            </w:r>
          </w:p>
        </w:tc>
        <w:tc>
          <w:tcPr>
            <w:tcW w:w="1355" w:type="dxa"/>
            <w:noWrap/>
          </w:tcPr>
          <w:p w14:paraId="5D3E3B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17.52</w:t>
            </w:r>
            <w:r>
              <w:rPr>
                <w:rFonts w:ascii="Times New Roman" w:hAnsi="Times New Roman" w:cs="Times New Roman"/>
                <w:color w:val="auto"/>
                <w:vertAlign w:val="superscript"/>
              </w:rPr>
              <w:t>cd</w:t>
            </w:r>
          </w:p>
        </w:tc>
        <w:tc>
          <w:tcPr>
            <w:tcW w:w="1458" w:type="dxa"/>
            <w:noWrap/>
          </w:tcPr>
          <w:p w14:paraId="378C1DF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22.22</w:t>
            </w:r>
            <w:r>
              <w:rPr>
                <w:rFonts w:ascii="Times New Roman" w:hAnsi="Times New Roman" w:cs="Times New Roman"/>
                <w:color w:val="auto"/>
                <w:vertAlign w:val="superscript"/>
              </w:rPr>
              <w:t>bc</w:t>
            </w:r>
          </w:p>
        </w:tc>
        <w:tc>
          <w:tcPr>
            <w:tcW w:w="1374" w:type="dxa"/>
            <w:noWrap/>
          </w:tcPr>
          <w:p w14:paraId="1565CCB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2.31</w:t>
            </w:r>
            <w:r>
              <w:rPr>
                <w:rFonts w:ascii="Times New Roman" w:hAnsi="Times New Roman" w:cs="Times New Roman"/>
                <w:color w:val="auto"/>
                <w:vertAlign w:val="superscript"/>
              </w:rPr>
              <w:t>a</w:t>
            </w:r>
          </w:p>
        </w:tc>
        <w:tc>
          <w:tcPr>
            <w:tcW w:w="1374" w:type="dxa"/>
            <w:noWrap/>
          </w:tcPr>
          <w:p w14:paraId="7D6C6A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4.06</w:t>
            </w:r>
            <w:r>
              <w:rPr>
                <w:rFonts w:ascii="Times New Roman" w:hAnsi="Times New Roman" w:cs="Times New Roman"/>
                <w:color w:val="auto"/>
                <w:vertAlign w:val="superscript"/>
              </w:rPr>
              <w:t>ab</w:t>
            </w:r>
          </w:p>
        </w:tc>
        <w:tc>
          <w:tcPr>
            <w:tcW w:w="1406" w:type="dxa"/>
          </w:tcPr>
          <w:p w14:paraId="4333ADF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5.79</w:t>
            </w:r>
            <w:r>
              <w:rPr>
                <w:rFonts w:ascii="Times New Roman" w:hAnsi="Times New Roman" w:cs="Times New Roman"/>
                <w:color w:val="auto"/>
                <w:vertAlign w:val="superscript"/>
              </w:rPr>
              <w:t>a</w:t>
            </w:r>
          </w:p>
        </w:tc>
      </w:tr>
      <w:tr w:rsidR="00F15FD7" w14:paraId="41CDA8E6"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6F93A15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1440" w:type="dxa"/>
            <w:noWrap/>
          </w:tcPr>
          <w:p w14:paraId="0DA19340"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13.10</w:t>
            </w:r>
            <w:r>
              <w:rPr>
                <w:rFonts w:ascii="Times New Roman" w:hAnsi="Times New Roman" w:cs="Times New Roman"/>
                <w:color w:val="auto"/>
                <w:vertAlign w:val="superscript"/>
              </w:rPr>
              <w:t>d</w:t>
            </w:r>
          </w:p>
        </w:tc>
        <w:tc>
          <w:tcPr>
            <w:tcW w:w="1355" w:type="dxa"/>
            <w:noWrap/>
          </w:tcPr>
          <w:p w14:paraId="0A9AAF7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21.05</w:t>
            </w:r>
            <w:r>
              <w:rPr>
                <w:rFonts w:ascii="Times New Roman" w:hAnsi="Times New Roman" w:cs="Times New Roman"/>
                <w:color w:val="auto"/>
                <w:vertAlign w:val="superscript"/>
              </w:rPr>
              <w:t>ef</w:t>
            </w:r>
          </w:p>
        </w:tc>
        <w:tc>
          <w:tcPr>
            <w:tcW w:w="1458" w:type="dxa"/>
            <w:noWrap/>
          </w:tcPr>
          <w:p w14:paraId="6B4AC21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26.97</w:t>
            </w:r>
            <w:r>
              <w:rPr>
                <w:rFonts w:ascii="Times New Roman" w:hAnsi="Times New Roman" w:cs="Times New Roman"/>
                <w:color w:val="auto"/>
                <w:vertAlign w:val="superscript"/>
              </w:rPr>
              <w:t>c</w:t>
            </w:r>
          </w:p>
        </w:tc>
        <w:tc>
          <w:tcPr>
            <w:tcW w:w="1374" w:type="dxa"/>
            <w:noWrap/>
          </w:tcPr>
          <w:p w14:paraId="2E060132"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3.95</w:t>
            </w:r>
            <w:r>
              <w:rPr>
                <w:rFonts w:ascii="Times New Roman" w:hAnsi="Times New Roman" w:cs="Times New Roman"/>
                <w:color w:val="auto"/>
                <w:vertAlign w:val="superscript"/>
              </w:rPr>
              <w:t>bc</w:t>
            </w:r>
          </w:p>
        </w:tc>
        <w:tc>
          <w:tcPr>
            <w:tcW w:w="1374" w:type="dxa"/>
            <w:noWrap/>
          </w:tcPr>
          <w:p w14:paraId="37689E3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5.66</w:t>
            </w:r>
            <w:r>
              <w:rPr>
                <w:rFonts w:ascii="Times New Roman" w:hAnsi="Times New Roman" w:cs="Times New Roman"/>
                <w:color w:val="auto"/>
                <w:vertAlign w:val="superscript"/>
              </w:rPr>
              <w:t>bc</w:t>
            </w:r>
          </w:p>
        </w:tc>
        <w:tc>
          <w:tcPr>
            <w:tcW w:w="1406" w:type="dxa"/>
          </w:tcPr>
          <w:p w14:paraId="438AE05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6.54</w:t>
            </w:r>
            <w:r>
              <w:rPr>
                <w:rFonts w:ascii="Times New Roman" w:hAnsi="Times New Roman" w:cs="Times New Roman"/>
                <w:color w:val="auto"/>
                <w:vertAlign w:val="superscript"/>
              </w:rPr>
              <w:t>c</w:t>
            </w:r>
          </w:p>
        </w:tc>
      </w:tr>
      <w:tr w:rsidR="00F15FD7" w14:paraId="1D03C962"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09D54EF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440" w:type="dxa"/>
            <w:noWrap/>
          </w:tcPr>
          <w:p w14:paraId="5743BB57"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14.31</w:t>
            </w:r>
            <w:r>
              <w:rPr>
                <w:rFonts w:ascii="Times New Roman" w:hAnsi="Times New Roman" w:cs="Times New Roman"/>
                <w:color w:val="auto"/>
                <w:vertAlign w:val="superscript"/>
              </w:rPr>
              <w:t>e</w:t>
            </w:r>
          </w:p>
        </w:tc>
        <w:tc>
          <w:tcPr>
            <w:tcW w:w="1355" w:type="dxa"/>
            <w:noWrap/>
          </w:tcPr>
          <w:p w14:paraId="5C76CF5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20.74</w:t>
            </w:r>
            <w:r>
              <w:rPr>
                <w:rFonts w:ascii="Times New Roman" w:hAnsi="Times New Roman" w:cs="Times New Roman"/>
                <w:color w:val="auto"/>
                <w:vertAlign w:val="superscript"/>
              </w:rPr>
              <w:t>a</w:t>
            </w:r>
          </w:p>
        </w:tc>
        <w:tc>
          <w:tcPr>
            <w:tcW w:w="1458" w:type="dxa"/>
            <w:noWrap/>
          </w:tcPr>
          <w:p w14:paraId="54FE566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25.49</w:t>
            </w:r>
            <w:r>
              <w:rPr>
                <w:rFonts w:ascii="Times New Roman" w:hAnsi="Times New Roman" w:cs="Times New Roman"/>
                <w:color w:val="auto"/>
                <w:vertAlign w:val="superscript"/>
              </w:rPr>
              <w:t>a</w:t>
            </w:r>
          </w:p>
        </w:tc>
        <w:tc>
          <w:tcPr>
            <w:tcW w:w="1374" w:type="dxa"/>
            <w:noWrap/>
          </w:tcPr>
          <w:p w14:paraId="3C44FCDD"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4.02</w:t>
            </w:r>
            <w:r>
              <w:rPr>
                <w:rFonts w:ascii="Times New Roman" w:hAnsi="Times New Roman" w:cs="Times New Roman"/>
                <w:color w:val="auto"/>
                <w:vertAlign w:val="superscript"/>
              </w:rPr>
              <w:t>a</w:t>
            </w:r>
          </w:p>
        </w:tc>
        <w:tc>
          <w:tcPr>
            <w:tcW w:w="1374" w:type="dxa"/>
            <w:noWrap/>
          </w:tcPr>
          <w:p w14:paraId="3DA58F8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5.30</w:t>
            </w:r>
            <w:r>
              <w:rPr>
                <w:rFonts w:ascii="Times New Roman" w:hAnsi="Times New Roman" w:cs="Times New Roman"/>
                <w:color w:val="auto"/>
                <w:vertAlign w:val="superscript"/>
              </w:rPr>
              <w:t>c</w:t>
            </w:r>
          </w:p>
        </w:tc>
        <w:tc>
          <w:tcPr>
            <w:tcW w:w="1406" w:type="dxa"/>
          </w:tcPr>
          <w:p w14:paraId="137F7DA4"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6.44</w:t>
            </w:r>
            <w:r>
              <w:rPr>
                <w:rFonts w:ascii="Times New Roman" w:hAnsi="Times New Roman" w:cs="Times New Roman"/>
                <w:color w:val="auto"/>
                <w:vertAlign w:val="superscript"/>
              </w:rPr>
              <w:t>c</w:t>
            </w:r>
          </w:p>
        </w:tc>
      </w:tr>
    </w:tbl>
    <w:p w14:paraId="35516F0C"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101DECEA" w14:textId="77777777" w:rsidR="00F15FD7" w:rsidRDefault="00F15FD7">
      <w:pPr>
        <w:pStyle w:val="Caption"/>
        <w:spacing w:line="276" w:lineRule="auto"/>
        <w:rPr>
          <w:rFonts w:cs="Times New Roman"/>
          <w:sz w:val="22"/>
          <w:szCs w:val="22"/>
        </w:rPr>
      </w:pPr>
      <w:bookmarkStart w:id="4" w:name="_Toc208713646"/>
    </w:p>
    <w:p w14:paraId="67168068" w14:textId="77777777" w:rsidR="00F15FD7" w:rsidRDefault="00F15FD7"/>
    <w:bookmarkEnd w:id="4"/>
    <w:p w14:paraId="654906D9" w14:textId="77777777" w:rsidR="00F15FD7" w:rsidRDefault="00563E74">
      <w:pPr>
        <w:spacing w:line="360" w:lineRule="auto"/>
        <w:jc w:val="both"/>
        <w:rPr>
          <w:rFonts w:ascii="Times New Roman" w:hAnsi="Times New Roman" w:cs="Times New Roman"/>
          <w:b/>
          <w:bCs/>
        </w:rPr>
      </w:pPr>
      <w:r>
        <w:rPr>
          <w:rFonts w:ascii="Times New Roman" w:hAnsi="Times New Roman" w:cs="Times New Roman"/>
          <w:b/>
          <w:bCs/>
        </w:rPr>
        <w:t>3.4 Effects on fruit yield variables</w:t>
      </w:r>
    </w:p>
    <w:p w14:paraId="3D989058" w14:textId="77777777" w:rsidR="00F15FD7" w:rsidRDefault="00563E74">
      <w:pPr>
        <w:spacing w:line="360" w:lineRule="auto"/>
        <w:jc w:val="both"/>
        <w:rPr>
          <w:rFonts w:ascii="Times New Roman" w:hAnsi="Times New Roman" w:cs="Times New Roman"/>
        </w:rPr>
      </w:pPr>
      <w:r>
        <w:rPr>
          <w:rFonts w:ascii="Times New Roman" w:hAnsi="Times New Roman" w:cs="Times New Roman"/>
        </w:rPr>
        <w:t xml:space="preserve">Table 4 shows that the combination of biochar and Trichoderma </w:t>
      </w:r>
      <w:proofErr w:type="spellStart"/>
      <w:r>
        <w:rPr>
          <w:rFonts w:ascii="Times New Roman" w:hAnsi="Times New Roman" w:cs="Times New Roman"/>
        </w:rPr>
        <w:t>harzianum</w:t>
      </w:r>
      <w:proofErr w:type="spellEnd"/>
      <w:r>
        <w:rPr>
          <w:rFonts w:ascii="Times New Roman" w:hAnsi="Times New Roman" w:cs="Times New Roman"/>
        </w:rPr>
        <w:t xml:space="preserve"> produced the highest pepper yield. B+T at 100% FC had the most fruits per plant (36.93), highest fruit fresh weight (150.00 g), and greatest fruit dry weight (25.00 g). Single applications of biochar or Trichoderma improved yield compared to untreated plants, while low water availability (40% FC) reduced fruit number and weight. Overall, the results highlight that B+T under adequate or moderate watering maximizes pepper yield.</w:t>
      </w:r>
    </w:p>
    <w:p w14:paraId="20E64DD2" w14:textId="77777777" w:rsidR="00F15FD7" w:rsidRDefault="00F15FD7">
      <w:pPr>
        <w:pStyle w:val="Caption"/>
        <w:spacing w:line="276" w:lineRule="auto"/>
        <w:rPr>
          <w:rFonts w:cs="Times New Roman"/>
          <w:sz w:val="22"/>
          <w:szCs w:val="22"/>
        </w:rPr>
      </w:pPr>
    </w:p>
    <w:p w14:paraId="3E444090" w14:textId="77777777" w:rsidR="00F15FD7" w:rsidRDefault="00563E74">
      <w:pPr>
        <w:pStyle w:val="Caption"/>
        <w:spacing w:line="276" w:lineRule="auto"/>
        <w:rPr>
          <w:rFonts w:cs="Times New Roman"/>
          <w:b w:val="0"/>
          <w:sz w:val="22"/>
          <w:szCs w:val="22"/>
        </w:rPr>
      </w:pPr>
      <w:r>
        <w:rPr>
          <w:rFonts w:cs="Times New Roman"/>
          <w:sz w:val="22"/>
          <w:szCs w:val="22"/>
        </w:rPr>
        <w:t xml:space="preserve">Table 4.: </w:t>
      </w:r>
      <w:r>
        <w:rPr>
          <w:rFonts w:cs="Times New Roman"/>
          <w:b w:val="0"/>
          <w:sz w:val="22"/>
          <w:szCs w:val="22"/>
        </w:rPr>
        <w:t xml:space="preserve">Effects of application of Biochar and </w:t>
      </w:r>
      <w:r>
        <w:rPr>
          <w:rFonts w:cs="Times New Roman"/>
          <w:b w:val="0"/>
          <w:i/>
          <w:sz w:val="22"/>
          <w:szCs w:val="22"/>
        </w:rPr>
        <w:t>Trichoderma</w:t>
      </w:r>
      <w:r>
        <w:rPr>
          <w:rFonts w:cs="Times New Roman"/>
          <w:b w:val="0"/>
          <w:sz w:val="22"/>
          <w:szCs w:val="22"/>
        </w:rPr>
        <w:t xml:space="preserve"> </w:t>
      </w:r>
      <w:proofErr w:type="spellStart"/>
      <w:r>
        <w:rPr>
          <w:rFonts w:cs="Times New Roman"/>
          <w:b w:val="0"/>
          <w:i/>
          <w:sz w:val="22"/>
          <w:szCs w:val="22"/>
        </w:rPr>
        <w:t>harzianum</w:t>
      </w:r>
      <w:proofErr w:type="spellEnd"/>
      <w:r>
        <w:rPr>
          <w:rFonts w:cs="Times New Roman"/>
          <w:b w:val="0"/>
          <w:sz w:val="22"/>
          <w:szCs w:val="22"/>
        </w:rPr>
        <w:t xml:space="preserve"> on yield of pepper subjected to varied watering regimes</w:t>
      </w:r>
    </w:p>
    <w:tbl>
      <w:tblPr>
        <w:tblStyle w:val="ListTable6Colorful1"/>
        <w:tblW w:w="0" w:type="auto"/>
        <w:tblLook w:val="04A0" w:firstRow="1" w:lastRow="0" w:firstColumn="1" w:lastColumn="0" w:noHBand="0" w:noVBand="1"/>
      </w:tblPr>
      <w:tblGrid>
        <w:gridCol w:w="2465"/>
        <w:gridCol w:w="2476"/>
        <w:gridCol w:w="2191"/>
        <w:gridCol w:w="1831"/>
      </w:tblGrid>
      <w:tr w:rsidR="00F15FD7" w14:paraId="3ADCE4BF" w14:textId="77777777" w:rsidTr="00F15FD7">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465" w:type="dxa"/>
            <w:vMerge w:val="restart"/>
            <w:noWrap/>
          </w:tcPr>
          <w:p w14:paraId="5B6DB4E5" w14:textId="77777777" w:rsidR="00F15FD7" w:rsidRDefault="00F15FD7">
            <w:pPr>
              <w:spacing w:after="0" w:line="276" w:lineRule="auto"/>
              <w:rPr>
                <w:rFonts w:ascii="Times New Roman" w:hAnsi="Times New Roman" w:cs="Times New Roman"/>
                <w:b w:val="0"/>
              </w:rPr>
            </w:pPr>
          </w:p>
          <w:p w14:paraId="1AC19434" w14:textId="77777777" w:rsidR="00F15FD7" w:rsidRDefault="00F15FD7">
            <w:pPr>
              <w:spacing w:after="0" w:line="276" w:lineRule="auto"/>
              <w:rPr>
                <w:rFonts w:ascii="Times New Roman" w:hAnsi="Times New Roman" w:cs="Times New Roman"/>
                <w:b w:val="0"/>
              </w:rPr>
            </w:pPr>
          </w:p>
          <w:p w14:paraId="0F5F4EA8" w14:textId="77777777" w:rsidR="00F15FD7" w:rsidRDefault="00563E74">
            <w:pPr>
              <w:spacing w:after="0" w:line="276" w:lineRule="auto"/>
              <w:rPr>
                <w:rFonts w:ascii="Times New Roman" w:hAnsi="Times New Roman" w:cs="Times New Roman"/>
              </w:rPr>
            </w:pPr>
            <w:r>
              <w:rPr>
                <w:rFonts w:ascii="Times New Roman" w:hAnsi="Times New Roman" w:cs="Times New Roman"/>
              </w:rPr>
              <w:t>TREATMENT</w:t>
            </w:r>
          </w:p>
        </w:tc>
        <w:tc>
          <w:tcPr>
            <w:tcW w:w="6498" w:type="dxa"/>
            <w:gridSpan w:val="3"/>
          </w:tcPr>
          <w:p w14:paraId="56594C9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Pepper fruit yield characters</w:t>
            </w:r>
          </w:p>
        </w:tc>
      </w:tr>
      <w:tr w:rsidR="00F15FD7" w14:paraId="55466881" w14:textId="77777777" w:rsidTr="00F15FD7">
        <w:trPr>
          <w:trHeight w:val="716"/>
        </w:trPr>
        <w:tc>
          <w:tcPr>
            <w:cnfStyle w:val="001000000000" w:firstRow="0" w:lastRow="0" w:firstColumn="1" w:lastColumn="0" w:oddVBand="0" w:evenVBand="0" w:oddHBand="0" w:evenHBand="0" w:firstRowFirstColumn="0" w:firstRowLastColumn="0" w:lastRowFirstColumn="0" w:lastRowLastColumn="0"/>
            <w:tcW w:w="2465" w:type="dxa"/>
            <w:vMerge/>
            <w:tcBorders>
              <w:bottom w:val="single" w:sz="4" w:space="0" w:color="auto"/>
            </w:tcBorders>
            <w:noWrap/>
          </w:tcPr>
          <w:p w14:paraId="474058B1" w14:textId="77777777" w:rsidR="00F15FD7" w:rsidRDefault="00F15FD7">
            <w:pPr>
              <w:spacing w:after="0" w:line="276" w:lineRule="auto"/>
              <w:rPr>
                <w:rFonts w:ascii="Times New Roman" w:hAnsi="Times New Roman" w:cs="Times New Roman"/>
              </w:rPr>
            </w:pPr>
          </w:p>
        </w:tc>
        <w:tc>
          <w:tcPr>
            <w:tcW w:w="2476" w:type="dxa"/>
            <w:tcBorders>
              <w:bottom w:val="single" w:sz="4" w:space="0" w:color="auto"/>
            </w:tcBorders>
          </w:tcPr>
          <w:p w14:paraId="0A9747F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Number of fruit/plants</w:t>
            </w:r>
          </w:p>
        </w:tc>
        <w:tc>
          <w:tcPr>
            <w:tcW w:w="2191" w:type="dxa"/>
            <w:tcBorders>
              <w:bottom w:val="single" w:sz="4" w:space="0" w:color="auto"/>
            </w:tcBorders>
            <w:noWrap/>
          </w:tcPr>
          <w:p w14:paraId="68B04AA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Fruit Fresh weight/plant (g)</w:t>
            </w:r>
          </w:p>
        </w:tc>
        <w:tc>
          <w:tcPr>
            <w:tcW w:w="1831" w:type="dxa"/>
            <w:tcBorders>
              <w:bottom w:val="single" w:sz="4" w:space="0" w:color="auto"/>
            </w:tcBorders>
            <w:noWrap/>
          </w:tcPr>
          <w:p w14:paraId="4E2DFC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Fruit Dry weight/plant (g)</w:t>
            </w:r>
          </w:p>
        </w:tc>
      </w:tr>
      <w:tr w:rsidR="00F15FD7" w14:paraId="3BB9AEBC"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tcBorders>
              <w:top w:val="single" w:sz="4" w:space="0" w:color="auto"/>
            </w:tcBorders>
            <w:noWrap/>
          </w:tcPr>
          <w:p w14:paraId="0924086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 xml:space="preserve">Biochar </w:t>
            </w:r>
          </w:p>
        </w:tc>
        <w:tc>
          <w:tcPr>
            <w:tcW w:w="2476" w:type="dxa"/>
            <w:tcBorders>
              <w:top w:val="single" w:sz="4" w:space="0" w:color="auto"/>
            </w:tcBorders>
          </w:tcPr>
          <w:p w14:paraId="46628A8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25.70</w:t>
            </w:r>
            <w:r>
              <w:rPr>
                <w:rFonts w:ascii="Times New Roman" w:hAnsi="Times New Roman" w:cs="Times New Roman"/>
                <w:color w:val="auto"/>
                <w:vertAlign w:val="superscript"/>
              </w:rPr>
              <w:t>cd</w:t>
            </w:r>
          </w:p>
        </w:tc>
        <w:tc>
          <w:tcPr>
            <w:tcW w:w="2191" w:type="dxa"/>
            <w:tcBorders>
              <w:top w:val="single" w:sz="4" w:space="0" w:color="auto"/>
            </w:tcBorders>
            <w:noWrap/>
          </w:tcPr>
          <w:p w14:paraId="4D69C26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130.00</w:t>
            </w:r>
            <w:r>
              <w:rPr>
                <w:rFonts w:ascii="Times New Roman" w:hAnsi="Times New Roman" w:cs="Times New Roman"/>
                <w:color w:val="auto"/>
                <w:vertAlign w:val="superscript"/>
              </w:rPr>
              <w:t>d</w:t>
            </w:r>
          </w:p>
        </w:tc>
        <w:tc>
          <w:tcPr>
            <w:tcW w:w="1831" w:type="dxa"/>
            <w:tcBorders>
              <w:top w:val="single" w:sz="4" w:space="0" w:color="auto"/>
            </w:tcBorders>
            <w:noWrap/>
          </w:tcPr>
          <w:p w14:paraId="6D539CF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23.07</w:t>
            </w:r>
            <w:r>
              <w:rPr>
                <w:rFonts w:ascii="Times New Roman" w:hAnsi="Times New Roman" w:cs="Times New Roman"/>
                <w:color w:val="auto"/>
                <w:vertAlign w:val="superscript"/>
              </w:rPr>
              <w:t>c</w:t>
            </w:r>
          </w:p>
        </w:tc>
      </w:tr>
      <w:tr w:rsidR="00F15FD7" w14:paraId="49260222"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5D7137A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r>
              <w:rPr>
                <w:rFonts w:ascii="Times New Roman" w:hAnsi="Times New Roman" w:cs="Times New Roman"/>
                <w:b w:val="0"/>
                <w:color w:val="auto"/>
              </w:rPr>
              <w:t xml:space="preserve"> </w:t>
            </w:r>
          </w:p>
        </w:tc>
        <w:tc>
          <w:tcPr>
            <w:tcW w:w="2476" w:type="dxa"/>
          </w:tcPr>
          <w:p w14:paraId="5B70642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24.34</w:t>
            </w:r>
            <w:r>
              <w:rPr>
                <w:rFonts w:ascii="Times New Roman" w:hAnsi="Times New Roman" w:cs="Times New Roman"/>
                <w:color w:val="auto"/>
                <w:vertAlign w:val="superscript"/>
              </w:rPr>
              <w:t>c</w:t>
            </w:r>
          </w:p>
        </w:tc>
        <w:tc>
          <w:tcPr>
            <w:tcW w:w="2191" w:type="dxa"/>
            <w:noWrap/>
          </w:tcPr>
          <w:p w14:paraId="01BEC9E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125.33</w:t>
            </w:r>
            <w:r>
              <w:rPr>
                <w:rFonts w:ascii="Times New Roman" w:hAnsi="Times New Roman" w:cs="Times New Roman"/>
                <w:color w:val="auto"/>
                <w:vertAlign w:val="superscript"/>
              </w:rPr>
              <w:t>cd</w:t>
            </w:r>
          </w:p>
        </w:tc>
        <w:tc>
          <w:tcPr>
            <w:tcW w:w="1831" w:type="dxa"/>
            <w:noWrap/>
          </w:tcPr>
          <w:p w14:paraId="0F54F41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23.39</w:t>
            </w:r>
            <w:r>
              <w:rPr>
                <w:rFonts w:ascii="Times New Roman" w:hAnsi="Times New Roman" w:cs="Times New Roman"/>
                <w:color w:val="auto"/>
                <w:vertAlign w:val="superscript"/>
              </w:rPr>
              <w:t>c</w:t>
            </w:r>
          </w:p>
        </w:tc>
      </w:tr>
      <w:tr w:rsidR="00F15FD7" w14:paraId="103CD387"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522CBE0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2476" w:type="dxa"/>
          </w:tcPr>
          <w:p w14:paraId="1982C6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18.50</w:t>
            </w:r>
            <w:r>
              <w:rPr>
                <w:rFonts w:ascii="Times New Roman" w:hAnsi="Times New Roman" w:cs="Times New Roman"/>
                <w:color w:val="auto"/>
                <w:vertAlign w:val="superscript"/>
              </w:rPr>
              <w:t>a</w:t>
            </w:r>
          </w:p>
        </w:tc>
        <w:tc>
          <w:tcPr>
            <w:tcW w:w="2191" w:type="dxa"/>
            <w:noWrap/>
          </w:tcPr>
          <w:p w14:paraId="490D5E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81.00</w:t>
            </w:r>
            <w:r>
              <w:rPr>
                <w:rFonts w:ascii="Times New Roman" w:hAnsi="Times New Roman" w:cs="Times New Roman"/>
                <w:color w:val="auto"/>
                <w:vertAlign w:val="superscript"/>
              </w:rPr>
              <w:t>a</w:t>
            </w:r>
          </w:p>
        </w:tc>
        <w:tc>
          <w:tcPr>
            <w:tcW w:w="1831" w:type="dxa"/>
            <w:noWrap/>
          </w:tcPr>
          <w:p w14:paraId="20E870D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16.99</w:t>
            </w:r>
            <w:r>
              <w:rPr>
                <w:rFonts w:ascii="Times New Roman" w:hAnsi="Times New Roman" w:cs="Times New Roman"/>
                <w:color w:val="auto"/>
                <w:vertAlign w:val="superscript"/>
              </w:rPr>
              <w:t>a</w:t>
            </w:r>
          </w:p>
        </w:tc>
      </w:tr>
      <w:tr w:rsidR="00F15FD7" w14:paraId="1E64597E"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088B8E1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2476" w:type="dxa"/>
          </w:tcPr>
          <w:p w14:paraId="6CD74DC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19.72</w:t>
            </w:r>
            <w:r>
              <w:rPr>
                <w:rFonts w:ascii="Times New Roman" w:hAnsi="Times New Roman" w:cs="Times New Roman"/>
                <w:color w:val="auto"/>
                <w:vertAlign w:val="superscript"/>
              </w:rPr>
              <w:t>ab</w:t>
            </w:r>
          </w:p>
        </w:tc>
        <w:tc>
          <w:tcPr>
            <w:tcW w:w="2191" w:type="dxa"/>
            <w:noWrap/>
          </w:tcPr>
          <w:p w14:paraId="1AD0302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84.00</w:t>
            </w:r>
            <w:r>
              <w:rPr>
                <w:rFonts w:ascii="Times New Roman" w:hAnsi="Times New Roman" w:cs="Times New Roman"/>
                <w:color w:val="auto"/>
                <w:vertAlign w:val="superscript"/>
              </w:rPr>
              <w:t>a</w:t>
            </w:r>
          </w:p>
        </w:tc>
        <w:tc>
          <w:tcPr>
            <w:tcW w:w="1831" w:type="dxa"/>
            <w:noWrap/>
          </w:tcPr>
          <w:p w14:paraId="3FD30B4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17.33</w:t>
            </w:r>
            <w:r>
              <w:rPr>
                <w:rFonts w:ascii="Times New Roman" w:hAnsi="Times New Roman" w:cs="Times New Roman"/>
                <w:color w:val="auto"/>
                <w:vertAlign w:val="superscript"/>
              </w:rPr>
              <w:t>ab</w:t>
            </w:r>
          </w:p>
        </w:tc>
      </w:tr>
      <w:tr w:rsidR="00F15FD7" w14:paraId="00ADD2DE"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0ACA012E"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2476" w:type="dxa"/>
          </w:tcPr>
          <w:p w14:paraId="029C035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25.34</w:t>
            </w:r>
            <w:r>
              <w:rPr>
                <w:rFonts w:ascii="Times New Roman" w:hAnsi="Times New Roman" w:cs="Times New Roman"/>
                <w:color w:val="auto"/>
                <w:vertAlign w:val="superscript"/>
              </w:rPr>
              <w:t>cd</w:t>
            </w:r>
          </w:p>
        </w:tc>
        <w:tc>
          <w:tcPr>
            <w:tcW w:w="2191" w:type="dxa"/>
            <w:noWrap/>
          </w:tcPr>
          <w:p w14:paraId="36394BA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120.67</w:t>
            </w:r>
            <w:r>
              <w:rPr>
                <w:rFonts w:ascii="Times New Roman" w:hAnsi="Times New Roman" w:cs="Times New Roman"/>
                <w:color w:val="auto"/>
                <w:vertAlign w:val="superscript"/>
              </w:rPr>
              <w:t>cd</w:t>
            </w:r>
          </w:p>
        </w:tc>
        <w:tc>
          <w:tcPr>
            <w:tcW w:w="1831" w:type="dxa"/>
            <w:noWrap/>
          </w:tcPr>
          <w:p w14:paraId="4F18AC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21.05</w:t>
            </w:r>
            <w:r>
              <w:rPr>
                <w:rFonts w:ascii="Times New Roman" w:hAnsi="Times New Roman" w:cs="Times New Roman"/>
                <w:color w:val="auto"/>
                <w:vertAlign w:val="superscript"/>
              </w:rPr>
              <w:t>bc</w:t>
            </w:r>
          </w:p>
        </w:tc>
      </w:tr>
      <w:tr w:rsidR="00F15FD7" w14:paraId="252249D5"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277F43E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2476" w:type="dxa"/>
          </w:tcPr>
          <w:p w14:paraId="585D943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20.48</w:t>
            </w:r>
            <w:r>
              <w:rPr>
                <w:rFonts w:ascii="Times New Roman" w:hAnsi="Times New Roman" w:cs="Times New Roman"/>
                <w:color w:val="auto"/>
                <w:vertAlign w:val="superscript"/>
              </w:rPr>
              <w:t>abc</w:t>
            </w:r>
          </w:p>
        </w:tc>
        <w:tc>
          <w:tcPr>
            <w:tcW w:w="2191" w:type="dxa"/>
            <w:noWrap/>
          </w:tcPr>
          <w:p w14:paraId="190B10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124.00</w:t>
            </w:r>
            <w:r>
              <w:rPr>
                <w:rFonts w:ascii="Times New Roman" w:hAnsi="Times New Roman" w:cs="Times New Roman"/>
                <w:color w:val="auto"/>
                <w:vertAlign w:val="superscript"/>
              </w:rPr>
              <w:t>cd</w:t>
            </w:r>
          </w:p>
        </w:tc>
        <w:tc>
          <w:tcPr>
            <w:tcW w:w="1831" w:type="dxa"/>
            <w:noWrap/>
          </w:tcPr>
          <w:p w14:paraId="5893474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23.37</w:t>
            </w:r>
            <w:r>
              <w:rPr>
                <w:rFonts w:ascii="Times New Roman" w:hAnsi="Times New Roman" w:cs="Times New Roman"/>
                <w:color w:val="auto"/>
                <w:vertAlign w:val="superscript"/>
              </w:rPr>
              <w:t>c</w:t>
            </w:r>
          </w:p>
        </w:tc>
      </w:tr>
      <w:tr w:rsidR="00F15FD7" w14:paraId="71F0597C"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2F773E75"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2476" w:type="dxa"/>
          </w:tcPr>
          <w:p w14:paraId="0CA3CC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24.30</w:t>
            </w:r>
            <w:r>
              <w:rPr>
                <w:rFonts w:ascii="Times New Roman" w:hAnsi="Times New Roman" w:cs="Times New Roman"/>
                <w:color w:val="auto"/>
                <w:vertAlign w:val="superscript"/>
              </w:rPr>
              <w:t>c</w:t>
            </w:r>
          </w:p>
        </w:tc>
        <w:tc>
          <w:tcPr>
            <w:tcW w:w="2191" w:type="dxa"/>
            <w:noWrap/>
          </w:tcPr>
          <w:p w14:paraId="02E23A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119.33</w:t>
            </w:r>
            <w:r>
              <w:rPr>
                <w:rFonts w:ascii="Times New Roman" w:hAnsi="Times New Roman" w:cs="Times New Roman"/>
                <w:color w:val="auto"/>
                <w:vertAlign w:val="superscript"/>
              </w:rPr>
              <w:t>c</w:t>
            </w:r>
          </w:p>
        </w:tc>
        <w:tc>
          <w:tcPr>
            <w:tcW w:w="1831" w:type="dxa"/>
            <w:noWrap/>
          </w:tcPr>
          <w:p w14:paraId="3BD83E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20.71</w:t>
            </w:r>
            <w:r>
              <w:rPr>
                <w:rFonts w:ascii="Times New Roman" w:hAnsi="Times New Roman" w:cs="Times New Roman"/>
                <w:color w:val="auto"/>
                <w:vertAlign w:val="superscript"/>
              </w:rPr>
              <w:t>abc</w:t>
            </w:r>
          </w:p>
        </w:tc>
      </w:tr>
      <w:tr w:rsidR="00F15FD7" w14:paraId="76F27166"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2CA5D98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2476" w:type="dxa"/>
          </w:tcPr>
          <w:p w14:paraId="719767C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28.03</w:t>
            </w:r>
            <w:r>
              <w:rPr>
                <w:rFonts w:ascii="Times New Roman" w:hAnsi="Times New Roman" w:cs="Times New Roman"/>
                <w:color w:val="auto"/>
                <w:vertAlign w:val="superscript"/>
              </w:rPr>
              <w:t>d</w:t>
            </w:r>
          </w:p>
        </w:tc>
        <w:tc>
          <w:tcPr>
            <w:tcW w:w="2191" w:type="dxa"/>
            <w:noWrap/>
          </w:tcPr>
          <w:p w14:paraId="58747B8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129.33</w:t>
            </w:r>
            <w:r>
              <w:rPr>
                <w:rFonts w:ascii="Times New Roman" w:hAnsi="Times New Roman" w:cs="Times New Roman"/>
                <w:color w:val="auto"/>
                <w:vertAlign w:val="superscript"/>
              </w:rPr>
              <w:t>d</w:t>
            </w:r>
          </w:p>
        </w:tc>
        <w:tc>
          <w:tcPr>
            <w:tcW w:w="1831" w:type="dxa"/>
            <w:noWrap/>
          </w:tcPr>
          <w:p w14:paraId="07B2F1C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21.73</w:t>
            </w:r>
            <w:r>
              <w:rPr>
                <w:rFonts w:ascii="Times New Roman" w:hAnsi="Times New Roman" w:cs="Times New Roman"/>
                <w:color w:val="auto"/>
                <w:vertAlign w:val="superscript"/>
              </w:rPr>
              <w:t>a</w:t>
            </w:r>
          </w:p>
        </w:tc>
      </w:tr>
      <w:tr w:rsidR="00F15FD7" w14:paraId="3BF6686C"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4DF55DE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2476" w:type="dxa"/>
          </w:tcPr>
          <w:p w14:paraId="5920268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22.74</w:t>
            </w:r>
            <w:r>
              <w:rPr>
                <w:rFonts w:ascii="Times New Roman" w:hAnsi="Times New Roman" w:cs="Times New Roman"/>
                <w:color w:val="auto"/>
                <w:vertAlign w:val="superscript"/>
              </w:rPr>
              <w:t>c</w:t>
            </w:r>
          </w:p>
        </w:tc>
        <w:tc>
          <w:tcPr>
            <w:tcW w:w="2191" w:type="dxa"/>
            <w:noWrap/>
          </w:tcPr>
          <w:p w14:paraId="4173116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120.67</w:t>
            </w:r>
            <w:r>
              <w:rPr>
                <w:rFonts w:ascii="Times New Roman" w:hAnsi="Times New Roman" w:cs="Times New Roman"/>
                <w:color w:val="auto"/>
                <w:vertAlign w:val="superscript"/>
              </w:rPr>
              <w:t>cd</w:t>
            </w:r>
          </w:p>
        </w:tc>
        <w:tc>
          <w:tcPr>
            <w:tcW w:w="1831" w:type="dxa"/>
            <w:noWrap/>
          </w:tcPr>
          <w:p w14:paraId="766FD97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21.03</w:t>
            </w:r>
            <w:r>
              <w:rPr>
                <w:rFonts w:ascii="Times New Roman" w:hAnsi="Times New Roman" w:cs="Times New Roman"/>
                <w:color w:val="auto"/>
                <w:vertAlign w:val="superscript"/>
              </w:rPr>
              <w:t>a</w:t>
            </w:r>
          </w:p>
        </w:tc>
      </w:tr>
      <w:tr w:rsidR="00F15FD7" w14:paraId="4E3583B6"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710C81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2476" w:type="dxa"/>
          </w:tcPr>
          <w:p w14:paraId="59D8A71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25.83</w:t>
            </w:r>
            <w:r>
              <w:rPr>
                <w:rFonts w:ascii="Times New Roman" w:hAnsi="Times New Roman" w:cs="Times New Roman"/>
                <w:color w:val="auto"/>
                <w:vertAlign w:val="superscript"/>
              </w:rPr>
              <w:t>cd</w:t>
            </w:r>
          </w:p>
        </w:tc>
        <w:tc>
          <w:tcPr>
            <w:tcW w:w="2191" w:type="dxa"/>
            <w:noWrap/>
          </w:tcPr>
          <w:p w14:paraId="678F190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122.33</w:t>
            </w:r>
            <w:r>
              <w:rPr>
                <w:rFonts w:ascii="Times New Roman" w:hAnsi="Times New Roman" w:cs="Times New Roman"/>
                <w:color w:val="auto"/>
                <w:vertAlign w:val="superscript"/>
              </w:rPr>
              <w:t>cd</w:t>
            </w:r>
          </w:p>
        </w:tc>
        <w:tc>
          <w:tcPr>
            <w:tcW w:w="1831" w:type="dxa"/>
            <w:noWrap/>
          </w:tcPr>
          <w:p w14:paraId="77C1506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22.59</w:t>
            </w:r>
            <w:r>
              <w:rPr>
                <w:rFonts w:ascii="Times New Roman" w:hAnsi="Times New Roman" w:cs="Times New Roman"/>
                <w:color w:val="auto"/>
                <w:vertAlign w:val="superscript"/>
              </w:rPr>
              <w:t>c</w:t>
            </w:r>
          </w:p>
        </w:tc>
      </w:tr>
      <w:tr w:rsidR="00F15FD7" w14:paraId="20410B1F"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60ABB4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2476" w:type="dxa"/>
          </w:tcPr>
          <w:p w14:paraId="14C05F2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27.32</w:t>
            </w:r>
            <w:r>
              <w:rPr>
                <w:rFonts w:ascii="Times New Roman" w:hAnsi="Times New Roman" w:cs="Times New Roman"/>
                <w:color w:val="auto"/>
                <w:vertAlign w:val="superscript"/>
              </w:rPr>
              <w:t>d</w:t>
            </w:r>
          </w:p>
        </w:tc>
        <w:tc>
          <w:tcPr>
            <w:tcW w:w="2191" w:type="dxa"/>
            <w:noWrap/>
          </w:tcPr>
          <w:p w14:paraId="331011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135.33</w:t>
            </w:r>
            <w:r>
              <w:rPr>
                <w:rFonts w:ascii="Times New Roman" w:hAnsi="Times New Roman" w:cs="Times New Roman"/>
                <w:color w:val="auto"/>
                <w:vertAlign w:val="superscript"/>
              </w:rPr>
              <w:t>e</w:t>
            </w:r>
          </w:p>
        </w:tc>
        <w:tc>
          <w:tcPr>
            <w:tcW w:w="1831" w:type="dxa"/>
            <w:noWrap/>
          </w:tcPr>
          <w:p w14:paraId="0A8B622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20.55</w:t>
            </w:r>
            <w:r>
              <w:rPr>
                <w:rFonts w:ascii="Times New Roman" w:hAnsi="Times New Roman" w:cs="Times New Roman"/>
                <w:color w:val="auto"/>
                <w:vertAlign w:val="superscript"/>
              </w:rPr>
              <w:t>abc</w:t>
            </w:r>
          </w:p>
        </w:tc>
      </w:tr>
      <w:tr w:rsidR="00F15FD7" w14:paraId="5D54DFC5"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A546A6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2476" w:type="dxa"/>
          </w:tcPr>
          <w:p w14:paraId="13827F2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25.12</w:t>
            </w:r>
            <w:r>
              <w:rPr>
                <w:rFonts w:ascii="Times New Roman" w:hAnsi="Times New Roman" w:cs="Times New Roman"/>
                <w:color w:val="auto"/>
                <w:vertAlign w:val="superscript"/>
              </w:rPr>
              <w:t>cd</w:t>
            </w:r>
          </w:p>
        </w:tc>
        <w:tc>
          <w:tcPr>
            <w:tcW w:w="2191" w:type="dxa"/>
            <w:noWrap/>
          </w:tcPr>
          <w:p w14:paraId="1053F81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120.33</w:t>
            </w:r>
            <w:r>
              <w:rPr>
                <w:rFonts w:ascii="Times New Roman" w:hAnsi="Times New Roman" w:cs="Times New Roman"/>
                <w:color w:val="auto"/>
                <w:vertAlign w:val="superscript"/>
              </w:rPr>
              <w:t>cd</w:t>
            </w:r>
          </w:p>
        </w:tc>
        <w:tc>
          <w:tcPr>
            <w:tcW w:w="1831" w:type="dxa"/>
            <w:noWrap/>
          </w:tcPr>
          <w:p w14:paraId="00627CA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21.83</w:t>
            </w:r>
            <w:r>
              <w:rPr>
                <w:rFonts w:ascii="Times New Roman" w:hAnsi="Times New Roman" w:cs="Times New Roman"/>
                <w:color w:val="auto"/>
                <w:vertAlign w:val="superscript"/>
              </w:rPr>
              <w:t>bc</w:t>
            </w:r>
          </w:p>
        </w:tc>
      </w:tr>
      <w:tr w:rsidR="00F15FD7" w14:paraId="4A5A1A31"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1C195EE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2476" w:type="dxa"/>
          </w:tcPr>
          <w:p w14:paraId="1459F5E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35.23</w:t>
            </w:r>
            <w:r>
              <w:rPr>
                <w:rFonts w:ascii="Times New Roman" w:hAnsi="Times New Roman" w:cs="Times New Roman"/>
                <w:color w:val="auto"/>
                <w:vertAlign w:val="superscript"/>
              </w:rPr>
              <w:t>e</w:t>
            </w:r>
          </w:p>
        </w:tc>
        <w:tc>
          <w:tcPr>
            <w:tcW w:w="2191" w:type="dxa"/>
            <w:noWrap/>
          </w:tcPr>
          <w:p w14:paraId="5A3C0ED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146.67</w:t>
            </w:r>
            <w:r>
              <w:rPr>
                <w:rFonts w:ascii="Times New Roman" w:hAnsi="Times New Roman" w:cs="Times New Roman"/>
                <w:color w:val="auto"/>
                <w:vertAlign w:val="superscript"/>
              </w:rPr>
              <w:t>f</w:t>
            </w:r>
          </w:p>
        </w:tc>
        <w:tc>
          <w:tcPr>
            <w:tcW w:w="1831" w:type="dxa"/>
            <w:noWrap/>
          </w:tcPr>
          <w:p w14:paraId="4D12191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23.17</w:t>
            </w:r>
            <w:r>
              <w:rPr>
                <w:rFonts w:ascii="Times New Roman" w:hAnsi="Times New Roman" w:cs="Times New Roman"/>
                <w:color w:val="auto"/>
                <w:vertAlign w:val="superscript"/>
              </w:rPr>
              <w:t>c</w:t>
            </w:r>
          </w:p>
        </w:tc>
      </w:tr>
      <w:tr w:rsidR="00F15FD7" w14:paraId="3647C414"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DABAD8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2476" w:type="dxa"/>
          </w:tcPr>
          <w:p w14:paraId="3E2D0B2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36.93</w:t>
            </w:r>
            <w:r>
              <w:rPr>
                <w:rFonts w:ascii="Times New Roman" w:hAnsi="Times New Roman" w:cs="Times New Roman"/>
                <w:color w:val="auto"/>
                <w:vertAlign w:val="superscript"/>
              </w:rPr>
              <w:t>f</w:t>
            </w:r>
          </w:p>
        </w:tc>
        <w:tc>
          <w:tcPr>
            <w:tcW w:w="2191" w:type="dxa"/>
            <w:noWrap/>
          </w:tcPr>
          <w:p w14:paraId="6112B65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150.00</w:t>
            </w:r>
            <w:r>
              <w:rPr>
                <w:rFonts w:ascii="Times New Roman" w:hAnsi="Times New Roman" w:cs="Times New Roman"/>
                <w:color w:val="auto"/>
                <w:vertAlign w:val="superscript"/>
              </w:rPr>
              <w:t>fg</w:t>
            </w:r>
          </w:p>
        </w:tc>
        <w:tc>
          <w:tcPr>
            <w:tcW w:w="1831" w:type="dxa"/>
            <w:noWrap/>
          </w:tcPr>
          <w:p w14:paraId="25EAA85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25.00</w:t>
            </w:r>
            <w:r>
              <w:rPr>
                <w:rFonts w:ascii="Times New Roman" w:hAnsi="Times New Roman" w:cs="Times New Roman"/>
                <w:color w:val="auto"/>
                <w:vertAlign w:val="superscript"/>
              </w:rPr>
              <w:t>d</w:t>
            </w:r>
          </w:p>
        </w:tc>
      </w:tr>
    </w:tbl>
    <w:p w14:paraId="7A3A03E3"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1EB40664" w14:textId="77777777" w:rsidR="00F15FD7" w:rsidRDefault="00F15FD7">
      <w:pPr>
        <w:tabs>
          <w:tab w:val="left" w:pos="2880"/>
        </w:tabs>
        <w:spacing w:line="276" w:lineRule="auto"/>
        <w:rPr>
          <w:rFonts w:ascii="Times New Roman" w:hAnsi="Times New Roman" w:cs="Times New Roman"/>
          <w:b/>
          <w:bCs/>
        </w:rPr>
      </w:pPr>
    </w:p>
    <w:p w14:paraId="7B65E598" w14:textId="77777777" w:rsidR="00F15FD7" w:rsidRDefault="00563E74">
      <w:pPr>
        <w:spacing w:line="276" w:lineRule="auto"/>
        <w:rPr>
          <w:rFonts w:ascii="Times New Roman" w:hAnsi="Times New Roman" w:cs="Times New Roman"/>
          <w:b/>
          <w:bCs/>
        </w:rPr>
      </w:pPr>
      <w:r>
        <w:rPr>
          <w:rFonts w:ascii="Times New Roman" w:hAnsi="Times New Roman" w:cs="Times New Roman"/>
          <w:b/>
          <w:bCs/>
        </w:rPr>
        <w:t>3.5 Effects of amendments on phytochemical constituents of pepper under differential watering</w:t>
      </w:r>
    </w:p>
    <w:p w14:paraId="0F25EC10" w14:textId="77777777" w:rsidR="00F15FD7" w:rsidRDefault="00563E74">
      <w:pPr>
        <w:tabs>
          <w:tab w:val="left" w:pos="2880"/>
        </w:tabs>
        <w:spacing w:line="276" w:lineRule="auto"/>
        <w:jc w:val="both"/>
        <w:rPr>
          <w:rFonts w:ascii="Times New Roman" w:hAnsi="Times New Roman" w:cs="Times New Roman"/>
          <w:b/>
          <w:bCs/>
        </w:rPr>
      </w:pPr>
      <w:r>
        <w:rPr>
          <w:rFonts w:ascii="Times New Roman" w:hAnsi="Times New Roman" w:cs="Times New Roman"/>
          <w:b/>
          <w:bCs/>
        </w:rPr>
        <w:t>3.5.1 Effects on Chlorophyll content</w:t>
      </w:r>
    </w:p>
    <w:p w14:paraId="3CDDCE65" w14:textId="77777777" w:rsidR="00F15FD7" w:rsidRDefault="00563E74">
      <w:pPr>
        <w:tabs>
          <w:tab w:val="left" w:pos="2880"/>
        </w:tabs>
        <w:spacing w:line="276" w:lineRule="auto"/>
        <w:jc w:val="both"/>
        <w:rPr>
          <w:rFonts w:ascii="Times New Roman" w:hAnsi="Times New Roman" w:cs="Times New Roman"/>
        </w:rPr>
      </w:pPr>
      <w:r>
        <w:rPr>
          <w:rFonts w:ascii="Times New Roman" w:hAnsi="Times New Roman" w:cs="Times New Roman"/>
        </w:rPr>
        <w:t xml:space="preserve">The figure 1 below shows that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increased total chlorophyll content in pepper leaves, with the highest values observed under their combination (B+T) at 60–100% FC, around 73 mg g⁻¹ FW. Lower water regimes (40% FC) had reduced chlorophyll, while higher water availability enhanced chlorophyll accumulation. Overall, the results indicate that B+T treatments improve leaf chlorophyll, especially under adequate or moderate watering.</w:t>
      </w:r>
    </w:p>
    <w:p w14:paraId="2443D574" w14:textId="77777777" w:rsidR="00F15FD7" w:rsidRDefault="00563E74">
      <w:pPr>
        <w:tabs>
          <w:tab w:val="left" w:pos="2880"/>
        </w:tabs>
        <w:spacing w:line="276" w:lineRule="auto"/>
        <w:jc w:val="both"/>
        <w:rPr>
          <w:rFonts w:ascii="Times New Roman" w:hAnsi="Times New Roman" w:cs="Times New Roman"/>
          <w:b/>
          <w:bCs/>
        </w:rPr>
      </w:pPr>
      <w:r>
        <w:rPr>
          <w:rFonts w:ascii="Times New Roman" w:hAnsi="Times New Roman" w:cs="Times New Roman"/>
          <w:b/>
          <w:bCs/>
        </w:rPr>
        <w:t>3.5.2. Effects on Proximate compositions</w:t>
      </w:r>
    </w:p>
    <w:p w14:paraId="59609808" w14:textId="77777777" w:rsidR="00F15FD7" w:rsidRDefault="00563E74">
      <w:pPr>
        <w:tabs>
          <w:tab w:val="left" w:pos="2880"/>
        </w:tabs>
        <w:spacing w:line="276" w:lineRule="auto"/>
        <w:jc w:val="both"/>
        <w:rPr>
          <w:rFonts w:ascii="Times New Roman" w:hAnsi="Times New Roman" w:cs="Times New Roman"/>
        </w:rPr>
      </w:pPr>
      <w:r>
        <w:rPr>
          <w:rFonts w:ascii="Times New Roman" w:hAnsi="Times New Roman" w:cs="Times New Roman"/>
        </w:rPr>
        <w:t xml:space="preserve">The co-application of biochar (B) and Trichoderma </w:t>
      </w:r>
      <w:proofErr w:type="spellStart"/>
      <w:r>
        <w:rPr>
          <w:rFonts w:ascii="Times New Roman" w:hAnsi="Times New Roman" w:cs="Times New Roman"/>
        </w:rPr>
        <w:t>harzianum</w:t>
      </w:r>
      <w:proofErr w:type="spellEnd"/>
      <w:r>
        <w:rPr>
          <w:rFonts w:ascii="Times New Roman" w:hAnsi="Times New Roman" w:cs="Times New Roman"/>
        </w:rPr>
        <w:t xml:space="preserve"> (T) under varied soil moisture regimes affected the proximate composition of pepper fruits. Moisture content (7.11–7.16%) and total soluble solids (~92.85–92.89%) were largely unchanged. Biochar, particularly at 100% FC, increased ash (5.88%), crude </w:t>
      </w:r>
      <w:proofErr w:type="spellStart"/>
      <w:r>
        <w:rPr>
          <w:rFonts w:ascii="Times New Roman" w:hAnsi="Times New Roman" w:cs="Times New Roman"/>
        </w:rPr>
        <w:t>fibre</w:t>
      </w:r>
      <w:proofErr w:type="spellEnd"/>
      <w:r>
        <w:rPr>
          <w:rFonts w:ascii="Times New Roman" w:hAnsi="Times New Roman" w:cs="Times New Roman"/>
        </w:rPr>
        <w:t xml:space="preserve"> (38.11%), and protein (2.43%), while Trichoderma alone at 40% FC enhanced carbohydrates (65.44%) and vitamins (155.22 mg/100 g). Combined treatments (B+T) generally moderated these effects, with protein ranging from 1.52–1.59% and carbohydrates from 57.79–61.02%. Overall, biochar improved mineral and protein content, whereas Trichoderma favored carbohydrate and vitamin accumulation.</w:t>
      </w:r>
    </w:p>
    <w:p w14:paraId="69B56364" w14:textId="77777777" w:rsidR="00F15FD7" w:rsidRDefault="00F15FD7">
      <w:pPr>
        <w:spacing w:line="276" w:lineRule="auto"/>
        <w:rPr>
          <w:rFonts w:ascii="Times New Roman" w:hAnsi="Times New Roman" w:cs="Times New Roman"/>
        </w:rPr>
      </w:pPr>
    </w:p>
    <w:p w14:paraId="6EB2D029" w14:textId="77777777" w:rsidR="00F15FD7" w:rsidRDefault="00563E74">
      <w:pPr>
        <w:spacing w:line="276" w:lineRule="auto"/>
        <w:rPr>
          <w:rFonts w:ascii="Times New Roman" w:hAnsi="Times New Roman" w:cs="Times New Roman"/>
        </w:rPr>
      </w:pPr>
      <w:r>
        <w:rPr>
          <w:rFonts w:ascii="Times New Roman" w:hAnsi="Times New Roman" w:cs="Times New Roman"/>
          <w:noProof/>
        </w:rPr>
        <w:lastRenderedPageBreak/>
        <w:drawing>
          <wp:inline distT="0" distB="0" distL="0" distR="0" wp14:anchorId="2B9D8EF4" wp14:editId="5681E9DA">
            <wp:extent cx="6251575" cy="5156200"/>
            <wp:effectExtent l="0" t="0" r="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E8B71E" w14:textId="77777777" w:rsidR="00F15FD7" w:rsidRDefault="00563E74">
      <w:pPr>
        <w:tabs>
          <w:tab w:val="left" w:pos="9000"/>
        </w:tabs>
        <w:spacing w:line="276" w:lineRule="auto"/>
        <w:jc w:val="both"/>
        <w:rPr>
          <w:rFonts w:ascii="Times New Roman" w:hAnsi="Times New Roman" w:cs="Times New Roman"/>
        </w:rPr>
      </w:pPr>
      <w:r>
        <w:rPr>
          <w:rFonts w:ascii="Times New Roman" w:hAnsi="Times New Roman" w:cs="Times New Roman"/>
          <w:b/>
        </w:rPr>
        <w:t>Figure 1:</w:t>
      </w:r>
      <w:r>
        <w:rPr>
          <w:rFonts w:ascii="Times New Roman" w:hAnsi="Times New Roman" w:cs="Times New Roman"/>
        </w:rPr>
        <w:t xml:space="preserve"> Effects of application of Biochar and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i/>
        </w:rPr>
        <w:t xml:space="preserve"> </w:t>
      </w:r>
      <w:r>
        <w:rPr>
          <w:rFonts w:ascii="Times New Roman" w:hAnsi="Times New Roman" w:cs="Times New Roman"/>
        </w:rPr>
        <w:t>on the total chlorophyll content (</w:t>
      </w:r>
      <w:r>
        <w:rPr>
          <w:rFonts w:ascii="Times New Roman" w:hAnsi="Times New Roman" w:cs="Times New Roman"/>
          <w:bCs/>
        </w:rPr>
        <w:t>mg g⁻¹ FW</w:t>
      </w:r>
      <w:r>
        <w:rPr>
          <w:rFonts w:ascii="Times New Roman" w:hAnsi="Times New Roman" w:cs="Times New Roman"/>
          <w:b/>
          <w:bCs/>
        </w:rPr>
        <w:t>)</w:t>
      </w:r>
      <w:r>
        <w:rPr>
          <w:rFonts w:ascii="Times New Roman" w:hAnsi="Times New Roman" w:cs="Times New Roman"/>
        </w:rPr>
        <w:t xml:space="preserve"> of pepper subjected to varied watering regimes.</w:t>
      </w:r>
    </w:p>
    <w:p w14:paraId="66C5EE69" w14:textId="77777777" w:rsidR="00F15FD7" w:rsidRDefault="00563E74">
      <w:pPr>
        <w:tabs>
          <w:tab w:val="left" w:pos="9000"/>
        </w:tabs>
        <w:spacing w:line="276" w:lineRule="auto"/>
        <w:jc w:val="both"/>
        <w:rPr>
          <w:rFonts w:ascii="Times New Roman" w:hAnsi="Times New Roman" w:cs="Times New Roman"/>
          <w:b/>
          <w:bCs/>
        </w:rPr>
      </w:pPr>
      <w:r>
        <w:rPr>
          <w:rFonts w:ascii="Times New Roman" w:hAnsi="Times New Roman" w:cs="Times New Roman"/>
          <w:b/>
          <w:bCs/>
        </w:rPr>
        <w:t>3.5.3 Effects on mineral compositions</w:t>
      </w:r>
    </w:p>
    <w:p w14:paraId="52581D4B" w14:textId="77777777" w:rsidR="00F15FD7" w:rsidRDefault="00563E74">
      <w:pPr>
        <w:spacing w:line="276" w:lineRule="auto"/>
        <w:rPr>
          <w:rFonts w:ascii="Times New Roman" w:hAnsi="Times New Roman" w:cs="Times New Roman"/>
        </w:rPr>
      </w:pPr>
      <w:r>
        <w:rPr>
          <w:rFonts w:ascii="Times New Roman" w:hAnsi="Times New Roman" w:cs="Times New Roman"/>
        </w:rPr>
        <w:t xml:space="preserve">The co-application of biochar (B) and Trichoderma </w:t>
      </w:r>
      <w:proofErr w:type="spellStart"/>
      <w:r>
        <w:rPr>
          <w:rFonts w:ascii="Times New Roman" w:hAnsi="Times New Roman" w:cs="Times New Roman"/>
        </w:rPr>
        <w:t>harzianum</w:t>
      </w:r>
      <w:proofErr w:type="spellEnd"/>
      <w:r>
        <w:rPr>
          <w:rFonts w:ascii="Times New Roman" w:hAnsi="Times New Roman" w:cs="Times New Roman"/>
        </w:rPr>
        <w:t xml:space="preserve"> (T) under varied moisture regimes significantly influenced mineral composition in pepper fruits. Biochar at 100% FC and B+T+100% FC recorded the highest mineral levels: Na (0.64 mg/100 g), Ca (15.64 mg/100 g), Mg (39.87 mg/100 g), Cl (0.41 mg/100 g), N (0.39 mg/100 g), P (21.24 mg/100 g), and K (224.19 mg/100 g). Trichoderma alone under low moisture (T+40% FC) had the lowest mineral contents, e.g., Na (0.24 mg/100 g) and K (176.12 mg/100 g). Overall, biochar enhanced mineral accumulation, and combining it with Trichoderma at high moisture produced the highest nutritional gains. </w:t>
      </w:r>
    </w:p>
    <w:p w14:paraId="19689659" w14:textId="77777777" w:rsidR="00F15FD7" w:rsidRDefault="00563E74">
      <w:pPr>
        <w:spacing w:line="276" w:lineRule="auto"/>
        <w:rPr>
          <w:rFonts w:ascii="Times New Roman" w:hAnsi="Times New Roman" w:cs="Times New Roman"/>
          <w:b/>
          <w:bCs/>
        </w:rPr>
      </w:pPr>
      <w:r>
        <w:rPr>
          <w:rFonts w:ascii="Times New Roman" w:hAnsi="Times New Roman" w:cs="Times New Roman"/>
          <w:b/>
          <w:bCs/>
        </w:rPr>
        <w:t>3.6 Effects of amendments on the metabolites and antioxidant enzymes of pepper under differential watering</w:t>
      </w:r>
    </w:p>
    <w:p w14:paraId="5C5C8E7A" w14:textId="77777777" w:rsidR="00F15FD7" w:rsidRDefault="00563E74">
      <w:pPr>
        <w:tabs>
          <w:tab w:val="left" w:pos="2880"/>
        </w:tabs>
        <w:spacing w:after="0" w:line="360" w:lineRule="auto"/>
        <w:ind w:right="-244"/>
        <w:jc w:val="both"/>
        <w:rPr>
          <w:rFonts w:ascii="Times New Roman" w:hAnsi="Times New Roman" w:cs="Times New Roman"/>
          <w:iCs/>
        </w:rPr>
      </w:pPr>
      <w:r>
        <w:rPr>
          <w:rFonts w:ascii="Times New Roman" w:hAnsi="Times New Roman" w:cs="Times New Roman"/>
          <w:iCs/>
        </w:rPr>
        <w:t xml:space="preserve">Watering at 40% FC strongly increased stress metabolites and antioxidant enzyme activities in pepper fruits, with proline reaching 60 µmol g⁻¹, total phenolics 820 mg GAE/100 g DW, SOD 150 U mg⁻¹, CAT 60 U mg⁻¹, POD 90 U mg⁻¹, and APX 70 U mg⁻¹. Biochar and Trichoderma, alone or combined, mitigated these stress responses, reducing proline to 28–45 µmol g⁻¹ and moderating enzyme activities under moderate stress. Under optimal moisture (100% FC), stress metabolites and antioxidant activities were lowest (proline 6–10 µmol g⁻¹, </w:t>
      </w:r>
      <w:r>
        <w:rPr>
          <w:rFonts w:ascii="Times New Roman" w:hAnsi="Times New Roman" w:cs="Times New Roman"/>
          <w:iCs/>
        </w:rPr>
        <w:lastRenderedPageBreak/>
        <w:t>SOD 68–75 U mg⁻¹), indicating minimal oxidative stress. Overall, biochar and Trichoderma alleviated oxidative stress in pepper under water deficit.</w:t>
      </w:r>
    </w:p>
    <w:p w14:paraId="65D2B65C" w14:textId="77777777" w:rsidR="00F15FD7" w:rsidRDefault="00F15FD7">
      <w:pPr>
        <w:tabs>
          <w:tab w:val="left" w:pos="9000"/>
        </w:tabs>
        <w:spacing w:line="360" w:lineRule="auto"/>
        <w:jc w:val="both"/>
        <w:rPr>
          <w:rFonts w:ascii="Times New Roman" w:hAnsi="Times New Roman" w:cs="Times New Roman"/>
        </w:rPr>
        <w:sectPr w:rsidR="00F15FD7">
          <w:headerReference w:type="even" r:id="rId11"/>
          <w:headerReference w:type="default" r:id="rId12"/>
          <w:footerReference w:type="even" r:id="rId13"/>
          <w:footerReference w:type="default" r:id="rId14"/>
          <w:headerReference w:type="first" r:id="rId15"/>
          <w:footerReference w:type="first" r:id="rId16"/>
          <w:pgSz w:w="11906" w:h="16838"/>
          <w:pgMar w:top="1077" w:right="1106" w:bottom="1077" w:left="1440" w:header="720" w:footer="720" w:gutter="0"/>
          <w:pgNumType w:start="1"/>
          <w:cols w:space="720"/>
          <w:docGrid w:linePitch="360"/>
        </w:sectPr>
      </w:pPr>
    </w:p>
    <w:p w14:paraId="5FAAD1AB" w14:textId="77777777" w:rsidR="00F15FD7" w:rsidRDefault="00563E74">
      <w:pPr>
        <w:tabs>
          <w:tab w:val="left" w:pos="2880"/>
        </w:tabs>
        <w:spacing w:after="0" w:line="276" w:lineRule="auto"/>
        <w:ind w:right="-244"/>
        <w:rPr>
          <w:rFonts w:ascii="Times New Roman" w:hAnsi="Times New Roman" w:cs="Times New Roman"/>
          <w:b/>
        </w:rPr>
      </w:pPr>
      <w:bookmarkStart w:id="5" w:name="_Toc208786460"/>
      <w:r>
        <w:rPr>
          <w:rFonts w:ascii="Times New Roman" w:hAnsi="Times New Roman" w:cs="Times New Roman"/>
          <w:b/>
        </w:rPr>
        <w:lastRenderedPageBreak/>
        <w:t xml:space="preserve">Table 5. </w:t>
      </w:r>
      <w:r>
        <w:rPr>
          <w:rFonts w:ascii="Times New Roman" w:hAnsi="Times New Roman" w:cs="Times New Roman"/>
        </w:rPr>
        <w:t xml:space="preserve"> Effect of co-application of biochar and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i/>
        </w:rPr>
        <w:t xml:space="preserve"> </w:t>
      </w:r>
      <w:r>
        <w:rPr>
          <w:rFonts w:ascii="Times New Roman" w:hAnsi="Times New Roman" w:cs="Times New Roman"/>
        </w:rPr>
        <w:t>on the proximate compositions of pepper subjected to varied moisture content</w:t>
      </w:r>
      <w:bookmarkEnd w:id="5"/>
    </w:p>
    <w:p w14:paraId="373A7CB1" w14:textId="77777777" w:rsidR="00F15FD7" w:rsidRDefault="00F15FD7">
      <w:pPr>
        <w:tabs>
          <w:tab w:val="left" w:pos="2880"/>
        </w:tabs>
        <w:spacing w:after="0" w:line="276" w:lineRule="auto"/>
        <w:ind w:right="-244"/>
        <w:rPr>
          <w:rFonts w:ascii="Times New Roman" w:hAnsi="Times New Roman" w:cs="Times New Roman"/>
        </w:rPr>
      </w:pPr>
    </w:p>
    <w:tbl>
      <w:tblPr>
        <w:tblStyle w:val="ListTable6Colorful1"/>
        <w:tblW w:w="13997" w:type="dxa"/>
        <w:tblLook w:val="04A0" w:firstRow="1" w:lastRow="0" w:firstColumn="1" w:lastColumn="0" w:noHBand="0" w:noVBand="1"/>
      </w:tblPr>
      <w:tblGrid>
        <w:gridCol w:w="1800"/>
        <w:gridCol w:w="1759"/>
        <w:gridCol w:w="1327"/>
        <w:gridCol w:w="1190"/>
        <w:gridCol w:w="1327"/>
        <w:gridCol w:w="1308"/>
        <w:gridCol w:w="1923"/>
        <w:gridCol w:w="1696"/>
        <w:gridCol w:w="1667"/>
      </w:tblGrid>
      <w:tr w:rsidR="00F15FD7" w14:paraId="39DB750B" w14:textId="77777777" w:rsidTr="00F15FD7">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00" w:type="dxa"/>
            <w:noWrap/>
          </w:tcPr>
          <w:p w14:paraId="59CE5789" w14:textId="77777777" w:rsidR="00F15FD7" w:rsidRDefault="00563E74">
            <w:pPr>
              <w:spacing w:after="0" w:line="276" w:lineRule="auto"/>
              <w:rPr>
                <w:rFonts w:ascii="Times New Roman" w:hAnsi="Times New Roman" w:cs="Times New Roman"/>
              </w:rPr>
            </w:pPr>
            <w:r>
              <w:rPr>
                <w:rFonts w:ascii="Times New Roman" w:hAnsi="Times New Roman" w:cs="Times New Roman"/>
              </w:rPr>
              <w:t>Treatment</w:t>
            </w:r>
          </w:p>
        </w:tc>
        <w:tc>
          <w:tcPr>
            <w:tcW w:w="1759" w:type="dxa"/>
            <w:noWrap/>
            <w:vAlign w:val="center"/>
          </w:tcPr>
          <w:p w14:paraId="5C00F650"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Moisture content </w:t>
            </w:r>
          </w:p>
          <w:p w14:paraId="2BF64935"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327" w:type="dxa"/>
            <w:noWrap/>
            <w:vAlign w:val="center"/>
          </w:tcPr>
          <w:p w14:paraId="2263508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Ash content (%)</w:t>
            </w:r>
          </w:p>
        </w:tc>
        <w:tc>
          <w:tcPr>
            <w:tcW w:w="1190" w:type="dxa"/>
            <w:noWrap/>
            <w:vAlign w:val="center"/>
          </w:tcPr>
          <w:p w14:paraId="5715B99D"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Crude </w:t>
            </w:r>
            <w:proofErr w:type="spellStart"/>
            <w:r>
              <w:rPr>
                <w:rFonts w:ascii="Times New Roman" w:hAnsi="Times New Roman" w:cs="Times New Roman"/>
              </w:rPr>
              <w:t>fibre</w:t>
            </w:r>
            <w:proofErr w:type="spellEnd"/>
            <w:r>
              <w:rPr>
                <w:rFonts w:ascii="Times New Roman" w:hAnsi="Times New Roman" w:cs="Times New Roman"/>
              </w:rPr>
              <w:t xml:space="preserve"> (%)</w:t>
            </w:r>
          </w:p>
        </w:tc>
        <w:tc>
          <w:tcPr>
            <w:tcW w:w="1327" w:type="dxa"/>
            <w:noWrap/>
            <w:vAlign w:val="center"/>
          </w:tcPr>
          <w:p w14:paraId="777EA30F"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Fat content (%)</w:t>
            </w:r>
          </w:p>
        </w:tc>
        <w:tc>
          <w:tcPr>
            <w:tcW w:w="1308" w:type="dxa"/>
            <w:noWrap/>
            <w:vAlign w:val="center"/>
          </w:tcPr>
          <w:p w14:paraId="50426D49"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Crude protein (%)</w:t>
            </w:r>
          </w:p>
        </w:tc>
        <w:tc>
          <w:tcPr>
            <w:tcW w:w="1923" w:type="dxa"/>
            <w:noWrap/>
            <w:vAlign w:val="center"/>
          </w:tcPr>
          <w:p w14:paraId="1F6766A8"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Carbohydrate (%)</w:t>
            </w:r>
          </w:p>
        </w:tc>
        <w:tc>
          <w:tcPr>
            <w:tcW w:w="1696" w:type="dxa"/>
            <w:noWrap/>
            <w:vAlign w:val="center"/>
          </w:tcPr>
          <w:p w14:paraId="5CDA0C67"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Vitamin (mg/100g)</w:t>
            </w:r>
          </w:p>
        </w:tc>
        <w:tc>
          <w:tcPr>
            <w:tcW w:w="1667" w:type="dxa"/>
            <w:noWrap/>
            <w:vAlign w:val="center"/>
          </w:tcPr>
          <w:p w14:paraId="341AAF4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Total Soluble Solid </w:t>
            </w:r>
          </w:p>
          <w:p w14:paraId="7EC3D551"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r>
      <w:tr w:rsidR="00F15FD7" w14:paraId="174CFF13"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3326012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1759" w:type="dxa"/>
            <w:noWrap/>
            <w:vAlign w:val="center"/>
          </w:tcPr>
          <w:p w14:paraId="540662E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7.14</w:t>
            </w:r>
            <w:r>
              <w:rPr>
                <w:rFonts w:ascii="Times New Roman" w:hAnsi="Times New Roman" w:cs="Times New Roman"/>
                <w:vertAlign w:val="superscript"/>
              </w:rPr>
              <w:t>bcd</w:t>
            </w:r>
          </w:p>
        </w:tc>
        <w:tc>
          <w:tcPr>
            <w:tcW w:w="1327" w:type="dxa"/>
            <w:noWrap/>
            <w:vAlign w:val="center"/>
          </w:tcPr>
          <w:p w14:paraId="140CDA7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4.02</w:t>
            </w:r>
            <w:r>
              <w:rPr>
                <w:rFonts w:ascii="Times New Roman" w:hAnsi="Times New Roman" w:cs="Times New Roman"/>
                <w:vertAlign w:val="superscript"/>
              </w:rPr>
              <w:t>d</w:t>
            </w:r>
          </w:p>
        </w:tc>
        <w:tc>
          <w:tcPr>
            <w:tcW w:w="1190" w:type="dxa"/>
            <w:noWrap/>
            <w:vAlign w:val="center"/>
          </w:tcPr>
          <w:p w14:paraId="4C25B09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25.57</w:t>
            </w:r>
            <w:r>
              <w:rPr>
                <w:rFonts w:ascii="Times New Roman" w:hAnsi="Times New Roman" w:cs="Times New Roman"/>
                <w:vertAlign w:val="superscript"/>
              </w:rPr>
              <w:t>d</w:t>
            </w:r>
          </w:p>
        </w:tc>
        <w:tc>
          <w:tcPr>
            <w:tcW w:w="1327" w:type="dxa"/>
            <w:noWrap/>
            <w:vAlign w:val="center"/>
          </w:tcPr>
          <w:p w14:paraId="5CF474E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w:t>
            </w:r>
            <w:r>
              <w:rPr>
                <w:rFonts w:ascii="Times New Roman" w:hAnsi="Times New Roman" w:cs="Times New Roman"/>
                <w:vertAlign w:val="superscript"/>
              </w:rPr>
              <w:t>c</w:t>
            </w:r>
          </w:p>
        </w:tc>
        <w:tc>
          <w:tcPr>
            <w:tcW w:w="1308" w:type="dxa"/>
            <w:noWrap/>
            <w:vAlign w:val="center"/>
          </w:tcPr>
          <w:p w14:paraId="2934EEC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1.78</w:t>
            </w:r>
            <w:r>
              <w:rPr>
                <w:rFonts w:ascii="Times New Roman" w:hAnsi="Times New Roman" w:cs="Times New Roman"/>
                <w:vertAlign w:val="superscript"/>
              </w:rPr>
              <w:t>d</w:t>
            </w:r>
          </w:p>
        </w:tc>
        <w:tc>
          <w:tcPr>
            <w:tcW w:w="1923" w:type="dxa"/>
            <w:noWrap/>
            <w:vAlign w:val="center"/>
          </w:tcPr>
          <w:p w14:paraId="6EB7FDC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61.09</w:t>
            </w:r>
            <w:r>
              <w:rPr>
                <w:rFonts w:ascii="Times New Roman" w:hAnsi="Times New Roman" w:cs="Times New Roman"/>
                <w:vertAlign w:val="superscript"/>
              </w:rPr>
              <w:t>h</w:t>
            </w:r>
          </w:p>
        </w:tc>
        <w:tc>
          <w:tcPr>
            <w:tcW w:w="1696" w:type="dxa"/>
            <w:noWrap/>
            <w:vAlign w:val="center"/>
          </w:tcPr>
          <w:p w14:paraId="238EFCA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102.76</w:t>
            </w:r>
            <w:r>
              <w:rPr>
                <w:rFonts w:ascii="Times New Roman" w:hAnsi="Times New Roman" w:cs="Times New Roman"/>
                <w:vertAlign w:val="superscript"/>
              </w:rPr>
              <w:t>d</w:t>
            </w:r>
          </w:p>
        </w:tc>
        <w:tc>
          <w:tcPr>
            <w:tcW w:w="1667" w:type="dxa"/>
            <w:noWrap/>
            <w:vAlign w:val="center"/>
          </w:tcPr>
          <w:p w14:paraId="3F7F723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01F703A0"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7FE228A2"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759" w:type="dxa"/>
            <w:noWrap/>
            <w:vAlign w:val="center"/>
          </w:tcPr>
          <w:p w14:paraId="223DB9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7.16</w:t>
            </w:r>
            <w:r>
              <w:rPr>
                <w:rFonts w:ascii="Times New Roman" w:hAnsi="Times New Roman" w:cs="Times New Roman"/>
                <w:vertAlign w:val="superscript"/>
              </w:rPr>
              <w:t>d</w:t>
            </w:r>
          </w:p>
        </w:tc>
        <w:tc>
          <w:tcPr>
            <w:tcW w:w="1327" w:type="dxa"/>
            <w:noWrap/>
            <w:vAlign w:val="center"/>
          </w:tcPr>
          <w:p w14:paraId="350422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4.17</w:t>
            </w:r>
            <w:r>
              <w:rPr>
                <w:rFonts w:ascii="Times New Roman" w:hAnsi="Times New Roman" w:cs="Times New Roman"/>
                <w:vertAlign w:val="superscript"/>
              </w:rPr>
              <w:t>e</w:t>
            </w:r>
          </w:p>
        </w:tc>
        <w:tc>
          <w:tcPr>
            <w:tcW w:w="1190" w:type="dxa"/>
            <w:noWrap/>
            <w:vAlign w:val="center"/>
          </w:tcPr>
          <w:p w14:paraId="7ABABE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29.20</w:t>
            </w:r>
            <w:r>
              <w:rPr>
                <w:rFonts w:ascii="Times New Roman" w:hAnsi="Times New Roman" w:cs="Times New Roman"/>
                <w:vertAlign w:val="superscript"/>
              </w:rPr>
              <w:t>g</w:t>
            </w:r>
          </w:p>
        </w:tc>
        <w:tc>
          <w:tcPr>
            <w:tcW w:w="1327" w:type="dxa"/>
            <w:noWrap/>
            <w:vAlign w:val="center"/>
          </w:tcPr>
          <w:p w14:paraId="69214CA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r>
              <w:rPr>
                <w:rFonts w:ascii="Times New Roman" w:hAnsi="Times New Roman" w:cs="Times New Roman"/>
                <w:vertAlign w:val="superscript"/>
              </w:rPr>
              <w:t>c</w:t>
            </w:r>
          </w:p>
        </w:tc>
        <w:tc>
          <w:tcPr>
            <w:tcW w:w="1308" w:type="dxa"/>
            <w:noWrap/>
            <w:vAlign w:val="center"/>
          </w:tcPr>
          <w:p w14:paraId="3D87884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1.84</w:t>
            </w:r>
            <w:r>
              <w:rPr>
                <w:rFonts w:ascii="Times New Roman" w:hAnsi="Times New Roman" w:cs="Times New Roman"/>
                <w:vertAlign w:val="superscript"/>
              </w:rPr>
              <w:t>e</w:t>
            </w:r>
          </w:p>
        </w:tc>
        <w:tc>
          <w:tcPr>
            <w:tcW w:w="1923" w:type="dxa"/>
            <w:noWrap/>
            <w:vAlign w:val="center"/>
          </w:tcPr>
          <w:p w14:paraId="1384CAB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61.39</w:t>
            </w:r>
            <w:r>
              <w:rPr>
                <w:rFonts w:ascii="Times New Roman" w:hAnsi="Times New Roman" w:cs="Times New Roman"/>
                <w:vertAlign w:val="superscript"/>
              </w:rPr>
              <w:t>i</w:t>
            </w:r>
          </w:p>
        </w:tc>
        <w:tc>
          <w:tcPr>
            <w:tcW w:w="1696" w:type="dxa"/>
            <w:noWrap/>
            <w:vAlign w:val="center"/>
          </w:tcPr>
          <w:p w14:paraId="68609E2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132.73</w:t>
            </w:r>
            <w:r>
              <w:rPr>
                <w:rFonts w:ascii="Times New Roman" w:hAnsi="Times New Roman" w:cs="Times New Roman"/>
                <w:vertAlign w:val="superscript"/>
              </w:rPr>
              <w:t>f</w:t>
            </w:r>
          </w:p>
        </w:tc>
        <w:tc>
          <w:tcPr>
            <w:tcW w:w="1667" w:type="dxa"/>
            <w:noWrap/>
            <w:vAlign w:val="center"/>
          </w:tcPr>
          <w:p w14:paraId="5DA0EED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92.84</w:t>
            </w:r>
            <w:r>
              <w:rPr>
                <w:rFonts w:ascii="Times New Roman" w:hAnsi="Times New Roman" w:cs="Times New Roman"/>
                <w:vertAlign w:val="superscript"/>
              </w:rPr>
              <w:t>a</w:t>
            </w:r>
          </w:p>
        </w:tc>
      </w:tr>
      <w:tr w:rsidR="00F15FD7" w14:paraId="6E7921A3"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7C52C4F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759" w:type="dxa"/>
            <w:noWrap/>
            <w:vAlign w:val="center"/>
          </w:tcPr>
          <w:p w14:paraId="0E5B78F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w:t>
            </w:r>
          </w:p>
        </w:tc>
        <w:tc>
          <w:tcPr>
            <w:tcW w:w="1327" w:type="dxa"/>
            <w:noWrap/>
            <w:vAlign w:val="center"/>
          </w:tcPr>
          <w:p w14:paraId="663CC4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4.33</w:t>
            </w:r>
            <w:r>
              <w:rPr>
                <w:rFonts w:ascii="Times New Roman" w:hAnsi="Times New Roman" w:cs="Times New Roman"/>
                <w:vertAlign w:val="superscript"/>
              </w:rPr>
              <w:t>f</w:t>
            </w:r>
          </w:p>
        </w:tc>
        <w:tc>
          <w:tcPr>
            <w:tcW w:w="1190" w:type="dxa"/>
            <w:noWrap/>
            <w:vAlign w:val="center"/>
          </w:tcPr>
          <w:p w14:paraId="44416BE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32.41j</w:t>
            </w:r>
          </w:p>
        </w:tc>
        <w:tc>
          <w:tcPr>
            <w:tcW w:w="1327" w:type="dxa"/>
            <w:noWrap/>
            <w:vAlign w:val="center"/>
          </w:tcPr>
          <w:p w14:paraId="1CD5F7B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c</w:t>
            </w:r>
          </w:p>
        </w:tc>
        <w:tc>
          <w:tcPr>
            <w:tcW w:w="1308" w:type="dxa"/>
            <w:noWrap/>
            <w:vAlign w:val="center"/>
          </w:tcPr>
          <w:p w14:paraId="578C8C5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w:t>
            </w:r>
            <w:r>
              <w:rPr>
                <w:rFonts w:ascii="Times New Roman" w:hAnsi="Times New Roman" w:cs="Times New Roman"/>
                <w:vertAlign w:val="superscript"/>
              </w:rPr>
              <w:t>f</w:t>
            </w:r>
          </w:p>
        </w:tc>
        <w:tc>
          <w:tcPr>
            <w:tcW w:w="1923" w:type="dxa"/>
            <w:noWrap/>
            <w:vAlign w:val="center"/>
          </w:tcPr>
          <w:p w14:paraId="45F1625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53.81</w:t>
            </w:r>
            <w:r>
              <w:rPr>
                <w:rFonts w:ascii="Times New Roman" w:hAnsi="Times New Roman" w:cs="Times New Roman"/>
                <w:vertAlign w:val="superscript"/>
              </w:rPr>
              <w:t>c</w:t>
            </w:r>
          </w:p>
        </w:tc>
        <w:tc>
          <w:tcPr>
            <w:tcW w:w="1696" w:type="dxa"/>
            <w:noWrap/>
            <w:vAlign w:val="center"/>
          </w:tcPr>
          <w:p w14:paraId="585670E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155.22</w:t>
            </w:r>
            <w:r>
              <w:rPr>
                <w:rFonts w:ascii="Times New Roman" w:hAnsi="Times New Roman" w:cs="Times New Roman"/>
                <w:vertAlign w:val="superscript"/>
              </w:rPr>
              <w:t>g</w:t>
            </w:r>
          </w:p>
        </w:tc>
        <w:tc>
          <w:tcPr>
            <w:tcW w:w="1667" w:type="dxa"/>
            <w:noWrap/>
            <w:vAlign w:val="center"/>
          </w:tcPr>
          <w:p w14:paraId="073745B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0037592F"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380C6CF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759" w:type="dxa"/>
            <w:noWrap/>
            <w:vAlign w:val="center"/>
          </w:tcPr>
          <w:p w14:paraId="4FBD183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bc</w:t>
            </w:r>
          </w:p>
        </w:tc>
        <w:tc>
          <w:tcPr>
            <w:tcW w:w="1327" w:type="dxa"/>
            <w:noWrap/>
            <w:vAlign w:val="center"/>
          </w:tcPr>
          <w:p w14:paraId="24570A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4.61</w:t>
            </w:r>
            <w:r>
              <w:rPr>
                <w:rFonts w:ascii="Times New Roman" w:hAnsi="Times New Roman" w:cs="Times New Roman"/>
                <w:vertAlign w:val="superscript"/>
              </w:rPr>
              <w:t>g</w:t>
            </w:r>
          </w:p>
        </w:tc>
        <w:tc>
          <w:tcPr>
            <w:tcW w:w="1190" w:type="dxa"/>
            <w:noWrap/>
            <w:vAlign w:val="center"/>
          </w:tcPr>
          <w:p w14:paraId="3A28F87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38.13</w:t>
            </w:r>
          </w:p>
        </w:tc>
        <w:tc>
          <w:tcPr>
            <w:tcW w:w="1327" w:type="dxa"/>
            <w:noWrap/>
            <w:vAlign w:val="center"/>
          </w:tcPr>
          <w:p w14:paraId="50D127C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c</w:t>
            </w:r>
          </w:p>
        </w:tc>
        <w:tc>
          <w:tcPr>
            <w:tcW w:w="1308" w:type="dxa"/>
            <w:noWrap/>
            <w:vAlign w:val="center"/>
          </w:tcPr>
          <w:p w14:paraId="02F0C84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w:t>
            </w:r>
            <w:r>
              <w:rPr>
                <w:rFonts w:ascii="Times New Roman" w:hAnsi="Times New Roman" w:cs="Times New Roman"/>
                <w:vertAlign w:val="superscript"/>
              </w:rPr>
              <w:t>g</w:t>
            </w:r>
          </w:p>
        </w:tc>
        <w:tc>
          <w:tcPr>
            <w:tcW w:w="1923" w:type="dxa"/>
            <w:noWrap/>
            <w:vAlign w:val="center"/>
          </w:tcPr>
          <w:p w14:paraId="6A3F24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47.73</w:t>
            </w:r>
            <w:r>
              <w:rPr>
                <w:rFonts w:ascii="Times New Roman" w:hAnsi="Times New Roman" w:cs="Times New Roman"/>
                <w:vertAlign w:val="superscript"/>
              </w:rPr>
              <w:t>b</w:t>
            </w:r>
          </w:p>
        </w:tc>
        <w:tc>
          <w:tcPr>
            <w:tcW w:w="1696" w:type="dxa"/>
            <w:noWrap/>
            <w:vAlign w:val="center"/>
          </w:tcPr>
          <w:p w14:paraId="1375A4B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162.05</w:t>
            </w:r>
            <w:r>
              <w:rPr>
                <w:rFonts w:ascii="Times New Roman" w:hAnsi="Times New Roman" w:cs="Times New Roman"/>
                <w:vertAlign w:val="superscript"/>
              </w:rPr>
              <w:t>hi</w:t>
            </w:r>
          </w:p>
        </w:tc>
        <w:tc>
          <w:tcPr>
            <w:tcW w:w="1667" w:type="dxa"/>
            <w:noWrap/>
            <w:vAlign w:val="center"/>
          </w:tcPr>
          <w:p w14:paraId="233D42C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411C54C9"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66651CD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759" w:type="dxa"/>
            <w:noWrap/>
            <w:vAlign w:val="center"/>
          </w:tcPr>
          <w:p w14:paraId="501049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7.12</w:t>
            </w:r>
            <w:r>
              <w:rPr>
                <w:rFonts w:ascii="Times New Roman" w:hAnsi="Times New Roman" w:cs="Times New Roman"/>
                <w:vertAlign w:val="superscript"/>
              </w:rPr>
              <w:t>ab</w:t>
            </w:r>
          </w:p>
        </w:tc>
        <w:tc>
          <w:tcPr>
            <w:tcW w:w="1327" w:type="dxa"/>
            <w:noWrap/>
            <w:vAlign w:val="center"/>
          </w:tcPr>
          <w:p w14:paraId="1BEE586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5.36</w:t>
            </w:r>
            <w:r>
              <w:rPr>
                <w:rFonts w:ascii="Times New Roman" w:hAnsi="Times New Roman" w:cs="Times New Roman"/>
                <w:vertAlign w:val="superscript"/>
              </w:rPr>
              <w:t>h</w:t>
            </w:r>
          </w:p>
        </w:tc>
        <w:tc>
          <w:tcPr>
            <w:tcW w:w="1190" w:type="dxa"/>
            <w:noWrap/>
            <w:vAlign w:val="center"/>
          </w:tcPr>
          <w:p w14:paraId="21C285A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28.71</w:t>
            </w:r>
            <w:r>
              <w:rPr>
                <w:rFonts w:ascii="Times New Roman" w:hAnsi="Times New Roman" w:cs="Times New Roman"/>
                <w:vertAlign w:val="superscript"/>
              </w:rPr>
              <w:t>f</w:t>
            </w:r>
          </w:p>
        </w:tc>
        <w:tc>
          <w:tcPr>
            <w:tcW w:w="1327" w:type="dxa"/>
            <w:noWrap/>
            <w:vAlign w:val="center"/>
          </w:tcPr>
          <w:p w14:paraId="3E8EBC9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r>
              <w:rPr>
                <w:rFonts w:ascii="Times New Roman" w:hAnsi="Times New Roman" w:cs="Times New Roman"/>
                <w:vertAlign w:val="superscript"/>
              </w:rPr>
              <w:t>c</w:t>
            </w:r>
          </w:p>
        </w:tc>
        <w:tc>
          <w:tcPr>
            <w:tcW w:w="1308" w:type="dxa"/>
            <w:noWrap/>
            <w:vAlign w:val="center"/>
          </w:tcPr>
          <w:p w14:paraId="04E529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1.98</w:t>
            </w:r>
            <w:r>
              <w:rPr>
                <w:rFonts w:ascii="Times New Roman" w:hAnsi="Times New Roman" w:cs="Times New Roman"/>
                <w:vertAlign w:val="superscript"/>
              </w:rPr>
              <w:t>g</w:t>
            </w:r>
          </w:p>
        </w:tc>
        <w:tc>
          <w:tcPr>
            <w:tcW w:w="1923" w:type="dxa"/>
            <w:noWrap/>
            <w:vAlign w:val="center"/>
          </w:tcPr>
          <w:p w14:paraId="66841B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56.42</w:t>
            </w:r>
            <w:r>
              <w:rPr>
                <w:rFonts w:ascii="Times New Roman" w:hAnsi="Times New Roman" w:cs="Times New Roman"/>
                <w:vertAlign w:val="superscript"/>
              </w:rPr>
              <w:t>e</w:t>
            </w:r>
          </w:p>
        </w:tc>
        <w:tc>
          <w:tcPr>
            <w:tcW w:w="1696" w:type="dxa"/>
            <w:noWrap/>
            <w:vAlign w:val="center"/>
          </w:tcPr>
          <w:p w14:paraId="750D3B7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97.11</w:t>
            </w:r>
            <w:r>
              <w:rPr>
                <w:rFonts w:ascii="Times New Roman" w:hAnsi="Times New Roman" w:cs="Times New Roman"/>
                <w:vertAlign w:val="superscript"/>
              </w:rPr>
              <w:t>cd</w:t>
            </w:r>
          </w:p>
        </w:tc>
        <w:tc>
          <w:tcPr>
            <w:tcW w:w="1667" w:type="dxa"/>
            <w:noWrap/>
            <w:vAlign w:val="center"/>
          </w:tcPr>
          <w:p w14:paraId="17AF74B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92.88</w:t>
            </w:r>
            <w:r>
              <w:rPr>
                <w:rFonts w:ascii="Times New Roman" w:hAnsi="Times New Roman" w:cs="Times New Roman"/>
                <w:vertAlign w:val="superscript"/>
              </w:rPr>
              <w:t>a</w:t>
            </w:r>
          </w:p>
        </w:tc>
      </w:tr>
      <w:tr w:rsidR="00F15FD7" w14:paraId="586F9AA4"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76ED7C7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759" w:type="dxa"/>
            <w:noWrap/>
            <w:vAlign w:val="center"/>
          </w:tcPr>
          <w:p w14:paraId="0FCD76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7.11</w:t>
            </w:r>
            <w:r>
              <w:rPr>
                <w:rFonts w:ascii="Times New Roman" w:hAnsi="Times New Roman" w:cs="Times New Roman"/>
                <w:vertAlign w:val="superscript"/>
              </w:rPr>
              <w:t>a</w:t>
            </w:r>
          </w:p>
        </w:tc>
        <w:tc>
          <w:tcPr>
            <w:tcW w:w="1327" w:type="dxa"/>
            <w:noWrap/>
            <w:vAlign w:val="center"/>
          </w:tcPr>
          <w:p w14:paraId="583DF03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5.46</w:t>
            </w:r>
            <w:r>
              <w:rPr>
                <w:rFonts w:ascii="Times New Roman" w:hAnsi="Times New Roman" w:cs="Times New Roman"/>
                <w:vertAlign w:val="superscript"/>
              </w:rPr>
              <w:t>i</w:t>
            </w:r>
          </w:p>
        </w:tc>
        <w:tc>
          <w:tcPr>
            <w:tcW w:w="1190" w:type="dxa"/>
            <w:noWrap/>
            <w:vAlign w:val="center"/>
          </w:tcPr>
          <w:p w14:paraId="5B35DA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30.17</w:t>
            </w:r>
            <w:r>
              <w:rPr>
                <w:rFonts w:ascii="Times New Roman" w:hAnsi="Times New Roman" w:cs="Times New Roman"/>
                <w:vertAlign w:val="superscript"/>
              </w:rPr>
              <w:t>i</w:t>
            </w:r>
          </w:p>
        </w:tc>
        <w:tc>
          <w:tcPr>
            <w:tcW w:w="1327" w:type="dxa"/>
            <w:noWrap/>
            <w:vAlign w:val="center"/>
          </w:tcPr>
          <w:p w14:paraId="3C15F75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b</w:t>
            </w:r>
          </w:p>
        </w:tc>
        <w:tc>
          <w:tcPr>
            <w:tcW w:w="1308" w:type="dxa"/>
            <w:noWrap/>
            <w:vAlign w:val="center"/>
          </w:tcPr>
          <w:p w14:paraId="31BF1E5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2.06</w:t>
            </w:r>
            <w:r>
              <w:rPr>
                <w:rFonts w:ascii="Times New Roman" w:hAnsi="Times New Roman" w:cs="Times New Roman"/>
                <w:vertAlign w:val="superscript"/>
              </w:rPr>
              <w:t>h</w:t>
            </w:r>
          </w:p>
        </w:tc>
        <w:tc>
          <w:tcPr>
            <w:tcW w:w="1923" w:type="dxa"/>
            <w:noWrap/>
            <w:vAlign w:val="center"/>
          </w:tcPr>
          <w:p w14:paraId="0BFC105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54.81</w:t>
            </w:r>
            <w:r>
              <w:rPr>
                <w:rFonts w:ascii="Times New Roman" w:hAnsi="Times New Roman" w:cs="Times New Roman"/>
                <w:vertAlign w:val="superscript"/>
              </w:rPr>
              <w:t>d</w:t>
            </w:r>
          </w:p>
        </w:tc>
        <w:tc>
          <w:tcPr>
            <w:tcW w:w="1696" w:type="dxa"/>
            <w:noWrap/>
            <w:vAlign w:val="center"/>
          </w:tcPr>
          <w:p w14:paraId="600B31B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125.27</w:t>
            </w:r>
            <w:r>
              <w:rPr>
                <w:rFonts w:ascii="Times New Roman" w:hAnsi="Times New Roman" w:cs="Times New Roman"/>
                <w:vertAlign w:val="superscript"/>
              </w:rPr>
              <w:t>e</w:t>
            </w:r>
          </w:p>
        </w:tc>
        <w:tc>
          <w:tcPr>
            <w:tcW w:w="1667" w:type="dxa"/>
            <w:noWrap/>
            <w:vAlign w:val="center"/>
          </w:tcPr>
          <w:p w14:paraId="28802D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92.89</w:t>
            </w:r>
            <w:r>
              <w:rPr>
                <w:rFonts w:ascii="Times New Roman" w:hAnsi="Times New Roman" w:cs="Times New Roman"/>
                <w:vertAlign w:val="superscript"/>
              </w:rPr>
              <w:t>a</w:t>
            </w:r>
          </w:p>
        </w:tc>
      </w:tr>
      <w:tr w:rsidR="00F15FD7" w14:paraId="42BFBCF0"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4C8C7DD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759" w:type="dxa"/>
            <w:noWrap/>
            <w:vAlign w:val="center"/>
          </w:tcPr>
          <w:p w14:paraId="44C469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7.15</w:t>
            </w:r>
            <w:r>
              <w:rPr>
                <w:rFonts w:ascii="Times New Roman" w:hAnsi="Times New Roman" w:cs="Times New Roman"/>
                <w:vertAlign w:val="superscript"/>
              </w:rPr>
              <w:t>bcd</w:t>
            </w:r>
          </w:p>
        </w:tc>
        <w:tc>
          <w:tcPr>
            <w:tcW w:w="1327" w:type="dxa"/>
            <w:noWrap/>
            <w:vAlign w:val="center"/>
          </w:tcPr>
          <w:p w14:paraId="3DFE667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5.52j</w:t>
            </w:r>
          </w:p>
        </w:tc>
        <w:tc>
          <w:tcPr>
            <w:tcW w:w="1190" w:type="dxa"/>
            <w:noWrap/>
            <w:vAlign w:val="center"/>
          </w:tcPr>
          <w:p w14:paraId="63AEE3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34.22k</w:t>
            </w:r>
          </w:p>
        </w:tc>
        <w:tc>
          <w:tcPr>
            <w:tcW w:w="1327" w:type="dxa"/>
            <w:noWrap/>
            <w:vAlign w:val="center"/>
          </w:tcPr>
          <w:p w14:paraId="4747D1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w:t>
            </w:r>
            <w:r>
              <w:rPr>
                <w:rFonts w:ascii="Times New Roman" w:hAnsi="Times New Roman" w:cs="Times New Roman"/>
                <w:vertAlign w:val="superscript"/>
              </w:rPr>
              <w:t>c</w:t>
            </w:r>
          </w:p>
        </w:tc>
        <w:tc>
          <w:tcPr>
            <w:tcW w:w="1308" w:type="dxa"/>
            <w:noWrap/>
            <w:vAlign w:val="center"/>
          </w:tcPr>
          <w:p w14:paraId="294AFB1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2.23</w:t>
            </w:r>
            <w:r>
              <w:rPr>
                <w:rFonts w:ascii="Times New Roman" w:hAnsi="Times New Roman" w:cs="Times New Roman"/>
                <w:vertAlign w:val="superscript"/>
              </w:rPr>
              <w:t>i</w:t>
            </w:r>
          </w:p>
        </w:tc>
        <w:tc>
          <w:tcPr>
            <w:tcW w:w="1923" w:type="dxa"/>
            <w:noWrap/>
            <w:vAlign w:val="center"/>
          </w:tcPr>
          <w:p w14:paraId="3C8F086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46.01</w:t>
            </w:r>
            <w:r>
              <w:rPr>
                <w:rFonts w:ascii="Times New Roman" w:hAnsi="Times New Roman" w:cs="Times New Roman"/>
                <w:vertAlign w:val="superscript"/>
              </w:rPr>
              <w:t>a</w:t>
            </w:r>
          </w:p>
        </w:tc>
        <w:tc>
          <w:tcPr>
            <w:tcW w:w="1696" w:type="dxa"/>
            <w:noWrap/>
            <w:vAlign w:val="center"/>
          </w:tcPr>
          <w:p w14:paraId="564244F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158.29</w:t>
            </w:r>
            <w:r>
              <w:rPr>
                <w:rFonts w:ascii="Times New Roman" w:hAnsi="Times New Roman" w:cs="Times New Roman"/>
                <w:vertAlign w:val="superscript"/>
              </w:rPr>
              <w:t>gh</w:t>
            </w:r>
          </w:p>
        </w:tc>
        <w:tc>
          <w:tcPr>
            <w:tcW w:w="1667" w:type="dxa"/>
            <w:noWrap/>
            <w:vAlign w:val="center"/>
          </w:tcPr>
          <w:p w14:paraId="475C80A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05797B10"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50C0273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759" w:type="dxa"/>
            <w:noWrap/>
            <w:vAlign w:val="center"/>
          </w:tcPr>
          <w:p w14:paraId="76AD55A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abcd</w:t>
            </w:r>
          </w:p>
        </w:tc>
        <w:tc>
          <w:tcPr>
            <w:tcW w:w="1327" w:type="dxa"/>
            <w:noWrap/>
            <w:vAlign w:val="center"/>
          </w:tcPr>
          <w:p w14:paraId="72BAC37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5.88k</w:t>
            </w:r>
          </w:p>
        </w:tc>
        <w:tc>
          <w:tcPr>
            <w:tcW w:w="1190" w:type="dxa"/>
            <w:noWrap/>
            <w:vAlign w:val="center"/>
          </w:tcPr>
          <w:p w14:paraId="01EAE06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38.11</w:t>
            </w:r>
          </w:p>
        </w:tc>
        <w:tc>
          <w:tcPr>
            <w:tcW w:w="1327" w:type="dxa"/>
            <w:noWrap/>
            <w:vAlign w:val="center"/>
          </w:tcPr>
          <w:p w14:paraId="2AAF1C8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0.44</w:t>
            </w:r>
            <w:r>
              <w:rPr>
                <w:rFonts w:ascii="Times New Roman" w:hAnsi="Times New Roman" w:cs="Times New Roman"/>
                <w:vertAlign w:val="superscript"/>
              </w:rPr>
              <w:t>c</w:t>
            </w:r>
          </w:p>
        </w:tc>
        <w:tc>
          <w:tcPr>
            <w:tcW w:w="1308" w:type="dxa"/>
            <w:noWrap/>
            <w:vAlign w:val="center"/>
          </w:tcPr>
          <w:p w14:paraId="1AE6CD8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2.43j</w:t>
            </w:r>
          </w:p>
        </w:tc>
        <w:tc>
          <w:tcPr>
            <w:tcW w:w="1923" w:type="dxa"/>
            <w:noWrap/>
            <w:vAlign w:val="center"/>
          </w:tcPr>
          <w:p w14:paraId="236774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46.02</w:t>
            </w:r>
            <w:r>
              <w:rPr>
                <w:rFonts w:ascii="Times New Roman" w:hAnsi="Times New Roman" w:cs="Times New Roman"/>
                <w:vertAlign w:val="superscript"/>
              </w:rPr>
              <w:t>a</w:t>
            </w:r>
          </w:p>
        </w:tc>
        <w:tc>
          <w:tcPr>
            <w:tcW w:w="1696" w:type="dxa"/>
            <w:noWrap/>
            <w:vAlign w:val="center"/>
          </w:tcPr>
          <w:p w14:paraId="52DB356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165.58</w:t>
            </w:r>
            <w:r>
              <w:rPr>
                <w:rFonts w:ascii="Times New Roman" w:hAnsi="Times New Roman" w:cs="Times New Roman"/>
                <w:vertAlign w:val="superscript"/>
              </w:rPr>
              <w:t>i</w:t>
            </w:r>
          </w:p>
        </w:tc>
        <w:tc>
          <w:tcPr>
            <w:tcW w:w="1667" w:type="dxa"/>
            <w:noWrap/>
            <w:vAlign w:val="center"/>
          </w:tcPr>
          <w:p w14:paraId="3E9C19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216B9898"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2072D3E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759" w:type="dxa"/>
            <w:noWrap/>
            <w:vAlign w:val="center"/>
          </w:tcPr>
          <w:p w14:paraId="70381C8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7.14</w:t>
            </w:r>
            <w:r>
              <w:rPr>
                <w:rFonts w:ascii="Times New Roman" w:hAnsi="Times New Roman" w:cs="Times New Roman"/>
                <w:vertAlign w:val="superscript"/>
              </w:rPr>
              <w:t>abcd</w:t>
            </w:r>
          </w:p>
        </w:tc>
        <w:tc>
          <w:tcPr>
            <w:tcW w:w="1327" w:type="dxa"/>
            <w:noWrap/>
            <w:vAlign w:val="center"/>
          </w:tcPr>
          <w:p w14:paraId="33AA8E0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3.67</w:t>
            </w:r>
            <w:r>
              <w:rPr>
                <w:rFonts w:ascii="Times New Roman" w:hAnsi="Times New Roman" w:cs="Times New Roman"/>
                <w:vertAlign w:val="superscript"/>
              </w:rPr>
              <w:t>a</w:t>
            </w:r>
          </w:p>
        </w:tc>
        <w:tc>
          <w:tcPr>
            <w:tcW w:w="1190" w:type="dxa"/>
            <w:noWrap/>
            <w:vAlign w:val="center"/>
          </w:tcPr>
          <w:p w14:paraId="3117847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22.05</w:t>
            </w:r>
            <w:r>
              <w:rPr>
                <w:rFonts w:ascii="Times New Roman" w:hAnsi="Times New Roman" w:cs="Times New Roman"/>
                <w:vertAlign w:val="superscript"/>
              </w:rPr>
              <w:t>a</w:t>
            </w:r>
          </w:p>
        </w:tc>
        <w:tc>
          <w:tcPr>
            <w:tcW w:w="1327" w:type="dxa"/>
            <w:noWrap/>
            <w:vAlign w:val="center"/>
          </w:tcPr>
          <w:p w14:paraId="6E41FF4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0.26</w:t>
            </w:r>
            <w:r>
              <w:rPr>
                <w:rFonts w:ascii="Times New Roman" w:hAnsi="Times New Roman" w:cs="Times New Roman"/>
                <w:vertAlign w:val="superscript"/>
              </w:rPr>
              <w:t>a</w:t>
            </w:r>
          </w:p>
        </w:tc>
        <w:tc>
          <w:tcPr>
            <w:tcW w:w="1308" w:type="dxa"/>
            <w:noWrap/>
            <w:vAlign w:val="center"/>
          </w:tcPr>
          <w:p w14:paraId="74EC3C0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1.46</w:t>
            </w:r>
            <w:r>
              <w:rPr>
                <w:rFonts w:ascii="Times New Roman" w:hAnsi="Times New Roman" w:cs="Times New Roman"/>
                <w:vertAlign w:val="superscript"/>
              </w:rPr>
              <w:t>a</w:t>
            </w:r>
          </w:p>
        </w:tc>
        <w:tc>
          <w:tcPr>
            <w:tcW w:w="1923" w:type="dxa"/>
            <w:noWrap/>
            <w:vAlign w:val="center"/>
          </w:tcPr>
          <w:p w14:paraId="25C70F7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65.44</w:t>
            </w:r>
          </w:p>
        </w:tc>
        <w:tc>
          <w:tcPr>
            <w:tcW w:w="1696" w:type="dxa"/>
            <w:noWrap/>
            <w:vAlign w:val="center"/>
          </w:tcPr>
          <w:p w14:paraId="60AA048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86.60</w:t>
            </w:r>
            <w:r>
              <w:rPr>
                <w:rFonts w:ascii="Times New Roman" w:hAnsi="Times New Roman" w:cs="Times New Roman"/>
                <w:vertAlign w:val="superscript"/>
              </w:rPr>
              <w:t>a</w:t>
            </w:r>
          </w:p>
        </w:tc>
        <w:tc>
          <w:tcPr>
            <w:tcW w:w="1667" w:type="dxa"/>
            <w:noWrap/>
            <w:vAlign w:val="center"/>
          </w:tcPr>
          <w:p w14:paraId="757B976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2A2D2957"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37C9BACA"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759" w:type="dxa"/>
            <w:noWrap/>
            <w:vAlign w:val="center"/>
          </w:tcPr>
          <w:p w14:paraId="510F9A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7.15</w:t>
            </w:r>
            <w:r>
              <w:rPr>
                <w:rFonts w:ascii="Times New Roman" w:hAnsi="Times New Roman" w:cs="Times New Roman"/>
                <w:vertAlign w:val="superscript"/>
              </w:rPr>
              <w:t>cd</w:t>
            </w:r>
          </w:p>
        </w:tc>
        <w:tc>
          <w:tcPr>
            <w:tcW w:w="1327" w:type="dxa"/>
            <w:noWrap/>
            <w:vAlign w:val="center"/>
          </w:tcPr>
          <w:p w14:paraId="5EA1F0D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3.84</w:t>
            </w:r>
            <w:r>
              <w:rPr>
                <w:rFonts w:ascii="Times New Roman" w:hAnsi="Times New Roman" w:cs="Times New Roman"/>
                <w:vertAlign w:val="superscript"/>
              </w:rPr>
              <w:t>b</w:t>
            </w:r>
          </w:p>
        </w:tc>
        <w:tc>
          <w:tcPr>
            <w:tcW w:w="1190" w:type="dxa"/>
            <w:noWrap/>
            <w:vAlign w:val="center"/>
          </w:tcPr>
          <w:p w14:paraId="05A09EF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24.18</w:t>
            </w:r>
            <w:r>
              <w:rPr>
                <w:rFonts w:ascii="Times New Roman" w:hAnsi="Times New Roman" w:cs="Times New Roman"/>
                <w:vertAlign w:val="superscript"/>
              </w:rPr>
              <w:t>b</w:t>
            </w:r>
          </w:p>
        </w:tc>
        <w:tc>
          <w:tcPr>
            <w:tcW w:w="1327" w:type="dxa"/>
            <w:noWrap/>
            <w:vAlign w:val="center"/>
          </w:tcPr>
          <w:p w14:paraId="7DFFAB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w:t>
            </w:r>
          </w:p>
        </w:tc>
        <w:tc>
          <w:tcPr>
            <w:tcW w:w="1308" w:type="dxa"/>
            <w:noWrap/>
            <w:vAlign w:val="center"/>
          </w:tcPr>
          <w:p w14:paraId="547155B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1.48</w:t>
            </w:r>
            <w:r>
              <w:rPr>
                <w:rFonts w:ascii="Times New Roman" w:hAnsi="Times New Roman" w:cs="Times New Roman"/>
                <w:vertAlign w:val="superscript"/>
              </w:rPr>
              <w:t>a</w:t>
            </w:r>
          </w:p>
        </w:tc>
        <w:tc>
          <w:tcPr>
            <w:tcW w:w="1923" w:type="dxa"/>
            <w:noWrap/>
            <w:vAlign w:val="center"/>
          </w:tcPr>
          <w:p w14:paraId="1AF12C7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63.08k</w:t>
            </w:r>
          </w:p>
        </w:tc>
        <w:tc>
          <w:tcPr>
            <w:tcW w:w="1696" w:type="dxa"/>
            <w:noWrap/>
            <w:vAlign w:val="center"/>
          </w:tcPr>
          <w:p w14:paraId="3143777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91.08</w:t>
            </w:r>
            <w:r>
              <w:rPr>
                <w:rFonts w:ascii="Times New Roman" w:hAnsi="Times New Roman" w:cs="Times New Roman"/>
                <w:vertAlign w:val="superscript"/>
              </w:rPr>
              <w:t>abc</w:t>
            </w:r>
          </w:p>
        </w:tc>
        <w:tc>
          <w:tcPr>
            <w:tcW w:w="1667" w:type="dxa"/>
            <w:noWrap/>
            <w:vAlign w:val="center"/>
          </w:tcPr>
          <w:p w14:paraId="044A1C5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5188F41A"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2197C73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759" w:type="dxa"/>
            <w:noWrap/>
            <w:vAlign w:val="center"/>
          </w:tcPr>
          <w:p w14:paraId="56C3912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7.15</w:t>
            </w:r>
            <w:r>
              <w:rPr>
                <w:rFonts w:ascii="Times New Roman" w:hAnsi="Times New Roman" w:cs="Times New Roman"/>
                <w:vertAlign w:val="superscript"/>
              </w:rPr>
              <w:t>bcd</w:t>
            </w:r>
          </w:p>
        </w:tc>
        <w:tc>
          <w:tcPr>
            <w:tcW w:w="1327" w:type="dxa"/>
            <w:noWrap/>
            <w:vAlign w:val="center"/>
          </w:tcPr>
          <w:p w14:paraId="27A47A2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3.91</w:t>
            </w:r>
            <w:r>
              <w:rPr>
                <w:rFonts w:ascii="Times New Roman" w:hAnsi="Times New Roman" w:cs="Times New Roman"/>
                <w:vertAlign w:val="superscript"/>
              </w:rPr>
              <w:t>c</w:t>
            </w:r>
          </w:p>
        </w:tc>
        <w:tc>
          <w:tcPr>
            <w:tcW w:w="1190" w:type="dxa"/>
            <w:noWrap/>
            <w:vAlign w:val="center"/>
          </w:tcPr>
          <w:p w14:paraId="6BEE329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25.22</w:t>
            </w:r>
            <w:r>
              <w:rPr>
                <w:rFonts w:ascii="Times New Roman" w:hAnsi="Times New Roman" w:cs="Times New Roman"/>
                <w:vertAlign w:val="superscript"/>
              </w:rPr>
              <w:t>c</w:t>
            </w:r>
          </w:p>
        </w:tc>
        <w:tc>
          <w:tcPr>
            <w:tcW w:w="1327" w:type="dxa"/>
            <w:noWrap/>
            <w:vAlign w:val="center"/>
          </w:tcPr>
          <w:p w14:paraId="2C175B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w:t>
            </w:r>
            <w:r>
              <w:rPr>
                <w:rFonts w:ascii="Times New Roman" w:hAnsi="Times New Roman" w:cs="Times New Roman"/>
                <w:vertAlign w:val="superscript"/>
              </w:rPr>
              <w:t>ab</w:t>
            </w:r>
          </w:p>
        </w:tc>
        <w:tc>
          <w:tcPr>
            <w:tcW w:w="1308" w:type="dxa"/>
            <w:noWrap/>
            <w:vAlign w:val="center"/>
          </w:tcPr>
          <w:p w14:paraId="172C10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1.57</w:t>
            </w:r>
            <w:r>
              <w:rPr>
                <w:rFonts w:ascii="Times New Roman" w:hAnsi="Times New Roman" w:cs="Times New Roman"/>
                <w:vertAlign w:val="superscript"/>
              </w:rPr>
              <w:t>c</w:t>
            </w:r>
          </w:p>
        </w:tc>
        <w:tc>
          <w:tcPr>
            <w:tcW w:w="1923" w:type="dxa"/>
            <w:noWrap/>
            <w:vAlign w:val="center"/>
          </w:tcPr>
          <w:p w14:paraId="107318C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61.91j</w:t>
            </w:r>
          </w:p>
        </w:tc>
        <w:tc>
          <w:tcPr>
            <w:tcW w:w="1696" w:type="dxa"/>
            <w:noWrap/>
            <w:vAlign w:val="center"/>
          </w:tcPr>
          <w:p w14:paraId="2A8A67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93.63</w:t>
            </w:r>
            <w:r>
              <w:rPr>
                <w:rFonts w:ascii="Times New Roman" w:hAnsi="Times New Roman" w:cs="Times New Roman"/>
                <w:vertAlign w:val="superscript"/>
              </w:rPr>
              <w:t>bc</w:t>
            </w:r>
          </w:p>
        </w:tc>
        <w:tc>
          <w:tcPr>
            <w:tcW w:w="1667" w:type="dxa"/>
            <w:noWrap/>
            <w:vAlign w:val="center"/>
          </w:tcPr>
          <w:p w14:paraId="1ABFF78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92.85</w:t>
            </w:r>
            <w:r>
              <w:rPr>
                <w:rFonts w:ascii="Times New Roman" w:hAnsi="Times New Roman" w:cs="Times New Roman"/>
                <w:vertAlign w:val="superscript"/>
              </w:rPr>
              <w:t>a</w:t>
            </w:r>
          </w:p>
        </w:tc>
      </w:tr>
      <w:tr w:rsidR="00F15FD7" w14:paraId="735CB738"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0E096A6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759" w:type="dxa"/>
            <w:noWrap/>
            <w:vAlign w:val="center"/>
          </w:tcPr>
          <w:p w14:paraId="1A43CCE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abcd</w:t>
            </w:r>
          </w:p>
        </w:tc>
        <w:tc>
          <w:tcPr>
            <w:tcW w:w="1327" w:type="dxa"/>
            <w:noWrap/>
            <w:vAlign w:val="center"/>
          </w:tcPr>
          <w:p w14:paraId="3618B1C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3.87</w:t>
            </w:r>
            <w:r>
              <w:rPr>
                <w:rFonts w:ascii="Times New Roman" w:hAnsi="Times New Roman" w:cs="Times New Roman"/>
                <w:vertAlign w:val="superscript"/>
              </w:rPr>
              <w:t>b</w:t>
            </w:r>
          </w:p>
        </w:tc>
        <w:tc>
          <w:tcPr>
            <w:tcW w:w="1190" w:type="dxa"/>
            <w:noWrap/>
            <w:vAlign w:val="center"/>
          </w:tcPr>
          <w:p w14:paraId="6C69F74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26.20</w:t>
            </w:r>
            <w:r>
              <w:rPr>
                <w:rFonts w:ascii="Times New Roman" w:hAnsi="Times New Roman" w:cs="Times New Roman"/>
                <w:vertAlign w:val="superscript"/>
              </w:rPr>
              <w:t>e</w:t>
            </w:r>
          </w:p>
        </w:tc>
        <w:tc>
          <w:tcPr>
            <w:tcW w:w="1327" w:type="dxa"/>
            <w:noWrap/>
            <w:vAlign w:val="center"/>
          </w:tcPr>
          <w:p w14:paraId="3840A85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w:t>
            </w:r>
            <w:r>
              <w:rPr>
                <w:rFonts w:ascii="Times New Roman" w:hAnsi="Times New Roman" w:cs="Times New Roman"/>
                <w:vertAlign w:val="superscript"/>
              </w:rPr>
              <w:t>ab</w:t>
            </w:r>
          </w:p>
        </w:tc>
        <w:tc>
          <w:tcPr>
            <w:tcW w:w="1308" w:type="dxa"/>
            <w:noWrap/>
            <w:vAlign w:val="center"/>
          </w:tcPr>
          <w:p w14:paraId="23874F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1.52</w:t>
            </w:r>
            <w:r>
              <w:rPr>
                <w:rFonts w:ascii="Times New Roman" w:hAnsi="Times New Roman" w:cs="Times New Roman"/>
                <w:vertAlign w:val="superscript"/>
              </w:rPr>
              <w:t>b</w:t>
            </w:r>
          </w:p>
        </w:tc>
        <w:tc>
          <w:tcPr>
            <w:tcW w:w="1923" w:type="dxa"/>
            <w:noWrap/>
            <w:vAlign w:val="center"/>
          </w:tcPr>
          <w:p w14:paraId="190F18C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61.02</w:t>
            </w:r>
            <w:r>
              <w:rPr>
                <w:rFonts w:ascii="Times New Roman" w:hAnsi="Times New Roman" w:cs="Times New Roman"/>
                <w:vertAlign w:val="superscript"/>
              </w:rPr>
              <w:t>g</w:t>
            </w:r>
          </w:p>
        </w:tc>
        <w:tc>
          <w:tcPr>
            <w:tcW w:w="1696" w:type="dxa"/>
            <w:noWrap/>
            <w:vAlign w:val="center"/>
          </w:tcPr>
          <w:p w14:paraId="7336D8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89.16</w:t>
            </w:r>
            <w:r>
              <w:rPr>
                <w:rFonts w:ascii="Times New Roman" w:hAnsi="Times New Roman" w:cs="Times New Roman"/>
                <w:vertAlign w:val="superscript"/>
              </w:rPr>
              <w:t>ab</w:t>
            </w:r>
          </w:p>
        </w:tc>
        <w:tc>
          <w:tcPr>
            <w:tcW w:w="1667" w:type="dxa"/>
            <w:noWrap/>
            <w:vAlign w:val="center"/>
          </w:tcPr>
          <w:p w14:paraId="1A2AB48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7A90E672"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46EDDC2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 xml:space="preserve">B+T+60% </w:t>
            </w:r>
          </w:p>
          <w:p w14:paraId="2E247581"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FC</w:t>
            </w:r>
          </w:p>
        </w:tc>
        <w:tc>
          <w:tcPr>
            <w:tcW w:w="1759" w:type="dxa"/>
            <w:noWrap/>
            <w:vAlign w:val="center"/>
          </w:tcPr>
          <w:p w14:paraId="47BC907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7.12</w:t>
            </w:r>
            <w:r>
              <w:rPr>
                <w:rFonts w:ascii="Times New Roman" w:hAnsi="Times New Roman" w:cs="Times New Roman"/>
                <w:vertAlign w:val="superscript"/>
              </w:rPr>
              <w:t>ab</w:t>
            </w:r>
          </w:p>
        </w:tc>
        <w:tc>
          <w:tcPr>
            <w:tcW w:w="1327" w:type="dxa"/>
            <w:noWrap/>
            <w:vAlign w:val="center"/>
          </w:tcPr>
          <w:p w14:paraId="27FEB3F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3.91</w:t>
            </w:r>
            <w:r>
              <w:rPr>
                <w:rFonts w:ascii="Times New Roman" w:hAnsi="Times New Roman" w:cs="Times New Roman"/>
                <w:vertAlign w:val="superscript"/>
              </w:rPr>
              <w:t>c</w:t>
            </w:r>
          </w:p>
        </w:tc>
        <w:tc>
          <w:tcPr>
            <w:tcW w:w="1190" w:type="dxa"/>
            <w:noWrap/>
            <w:vAlign w:val="center"/>
          </w:tcPr>
          <w:p w14:paraId="714BE8C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29.29</w:t>
            </w:r>
            <w:r>
              <w:rPr>
                <w:rFonts w:ascii="Times New Roman" w:hAnsi="Times New Roman" w:cs="Times New Roman"/>
                <w:vertAlign w:val="superscript"/>
              </w:rPr>
              <w:t>h</w:t>
            </w:r>
          </w:p>
        </w:tc>
        <w:tc>
          <w:tcPr>
            <w:tcW w:w="1327" w:type="dxa"/>
            <w:noWrap/>
            <w:vAlign w:val="center"/>
          </w:tcPr>
          <w:p w14:paraId="082EA5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w:t>
            </w:r>
            <w:r>
              <w:rPr>
                <w:rFonts w:ascii="Times New Roman" w:hAnsi="Times New Roman" w:cs="Times New Roman"/>
                <w:vertAlign w:val="superscript"/>
              </w:rPr>
              <w:t>ab</w:t>
            </w:r>
          </w:p>
        </w:tc>
        <w:tc>
          <w:tcPr>
            <w:tcW w:w="1308" w:type="dxa"/>
            <w:noWrap/>
            <w:vAlign w:val="center"/>
          </w:tcPr>
          <w:p w14:paraId="00925B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1.59</w:t>
            </w:r>
            <w:r>
              <w:rPr>
                <w:rFonts w:ascii="Times New Roman" w:hAnsi="Times New Roman" w:cs="Times New Roman"/>
                <w:vertAlign w:val="superscript"/>
              </w:rPr>
              <w:t>c</w:t>
            </w:r>
          </w:p>
        </w:tc>
        <w:tc>
          <w:tcPr>
            <w:tcW w:w="1923" w:type="dxa"/>
            <w:noWrap/>
            <w:vAlign w:val="center"/>
          </w:tcPr>
          <w:p w14:paraId="09DAB28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57.79</w:t>
            </w:r>
            <w:r>
              <w:rPr>
                <w:rFonts w:ascii="Times New Roman" w:hAnsi="Times New Roman" w:cs="Times New Roman"/>
                <w:vertAlign w:val="superscript"/>
              </w:rPr>
              <w:t>f</w:t>
            </w:r>
          </w:p>
        </w:tc>
        <w:tc>
          <w:tcPr>
            <w:tcW w:w="1696" w:type="dxa"/>
            <w:noWrap/>
            <w:vAlign w:val="center"/>
          </w:tcPr>
          <w:p w14:paraId="25FFDA4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93.23</w:t>
            </w:r>
            <w:r>
              <w:rPr>
                <w:rFonts w:ascii="Times New Roman" w:hAnsi="Times New Roman" w:cs="Times New Roman"/>
                <w:vertAlign w:val="superscript"/>
              </w:rPr>
              <w:t>bc</w:t>
            </w:r>
          </w:p>
        </w:tc>
        <w:tc>
          <w:tcPr>
            <w:tcW w:w="1667" w:type="dxa"/>
            <w:noWrap/>
            <w:vAlign w:val="center"/>
          </w:tcPr>
          <w:p w14:paraId="6366D1F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92.88</w:t>
            </w:r>
            <w:r>
              <w:rPr>
                <w:rFonts w:ascii="Times New Roman" w:hAnsi="Times New Roman" w:cs="Times New Roman"/>
                <w:vertAlign w:val="superscript"/>
              </w:rPr>
              <w:t>a</w:t>
            </w:r>
          </w:p>
        </w:tc>
      </w:tr>
      <w:tr w:rsidR="00F15FD7" w14:paraId="4A2DD9C2"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23E5AE7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759" w:type="dxa"/>
            <w:noWrap/>
            <w:vAlign w:val="center"/>
          </w:tcPr>
          <w:p w14:paraId="3D63835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abcd</w:t>
            </w:r>
          </w:p>
        </w:tc>
        <w:tc>
          <w:tcPr>
            <w:tcW w:w="1327" w:type="dxa"/>
            <w:noWrap/>
            <w:vAlign w:val="center"/>
          </w:tcPr>
          <w:p w14:paraId="2DB1A41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3.87</w:t>
            </w:r>
            <w:r>
              <w:rPr>
                <w:rFonts w:ascii="Times New Roman" w:hAnsi="Times New Roman" w:cs="Times New Roman"/>
                <w:vertAlign w:val="superscript"/>
              </w:rPr>
              <w:t>b</w:t>
            </w:r>
          </w:p>
        </w:tc>
        <w:tc>
          <w:tcPr>
            <w:tcW w:w="1190" w:type="dxa"/>
            <w:noWrap/>
            <w:vAlign w:val="center"/>
          </w:tcPr>
          <w:p w14:paraId="12F04B1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26.20</w:t>
            </w:r>
            <w:r>
              <w:rPr>
                <w:rFonts w:ascii="Times New Roman" w:hAnsi="Times New Roman" w:cs="Times New Roman"/>
                <w:vertAlign w:val="superscript"/>
              </w:rPr>
              <w:t>e</w:t>
            </w:r>
          </w:p>
        </w:tc>
        <w:tc>
          <w:tcPr>
            <w:tcW w:w="1327" w:type="dxa"/>
            <w:noWrap/>
            <w:vAlign w:val="center"/>
          </w:tcPr>
          <w:p w14:paraId="277D713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w:t>
            </w:r>
            <w:r>
              <w:rPr>
                <w:rFonts w:ascii="Times New Roman" w:hAnsi="Times New Roman" w:cs="Times New Roman"/>
                <w:vertAlign w:val="superscript"/>
              </w:rPr>
              <w:t>ab</w:t>
            </w:r>
          </w:p>
        </w:tc>
        <w:tc>
          <w:tcPr>
            <w:tcW w:w="1308" w:type="dxa"/>
            <w:noWrap/>
            <w:vAlign w:val="center"/>
          </w:tcPr>
          <w:p w14:paraId="126C5BB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1.52</w:t>
            </w:r>
            <w:r>
              <w:rPr>
                <w:rFonts w:ascii="Times New Roman" w:hAnsi="Times New Roman" w:cs="Times New Roman"/>
                <w:vertAlign w:val="superscript"/>
              </w:rPr>
              <w:t>b</w:t>
            </w:r>
          </w:p>
        </w:tc>
        <w:tc>
          <w:tcPr>
            <w:tcW w:w="1923" w:type="dxa"/>
            <w:noWrap/>
            <w:vAlign w:val="center"/>
          </w:tcPr>
          <w:p w14:paraId="6207391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61.02</w:t>
            </w:r>
            <w:r>
              <w:rPr>
                <w:rFonts w:ascii="Times New Roman" w:hAnsi="Times New Roman" w:cs="Times New Roman"/>
                <w:vertAlign w:val="superscript"/>
              </w:rPr>
              <w:t>g</w:t>
            </w:r>
          </w:p>
        </w:tc>
        <w:tc>
          <w:tcPr>
            <w:tcW w:w="1696" w:type="dxa"/>
            <w:noWrap/>
            <w:vAlign w:val="center"/>
          </w:tcPr>
          <w:p w14:paraId="4A254D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89.16</w:t>
            </w:r>
            <w:r>
              <w:rPr>
                <w:rFonts w:ascii="Times New Roman" w:hAnsi="Times New Roman" w:cs="Times New Roman"/>
                <w:vertAlign w:val="superscript"/>
              </w:rPr>
              <w:t>ab</w:t>
            </w:r>
          </w:p>
        </w:tc>
        <w:tc>
          <w:tcPr>
            <w:tcW w:w="1667" w:type="dxa"/>
            <w:noWrap/>
            <w:vAlign w:val="center"/>
          </w:tcPr>
          <w:p w14:paraId="1410237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bl>
    <w:p w14:paraId="5C07CA88" w14:textId="77777777" w:rsidR="00F15FD7" w:rsidRDefault="00563E74">
      <w:pPr>
        <w:tabs>
          <w:tab w:val="left" w:pos="2880"/>
        </w:tabs>
        <w:spacing w:after="0" w:line="276" w:lineRule="auto"/>
        <w:ind w:right="-244"/>
        <w:rPr>
          <w:rFonts w:ascii="Times New Roman" w:hAnsi="Times New Roman" w:cs="Times New Roman"/>
        </w:rPr>
        <w:sectPr w:rsidR="00F15FD7">
          <w:pgSz w:w="16838" w:h="11906" w:orient="landscape"/>
          <w:pgMar w:top="720" w:right="1440" w:bottom="810" w:left="1440" w:header="709" w:footer="709" w:gutter="0"/>
          <w:cols w:space="708"/>
          <w:docGrid w:linePitch="360"/>
        </w:sect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31F1A231"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b/>
        </w:rPr>
        <w:lastRenderedPageBreak/>
        <w:t xml:space="preserve">Table 6. </w:t>
      </w:r>
      <w:r>
        <w:rPr>
          <w:rFonts w:ascii="Times New Roman" w:hAnsi="Times New Roman" w:cs="Times New Roman"/>
        </w:rPr>
        <w:t xml:space="preserve">Effect of co-application of biochar and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rPr>
        <w:t xml:space="preserve"> on the mineral composition of pepper subjected to varied moisture content</w:t>
      </w:r>
    </w:p>
    <w:p w14:paraId="1DE80307" w14:textId="77777777" w:rsidR="00F15FD7" w:rsidRDefault="00F15FD7">
      <w:pPr>
        <w:tabs>
          <w:tab w:val="left" w:pos="2880"/>
        </w:tabs>
        <w:spacing w:after="0" w:line="276" w:lineRule="auto"/>
        <w:ind w:right="-244"/>
        <w:rPr>
          <w:rFonts w:ascii="Times New Roman" w:hAnsi="Times New Roman" w:cs="Times New Roman"/>
        </w:rPr>
      </w:pPr>
    </w:p>
    <w:tbl>
      <w:tblPr>
        <w:tblStyle w:val="ListTable6Colorful1"/>
        <w:tblW w:w="10857" w:type="dxa"/>
        <w:tblLook w:val="04A0" w:firstRow="1" w:lastRow="0" w:firstColumn="1" w:lastColumn="0" w:noHBand="0" w:noVBand="1"/>
      </w:tblPr>
      <w:tblGrid>
        <w:gridCol w:w="1575"/>
        <w:gridCol w:w="1117"/>
        <w:gridCol w:w="1432"/>
        <w:gridCol w:w="1461"/>
        <w:gridCol w:w="1376"/>
        <w:gridCol w:w="1303"/>
        <w:gridCol w:w="1275"/>
        <w:gridCol w:w="1318"/>
      </w:tblGrid>
      <w:tr w:rsidR="00F15FD7" w14:paraId="19ECAB6F" w14:textId="77777777" w:rsidTr="00F15FD7">
        <w:trPr>
          <w:cnfStyle w:val="100000000000" w:firstRow="1" w:lastRow="0" w:firstColumn="0" w:lastColumn="0" w:oddVBand="0" w:evenVBand="0" w:oddHBand="0"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75" w:type="dxa"/>
            <w:noWrap/>
          </w:tcPr>
          <w:p w14:paraId="68C8D31F" w14:textId="77777777" w:rsidR="00F15FD7" w:rsidRDefault="00563E74">
            <w:pPr>
              <w:spacing w:after="0" w:line="276" w:lineRule="auto"/>
              <w:rPr>
                <w:rFonts w:ascii="Times New Roman" w:hAnsi="Times New Roman" w:cs="Times New Roman"/>
              </w:rPr>
            </w:pPr>
            <w:r>
              <w:rPr>
                <w:rFonts w:ascii="Times New Roman" w:hAnsi="Times New Roman" w:cs="Times New Roman"/>
              </w:rPr>
              <w:t>Treatment</w:t>
            </w:r>
          </w:p>
        </w:tc>
        <w:tc>
          <w:tcPr>
            <w:tcW w:w="1117" w:type="dxa"/>
            <w:noWrap/>
          </w:tcPr>
          <w:p w14:paraId="7B583336"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Na (mg/100 g)</w:t>
            </w:r>
          </w:p>
        </w:tc>
        <w:tc>
          <w:tcPr>
            <w:tcW w:w="1432" w:type="dxa"/>
            <w:noWrap/>
          </w:tcPr>
          <w:p w14:paraId="01B18E7D"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Ca</w:t>
            </w:r>
          </w:p>
          <w:p w14:paraId="13B40C3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461" w:type="dxa"/>
            <w:noWrap/>
          </w:tcPr>
          <w:p w14:paraId="7D45FD76"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w:t>
            </w:r>
          </w:p>
          <w:p w14:paraId="01199A65"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376" w:type="dxa"/>
            <w:noWrap/>
          </w:tcPr>
          <w:p w14:paraId="4E44D85A"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Cl</w:t>
            </w:r>
          </w:p>
          <w:p w14:paraId="422CCF5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303" w:type="dxa"/>
            <w:noWrap/>
          </w:tcPr>
          <w:p w14:paraId="4C1BD97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w:t>
            </w:r>
          </w:p>
          <w:p w14:paraId="63733473"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275" w:type="dxa"/>
            <w:noWrap/>
          </w:tcPr>
          <w:p w14:paraId="55B007C7"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p>
          <w:p w14:paraId="5D273BA0"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318" w:type="dxa"/>
            <w:noWrap/>
          </w:tcPr>
          <w:p w14:paraId="45275D44"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K</w:t>
            </w:r>
          </w:p>
          <w:p w14:paraId="1231C203"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r>
      <w:tr w:rsidR="00F15FD7" w14:paraId="09DEE752"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2779799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1117" w:type="dxa"/>
            <w:noWrap/>
            <w:vAlign w:val="center"/>
          </w:tcPr>
          <w:p w14:paraId="7A3AA5D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w:t>
            </w:r>
            <w:r>
              <w:rPr>
                <w:rFonts w:ascii="Times New Roman" w:hAnsi="Times New Roman" w:cs="Times New Roman"/>
                <w:vertAlign w:val="superscript"/>
              </w:rPr>
              <w:t>b</w:t>
            </w:r>
          </w:p>
        </w:tc>
        <w:tc>
          <w:tcPr>
            <w:tcW w:w="1432" w:type="dxa"/>
            <w:noWrap/>
            <w:vAlign w:val="center"/>
          </w:tcPr>
          <w:p w14:paraId="36FA13D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12.64</w:t>
            </w:r>
            <w:r>
              <w:rPr>
                <w:rFonts w:ascii="Times New Roman" w:hAnsi="Times New Roman" w:cs="Times New Roman"/>
                <w:vertAlign w:val="superscript"/>
              </w:rPr>
              <w:t>abc</w:t>
            </w:r>
          </w:p>
        </w:tc>
        <w:tc>
          <w:tcPr>
            <w:tcW w:w="1461" w:type="dxa"/>
            <w:noWrap/>
            <w:vAlign w:val="center"/>
          </w:tcPr>
          <w:p w14:paraId="32D7B8A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32.12</w:t>
            </w:r>
            <w:r>
              <w:rPr>
                <w:rFonts w:ascii="Times New Roman" w:hAnsi="Times New Roman" w:cs="Times New Roman"/>
                <w:vertAlign w:val="superscript"/>
              </w:rPr>
              <w:t>abc</w:t>
            </w:r>
          </w:p>
        </w:tc>
        <w:tc>
          <w:tcPr>
            <w:tcW w:w="1376" w:type="dxa"/>
            <w:noWrap/>
            <w:vAlign w:val="center"/>
          </w:tcPr>
          <w:p w14:paraId="18D3DC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303" w:type="dxa"/>
            <w:noWrap/>
            <w:vAlign w:val="center"/>
          </w:tcPr>
          <w:p w14:paraId="12C0C6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w:t>
            </w:r>
            <w:r>
              <w:rPr>
                <w:rFonts w:ascii="Times New Roman" w:hAnsi="Times New Roman" w:cs="Times New Roman"/>
                <w:vertAlign w:val="superscript"/>
              </w:rPr>
              <w:t>abc</w:t>
            </w:r>
          </w:p>
        </w:tc>
        <w:tc>
          <w:tcPr>
            <w:tcW w:w="1275" w:type="dxa"/>
            <w:noWrap/>
            <w:vAlign w:val="center"/>
          </w:tcPr>
          <w:p w14:paraId="08935A5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13.12</w:t>
            </w:r>
            <w:r>
              <w:rPr>
                <w:rFonts w:ascii="Times New Roman" w:hAnsi="Times New Roman" w:cs="Times New Roman"/>
                <w:vertAlign w:val="superscript"/>
              </w:rPr>
              <w:t>ab</w:t>
            </w:r>
          </w:p>
        </w:tc>
        <w:tc>
          <w:tcPr>
            <w:tcW w:w="1318" w:type="dxa"/>
            <w:noWrap/>
            <w:vAlign w:val="center"/>
          </w:tcPr>
          <w:p w14:paraId="17FE17A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189.12</w:t>
            </w:r>
            <w:r>
              <w:rPr>
                <w:rFonts w:ascii="Times New Roman" w:hAnsi="Times New Roman" w:cs="Times New Roman"/>
                <w:vertAlign w:val="superscript"/>
              </w:rPr>
              <w:t>ab</w:t>
            </w:r>
          </w:p>
        </w:tc>
      </w:tr>
      <w:tr w:rsidR="00F15FD7" w14:paraId="44CB1145"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475CF35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117" w:type="dxa"/>
            <w:noWrap/>
            <w:vAlign w:val="center"/>
          </w:tcPr>
          <w:p w14:paraId="53F0B73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bc</w:t>
            </w:r>
          </w:p>
        </w:tc>
        <w:tc>
          <w:tcPr>
            <w:tcW w:w="1432" w:type="dxa"/>
            <w:noWrap/>
            <w:vAlign w:val="center"/>
          </w:tcPr>
          <w:p w14:paraId="54B2561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12.98</w:t>
            </w:r>
            <w:r>
              <w:rPr>
                <w:rFonts w:ascii="Times New Roman" w:hAnsi="Times New Roman" w:cs="Times New Roman"/>
                <w:vertAlign w:val="superscript"/>
              </w:rPr>
              <w:t>abc</w:t>
            </w:r>
          </w:p>
        </w:tc>
        <w:tc>
          <w:tcPr>
            <w:tcW w:w="1461" w:type="dxa"/>
            <w:noWrap/>
            <w:vAlign w:val="center"/>
          </w:tcPr>
          <w:p w14:paraId="589D42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34.64</w:t>
            </w:r>
            <w:r>
              <w:rPr>
                <w:rFonts w:ascii="Times New Roman" w:hAnsi="Times New Roman" w:cs="Times New Roman"/>
                <w:vertAlign w:val="superscript"/>
              </w:rPr>
              <w:t>abc</w:t>
            </w:r>
          </w:p>
        </w:tc>
        <w:tc>
          <w:tcPr>
            <w:tcW w:w="1376" w:type="dxa"/>
            <w:noWrap/>
            <w:vAlign w:val="center"/>
          </w:tcPr>
          <w:p w14:paraId="241DCCD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w:t>
            </w:r>
            <w:r>
              <w:rPr>
                <w:rFonts w:ascii="Times New Roman" w:hAnsi="Times New Roman" w:cs="Times New Roman"/>
                <w:vertAlign w:val="superscript"/>
              </w:rPr>
              <w:t>bc</w:t>
            </w:r>
          </w:p>
        </w:tc>
        <w:tc>
          <w:tcPr>
            <w:tcW w:w="1303" w:type="dxa"/>
            <w:noWrap/>
            <w:vAlign w:val="center"/>
          </w:tcPr>
          <w:p w14:paraId="26479A1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abc</w:t>
            </w:r>
          </w:p>
        </w:tc>
        <w:tc>
          <w:tcPr>
            <w:tcW w:w="1275" w:type="dxa"/>
            <w:noWrap/>
            <w:vAlign w:val="center"/>
          </w:tcPr>
          <w:p w14:paraId="23F00DB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14.11</w:t>
            </w:r>
            <w:r>
              <w:rPr>
                <w:rFonts w:ascii="Times New Roman" w:hAnsi="Times New Roman" w:cs="Times New Roman"/>
                <w:vertAlign w:val="superscript"/>
              </w:rPr>
              <w:t>ab</w:t>
            </w:r>
          </w:p>
        </w:tc>
        <w:tc>
          <w:tcPr>
            <w:tcW w:w="1318" w:type="dxa"/>
            <w:noWrap/>
            <w:vAlign w:val="center"/>
          </w:tcPr>
          <w:p w14:paraId="4B4C2F9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194.02</w:t>
            </w:r>
            <w:r>
              <w:rPr>
                <w:rFonts w:ascii="Times New Roman" w:hAnsi="Times New Roman" w:cs="Times New Roman"/>
                <w:vertAlign w:val="superscript"/>
              </w:rPr>
              <w:t>ab</w:t>
            </w:r>
          </w:p>
        </w:tc>
      </w:tr>
      <w:tr w:rsidR="00F15FD7" w14:paraId="6C7C58B4"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3D62543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117" w:type="dxa"/>
            <w:noWrap/>
            <w:vAlign w:val="center"/>
          </w:tcPr>
          <w:p w14:paraId="00468FA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0.48</w:t>
            </w:r>
            <w:r>
              <w:rPr>
                <w:rFonts w:ascii="Times New Roman" w:hAnsi="Times New Roman" w:cs="Times New Roman"/>
                <w:vertAlign w:val="superscript"/>
              </w:rPr>
              <w:t>c</w:t>
            </w:r>
          </w:p>
        </w:tc>
        <w:tc>
          <w:tcPr>
            <w:tcW w:w="1432" w:type="dxa"/>
            <w:noWrap/>
            <w:vAlign w:val="center"/>
          </w:tcPr>
          <w:p w14:paraId="2E01342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13.04</w:t>
            </w:r>
            <w:r>
              <w:rPr>
                <w:rFonts w:ascii="Times New Roman" w:hAnsi="Times New Roman" w:cs="Times New Roman"/>
                <w:vertAlign w:val="superscript"/>
              </w:rPr>
              <w:t>bc</w:t>
            </w:r>
          </w:p>
        </w:tc>
        <w:tc>
          <w:tcPr>
            <w:tcW w:w="1461" w:type="dxa"/>
            <w:noWrap/>
            <w:vAlign w:val="center"/>
          </w:tcPr>
          <w:p w14:paraId="7F39E6F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36.87</w:t>
            </w:r>
            <w:r>
              <w:rPr>
                <w:rFonts w:ascii="Times New Roman" w:hAnsi="Times New Roman" w:cs="Times New Roman"/>
                <w:vertAlign w:val="superscript"/>
              </w:rPr>
              <w:t>bc</w:t>
            </w:r>
          </w:p>
        </w:tc>
        <w:tc>
          <w:tcPr>
            <w:tcW w:w="1376" w:type="dxa"/>
            <w:noWrap/>
            <w:vAlign w:val="center"/>
          </w:tcPr>
          <w:p w14:paraId="6B5ED8E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c</w:t>
            </w:r>
          </w:p>
        </w:tc>
        <w:tc>
          <w:tcPr>
            <w:tcW w:w="1303" w:type="dxa"/>
            <w:noWrap/>
            <w:vAlign w:val="center"/>
          </w:tcPr>
          <w:p w14:paraId="30B3752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w:t>
            </w:r>
            <w:r>
              <w:rPr>
                <w:rFonts w:ascii="Times New Roman" w:hAnsi="Times New Roman" w:cs="Times New Roman"/>
                <w:vertAlign w:val="superscript"/>
              </w:rPr>
              <w:t>bc</w:t>
            </w:r>
          </w:p>
        </w:tc>
        <w:tc>
          <w:tcPr>
            <w:tcW w:w="1275" w:type="dxa"/>
            <w:noWrap/>
            <w:vAlign w:val="center"/>
          </w:tcPr>
          <w:p w14:paraId="6FA30AC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15.16</w:t>
            </w:r>
            <w:r>
              <w:rPr>
                <w:rFonts w:ascii="Times New Roman" w:hAnsi="Times New Roman" w:cs="Times New Roman"/>
                <w:vertAlign w:val="superscript"/>
              </w:rPr>
              <w:t>abc</w:t>
            </w:r>
          </w:p>
        </w:tc>
        <w:tc>
          <w:tcPr>
            <w:tcW w:w="1318" w:type="dxa"/>
            <w:noWrap/>
            <w:vAlign w:val="center"/>
          </w:tcPr>
          <w:p w14:paraId="5CE230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200.12</w:t>
            </w:r>
            <w:r>
              <w:rPr>
                <w:rFonts w:ascii="Times New Roman" w:hAnsi="Times New Roman" w:cs="Times New Roman"/>
                <w:vertAlign w:val="superscript"/>
              </w:rPr>
              <w:t>b</w:t>
            </w:r>
          </w:p>
        </w:tc>
      </w:tr>
      <w:tr w:rsidR="00F15FD7" w14:paraId="6177BD79"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7963D25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117" w:type="dxa"/>
            <w:noWrap/>
            <w:vAlign w:val="center"/>
          </w:tcPr>
          <w:p w14:paraId="05897BF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0.56</w:t>
            </w:r>
            <w:r>
              <w:rPr>
                <w:rFonts w:ascii="Times New Roman" w:hAnsi="Times New Roman" w:cs="Times New Roman"/>
                <w:vertAlign w:val="superscript"/>
              </w:rPr>
              <w:t>d</w:t>
            </w:r>
          </w:p>
        </w:tc>
        <w:tc>
          <w:tcPr>
            <w:tcW w:w="1432" w:type="dxa"/>
            <w:noWrap/>
            <w:vAlign w:val="center"/>
          </w:tcPr>
          <w:p w14:paraId="0665B8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13.56</w:t>
            </w:r>
            <w:r>
              <w:rPr>
                <w:rFonts w:ascii="Times New Roman" w:hAnsi="Times New Roman" w:cs="Times New Roman"/>
                <w:vertAlign w:val="superscript"/>
              </w:rPr>
              <w:t>bc</w:t>
            </w:r>
          </w:p>
        </w:tc>
        <w:tc>
          <w:tcPr>
            <w:tcW w:w="1461" w:type="dxa"/>
            <w:noWrap/>
            <w:vAlign w:val="center"/>
          </w:tcPr>
          <w:p w14:paraId="0768C2A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38.12</w:t>
            </w:r>
            <w:r>
              <w:rPr>
                <w:rFonts w:ascii="Times New Roman" w:hAnsi="Times New Roman" w:cs="Times New Roman"/>
                <w:vertAlign w:val="superscript"/>
              </w:rPr>
              <w:t>c</w:t>
            </w:r>
          </w:p>
        </w:tc>
        <w:tc>
          <w:tcPr>
            <w:tcW w:w="1376" w:type="dxa"/>
            <w:noWrap/>
            <w:vAlign w:val="center"/>
          </w:tcPr>
          <w:p w14:paraId="5900ED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w:t>
            </w:r>
            <w:r>
              <w:rPr>
                <w:rFonts w:ascii="Times New Roman" w:hAnsi="Times New Roman" w:cs="Times New Roman"/>
                <w:vertAlign w:val="superscript"/>
              </w:rPr>
              <w:t>cd</w:t>
            </w:r>
          </w:p>
        </w:tc>
        <w:tc>
          <w:tcPr>
            <w:tcW w:w="1303" w:type="dxa"/>
            <w:noWrap/>
            <w:vAlign w:val="center"/>
          </w:tcPr>
          <w:p w14:paraId="139941A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275" w:type="dxa"/>
            <w:noWrap/>
            <w:vAlign w:val="center"/>
          </w:tcPr>
          <w:p w14:paraId="79797C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17.23</w:t>
            </w:r>
            <w:r>
              <w:rPr>
                <w:rFonts w:ascii="Times New Roman" w:hAnsi="Times New Roman" w:cs="Times New Roman"/>
                <w:vertAlign w:val="superscript"/>
              </w:rPr>
              <w:t>c</w:t>
            </w:r>
          </w:p>
        </w:tc>
        <w:tc>
          <w:tcPr>
            <w:tcW w:w="1318" w:type="dxa"/>
            <w:noWrap/>
            <w:vAlign w:val="center"/>
          </w:tcPr>
          <w:p w14:paraId="44B7FD2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209.17</w:t>
            </w:r>
            <w:r>
              <w:rPr>
                <w:rFonts w:ascii="Times New Roman" w:hAnsi="Times New Roman" w:cs="Times New Roman"/>
                <w:vertAlign w:val="superscript"/>
              </w:rPr>
              <w:t>bc</w:t>
            </w:r>
          </w:p>
        </w:tc>
      </w:tr>
      <w:tr w:rsidR="00F15FD7" w14:paraId="187A058A"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49ACB1E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117" w:type="dxa"/>
            <w:noWrap/>
            <w:vAlign w:val="center"/>
          </w:tcPr>
          <w:p w14:paraId="0132012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bc</w:t>
            </w:r>
          </w:p>
        </w:tc>
        <w:tc>
          <w:tcPr>
            <w:tcW w:w="1432" w:type="dxa"/>
            <w:noWrap/>
            <w:vAlign w:val="center"/>
          </w:tcPr>
          <w:p w14:paraId="7662EFE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14.13</w:t>
            </w:r>
            <w:r>
              <w:rPr>
                <w:rFonts w:ascii="Times New Roman" w:hAnsi="Times New Roman" w:cs="Times New Roman"/>
                <w:vertAlign w:val="superscript"/>
              </w:rPr>
              <w:t>c</w:t>
            </w:r>
          </w:p>
        </w:tc>
        <w:tc>
          <w:tcPr>
            <w:tcW w:w="1461" w:type="dxa"/>
            <w:noWrap/>
            <w:vAlign w:val="center"/>
          </w:tcPr>
          <w:p w14:paraId="4C9AA71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33.37</w:t>
            </w:r>
            <w:r>
              <w:rPr>
                <w:rFonts w:ascii="Times New Roman" w:hAnsi="Times New Roman" w:cs="Times New Roman"/>
                <w:vertAlign w:val="superscript"/>
              </w:rPr>
              <w:t>abc</w:t>
            </w:r>
          </w:p>
        </w:tc>
        <w:tc>
          <w:tcPr>
            <w:tcW w:w="1376" w:type="dxa"/>
            <w:noWrap/>
            <w:vAlign w:val="center"/>
          </w:tcPr>
          <w:p w14:paraId="6408326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0.34</w:t>
            </w:r>
            <w:r>
              <w:rPr>
                <w:rFonts w:ascii="Times New Roman" w:hAnsi="Times New Roman" w:cs="Times New Roman"/>
                <w:vertAlign w:val="superscript"/>
              </w:rPr>
              <w:t>c</w:t>
            </w:r>
          </w:p>
        </w:tc>
        <w:tc>
          <w:tcPr>
            <w:tcW w:w="1303" w:type="dxa"/>
            <w:noWrap/>
            <w:vAlign w:val="center"/>
          </w:tcPr>
          <w:p w14:paraId="29839E7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275" w:type="dxa"/>
            <w:noWrap/>
            <w:vAlign w:val="center"/>
          </w:tcPr>
          <w:p w14:paraId="3962584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14.17</w:t>
            </w:r>
            <w:r>
              <w:rPr>
                <w:rFonts w:ascii="Times New Roman" w:hAnsi="Times New Roman" w:cs="Times New Roman"/>
                <w:vertAlign w:val="superscript"/>
              </w:rPr>
              <w:t>ab</w:t>
            </w:r>
          </w:p>
        </w:tc>
        <w:tc>
          <w:tcPr>
            <w:tcW w:w="1318" w:type="dxa"/>
            <w:noWrap/>
            <w:vAlign w:val="center"/>
          </w:tcPr>
          <w:p w14:paraId="0CE06B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192.23</w:t>
            </w:r>
            <w:r>
              <w:rPr>
                <w:rFonts w:ascii="Times New Roman" w:hAnsi="Times New Roman" w:cs="Times New Roman"/>
                <w:vertAlign w:val="superscript"/>
              </w:rPr>
              <w:t>ab</w:t>
            </w:r>
          </w:p>
        </w:tc>
      </w:tr>
      <w:tr w:rsidR="00F15FD7" w14:paraId="3C3B4AD2"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1C3335F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117" w:type="dxa"/>
            <w:noWrap/>
            <w:vAlign w:val="center"/>
          </w:tcPr>
          <w:p w14:paraId="73AAB68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0.48</w:t>
            </w:r>
            <w:r>
              <w:rPr>
                <w:rFonts w:ascii="Times New Roman" w:hAnsi="Times New Roman" w:cs="Times New Roman"/>
                <w:vertAlign w:val="superscript"/>
              </w:rPr>
              <w:t>c</w:t>
            </w:r>
          </w:p>
        </w:tc>
        <w:tc>
          <w:tcPr>
            <w:tcW w:w="1432" w:type="dxa"/>
            <w:noWrap/>
            <w:vAlign w:val="center"/>
          </w:tcPr>
          <w:p w14:paraId="7729126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14.48</w:t>
            </w:r>
            <w:r>
              <w:rPr>
                <w:rFonts w:ascii="Times New Roman" w:hAnsi="Times New Roman" w:cs="Times New Roman"/>
                <w:vertAlign w:val="superscript"/>
              </w:rPr>
              <w:t>c</w:t>
            </w:r>
          </w:p>
        </w:tc>
        <w:tc>
          <w:tcPr>
            <w:tcW w:w="1461" w:type="dxa"/>
            <w:noWrap/>
            <w:vAlign w:val="center"/>
          </w:tcPr>
          <w:p w14:paraId="7DB531E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34.87</w:t>
            </w:r>
            <w:r>
              <w:rPr>
                <w:rFonts w:ascii="Times New Roman" w:hAnsi="Times New Roman" w:cs="Times New Roman"/>
                <w:vertAlign w:val="superscript"/>
              </w:rPr>
              <w:t>abc</w:t>
            </w:r>
          </w:p>
        </w:tc>
        <w:tc>
          <w:tcPr>
            <w:tcW w:w="1376" w:type="dxa"/>
            <w:noWrap/>
            <w:vAlign w:val="center"/>
          </w:tcPr>
          <w:p w14:paraId="2B48FF7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c</w:t>
            </w:r>
          </w:p>
        </w:tc>
        <w:tc>
          <w:tcPr>
            <w:tcW w:w="1303" w:type="dxa"/>
            <w:noWrap/>
            <w:vAlign w:val="center"/>
          </w:tcPr>
          <w:p w14:paraId="2A7DD5F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w:t>
            </w:r>
            <w:r>
              <w:rPr>
                <w:rFonts w:ascii="Times New Roman" w:hAnsi="Times New Roman" w:cs="Times New Roman"/>
                <w:vertAlign w:val="superscript"/>
              </w:rPr>
              <w:t>bc</w:t>
            </w:r>
          </w:p>
        </w:tc>
        <w:tc>
          <w:tcPr>
            <w:tcW w:w="1275" w:type="dxa"/>
            <w:noWrap/>
            <w:vAlign w:val="center"/>
          </w:tcPr>
          <w:p w14:paraId="38856A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17.24</w:t>
            </w:r>
            <w:r>
              <w:rPr>
                <w:rFonts w:ascii="Times New Roman" w:hAnsi="Times New Roman" w:cs="Times New Roman"/>
                <w:vertAlign w:val="superscript"/>
              </w:rPr>
              <w:t>c</w:t>
            </w:r>
          </w:p>
        </w:tc>
        <w:tc>
          <w:tcPr>
            <w:tcW w:w="1318" w:type="dxa"/>
            <w:noWrap/>
            <w:vAlign w:val="center"/>
          </w:tcPr>
          <w:p w14:paraId="7157469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199.11</w:t>
            </w:r>
            <w:r>
              <w:rPr>
                <w:rFonts w:ascii="Times New Roman" w:hAnsi="Times New Roman" w:cs="Times New Roman"/>
                <w:vertAlign w:val="superscript"/>
              </w:rPr>
              <w:t>abc</w:t>
            </w:r>
          </w:p>
        </w:tc>
      </w:tr>
      <w:tr w:rsidR="00F15FD7" w14:paraId="31F4C5D8"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49B236D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117" w:type="dxa"/>
            <w:noWrap/>
            <w:vAlign w:val="center"/>
          </w:tcPr>
          <w:p w14:paraId="54EE230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0.56</w:t>
            </w:r>
            <w:r>
              <w:rPr>
                <w:rFonts w:ascii="Times New Roman" w:hAnsi="Times New Roman" w:cs="Times New Roman"/>
                <w:vertAlign w:val="superscript"/>
              </w:rPr>
              <w:t>d</w:t>
            </w:r>
          </w:p>
        </w:tc>
        <w:tc>
          <w:tcPr>
            <w:tcW w:w="1432" w:type="dxa"/>
            <w:noWrap/>
            <w:vAlign w:val="center"/>
          </w:tcPr>
          <w:p w14:paraId="4EC1BBD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14.79</w:t>
            </w:r>
            <w:r>
              <w:rPr>
                <w:rFonts w:ascii="Times New Roman" w:hAnsi="Times New Roman" w:cs="Times New Roman"/>
                <w:vertAlign w:val="superscript"/>
              </w:rPr>
              <w:t>c</w:t>
            </w:r>
          </w:p>
        </w:tc>
        <w:tc>
          <w:tcPr>
            <w:tcW w:w="1461" w:type="dxa"/>
            <w:noWrap/>
            <w:vAlign w:val="center"/>
          </w:tcPr>
          <w:p w14:paraId="79504F8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37.12</w:t>
            </w:r>
            <w:r>
              <w:rPr>
                <w:rFonts w:ascii="Times New Roman" w:hAnsi="Times New Roman" w:cs="Times New Roman"/>
                <w:vertAlign w:val="superscript"/>
              </w:rPr>
              <w:t>c</w:t>
            </w:r>
          </w:p>
        </w:tc>
        <w:tc>
          <w:tcPr>
            <w:tcW w:w="1376" w:type="dxa"/>
            <w:noWrap/>
            <w:vAlign w:val="center"/>
          </w:tcPr>
          <w:p w14:paraId="19086DE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w:t>
            </w:r>
            <w:r>
              <w:rPr>
                <w:rFonts w:ascii="Times New Roman" w:hAnsi="Times New Roman" w:cs="Times New Roman"/>
                <w:vertAlign w:val="superscript"/>
              </w:rPr>
              <w:t>cd</w:t>
            </w:r>
          </w:p>
        </w:tc>
        <w:tc>
          <w:tcPr>
            <w:tcW w:w="1303" w:type="dxa"/>
            <w:noWrap/>
            <w:vAlign w:val="center"/>
          </w:tcPr>
          <w:p w14:paraId="736DDC4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c</w:t>
            </w:r>
          </w:p>
        </w:tc>
        <w:tc>
          <w:tcPr>
            <w:tcW w:w="1275" w:type="dxa"/>
            <w:noWrap/>
            <w:vAlign w:val="center"/>
          </w:tcPr>
          <w:p w14:paraId="58A7D4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19.18</w:t>
            </w:r>
            <w:r>
              <w:rPr>
                <w:rFonts w:ascii="Times New Roman" w:hAnsi="Times New Roman" w:cs="Times New Roman"/>
                <w:vertAlign w:val="superscript"/>
              </w:rPr>
              <w:t>cd</w:t>
            </w:r>
          </w:p>
        </w:tc>
        <w:tc>
          <w:tcPr>
            <w:tcW w:w="1318" w:type="dxa"/>
            <w:noWrap/>
            <w:vAlign w:val="center"/>
          </w:tcPr>
          <w:p w14:paraId="399F5E6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214.15</w:t>
            </w:r>
            <w:r>
              <w:rPr>
                <w:rFonts w:ascii="Times New Roman" w:hAnsi="Times New Roman" w:cs="Times New Roman"/>
                <w:vertAlign w:val="superscript"/>
              </w:rPr>
              <w:t>c</w:t>
            </w:r>
          </w:p>
        </w:tc>
      </w:tr>
      <w:tr w:rsidR="00F15FD7" w14:paraId="0415E927"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1656CD0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117" w:type="dxa"/>
            <w:noWrap/>
            <w:vAlign w:val="center"/>
          </w:tcPr>
          <w:p w14:paraId="1B0566E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0.64</w:t>
            </w:r>
            <w:r>
              <w:rPr>
                <w:rFonts w:ascii="Times New Roman" w:hAnsi="Times New Roman" w:cs="Times New Roman"/>
                <w:vertAlign w:val="superscript"/>
              </w:rPr>
              <w:t>de</w:t>
            </w:r>
          </w:p>
        </w:tc>
        <w:tc>
          <w:tcPr>
            <w:tcW w:w="1432" w:type="dxa"/>
            <w:noWrap/>
            <w:vAlign w:val="center"/>
          </w:tcPr>
          <w:p w14:paraId="39499D6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15.64</w:t>
            </w:r>
            <w:r>
              <w:rPr>
                <w:rFonts w:ascii="Times New Roman" w:hAnsi="Times New Roman" w:cs="Times New Roman"/>
                <w:vertAlign w:val="superscript"/>
              </w:rPr>
              <w:t>cd</w:t>
            </w:r>
          </w:p>
        </w:tc>
        <w:tc>
          <w:tcPr>
            <w:tcW w:w="1461" w:type="dxa"/>
            <w:noWrap/>
            <w:vAlign w:val="center"/>
          </w:tcPr>
          <w:p w14:paraId="58298C4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r>
              <w:rPr>
                <w:rFonts w:ascii="Times New Roman" w:hAnsi="Times New Roman" w:cs="Times New Roman"/>
                <w:vertAlign w:val="superscript"/>
              </w:rPr>
              <w:t>c</w:t>
            </w:r>
          </w:p>
        </w:tc>
        <w:tc>
          <w:tcPr>
            <w:tcW w:w="1376" w:type="dxa"/>
            <w:noWrap/>
            <w:vAlign w:val="center"/>
          </w:tcPr>
          <w:p w14:paraId="4CF781A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w:t>
            </w:r>
            <w:r>
              <w:rPr>
                <w:rFonts w:ascii="Times New Roman" w:hAnsi="Times New Roman" w:cs="Times New Roman"/>
                <w:vertAlign w:val="superscript"/>
              </w:rPr>
              <w:t>e</w:t>
            </w:r>
          </w:p>
        </w:tc>
        <w:tc>
          <w:tcPr>
            <w:tcW w:w="1303" w:type="dxa"/>
            <w:noWrap/>
            <w:vAlign w:val="center"/>
          </w:tcPr>
          <w:p w14:paraId="4E35687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w:t>
            </w:r>
            <w:r>
              <w:rPr>
                <w:rFonts w:ascii="Times New Roman" w:hAnsi="Times New Roman" w:cs="Times New Roman"/>
                <w:vertAlign w:val="superscript"/>
              </w:rPr>
              <w:t>cd</w:t>
            </w:r>
          </w:p>
        </w:tc>
        <w:tc>
          <w:tcPr>
            <w:tcW w:w="1275" w:type="dxa"/>
            <w:noWrap/>
            <w:vAlign w:val="center"/>
          </w:tcPr>
          <w:p w14:paraId="71F568A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21.24</w:t>
            </w:r>
            <w:r>
              <w:rPr>
                <w:rFonts w:ascii="Times New Roman" w:hAnsi="Times New Roman" w:cs="Times New Roman"/>
                <w:vertAlign w:val="superscript"/>
              </w:rPr>
              <w:t>cde</w:t>
            </w:r>
          </w:p>
        </w:tc>
        <w:tc>
          <w:tcPr>
            <w:tcW w:w="1318" w:type="dxa"/>
            <w:noWrap/>
            <w:vAlign w:val="center"/>
          </w:tcPr>
          <w:p w14:paraId="6EBDD8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224.19</w:t>
            </w:r>
            <w:r>
              <w:rPr>
                <w:rFonts w:ascii="Times New Roman" w:hAnsi="Times New Roman" w:cs="Times New Roman"/>
                <w:vertAlign w:val="superscript"/>
              </w:rPr>
              <w:t>d</w:t>
            </w:r>
          </w:p>
        </w:tc>
      </w:tr>
      <w:tr w:rsidR="00F15FD7" w14:paraId="512C03B1"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579E37D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117" w:type="dxa"/>
            <w:noWrap/>
            <w:vAlign w:val="center"/>
          </w:tcPr>
          <w:p w14:paraId="6BD0EF3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w:t>
            </w:r>
            <w:r>
              <w:rPr>
                <w:rFonts w:ascii="Times New Roman" w:hAnsi="Times New Roman" w:cs="Times New Roman"/>
                <w:vertAlign w:val="superscript"/>
              </w:rPr>
              <w:t>a</w:t>
            </w:r>
          </w:p>
        </w:tc>
        <w:tc>
          <w:tcPr>
            <w:tcW w:w="1432" w:type="dxa"/>
            <w:noWrap/>
            <w:vAlign w:val="center"/>
          </w:tcPr>
          <w:p w14:paraId="497544E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10.21</w:t>
            </w:r>
            <w:r>
              <w:rPr>
                <w:rFonts w:ascii="Times New Roman" w:hAnsi="Times New Roman" w:cs="Times New Roman"/>
                <w:vertAlign w:val="superscript"/>
              </w:rPr>
              <w:t>a</w:t>
            </w:r>
          </w:p>
        </w:tc>
        <w:tc>
          <w:tcPr>
            <w:tcW w:w="1461" w:type="dxa"/>
            <w:noWrap/>
            <w:vAlign w:val="center"/>
          </w:tcPr>
          <w:p w14:paraId="32E22A5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29.12</w:t>
            </w:r>
            <w:r>
              <w:rPr>
                <w:rFonts w:ascii="Times New Roman" w:hAnsi="Times New Roman" w:cs="Times New Roman"/>
                <w:vertAlign w:val="superscript"/>
              </w:rPr>
              <w:t>a</w:t>
            </w:r>
          </w:p>
        </w:tc>
        <w:tc>
          <w:tcPr>
            <w:tcW w:w="1376" w:type="dxa"/>
            <w:noWrap/>
            <w:vAlign w:val="center"/>
          </w:tcPr>
          <w:p w14:paraId="29800BB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0.26</w:t>
            </w:r>
            <w:r>
              <w:rPr>
                <w:rFonts w:ascii="Times New Roman" w:hAnsi="Times New Roman" w:cs="Times New Roman"/>
                <w:vertAlign w:val="superscript"/>
              </w:rPr>
              <w:t>a</w:t>
            </w:r>
          </w:p>
        </w:tc>
        <w:tc>
          <w:tcPr>
            <w:tcW w:w="1303" w:type="dxa"/>
            <w:noWrap/>
            <w:vAlign w:val="center"/>
          </w:tcPr>
          <w:p w14:paraId="304DAAA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0.23</w:t>
            </w:r>
            <w:r>
              <w:rPr>
                <w:rFonts w:ascii="Times New Roman" w:hAnsi="Times New Roman" w:cs="Times New Roman"/>
                <w:vertAlign w:val="superscript"/>
              </w:rPr>
              <w:t>a</w:t>
            </w:r>
          </w:p>
        </w:tc>
        <w:tc>
          <w:tcPr>
            <w:tcW w:w="1275" w:type="dxa"/>
            <w:noWrap/>
            <w:vAlign w:val="center"/>
          </w:tcPr>
          <w:p w14:paraId="2E99376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11.12</w:t>
            </w:r>
            <w:r>
              <w:rPr>
                <w:rFonts w:ascii="Times New Roman" w:hAnsi="Times New Roman" w:cs="Times New Roman"/>
                <w:vertAlign w:val="superscript"/>
              </w:rPr>
              <w:t>a</w:t>
            </w:r>
          </w:p>
        </w:tc>
        <w:tc>
          <w:tcPr>
            <w:tcW w:w="1318" w:type="dxa"/>
            <w:noWrap/>
            <w:vAlign w:val="center"/>
          </w:tcPr>
          <w:p w14:paraId="46EEC5E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176.12</w:t>
            </w:r>
            <w:r>
              <w:rPr>
                <w:rFonts w:ascii="Times New Roman" w:hAnsi="Times New Roman" w:cs="Times New Roman"/>
                <w:vertAlign w:val="superscript"/>
              </w:rPr>
              <w:t>a</w:t>
            </w:r>
          </w:p>
        </w:tc>
      </w:tr>
      <w:tr w:rsidR="00F15FD7" w14:paraId="675DA7EC"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20967B0A"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117" w:type="dxa"/>
            <w:noWrap/>
            <w:vAlign w:val="center"/>
          </w:tcPr>
          <w:p w14:paraId="47FAEB0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w:t>
            </w:r>
          </w:p>
        </w:tc>
        <w:tc>
          <w:tcPr>
            <w:tcW w:w="1432" w:type="dxa"/>
            <w:noWrap/>
            <w:vAlign w:val="center"/>
          </w:tcPr>
          <w:p w14:paraId="00172E7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10.48</w:t>
            </w:r>
            <w:r>
              <w:rPr>
                <w:rFonts w:ascii="Times New Roman" w:hAnsi="Times New Roman" w:cs="Times New Roman"/>
                <w:vertAlign w:val="superscript"/>
              </w:rPr>
              <w:t>a</w:t>
            </w:r>
          </w:p>
        </w:tc>
        <w:tc>
          <w:tcPr>
            <w:tcW w:w="1461" w:type="dxa"/>
            <w:noWrap/>
            <w:vAlign w:val="center"/>
          </w:tcPr>
          <w:p w14:paraId="145DF9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29.68</w:t>
            </w:r>
            <w:r>
              <w:rPr>
                <w:rFonts w:ascii="Times New Roman" w:hAnsi="Times New Roman" w:cs="Times New Roman"/>
                <w:vertAlign w:val="superscript"/>
              </w:rPr>
              <w:t>a</w:t>
            </w:r>
          </w:p>
        </w:tc>
        <w:tc>
          <w:tcPr>
            <w:tcW w:w="1376" w:type="dxa"/>
            <w:noWrap/>
            <w:vAlign w:val="center"/>
          </w:tcPr>
          <w:p w14:paraId="7446CE4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w:t>
            </w:r>
          </w:p>
        </w:tc>
        <w:tc>
          <w:tcPr>
            <w:tcW w:w="1303" w:type="dxa"/>
            <w:noWrap/>
            <w:vAlign w:val="center"/>
          </w:tcPr>
          <w:p w14:paraId="5B64561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w:t>
            </w:r>
            <w:r>
              <w:rPr>
                <w:rFonts w:ascii="Times New Roman" w:hAnsi="Times New Roman" w:cs="Times New Roman"/>
                <w:vertAlign w:val="superscript"/>
              </w:rPr>
              <w:t>a</w:t>
            </w:r>
          </w:p>
        </w:tc>
        <w:tc>
          <w:tcPr>
            <w:tcW w:w="1275" w:type="dxa"/>
            <w:noWrap/>
            <w:vAlign w:val="center"/>
          </w:tcPr>
          <w:p w14:paraId="3348D34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13.07</w:t>
            </w:r>
            <w:r>
              <w:rPr>
                <w:rFonts w:ascii="Times New Roman" w:hAnsi="Times New Roman" w:cs="Times New Roman"/>
                <w:vertAlign w:val="superscript"/>
              </w:rPr>
              <w:t>ab</w:t>
            </w:r>
          </w:p>
        </w:tc>
        <w:tc>
          <w:tcPr>
            <w:tcW w:w="1318" w:type="dxa"/>
            <w:noWrap/>
            <w:vAlign w:val="center"/>
          </w:tcPr>
          <w:p w14:paraId="0BDE39D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196.07</w:t>
            </w:r>
            <w:r>
              <w:rPr>
                <w:rFonts w:ascii="Times New Roman" w:hAnsi="Times New Roman" w:cs="Times New Roman"/>
                <w:vertAlign w:val="superscript"/>
              </w:rPr>
              <w:t>ab</w:t>
            </w:r>
          </w:p>
        </w:tc>
      </w:tr>
      <w:tr w:rsidR="00F15FD7" w14:paraId="7EEBF450"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0EFFF921"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117" w:type="dxa"/>
            <w:noWrap/>
            <w:vAlign w:val="center"/>
          </w:tcPr>
          <w:p w14:paraId="0D052C2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0.34</w:t>
            </w:r>
            <w:r>
              <w:rPr>
                <w:rFonts w:ascii="Times New Roman" w:hAnsi="Times New Roman" w:cs="Times New Roman"/>
                <w:vertAlign w:val="superscript"/>
              </w:rPr>
              <w:t>b</w:t>
            </w:r>
          </w:p>
        </w:tc>
        <w:tc>
          <w:tcPr>
            <w:tcW w:w="1432" w:type="dxa"/>
            <w:noWrap/>
            <w:vAlign w:val="center"/>
          </w:tcPr>
          <w:p w14:paraId="1A7B7A6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10.59</w:t>
            </w:r>
            <w:r>
              <w:rPr>
                <w:rFonts w:ascii="Times New Roman" w:hAnsi="Times New Roman" w:cs="Times New Roman"/>
                <w:vertAlign w:val="superscript"/>
              </w:rPr>
              <w:t>a</w:t>
            </w:r>
          </w:p>
        </w:tc>
        <w:tc>
          <w:tcPr>
            <w:tcW w:w="1461" w:type="dxa"/>
            <w:noWrap/>
            <w:vAlign w:val="center"/>
          </w:tcPr>
          <w:p w14:paraId="0E12CD8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30.48</w:t>
            </w:r>
            <w:r>
              <w:rPr>
                <w:rFonts w:ascii="Times New Roman" w:hAnsi="Times New Roman" w:cs="Times New Roman"/>
                <w:vertAlign w:val="superscript"/>
              </w:rPr>
              <w:t>ab</w:t>
            </w:r>
          </w:p>
        </w:tc>
        <w:tc>
          <w:tcPr>
            <w:tcW w:w="1376" w:type="dxa"/>
            <w:noWrap/>
            <w:vAlign w:val="center"/>
          </w:tcPr>
          <w:p w14:paraId="0262A7C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w:t>
            </w:r>
            <w:r>
              <w:rPr>
                <w:rFonts w:ascii="Times New Roman" w:hAnsi="Times New Roman" w:cs="Times New Roman"/>
                <w:vertAlign w:val="superscript"/>
              </w:rPr>
              <w:t>abc</w:t>
            </w:r>
          </w:p>
        </w:tc>
        <w:tc>
          <w:tcPr>
            <w:tcW w:w="1303" w:type="dxa"/>
            <w:noWrap/>
            <w:vAlign w:val="center"/>
          </w:tcPr>
          <w:p w14:paraId="1DCB55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w:t>
            </w:r>
            <w:r>
              <w:rPr>
                <w:rFonts w:ascii="Times New Roman" w:hAnsi="Times New Roman" w:cs="Times New Roman"/>
                <w:vertAlign w:val="superscript"/>
              </w:rPr>
              <w:t>a</w:t>
            </w:r>
          </w:p>
        </w:tc>
        <w:tc>
          <w:tcPr>
            <w:tcW w:w="1275" w:type="dxa"/>
            <w:noWrap/>
            <w:vAlign w:val="center"/>
          </w:tcPr>
          <w:p w14:paraId="1CAC871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16.27</w:t>
            </w:r>
            <w:r>
              <w:rPr>
                <w:rFonts w:ascii="Times New Roman" w:hAnsi="Times New Roman" w:cs="Times New Roman"/>
                <w:vertAlign w:val="superscript"/>
              </w:rPr>
              <w:t>c</w:t>
            </w:r>
          </w:p>
        </w:tc>
        <w:tc>
          <w:tcPr>
            <w:tcW w:w="1318" w:type="dxa"/>
            <w:noWrap/>
            <w:vAlign w:val="center"/>
          </w:tcPr>
          <w:p w14:paraId="21C789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206.43</w:t>
            </w:r>
            <w:r>
              <w:rPr>
                <w:rFonts w:ascii="Times New Roman" w:hAnsi="Times New Roman" w:cs="Times New Roman"/>
                <w:vertAlign w:val="superscript"/>
              </w:rPr>
              <w:t>bc</w:t>
            </w:r>
          </w:p>
        </w:tc>
      </w:tr>
      <w:tr w:rsidR="00F15FD7" w14:paraId="7A2F371D"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3D08A5F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117" w:type="dxa"/>
            <w:noWrap/>
            <w:vAlign w:val="center"/>
          </w:tcPr>
          <w:p w14:paraId="0FD4976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ab</w:t>
            </w:r>
          </w:p>
        </w:tc>
        <w:tc>
          <w:tcPr>
            <w:tcW w:w="1432" w:type="dxa"/>
            <w:noWrap/>
            <w:vAlign w:val="center"/>
          </w:tcPr>
          <w:p w14:paraId="69C02E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11.07</w:t>
            </w:r>
            <w:r>
              <w:rPr>
                <w:rFonts w:ascii="Times New Roman" w:hAnsi="Times New Roman" w:cs="Times New Roman"/>
                <w:vertAlign w:val="superscript"/>
              </w:rPr>
              <w:t>ab</w:t>
            </w:r>
          </w:p>
        </w:tc>
        <w:tc>
          <w:tcPr>
            <w:tcW w:w="1461" w:type="dxa"/>
            <w:noWrap/>
            <w:vAlign w:val="center"/>
          </w:tcPr>
          <w:p w14:paraId="0CB6127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31.12</w:t>
            </w:r>
            <w:r>
              <w:rPr>
                <w:rFonts w:ascii="Times New Roman" w:hAnsi="Times New Roman" w:cs="Times New Roman"/>
                <w:vertAlign w:val="superscript"/>
              </w:rPr>
              <w:t>ab</w:t>
            </w:r>
          </w:p>
        </w:tc>
        <w:tc>
          <w:tcPr>
            <w:tcW w:w="1376" w:type="dxa"/>
            <w:noWrap/>
            <w:vAlign w:val="center"/>
          </w:tcPr>
          <w:p w14:paraId="3FEFF3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w:t>
            </w:r>
            <w:r>
              <w:rPr>
                <w:rFonts w:ascii="Times New Roman" w:hAnsi="Times New Roman" w:cs="Times New Roman"/>
                <w:vertAlign w:val="superscript"/>
              </w:rPr>
              <w:t>abc</w:t>
            </w:r>
          </w:p>
        </w:tc>
        <w:tc>
          <w:tcPr>
            <w:tcW w:w="1303" w:type="dxa"/>
            <w:noWrap/>
            <w:vAlign w:val="center"/>
          </w:tcPr>
          <w:p w14:paraId="736B56C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r>
              <w:rPr>
                <w:rFonts w:ascii="Times New Roman" w:hAnsi="Times New Roman" w:cs="Times New Roman"/>
                <w:vertAlign w:val="superscript"/>
              </w:rPr>
              <w:t>ab</w:t>
            </w:r>
          </w:p>
        </w:tc>
        <w:tc>
          <w:tcPr>
            <w:tcW w:w="1275" w:type="dxa"/>
            <w:noWrap/>
            <w:vAlign w:val="center"/>
          </w:tcPr>
          <w:p w14:paraId="77EDD76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19.27</w:t>
            </w:r>
            <w:r>
              <w:rPr>
                <w:rFonts w:ascii="Times New Roman" w:hAnsi="Times New Roman" w:cs="Times New Roman"/>
                <w:vertAlign w:val="superscript"/>
              </w:rPr>
              <w:t>cd</w:t>
            </w:r>
          </w:p>
        </w:tc>
        <w:tc>
          <w:tcPr>
            <w:tcW w:w="1318" w:type="dxa"/>
            <w:noWrap/>
            <w:vAlign w:val="center"/>
          </w:tcPr>
          <w:p w14:paraId="7A6E729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214.34</w:t>
            </w:r>
            <w:r>
              <w:rPr>
                <w:rFonts w:ascii="Times New Roman" w:hAnsi="Times New Roman" w:cs="Times New Roman"/>
                <w:vertAlign w:val="superscript"/>
              </w:rPr>
              <w:t>c</w:t>
            </w:r>
          </w:p>
        </w:tc>
      </w:tr>
      <w:tr w:rsidR="00F15FD7" w14:paraId="6E850B5F"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0062442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1117" w:type="dxa"/>
            <w:noWrap/>
            <w:vAlign w:val="center"/>
          </w:tcPr>
          <w:p w14:paraId="54DD664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bc</w:t>
            </w:r>
          </w:p>
        </w:tc>
        <w:tc>
          <w:tcPr>
            <w:tcW w:w="1432" w:type="dxa"/>
            <w:noWrap/>
            <w:vAlign w:val="center"/>
          </w:tcPr>
          <w:p w14:paraId="4CAAABE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11.46</w:t>
            </w:r>
            <w:r>
              <w:rPr>
                <w:rFonts w:ascii="Times New Roman" w:hAnsi="Times New Roman" w:cs="Times New Roman"/>
                <w:vertAlign w:val="superscript"/>
              </w:rPr>
              <w:t>ab</w:t>
            </w:r>
          </w:p>
        </w:tc>
        <w:tc>
          <w:tcPr>
            <w:tcW w:w="1461" w:type="dxa"/>
            <w:noWrap/>
            <w:vAlign w:val="center"/>
          </w:tcPr>
          <w:p w14:paraId="4A90D4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31.42</w:t>
            </w:r>
            <w:r>
              <w:rPr>
                <w:rFonts w:ascii="Times New Roman" w:hAnsi="Times New Roman" w:cs="Times New Roman"/>
                <w:vertAlign w:val="superscript"/>
              </w:rPr>
              <w:t>ab</w:t>
            </w:r>
          </w:p>
        </w:tc>
        <w:tc>
          <w:tcPr>
            <w:tcW w:w="1376" w:type="dxa"/>
            <w:noWrap/>
            <w:vAlign w:val="center"/>
          </w:tcPr>
          <w:p w14:paraId="3130F19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303" w:type="dxa"/>
            <w:noWrap/>
            <w:vAlign w:val="center"/>
          </w:tcPr>
          <w:p w14:paraId="3DB22CD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r>
              <w:rPr>
                <w:rFonts w:ascii="Times New Roman" w:hAnsi="Times New Roman" w:cs="Times New Roman"/>
                <w:vertAlign w:val="superscript"/>
              </w:rPr>
              <w:t>ab</w:t>
            </w:r>
          </w:p>
        </w:tc>
        <w:tc>
          <w:tcPr>
            <w:tcW w:w="1275" w:type="dxa"/>
            <w:noWrap/>
            <w:vAlign w:val="center"/>
          </w:tcPr>
          <w:p w14:paraId="776E0F6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21.04</w:t>
            </w:r>
            <w:r>
              <w:rPr>
                <w:rFonts w:ascii="Times New Roman" w:hAnsi="Times New Roman" w:cs="Times New Roman"/>
                <w:vertAlign w:val="superscript"/>
              </w:rPr>
              <w:t>cde</w:t>
            </w:r>
          </w:p>
        </w:tc>
        <w:tc>
          <w:tcPr>
            <w:tcW w:w="1318" w:type="dxa"/>
            <w:noWrap/>
            <w:vAlign w:val="center"/>
          </w:tcPr>
          <w:p w14:paraId="545225E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220.34</w:t>
            </w:r>
            <w:r>
              <w:rPr>
                <w:rFonts w:ascii="Times New Roman" w:hAnsi="Times New Roman" w:cs="Times New Roman"/>
                <w:vertAlign w:val="superscript"/>
              </w:rPr>
              <w:t>d</w:t>
            </w:r>
          </w:p>
        </w:tc>
      </w:tr>
      <w:tr w:rsidR="00F15FD7" w14:paraId="7659B8DD"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tcPr>
          <w:p w14:paraId="0112306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117" w:type="dxa"/>
            <w:noWrap/>
            <w:vAlign w:val="center"/>
          </w:tcPr>
          <w:p w14:paraId="31D7A0A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0.64</w:t>
            </w:r>
            <w:r>
              <w:rPr>
                <w:rFonts w:ascii="Times New Roman" w:hAnsi="Times New Roman" w:cs="Times New Roman"/>
                <w:vertAlign w:val="superscript"/>
              </w:rPr>
              <w:t>de</w:t>
            </w:r>
          </w:p>
        </w:tc>
        <w:tc>
          <w:tcPr>
            <w:tcW w:w="1432" w:type="dxa"/>
            <w:noWrap/>
            <w:vAlign w:val="center"/>
          </w:tcPr>
          <w:p w14:paraId="383C151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15.64</w:t>
            </w:r>
            <w:r>
              <w:rPr>
                <w:rFonts w:ascii="Times New Roman" w:hAnsi="Times New Roman" w:cs="Times New Roman"/>
                <w:vertAlign w:val="superscript"/>
              </w:rPr>
              <w:t>cd</w:t>
            </w:r>
          </w:p>
        </w:tc>
        <w:tc>
          <w:tcPr>
            <w:tcW w:w="1461" w:type="dxa"/>
            <w:noWrap/>
            <w:vAlign w:val="center"/>
          </w:tcPr>
          <w:p w14:paraId="74011B0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r>
              <w:rPr>
                <w:rFonts w:ascii="Times New Roman" w:hAnsi="Times New Roman" w:cs="Times New Roman"/>
                <w:vertAlign w:val="superscript"/>
              </w:rPr>
              <w:t>c</w:t>
            </w:r>
          </w:p>
        </w:tc>
        <w:tc>
          <w:tcPr>
            <w:tcW w:w="1376" w:type="dxa"/>
            <w:noWrap/>
            <w:vAlign w:val="center"/>
          </w:tcPr>
          <w:p w14:paraId="6977E3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r>
              <w:rPr>
                <w:rFonts w:ascii="Times New Roman" w:hAnsi="Times New Roman" w:cs="Times New Roman"/>
                <w:vertAlign w:val="superscript"/>
              </w:rPr>
              <w:t>e</w:t>
            </w:r>
          </w:p>
        </w:tc>
        <w:tc>
          <w:tcPr>
            <w:tcW w:w="1303" w:type="dxa"/>
            <w:noWrap/>
            <w:vAlign w:val="center"/>
          </w:tcPr>
          <w:p w14:paraId="376218B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w:t>
            </w:r>
            <w:r>
              <w:rPr>
                <w:rFonts w:ascii="Times New Roman" w:hAnsi="Times New Roman" w:cs="Times New Roman"/>
                <w:vertAlign w:val="superscript"/>
              </w:rPr>
              <w:t>cd</w:t>
            </w:r>
          </w:p>
        </w:tc>
        <w:tc>
          <w:tcPr>
            <w:tcW w:w="1275" w:type="dxa"/>
            <w:noWrap/>
            <w:vAlign w:val="center"/>
          </w:tcPr>
          <w:p w14:paraId="495A81D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21.24</w:t>
            </w:r>
            <w:r>
              <w:rPr>
                <w:rFonts w:ascii="Times New Roman" w:hAnsi="Times New Roman" w:cs="Times New Roman"/>
                <w:vertAlign w:val="superscript"/>
              </w:rPr>
              <w:t>de</w:t>
            </w:r>
          </w:p>
        </w:tc>
        <w:tc>
          <w:tcPr>
            <w:tcW w:w="1318" w:type="dxa"/>
            <w:noWrap/>
            <w:vAlign w:val="center"/>
          </w:tcPr>
          <w:p w14:paraId="3034D84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224.19</w:t>
            </w:r>
            <w:r>
              <w:rPr>
                <w:rFonts w:ascii="Times New Roman" w:hAnsi="Times New Roman" w:cs="Times New Roman"/>
                <w:vertAlign w:val="superscript"/>
              </w:rPr>
              <w:t>d</w:t>
            </w:r>
          </w:p>
        </w:tc>
      </w:tr>
    </w:tbl>
    <w:p w14:paraId="6B15E268" w14:textId="77777777" w:rsidR="00F15FD7" w:rsidRDefault="00563E74">
      <w:pPr>
        <w:tabs>
          <w:tab w:val="left" w:pos="2880"/>
        </w:tabs>
        <w:spacing w:after="0" w:line="276" w:lineRule="auto"/>
        <w:ind w:right="-244"/>
        <w:rPr>
          <w:rFonts w:ascii="Times New Roman" w:hAnsi="Times New Roman" w:cs="Times New Roman"/>
          <w:i/>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419B8DD1" w14:textId="77777777" w:rsidR="00F15FD7" w:rsidRDefault="00F15FD7">
      <w:pPr>
        <w:tabs>
          <w:tab w:val="left" w:pos="2880"/>
        </w:tabs>
        <w:spacing w:after="0" w:line="276" w:lineRule="auto"/>
        <w:ind w:right="-244"/>
        <w:rPr>
          <w:rFonts w:ascii="Times New Roman" w:hAnsi="Times New Roman" w:cs="Times New Roman"/>
          <w:i/>
        </w:rPr>
      </w:pPr>
    </w:p>
    <w:p w14:paraId="079C6345" w14:textId="77777777" w:rsidR="00F15FD7" w:rsidRDefault="00F15FD7">
      <w:pPr>
        <w:tabs>
          <w:tab w:val="left" w:pos="2880"/>
        </w:tabs>
        <w:spacing w:after="0" w:line="276" w:lineRule="auto"/>
        <w:ind w:right="-244"/>
        <w:rPr>
          <w:rFonts w:ascii="Times New Roman" w:hAnsi="Times New Roman" w:cs="Times New Roman"/>
          <w:iCs/>
        </w:rPr>
      </w:pPr>
    </w:p>
    <w:p w14:paraId="15990777" w14:textId="77777777" w:rsidR="00F15FD7" w:rsidRDefault="00F15FD7">
      <w:pPr>
        <w:spacing w:line="276" w:lineRule="auto"/>
        <w:rPr>
          <w:rStyle w:val="Strong"/>
          <w:rFonts w:ascii="Times New Roman" w:hAnsi="Times New Roman" w:cs="Times New Roman"/>
        </w:rPr>
      </w:pPr>
    </w:p>
    <w:p w14:paraId="2AC018F4" w14:textId="77777777" w:rsidR="00F15FD7" w:rsidRDefault="00F15FD7">
      <w:pPr>
        <w:spacing w:line="276" w:lineRule="auto"/>
        <w:rPr>
          <w:rStyle w:val="Strong"/>
          <w:rFonts w:ascii="Times New Roman" w:hAnsi="Times New Roman" w:cs="Times New Roman"/>
        </w:rPr>
      </w:pPr>
    </w:p>
    <w:p w14:paraId="268A0F60" w14:textId="77777777" w:rsidR="00F15FD7" w:rsidRDefault="00F15FD7">
      <w:pPr>
        <w:spacing w:line="276" w:lineRule="auto"/>
        <w:rPr>
          <w:rStyle w:val="Strong"/>
          <w:rFonts w:ascii="Times New Roman" w:hAnsi="Times New Roman" w:cs="Times New Roman"/>
        </w:rPr>
        <w:sectPr w:rsidR="00F15FD7">
          <w:pgSz w:w="12240" w:h="15840"/>
          <w:pgMar w:top="1440" w:right="810" w:bottom="1440" w:left="900" w:header="720" w:footer="720" w:gutter="0"/>
          <w:cols w:space="720"/>
          <w:docGrid w:linePitch="360"/>
        </w:sectPr>
      </w:pPr>
    </w:p>
    <w:p w14:paraId="197C9B56" w14:textId="77777777" w:rsidR="00F15FD7" w:rsidRDefault="00563E74">
      <w:pPr>
        <w:spacing w:line="276" w:lineRule="auto"/>
        <w:rPr>
          <w:rFonts w:ascii="Times New Roman" w:hAnsi="Times New Roman" w:cs="Times New Roman"/>
        </w:rPr>
      </w:pPr>
      <w:r>
        <w:rPr>
          <w:rStyle w:val="Strong"/>
          <w:rFonts w:ascii="Times New Roman" w:hAnsi="Times New Roman" w:cs="Times New Roman"/>
        </w:rPr>
        <w:lastRenderedPageBreak/>
        <w:t>Table 7.</w:t>
      </w:r>
      <w:r>
        <w:rPr>
          <w:rFonts w:ascii="Times New Roman" w:hAnsi="Times New Roman" w:cs="Times New Roman"/>
        </w:rPr>
        <w:t xml:space="preserve"> </w:t>
      </w:r>
      <w:r>
        <w:rPr>
          <w:rStyle w:val="Emphasis"/>
          <w:rFonts w:ascii="Times New Roman" w:hAnsi="Times New Roman" w:cs="Times New Roman"/>
        </w:rPr>
        <w:t>Levels of stress metabolites (proline, total phenolics) and antioxidant enzyme activities (SOD, CAT, POD, and APX) in pepper (</w:t>
      </w:r>
      <w:r>
        <w:rPr>
          <w:rStyle w:val="Emphasis"/>
          <w:rFonts w:ascii="Times New Roman" w:hAnsi="Times New Roman" w:cs="Times New Roman"/>
          <w:b/>
        </w:rPr>
        <w:t xml:space="preserve">Capsicum </w:t>
      </w:r>
      <w:proofErr w:type="spellStart"/>
      <w:r>
        <w:rPr>
          <w:rStyle w:val="Emphasis"/>
          <w:rFonts w:ascii="Times New Roman" w:hAnsi="Times New Roman" w:cs="Times New Roman"/>
          <w:b/>
        </w:rPr>
        <w:t>chinense</w:t>
      </w:r>
      <w:proofErr w:type="spellEnd"/>
      <w:r>
        <w:rPr>
          <w:rFonts w:ascii="Times New Roman" w:hAnsi="Times New Roman" w:cs="Times New Roman"/>
          <w:b/>
        </w:rPr>
        <w:t>)</w:t>
      </w:r>
      <w:r>
        <w:rPr>
          <w:rStyle w:val="Emphasis"/>
          <w:rFonts w:ascii="Times New Roman" w:hAnsi="Times New Roman" w:cs="Times New Roman"/>
        </w:rPr>
        <w:t xml:space="preserve"> fruits subjected to biochar, Trichoderma inoculation, and varying watering regimes.</w:t>
      </w:r>
      <w:r>
        <w:rPr>
          <w:rFonts w:ascii="Times New Roman" w:hAnsi="Times New Roman" w:cs="Times New Roman"/>
        </w:rPr>
        <w:t xml:space="preserve"> </w:t>
      </w:r>
    </w:p>
    <w:tbl>
      <w:tblPr>
        <w:tblStyle w:val="LightShading2"/>
        <w:tblW w:w="13314" w:type="dxa"/>
        <w:tblLook w:val="04A0" w:firstRow="1" w:lastRow="0" w:firstColumn="1" w:lastColumn="0" w:noHBand="0" w:noVBand="1"/>
      </w:tblPr>
      <w:tblGrid>
        <w:gridCol w:w="1830"/>
        <w:gridCol w:w="1534"/>
        <w:gridCol w:w="1784"/>
        <w:gridCol w:w="2800"/>
        <w:gridCol w:w="1791"/>
        <w:gridCol w:w="1791"/>
        <w:gridCol w:w="1784"/>
      </w:tblGrid>
      <w:tr w:rsidR="00F15FD7" w14:paraId="122EF19D" w14:textId="77777777" w:rsidTr="00F15FD7">
        <w:trPr>
          <w:cnfStyle w:val="100000000000" w:firstRow="1" w:lastRow="0" w:firstColumn="0" w:lastColumn="0" w:oddVBand="0" w:evenVBand="0" w:oddHBand="0" w:evenHBand="0" w:firstRowFirstColumn="0" w:firstRowLastColumn="0" w:lastRowFirstColumn="0" w:lastRowLastColumn="0"/>
          <w:trHeight w:val="861"/>
        </w:trPr>
        <w:tc>
          <w:tcPr>
            <w:cnfStyle w:val="001000000000" w:firstRow="0" w:lastRow="0" w:firstColumn="1" w:lastColumn="0" w:oddVBand="0" w:evenVBand="0" w:oddHBand="0" w:evenHBand="0" w:firstRowFirstColumn="0" w:firstRowLastColumn="0" w:lastRowFirstColumn="0" w:lastRowLastColumn="0"/>
            <w:tcW w:w="1830" w:type="dxa"/>
          </w:tcPr>
          <w:p w14:paraId="5C5FF454" w14:textId="77777777" w:rsidR="00F15FD7" w:rsidRDefault="00563E74">
            <w:pPr>
              <w:spacing w:after="0" w:line="276" w:lineRule="auto"/>
              <w:rPr>
                <w:rFonts w:ascii="Times New Roman" w:eastAsia="Times New Roman" w:hAnsi="Times New Roman" w:cs="Times New Roman"/>
                <w:color w:val="auto"/>
              </w:rPr>
            </w:pPr>
            <w:r>
              <w:rPr>
                <w:rFonts w:ascii="Times New Roman" w:eastAsia="Times New Roman" w:hAnsi="Times New Roman" w:cs="Times New Roman"/>
                <w:color w:val="auto"/>
              </w:rPr>
              <w:t>Treatment</w:t>
            </w:r>
          </w:p>
        </w:tc>
        <w:tc>
          <w:tcPr>
            <w:tcW w:w="1534" w:type="dxa"/>
          </w:tcPr>
          <w:p w14:paraId="682D1C4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Pr>
                <w:rFonts w:ascii="Times New Roman" w:eastAsia="Times New Roman" w:hAnsi="Times New Roman" w:cs="Times New Roman"/>
                <w:color w:val="auto"/>
              </w:rPr>
              <w:t xml:space="preserve">Proline </w:t>
            </w:r>
          </w:p>
          <w:p w14:paraId="25A36B06"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(µmol g⁻¹ DW)</w:t>
            </w:r>
          </w:p>
        </w:tc>
        <w:tc>
          <w:tcPr>
            <w:tcW w:w="0" w:type="auto"/>
          </w:tcPr>
          <w:p w14:paraId="094D8FBD"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SOD (U mg⁻¹ protein)</w:t>
            </w:r>
          </w:p>
        </w:tc>
        <w:tc>
          <w:tcPr>
            <w:tcW w:w="0" w:type="auto"/>
          </w:tcPr>
          <w:p w14:paraId="7F8FEEDE"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Total phenolics (mg GAE / 100 g DW)</w:t>
            </w:r>
          </w:p>
        </w:tc>
        <w:tc>
          <w:tcPr>
            <w:tcW w:w="0" w:type="auto"/>
          </w:tcPr>
          <w:p w14:paraId="4FCBB71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CAT (U mg⁻¹ protein)</w:t>
            </w:r>
          </w:p>
        </w:tc>
        <w:tc>
          <w:tcPr>
            <w:tcW w:w="0" w:type="auto"/>
          </w:tcPr>
          <w:p w14:paraId="553C5568"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POD (U mg⁻¹ protein)</w:t>
            </w:r>
          </w:p>
        </w:tc>
        <w:tc>
          <w:tcPr>
            <w:tcW w:w="0" w:type="auto"/>
          </w:tcPr>
          <w:p w14:paraId="06A56561"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APX (U mg⁻¹ protein)</w:t>
            </w:r>
          </w:p>
        </w:tc>
      </w:tr>
      <w:tr w:rsidR="00F15FD7" w14:paraId="132B2DC9"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2DF7D06E"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 xml:space="preserve">Biochar </w:t>
            </w:r>
          </w:p>
        </w:tc>
        <w:tc>
          <w:tcPr>
            <w:tcW w:w="1534" w:type="dxa"/>
            <w:tcBorders>
              <w:right w:val="nil"/>
            </w:tcBorders>
          </w:tcPr>
          <w:p w14:paraId="1703CE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9.00</w:t>
            </w:r>
            <w:r>
              <w:rPr>
                <w:rFonts w:ascii="Times New Roman" w:eastAsia="Times New Roman" w:hAnsi="Times New Roman" w:cs="Times New Roman"/>
                <w:color w:val="auto"/>
                <w:vertAlign w:val="superscript"/>
              </w:rPr>
              <w:t>a</w:t>
            </w:r>
          </w:p>
        </w:tc>
        <w:tc>
          <w:tcPr>
            <w:tcW w:w="0" w:type="auto"/>
            <w:tcBorders>
              <w:right w:val="nil"/>
            </w:tcBorders>
          </w:tcPr>
          <w:p w14:paraId="082422B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70.00</w:t>
            </w:r>
            <w:r>
              <w:rPr>
                <w:rFonts w:ascii="Times New Roman" w:eastAsia="Times New Roman" w:hAnsi="Times New Roman" w:cs="Times New Roman"/>
                <w:color w:val="auto"/>
                <w:vertAlign w:val="superscript"/>
              </w:rPr>
              <w:t>a</w:t>
            </w:r>
          </w:p>
        </w:tc>
        <w:tc>
          <w:tcPr>
            <w:tcW w:w="0" w:type="auto"/>
            <w:tcBorders>
              <w:right w:val="nil"/>
            </w:tcBorders>
          </w:tcPr>
          <w:p w14:paraId="6D54C14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480.00</w:t>
            </w:r>
            <w:r>
              <w:rPr>
                <w:rFonts w:ascii="Times New Roman" w:eastAsia="Times New Roman" w:hAnsi="Times New Roman" w:cs="Times New Roman"/>
                <w:color w:val="auto"/>
                <w:vertAlign w:val="superscript"/>
              </w:rPr>
              <w:t>a</w:t>
            </w:r>
          </w:p>
        </w:tc>
        <w:tc>
          <w:tcPr>
            <w:tcW w:w="0" w:type="auto"/>
            <w:tcBorders>
              <w:right w:val="nil"/>
            </w:tcBorders>
          </w:tcPr>
          <w:p w14:paraId="6788028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22.00</w:t>
            </w:r>
            <w:r>
              <w:rPr>
                <w:rFonts w:ascii="Times New Roman" w:eastAsia="Times New Roman" w:hAnsi="Times New Roman" w:cs="Times New Roman"/>
                <w:color w:val="auto"/>
                <w:vertAlign w:val="superscript"/>
              </w:rPr>
              <w:t>a</w:t>
            </w:r>
          </w:p>
        </w:tc>
        <w:tc>
          <w:tcPr>
            <w:tcW w:w="0" w:type="auto"/>
            <w:tcBorders>
              <w:right w:val="nil"/>
            </w:tcBorders>
          </w:tcPr>
          <w:p w14:paraId="67D6F74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35.00</w:t>
            </w:r>
            <w:r>
              <w:rPr>
                <w:rFonts w:ascii="Times New Roman" w:eastAsia="Times New Roman" w:hAnsi="Times New Roman" w:cs="Times New Roman"/>
                <w:color w:val="auto"/>
                <w:vertAlign w:val="superscript"/>
              </w:rPr>
              <w:t>a</w:t>
            </w:r>
          </w:p>
        </w:tc>
        <w:tc>
          <w:tcPr>
            <w:tcW w:w="0" w:type="auto"/>
            <w:tcBorders>
              <w:right w:val="nil"/>
            </w:tcBorders>
          </w:tcPr>
          <w:p w14:paraId="3CDA062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26.00</w:t>
            </w:r>
            <w:r>
              <w:rPr>
                <w:rFonts w:ascii="Times New Roman" w:eastAsia="Times New Roman" w:hAnsi="Times New Roman" w:cs="Times New Roman"/>
                <w:color w:val="auto"/>
                <w:vertAlign w:val="superscript"/>
              </w:rPr>
              <w:t>a</w:t>
            </w:r>
          </w:p>
        </w:tc>
      </w:tr>
      <w:tr w:rsidR="00F15FD7" w14:paraId="58C75ACF"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30" w:type="dxa"/>
          </w:tcPr>
          <w:p w14:paraId="7A883828"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Trichoderma</w:t>
            </w:r>
          </w:p>
        </w:tc>
        <w:tc>
          <w:tcPr>
            <w:tcW w:w="1534" w:type="dxa"/>
          </w:tcPr>
          <w:p w14:paraId="56DF42F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w:t>
            </w:r>
            <w:r>
              <w:rPr>
                <w:rFonts w:ascii="Times New Roman" w:eastAsia="Times New Roman" w:hAnsi="Times New Roman" w:cs="Times New Roman"/>
                <w:color w:val="auto"/>
                <w:vertAlign w:val="superscript"/>
              </w:rPr>
              <w:t>a</w:t>
            </w:r>
          </w:p>
        </w:tc>
        <w:tc>
          <w:tcPr>
            <w:tcW w:w="0" w:type="auto"/>
          </w:tcPr>
          <w:p w14:paraId="4E185E2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75.00</w:t>
            </w:r>
            <w:r>
              <w:rPr>
                <w:rFonts w:ascii="Times New Roman" w:eastAsia="Times New Roman" w:hAnsi="Times New Roman" w:cs="Times New Roman"/>
                <w:color w:val="auto"/>
                <w:vertAlign w:val="superscript"/>
              </w:rPr>
              <w:t>a</w:t>
            </w:r>
          </w:p>
        </w:tc>
        <w:tc>
          <w:tcPr>
            <w:tcW w:w="0" w:type="auto"/>
          </w:tcPr>
          <w:p w14:paraId="17E21F3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520.00</w:t>
            </w:r>
            <w:r>
              <w:rPr>
                <w:rFonts w:ascii="Times New Roman" w:eastAsia="Times New Roman" w:hAnsi="Times New Roman" w:cs="Times New Roman"/>
                <w:color w:val="auto"/>
                <w:vertAlign w:val="superscript"/>
              </w:rPr>
              <w:t>b</w:t>
            </w:r>
          </w:p>
        </w:tc>
        <w:tc>
          <w:tcPr>
            <w:tcW w:w="0" w:type="auto"/>
          </w:tcPr>
          <w:p w14:paraId="58D481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23.00</w:t>
            </w:r>
            <w:r>
              <w:rPr>
                <w:rFonts w:ascii="Times New Roman" w:eastAsia="Times New Roman" w:hAnsi="Times New Roman" w:cs="Times New Roman"/>
                <w:color w:val="auto"/>
                <w:vertAlign w:val="superscript"/>
              </w:rPr>
              <w:t>a</w:t>
            </w:r>
          </w:p>
        </w:tc>
        <w:tc>
          <w:tcPr>
            <w:tcW w:w="0" w:type="auto"/>
          </w:tcPr>
          <w:p w14:paraId="6B7DF8F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38.00</w:t>
            </w:r>
            <w:r>
              <w:rPr>
                <w:rFonts w:ascii="Times New Roman" w:eastAsia="Times New Roman" w:hAnsi="Times New Roman" w:cs="Times New Roman"/>
                <w:color w:val="auto"/>
                <w:vertAlign w:val="superscript"/>
              </w:rPr>
              <w:t>a</w:t>
            </w:r>
          </w:p>
        </w:tc>
        <w:tc>
          <w:tcPr>
            <w:tcW w:w="0" w:type="auto"/>
          </w:tcPr>
          <w:p w14:paraId="5AC529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w:t>
            </w:r>
          </w:p>
        </w:tc>
      </w:tr>
      <w:tr w:rsidR="00F15FD7" w14:paraId="6E5D5C91"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72F39B27"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40% FC</w:t>
            </w:r>
          </w:p>
        </w:tc>
        <w:tc>
          <w:tcPr>
            <w:tcW w:w="1534" w:type="dxa"/>
            <w:tcBorders>
              <w:right w:val="nil"/>
            </w:tcBorders>
          </w:tcPr>
          <w:p w14:paraId="06940CD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w:t>
            </w:r>
            <w:r>
              <w:rPr>
                <w:rFonts w:ascii="Times New Roman" w:eastAsia="Times New Roman" w:hAnsi="Times New Roman" w:cs="Times New Roman"/>
                <w:color w:val="auto"/>
                <w:vertAlign w:val="superscript"/>
              </w:rPr>
              <w:t>g</w:t>
            </w:r>
          </w:p>
        </w:tc>
        <w:tc>
          <w:tcPr>
            <w:tcW w:w="0" w:type="auto"/>
            <w:tcBorders>
              <w:right w:val="nil"/>
            </w:tcBorders>
          </w:tcPr>
          <w:p w14:paraId="78BDA7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150.00</w:t>
            </w:r>
            <w:r>
              <w:rPr>
                <w:rFonts w:ascii="Times New Roman" w:eastAsia="Times New Roman" w:hAnsi="Times New Roman" w:cs="Times New Roman"/>
                <w:color w:val="auto"/>
                <w:vertAlign w:val="superscript"/>
              </w:rPr>
              <w:t>e</w:t>
            </w:r>
          </w:p>
        </w:tc>
        <w:tc>
          <w:tcPr>
            <w:tcW w:w="0" w:type="auto"/>
            <w:tcBorders>
              <w:right w:val="nil"/>
            </w:tcBorders>
          </w:tcPr>
          <w:p w14:paraId="1EBE0C0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820.00</w:t>
            </w:r>
            <w:r>
              <w:rPr>
                <w:rFonts w:ascii="Times New Roman" w:eastAsia="Times New Roman" w:hAnsi="Times New Roman" w:cs="Times New Roman"/>
                <w:color w:val="auto"/>
                <w:vertAlign w:val="superscript"/>
              </w:rPr>
              <w:t>d</w:t>
            </w:r>
          </w:p>
        </w:tc>
        <w:tc>
          <w:tcPr>
            <w:tcW w:w="0" w:type="auto"/>
            <w:tcBorders>
              <w:right w:val="nil"/>
            </w:tcBorders>
          </w:tcPr>
          <w:p w14:paraId="7BE0BA9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w:t>
            </w:r>
            <w:r>
              <w:rPr>
                <w:rFonts w:ascii="Times New Roman" w:eastAsia="Times New Roman" w:hAnsi="Times New Roman" w:cs="Times New Roman"/>
                <w:color w:val="auto"/>
                <w:vertAlign w:val="superscript"/>
              </w:rPr>
              <w:t>e</w:t>
            </w:r>
          </w:p>
        </w:tc>
        <w:tc>
          <w:tcPr>
            <w:tcW w:w="0" w:type="auto"/>
            <w:tcBorders>
              <w:right w:val="nil"/>
            </w:tcBorders>
          </w:tcPr>
          <w:p w14:paraId="77622BD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90.00</w:t>
            </w:r>
            <w:r>
              <w:rPr>
                <w:rFonts w:ascii="Times New Roman" w:eastAsia="Times New Roman" w:hAnsi="Times New Roman" w:cs="Times New Roman"/>
                <w:color w:val="auto"/>
                <w:vertAlign w:val="superscript"/>
              </w:rPr>
              <w:t>d</w:t>
            </w:r>
          </w:p>
        </w:tc>
        <w:tc>
          <w:tcPr>
            <w:tcW w:w="0" w:type="auto"/>
            <w:tcBorders>
              <w:right w:val="nil"/>
            </w:tcBorders>
          </w:tcPr>
          <w:p w14:paraId="0C387E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70.00</w:t>
            </w:r>
            <w:r>
              <w:rPr>
                <w:rFonts w:ascii="Times New Roman" w:eastAsia="Times New Roman" w:hAnsi="Times New Roman" w:cs="Times New Roman"/>
                <w:color w:val="auto"/>
                <w:vertAlign w:val="superscript"/>
              </w:rPr>
              <w:t>e</w:t>
            </w:r>
          </w:p>
        </w:tc>
      </w:tr>
      <w:tr w:rsidR="00F15FD7" w14:paraId="6E52F157"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Pr>
          <w:p w14:paraId="0EB50E3B"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60% FC</w:t>
            </w:r>
          </w:p>
        </w:tc>
        <w:tc>
          <w:tcPr>
            <w:tcW w:w="1534" w:type="dxa"/>
          </w:tcPr>
          <w:p w14:paraId="52EFA21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25.00</w:t>
            </w:r>
            <w:r>
              <w:rPr>
                <w:rFonts w:ascii="Times New Roman" w:eastAsia="Times New Roman" w:hAnsi="Times New Roman" w:cs="Times New Roman"/>
                <w:color w:val="auto"/>
                <w:vertAlign w:val="superscript"/>
              </w:rPr>
              <w:t>abc</w:t>
            </w:r>
          </w:p>
        </w:tc>
        <w:tc>
          <w:tcPr>
            <w:tcW w:w="0" w:type="auto"/>
          </w:tcPr>
          <w:p w14:paraId="4E2ADA3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110.00</w:t>
            </w:r>
            <w:r>
              <w:rPr>
                <w:rFonts w:ascii="Times New Roman" w:eastAsia="Times New Roman" w:hAnsi="Times New Roman" w:cs="Times New Roman"/>
                <w:color w:val="auto"/>
                <w:vertAlign w:val="superscript"/>
              </w:rPr>
              <w:t>c</w:t>
            </w:r>
          </w:p>
        </w:tc>
        <w:tc>
          <w:tcPr>
            <w:tcW w:w="0" w:type="auto"/>
          </w:tcPr>
          <w:p w14:paraId="5D03871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620.00</w:t>
            </w:r>
            <w:r>
              <w:rPr>
                <w:rFonts w:ascii="Times New Roman" w:eastAsia="Times New Roman" w:hAnsi="Times New Roman" w:cs="Times New Roman"/>
                <w:color w:val="auto"/>
                <w:vertAlign w:val="superscript"/>
              </w:rPr>
              <w:t>bc</w:t>
            </w:r>
          </w:p>
        </w:tc>
        <w:tc>
          <w:tcPr>
            <w:tcW w:w="0" w:type="auto"/>
          </w:tcPr>
          <w:p w14:paraId="6B616B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40.00</w:t>
            </w:r>
            <w:r>
              <w:rPr>
                <w:rFonts w:ascii="Times New Roman" w:eastAsia="Times New Roman" w:hAnsi="Times New Roman" w:cs="Times New Roman"/>
                <w:color w:val="auto"/>
                <w:vertAlign w:val="superscript"/>
              </w:rPr>
              <w:t>d</w:t>
            </w:r>
          </w:p>
        </w:tc>
        <w:tc>
          <w:tcPr>
            <w:tcW w:w="0" w:type="auto"/>
          </w:tcPr>
          <w:p w14:paraId="1361E1D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65.00</w:t>
            </w:r>
            <w:r>
              <w:rPr>
                <w:rFonts w:ascii="Times New Roman" w:eastAsia="Times New Roman" w:hAnsi="Times New Roman" w:cs="Times New Roman"/>
                <w:color w:val="auto"/>
                <w:vertAlign w:val="superscript"/>
              </w:rPr>
              <w:t>b</w:t>
            </w:r>
          </w:p>
        </w:tc>
        <w:tc>
          <w:tcPr>
            <w:tcW w:w="0" w:type="auto"/>
          </w:tcPr>
          <w:p w14:paraId="2D21374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cd</w:t>
            </w:r>
          </w:p>
        </w:tc>
      </w:tr>
      <w:tr w:rsidR="00F15FD7" w14:paraId="0EB9490B"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7F01802D"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100% FC</w:t>
            </w:r>
          </w:p>
        </w:tc>
        <w:tc>
          <w:tcPr>
            <w:tcW w:w="1534" w:type="dxa"/>
            <w:tcBorders>
              <w:right w:val="nil"/>
            </w:tcBorders>
          </w:tcPr>
          <w:p w14:paraId="779F3C0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10.00</w:t>
            </w:r>
            <w:r>
              <w:rPr>
                <w:rFonts w:ascii="Times New Roman" w:eastAsia="Times New Roman" w:hAnsi="Times New Roman" w:cs="Times New Roman"/>
                <w:color w:val="auto"/>
                <w:vertAlign w:val="superscript"/>
              </w:rPr>
              <w:t>a</w:t>
            </w:r>
          </w:p>
        </w:tc>
        <w:tc>
          <w:tcPr>
            <w:tcW w:w="0" w:type="auto"/>
            <w:tcBorders>
              <w:right w:val="nil"/>
            </w:tcBorders>
          </w:tcPr>
          <w:p w14:paraId="32CDBD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w:t>
            </w:r>
            <w:r>
              <w:rPr>
                <w:rFonts w:ascii="Times New Roman" w:eastAsia="Times New Roman" w:hAnsi="Times New Roman" w:cs="Times New Roman"/>
                <w:color w:val="auto"/>
                <w:vertAlign w:val="superscript"/>
              </w:rPr>
              <w:t>a</w:t>
            </w:r>
          </w:p>
        </w:tc>
        <w:tc>
          <w:tcPr>
            <w:tcW w:w="0" w:type="auto"/>
            <w:tcBorders>
              <w:right w:val="nil"/>
            </w:tcBorders>
          </w:tcPr>
          <w:p w14:paraId="19E6923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420.00</w:t>
            </w:r>
            <w:r>
              <w:rPr>
                <w:rFonts w:ascii="Times New Roman" w:eastAsia="Times New Roman" w:hAnsi="Times New Roman" w:cs="Times New Roman"/>
                <w:color w:val="auto"/>
                <w:vertAlign w:val="superscript"/>
              </w:rPr>
              <w:t>a</w:t>
            </w:r>
          </w:p>
        </w:tc>
        <w:tc>
          <w:tcPr>
            <w:tcW w:w="0" w:type="auto"/>
            <w:tcBorders>
              <w:right w:val="nil"/>
            </w:tcBorders>
          </w:tcPr>
          <w:p w14:paraId="3D853F3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20.00</w:t>
            </w:r>
            <w:r>
              <w:rPr>
                <w:rFonts w:ascii="Times New Roman" w:eastAsia="Times New Roman" w:hAnsi="Times New Roman" w:cs="Times New Roman"/>
                <w:color w:val="auto"/>
                <w:vertAlign w:val="superscript"/>
              </w:rPr>
              <w:t>a</w:t>
            </w:r>
          </w:p>
        </w:tc>
        <w:tc>
          <w:tcPr>
            <w:tcW w:w="0" w:type="auto"/>
            <w:tcBorders>
              <w:right w:val="nil"/>
            </w:tcBorders>
          </w:tcPr>
          <w:p w14:paraId="3BD73A5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30.00</w:t>
            </w:r>
            <w:r>
              <w:rPr>
                <w:rFonts w:ascii="Times New Roman" w:eastAsia="Times New Roman" w:hAnsi="Times New Roman" w:cs="Times New Roman"/>
                <w:color w:val="auto"/>
                <w:vertAlign w:val="superscript"/>
              </w:rPr>
              <w:t>a</w:t>
            </w:r>
          </w:p>
        </w:tc>
        <w:tc>
          <w:tcPr>
            <w:tcW w:w="0" w:type="auto"/>
            <w:tcBorders>
              <w:right w:val="nil"/>
            </w:tcBorders>
          </w:tcPr>
          <w:p w14:paraId="4AE6AE4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24.00</w:t>
            </w:r>
            <w:r>
              <w:rPr>
                <w:rFonts w:ascii="Times New Roman" w:eastAsia="Times New Roman" w:hAnsi="Times New Roman" w:cs="Times New Roman"/>
                <w:color w:val="auto"/>
                <w:vertAlign w:val="superscript"/>
              </w:rPr>
              <w:t>a</w:t>
            </w:r>
          </w:p>
        </w:tc>
      </w:tr>
      <w:tr w:rsidR="00F15FD7" w14:paraId="25129916"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Pr>
          <w:p w14:paraId="7533DDA5"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+ 40% FC</w:t>
            </w:r>
          </w:p>
        </w:tc>
        <w:tc>
          <w:tcPr>
            <w:tcW w:w="1534" w:type="dxa"/>
          </w:tcPr>
          <w:p w14:paraId="61CAFB0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cd</w:t>
            </w:r>
          </w:p>
        </w:tc>
        <w:tc>
          <w:tcPr>
            <w:tcW w:w="0" w:type="auto"/>
          </w:tcPr>
          <w:p w14:paraId="430E022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110.00</w:t>
            </w:r>
            <w:r>
              <w:rPr>
                <w:rFonts w:ascii="Times New Roman" w:eastAsia="Times New Roman" w:hAnsi="Times New Roman" w:cs="Times New Roman"/>
                <w:color w:val="auto"/>
                <w:vertAlign w:val="superscript"/>
              </w:rPr>
              <w:t>c</w:t>
            </w:r>
          </w:p>
        </w:tc>
        <w:tc>
          <w:tcPr>
            <w:tcW w:w="0" w:type="auto"/>
          </w:tcPr>
          <w:p w14:paraId="0B75899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780.00c</w:t>
            </w:r>
          </w:p>
        </w:tc>
        <w:tc>
          <w:tcPr>
            <w:tcW w:w="0" w:type="auto"/>
          </w:tcPr>
          <w:p w14:paraId="372CC75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d</w:t>
            </w:r>
          </w:p>
        </w:tc>
        <w:tc>
          <w:tcPr>
            <w:tcW w:w="0" w:type="auto"/>
          </w:tcPr>
          <w:p w14:paraId="4BE7374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80.00</w:t>
            </w:r>
            <w:r>
              <w:rPr>
                <w:rFonts w:ascii="Times New Roman" w:eastAsia="Times New Roman" w:hAnsi="Times New Roman" w:cs="Times New Roman"/>
                <w:color w:val="auto"/>
                <w:vertAlign w:val="superscript"/>
              </w:rPr>
              <w:t>d</w:t>
            </w:r>
          </w:p>
        </w:tc>
        <w:tc>
          <w:tcPr>
            <w:tcW w:w="0" w:type="auto"/>
          </w:tcPr>
          <w:p w14:paraId="003FA7B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52.00</w:t>
            </w:r>
            <w:r>
              <w:rPr>
                <w:rFonts w:ascii="Times New Roman" w:eastAsia="Times New Roman" w:hAnsi="Times New Roman" w:cs="Times New Roman"/>
                <w:color w:val="auto"/>
                <w:vertAlign w:val="superscript"/>
              </w:rPr>
              <w:t>c</w:t>
            </w:r>
          </w:p>
        </w:tc>
      </w:tr>
      <w:tr w:rsidR="00F15FD7" w14:paraId="1980ABFE"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5587A6E7"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+ 60% FC</w:t>
            </w:r>
          </w:p>
        </w:tc>
        <w:tc>
          <w:tcPr>
            <w:tcW w:w="1534" w:type="dxa"/>
            <w:tcBorders>
              <w:right w:val="nil"/>
            </w:tcBorders>
          </w:tcPr>
          <w:p w14:paraId="501ABFD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16.00</w:t>
            </w:r>
            <w:r>
              <w:rPr>
                <w:rFonts w:ascii="Times New Roman" w:eastAsia="Times New Roman" w:hAnsi="Times New Roman" w:cs="Times New Roman"/>
                <w:color w:val="auto"/>
                <w:vertAlign w:val="superscript"/>
              </w:rPr>
              <w:t>a</w:t>
            </w:r>
          </w:p>
        </w:tc>
        <w:tc>
          <w:tcPr>
            <w:tcW w:w="0" w:type="auto"/>
            <w:tcBorders>
              <w:right w:val="nil"/>
            </w:tcBorders>
          </w:tcPr>
          <w:p w14:paraId="2D3E5F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85.00</w:t>
            </w:r>
            <w:r>
              <w:rPr>
                <w:rFonts w:ascii="Times New Roman" w:eastAsia="Times New Roman" w:hAnsi="Times New Roman" w:cs="Times New Roman"/>
                <w:color w:val="auto"/>
                <w:vertAlign w:val="superscript"/>
              </w:rPr>
              <w:t>b</w:t>
            </w:r>
          </w:p>
        </w:tc>
        <w:tc>
          <w:tcPr>
            <w:tcW w:w="0" w:type="auto"/>
            <w:tcBorders>
              <w:right w:val="nil"/>
            </w:tcBorders>
          </w:tcPr>
          <w:p w14:paraId="4CDD5ED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580.00</w:t>
            </w:r>
            <w:r>
              <w:rPr>
                <w:rFonts w:ascii="Times New Roman" w:eastAsia="Times New Roman" w:hAnsi="Times New Roman" w:cs="Times New Roman"/>
                <w:color w:val="auto"/>
                <w:vertAlign w:val="superscript"/>
              </w:rPr>
              <w:t>b</w:t>
            </w:r>
          </w:p>
        </w:tc>
        <w:tc>
          <w:tcPr>
            <w:tcW w:w="0" w:type="auto"/>
            <w:tcBorders>
              <w:right w:val="nil"/>
            </w:tcBorders>
          </w:tcPr>
          <w:p w14:paraId="638BE8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30.00</w:t>
            </w:r>
            <w:r>
              <w:rPr>
                <w:rFonts w:ascii="Times New Roman" w:eastAsia="Times New Roman" w:hAnsi="Times New Roman" w:cs="Times New Roman"/>
                <w:color w:val="auto"/>
                <w:vertAlign w:val="superscript"/>
              </w:rPr>
              <w:t>ab</w:t>
            </w:r>
          </w:p>
        </w:tc>
        <w:tc>
          <w:tcPr>
            <w:tcW w:w="0" w:type="auto"/>
            <w:tcBorders>
              <w:right w:val="nil"/>
            </w:tcBorders>
          </w:tcPr>
          <w:p w14:paraId="095E59E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55.00</w:t>
            </w:r>
            <w:r>
              <w:rPr>
                <w:rFonts w:ascii="Times New Roman" w:eastAsia="Times New Roman" w:hAnsi="Times New Roman" w:cs="Times New Roman"/>
                <w:color w:val="auto"/>
                <w:vertAlign w:val="superscript"/>
              </w:rPr>
              <w:t>b</w:t>
            </w:r>
          </w:p>
        </w:tc>
        <w:tc>
          <w:tcPr>
            <w:tcW w:w="0" w:type="auto"/>
            <w:tcBorders>
              <w:right w:val="nil"/>
            </w:tcBorders>
          </w:tcPr>
          <w:p w14:paraId="03ACDC0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35.00</w:t>
            </w:r>
            <w:r>
              <w:rPr>
                <w:rFonts w:ascii="Times New Roman" w:eastAsia="Times New Roman" w:hAnsi="Times New Roman" w:cs="Times New Roman"/>
                <w:color w:val="auto"/>
                <w:vertAlign w:val="superscript"/>
              </w:rPr>
              <w:t>ab</w:t>
            </w:r>
          </w:p>
        </w:tc>
      </w:tr>
      <w:tr w:rsidR="00F15FD7" w14:paraId="1A81E864"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Pr>
          <w:p w14:paraId="7852E764"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+ 100% FC</w:t>
            </w:r>
          </w:p>
        </w:tc>
        <w:tc>
          <w:tcPr>
            <w:tcW w:w="1534" w:type="dxa"/>
          </w:tcPr>
          <w:p w14:paraId="1F83E96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w:t>
            </w:r>
            <w:r>
              <w:rPr>
                <w:rFonts w:ascii="Times New Roman" w:eastAsia="Times New Roman" w:hAnsi="Times New Roman" w:cs="Times New Roman"/>
                <w:color w:val="auto"/>
                <w:vertAlign w:val="superscript"/>
              </w:rPr>
              <w:t>a</w:t>
            </w:r>
          </w:p>
        </w:tc>
        <w:tc>
          <w:tcPr>
            <w:tcW w:w="0" w:type="auto"/>
          </w:tcPr>
          <w:p w14:paraId="229DFAD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68.00</w:t>
            </w:r>
            <w:r>
              <w:rPr>
                <w:rFonts w:ascii="Times New Roman" w:eastAsia="Times New Roman" w:hAnsi="Times New Roman" w:cs="Times New Roman"/>
                <w:color w:val="auto"/>
                <w:vertAlign w:val="superscript"/>
              </w:rPr>
              <w:t>a</w:t>
            </w:r>
          </w:p>
        </w:tc>
        <w:tc>
          <w:tcPr>
            <w:tcW w:w="0" w:type="auto"/>
          </w:tcPr>
          <w:p w14:paraId="21AD15E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500.00</w:t>
            </w:r>
            <w:r>
              <w:rPr>
                <w:rFonts w:ascii="Times New Roman" w:eastAsia="Times New Roman" w:hAnsi="Times New Roman" w:cs="Times New Roman"/>
                <w:color w:val="auto"/>
                <w:vertAlign w:val="superscript"/>
              </w:rPr>
              <w:t>b</w:t>
            </w:r>
          </w:p>
        </w:tc>
        <w:tc>
          <w:tcPr>
            <w:tcW w:w="0" w:type="auto"/>
          </w:tcPr>
          <w:p w14:paraId="082ED65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22.00</w:t>
            </w:r>
            <w:r>
              <w:rPr>
                <w:rFonts w:ascii="Times New Roman" w:eastAsia="Times New Roman" w:hAnsi="Times New Roman" w:cs="Times New Roman"/>
                <w:color w:val="auto"/>
                <w:vertAlign w:val="superscript"/>
              </w:rPr>
              <w:t>a</w:t>
            </w:r>
          </w:p>
        </w:tc>
        <w:tc>
          <w:tcPr>
            <w:tcW w:w="0" w:type="auto"/>
          </w:tcPr>
          <w:p w14:paraId="07E114F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36.00</w:t>
            </w:r>
            <w:r>
              <w:rPr>
                <w:rFonts w:ascii="Times New Roman" w:eastAsia="Times New Roman" w:hAnsi="Times New Roman" w:cs="Times New Roman"/>
                <w:color w:val="auto"/>
                <w:vertAlign w:val="superscript"/>
              </w:rPr>
              <w:t>a</w:t>
            </w:r>
          </w:p>
        </w:tc>
        <w:tc>
          <w:tcPr>
            <w:tcW w:w="0" w:type="auto"/>
          </w:tcPr>
          <w:p w14:paraId="60EDB69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27.00</w:t>
            </w:r>
            <w:r>
              <w:rPr>
                <w:rFonts w:ascii="Times New Roman" w:eastAsia="Times New Roman" w:hAnsi="Times New Roman" w:cs="Times New Roman"/>
                <w:color w:val="auto"/>
                <w:vertAlign w:val="superscript"/>
              </w:rPr>
              <w:t>a</w:t>
            </w:r>
          </w:p>
        </w:tc>
      </w:tr>
      <w:tr w:rsidR="00F15FD7" w14:paraId="047B4A61"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04BD06A5"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 + 40% FC</w:t>
            </w:r>
          </w:p>
        </w:tc>
        <w:tc>
          <w:tcPr>
            <w:tcW w:w="1534" w:type="dxa"/>
            <w:tcBorders>
              <w:right w:val="nil"/>
            </w:tcBorders>
          </w:tcPr>
          <w:p w14:paraId="62B491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38.00</w:t>
            </w:r>
            <w:r>
              <w:rPr>
                <w:rFonts w:ascii="Times New Roman" w:eastAsia="Times New Roman" w:hAnsi="Times New Roman" w:cs="Times New Roman"/>
                <w:color w:val="auto"/>
                <w:vertAlign w:val="superscript"/>
              </w:rPr>
              <w:t>c</w:t>
            </w:r>
          </w:p>
        </w:tc>
        <w:tc>
          <w:tcPr>
            <w:tcW w:w="0" w:type="auto"/>
            <w:tcBorders>
              <w:right w:val="nil"/>
            </w:tcBorders>
          </w:tcPr>
          <w:p w14:paraId="444E19F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105.00</w:t>
            </w:r>
            <w:r>
              <w:rPr>
                <w:rFonts w:ascii="Times New Roman" w:eastAsia="Times New Roman" w:hAnsi="Times New Roman" w:cs="Times New Roman"/>
                <w:color w:val="auto"/>
                <w:vertAlign w:val="superscript"/>
              </w:rPr>
              <w:t>c</w:t>
            </w:r>
          </w:p>
        </w:tc>
        <w:tc>
          <w:tcPr>
            <w:tcW w:w="0" w:type="auto"/>
            <w:tcBorders>
              <w:right w:val="nil"/>
            </w:tcBorders>
          </w:tcPr>
          <w:p w14:paraId="03470AC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800.00</w:t>
            </w:r>
            <w:r>
              <w:rPr>
                <w:rFonts w:ascii="Times New Roman" w:eastAsia="Times New Roman" w:hAnsi="Times New Roman" w:cs="Times New Roman"/>
                <w:color w:val="auto"/>
                <w:vertAlign w:val="superscript"/>
              </w:rPr>
              <w:t>d</w:t>
            </w:r>
          </w:p>
        </w:tc>
        <w:tc>
          <w:tcPr>
            <w:tcW w:w="0" w:type="auto"/>
            <w:tcBorders>
              <w:right w:val="nil"/>
            </w:tcBorders>
          </w:tcPr>
          <w:p w14:paraId="577512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44.00</w:t>
            </w:r>
            <w:r>
              <w:rPr>
                <w:rFonts w:ascii="Times New Roman" w:eastAsia="Times New Roman" w:hAnsi="Times New Roman" w:cs="Times New Roman"/>
                <w:color w:val="auto"/>
                <w:vertAlign w:val="superscript"/>
              </w:rPr>
              <w:t>d</w:t>
            </w:r>
          </w:p>
        </w:tc>
        <w:tc>
          <w:tcPr>
            <w:tcW w:w="0" w:type="auto"/>
            <w:tcBorders>
              <w:right w:val="nil"/>
            </w:tcBorders>
          </w:tcPr>
          <w:p w14:paraId="4164663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78.00</w:t>
            </w:r>
            <w:r>
              <w:rPr>
                <w:rFonts w:ascii="Times New Roman" w:eastAsia="Times New Roman" w:hAnsi="Times New Roman" w:cs="Times New Roman"/>
                <w:color w:val="auto"/>
                <w:vertAlign w:val="superscript"/>
              </w:rPr>
              <w:t>c</w:t>
            </w:r>
          </w:p>
        </w:tc>
        <w:tc>
          <w:tcPr>
            <w:tcW w:w="0" w:type="auto"/>
            <w:tcBorders>
              <w:right w:val="nil"/>
            </w:tcBorders>
          </w:tcPr>
          <w:p w14:paraId="43B150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50.00</w:t>
            </w:r>
            <w:r>
              <w:rPr>
                <w:rFonts w:ascii="Times New Roman" w:eastAsia="Times New Roman" w:hAnsi="Times New Roman" w:cs="Times New Roman"/>
                <w:color w:val="auto"/>
                <w:vertAlign w:val="superscript"/>
              </w:rPr>
              <w:t>c</w:t>
            </w:r>
          </w:p>
        </w:tc>
      </w:tr>
      <w:tr w:rsidR="00F15FD7" w14:paraId="4FD549B9"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Pr>
          <w:p w14:paraId="08E12563"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 + 60% FC</w:t>
            </w:r>
          </w:p>
        </w:tc>
        <w:tc>
          <w:tcPr>
            <w:tcW w:w="1534" w:type="dxa"/>
          </w:tcPr>
          <w:p w14:paraId="4063F8A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14.00</w:t>
            </w:r>
            <w:r>
              <w:rPr>
                <w:rFonts w:ascii="Times New Roman" w:eastAsia="Times New Roman" w:hAnsi="Times New Roman" w:cs="Times New Roman"/>
                <w:color w:val="auto"/>
                <w:vertAlign w:val="superscript"/>
              </w:rPr>
              <w:t>ab</w:t>
            </w:r>
          </w:p>
        </w:tc>
        <w:tc>
          <w:tcPr>
            <w:tcW w:w="0" w:type="auto"/>
          </w:tcPr>
          <w:p w14:paraId="564695D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82.00</w:t>
            </w:r>
            <w:r>
              <w:rPr>
                <w:rFonts w:ascii="Times New Roman" w:eastAsia="Times New Roman" w:hAnsi="Times New Roman" w:cs="Times New Roman"/>
                <w:color w:val="auto"/>
                <w:vertAlign w:val="superscript"/>
              </w:rPr>
              <w:t>ab</w:t>
            </w:r>
          </w:p>
        </w:tc>
        <w:tc>
          <w:tcPr>
            <w:tcW w:w="0" w:type="auto"/>
          </w:tcPr>
          <w:p w14:paraId="6CEEAF3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600.00</w:t>
            </w:r>
            <w:r>
              <w:rPr>
                <w:rFonts w:ascii="Times New Roman" w:eastAsia="Times New Roman" w:hAnsi="Times New Roman" w:cs="Times New Roman"/>
                <w:color w:val="auto"/>
                <w:vertAlign w:val="superscript"/>
              </w:rPr>
              <w:t>bc</w:t>
            </w:r>
          </w:p>
        </w:tc>
        <w:tc>
          <w:tcPr>
            <w:tcW w:w="0" w:type="auto"/>
          </w:tcPr>
          <w:p w14:paraId="1BC4E2F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ab</w:t>
            </w:r>
          </w:p>
        </w:tc>
        <w:tc>
          <w:tcPr>
            <w:tcW w:w="0" w:type="auto"/>
          </w:tcPr>
          <w:p w14:paraId="6B430B1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53.00</w:t>
            </w:r>
            <w:r>
              <w:rPr>
                <w:rFonts w:ascii="Times New Roman" w:eastAsia="Times New Roman" w:hAnsi="Times New Roman" w:cs="Times New Roman"/>
                <w:color w:val="auto"/>
                <w:vertAlign w:val="superscript"/>
              </w:rPr>
              <w:t>b</w:t>
            </w:r>
          </w:p>
        </w:tc>
        <w:tc>
          <w:tcPr>
            <w:tcW w:w="0" w:type="auto"/>
          </w:tcPr>
          <w:p w14:paraId="060D85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33.00</w:t>
            </w:r>
            <w:r>
              <w:rPr>
                <w:rFonts w:ascii="Times New Roman" w:eastAsia="Times New Roman" w:hAnsi="Times New Roman" w:cs="Times New Roman"/>
                <w:color w:val="auto"/>
                <w:vertAlign w:val="superscript"/>
              </w:rPr>
              <w:t>abc</w:t>
            </w:r>
          </w:p>
        </w:tc>
      </w:tr>
      <w:tr w:rsidR="00F15FD7" w14:paraId="27EACFCE"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447A2143"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 + 100% FC</w:t>
            </w:r>
          </w:p>
        </w:tc>
        <w:tc>
          <w:tcPr>
            <w:tcW w:w="1534" w:type="dxa"/>
            <w:tcBorders>
              <w:right w:val="nil"/>
            </w:tcBorders>
          </w:tcPr>
          <w:p w14:paraId="1C5AE62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w:t>
            </w:r>
            <w:r>
              <w:rPr>
                <w:rFonts w:ascii="Times New Roman" w:eastAsia="Times New Roman" w:hAnsi="Times New Roman" w:cs="Times New Roman"/>
                <w:color w:val="auto"/>
                <w:vertAlign w:val="superscript"/>
              </w:rPr>
              <w:t>a</w:t>
            </w:r>
          </w:p>
        </w:tc>
        <w:tc>
          <w:tcPr>
            <w:tcW w:w="0" w:type="auto"/>
            <w:tcBorders>
              <w:right w:val="nil"/>
            </w:tcBorders>
          </w:tcPr>
          <w:p w14:paraId="663B2AD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72.00</w:t>
            </w:r>
            <w:r>
              <w:rPr>
                <w:rFonts w:ascii="Times New Roman" w:eastAsia="Times New Roman" w:hAnsi="Times New Roman" w:cs="Times New Roman"/>
                <w:color w:val="auto"/>
                <w:vertAlign w:val="superscript"/>
              </w:rPr>
              <w:t>a</w:t>
            </w:r>
          </w:p>
        </w:tc>
        <w:tc>
          <w:tcPr>
            <w:tcW w:w="0" w:type="auto"/>
            <w:tcBorders>
              <w:right w:val="nil"/>
            </w:tcBorders>
          </w:tcPr>
          <w:p w14:paraId="06E79CC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540.00</w:t>
            </w:r>
            <w:r>
              <w:rPr>
                <w:rFonts w:ascii="Times New Roman" w:eastAsia="Times New Roman" w:hAnsi="Times New Roman" w:cs="Times New Roman"/>
                <w:color w:val="auto"/>
                <w:vertAlign w:val="superscript"/>
              </w:rPr>
              <w:t>b</w:t>
            </w:r>
          </w:p>
        </w:tc>
        <w:tc>
          <w:tcPr>
            <w:tcW w:w="0" w:type="auto"/>
            <w:tcBorders>
              <w:right w:val="nil"/>
            </w:tcBorders>
          </w:tcPr>
          <w:p w14:paraId="7E763E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23.00</w:t>
            </w:r>
            <w:r>
              <w:rPr>
                <w:rFonts w:ascii="Times New Roman" w:eastAsia="Times New Roman" w:hAnsi="Times New Roman" w:cs="Times New Roman"/>
                <w:color w:val="auto"/>
                <w:vertAlign w:val="superscript"/>
              </w:rPr>
              <w:t>a</w:t>
            </w:r>
          </w:p>
        </w:tc>
        <w:tc>
          <w:tcPr>
            <w:tcW w:w="0" w:type="auto"/>
            <w:tcBorders>
              <w:right w:val="nil"/>
            </w:tcBorders>
          </w:tcPr>
          <w:p w14:paraId="19572D9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39.00</w:t>
            </w:r>
            <w:r>
              <w:rPr>
                <w:rFonts w:ascii="Times New Roman" w:eastAsia="Times New Roman" w:hAnsi="Times New Roman" w:cs="Times New Roman"/>
                <w:color w:val="auto"/>
                <w:vertAlign w:val="superscript"/>
              </w:rPr>
              <w:t>a</w:t>
            </w:r>
          </w:p>
        </w:tc>
        <w:tc>
          <w:tcPr>
            <w:tcW w:w="0" w:type="auto"/>
            <w:tcBorders>
              <w:right w:val="nil"/>
            </w:tcBorders>
          </w:tcPr>
          <w:p w14:paraId="407D747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29.00</w:t>
            </w:r>
            <w:r>
              <w:rPr>
                <w:rFonts w:ascii="Times New Roman" w:eastAsia="Times New Roman" w:hAnsi="Times New Roman" w:cs="Times New Roman"/>
                <w:color w:val="auto"/>
                <w:vertAlign w:val="superscript"/>
              </w:rPr>
              <w:t>a</w:t>
            </w:r>
          </w:p>
        </w:tc>
      </w:tr>
      <w:tr w:rsidR="00F15FD7" w14:paraId="723DFCA2" w14:textId="77777777" w:rsidTr="00F15FD7">
        <w:trPr>
          <w:trHeight w:val="466"/>
        </w:trPr>
        <w:tc>
          <w:tcPr>
            <w:cnfStyle w:val="001000000000" w:firstRow="0" w:lastRow="0" w:firstColumn="1" w:lastColumn="0" w:oddVBand="0" w:evenVBand="0" w:oddHBand="0" w:evenHBand="0" w:firstRowFirstColumn="0" w:firstRowLastColumn="0" w:lastRowFirstColumn="0" w:lastRowLastColumn="0"/>
            <w:tcW w:w="1830" w:type="dxa"/>
          </w:tcPr>
          <w:p w14:paraId="7632D6FE"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T + 40% FC</w:t>
            </w:r>
          </w:p>
        </w:tc>
        <w:tc>
          <w:tcPr>
            <w:tcW w:w="1534" w:type="dxa"/>
          </w:tcPr>
          <w:p w14:paraId="176EC1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abc</w:t>
            </w:r>
          </w:p>
        </w:tc>
        <w:tc>
          <w:tcPr>
            <w:tcW w:w="0" w:type="auto"/>
          </w:tcPr>
          <w:p w14:paraId="0EF727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95.00</w:t>
            </w:r>
            <w:r>
              <w:rPr>
                <w:rFonts w:ascii="Times New Roman" w:eastAsia="Times New Roman" w:hAnsi="Times New Roman" w:cs="Times New Roman"/>
                <w:color w:val="auto"/>
                <w:vertAlign w:val="superscript"/>
              </w:rPr>
              <w:t>b</w:t>
            </w:r>
          </w:p>
        </w:tc>
        <w:tc>
          <w:tcPr>
            <w:tcW w:w="0" w:type="auto"/>
          </w:tcPr>
          <w:p w14:paraId="3AA145C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760.00</w:t>
            </w:r>
            <w:r>
              <w:rPr>
                <w:rFonts w:ascii="Times New Roman" w:eastAsia="Times New Roman" w:hAnsi="Times New Roman" w:cs="Times New Roman"/>
                <w:color w:val="auto"/>
                <w:vertAlign w:val="superscript"/>
              </w:rPr>
              <w:t>c</w:t>
            </w:r>
          </w:p>
        </w:tc>
        <w:tc>
          <w:tcPr>
            <w:tcW w:w="0" w:type="auto"/>
          </w:tcPr>
          <w:p w14:paraId="57FDF3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38.00</w:t>
            </w:r>
            <w:r>
              <w:rPr>
                <w:rFonts w:ascii="Times New Roman" w:eastAsia="Times New Roman" w:hAnsi="Times New Roman" w:cs="Times New Roman"/>
                <w:color w:val="auto"/>
                <w:vertAlign w:val="superscript"/>
              </w:rPr>
              <w:t>b</w:t>
            </w:r>
          </w:p>
        </w:tc>
        <w:tc>
          <w:tcPr>
            <w:tcW w:w="0" w:type="auto"/>
          </w:tcPr>
          <w:p w14:paraId="4481AE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72.00</w:t>
            </w:r>
            <w:r>
              <w:rPr>
                <w:rFonts w:ascii="Times New Roman" w:eastAsia="Times New Roman" w:hAnsi="Times New Roman" w:cs="Times New Roman"/>
                <w:color w:val="auto"/>
                <w:vertAlign w:val="superscript"/>
              </w:rPr>
              <w:t>c</w:t>
            </w:r>
          </w:p>
        </w:tc>
        <w:tc>
          <w:tcPr>
            <w:tcW w:w="0" w:type="auto"/>
          </w:tcPr>
          <w:p w14:paraId="3E0C204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cd</w:t>
            </w:r>
          </w:p>
        </w:tc>
      </w:tr>
      <w:tr w:rsidR="00F15FD7" w14:paraId="5F847D1B" w14:textId="77777777" w:rsidTr="00F15FD7">
        <w:trPr>
          <w:trHeight w:val="398"/>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4F11B455"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T + 60% FC</w:t>
            </w:r>
          </w:p>
        </w:tc>
        <w:tc>
          <w:tcPr>
            <w:tcW w:w="1534" w:type="dxa"/>
            <w:tcBorders>
              <w:right w:val="nil"/>
            </w:tcBorders>
          </w:tcPr>
          <w:p w14:paraId="754006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11.00</w:t>
            </w:r>
            <w:r>
              <w:rPr>
                <w:rFonts w:ascii="Times New Roman" w:eastAsia="Times New Roman" w:hAnsi="Times New Roman" w:cs="Times New Roman"/>
                <w:color w:val="auto"/>
                <w:vertAlign w:val="superscript"/>
              </w:rPr>
              <w:t>a</w:t>
            </w:r>
          </w:p>
        </w:tc>
        <w:tc>
          <w:tcPr>
            <w:tcW w:w="0" w:type="auto"/>
            <w:tcBorders>
              <w:right w:val="nil"/>
            </w:tcBorders>
          </w:tcPr>
          <w:p w14:paraId="3453E1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78.00</w:t>
            </w:r>
            <w:r>
              <w:rPr>
                <w:rFonts w:ascii="Times New Roman" w:eastAsia="Times New Roman" w:hAnsi="Times New Roman" w:cs="Times New Roman"/>
                <w:color w:val="auto"/>
                <w:vertAlign w:val="superscript"/>
              </w:rPr>
              <w:t>ab</w:t>
            </w:r>
          </w:p>
        </w:tc>
        <w:tc>
          <w:tcPr>
            <w:tcW w:w="0" w:type="auto"/>
            <w:tcBorders>
              <w:right w:val="nil"/>
            </w:tcBorders>
          </w:tcPr>
          <w:p w14:paraId="110141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570.00</w:t>
            </w:r>
            <w:r>
              <w:rPr>
                <w:rFonts w:ascii="Times New Roman" w:eastAsia="Times New Roman" w:hAnsi="Times New Roman" w:cs="Times New Roman"/>
                <w:color w:val="auto"/>
                <w:vertAlign w:val="superscript"/>
              </w:rPr>
              <w:t>b</w:t>
            </w:r>
          </w:p>
        </w:tc>
        <w:tc>
          <w:tcPr>
            <w:tcW w:w="0" w:type="auto"/>
            <w:tcBorders>
              <w:right w:val="nil"/>
            </w:tcBorders>
          </w:tcPr>
          <w:p w14:paraId="783FA2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26.00</w:t>
            </w:r>
            <w:r>
              <w:rPr>
                <w:rFonts w:ascii="Times New Roman" w:eastAsia="Times New Roman" w:hAnsi="Times New Roman" w:cs="Times New Roman"/>
                <w:color w:val="auto"/>
                <w:vertAlign w:val="superscript"/>
              </w:rPr>
              <w:t>a</w:t>
            </w:r>
          </w:p>
        </w:tc>
        <w:tc>
          <w:tcPr>
            <w:tcW w:w="0" w:type="auto"/>
            <w:tcBorders>
              <w:right w:val="nil"/>
            </w:tcBorders>
          </w:tcPr>
          <w:p w14:paraId="3C3850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50.00</w:t>
            </w:r>
            <w:r>
              <w:rPr>
                <w:rFonts w:ascii="Times New Roman" w:eastAsia="Times New Roman" w:hAnsi="Times New Roman" w:cs="Times New Roman"/>
                <w:color w:val="auto"/>
                <w:vertAlign w:val="superscript"/>
              </w:rPr>
              <w:t>b</w:t>
            </w:r>
          </w:p>
        </w:tc>
        <w:tc>
          <w:tcPr>
            <w:tcW w:w="0" w:type="auto"/>
            <w:tcBorders>
              <w:right w:val="nil"/>
            </w:tcBorders>
          </w:tcPr>
          <w:p w14:paraId="577C884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32.00</w:t>
            </w:r>
            <w:r>
              <w:rPr>
                <w:rFonts w:ascii="Times New Roman" w:eastAsia="Times New Roman" w:hAnsi="Times New Roman" w:cs="Times New Roman"/>
                <w:color w:val="auto"/>
                <w:vertAlign w:val="superscript"/>
              </w:rPr>
              <w:t>abc</w:t>
            </w:r>
          </w:p>
        </w:tc>
      </w:tr>
      <w:tr w:rsidR="00F15FD7" w14:paraId="6AE48D4B" w14:textId="77777777" w:rsidTr="00F15FD7">
        <w:trPr>
          <w:trHeight w:val="398"/>
        </w:trPr>
        <w:tc>
          <w:tcPr>
            <w:cnfStyle w:val="001000000000" w:firstRow="0" w:lastRow="0" w:firstColumn="1" w:lastColumn="0" w:oddVBand="0" w:evenVBand="0" w:oddHBand="0" w:evenHBand="0" w:firstRowFirstColumn="0" w:firstRowLastColumn="0" w:lastRowFirstColumn="0" w:lastRowLastColumn="0"/>
            <w:tcW w:w="1830" w:type="dxa"/>
          </w:tcPr>
          <w:p w14:paraId="78C05DEE"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T + 100% FC</w:t>
            </w:r>
          </w:p>
        </w:tc>
        <w:tc>
          <w:tcPr>
            <w:tcW w:w="1534" w:type="dxa"/>
          </w:tcPr>
          <w:p w14:paraId="06E06D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w:t>
            </w:r>
            <w:r>
              <w:rPr>
                <w:rFonts w:ascii="Times New Roman" w:eastAsia="Times New Roman" w:hAnsi="Times New Roman" w:cs="Times New Roman"/>
                <w:color w:val="auto"/>
                <w:vertAlign w:val="superscript"/>
              </w:rPr>
              <w:t>a</w:t>
            </w:r>
          </w:p>
        </w:tc>
        <w:tc>
          <w:tcPr>
            <w:tcW w:w="0" w:type="auto"/>
          </w:tcPr>
          <w:p w14:paraId="6AD93D0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70.00</w:t>
            </w:r>
            <w:r>
              <w:rPr>
                <w:rFonts w:ascii="Times New Roman" w:eastAsia="Times New Roman" w:hAnsi="Times New Roman" w:cs="Times New Roman"/>
                <w:color w:val="auto"/>
                <w:vertAlign w:val="superscript"/>
              </w:rPr>
              <w:t>a</w:t>
            </w:r>
          </w:p>
        </w:tc>
        <w:tc>
          <w:tcPr>
            <w:tcW w:w="0" w:type="auto"/>
          </w:tcPr>
          <w:p w14:paraId="2B081D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550.00</w:t>
            </w:r>
            <w:r>
              <w:rPr>
                <w:rFonts w:ascii="Times New Roman" w:eastAsia="Times New Roman" w:hAnsi="Times New Roman" w:cs="Times New Roman"/>
                <w:color w:val="auto"/>
                <w:vertAlign w:val="superscript"/>
              </w:rPr>
              <w:t>b</w:t>
            </w:r>
          </w:p>
        </w:tc>
        <w:tc>
          <w:tcPr>
            <w:tcW w:w="0" w:type="auto"/>
          </w:tcPr>
          <w:p w14:paraId="7171C16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22.00</w:t>
            </w:r>
            <w:r>
              <w:rPr>
                <w:rFonts w:ascii="Times New Roman" w:eastAsia="Times New Roman" w:hAnsi="Times New Roman" w:cs="Times New Roman"/>
                <w:color w:val="auto"/>
                <w:vertAlign w:val="superscript"/>
              </w:rPr>
              <w:t>a</w:t>
            </w:r>
          </w:p>
        </w:tc>
        <w:tc>
          <w:tcPr>
            <w:tcW w:w="0" w:type="auto"/>
          </w:tcPr>
          <w:p w14:paraId="34165DB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37.00</w:t>
            </w:r>
            <w:r>
              <w:rPr>
                <w:rFonts w:ascii="Times New Roman" w:eastAsia="Times New Roman" w:hAnsi="Times New Roman" w:cs="Times New Roman"/>
                <w:color w:val="auto"/>
                <w:vertAlign w:val="superscript"/>
              </w:rPr>
              <w:t>a</w:t>
            </w:r>
          </w:p>
        </w:tc>
        <w:tc>
          <w:tcPr>
            <w:tcW w:w="0" w:type="auto"/>
          </w:tcPr>
          <w:p w14:paraId="591738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w:t>
            </w:r>
          </w:p>
        </w:tc>
      </w:tr>
    </w:tbl>
    <w:p w14:paraId="5D0D6C68"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rPr>
        <w:t xml:space="preserve">; </w:t>
      </w:r>
      <w:r>
        <w:rPr>
          <w:rFonts w:ascii="Times New Roman" w:eastAsia="Times New Roman" w:hAnsi="Times New Roman" w:cs="Times New Roman"/>
        </w:rPr>
        <w:t>SOD = superoxide dismutase; CAT = catalase; POD = peroxidase; APX = ascorbate peroxidase</w:t>
      </w:r>
    </w:p>
    <w:p w14:paraId="6704BCDA" w14:textId="77777777" w:rsidR="00F15FD7" w:rsidRDefault="00F15FD7">
      <w:pPr>
        <w:spacing w:line="276" w:lineRule="auto"/>
        <w:rPr>
          <w:rFonts w:ascii="Times New Roman" w:eastAsiaTheme="majorEastAsia" w:hAnsi="Times New Roman" w:cs="Times New Roman"/>
          <w:b/>
        </w:rPr>
      </w:pPr>
    </w:p>
    <w:p w14:paraId="3BCDE6B0" w14:textId="77777777" w:rsidR="00F15FD7" w:rsidRDefault="00F15FD7">
      <w:pPr>
        <w:tabs>
          <w:tab w:val="left" w:pos="2880"/>
        </w:tabs>
        <w:spacing w:after="0" w:line="276" w:lineRule="auto"/>
        <w:ind w:right="-244"/>
        <w:rPr>
          <w:rFonts w:ascii="Times New Roman" w:hAnsi="Times New Roman" w:cs="Times New Roman"/>
          <w:i/>
        </w:rPr>
      </w:pPr>
    </w:p>
    <w:p w14:paraId="6517D290" w14:textId="77777777" w:rsidR="00F15FD7" w:rsidRDefault="00F15FD7">
      <w:pPr>
        <w:spacing w:line="276" w:lineRule="auto"/>
        <w:rPr>
          <w:rFonts w:ascii="Times New Roman" w:hAnsi="Times New Roman" w:cs="Times New Roman"/>
          <w:b/>
        </w:rPr>
      </w:pPr>
    </w:p>
    <w:p w14:paraId="5DF5DC57" w14:textId="77777777" w:rsidR="00F15FD7" w:rsidRDefault="00F15FD7">
      <w:pPr>
        <w:spacing w:line="276" w:lineRule="auto"/>
        <w:rPr>
          <w:rFonts w:ascii="Times New Roman" w:hAnsi="Times New Roman" w:cs="Times New Roman"/>
        </w:rPr>
        <w:sectPr w:rsidR="00F15FD7">
          <w:pgSz w:w="15840" w:h="12240" w:orient="landscape"/>
          <w:pgMar w:top="900" w:right="1440" w:bottom="810" w:left="1440" w:header="720" w:footer="720" w:gutter="0"/>
          <w:cols w:space="720"/>
          <w:docGrid w:linePitch="360"/>
        </w:sectPr>
      </w:pPr>
    </w:p>
    <w:p w14:paraId="3C12E360" w14:textId="77777777" w:rsidR="00F15FD7" w:rsidRDefault="00F15FD7">
      <w:pPr>
        <w:spacing w:line="276" w:lineRule="auto"/>
        <w:rPr>
          <w:rFonts w:ascii="Times New Roman" w:hAnsi="Times New Roman" w:cs="Times New Roman"/>
          <w:b/>
          <w:bCs/>
        </w:rPr>
      </w:pPr>
    </w:p>
    <w:p w14:paraId="52B73D00" w14:textId="77777777" w:rsidR="00907705" w:rsidRPr="00EB3964" w:rsidRDefault="00907705" w:rsidP="00907705">
      <w:pPr>
        <w:spacing w:line="278" w:lineRule="auto"/>
        <w:rPr>
          <w:rFonts w:ascii="Times New Roman" w:hAnsi="Times New Roman" w:cs="Times New Roman"/>
          <w:b/>
          <w:bCs/>
          <w:highlight w:val="yellow"/>
        </w:rPr>
      </w:pPr>
      <w:r w:rsidRPr="00EB3964">
        <w:rPr>
          <w:rFonts w:ascii="Times New Roman" w:hAnsi="Times New Roman" w:cs="Times New Roman"/>
          <w:b/>
          <w:bCs/>
          <w:highlight w:val="yellow"/>
        </w:rPr>
        <w:t>Table 8a: Watering regime and biochar effects on the physical properties of experimental soil</w:t>
      </w:r>
    </w:p>
    <w:tbl>
      <w:tblPr>
        <w:tblStyle w:val="ListTable6Colorful"/>
        <w:tblW w:w="9715" w:type="dxa"/>
        <w:tblLook w:val="04A0" w:firstRow="1" w:lastRow="0" w:firstColumn="1" w:lastColumn="0" w:noHBand="0" w:noVBand="1"/>
      </w:tblPr>
      <w:tblGrid>
        <w:gridCol w:w="2245"/>
        <w:gridCol w:w="1822"/>
        <w:gridCol w:w="1453"/>
        <w:gridCol w:w="2215"/>
        <w:gridCol w:w="1980"/>
      </w:tblGrid>
      <w:tr w:rsidR="00907705" w:rsidRPr="00EB3964" w14:paraId="2218F370" w14:textId="77777777" w:rsidTr="00907705">
        <w:trPr>
          <w:cnfStyle w:val="100000000000" w:firstRow="1" w:lastRow="0" w:firstColumn="0" w:lastColumn="0" w:oddVBand="0" w:evenVBand="0" w:oddHBand="0"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2245" w:type="dxa"/>
            <w:hideMark/>
          </w:tcPr>
          <w:p w14:paraId="5AAC15A5"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TREATMENTS</w:t>
            </w:r>
          </w:p>
        </w:tc>
        <w:tc>
          <w:tcPr>
            <w:tcW w:w="1822" w:type="dxa"/>
            <w:hideMark/>
          </w:tcPr>
          <w:p w14:paraId="16C74352" w14:textId="77777777" w:rsidR="00907705" w:rsidRPr="00EB3964" w:rsidRDefault="0090770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Bulk density (g cm⁻³)</w:t>
            </w:r>
          </w:p>
        </w:tc>
        <w:tc>
          <w:tcPr>
            <w:tcW w:w="0" w:type="auto"/>
            <w:hideMark/>
          </w:tcPr>
          <w:p w14:paraId="756E553C" w14:textId="77777777" w:rsidR="00907705" w:rsidRPr="00EB3964" w:rsidRDefault="0090770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Porosity (%)</w:t>
            </w:r>
          </w:p>
        </w:tc>
        <w:tc>
          <w:tcPr>
            <w:tcW w:w="2215" w:type="dxa"/>
            <w:hideMark/>
          </w:tcPr>
          <w:p w14:paraId="24C8E4B2" w14:textId="77777777" w:rsidR="00907705" w:rsidRPr="00EB3964" w:rsidRDefault="0090770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Water holding capacity (%)</w:t>
            </w:r>
          </w:p>
        </w:tc>
        <w:tc>
          <w:tcPr>
            <w:tcW w:w="1980" w:type="dxa"/>
            <w:hideMark/>
          </w:tcPr>
          <w:p w14:paraId="49FA4AEB" w14:textId="77777777" w:rsidR="00907705" w:rsidRPr="00EB3964" w:rsidRDefault="0090770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Moisture contents (%)</w:t>
            </w:r>
          </w:p>
        </w:tc>
      </w:tr>
      <w:tr w:rsidR="00907705" w:rsidRPr="00EB3964" w14:paraId="1A2AE8FC" w14:textId="77777777" w:rsidTr="00907705">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hideMark/>
          </w:tcPr>
          <w:p w14:paraId="323FCFE7"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Biochar</w:t>
            </w:r>
          </w:p>
        </w:tc>
        <w:tc>
          <w:tcPr>
            <w:tcW w:w="1822" w:type="dxa"/>
            <w:shd w:val="clear" w:color="auto" w:fill="auto"/>
            <w:hideMark/>
          </w:tcPr>
          <w:p w14:paraId="55179DF1"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1.08</w:t>
            </w:r>
            <w:r w:rsidRPr="00EB3964">
              <w:rPr>
                <w:rFonts w:ascii="Times New Roman" w:hAnsi="Times New Roman" w:cs="Times New Roman"/>
                <w:highlight w:val="yellow"/>
                <w:vertAlign w:val="superscript"/>
              </w:rPr>
              <w:t>c</w:t>
            </w:r>
          </w:p>
        </w:tc>
        <w:tc>
          <w:tcPr>
            <w:tcW w:w="0" w:type="auto"/>
            <w:shd w:val="clear" w:color="auto" w:fill="auto"/>
            <w:hideMark/>
          </w:tcPr>
          <w:p w14:paraId="06131C44"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36.20</w:t>
            </w:r>
            <w:r w:rsidRPr="00EB3964">
              <w:rPr>
                <w:rFonts w:ascii="Times New Roman" w:hAnsi="Times New Roman" w:cs="Times New Roman"/>
                <w:highlight w:val="yellow"/>
                <w:vertAlign w:val="superscript"/>
              </w:rPr>
              <w:t>a</w:t>
            </w:r>
          </w:p>
        </w:tc>
        <w:tc>
          <w:tcPr>
            <w:tcW w:w="2215" w:type="dxa"/>
            <w:shd w:val="clear" w:color="auto" w:fill="auto"/>
            <w:hideMark/>
          </w:tcPr>
          <w:p w14:paraId="26301DE5"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32.10</w:t>
            </w:r>
            <w:r w:rsidRPr="00EB3964">
              <w:rPr>
                <w:rFonts w:ascii="Times New Roman" w:hAnsi="Times New Roman" w:cs="Times New Roman"/>
                <w:highlight w:val="yellow"/>
                <w:vertAlign w:val="superscript"/>
              </w:rPr>
              <w:t>a</w:t>
            </w:r>
          </w:p>
        </w:tc>
        <w:tc>
          <w:tcPr>
            <w:tcW w:w="1980" w:type="dxa"/>
            <w:shd w:val="clear" w:color="auto" w:fill="auto"/>
            <w:hideMark/>
          </w:tcPr>
          <w:p w14:paraId="1EF78EB8"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9.85</w:t>
            </w:r>
            <w:r w:rsidRPr="00EB3964">
              <w:rPr>
                <w:rFonts w:ascii="Times New Roman" w:hAnsi="Times New Roman" w:cs="Times New Roman"/>
                <w:highlight w:val="yellow"/>
                <w:vertAlign w:val="superscript"/>
              </w:rPr>
              <w:t>a</w:t>
            </w:r>
          </w:p>
        </w:tc>
      </w:tr>
      <w:tr w:rsidR="00907705" w:rsidRPr="00EB3964" w14:paraId="22F06695" w14:textId="77777777" w:rsidTr="00907705">
        <w:trPr>
          <w:trHeight w:val="484"/>
        </w:trPr>
        <w:tc>
          <w:tcPr>
            <w:cnfStyle w:val="001000000000" w:firstRow="0" w:lastRow="0" w:firstColumn="1" w:lastColumn="0" w:oddVBand="0" w:evenVBand="0" w:oddHBand="0" w:evenHBand="0" w:firstRowFirstColumn="0" w:firstRowLastColumn="0" w:lastRowFirstColumn="0" w:lastRowLastColumn="0"/>
            <w:tcW w:w="2245" w:type="dxa"/>
            <w:hideMark/>
          </w:tcPr>
          <w:p w14:paraId="7B38D19A"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Trichoderma</w:t>
            </w:r>
          </w:p>
        </w:tc>
        <w:tc>
          <w:tcPr>
            <w:tcW w:w="1822" w:type="dxa"/>
            <w:hideMark/>
          </w:tcPr>
          <w:p w14:paraId="4DCDFAC7"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1.12</w:t>
            </w:r>
            <w:r w:rsidRPr="00EB3964">
              <w:rPr>
                <w:rFonts w:ascii="Times New Roman" w:hAnsi="Times New Roman" w:cs="Times New Roman"/>
                <w:highlight w:val="yellow"/>
                <w:vertAlign w:val="superscript"/>
              </w:rPr>
              <w:t>bc</w:t>
            </w:r>
          </w:p>
        </w:tc>
        <w:tc>
          <w:tcPr>
            <w:tcW w:w="0" w:type="auto"/>
            <w:hideMark/>
          </w:tcPr>
          <w:p w14:paraId="721A8B9E"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34.10</w:t>
            </w:r>
            <w:r w:rsidRPr="00EB3964">
              <w:rPr>
                <w:rFonts w:ascii="Times New Roman" w:hAnsi="Times New Roman" w:cs="Times New Roman"/>
                <w:highlight w:val="yellow"/>
                <w:vertAlign w:val="superscript"/>
              </w:rPr>
              <w:t>ab</w:t>
            </w:r>
          </w:p>
        </w:tc>
        <w:tc>
          <w:tcPr>
            <w:tcW w:w="2215" w:type="dxa"/>
            <w:hideMark/>
          </w:tcPr>
          <w:p w14:paraId="7F6B18BE"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29.85</w:t>
            </w:r>
            <w:r w:rsidRPr="00EB3964">
              <w:rPr>
                <w:rFonts w:ascii="Times New Roman" w:hAnsi="Times New Roman" w:cs="Times New Roman"/>
                <w:highlight w:val="yellow"/>
                <w:vertAlign w:val="superscript"/>
              </w:rPr>
              <w:t>ab</w:t>
            </w:r>
          </w:p>
        </w:tc>
        <w:tc>
          <w:tcPr>
            <w:tcW w:w="1980" w:type="dxa"/>
            <w:hideMark/>
          </w:tcPr>
          <w:p w14:paraId="4AA1240A"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9.40</w:t>
            </w:r>
            <w:r w:rsidRPr="00EB3964">
              <w:rPr>
                <w:rFonts w:ascii="Times New Roman" w:hAnsi="Times New Roman" w:cs="Times New Roman"/>
                <w:highlight w:val="yellow"/>
                <w:vertAlign w:val="superscript"/>
              </w:rPr>
              <w:t>a</w:t>
            </w:r>
          </w:p>
        </w:tc>
      </w:tr>
      <w:tr w:rsidR="00907705" w:rsidRPr="00EB3964" w14:paraId="01F44B0F" w14:textId="77777777" w:rsidTr="00907705">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hideMark/>
          </w:tcPr>
          <w:p w14:paraId="7B9C1886"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40% FC</w:t>
            </w:r>
          </w:p>
        </w:tc>
        <w:tc>
          <w:tcPr>
            <w:tcW w:w="1822" w:type="dxa"/>
            <w:shd w:val="clear" w:color="auto" w:fill="auto"/>
            <w:hideMark/>
          </w:tcPr>
          <w:p w14:paraId="2E65C7F0"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1.28</w:t>
            </w:r>
            <w:r w:rsidRPr="00EB3964">
              <w:rPr>
                <w:rFonts w:ascii="Times New Roman" w:hAnsi="Times New Roman" w:cs="Times New Roman"/>
                <w:highlight w:val="yellow"/>
                <w:vertAlign w:val="superscript"/>
              </w:rPr>
              <w:t>ab</w:t>
            </w:r>
          </w:p>
        </w:tc>
        <w:tc>
          <w:tcPr>
            <w:tcW w:w="0" w:type="auto"/>
            <w:shd w:val="clear" w:color="auto" w:fill="auto"/>
            <w:hideMark/>
          </w:tcPr>
          <w:p w14:paraId="11B41463"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31.50</w:t>
            </w:r>
            <w:r w:rsidRPr="00EB3964">
              <w:rPr>
                <w:rFonts w:ascii="Times New Roman" w:hAnsi="Times New Roman" w:cs="Times New Roman"/>
                <w:highlight w:val="yellow"/>
                <w:vertAlign w:val="superscript"/>
              </w:rPr>
              <w:t>bc</w:t>
            </w:r>
          </w:p>
        </w:tc>
        <w:tc>
          <w:tcPr>
            <w:tcW w:w="2215" w:type="dxa"/>
            <w:shd w:val="clear" w:color="auto" w:fill="auto"/>
            <w:hideMark/>
          </w:tcPr>
          <w:p w14:paraId="447ED768"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26.40</w:t>
            </w:r>
            <w:r w:rsidRPr="00EB3964">
              <w:rPr>
                <w:rFonts w:ascii="Times New Roman" w:hAnsi="Times New Roman" w:cs="Times New Roman"/>
                <w:highlight w:val="yellow"/>
                <w:vertAlign w:val="superscript"/>
              </w:rPr>
              <w:t>c</w:t>
            </w:r>
          </w:p>
        </w:tc>
        <w:tc>
          <w:tcPr>
            <w:tcW w:w="1980" w:type="dxa"/>
            <w:shd w:val="clear" w:color="auto" w:fill="auto"/>
            <w:hideMark/>
          </w:tcPr>
          <w:p w14:paraId="511A8886"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6.30</w:t>
            </w:r>
            <w:r w:rsidRPr="00EB3964">
              <w:rPr>
                <w:rFonts w:ascii="Times New Roman" w:hAnsi="Times New Roman" w:cs="Times New Roman"/>
                <w:highlight w:val="yellow"/>
                <w:vertAlign w:val="superscript"/>
              </w:rPr>
              <w:t>c</w:t>
            </w:r>
          </w:p>
        </w:tc>
      </w:tr>
      <w:tr w:rsidR="00907705" w:rsidRPr="00EB3964" w14:paraId="38E9AE11" w14:textId="77777777" w:rsidTr="00907705">
        <w:trPr>
          <w:trHeight w:val="500"/>
        </w:trPr>
        <w:tc>
          <w:tcPr>
            <w:cnfStyle w:val="001000000000" w:firstRow="0" w:lastRow="0" w:firstColumn="1" w:lastColumn="0" w:oddVBand="0" w:evenVBand="0" w:oddHBand="0" w:evenHBand="0" w:firstRowFirstColumn="0" w:firstRowLastColumn="0" w:lastRowFirstColumn="0" w:lastRowLastColumn="0"/>
            <w:tcW w:w="2245" w:type="dxa"/>
            <w:hideMark/>
          </w:tcPr>
          <w:p w14:paraId="13F031C7"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60% FC</w:t>
            </w:r>
          </w:p>
        </w:tc>
        <w:tc>
          <w:tcPr>
            <w:tcW w:w="1822" w:type="dxa"/>
            <w:hideMark/>
          </w:tcPr>
          <w:p w14:paraId="00B26309"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1.22</w:t>
            </w:r>
            <w:r w:rsidRPr="00EB3964">
              <w:rPr>
                <w:rFonts w:ascii="Times New Roman" w:hAnsi="Times New Roman" w:cs="Times New Roman"/>
                <w:highlight w:val="yellow"/>
                <w:vertAlign w:val="superscript"/>
              </w:rPr>
              <w:t>abc</w:t>
            </w:r>
          </w:p>
        </w:tc>
        <w:tc>
          <w:tcPr>
            <w:tcW w:w="0" w:type="auto"/>
            <w:hideMark/>
          </w:tcPr>
          <w:p w14:paraId="568DFC2D"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32.80</w:t>
            </w:r>
            <w:r w:rsidRPr="00EB3964">
              <w:rPr>
                <w:rFonts w:ascii="Times New Roman" w:hAnsi="Times New Roman" w:cs="Times New Roman"/>
                <w:highlight w:val="yellow"/>
                <w:vertAlign w:val="superscript"/>
              </w:rPr>
              <w:t>bc</w:t>
            </w:r>
          </w:p>
        </w:tc>
        <w:tc>
          <w:tcPr>
            <w:tcW w:w="2215" w:type="dxa"/>
            <w:hideMark/>
          </w:tcPr>
          <w:p w14:paraId="20103520"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28.75</w:t>
            </w:r>
            <w:r w:rsidRPr="00EB3964">
              <w:rPr>
                <w:rFonts w:ascii="Times New Roman" w:hAnsi="Times New Roman" w:cs="Times New Roman"/>
                <w:highlight w:val="yellow"/>
                <w:vertAlign w:val="superscript"/>
              </w:rPr>
              <w:t>bc</w:t>
            </w:r>
          </w:p>
        </w:tc>
        <w:tc>
          <w:tcPr>
            <w:tcW w:w="1980" w:type="dxa"/>
            <w:hideMark/>
          </w:tcPr>
          <w:p w14:paraId="28D2C559"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7.10</w:t>
            </w:r>
            <w:r w:rsidRPr="00EB3964">
              <w:rPr>
                <w:rFonts w:ascii="Times New Roman" w:hAnsi="Times New Roman" w:cs="Times New Roman"/>
                <w:highlight w:val="yellow"/>
                <w:vertAlign w:val="superscript"/>
              </w:rPr>
              <w:t>bc</w:t>
            </w:r>
          </w:p>
        </w:tc>
      </w:tr>
      <w:tr w:rsidR="00907705" w:rsidRPr="00EB3964" w14:paraId="0063DE91" w14:textId="77777777" w:rsidTr="00907705">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hideMark/>
          </w:tcPr>
          <w:p w14:paraId="77C787A2"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100% FC</w:t>
            </w:r>
          </w:p>
        </w:tc>
        <w:tc>
          <w:tcPr>
            <w:tcW w:w="1822" w:type="dxa"/>
            <w:shd w:val="clear" w:color="auto" w:fill="auto"/>
            <w:hideMark/>
          </w:tcPr>
          <w:p w14:paraId="3CAB3A4D"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1.18</w:t>
            </w:r>
            <w:r w:rsidRPr="00EB3964">
              <w:rPr>
                <w:rFonts w:ascii="Times New Roman" w:hAnsi="Times New Roman" w:cs="Times New Roman"/>
                <w:highlight w:val="yellow"/>
                <w:vertAlign w:val="superscript"/>
              </w:rPr>
              <w:t>bc</w:t>
            </w:r>
          </w:p>
        </w:tc>
        <w:tc>
          <w:tcPr>
            <w:tcW w:w="0" w:type="auto"/>
            <w:shd w:val="clear" w:color="auto" w:fill="auto"/>
            <w:hideMark/>
          </w:tcPr>
          <w:p w14:paraId="0FE87DE8"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33.60</w:t>
            </w:r>
            <w:r w:rsidRPr="00EB3964">
              <w:rPr>
                <w:rFonts w:ascii="Times New Roman" w:hAnsi="Times New Roman" w:cs="Times New Roman"/>
                <w:highlight w:val="yellow"/>
                <w:vertAlign w:val="superscript"/>
              </w:rPr>
              <w:t>b</w:t>
            </w:r>
          </w:p>
        </w:tc>
        <w:tc>
          <w:tcPr>
            <w:tcW w:w="2215" w:type="dxa"/>
            <w:shd w:val="clear" w:color="auto" w:fill="auto"/>
            <w:hideMark/>
          </w:tcPr>
          <w:p w14:paraId="6532F044"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30.20</w:t>
            </w:r>
            <w:r w:rsidRPr="00EB3964">
              <w:rPr>
                <w:rFonts w:ascii="Times New Roman" w:hAnsi="Times New Roman" w:cs="Times New Roman"/>
                <w:highlight w:val="yellow"/>
                <w:vertAlign w:val="superscript"/>
              </w:rPr>
              <w:t>ab</w:t>
            </w:r>
          </w:p>
        </w:tc>
        <w:tc>
          <w:tcPr>
            <w:tcW w:w="1980" w:type="dxa"/>
            <w:shd w:val="clear" w:color="auto" w:fill="auto"/>
            <w:hideMark/>
          </w:tcPr>
          <w:p w14:paraId="6E384960"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8.05</w:t>
            </w:r>
            <w:r w:rsidRPr="00EB3964">
              <w:rPr>
                <w:rFonts w:ascii="Times New Roman" w:hAnsi="Times New Roman" w:cs="Times New Roman"/>
                <w:highlight w:val="yellow"/>
                <w:vertAlign w:val="superscript"/>
              </w:rPr>
              <w:t>b</w:t>
            </w:r>
          </w:p>
        </w:tc>
      </w:tr>
      <w:tr w:rsidR="00907705" w:rsidRPr="00EB3964" w14:paraId="493B2BCE" w14:textId="77777777" w:rsidTr="00907705">
        <w:trPr>
          <w:trHeight w:val="500"/>
        </w:trPr>
        <w:tc>
          <w:tcPr>
            <w:cnfStyle w:val="001000000000" w:firstRow="0" w:lastRow="0" w:firstColumn="1" w:lastColumn="0" w:oddVBand="0" w:evenVBand="0" w:oddHBand="0" w:evenHBand="0" w:firstRowFirstColumn="0" w:firstRowLastColumn="0" w:lastRowFirstColumn="0" w:lastRowLastColumn="0"/>
            <w:tcW w:w="2245" w:type="dxa"/>
            <w:hideMark/>
          </w:tcPr>
          <w:p w14:paraId="125E095D"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+ 40% FC</w:t>
            </w:r>
          </w:p>
        </w:tc>
        <w:tc>
          <w:tcPr>
            <w:tcW w:w="1822" w:type="dxa"/>
            <w:hideMark/>
          </w:tcPr>
          <w:p w14:paraId="3C9A0077"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1.15</w:t>
            </w:r>
            <w:r w:rsidRPr="00EB3964">
              <w:rPr>
                <w:rFonts w:ascii="Times New Roman" w:hAnsi="Times New Roman" w:cs="Times New Roman"/>
                <w:highlight w:val="yellow"/>
                <w:vertAlign w:val="superscript"/>
              </w:rPr>
              <w:t>bc</w:t>
            </w:r>
          </w:p>
        </w:tc>
        <w:tc>
          <w:tcPr>
            <w:tcW w:w="0" w:type="auto"/>
            <w:hideMark/>
          </w:tcPr>
          <w:p w14:paraId="7B10A89B"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34.80</w:t>
            </w:r>
            <w:r w:rsidRPr="00EB3964">
              <w:rPr>
                <w:rFonts w:ascii="Times New Roman" w:hAnsi="Times New Roman" w:cs="Times New Roman"/>
                <w:highlight w:val="yellow"/>
                <w:vertAlign w:val="superscript"/>
              </w:rPr>
              <w:t>ab</w:t>
            </w:r>
          </w:p>
        </w:tc>
        <w:tc>
          <w:tcPr>
            <w:tcW w:w="2215" w:type="dxa"/>
            <w:hideMark/>
          </w:tcPr>
          <w:p w14:paraId="49212A62"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30.50</w:t>
            </w:r>
            <w:r w:rsidRPr="00EB3964">
              <w:rPr>
                <w:rFonts w:ascii="Times New Roman" w:hAnsi="Times New Roman" w:cs="Times New Roman"/>
                <w:highlight w:val="yellow"/>
                <w:vertAlign w:val="superscript"/>
              </w:rPr>
              <w:t>ab</w:t>
            </w:r>
          </w:p>
        </w:tc>
        <w:tc>
          <w:tcPr>
            <w:tcW w:w="1980" w:type="dxa"/>
            <w:hideMark/>
          </w:tcPr>
          <w:p w14:paraId="1863D6FB"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7.25</w:t>
            </w:r>
            <w:r w:rsidRPr="00EB3964">
              <w:rPr>
                <w:rFonts w:ascii="Times New Roman" w:hAnsi="Times New Roman" w:cs="Times New Roman"/>
                <w:highlight w:val="yellow"/>
                <w:vertAlign w:val="superscript"/>
              </w:rPr>
              <w:t>bc</w:t>
            </w:r>
          </w:p>
        </w:tc>
      </w:tr>
      <w:tr w:rsidR="00907705" w:rsidRPr="00EB3964" w14:paraId="257422FB" w14:textId="77777777" w:rsidTr="00907705">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hideMark/>
          </w:tcPr>
          <w:p w14:paraId="7E0C68C1"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+ 60% FC</w:t>
            </w:r>
          </w:p>
        </w:tc>
        <w:tc>
          <w:tcPr>
            <w:tcW w:w="1822" w:type="dxa"/>
            <w:shd w:val="clear" w:color="auto" w:fill="auto"/>
            <w:hideMark/>
          </w:tcPr>
          <w:p w14:paraId="3D1BBC09"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1.10</w:t>
            </w:r>
            <w:r w:rsidRPr="00EB3964">
              <w:rPr>
                <w:rFonts w:ascii="Times New Roman" w:hAnsi="Times New Roman" w:cs="Times New Roman"/>
                <w:highlight w:val="yellow"/>
                <w:vertAlign w:val="superscript"/>
              </w:rPr>
              <w:t>c</w:t>
            </w:r>
          </w:p>
        </w:tc>
        <w:tc>
          <w:tcPr>
            <w:tcW w:w="0" w:type="auto"/>
            <w:shd w:val="clear" w:color="auto" w:fill="auto"/>
            <w:hideMark/>
          </w:tcPr>
          <w:p w14:paraId="6C096BED"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vertAlign w:val="superscript"/>
              </w:rPr>
            </w:pPr>
            <w:r w:rsidRPr="00EB3964">
              <w:rPr>
                <w:rFonts w:ascii="Times New Roman" w:hAnsi="Times New Roman" w:cs="Times New Roman"/>
                <w:highlight w:val="yellow"/>
              </w:rPr>
              <w:t>35.90</w:t>
            </w:r>
            <w:r w:rsidRPr="00EB3964">
              <w:rPr>
                <w:rFonts w:ascii="Times New Roman" w:hAnsi="Times New Roman" w:cs="Times New Roman"/>
                <w:highlight w:val="yellow"/>
                <w:vertAlign w:val="superscript"/>
              </w:rPr>
              <w:t>a</w:t>
            </w:r>
          </w:p>
        </w:tc>
        <w:tc>
          <w:tcPr>
            <w:tcW w:w="2215" w:type="dxa"/>
            <w:shd w:val="clear" w:color="auto" w:fill="auto"/>
            <w:hideMark/>
          </w:tcPr>
          <w:p w14:paraId="407E47F4"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31.80</w:t>
            </w:r>
            <w:r w:rsidRPr="00EB3964">
              <w:rPr>
                <w:rFonts w:ascii="Times New Roman" w:hAnsi="Times New Roman" w:cs="Times New Roman"/>
                <w:highlight w:val="yellow"/>
                <w:vertAlign w:val="superscript"/>
              </w:rPr>
              <w:t>a</w:t>
            </w:r>
          </w:p>
        </w:tc>
        <w:tc>
          <w:tcPr>
            <w:tcW w:w="1980" w:type="dxa"/>
            <w:shd w:val="clear" w:color="auto" w:fill="auto"/>
            <w:hideMark/>
          </w:tcPr>
          <w:p w14:paraId="479B2200"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8.20</w:t>
            </w:r>
            <w:r w:rsidRPr="00EB3964">
              <w:rPr>
                <w:rFonts w:ascii="Times New Roman" w:hAnsi="Times New Roman" w:cs="Times New Roman"/>
                <w:highlight w:val="yellow"/>
                <w:vertAlign w:val="superscript"/>
              </w:rPr>
              <w:t>b</w:t>
            </w:r>
          </w:p>
        </w:tc>
      </w:tr>
      <w:tr w:rsidR="00907705" w:rsidRPr="00EB3964" w14:paraId="42074F61" w14:textId="77777777" w:rsidTr="00907705">
        <w:trPr>
          <w:trHeight w:val="500"/>
        </w:trPr>
        <w:tc>
          <w:tcPr>
            <w:cnfStyle w:val="001000000000" w:firstRow="0" w:lastRow="0" w:firstColumn="1" w:lastColumn="0" w:oddVBand="0" w:evenVBand="0" w:oddHBand="0" w:evenHBand="0" w:firstRowFirstColumn="0" w:firstRowLastColumn="0" w:lastRowFirstColumn="0" w:lastRowLastColumn="0"/>
            <w:tcW w:w="2245" w:type="dxa"/>
            <w:hideMark/>
          </w:tcPr>
          <w:p w14:paraId="736ECDDF"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+ 100% FC</w:t>
            </w:r>
          </w:p>
        </w:tc>
        <w:tc>
          <w:tcPr>
            <w:tcW w:w="1822" w:type="dxa"/>
            <w:hideMark/>
          </w:tcPr>
          <w:p w14:paraId="7CDCEA48"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1.05</w:t>
            </w:r>
            <w:r w:rsidRPr="00EB3964">
              <w:rPr>
                <w:rFonts w:ascii="Times New Roman" w:hAnsi="Times New Roman" w:cs="Times New Roman"/>
                <w:highlight w:val="yellow"/>
                <w:vertAlign w:val="superscript"/>
              </w:rPr>
              <w:t>c</w:t>
            </w:r>
          </w:p>
        </w:tc>
        <w:tc>
          <w:tcPr>
            <w:tcW w:w="0" w:type="auto"/>
            <w:hideMark/>
          </w:tcPr>
          <w:p w14:paraId="4214B92D"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37.10</w:t>
            </w:r>
            <w:r w:rsidRPr="00EB3964">
              <w:rPr>
                <w:rFonts w:ascii="Times New Roman" w:hAnsi="Times New Roman" w:cs="Times New Roman"/>
                <w:highlight w:val="yellow"/>
                <w:vertAlign w:val="superscript"/>
              </w:rPr>
              <w:t>a</w:t>
            </w:r>
          </w:p>
        </w:tc>
        <w:tc>
          <w:tcPr>
            <w:tcW w:w="2215" w:type="dxa"/>
            <w:hideMark/>
          </w:tcPr>
          <w:p w14:paraId="3010D847"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33.40</w:t>
            </w:r>
            <w:r w:rsidRPr="00EB3964">
              <w:rPr>
                <w:rFonts w:ascii="Times New Roman" w:hAnsi="Times New Roman" w:cs="Times New Roman"/>
                <w:highlight w:val="yellow"/>
                <w:vertAlign w:val="superscript"/>
              </w:rPr>
              <w:t>a</w:t>
            </w:r>
          </w:p>
        </w:tc>
        <w:tc>
          <w:tcPr>
            <w:tcW w:w="1980" w:type="dxa"/>
            <w:hideMark/>
          </w:tcPr>
          <w:p w14:paraId="1145E8F9"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9.10</w:t>
            </w:r>
            <w:r w:rsidRPr="00EB3964">
              <w:rPr>
                <w:rFonts w:ascii="Times New Roman" w:hAnsi="Times New Roman" w:cs="Times New Roman"/>
                <w:highlight w:val="yellow"/>
                <w:vertAlign w:val="superscript"/>
              </w:rPr>
              <w:t>a</w:t>
            </w:r>
          </w:p>
        </w:tc>
      </w:tr>
      <w:tr w:rsidR="00907705" w:rsidRPr="00EB3964" w14:paraId="112129B2" w14:textId="77777777" w:rsidTr="00907705">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hideMark/>
          </w:tcPr>
          <w:p w14:paraId="2D7D1B8C"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 + 40% FC</w:t>
            </w:r>
          </w:p>
        </w:tc>
        <w:tc>
          <w:tcPr>
            <w:tcW w:w="1822" w:type="dxa"/>
            <w:shd w:val="clear" w:color="auto" w:fill="auto"/>
            <w:hideMark/>
          </w:tcPr>
          <w:p w14:paraId="3396A57F"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1.20</w:t>
            </w:r>
            <w:r w:rsidRPr="00EB3964">
              <w:rPr>
                <w:rFonts w:ascii="Times New Roman" w:hAnsi="Times New Roman" w:cs="Times New Roman"/>
                <w:highlight w:val="yellow"/>
                <w:vertAlign w:val="superscript"/>
              </w:rPr>
              <w:t>abc</w:t>
            </w:r>
          </w:p>
        </w:tc>
        <w:tc>
          <w:tcPr>
            <w:tcW w:w="0" w:type="auto"/>
            <w:shd w:val="clear" w:color="auto" w:fill="auto"/>
            <w:hideMark/>
          </w:tcPr>
          <w:p w14:paraId="3557D899"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33.00</w:t>
            </w:r>
            <w:r w:rsidRPr="00EB3964">
              <w:rPr>
                <w:rFonts w:ascii="Times New Roman" w:hAnsi="Times New Roman" w:cs="Times New Roman"/>
                <w:highlight w:val="yellow"/>
                <w:vertAlign w:val="superscript"/>
              </w:rPr>
              <w:t>bc</w:t>
            </w:r>
          </w:p>
        </w:tc>
        <w:tc>
          <w:tcPr>
            <w:tcW w:w="2215" w:type="dxa"/>
            <w:shd w:val="clear" w:color="auto" w:fill="auto"/>
            <w:hideMark/>
          </w:tcPr>
          <w:p w14:paraId="061D28CC"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28.10</w:t>
            </w:r>
            <w:r w:rsidRPr="00EB3964">
              <w:rPr>
                <w:rFonts w:ascii="Times New Roman" w:hAnsi="Times New Roman" w:cs="Times New Roman"/>
                <w:highlight w:val="yellow"/>
                <w:vertAlign w:val="superscript"/>
              </w:rPr>
              <w:t>bc</w:t>
            </w:r>
          </w:p>
        </w:tc>
        <w:tc>
          <w:tcPr>
            <w:tcW w:w="1980" w:type="dxa"/>
            <w:shd w:val="clear" w:color="auto" w:fill="auto"/>
            <w:hideMark/>
          </w:tcPr>
          <w:p w14:paraId="27B2CAF7"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6.95</w:t>
            </w:r>
            <w:r w:rsidRPr="00EB3964">
              <w:rPr>
                <w:rFonts w:ascii="Times New Roman" w:hAnsi="Times New Roman" w:cs="Times New Roman"/>
                <w:highlight w:val="yellow"/>
                <w:vertAlign w:val="superscript"/>
              </w:rPr>
              <w:t>bc</w:t>
            </w:r>
          </w:p>
        </w:tc>
      </w:tr>
      <w:tr w:rsidR="00907705" w:rsidRPr="00EB3964" w14:paraId="56E7B067" w14:textId="77777777" w:rsidTr="00907705">
        <w:trPr>
          <w:trHeight w:val="484"/>
        </w:trPr>
        <w:tc>
          <w:tcPr>
            <w:cnfStyle w:val="001000000000" w:firstRow="0" w:lastRow="0" w:firstColumn="1" w:lastColumn="0" w:oddVBand="0" w:evenVBand="0" w:oddHBand="0" w:evenHBand="0" w:firstRowFirstColumn="0" w:firstRowLastColumn="0" w:lastRowFirstColumn="0" w:lastRowLastColumn="0"/>
            <w:tcW w:w="2245" w:type="dxa"/>
            <w:hideMark/>
          </w:tcPr>
          <w:p w14:paraId="40493B79"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 + 60% FC</w:t>
            </w:r>
          </w:p>
        </w:tc>
        <w:tc>
          <w:tcPr>
            <w:tcW w:w="1822" w:type="dxa"/>
            <w:hideMark/>
          </w:tcPr>
          <w:p w14:paraId="547B786F"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1.16</w:t>
            </w:r>
            <w:r w:rsidRPr="00EB3964">
              <w:rPr>
                <w:rFonts w:ascii="Times New Roman" w:hAnsi="Times New Roman" w:cs="Times New Roman"/>
                <w:highlight w:val="yellow"/>
                <w:vertAlign w:val="superscript"/>
              </w:rPr>
              <w:t>bc</w:t>
            </w:r>
          </w:p>
        </w:tc>
        <w:tc>
          <w:tcPr>
            <w:tcW w:w="0" w:type="auto"/>
            <w:hideMark/>
          </w:tcPr>
          <w:p w14:paraId="1FC80E3F"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34.20</w:t>
            </w:r>
            <w:r w:rsidRPr="00EB3964">
              <w:rPr>
                <w:rFonts w:ascii="Times New Roman" w:hAnsi="Times New Roman" w:cs="Times New Roman"/>
                <w:highlight w:val="yellow"/>
                <w:vertAlign w:val="superscript"/>
              </w:rPr>
              <w:t>ab</w:t>
            </w:r>
          </w:p>
        </w:tc>
        <w:tc>
          <w:tcPr>
            <w:tcW w:w="2215" w:type="dxa"/>
            <w:hideMark/>
          </w:tcPr>
          <w:p w14:paraId="58D74B25"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29.60</w:t>
            </w:r>
            <w:r w:rsidRPr="00EB3964">
              <w:rPr>
                <w:rFonts w:ascii="Times New Roman" w:hAnsi="Times New Roman" w:cs="Times New Roman"/>
                <w:highlight w:val="yellow"/>
                <w:vertAlign w:val="superscript"/>
              </w:rPr>
              <w:t>ab</w:t>
            </w:r>
          </w:p>
        </w:tc>
        <w:tc>
          <w:tcPr>
            <w:tcW w:w="1980" w:type="dxa"/>
            <w:hideMark/>
          </w:tcPr>
          <w:p w14:paraId="566AB67D"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7.85</w:t>
            </w:r>
            <w:r w:rsidRPr="00EB3964">
              <w:rPr>
                <w:rFonts w:ascii="Times New Roman" w:hAnsi="Times New Roman" w:cs="Times New Roman"/>
                <w:highlight w:val="yellow"/>
                <w:vertAlign w:val="superscript"/>
              </w:rPr>
              <w:t>b</w:t>
            </w:r>
          </w:p>
        </w:tc>
      </w:tr>
      <w:tr w:rsidR="00907705" w:rsidRPr="00EB3964" w14:paraId="454303A0" w14:textId="77777777" w:rsidTr="00907705">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hideMark/>
          </w:tcPr>
          <w:p w14:paraId="116734D7"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 + 100% FC</w:t>
            </w:r>
          </w:p>
        </w:tc>
        <w:tc>
          <w:tcPr>
            <w:tcW w:w="1822" w:type="dxa"/>
            <w:shd w:val="clear" w:color="auto" w:fill="auto"/>
            <w:hideMark/>
          </w:tcPr>
          <w:p w14:paraId="3F62D247"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1.13</w:t>
            </w:r>
            <w:r w:rsidRPr="00EB3964">
              <w:rPr>
                <w:rFonts w:ascii="Times New Roman" w:hAnsi="Times New Roman" w:cs="Times New Roman"/>
                <w:highlight w:val="yellow"/>
                <w:vertAlign w:val="superscript"/>
              </w:rPr>
              <w:t>bc</w:t>
            </w:r>
          </w:p>
        </w:tc>
        <w:tc>
          <w:tcPr>
            <w:tcW w:w="0" w:type="auto"/>
            <w:shd w:val="clear" w:color="auto" w:fill="auto"/>
            <w:hideMark/>
          </w:tcPr>
          <w:p w14:paraId="4D29D425"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35.10</w:t>
            </w:r>
            <w:r w:rsidRPr="00EB3964">
              <w:rPr>
                <w:rFonts w:ascii="Times New Roman" w:hAnsi="Times New Roman" w:cs="Times New Roman"/>
                <w:highlight w:val="yellow"/>
                <w:vertAlign w:val="superscript"/>
              </w:rPr>
              <w:t>ab</w:t>
            </w:r>
          </w:p>
        </w:tc>
        <w:tc>
          <w:tcPr>
            <w:tcW w:w="2215" w:type="dxa"/>
            <w:shd w:val="clear" w:color="auto" w:fill="auto"/>
            <w:hideMark/>
          </w:tcPr>
          <w:p w14:paraId="58BC6DED"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31.00</w:t>
            </w:r>
            <w:r w:rsidRPr="00EB3964">
              <w:rPr>
                <w:rFonts w:ascii="Times New Roman" w:hAnsi="Times New Roman" w:cs="Times New Roman"/>
                <w:highlight w:val="yellow"/>
                <w:vertAlign w:val="superscript"/>
              </w:rPr>
              <w:t>a</w:t>
            </w:r>
          </w:p>
        </w:tc>
        <w:tc>
          <w:tcPr>
            <w:tcW w:w="1980" w:type="dxa"/>
            <w:shd w:val="clear" w:color="auto" w:fill="auto"/>
            <w:hideMark/>
          </w:tcPr>
          <w:p w14:paraId="4FD1F8CF"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8.60</w:t>
            </w:r>
            <w:r w:rsidRPr="00EB3964">
              <w:rPr>
                <w:rFonts w:ascii="Times New Roman" w:hAnsi="Times New Roman" w:cs="Times New Roman"/>
                <w:highlight w:val="yellow"/>
                <w:vertAlign w:val="superscript"/>
              </w:rPr>
              <w:t>ab</w:t>
            </w:r>
          </w:p>
        </w:tc>
      </w:tr>
      <w:tr w:rsidR="00907705" w:rsidRPr="00EB3964" w14:paraId="6DE5622B" w14:textId="77777777" w:rsidTr="00907705">
        <w:trPr>
          <w:trHeight w:val="500"/>
        </w:trPr>
        <w:tc>
          <w:tcPr>
            <w:cnfStyle w:val="001000000000" w:firstRow="0" w:lastRow="0" w:firstColumn="1" w:lastColumn="0" w:oddVBand="0" w:evenVBand="0" w:oddHBand="0" w:evenHBand="0" w:firstRowFirstColumn="0" w:firstRowLastColumn="0" w:lastRowFirstColumn="0" w:lastRowLastColumn="0"/>
            <w:tcW w:w="2245" w:type="dxa"/>
            <w:hideMark/>
          </w:tcPr>
          <w:p w14:paraId="36EEF694"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T + 40% FC</w:t>
            </w:r>
          </w:p>
        </w:tc>
        <w:tc>
          <w:tcPr>
            <w:tcW w:w="1822" w:type="dxa"/>
            <w:hideMark/>
          </w:tcPr>
          <w:p w14:paraId="0876635C"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1.14</w:t>
            </w:r>
            <w:r w:rsidRPr="00EB3964">
              <w:rPr>
                <w:rFonts w:ascii="Times New Roman" w:hAnsi="Times New Roman" w:cs="Times New Roman"/>
                <w:highlight w:val="yellow"/>
                <w:vertAlign w:val="superscript"/>
              </w:rPr>
              <w:t>bc</w:t>
            </w:r>
          </w:p>
        </w:tc>
        <w:tc>
          <w:tcPr>
            <w:tcW w:w="0" w:type="auto"/>
            <w:hideMark/>
          </w:tcPr>
          <w:p w14:paraId="40CE80DC"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34.60</w:t>
            </w:r>
            <w:r w:rsidRPr="00EB3964">
              <w:rPr>
                <w:rFonts w:ascii="Times New Roman" w:hAnsi="Times New Roman" w:cs="Times New Roman"/>
                <w:highlight w:val="yellow"/>
                <w:vertAlign w:val="superscript"/>
              </w:rPr>
              <w:t>ab</w:t>
            </w:r>
          </w:p>
        </w:tc>
        <w:tc>
          <w:tcPr>
            <w:tcW w:w="2215" w:type="dxa"/>
            <w:hideMark/>
          </w:tcPr>
          <w:p w14:paraId="4D3259DA"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30.80</w:t>
            </w:r>
            <w:r w:rsidRPr="00EB3964">
              <w:rPr>
                <w:rFonts w:ascii="Times New Roman" w:hAnsi="Times New Roman" w:cs="Times New Roman"/>
                <w:highlight w:val="yellow"/>
                <w:vertAlign w:val="superscript"/>
              </w:rPr>
              <w:t>ab</w:t>
            </w:r>
          </w:p>
        </w:tc>
        <w:tc>
          <w:tcPr>
            <w:tcW w:w="1980" w:type="dxa"/>
            <w:hideMark/>
          </w:tcPr>
          <w:p w14:paraId="1FADE98C"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7.40</w:t>
            </w:r>
            <w:r w:rsidRPr="00EB3964">
              <w:rPr>
                <w:rFonts w:ascii="Times New Roman" w:hAnsi="Times New Roman" w:cs="Times New Roman"/>
                <w:highlight w:val="yellow"/>
                <w:vertAlign w:val="superscript"/>
              </w:rPr>
              <w:t>bc</w:t>
            </w:r>
          </w:p>
        </w:tc>
      </w:tr>
      <w:tr w:rsidR="00907705" w:rsidRPr="00EB3964" w14:paraId="40A8AA3A" w14:textId="77777777" w:rsidTr="00907705">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hideMark/>
          </w:tcPr>
          <w:p w14:paraId="13F4024F"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T + 60% FC</w:t>
            </w:r>
          </w:p>
        </w:tc>
        <w:tc>
          <w:tcPr>
            <w:tcW w:w="1822" w:type="dxa"/>
            <w:shd w:val="clear" w:color="auto" w:fill="auto"/>
            <w:hideMark/>
          </w:tcPr>
          <w:p w14:paraId="13095FC0"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1.09</w:t>
            </w:r>
            <w:r w:rsidRPr="00EB3964">
              <w:rPr>
                <w:rFonts w:ascii="Times New Roman" w:hAnsi="Times New Roman" w:cs="Times New Roman"/>
                <w:highlight w:val="yellow"/>
                <w:vertAlign w:val="superscript"/>
              </w:rPr>
              <w:t>c</w:t>
            </w:r>
          </w:p>
        </w:tc>
        <w:tc>
          <w:tcPr>
            <w:tcW w:w="0" w:type="auto"/>
            <w:shd w:val="clear" w:color="auto" w:fill="auto"/>
            <w:hideMark/>
          </w:tcPr>
          <w:p w14:paraId="69AB146D"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36.00</w:t>
            </w:r>
            <w:r w:rsidRPr="00EB3964">
              <w:rPr>
                <w:rFonts w:ascii="Times New Roman" w:hAnsi="Times New Roman" w:cs="Times New Roman"/>
                <w:highlight w:val="yellow"/>
                <w:vertAlign w:val="superscript"/>
              </w:rPr>
              <w:t>a</w:t>
            </w:r>
          </w:p>
        </w:tc>
        <w:tc>
          <w:tcPr>
            <w:tcW w:w="2215" w:type="dxa"/>
            <w:shd w:val="clear" w:color="auto" w:fill="auto"/>
            <w:hideMark/>
          </w:tcPr>
          <w:p w14:paraId="633B84F8"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32.20</w:t>
            </w:r>
            <w:r w:rsidRPr="00EB3964">
              <w:rPr>
                <w:rFonts w:ascii="Times New Roman" w:hAnsi="Times New Roman" w:cs="Times New Roman"/>
                <w:highlight w:val="yellow"/>
                <w:vertAlign w:val="superscript"/>
              </w:rPr>
              <w:t>a</w:t>
            </w:r>
          </w:p>
        </w:tc>
        <w:tc>
          <w:tcPr>
            <w:tcW w:w="1980" w:type="dxa"/>
            <w:shd w:val="clear" w:color="auto" w:fill="auto"/>
            <w:hideMark/>
          </w:tcPr>
          <w:p w14:paraId="7D690318" w14:textId="77777777" w:rsidR="00907705" w:rsidRPr="00EB3964" w:rsidRDefault="0090770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8.35</w:t>
            </w:r>
            <w:r w:rsidRPr="00EB3964">
              <w:rPr>
                <w:rFonts w:ascii="Times New Roman" w:hAnsi="Times New Roman" w:cs="Times New Roman"/>
                <w:highlight w:val="yellow"/>
                <w:vertAlign w:val="superscript"/>
              </w:rPr>
              <w:t>b</w:t>
            </w:r>
          </w:p>
        </w:tc>
      </w:tr>
      <w:tr w:rsidR="00907705" w:rsidRPr="00EB3964" w14:paraId="3F152D76" w14:textId="77777777" w:rsidTr="00907705">
        <w:trPr>
          <w:trHeight w:val="828"/>
        </w:trPr>
        <w:tc>
          <w:tcPr>
            <w:cnfStyle w:val="001000000000" w:firstRow="0" w:lastRow="0" w:firstColumn="1" w:lastColumn="0" w:oddVBand="0" w:evenVBand="0" w:oddHBand="0" w:evenHBand="0" w:firstRowFirstColumn="0" w:firstRowLastColumn="0" w:lastRowFirstColumn="0" w:lastRowLastColumn="0"/>
            <w:tcW w:w="2245" w:type="dxa"/>
            <w:hideMark/>
          </w:tcPr>
          <w:p w14:paraId="21974C50" w14:textId="77777777" w:rsidR="00907705" w:rsidRPr="00EB3964" w:rsidRDefault="0090770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T + 100% FC</w:t>
            </w:r>
          </w:p>
        </w:tc>
        <w:tc>
          <w:tcPr>
            <w:tcW w:w="1822" w:type="dxa"/>
            <w:hideMark/>
          </w:tcPr>
          <w:p w14:paraId="4457595A"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1.03</w:t>
            </w:r>
            <w:r w:rsidRPr="00EB3964">
              <w:rPr>
                <w:rFonts w:ascii="Times New Roman" w:hAnsi="Times New Roman" w:cs="Times New Roman"/>
                <w:highlight w:val="yellow"/>
                <w:vertAlign w:val="superscript"/>
              </w:rPr>
              <w:t>c</w:t>
            </w:r>
          </w:p>
        </w:tc>
        <w:tc>
          <w:tcPr>
            <w:tcW w:w="0" w:type="auto"/>
            <w:hideMark/>
          </w:tcPr>
          <w:p w14:paraId="660BA5B0"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37.50</w:t>
            </w:r>
            <w:r w:rsidRPr="00EB3964">
              <w:rPr>
                <w:rFonts w:ascii="Times New Roman" w:hAnsi="Times New Roman" w:cs="Times New Roman"/>
                <w:highlight w:val="yellow"/>
                <w:vertAlign w:val="superscript"/>
              </w:rPr>
              <w:t>a</w:t>
            </w:r>
          </w:p>
        </w:tc>
        <w:tc>
          <w:tcPr>
            <w:tcW w:w="2215" w:type="dxa"/>
            <w:hideMark/>
          </w:tcPr>
          <w:p w14:paraId="67E04287"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34.10</w:t>
            </w:r>
            <w:r w:rsidRPr="00EB3964">
              <w:rPr>
                <w:rFonts w:ascii="Times New Roman" w:hAnsi="Times New Roman" w:cs="Times New Roman"/>
                <w:highlight w:val="yellow"/>
                <w:vertAlign w:val="superscript"/>
              </w:rPr>
              <w:t>a</w:t>
            </w:r>
          </w:p>
        </w:tc>
        <w:tc>
          <w:tcPr>
            <w:tcW w:w="1980" w:type="dxa"/>
            <w:hideMark/>
          </w:tcPr>
          <w:p w14:paraId="21651CF8" w14:textId="77777777" w:rsidR="00907705" w:rsidRPr="00EB3964" w:rsidRDefault="0090770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9.30</w:t>
            </w:r>
            <w:r w:rsidRPr="00EB3964">
              <w:rPr>
                <w:rFonts w:ascii="Times New Roman" w:hAnsi="Times New Roman" w:cs="Times New Roman"/>
                <w:highlight w:val="yellow"/>
                <w:vertAlign w:val="superscript"/>
              </w:rPr>
              <w:t>a</w:t>
            </w:r>
          </w:p>
        </w:tc>
      </w:tr>
    </w:tbl>
    <w:p w14:paraId="2A7DD9C4" w14:textId="77777777" w:rsidR="00907705" w:rsidRPr="00EB3964" w:rsidRDefault="00907705" w:rsidP="00907705">
      <w:pPr>
        <w:tabs>
          <w:tab w:val="left" w:pos="2880"/>
        </w:tabs>
        <w:spacing w:after="0" w:line="276" w:lineRule="auto"/>
        <w:ind w:right="-360"/>
        <w:rPr>
          <w:rFonts w:ascii="Times New Roman" w:hAnsi="Times New Roman" w:cs="Times New Roman"/>
          <w:highlight w:val="yellow"/>
        </w:rPr>
      </w:pPr>
      <w:r w:rsidRPr="00EB3964">
        <w:rPr>
          <w:rFonts w:ascii="Times New Roman" w:hAnsi="Times New Roman" w:cs="Times New Roman"/>
          <w:highlight w:val="yellow"/>
        </w:rPr>
        <w:t xml:space="preserve">Mean with the same letter(s) in superscript on the same column are not significantly different at p=0.05(Tukey HSD). FC = Field capacity; B = Biochar; T = </w:t>
      </w:r>
      <w:r w:rsidRPr="00EB3964">
        <w:rPr>
          <w:rFonts w:ascii="Times New Roman" w:hAnsi="Times New Roman" w:cs="Times New Roman"/>
          <w:i/>
          <w:highlight w:val="yellow"/>
        </w:rPr>
        <w:t xml:space="preserve">Trichoderma </w:t>
      </w:r>
      <w:proofErr w:type="spellStart"/>
      <w:r w:rsidRPr="00EB3964">
        <w:rPr>
          <w:rFonts w:ascii="Times New Roman" w:hAnsi="Times New Roman" w:cs="Times New Roman"/>
          <w:i/>
          <w:highlight w:val="yellow"/>
        </w:rPr>
        <w:t>harzianum</w:t>
      </w:r>
      <w:proofErr w:type="spellEnd"/>
    </w:p>
    <w:p w14:paraId="3917FC23" w14:textId="77777777" w:rsidR="00907705" w:rsidRPr="00EB3964" w:rsidRDefault="00907705" w:rsidP="00907705">
      <w:pPr>
        <w:rPr>
          <w:rFonts w:ascii="Times New Roman" w:hAnsi="Times New Roman" w:cs="Times New Roman"/>
          <w:highlight w:val="yellow"/>
        </w:rPr>
      </w:pPr>
    </w:p>
    <w:p w14:paraId="68308C93" w14:textId="77777777" w:rsidR="00907705" w:rsidRPr="00EB3964" w:rsidRDefault="00907705" w:rsidP="00907705">
      <w:pPr>
        <w:spacing w:line="276" w:lineRule="auto"/>
        <w:jc w:val="both"/>
        <w:rPr>
          <w:rFonts w:ascii="Times New Roman" w:hAnsi="Times New Roman" w:cs="Times New Roman"/>
          <w:b/>
          <w:highlight w:val="yellow"/>
        </w:rPr>
      </w:pPr>
      <w:r w:rsidRPr="00EB3964">
        <w:rPr>
          <w:rFonts w:ascii="Times New Roman" w:hAnsi="Times New Roman" w:cs="Times New Roman"/>
          <w:b/>
          <w:highlight w:val="yellow"/>
        </w:rPr>
        <w:t xml:space="preserve">3.7. Organic amendment and watering regime effects on soil physical and chemical properties at termination of experiment  </w:t>
      </w:r>
    </w:p>
    <w:p w14:paraId="298DD6A5" w14:textId="77777777" w:rsidR="00907705" w:rsidRPr="00EB3964" w:rsidRDefault="00907705" w:rsidP="00907705">
      <w:pPr>
        <w:spacing w:line="278" w:lineRule="auto"/>
        <w:jc w:val="both"/>
        <w:rPr>
          <w:rFonts w:ascii="Times New Roman" w:hAnsi="Times New Roman" w:cs="Times New Roman"/>
          <w:highlight w:val="yellow"/>
        </w:rPr>
      </w:pPr>
      <w:r w:rsidRPr="00EB3964">
        <w:rPr>
          <w:rFonts w:ascii="Times New Roman" w:hAnsi="Times New Roman" w:cs="Times New Roman"/>
          <w:highlight w:val="yellow"/>
        </w:rPr>
        <w:t xml:space="preserve">Application of biochar and </w:t>
      </w:r>
      <w:r w:rsidRPr="00EB3964">
        <w:rPr>
          <w:rFonts w:ascii="Times New Roman" w:hAnsi="Times New Roman" w:cs="Times New Roman"/>
          <w:i/>
          <w:iCs/>
          <w:highlight w:val="yellow"/>
        </w:rPr>
        <w:t xml:space="preserve">Trichoderma </w:t>
      </w:r>
      <w:proofErr w:type="spellStart"/>
      <w:r w:rsidRPr="00EB3964">
        <w:rPr>
          <w:rFonts w:ascii="Times New Roman" w:hAnsi="Times New Roman" w:cs="Times New Roman"/>
          <w:i/>
          <w:iCs/>
          <w:highlight w:val="yellow"/>
        </w:rPr>
        <w:t>harzianum</w:t>
      </w:r>
      <w:proofErr w:type="spellEnd"/>
      <w:r w:rsidRPr="00EB3964">
        <w:rPr>
          <w:rFonts w:ascii="Times New Roman" w:hAnsi="Times New Roman" w:cs="Times New Roman"/>
          <w:highlight w:val="yellow"/>
        </w:rPr>
        <w:t xml:space="preserve"> improved soil properties under differential watering. Bulk density ranged from 1.03–1.28 g cm⁻³ and was generally lower in biochar-amended soils, indicating better structure. Porosity (31.50–37.50%) and water holding capacity (26.40–34.10%) increased, especially under combined treatments and higher field capacity, enhancing moisture retention. Soil moisture content also rose with increasing watering levels.</w:t>
      </w:r>
    </w:p>
    <w:p w14:paraId="0FB844AE" w14:textId="6FEA6A2D" w:rsidR="00F15FD7" w:rsidRPr="00EB3964" w:rsidRDefault="00907705" w:rsidP="00937A35">
      <w:pPr>
        <w:spacing w:line="278" w:lineRule="auto"/>
        <w:jc w:val="both"/>
        <w:rPr>
          <w:rFonts w:ascii="Times New Roman" w:hAnsi="Times New Roman" w:cs="Times New Roman"/>
          <w:highlight w:val="yellow"/>
        </w:rPr>
      </w:pPr>
      <w:r w:rsidRPr="00EB3964">
        <w:rPr>
          <w:rFonts w:ascii="Times New Roman" w:hAnsi="Times New Roman" w:cs="Times New Roman"/>
          <w:highlight w:val="yellow"/>
        </w:rPr>
        <w:t>Soil texture remained sandy loam across treatments. Chemically, soil pH was slightly alkaline (7.4–7.8) with stable cation exchange capacity (13.</w:t>
      </w:r>
      <w:r w:rsidR="00937A35" w:rsidRPr="00EB3964">
        <w:rPr>
          <w:rFonts w:ascii="Times New Roman" w:hAnsi="Times New Roman" w:cs="Times New Roman"/>
          <w:highlight w:val="yellow"/>
        </w:rPr>
        <w:t>30</w:t>
      </w:r>
      <w:r w:rsidRPr="00EB3964">
        <w:rPr>
          <w:rFonts w:ascii="Times New Roman" w:hAnsi="Times New Roman" w:cs="Times New Roman"/>
          <w:highlight w:val="yellow"/>
        </w:rPr>
        <w:t>–13.8</w:t>
      </w:r>
      <w:r w:rsidR="00937A35" w:rsidRPr="00EB3964">
        <w:rPr>
          <w:rFonts w:ascii="Times New Roman" w:hAnsi="Times New Roman" w:cs="Times New Roman"/>
          <w:highlight w:val="yellow"/>
        </w:rPr>
        <w:t>5</w:t>
      </w:r>
      <w:r w:rsidRPr="00EB3964">
        <w:rPr>
          <w:rFonts w:ascii="Times New Roman" w:hAnsi="Times New Roman" w:cs="Times New Roman"/>
          <w:highlight w:val="yellow"/>
        </w:rPr>
        <w:t xml:space="preserve"> </w:t>
      </w:r>
      <w:proofErr w:type="spellStart"/>
      <w:r w:rsidRPr="00EB3964">
        <w:rPr>
          <w:rFonts w:ascii="Times New Roman" w:hAnsi="Times New Roman" w:cs="Times New Roman"/>
          <w:highlight w:val="yellow"/>
        </w:rPr>
        <w:t>cmol</w:t>
      </w:r>
      <w:proofErr w:type="spellEnd"/>
      <w:r w:rsidRPr="00EB3964">
        <w:rPr>
          <w:rFonts w:ascii="Times New Roman" w:hAnsi="Times New Roman" w:cs="Times New Roman"/>
          <w:highlight w:val="yellow"/>
        </w:rPr>
        <w:t xml:space="preserve"> kg⁻¹). Exchangeable K, Ca, Mg, and organic matter improved, while N and </w:t>
      </w:r>
      <w:r w:rsidRPr="00EB3964">
        <w:rPr>
          <w:rFonts w:ascii="Times New Roman" w:hAnsi="Times New Roman" w:cs="Times New Roman"/>
          <w:highlight w:val="yellow"/>
        </w:rPr>
        <w:lastRenderedPageBreak/>
        <w:t xml:space="preserve">P remained adequate. Overall, biochar and </w:t>
      </w:r>
      <w:r w:rsidRPr="00EB3964">
        <w:rPr>
          <w:rFonts w:ascii="Times New Roman" w:hAnsi="Times New Roman" w:cs="Times New Roman"/>
          <w:i/>
          <w:iCs/>
          <w:highlight w:val="yellow"/>
        </w:rPr>
        <w:t xml:space="preserve">Trichoderma </w:t>
      </w:r>
      <w:proofErr w:type="spellStart"/>
      <w:r w:rsidRPr="00EB3964">
        <w:rPr>
          <w:rFonts w:ascii="Times New Roman" w:hAnsi="Times New Roman" w:cs="Times New Roman"/>
          <w:i/>
          <w:iCs/>
          <w:highlight w:val="yellow"/>
        </w:rPr>
        <w:t>harzianum</w:t>
      </w:r>
      <w:proofErr w:type="spellEnd"/>
      <w:r w:rsidRPr="00EB3964">
        <w:rPr>
          <w:rFonts w:ascii="Times New Roman" w:hAnsi="Times New Roman" w:cs="Times New Roman"/>
          <w:highlight w:val="yellow"/>
        </w:rPr>
        <w:t xml:space="preserve"> enhanced soil fertility and structure, supporting pepper (</w:t>
      </w:r>
      <w:r w:rsidRPr="00EB3964">
        <w:rPr>
          <w:rFonts w:ascii="Times New Roman" w:hAnsi="Times New Roman" w:cs="Times New Roman"/>
          <w:i/>
          <w:iCs/>
          <w:highlight w:val="yellow"/>
        </w:rPr>
        <w:t xml:space="preserve">Capsicum </w:t>
      </w:r>
      <w:proofErr w:type="spellStart"/>
      <w:r w:rsidRPr="00EB3964">
        <w:rPr>
          <w:rFonts w:ascii="Times New Roman" w:hAnsi="Times New Roman" w:cs="Times New Roman"/>
          <w:i/>
          <w:iCs/>
          <w:highlight w:val="yellow"/>
        </w:rPr>
        <w:t>chinense</w:t>
      </w:r>
      <w:proofErr w:type="spellEnd"/>
      <w:r w:rsidRPr="00EB3964">
        <w:rPr>
          <w:rFonts w:ascii="Times New Roman" w:hAnsi="Times New Roman" w:cs="Times New Roman"/>
          <w:highlight w:val="yellow"/>
        </w:rPr>
        <w:t xml:space="preserve"> Jacq.) growth under varying watering regimes.</w:t>
      </w:r>
    </w:p>
    <w:p w14:paraId="1849E253" w14:textId="77777777" w:rsidR="00937A35" w:rsidRPr="00EB3964" w:rsidRDefault="00937A35" w:rsidP="00937A35">
      <w:pPr>
        <w:spacing w:line="278" w:lineRule="auto"/>
        <w:rPr>
          <w:rFonts w:ascii="Times New Roman" w:hAnsi="Times New Roman" w:cs="Times New Roman"/>
          <w:b/>
          <w:bCs/>
          <w:highlight w:val="yellow"/>
        </w:rPr>
      </w:pPr>
      <w:r w:rsidRPr="00EB3964">
        <w:rPr>
          <w:rFonts w:ascii="Times New Roman" w:hAnsi="Times New Roman" w:cs="Times New Roman"/>
          <w:b/>
          <w:bCs/>
          <w:highlight w:val="yellow"/>
        </w:rPr>
        <w:t xml:space="preserve">Table 8b: </w:t>
      </w:r>
      <w:r w:rsidRPr="00EB3964">
        <w:rPr>
          <w:rFonts w:ascii="Times New Roman" w:hAnsi="Times New Roman" w:cs="Times New Roman"/>
          <w:highlight w:val="yellow"/>
        </w:rPr>
        <w:t>Soil physical properties at termination of experiment</w:t>
      </w:r>
    </w:p>
    <w:tbl>
      <w:tblPr>
        <w:tblStyle w:val="ListTable6Colorful"/>
        <w:tblW w:w="10192" w:type="dxa"/>
        <w:tblLook w:val="04A0" w:firstRow="1" w:lastRow="0" w:firstColumn="1" w:lastColumn="0" w:noHBand="0" w:noVBand="1"/>
      </w:tblPr>
      <w:tblGrid>
        <w:gridCol w:w="2835"/>
        <w:gridCol w:w="1753"/>
        <w:gridCol w:w="1695"/>
        <w:gridCol w:w="1503"/>
        <w:gridCol w:w="2406"/>
      </w:tblGrid>
      <w:tr w:rsidR="00937A35" w:rsidRPr="00EB3964" w14:paraId="4114B665" w14:textId="77777777" w:rsidTr="00BD6BB3">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657C3BC1"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TREATMENTS</w:t>
            </w:r>
          </w:p>
        </w:tc>
        <w:tc>
          <w:tcPr>
            <w:tcW w:w="0" w:type="auto"/>
            <w:hideMark/>
          </w:tcPr>
          <w:p w14:paraId="6A0D3E64"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 (%)</w:t>
            </w:r>
          </w:p>
        </w:tc>
        <w:tc>
          <w:tcPr>
            <w:tcW w:w="0" w:type="auto"/>
            <w:hideMark/>
          </w:tcPr>
          <w:p w14:paraId="191F7605"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Clay (%)</w:t>
            </w:r>
          </w:p>
        </w:tc>
        <w:tc>
          <w:tcPr>
            <w:tcW w:w="0" w:type="auto"/>
            <w:hideMark/>
          </w:tcPr>
          <w:p w14:paraId="66FF62AC"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Silt (%)</w:t>
            </w:r>
          </w:p>
        </w:tc>
        <w:tc>
          <w:tcPr>
            <w:tcW w:w="0" w:type="auto"/>
            <w:hideMark/>
          </w:tcPr>
          <w:p w14:paraId="6E795DE9"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Textural class</w:t>
            </w:r>
          </w:p>
        </w:tc>
      </w:tr>
      <w:tr w:rsidR="00937A35" w:rsidRPr="00EB3964" w14:paraId="55DDB098" w14:textId="77777777" w:rsidTr="00BD6BB3">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2A6192E"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Biochar</w:t>
            </w:r>
          </w:p>
        </w:tc>
        <w:tc>
          <w:tcPr>
            <w:tcW w:w="0" w:type="auto"/>
            <w:shd w:val="clear" w:color="auto" w:fill="auto"/>
            <w:hideMark/>
          </w:tcPr>
          <w:p w14:paraId="4920E768"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74.20</w:t>
            </w:r>
            <w:r w:rsidRPr="00EB3964">
              <w:rPr>
                <w:rFonts w:ascii="Times New Roman" w:hAnsi="Times New Roman" w:cs="Times New Roman"/>
                <w:highlight w:val="yellow"/>
                <w:vertAlign w:val="superscript"/>
              </w:rPr>
              <w:t>b</w:t>
            </w:r>
          </w:p>
        </w:tc>
        <w:tc>
          <w:tcPr>
            <w:tcW w:w="0" w:type="auto"/>
            <w:shd w:val="clear" w:color="auto" w:fill="auto"/>
            <w:hideMark/>
          </w:tcPr>
          <w:p w14:paraId="0E5A57A0"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8.60</w:t>
            </w:r>
            <w:r w:rsidRPr="00EB3964">
              <w:rPr>
                <w:rFonts w:ascii="Times New Roman" w:hAnsi="Times New Roman" w:cs="Times New Roman"/>
                <w:highlight w:val="yellow"/>
                <w:vertAlign w:val="superscript"/>
              </w:rPr>
              <w:t>a</w:t>
            </w:r>
          </w:p>
        </w:tc>
        <w:tc>
          <w:tcPr>
            <w:tcW w:w="0" w:type="auto"/>
            <w:shd w:val="clear" w:color="auto" w:fill="auto"/>
            <w:hideMark/>
          </w:tcPr>
          <w:p w14:paraId="3AE05C9B"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17.20</w:t>
            </w:r>
            <w:r w:rsidRPr="00EB3964">
              <w:rPr>
                <w:rFonts w:ascii="Times New Roman" w:hAnsi="Times New Roman" w:cs="Times New Roman"/>
                <w:highlight w:val="yellow"/>
                <w:vertAlign w:val="superscript"/>
              </w:rPr>
              <w:t>a</w:t>
            </w:r>
          </w:p>
        </w:tc>
        <w:tc>
          <w:tcPr>
            <w:tcW w:w="0" w:type="auto"/>
            <w:shd w:val="clear" w:color="auto" w:fill="auto"/>
            <w:hideMark/>
          </w:tcPr>
          <w:p w14:paraId="4C4D8B16"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7EC8095E" w14:textId="77777777" w:rsidTr="00BD6BB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34CC9CBF"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Trichoderma</w:t>
            </w:r>
          </w:p>
        </w:tc>
        <w:tc>
          <w:tcPr>
            <w:tcW w:w="0" w:type="auto"/>
            <w:hideMark/>
          </w:tcPr>
          <w:p w14:paraId="28A629F3"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74.50</w:t>
            </w:r>
            <w:r w:rsidRPr="00EB3964">
              <w:rPr>
                <w:rFonts w:ascii="Times New Roman" w:hAnsi="Times New Roman" w:cs="Times New Roman"/>
                <w:highlight w:val="yellow"/>
                <w:vertAlign w:val="superscript"/>
              </w:rPr>
              <w:t>b</w:t>
            </w:r>
          </w:p>
        </w:tc>
        <w:tc>
          <w:tcPr>
            <w:tcW w:w="0" w:type="auto"/>
            <w:hideMark/>
          </w:tcPr>
          <w:p w14:paraId="09A40B99"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8.40</w:t>
            </w:r>
            <w:r w:rsidRPr="00EB3964">
              <w:rPr>
                <w:rFonts w:ascii="Times New Roman" w:hAnsi="Times New Roman" w:cs="Times New Roman"/>
                <w:highlight w:val="yellow"/>
                <w:vertAlign w:val="superscript"/>
              </w:rPr>
              <w:t>a</w:t>
            </w:r>
          </w:p>
        </w:tc>
        <w:tc>
          <w:tcPr>
            <w:tcW w:w="0" w:type="auto"/>
            <w:hideMark/>
          </w:tcPr>
          <w:p w14:paraId="755DA886"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17.10</w:t>
            </w:r>
            <w:r w:rsidRPr="00EB3964">
              <w:rPr>
                <w:rFonts w:ascii="Times New Roman" w:hAnsi="Times New Roman" w:cs="Times New Roman"/>
                <w:highlight w:val="yellow"/>
                <w:vertAlign w:val="superscript"/>
              </w:rPr>
              <w:t>a</w:t>
            </w:r>
          </w:p>
        </w:tc>
        <w:tc>
          <w:tcPr>
            <w:tcW w:w="0" w:type="auto"/>
            <w:hideMark/>
          </w:tcPr>
          <w:p w14:paraId="25170282"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7C87F3E7" w14:textId="77777777" w:rsidTr="00BD6BB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B1C5AAD"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40% FC</w:t>
            </w:r>
          </w:p>
        </w:tc>
        <w:tc>
          <w:tcPr>
            <w:tcW w:w="0" w:type="auto"/>
            <w:shd w:val="clear" w:color="auto" w:fill="auto"/>
            <w:hideMark/>
          </w:tcPr>
          <w:p w14:paraId="69CF7EAE"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78.80</w:t>
            </w:r>
            <w:r w:rsidRPr="00EB3964">
              <w:rPr>
                <w:rFonts w:ascii="Times New Roman" w:hAnsi="Times New Roman" w:cs="Times New Roman"/>
                <w:highlight w:val="yellow"/>
                <w:vertAlign w:val="superscript"/>
              </w:rPr>
              <w:t>a</w:t>
            </w:r>
          </w:p>
        </w:tc>
        <w:tc>
          <w:tcPr>
            <w:tcW w:w="0" w:type="auto"/>
            <w:shd w:val="clear" w:color="auto" w:fill="auto"/>
            <w:hideMark/>
          </w:tcPr>
          <w:p w14:paraId="583BBF43"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8.30</w:t>
            </w:r>
            <w:r w:rsidRPr="00EB3964">
              <w:rPr>
                <w:rFonts w:ascii="Times New Roman" w:hAnsi="Times New Roman" w:cs="Times New Roman"/>
                <w:highlight w:val="yellow"/>
                <w:vertAlign w:val="superscript"/>
              </w:rPr>
              <w:t>a</w:t>
            </w:r>
          </w:p>
        </w:tc>
        <w:tc>
          <w:tcPr>
            <w:tcW w:w="0" w:type="auto"/>
            <w:shd w:val="clear" w:color="auto" w:fill="auto"/>
            <w:hideMark/>
          </w:tcPr>
          <w:p w14:paraId="07255651"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12.90</w:t>
            </w:r>
            <w:r w:rsidRPr="00EB3964">
              <w:rPr>
                <w:rFonts w:ascii="Times New Roman" w:hAnsi="Times New Roman" w:cs="Times New Roman"/>
                <w:highlight w:val="yellow"/>
                <w:vertAlign w:val="superscript"/>
              </w:rPr>
              <w:t>c</w:t>
            </w:r>
          </w:p>
        </w:tc>
        <w:tc>
          <w:tcPr>
            <w:tcW w:w="0" w:type="auto"/>
            <w:shd w:val="clear" w:color="auto" w:fill="auto"/>
            <w:hideMark/>
          </w:tcPr>
          <w:p w14:paraId="3E6D2742"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54A52E09" w14:textId="77777777" w:rsidTr="00BD6BB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06A4D876"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60% FC</w:t>
            </w:r>
          </w:p>
        </w:tc>
        <w:tc>
          <w:tcPr>
            <w:tcW w:w="0" w:type="auto"/>
            <w:hideMark/>
          </w:tcPr>
          <w:p w14:paraId="7D10DDF0"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77.90</w:t>
            </w:r>
            <w:r w:rsidRPr="00EB3964">
              <w:rPr>
                <w:rFonts w:ascii="Times New Roman" w:hAnsi="Times New Roman" w:cs="Times New Roman"/>
                <w:highlight w:val="yellow"/>
                <w:vertAlign w:val="superscript"/>
              </w:rPr>
              <w:t>a</w:t>
            </w:r>
          </w:p>
        </w:tc>
        <w:tc>
          <w:tcPr>
            <w:tcW w:w="0" w:type="auto"/>
            <w:hideMark/>
          </w:tcPr>
          <w:p w14:paraId="0B1F2D70"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8.90</w:t>
            </w:r>
            <w:r w:rsidRPr="00EB3964">
              <w:rPr>
                <w:rFonts w:ascii="Times New Roman" w:hAnsi="Times New Roman" w:cs="Times New Roman"/>
                <w:highlight w:val="yellow"/>
                <w:vertAlign w:val="superscript"/>
              </w:rPr>
              <w:t>a</w:t>
            </w:r>
          </w:p>
        </w:tc>
        <w:tc>
          <w:tcPr>
            <w:tcW w:w="0" w:type="auto"/>
            <w:hideMark/>
          </w:tcPr>
          <w:p w14:paraId="461ECEDF"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13.20</w:t>
            </w:r>
            <w:r w:rsidRPr="00EB3964">
              <w:rPr>
                <w:rFonts w:ascii="Times New Roman" w:hAnsi="Times New Roman" w:cs="Times New Roman"/>
                <w:highlight w:val="yellow"/>
                <w:vertAlign w:val="superscript"/>
              </w:rPr>
              <w:t>bc</w:t>
            </w:r>
          </w:p>
        </w:tc>
        <w:tc>
          <w:tcPr>
            <w:tcW w:w="0" w:type="auto"/>
            <w:hideMark/>
          </w:tcPr>
          <w:p w14:paraId="26F308C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3E68DCD2" w14:textId="77777777" w:rsidTr="00BD6BB3">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FE3E463"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100% FC</w:t>
            </w:r>
          </w:p>
        </w:tc>
        <w:tc>
          <w:tcPr>
            <w:tcW w:w="0" w:type="auto"/>
            <w:shd w:val="clear" w:color="auto" w:fill="auto"/>
            <w:hideMark/>
          </w:tcPr>
          <w:p w14:paraId="44BD90FE"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77.20</w:t>
            </w:r>
            <w:r w:rsidRPr="00EB3964">
              <w:rPr>
                <w:rFonts w:ascii="Times New Roman" w:hAnsi="Times New Roman" w:cs="Times New Roman"/>
                <w:highlight w:val="yellow"/>
                <w:vertAlign w:val="superscript"/>
              </w:rPr>
              <w:t>a</w:t>
            </w:r>
          </w:p>
        </w:tc>
        <w:tc>
          <w:tcPr>
            <w:tcW w:w="0" w:type="auto"/>
            <w:shd w:val="clear" w:color="auto" w:fill="auto"/>
            <w:hideMark/>
          </w:tcPr>
          <w:p w14:paraId="377030B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9.10</w:t>
            </w:r>
            <w:r w:rsidRPr="00EB3964">
              <w:rPr>
                <w:rFonts w:ascii="Times New Roman" w:hAnsi="Times New Roman" w:cs="Times New Roman"/>
                <w:highlight w:val="yellow"/>
                <w:vertAlign w:val="superscript"/>
              </w:rPr>
              <w:t>a</w:t>
            </w:r>
          </w:p>
        </w:tc>
        <w:tc>
          <w:tcPr>
            <w:tcW w:w="0" w:type="auto"/>
            <w:shd w:val="clear" w:color="auto" w:fill="auto"/>
            <w:hideMark/>
          </w:tcPr>
          <w:p w14:paraId="660AEC5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13.70</w:t>
            </w:r>
            <w:r w:rsidRPr="00EB3964">
              <w:rPr>
                <w:rFonts w:ascii="Times New Roman" w:hAnsi="Times New Roman" w:cs="Times New Roman"/>
                <w:highlight w:val="yellow"/>
                <w:vertAlign w:val="superscript"/>
              </w:rPr>
              <w:t>bc</w:t>
            </w:r>
          </w:p>
        </w:tc>
        <w:tc>
          <w:tcPr>
            <w:tcW w:w="0" w:type="auto"/>
            <w:shd w:val="clear" w:color="auto" w:fill="auto"/>
            <w:hideMark/>
          </w:tcPr>
          <w:p w14:paraId="4C1AE24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6A1AF547" w14:textId="77777777" w:rsidTr="00BD6BB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57EC423F"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B + 40% FC</w:t>
            </w:r>
          </w:p>
        </w:tc>
        <w:tc>
          <w:tcPr>
            <w:tcW w:w="0" w:type="auto"/>
            <w:hideMark/>
          </w:tcPr>
          <w:p w14:paraId="1DB6628D"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77.50</w:t>
            </w:r>
            <w:r w:rsidRPr="00EB3964">
              <w:rPr>
                <w:rFonts w:ascii="Times New Roman" w:hAnsi="Times New Roman" w:cs="Times New Roman"/>
                <w:highlight w:val="yellow"/>
                <w:vertAlign w:val="superscript"/>
              </w:rPr>
              <w:t>a</w:t>
            </w:r>
          </w:p>
        </w:tc>
        <w:tc>
          <w:tcPr>
            <w:tcW w:w="0" w:type="auto"/>
            <w:hideMark/>
          </w:tcPr>
          <w:p w14:paraId="78EF71C4"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9.00</w:t>
            </w:r>
            <w:r w:rsidRPr="00EB3964">
              <w:rPr>
                <w:rFonts w:ascii="Times New Roman" w:hAnsi="Times New Roman" w:cs="Times New Roman"/>
                <w:highlight w:val="yellow"/>
                <w:vertAlign w:val="superscript"/>
              </w:rPr>
              <w:t>a</w:t>
            </w:r>
          </w:p>
        </w:tc>
        <w:tc>
          <w:tcPr>
            <w:tcW w:w="0" w:type="auto"/>
            <w:hideMark/>
          </w:tcPr>
          <w:p w14:paraId="14EC7566"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13.50</w:t>
            </w:r>
            <w:r w:rsidRPr="00EB3964">
              <w:rPr>
                <w:rFonts w:ascii="Times New Roman" w:hAnsi="Times New Roman" w:cs="Times New Roman"/>
                <w:highlight w:val="yellow"/>
                <w:vertAlign w:val="superscript"/>
              </w:rPr>
              <w:t>bc</w:t>
            </w:r>
          </w:p>
        </w:tc>
        <w:tc>
          <w:tcPr>
            <w:tcW w:w="0" w:type="auto"/>
            <w:hideMark/>
          </w:tcPr>
          <w:p w14:paraId="4E609402"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7F3C8088" w14:textId="77777777" w:rsidTr="00BD6BB3">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7409BDB"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B + 60% FC</w:t>
            </w:r>
          </w:p>
        </w:tc>
        <w:tc>
          <w:tcPr>
            <w:tcW w:w="0" w:type="auto"/>
            <w:shd w:val="clear" w:color="auto" w:fill="auto"/>
            <w:hideMark/>
          </w:tcPr>
          <w:p w14:paraId="74A7EC15"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76.80</w:t>
            </w:r>
            <w:r w:rsidRPr="00EB3964">
              <w:rPr>
                <w:rFonts w:ascii="Times New Roman" w:hAnsi="Times New Roman" w:cs="Times New Roman"/>
                <w:highlight w:val="yellow"/>
                <w:vertAlign w:val="superscript"/>
              </w:rPr>
              <w:t>ab</w:t>
            </w:r>
          </w:p>
        </w:tc>
        <w:tc>
          <w:tcPr>
            <w:tcW w:w="0" w:type="auto"/>
            <w:shd w:val="clear" w:color="auto" w:fill="auto"/>
            <w:hideMark/>
          </w:tcPr>
          <w:p w14:paraId="6918E56D"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9.20</w:t>
            </w:r>
            <w:r w:rsidRPr="00EB3964">
              <w:rPr>
                <w:rFonts w:ascii="Times New Roman" w:hAnsi="Times New Roman" w:cs="Times New Roman"/>
                <w:highlight w:val="yellow"/>
                <w:vertAlign w:val="superscript"/>
              </w:rPr>
              <w:t>a</w:t>
            </w:r>
          </w:p>
        </w:tc>
        <w:tc>
          <w:tcPr>
            <w:tcW w:w="0" w:type="auto"/>
            <w:shd w:val="clear" w:color="auto" w:fill="auto"/>
            <w:hideMark/>
          </w:tcPr>
          <w:p w14:paraId="7B2673EA"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14.00</w:t>
            </w:r>
            <w:r w:rsidRPr="00EB3964">
              <w:rPr>
                <w:rFonts w:ascii="Times New Roman" w:hAnsi="Times New Roman" w:cs="Times New Roman"/>
                <w:highlight w:val="yellow"/>
                <w:vertAlign w:val="superscript"/>
              </w:rPr>
              <w:t>b</w:t>
            </w:r>
          </w:p>
        </w:tc>
        <w:tc>
          <w:tcPr>
            <w:tcW w:w="0" w:type="auto"/>
            <w:shd w:val="clear" w:color="auto" w:fill="auto"/>
            <w:hideMark/>
          </w:tcPr>
          <w:p w14:paraId="0D39D8BD"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77CD511F" w14:textId="77777777" w:rsidTr="00BD6BB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4F1BD23F"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B + 100% FC</w:t>
            </w:r>
          </w:p>
        </w:tc>
        <w:tc>
          <w:tcPr>
            <w:tcW w:w="0" w:type="auto"/>
            <w:hideMark/>
          </w:tcPr>
          <w:p w14:paraId="795DAA01"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76.00</w:t>
            </w:r>
            <w:r w:rsidRPr="00EB3964">
              <w:rPr>
                <w:rFonts w:ascii="Times New Roman" w:hAnsi="Times New Roman" w:cs="Times New Roman"/>
                <w:highlight w:val="yellow"/>
                <w:vertAlign w:val="superscript"/>
              </w:rPr>
              <w:t>ab</w:t>
            </w:r>
          </w:p>
        </w:tc>
        <w:tc>
          <w:tcPr>
            <w:tcW w:w="0" w:type="auto"/>
            <w:hideMark/>
          </w:tcPr>
          <w:p w14:paraId="194FD084"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9.40</w:t>
            </w:r>
            <w:r w:rsidRPr="00EB3964">
              <w:rPr>
                <w:rFonts w:ascii="Times New Roman" w:hAnsi="Times New Roman" w:cs="Times New Roman"/>
                <w:highlight w:val="yellow"/>
                <w:vertAlign w:val="superscript"/>
              </w:rPr>
              <w:t>a</w:t>
            </w:r>
          </w:p>
        </w:tc>
        <w:tc>
          <w:tcPr>
            <w:tcW w:w="0" w:type="auto"/>
            <w:hideMark/>
          </w:tcPr>
          <w:p w14:paraId="25FF1E03"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14.60</w:t>
            </w:r>
            <w:r w:rsidRPr="00EB3964">
              <w:rPr>
                <w:rFonts w:ascii="Times New Roman" w:hAnsi="Times New Roman" w:cs="Times New Roman"/>
                <w:highlight w:val="yellow"/>
                <w:vertAlign w:val="superscript"/>
              </w:rPr>
              <w:t>b</w:t>
            </w:r>
          </w:p>
        </w:tc>
        <w:tc>
          <w:tcPr>
            <w:tcW w:w="0" w:type="auto"/>
            <w:hideMark/>
          </w:tcPr>
          <w:p w14:paraId="472F2C8F"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6A526277" w14:textId="77777777" w:rsidTr="00BD6BB3">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AAE170A"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T + 40% FC</w:t>
            </w:r>
          </w:p>
        </w:tc>
        <w:tc>
          <w:tcPr>
            <w:tcW w:w="0" w:type="auto"/>
            <w:shd w:val="clear" w:color="auto" w:fill="auto"/>
            <w:hideMark/>
          </w:tcPr>
          <w:p w14:paraId="23B68904"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77.60</w:t>
            </w:r>
            <w:r w:rsidRPr="00EB3964">
              <w:rPr>
                <w:rFonts w:ascii="Times New Roman" w:hAnsi="Times New Roman" w:cs="Times New Roman"/>
                <w:highlight w:val="yellow"/>
                <w:vertAlign w:val="superscript"/>
              </w:rPr>
              <w:t>a</w:t>
            </w:r>
          </w:p>
        </w:tc>
        <w:tc>
          <w:tcPr>
            <w:tcW w:w="0" w:type="auto"/>
            <w:shd w:val="clear" w:color="auto" w:fill="auto"/>
            <w:hideMark/>
          </w:tcPr>
          <w:p w14:paraId="2CB322A4"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8.80</w:t>
            </w:r>
            <w:r w:rsidRPr="00EB3964">
              <w:rPr>
                <w:rFonts w:ascii="Times New Roman" w:hAnsi="Times New Roman" w:cs="Times New Roman"/>
                <w:highlight w:val="yellow"/>
                <w:vertAlign w:val="superscript"/>
              </w:rPr>
              <w:t>a</w:t>
            </w:r>
          </w:p>
        </w:tc>
        <w:tc>
          <w:tcPr>
            <w:tcW w:w="0" w:type="auto"/>
            <w:shd w:val="clear" w:color="auto" w:fill="auto"/>
            <w:hideMark/>
          </w:tcPr>
          <w:p w14:paraId="6F44AC4A"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13.60</w:t>
            </w:r>
            <w:r w:rsidRPr="00EB3964">
              <w:rPr>
                <w:rFonts w:ascii="Times New Roman" w:hAnsi="Times New Roman" w:cs="Times New Roman"/>
                <w:highlight w:val="yellow"/>
                <w:vertAlign w:val="superscript"/>
              </w:rPr>
              <w:t>bc</w:t>
            </w:r>
          </w:p>
        </w:tc>
        <w:tc>
          <w:tcPr>
            <w:tcW w:w="0" w:type="auto"/>
            <w:shd w:val="clear" w:color="auto" w:fill="auto"/>
            <w:hideMark/>
          </w:tcPr>
          <w:p w14:paraId="3892945C"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37F73DFF" w14:textId="77777777" w:rsidTr="00BD6BB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75984F49"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T + 60% FC</w:t>
            </w:r>
          </w:p>
        </w:tc>
        <w:tc>
          <w:tcPr>
            <w:tcW w:w="0" w:type="auto"/>
            <w:hideMark/>
          </w:tcPr>
          <w:p w14:paraId="6F269E79"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76.90</w:t>
            </w:r>
            <w:r w:rsidRPr="00EB3964">
              <w:rPr>
                <w:rFonts w:ascii="Times New Roman" w:hAnsi="Times New Roman" w:cs="Times New Roman"/>
                <w:highlight w:val="yellow"/>
                <w:vertAlign w:val="superscript"/>
              </w:rPr>
              <w:t>ab</w:t>
            </w:r>
          </w:p>
        </w:tc>
        <w:tc>
          <w:tcPr>
            <w:tcW w:w="0" w:type="auto"/>
            <w:hideMark/>
          </w:tcPr>
          <w:p w14:paraId="379A8B02"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9.10</w:t>
            </w:r>
            <w:r w:rsidRPr="00EB3964">
              <w:rPr>
                <w:rFonts w:ascii="Times New Roman" w:hAnsi="Times New Roman" w:cs="Times New Roman"/>
                <w:highlight w:val="yellow"/>
                <w:vertAlign w:val="superscript"/>
              </w:rPr>
              <w:t>a</w:t>
            </w:r>
          </w:p>
        </w:tc>
        <w:tc>
          <w:tcPr>
            <w:tcW w:w="0" w:type="auto"/>
            <w:hideMark/>
          </w:tcPr>
          <w:p w14:paraId="3ED399BA"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14.00</w:t>
            </w:r>
            <w:r w:rsidRPr="00EB3964">
              <w:rPr>
                <w:rFonts w:ascii="Times New Roman" w:hAnsi="Times New Roman" w:cs="Times New Roman"/>
                <w:highlight w:val="yellow"/>
                <w:vertAlign w:val="superscript"/>
              </w:rPr>
              <w:t>b</w:t>
            </w:r>
          </w:p>
        </w:tc>
        <w:tc>
          <w:tcPr>
            <w:tcW w:w="0" w:type="auto"/>
            <w:hideMark/>
          </w:tcPr>
          <w:p w14:paraId="56BD51C8"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19EB6890" w14:textId="77777777" w:rsidTr="00BD6BB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3123F66"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T + 100% FC</w:t>
            </w:r>
          </w:p>
        </w:tc>
        <w:tc>
          <w:tcPr>
            <w:tcW w:w="0" w:type="auto"/>
            <w:shd w:val="clear" w:color="auto" w:fill="auto"/>
            <w:hideMark/>
          </w:tcPr>
          <w:p w14:paraId="0E16E4C7"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76.30</w:t>
            </w:r>
            <w:r w:rsidRPr="00EB3964">
              <w:rPr>
                <w:rFonts w:ascii="Times New Roman" w:hAnsi="Times New Roman" w:cs="Times New Roman"/>
                <w:highlight w:val="yellow"/>
                <w:vertAlign w:val="superscript"/>
              </w:rPr>
              <w:t>ab</w:t>
            </w:r>
          </w:p>
        </w:tc>
        <w:tc>
          <w:tcPr>
            <w:tcW w:w="0" w:type="auto"/>
            <w:shd w:val="clear" w:color="auto" w:fill="auto"/>
            <w:hideMark/>
          </w:tcPr>
          <w:p w14:paraId="1F536D07"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9.30</w:t>
            </w:r>
            <w:r w:rsidRPr="00EB3964">
              <w:rPr>
                <w:rFonts w:ascii="Times New Roman" w:hAnsi="Times New Roman" w:cs="Times New Roman"/>
                <w:highlight w:val="yellow"/>
                <w:vertAlign w:val="superscript"/>
              </w:rPr>
              <w:t>a</w:t>
            </w:r>
          </w:p>
        </w:tc>
        <w:tc>
          <w:tcPr>
            <w:tcW w:w="0" w:type="auto"/>
            <w:shd w:val="clear" w:color="auto" w:fill="auto"/>
            <w:hideMark/>
          </w:tcPr>
          <w:p w14:paraId="5E8A6B00"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14.40</w:t>
            </w:r>
            <w:r w:rsidRPr="00EB3964">
              <w:rPr>
                <w:rFonts w:ascii="Times New Roman" w:hAnsi="Times New Roman" w:cs="Times New Roman"/>
                <w:highlight w:val="yellow"/>
                <w:vertAlign w:val="superscript"/>
              </w:rPr>
              <w:t>b</w:t>
            </w:r>
          </w:p>
        </w:tc>
        <w:tc>
          <w:tcPr>
            <w:tcW w:w="0" w:type="auto"/>
            <w:shd w:val="clear" w:color="auto" w:fill="auto"/>
            <w:hideMark/>
          </w:tcPr>
          <w:p w14:paraId="7F37C772"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4B63AB07" w14:textId="77777777" w:rsidTr="00BD6BB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7717116F"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B + T + 40% FC</w:t>
            </w:r>
          </w:p>
        </w:tc>
        <w:tc>
          <w:tcPr>
            <w:tcW w:w="0" w:type="auto"/>
            <w:hideMark/>
          </w:tcPr>
          <w:p w14:paraId="4B04C736"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77.10</w:t>
            </w:r>
            <w:r w:rsidRPr="00EB3964">
              <w:rPr>
                <w:rFonts w:ascii="Times New Roman" w:hAnsi="Times New Roman" w:cs="Times New Roman"/>
                <w:highlight w:val="yellow"/>
                <w:vertAlign w:val="superscript"/>
              </w:rPr>
              <w:t>a</w:t>
            </w:r>
          </w:p>
        </w:tc>
        <w:tc>
          <w:tcPr>
            <w:tcW w:w="0" w:type="auto"/>
            <w:hideMark/>
          </w:tcPr>
          <w:p w14:paraId="115B2E13"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9.00</w:t>
            </w:r>
            <w:r w:rsidRPr="00EB3964">
              <w:rPr>
                <w:rFonts w:ascii="Times New Roman" w:hAnsi="Times New Roman" w:cs="Times New Roman"/>
                <w:highlight w:val="yellow"/>
                <w:vertAlign w:val="superscript"/>
              </w:rPr>
              <w:t>a</w:t>
            </w:r>
          </w:p>
        </w:tc>
        <w:tc>
          <w:tcPr>
            <w:tcW w:w="0" w:type="auto"/>
            <w:hideMark/>
          </w:tcPr>
          <w:p w14:paraId="72033F01"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13.90</w:t>
            </w:r>
            <w:r w:rsidRPr="00EB3964">
              <w:rPr>
                <w:rFonts w:ascii="Times New Roman" w:hAnsi="Times New Roman" w:cs="Times New Roman"/>
                <w:highlight w:val="yellow"/>
                <w:vertAlign w:val="superscript"/>
              </w:rPr>
              <w:t>b</w:t>
            </w:r>
          </w:p>
        </w:tc>
        <w:tc>
          <w:tcPr>
            <w:tcW w:w="0" w:type="auto"/>
            <w:hideMark/>
          </w:tcPr>
          <w:p w14:paraId="0194FABC"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5DB36E23" w14:textId="77777777" w:rsidTr="00BD6BB3">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9A5163E"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B + T + 60% FC</w:t>
            </w:r>
          </w:p>
        </w:tc>
        <w:tc>
          <w:tcPr>
            <w:tcW w:w="0" w:type="auto"/>
            <w:shd w:val="clear" w:color="auto" w:fill="auto"/>
            <w:hideMark/>
          </w:tcPr>
          <w:p w14:paraId="5D5320A3"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76.40</w:t>
            </w:r>
            <w:r w:rsidRPr="00EB3964">
              <w:rPr>
                <w:rFonts w:ascii="Times New Roman" w:hAnsi="Times New Roman" w:cs="Times New Roman"/>
                <w:highlight w:val="yellow"/>
                <w:vertAlign w:val="superscript"/>
              </w:rPr>
              <w:t>ab</w:t>
            </w:r>
          </w:p>
        </w:tc>
        <w:tc>
          <w:tcPr>
            <w:tcW w:w="0" w:type="auto"/>
            <w:shd w:val="clear" w:color="auto" w:fill="auto"/>
            <w:hideMark/>
          </w:tcPr>
          <w:p w14:paraId="5917FE6E"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9.30</w:t>
            </w:r>
            <w:r w:rsidRPr="00EB3964">
              <w:rPr>
                <w:rFonts w:ascii="Times New Roman" w:hAnsi="Times New Roman" w:cs="Times New Roman"/>
                <w:highlight w:val="yellow"/>
                <w:vertAlign w:val="superscript"/>
              </w:rPr>
              <w:t>a</w:t>
            </w:r>
          </w:p>
        </w:tc>
        <w:tc>
          <w:tcPr>
            <w:tcW w:w="0" w:type="auto"/>
            <w:shd w:val="clear" w:color="auto" w:fill="auto"/>
            <w:hideMark/>
          </w:tcPr>
          <w:p w14:paraId="0888AD69"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14.30</w:t>
            </w:r>
            <w:r w:rsidRPr="00EB3964">
              <w:rPr>
                <w:rFonts w:ascii="Times New Roman" w:hAnsi="Times New Roman" w:cs="Times New Roman"/>
                <w:highlight w:val="yellow"/>
                <w:vertAlign w:val="superscript"/>
              </w:rPr>
              <w:t>b</w:t>
            </w:r>
          </w:p>
        </w:tc>
        <w:tc>
          <w:tcPr>
            <w:tcW w:w="0" w:type="auto"/>
            <w:shd w:val="clear" w:color="auto" w:fill="auto"/>
            <w:hideMark/>
          </w:tcPr>
          <w:p w14:paraId="7E715AC0"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r w:rsidR="00937A35" w:rsidRPr="00EB3964" w14:paraId="69F5AAD6" w14:textId="77777777" w:rsidTr="00BD6BB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47950E41" w14:textId="77777777" w:rsidR="00937A35" w:rsidRPr="00EB3964" w:rsidRDefault="00937A35" w:rsidP="00BD6BB3">
            <w:pPr>
              <w:spacing w:line="278" w:lineRule="auto"/>
              <w:jc w:val="center"/>
              <w:rPr>
                <w:rFonts w:ascii="Times New Roman" w:hAnsi="Times New Roman" w:cs="Times New Roman"/>
                <w:b w:val="0"/>
                <w:bCs w:val="0"/>
                <w:highlight w:val="yellow"/>
              </w:rPr>
            </w:pPr>
            <w:r w:rsidRPr="00EB3964">
              <w:rPr>
                <w:rFonts w:ascii="Times New Roman" w:hAnsi="Times New Roman" w:cs="Times New Roman"/>
                <w:b w:val="0"/>
                <w:bCs w:val="0"/>
                <w:highlight w:val="yellow"/>
              </w:rPr>
              <w:t>B + T + 100% FC</w:t>
            </w:r>
          </w:p>
        </w:tc>
        <w:tc>
          <w:tcPr>
            <w:tcW w:w="0" w:type="auto"/>
            <w:hideMark/>
          </w:tcPr>
          <w:p w14:paraId="3C50AFC7"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75.80</w:t>
            </w:r>
            <w:r w:rsidRPr="00EB3964">
              <w:rPr>
                <w:rFonts w:ascii="Times New Roman" w:hAnsi="Times New Roman" w:cs="Times New Roman"/>
                <w:highlight w:val="yellow"/>
                <w:vertAlign w:val="superscript"/>
              </w:rPr>
              <w:t>ab</w:t>
            </w:r>
          </w:p>
        </w:tc>
        <w:tc>
          <w:tcPr>
            <w:tcW w:w="0" w:type="auto"/>
            <w:hideMark/>
          </w:tcPr>
          <w:p w14:paraId="7E7428CD"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9.50</w:t>
            </w:r>
            <w:r w:rsidRPr="00EB3964">
              <w:rPr>
                <w:rFonts w:ascii="Times New Roman" w:hAnsi="Times New Roman" w:cs="Times New Roman"/>
                <w:highlight w:val="yellow"/>
                <w:vertAlign w:val="superscript"/>
              </w:rPr>
              <w:t>a</w:t>
            </w:r>
          </w:p>
        </w:tc>
        <w:tc>
          <w:tcPr>
            <w:tcW w:w="0" w:type="auto"/>
            <w:hideMark/>
          </w:tcPr>
          <w:p w14:paraId="494E3390"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14.70</w:t>
            </w:r>
            <w:r w:rsidRPr="00EB3964">
              <w:rPr>
                <w:rFonts w:ascii="Times New Roman" w:hAnsi="Times New Roman" w:cs="Times New Roman"/>
                <w:highlight w:val="yellow"/>
                <w:vertAlign w:val="superscript"/>
              </w:rPr>
              <w:t>b</w:t>
            </w:r>
          </w:p>
        </w:tc>
        <w:tc>
          <w:tcPr>
            <w:tcW w:w="0" w:type="auto"/>
            <w:hideMark/>
          </w:tcPr>
          <w:p w14:paraId="581CF526"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Sandy loam</w:t>
            </w:r>
          </w:p>
        </w:tc>
      </w:tr>
    </w:tbl>
    <w:p w14:paraId="10A7D380" w14:textId="77777777" w:rsidR="00937A35" w:rsidRPr="00EB3964" w:rsidRDefault="00937A35" w:rsidP="00937A35">
      <w:pPr>
        <w:tabs>
          <w:tab w:val="left" w:pos="2880"/>
        </w:tabs>
        <w:spacing w:after="0" w:line="276" w:lineRule="auto"/>
        <w:ind w:right="-810"/>
        <w:rPr>
          <w:rFonts w:ascii="Times New Roman" w:hAnsi="Times New Roman" w:cs="Times New Roman"/>
          <w:i/>
          <w:highlight w:val="yellow"/>
        </w:rPr>
      </w:pPr>
      <w:r w:rsidRPr="00EB3964">
        <w:rPr>
          <w:rFonts w:ascii="Times New Roman" w:hAnsi="Times New Roman" w:cs="Times New Roman"/>
          <w:highlight w:val="yellow"/>
        </w:rPr>
        <w:t xml:space="preserve">Mean with the same letter(s) in superscript on the same column are not significantly different at p=0.05(Tukey HSD). FC = Field capacity; B = Biochar; T = </w:t>
      </w:r>
      <w:r w:rsidRPr="00EB3964">
        <w:rPr>
          <w:rFonts w:ascii="Times New Roman" w:hAnsi="Times New Roman" w:cs="Times New Roman"/>
          <w:i/>
          <w:highlight w:val="yellow"/>
        </w:rPr>
        <w:t xml:space="preserve">Trichoderma </w:t>
      </w:r>
      <w:proofErr w:type="spellStart"/>
      <w:r w:rsidRPr="00EB3964">
        <w:rPr>
          <w:rFonts w:ascii="Times New Roman" w:hAnsi="Times New Roman" w:cs="Times New Roman"/>
          <w:i/>
          <w:highlight w:val="yellow"/>
        </w:rPr>
        <w:t>harzianum</w:t>
      </w:r>
      <w:proofErr w:type="spellEnd"/>
    </w:p>
    <w:p w14:paraId="11697D5D" w14:textId="77777777" w:rsidR="00937A35" w:rsidRPr="00EB3964" w:rsidRDefault="00937A35" w:rsidP="00937A35">
      <w:pPr>
        <w:spacing w:line="278" w:lineRule="auto"/>
        <w:rPr>
          <w:rFonts w:ascii="Times New Roman" w:hAnsi="Times New Roman" w:cs="Times New Roman"/>
          <w:b/>
          <w:bCs/>
          <w:highlight w:val="yellow"/>
        </w:rPr>
      </w:pPr>
    </w:p>
    <w:p w14:paraId="16FB248A" w14:textId="77777777" w:rsidR="00937A35" w:rsidRPr="00EB3964" w:rsidRDefault="00937A35" w:rsidP="00937A35">
      <w:pPr>
        <w:rPr>
          <w:rFonts w:ascii="Times New Roman" w:hAnsi="Times New Roman" w:cs="Times New Roman"/>
          <w:highlight w:val="yellow"/>
        </w:rPr>
      </w:pPr>
    </w:p>
    <w:p w14:paraId="3BB58E1C" w14:textId="77777777" w:rsidR="00937A35" w:rsidRPr="00EB3964" w:rsidRDefault="00937A35" w:rsidP="00937A35">
      <w:pPr>
        <w:rPr>
          <w:rFonts w:ascii="Times New Roman" w:hAnsi="Times New Roman" w:cs="Times New Roman"/>
          <w:highlight w:val="yellow"/>
        </w:rPr>
      </w:pPr>
    </w:p>
    <w:p w14:paraId="3F19A90E" w14:textId="77777777" w:rsidR="00937A35" w:rsidRPr="00EB3964" w:rsidRDefault="00937A35" w:rsidP="00937A35">
      <w:pPr>
        <w:rPr>
          <w:rFonts w:ascii="Times New Roman" w:hAnsi="Times New Roman" w:cs="Times New Roman"/>
          <w:highlight w:val="yellow"/>
        </w:rPr>
      </w:pPr>
    </w:p>
    <w:p w14:paraId="5677529B" w14:textId="77777777" w:rsidR="00937A35" w:rsidRPr="00EB3964" w:rsidRDefault="00937A35" w:rsidP="00937A35">
      <w:pPr>
        <w:rPr>
          <w:rFonts w:ascii="Times New Roman" w:hAnsi="Times New Roman" w:cs="Times New Roman"/>
          <w:highlight w:val="yellow"/>
        </w:rPr>
      </w:pPr>
    </w:p>
    <w:p w14:paraId="3AA8D9F4" w14:textId="77777777" w:rsidR="00937A35" w:rsidRPr="00EB3964" w:rsidRDefault="00937A35" w:rsidP="00937A35">
      <w:pPr>
        <w:rPr>
          <w:rFonts w:ascii="Times New Roman" w:hAnsi="Times New Roman" w:cs="Times New Roman"/>
          <w:b/>
          <w:bCs/>
          <w:highlight w:val="yellow"/>
        </w:rPr>
      </w:pPr>
    </w:p>
    <w:p w14:paraId="7ABE30B7" w14:textId="77777777" w:rsidR="00937A35" w:rsidRPr="00EB3964" w:rsidRDefault="00937A35" w:rsidP="00937A35">
      <w:pPr>
        <w:rPr>
          <w:rFonts w:ascii="Times New Roman" w:hAnsi="Times New Roman" w:cs="Times New Roman"/>
          <w:b/>
          <w:bCs/>
          <w:highlight w:val="yellow"/>
        </w:rPr>
      </w:pPr>
    </w:p>
    <w:p w14:paraId="6D5FDCD5" w14:textId="77777777" w:rsidR="00937A35" w:rsidRPr="00EB3964" w:rsidRDefault="00937A35" w:rsidP="00937A35">
      <w:pPr>
        <w:rPr>
          <w:rFonts w:ascii="Times New Roman" w:hAnsi="Times New Roman" w:cs="Times New Roman"/>
          <w:b/>
          <w:bCs/>
          <w:highlight w:val="yellow"/>
        </w:rPr>
      </w:pPr>
    </w:p>
    <w:p w14:paraId="11A7B711" w14:textId="77777777" w:rsidR="00937A35" w:rsidRPr="00EB3964" w:rsidRDefault="00937A35" w:rsidP="00937A35">
      <w:pPr>
        <w:rPr>
          <w:rFonts w:ascii="Times New Roman" w:hAnsi="Times New Roman" w:cs="Times New Roman"/>
          <w:b/>
          <w:bCs/>
          <w:highlight w:val="yellow"/>
        </w:rPr>
      </w:pPr>
    </w:p>
    <w:p w14:paraId="6A26B900" w14:textId="77777777" w:rsidR="00937A35" w:rsidRPr="00EB3964" w:rsidRDefault="00937A35" w:rsidP="00937A35">
      <w:pPr>
        <w:rPr>
          <w:rFonts w:ascii="Times New Roman" w:hAnsi="Times New Roman" w:cs="Times New Roman"/>
          <w:b/>
          <w:bCs/>
          <w:highlight w:val="yellow"/>
        </w:rPr>
      </w:pPr>
    </w:p>
    <w:p w14:paraId="6A942D2F" w14:textId="77777777" w:rsidR="00937A35" w:rsidRPr="00EB3964" w:rsidRDefault="00937A35" w:rsidP="00937A35">
      <w:pPr>
        <w:rPr>
          <w:rFonts w:ascii="Times New Roman" w:hAnsi="Times New Roman" w:cs="Times New Roman"/>
          <w:b/>
          <w:bCs/>
          <w:highlight w:val="yellow"/>
        </w:rPr>
      </w:pPr>
    </w:p>
    <w:p w14:paraId="51964B66" w14:textId="77777777" w:rsidR="00937A35" w:rsidRPr="00EB3964" w:rsidRDefault="00937A35" w:rsidP="00937A35">
      <w:pPr>
        <w:spacing w:line="278" w:lineRule="auto"/>
        <w:rPr>
          <w:rFonts w:ascii="Times New Roman" w:hAnsi="Times New Roman" w:cs="Times New Roman"/>
          <w:b/>
          <w:bCs/>
          <w:highlight w:val="yellow"/>
        </w:rPr>
      </w:pPr>
      <w:r w:rsidRPr="00EB3964">
        <w:rPr>
          <w:rFonts w:ascii="Times New Roman" w:hAnsi="Times New Roman" w:cs="Times New Roman"/>
          <w:b/>
          <w:bCs/>
          <w:highlight w:val="yellow"/>
        </w:rPr>
        <w:t xml:space="preserve">Table 9a: </w:t>
      </w:r>
      <w:r w:rsidRPr="00EB3964">
        <w:rPr>
          <w:rFonts w:ascii="Times New Roman" w:hAnsi="Times New Roman" w:cs="Times New Roman"/>
          <w:highlight w:val="yellow"/>
        </w:rPr>
        <w:t>Soil chemical properties at termination of experiment</w:t>
      </w:r>
    </w:p>
    <w:tbl>
      <w:tblPr>
        <w:tblStyle w:val="ListTable6Colorful"/>
        <w:tblW w:w="9805" w:type="dxa"/>
        <w:tblLook w:val="04A0" w:firstRow="1" w:lastRow="0" w:firstColumn="1" w:lastColumn="0" w:noHBand="0" w:noVBand="1"/>
      </w:tblPr>
      <w:tblGrid>
        <w:gridCol w:w="1975"/>
        <w:gridCol w:w="1208"/>
        <w:gridCol w:w="1372"/>
        <w:gridCol w:w="1669"/>
        <w:gridCol w:w="1994"/>
        <w:gridCol w:w="1587"/>
      </w:tblGrid>
      <w:tr w:rsidR="00937A35" w:rsidRPr="00EB3964" w14:paraId="1E69CD81" w14:textId="77777777" w:rsidTr="00BD6BB3">
        <w:trPr>
          <w:cnfStyle w:val="100000000000" w:firstRow="1" w:lastRow="0" w:firstColumn="0" w:lastColumn="0" w:oddVBand="0" w:evenVBand="0" w:oddHBand="0"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975" w:type="dxa"/>
            <w:hideMark/>
          </w:tcPr>
          <w:p w14:paraId="0DD77468"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TREATMENTS</w:t>
            </w:r>
          </w:p>
        </w:tc>
        <w:tc>
          <w:tcPr>
            <w:tcW w:w="1208" w:type="dxa"/>
            <w:hideMark/>
          </w:tcPr>
          <w:p w14:paraId="1D995FEC" w14:textId="77777777" w:rsidR="00937A35" w:rsidRPr="00EB3964" w:rsidRDefault="00937A35" w:rsidP="00BD6BB3">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pH (1:2 H₂O)</w:t>
            </w:r>
          </w:p>
        </w:tc>
        <w:tc>
          <w:tcPr>
            <w:tcW w:w="0" w:type="auto"/>
            <w:hideMark/>
          </w:tcPr>
          <w:p w14:paraId="2001A5AC" w14:textId="77777777" w:rsidR="00937A35" w:rsidRPr="00EB3964" w:rsidRDefault="00937A35" w:rsidP="00BD6BB3">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EC (µS cm⁻¹)</w:t>
            </w:r>
          </w:p>
        </w:tc>
        <w:tc>
          <w:tcPr>
            <w:tcW w:w="0" w:type="auto"/>
            <w:hideMark/>
          </w:tcPr>
          <w:p w14:paraId="7A3D6F27" w14:textId="77777777" w:rsidR="00937A35" w:rsidRPr="00EB3964" w:rsidRDefault="00937A35" w:rsidP="00BD6BB3">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CEC (</w:t>
            </w:r>
            <w:proofErr w:type="spellStart"/>
            <w:r w:rsidRPr="00EB3964">
              <w:rPr>
                <w:rFonts w:ascii="Times New Roman" w:hAnsi="Times New Roman" w:cs="Times New Roman"/>
                <w:highlight w:val="yellow"/>
              </w:rPr>
              <w:t>cmol</w:t>
            </w:r>
            <w:proofErr w:type="spellEnd"/>
            <w:r w:rsidRPr="00EB3964">
              <w:rPr>
                <w:rFonts w:ascii="Times New Roman" w:hAnsi="Times New Roman" w:cs="Times New Roman"/>
                <w:highlight w:val="yellow"/>
              </w:rPr>
              <w:t xml:space="preserve"> kg⁻¹)</w:t>
            </w:r>
          </w:p>
        </w:tc>
        <w:tc>
          <w:tcPr>
            <w:tcW w:w="0" w:type="auto"/>
            <w:hideMark/>
          </w:tcPr>
          <w:p w14:paraId="21DE29CD" w14:textId="77777777" w:rsidR="00937A35" w:rsidRPr="00EB3964" w:rsidRDefault="00937A35" w:rsidP="00BD6BB3">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Organic matter (%)</w:t>
            </w:r>
          </w:p>
        </w:tc>
        <w:tc>
          <w:tcPr>
            <w:tcW w:w="1587" w:type="dxa"/>
            <w:hideMark/>
          </w:tcPr>
          <w:p w14:paraId="62F6500C" w14:textId="77777777" w:rsidR="00937A35" w:rsidRPr="00EB3964" w:rsidRDefault="00937A35" w:rsidP="00BD6BB3">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Organic carbon (%)</w:t>
            </w:r>
          </w:p>
        </w:tc>
      </w:tr>
      <w:tr w:rsidR="00937A35" w:rsidRPr="00EB3964" w14:paraId="6C60EFAC" w14:textId="77777777" w:rsidTr="00BD6BB3">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hideMark/>
          </w:tcPr>
          <w:p w14:paraId="5BFD8BFA"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Biochar</w:t>
            </w:r>
          </w:p>
        </w:tc>
        <w:tc>
          <w:tcPr>
            <w:tcW w:w="1208" w:type="dxa"/>
            <w:shd w:val="clear" w:color="auto" w:fill="auto"/>
            <w:hideMark/>
          </w:tcPr>
          <w:p w14:paraId="28EFE5EA"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7.42</w:t>
            </w:r>
            <w:r w:rsidRPr="00EB3964">
              <w:rPr>
                <w:rFonts w:ascii="Times New Roman" w:hAnsi="Times New Roman" w:cs="Times New Roman"/>
                <w:highlight w:val="yellow"/>
                <w:vertAlign w:val="superscript"/>
              </w:rPr>
              <w:t>a</w:t>
            </w:r>
          </w:p>
        </w:tc>
        <w:tc>
          <w:tcPr>
            <w:tcW w:w="0" w:type="auto"/>
            <w:shd w:val="clear" w:color="auto" w:fill="auto"/>
            <w:hideMark/>
          </w:tcPr>
          <w:p w14:paraId="165411A9"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420</w:t>
            </w:r>
            <w:r w:rsidRPr="00EB3964">
              <w:rPr>
                <w:rFonts w:ascii="Times New Roman" w:hAnsi="Times New Roman" w:cs="Times New Roman"/>
                <w:highlight w:val="yellow"/>
                <w:vertAlign w:val="superscript"/>
              </w:rPr>
              <w:t>ab</w:t>
            </w:r>
          </w:p>
        </w:tc>
        <w:tc>
          <w:tcPr>
            <w:tcW w:w="0" w:type="auto"/>
            <w:shd w:val="clear" w:color="auto" w:fill="auto"/>
            <w:hideMark/>
          </w:tcPr>
          <w:p w14:paraId="32363718"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13.85</w:t>
            </w:r>
            <w:r w:rsidRPr="00EB3964">
              <w:rPr>
                <w:rFonts w:ascii="Times New Roman" w:hAnsi="Times New Roman" w:cs="Times New Roman"/>
                <w:highlight w:val="yellow"/>
                <w:vertAlign w:val="superscript"/>
              </w:rPr>
              <w:t>a</w:t>
            </w:r>
          </w:p>
        </w:tc>
        <w:tc>
          <w:tcPr>
            <w:tcW w:w="0" w:type="auto"/>
            <w:shd w:val="clear" w:color="auto" w:fill="auto"/>
            <w:hideMark/>
          </w:tcPr>
          <w:p w14:paraId="64EC5E1F"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14.10</w:t>
            </w:r>
            <w:r w:rsidRPr="00EB3964">
              <w:rPr>
                <w:rFonts w:ascii="Times New Roman" w:hAnsi="Times New Roman" w:cs="Times New Roman"/>
                <w:highlight w:val="yellow"/>
                <w:vertAlign w:val="superscript"/>
              </w:rPr>
              <w:t>a</w:t>
            </w:r>
          </w:p>
        </w:tc>
        <w:tc>
          <w:tcPr>
            <w:tcW w:w="1587" w:type="dxa"/>
            <w:shd w:val="clear" w:color="auto" w:fill="auto"/>
            <w:hideMark/>
          </w:tcPr>
          <w:p w14:paraId="5AE3B343"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3.05</w:t>
            </w:r>
            <w:r w:rsidRPr="00EB3964">
              <w:rPr>
                <w:rFonts w:ascii="Times New Roman" w:hAnsi="Times New Roman" w:cs="Times New Roman"/>
                <w:highlight w:val="yellow"/>
                <w:vertAlign w:val="superscript"/>
              </w:rPr>
              <w:t>a</w:t>
            </w:r>
          </w:p>
        </w:tc>
      </w:tr>
      <w:tr w:rsidR="00937A35" w:rsidRPr="00EB3964" w14:paraId="32362145" w14:textId="77777777" w:rsidTr="00BD6BB3">
        <w:trPr>
          <w:trHeight w:val="465"/>
        </w:trPr>
        <w:tc>
          <w:tcPr>
            <w:cnfStyle w:val="001000000000" w:firstRow="0" w:lastRow="0" w:firstColumn="1" w:lastColumn="0" w:oddVBand="0" w:evenVBand="0" w:oddHBand="0" w:evenHBand="0" w:firstRowFirstColumn="0" w:firstRowLastColumn="0" w:lastRowFirstColumn="0" w:lastRowLastColumn="0"/>
            <w:tcW w:w="1975" w:type="dxa"/>
            <w:hideMark/>
          </w:tcPr>
          <w:p w14:paraId="5DD78D9F"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Trichoderma</w:t>
            </w:r>
          </w:p>
        </w:tc>
        <w:tc>
          <w:tcPr>
            <w:tcW w:w="1208" w:type="dxa"/>
            <w:hideMark/>
          </w:tcPr>
          <w:p w14:paraId="3160FB95"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7.48</w:t>
            </w:r>
            <w:r w:rsidRPr="00EB3964">
              <w:rPr>
                <w:rFonts w:ascii="Times New Roman" w:hAnsi="Times New Roman" w:cs="Times New Roman"/>
                <w:highlight w:val="yellow"/>
                <w:vertAlign w:val="superscript"/>
              </w:rPr>
              <w:t>a</w:t>
            </w:r>
          </w:p>
        </w:tc>
        <w:tc>
          <w:tcPr>
            <w:tcW w:w="0" w:type="auto"/>
            <w:hideMark/>
          </w:tcPr>
          <w:p w14:paraId="70A04F67"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360</w:t>
            </w:r>
            <w:r w:rsidRPr="00EB3964">
              <w:rPr>
                <w:rFonts w:ascii="Times New Roman" w:hAnsi="Times New Roman" w:cs="Times New Roman"/>
                <w:highlight w:val="yellow"/>
                <w:vertAlign w:val="superscript"/>
              </w:rPr>
              <w:t>bc</w:t>
            </w:r>
          </w:p>
        </w:tc>
        <w:tc>
          <w:tcPr>
            <w:tcW w:w="0" w:type="auto"/>
            <w:hideMark/>
          </w:tcPr>
          <w:p w14:paraId="51131F2C"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13.70</w:t>
            </w:r>
            <w:r w:rsidRPr="00EB3964">
              <w:rPr>
                <w:rFonts w:ascii="Times New Roman" w:hAnsi="Times New Roman" w:cs="Times New Roman"/>
                <w:highlight w:val="yellow"/>
                <w:vertAlign w:val="superscript"/>
              </w:rPr>
              <w:t>ab</w:t>
            </w:r>
          </w:p>
        </w:tc>
        <w:tc>
          <w:tcPr>
            <w:tcW w:w="0" w:type="auto"/>
            <w:hideMark/>
          </w:tcPr>
          <w:p w14:paraId="659FC575"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13.85</w:t>
            </w:r>
            <w:r w:rsidRPr="00EB3964">
              <w:rPr>
                <w:rFonts w:ascii="Times New Roman" w:hAnsi="Times New Roman" w:cs="Times New Roman"/>
                <w:highlight w:val="yellow"/>
                <w:vertAlign w:val="superscript"/>
              </w:rPr>
              <w:t>a</w:t>
            </w:r>
          </w:p>
        </w:tc>
        <w:tc>
          <w:tcPr>
            <w:tcW w:w="1587" w:type="dxa"/>
            <w:hideMark/>
          </w:tcPr>
          <w:p w14:paraId="3D66F79D"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2.85</w:t>
            </w:r>
            <w:r w:rsidRPr="00EB3964">
              <w:rPr>
                <w:rFonts w:ascii="Times New Roman" w:hAnsi="Times New Roman" w:cs="Times New Roman"/>
                <w:highlight w:val="yellow"/>
                <w:vertAlign w:val="superscript"/>
              </w:rPr>
              <w:t>ab</w:t>
            </w:r>
          </w:p>
        </w:tc>
      </w:tr>
      <w:tr w:rsidR="00937A35" w:rsidRPr="00EB3964" w14:paraId="05A9A324" w14:textId="77777777" w:rsidTr="00BD6BB3">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hideMark/>
          </w:tcPr>
          <w:p w14:paraId="61A728BC"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40% FC</w:t>
            </w:r>
          </w:p>
        </w:tc>
        <w:tc>
          <w:tcPr>
            <w:tcW w:w="1208" w:type="dxa"/>
            <w:shd w:val="clear" w:color="auto" w:fill="auto"/>
            <w:hideMark/>
          </w:tcPr>
          <w:p w14:paraId="64D297E0"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7.60</w:t>
            </w:r>
            <w:r w:rsidRPr="00EB3964">
              <w:rPr>
                <w:rFonts w:ascii="Times New Roman" w:hAnsi="Times New Roman" w:cs="Times New Roman"/>
                <w:highlight w:val="yellow"/>
                <w:vertAlign w:val="superscript"/>
              </w:rPr>
              <w:t>a</w:t>
            </w:r>
          </w:p>
        </w:tc>
        <w:tc>
          <w:tcPr>
            <w:tcW w:w="0" w:type="auto"/>
            <w:shd w:val="clear" w:color="auto" w:fill="auto"/>
            <w:hideMark/>
          </w:tcPr>
          <w:p w14:paraId="7E195592"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390</w:t>
            </w:r>
            <w:r w:rsidRPr="00EB3964">
              <w:rPr>
                <w:rFonts w:ascii="Times New Roman" w:hAnsi="Times New Roman" w:cs="Times New Roman"/>
                <w:highlight w:val="yellow"/>
                <w:vertAlign w:val="superscript"/>
              </w:rPr>
              <w:t>bc</w:t>
            </w:r>
          </w:p>
        </w:tc>
        <w:tc>
          <w:tcPr>
            <w:tcW w:w="0" w:type="auto"/>
            <w:shd w:val="clear" w:color="auto" w:fill="auto"/>
            <w:hideMark/>
          </w:tcPr>
          <w:p w14:paraId="2CF4C324"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13.45</w:t>
            </w:r>
            <w:r w:rsidRPr="00EB3964">
              <w:rPr>
                <w:rFonts w:ascii="Times New Roman" w:hAnsi="Times New Roman" w:cs="Times New Roman"/>
                <w:highlight w:val="yellow"/>
                <w:vertAlign w:val="superscript"/>
              </w:rPr>
              <w:t>bc</w:t>
            </w:r>
          </w:p>
        </w:tc>
        <w:tc>
          <w:tcPr>
            <w:tcW w:w="0" w:type="auto"/>
            <w:shd w:val="clear" w:color="auto" w:fill="auto"/>
            <w:hideMark/>
          </w:tcPr>
          <w:p w14:paraId="44EF14B8"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13.20</w:t>
            </w:r>
            <w:r w:rsidRPr="00EB3964">
              <w:rPr>
                <w:rFonts w:ascii="Times New Roman" w:hAnsi="Times New Roman" w:cs="Times New Roman"/>
                <w:highlight w:val="yellow"/>
                <w:vertAlign w:val="superscript"/>
              </w:rPr>
              <w:t>b</w:t>
            </w:r>
          </w:p>
        </w:tc>
        <w:tc>
          <w:tcPr>
            <w:tcW w:w="1587" w:type="dxa"/>
            <w:shd w:val="clear" w:color="auto" w:fill="auto"/>
            <w:hideMark/>
          </w:tcPr>
          <w:p w14:paraId="22FAAC1D"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2.65</w:t>
            </w:r>
            <w:r w:rsidRPr="00EB3964">
              <w:rPr>
                <w:rFonts w:ascii="Times New Roman" w:hAnsi="Times New Roman" w:cs="Times New Roman"/>
                <w:highlight w:val="yellow"/>
                <w:vertAlign w:val="superscript"/>
              </w:rPr>
              <w:t>bc</w:t>
            </w:r>
          </w:p>
        </w:tc>
      </w:tr>
      <w:tr w:rsidR="00937A35" w:rsidRPr="00EB3964" w14:paraId="427BC8D1" w14:textId="77777777" w:rsidTr="00BD6BB3">
        <w:trPr>
          <w:trHeight w:val="465"/>
        </w:trPr>
        <w:tc>
          <w:tcPr>
            <w:cnfStyle w:val="001000000000" w:firstRow="0" w:lastRow="0" w:firstColumn="1" w:lastColumn="0" w:oddVBand="0" w:evenVBand="0" w:oddHBand="0" w:evenHBand="0" w:firstRowFirstColumn="0" w:firstRowLastColumn="0" w:lastRowFirstColumn="0" w:lastRowLastColumn="0"/>
            <w:tcW w:w="1975" w:type="dxa"/>
            <w:hideMark/>
          </w:tcPr>
          <w:p w14:paraId="57E43DF2"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60% FC</w:t>
            </w:r>
          </w:p>
        </w:tc>
        <w:tc>
          <w:tcPr>
            <w:tcW w:w="1208" w:type="dxa"/>
            <w:hideMark/>
          </w:tcPr>
          <w:p w14:paraId="6A294AA6"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7.72</w:t>
            </w:r>
            <w:r w:rsidRPr="00EB3964">
              <w:rPr>
                <w:rFonts w:ascii="Times New Roman" w:hAnsi="Times New Roman" w:cs="Times New Roman"/>
                <w:highlight w:val="yellow"/>
                <w:vertAlign w:val="superscript"/>
              </w:rPr>
              <w:t>a</w:t>
            </w:r>
          </w:p>
        </w:tc>
        <w:tc>
          <w:tcPr>
            <w:tcW w:w="0" w:type="auto"/>
            <w:hideMark/>
          </w:tcPr>
          <w:p w14:paraId="4D21A50F"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410</w:t>
            </w:r>
            <w:r w:rsidRPr="00EB3964">
              <w:rPr>
                <w:rFonts w:ascii="Times New Roman" w:hAnsi="Times New Roman" w:cs="Times New Roman"/>
                <w:highlight w:val="yellow"/>
                <w:vertAlign w:val="superscript"/>
              </w:rPr>
              <w:t>ab</w:t>
            </w:r>
          </w:p>
        </w:tc>
        <w:tc>
          <w:tcPr>
            <w:tcW w:w="0" w:type="auto"/>
            <w:hideMark/>
          </w:tcPr>
          <w:p w14:paraId="1EC619BA"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13.30</w:t>
            </w:r>
            <w:r w:rsidRPr="00EB3964">
              <w:rPr>
                <w:rFonts w:ascii="Times New Roman" w:hAnsi="Times New Roman" w:cs="Times New Roman"/>
                <w:highlight w:val="yellow"/>
                <w:vertAlign w:val="superscript"/>
              </w:rPr>
              <w:t>c</w:t>
            </w:r>
          </w:p>
        </w:tc>
        <w:tc>
          <w:tcPr>
            <w:tcW w:w="0" w:type="auto"/>
            <w:hideMark/>
          </w:tcPr>
          <w:p w14:paraId="30D5AFEA"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13.10</w:t>
            </w:r>
            <w:r w:rsidRPr="00EB3964">
              <w:rPr>
                <w:rFonts w:ascii="Times New Roman" w:hAnsi="Times New Roman" w:cs="Times New Roman"/>
                <w:highlight w:val="yellow"/>
                <w:vertAlign w:val="superscript"/>
              </w:rPr>
              <w:t>b</w:t>
            </w:r>
          </w:p>
        </w:tc>
        <w:tc>
          <w:tcPr>
            <w:tcW w:w="1587" w:type="dxa"/>
            <w:hideMark/>
          </w:tcPr>
          <w:p w14:paraId="10CA7875"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2.60</w:t>
            </w:r>
            <w:r w:rsidRPr="00EB3964">
              <w:rPr>
                <w:rFonts w:ascii="Times New Roman" w:hAnsi="Times New Roman" w:cs="Times New Roman"/>
                <w:highlight w:val="yellow"/>
                <w:vertAlign w:val="superscript"/>
              </w:rPr>
              <w:t>bc</w:t>
            </w:r>
          </w:p>
        </w:tc>
      </w:tr>
      <w:tr w:rsidR="00937A35" w:rsidRPr="00EB3964" w14:paraId="6170343C" w14:textId="77777777" w:rsidTr="00BD6BB3">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hideMark/>
          </w:tcPr>
          <w:p w14:paraId="21D3C921"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100% FC</w:t>
            </w:r>
          </w:p>
        </w:tc>
        <w:tc>
          <w:tcPr>
            <w:tcW w:w="1208" w:type="dxa"/>
            <w:shd w:val="clear" w:color="auto" w:fill="auto"/>
            <w:hideMark/>
          </w:tcPr>
          <w:p w14:paraId="54D7AA3D"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7.78</w:t>
            </w:r>
            <w:r w:rsidRPr="00EB3964">
              <w:rPr>
                <w:rFonts w:ascii="Times New Roman" w:hAnsi="Times New Roman" w:cs="Times New Roman"/>
                <w:highlight w:val="yellow"/>
                <w:vertAlign w:val="superscript"/>
              </w:rPr>
              <w:t>a</w:t>
            </w:r>
          </w:p>
        </w:tc>
        <w:tc>
          <w:tcPr>
            <w:tcW w:w="0" w:type="auto"/>
            <w:shd w:val="clear" w:color="auto" w:fill="auto"/>
            <w:hideMark/>
          </w:tcPr>
          <w:p w14:paraId="70AAC94A"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300</w:t>
            </w:r>
            <w:r w:rsidRPr="00EB3964">
              <w:rPr>
                <w:rFonts w:ascii="Times New Roman" w:hAnsi="Times New Roman" w:cs="Times New Roman"/>
                <w:highlight w:val="yellow"/>
                <w:vertAlign w:val="superscript"/>
              </w:rPr>
              <w:t>c</w:t>
            </w:r>
          </w:p>
        </w:tc>
        <w:tc>
          <w:tcPr>
            <w:tcW w:w="0" w:type="auto"/>
            <w:shd w:val="clear" w:color="auto" w:fill="auto"/>
            <w:hideMark/>
          </w:tcPr>
          <w:p w14:paraId="62F901A2"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13.55</w:t>
            </w:r>
            <w:r w:rsidRPr="00EB3964">
              <w:rPr>
                <w:rFonts w:ascii="Times New Roman" w:hAnsi="Times New Roman" w:cs="Times New Roman"/>
                <w:highlight w:val="yellow"/>
                <w:vertAlign w:val="superscript"/>
              </w:rPr>
              <w:t>bc</w:t>
            </w:r>
          </w:p>
        </w:tc>
        <w:tc>
          <w:tcPr>
            <w:tcW w:w="0" w:type="auto"/>
            <w:shd w:val="clear" w:color="auto" w:fill="auto"/>
            <w:hideMark/>
          </w:tcPr>
          <w:p w14:paraId="05C09778"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13.05</w:t>
            </w:r>
            <w:r w:rsidRPr="00EB3964">
              <w:rPr>
                <w:rFonts w:ascii="Times New Roman" w:hAnsi="Times New Roman" w:cs="Times New Roman"/>
                <w:highlight w:val="yellow"/>
                <w:vertAlign w:val="superscript"/>
              </w:rPr>
              <w:t>b</w:t>
            </w:r>
          </w:p>
        </w:tc>
        <w:tc>
          <w:tcPr>
            <w:tcW w:w="1587" w:type="dxa"/>
            <w:shd w:val="clear" w:color="auto" w:fill="auto"/>
            <w:hideMark/>
          </w:tcPr>
          <w:p w14:paraId="487F947C"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2.55</w:t>
            </w:r>
            <w:r w:rsidRPr="00EB3964">
              <w:rPr>
                <w:rFonts w:ascii="Times New Roman" w:hAnsi="Times New Roman" w:cs="Times New Roman"/>
                <w:highlight w:val="yellow"/>
                <w:vertAlign w:val="superscript"/>
              </w:rPr>
              <w:t>c</w:t>
            </w:r>
          </w:p>
        </w:tc>
      </w:tr>
      <w:tr w:rsidR="00937A35" w:rsidRPr="00EB3964" w14:paraId="0B728FA5" w14:textId="77777777" w:rsidTr="00BD6BB3">
        <w:trPr>
          <w:trHeight w:val="465"/>
        </w:trPr>
        <w:tc>
          <w:tcPr>
            <w:cnfStyle w:val="001000000000" w:firstRow="0" w:lastRow="0" w:firstColumn="1" w:lastColumn="0" w:oddVBand="0" w:evenVBand="0" w:oddHBand="0" w:evenHBand="0" w:firstRowFirstColumn="0" w:firstRowLastColumn="0" w:lastRowFirstColumn="0" w:lastRowLastColumn="0"/>
            <w:tcW w:w="1975" w:type="dxa"/>
            <w:hideMark/>
          </w:tcPr>
          <w:p w14:paraId="2890BDD0"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B + 40% FC</w:t>
            </w:r>
          </w:p>
        </w:tc>
        <w:tc>
          <w:tcPr>
            <w:tcW w:w="1208" w:type="dxa"/>
            <w:hideMark/>
          </w:tcPr>
          <w:p w14:paraId="53CE8A23"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7.65</w:t>
            </w:r>
            <w:r w:rsidRPr="00EB3964">
              <w:rPr>
                <w:rFonts w:ascii="Times New Roman" w:hAnsi="Times New Roman" w:cs="Times New Roman"/>
                <w:highlight w:val="yellow"/>
                <w:vertAlign w:val="superscript"/>
              </w:rPr>
              <w:t>a</w:t>
            </w:r>
          </w:p>
        </w:tc>
        <w:tc>
          <w:tcPr>
            <w:tcW w:w="0" w:type="auto"/>
            <w:hideMark/>
          </w:tcPr>
          <w:p w14:paraId="359635AF"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430</w:t>
            </w:r>
            <w:r w:rsidRPr="00EB3964">
              <w:rPr>
                <w:rFonts w:ascii="Times New Roman" w:hAnsi="Times New Roman" w:cs="Times New Roman"/>
                <w:highlight w:val="yellow"/>
                <w:vertAlign w:val="superscript"/>
              </w:rPr>
              <w:t>ab</w:t>
            </w:r>
          </w:p>
        </w:tc>
        <w:tc>
          <w:tcPr>
            <w:tcW w:w="0" w:type="auto"/>
            <w:hideMark/>
          </w:tcPr>
          <w:p w14:paraId="5E9653AA"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13.60</w:t>
            </w:r>
            <w:r w:rsidRPr="00EB3964">
              <w:rPr>
                <w:rFonts w:ascii="Times New Roman" w:hAnsi="Times New Roman" w:cs="Times New Roman"/>
                <w:highlight w:val="yellow"/>
                <w:vertAlign w:val="superscript"/>
              </w:rPr>
              <w:t>b</w:t>
            </w:r>
          </w:p>
        </w:tc>
        <w:tc>
          <w:tcPr>
            <w:tcW w:w="0" w:type="auto"/>
            <w:hideMark/>
          </w:tcPr>
          <w:p w14:paraId="48147979"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13.75</w:t>
            </w:r>
            <w:r w:rsidRPr="00EB3964">
              <w:rPr>
                <w:rFonts w:ascii="Times New Roman" w:hAnsi="Times New Roman" w:cs="Times New Roman"/>
                <w:highlight w:val="yellow"/>
                <w:vertAlign w:val="superscript"/>
              </w:rPr>
              <w:t>a</w:t>
            </w:r>
          </w:p>
        </w:tc>
        <w:tc>
          <w:tcPr>
            <w:tcW w:w="1587" w:type="dxa"/>
            <w:hideMark/>
          </w:tcPr>
          <w:p w14:paraId="5484F331"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2.90</w:t>
            </w:r>
            <w:r w:rsidRPr="00EB3964">
              <w:rPr>
                <w:rFonts w:ascii="Times New Roman" w:hAnsi="Times New Roman" w:cs="Times New Roman"/>
                <w:highlight w:val="yellow"/>
                <w:vertAlign w:val="superscript"/>
              </w:rPr>
              <w:t>ab</w:t>
            </w:r>
          </w:p>
        </w:tc>
      </w:tr>
      <w:tr w:rsidR="00937A35" w:rsidRPr="00EB3964" w14:paraId="375B0E41" w14:textId="77777777" w:rsidTr="00BD6BB3">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hideMark/>
          </w:tcPr>
          <w:p w14:paraId="44FD758C"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B + 60% FC</w:t>
            </w:r>
          </w:p>
        </w:tc>
        <w:tc>
          <w:tcPr>
            <w:tcW w:w="1208" w:type="dxa"/>
            <w:shd w:val="clear" w:color="auto" w:fill="auto"/>
            <w:hideMark/>
          </w:tcPr>
          <w:p w14:paraId="4A935613"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7.70</w:t>
            </w:r>
            <w:r w:rsidRPr="00EB3964">
              <w:rPr>
                <w:rFonts w:ascii="Times New Roman" w:hAnsi="Times New Roman" w:cs="Times New Roman"/>
                <w:highlight w:val="yellow"/>
                <w:vertAlign w:val="superscript"/>
              </w:rPr>
              <w:t>a</w:t>
            </w:r>
          </w:p>
        </w:tc>
        <w:tc>
          <w:tcPr>
            <w:tcW w:w="0" w:type="auto"/>
            <w:shd w:val="clear" w:color="auto" w:fill="auto"/>
            <w:hideMark/>
          </w:tcPr>
          <w:p w14:paraId="1159E50E"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460</w:t>
            </w:r>
            <w:r w:rsidRPr="00EB3964">
              <w:rPr>
                <w:rFonts w:ascii="Times New Roman" w:hAnsi="Times New Roman" w:cs="Times New Roman"/>
                <w:highlight w:val="yellow"/>
                <w:vertAlign w:val="superscript"/>
              </w:rPr>
              <w:t>a</w:t>
            </w:r>
          </w:p>
        </w:tc>
        <w:tc>
          <w:tcPr>
            <w:tcW w:w="0" w:type="auto"/>
            <w:shd w:val="clear" w:color="auto" w:fill="auto"/>
            <w:hideMark/>
          </w:tcPr>
          <w:p w14:paraId="40B50EDF"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13.55</w:t>
            </w:r>
            <w:r w:rsidRPr="00EB3964">
              <w:rPr>
                <w:rFonts w:ascii="Times New Roman" w:hAnsi="Times New Roman" w:cs="Times New Roman"/>
                <w:highlight w:val="yellow"/>
                <w:vertAlign w:val="superscript"/>
              </w:rPr>
              <w:t>bc</w:t>
            </w:r>
          </w:p>
        </w:tc>
        <w:tc>
          <w:tcPr>
            <w:tcW w:w="0" w:type="auto"/>
            <w:shd w:val="clear" w:color="auto" w:fill="auto"/>
            <w:hideMark/>
          </w:tcPr>
          <w:p w14:paraId="7D08511B"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13.95</w:t>
            </w:r>
            <w:r w:rsidRPr="00EB3964">
              <w:rPr>
                <w:rFonts w:ascii="Times New Roman" w:hAnsi="Times New Roman" w:cs="Times New Roman"/>
                <w:highlight w:val="yellow"/>
                <w:vertAlign w:val="superscript"/>
              </w:rPr>
              <w:t>a</w:t>
            </w:r>
          </w:p>
        </w:tc>
        <w:tc>
          <w:tcPr>
            <w:tcW w:w="1587" w:type="dxa"/>
            <w:shd w:val="clear" w:color="auto" w:fill="auto"/>
            <w:hideMark/>
          </w:tcPr>
          <w:p w14:paraId="431C7FAE"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3.00</w:t>
            </w:r>
            <w:r w:rsidRPr="00EB3964">
              <w:rPr>
                <w:rFonts w:ascii="Times New Roman" w:hAnsi="Times New Roman" w:cs="Times New Roman"/>
                <w:highlight w:val="yellow"/>
                <w:vertAlign w:val="superscript"/>
              </w:rPr>
              <w:t>a</w:t>
            </w:r>
          </w:p>
        </w:tc>
      </w:tr>
      <w:tr w:rsidR="00937A35" w:rsidRPr="00EB3964" w14:paraId="10644B52" w14:textId="77777777" w:rsidTr="00BD6BB3">
        <w:trPr>
          <w:trHeight w:val="465"/>
        </w:trPr>
        <w:tc>
          <w:tcPr>
            <w:cnfStyle w:val="001000000000" w:firstRow="0" w:lastRow="0" w:firstColumn="1" w:lastColumn="0" w:oddVBand="0" w:evenVBand="0" w:oddHBand="0" w:evenHBand="0" w:firstRowFirstColumn="0" w:firstRowLastColumn="0" w:lastRowFirstColumn="0" w:lastRowLastColumn="0"/>
            <w:tcW w:w="1975" w:type="dxa"/>
            <w:hideMark/>
          </w:tcPr>
          <w:p w14:paraId="3B3E9780"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B + 100% FC</w:t>
            </w:r>
          </w:p>
        </w:tc>
        <w:tc>
          <w:tcPr>
            <w:tcW w:w="1208" w:type="dxa"/>
            <w:hideMark/>
          </w:tcPr>
          <w:p w14:paraId="6B46D2B4"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7.75</w:t>
            </w:r>
            <w:r w:rsidRPr="00EB3964">
              <w:rPr>
                <w:rFonts w:ascii="Times New Roman" w:hAnsi="Times New Roman" w:cs="Times New Roman"/>
                <w:highlight w:val="yellow"/>
                <w:vertAlign w:val="superscript"/>
              </w:rPr>
              <w:t>a</w:t>
            </w:r>
          </w:p>
        </w:tc>
        <w:tc>
          <w:tcPr>
            <w:tcW w:w="0" w:type="auto"/>
            <w:hideMark/>
          </w:tcPr>
          <w:p w14:paraId="170E2EFE"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440</w:t>
            </w:r>
            <w:r w:rsidRPr="00EB3964">
              <w:rPr>
                <w:rFonts w:ascii="Times New Roman" w:hAnsi="Times New Roman" w:cs="Times New Roman"/>
                <w:highlight w:val="yellow"/>
                <w:vertAlign w:val="superscript"/>
              </w:rPr>
              <w:t>ab</w:t>
            </w:r>
          </w:p>
        </w:tc>
        <w:tc>
          <w:tcPr>
            <w:tcW w:w="0" w:type="auto"/>
            <w:hideMark/>
          </w:tcPr>
          <w:p w14:paraId="162D7375"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13.65</w:t>
            </w:r>
            <w:r w:rsidRPr="00EB3964">
              <w:rPr>
                <w:rFonts w:ascii="Times New Roman" w:hAnsi="Times New Roman" w:cs="Times New Roman"/>
                <w:highlight w:val="yellow"/>
                <w:vertAlign w:val="superscript"/>
              </w:rPr>
              <w:t>ab</w:t>
            </w:r>
          </w:p>
        </w:tc>
        <w:tc>
          <w:tcPr>
            <w:tcW w:w="0" w:type="auto"/>
            <w:hideMark/>
          </w:tcPr>
          <w:p w14:paraId="68B31748"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14.20</w:t>
            </w:r>
            <w:r w:rsidRPr="00EB3964">
              <w:rPr>
                <w:rFonts w:ascii="Times New Roman" w:hAnsi="Times New Roman" w:cs="Times New Roman"/>
                <w:highlight w:val="yellow"/>
                <w:vertAlign w:val="superscript"/>
              </w:rPr>
              <w:t>a</w:t>
            </w:r>
          </w:p>
        </w:tc>
        <w:tc>
          <w:tcPr>
            <w:tcW w:w="1587" w:type="dxa"/>
            <w:hideMark/>
          </w:tcPr>
          <w:p w14:paraId="399125CF"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3.10</w:t>
            </w:r>
            <w:r w:rsidRPr="00EB3964">
              <w:rPr>
                <w:rFonts w:ascii="Times New Roman" w:hAnsi="Times New Roman" w:cs="Times New Roman"/>
                <w:highlight w:val="yellow"/>
                <w:vertAlign w:val="superscript"/>
              </w:rPr>
              <w:t>a</w:t>
            </w:r>
          </w:p>
        </w:tc>
      </w:tr>
      <w:tr w:rsidR="00937A35" w:rsidRPr="00EB3964" w14:paraId="5A43F4CF" w14:textId="77777777" w:rsidTr="00BD6BB3">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hideMark/>
          </w:tcPr>
          <w:p w14:paraId="72AA4973"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T + 40% FC</w:t>
            </w:r>
          </w:p>
        </w:tc>
        <w:tc>
          <w:tcPr>
            <w:tcW w:w="1208" w:type="dxa"/>
            <w:shd w:val="clear" w:color="auto" w:fill="auto"/>
            <w:hideMark/>
          </w:tcPr>
          <w:p w14:paraId="09D0B79E"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7.68</w:t>
            </w:r>
            <w:r w:rsidRPr="00EB3964">
              <w:rPr>
                <w:rFonts w:ascii="Times New Roman" w:hAnsi="Times New Roman" w:cs="Times New Roman"/>
                <w:highlight w:val="yellow"/>
                <w:vertAlign w:val="superscript"/>
              </w:rPr>
              <w:t>a</w:t>
            </w:r>
          </w:p>
        </w:tc>
        <w:tc>
          <w:tcPr>
            <w:tcW w:w="0" w:type="auto"/>
            <w:shd w:val="clear" w:color="auto" w:fill="auto"/>
            <w:hideMark/>
          </w:tcPr>
          <w:p w14:paraId="2720DF2C"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420</w:t>
            </w:r>
            <w:r w:rsidRPr="00EB3964">
              <w:rPr>
                <w:rFonts w:ascii="Times New Roman" w:hAnsi="Times New Roman" w:cs="Times New Roman"/>
                <w:highlight w:val="yellow"/>
                <w:vertAlign w:val="superscript"/>
              </w:rPr>
              <w:t>ab</w:t>
            </w:r>
          </w:p>
        </w:tc>
        <w:tc>
          <w:tcPr>
            <w:tcW w:w="0" w:type="auto"/>
            <w:shd w:val="clear" w:color="auto" w:fill="auto"/>
            <w:hideMark/>
          </w:tcPr>
          <w:p w14:paraId="331E6C5C"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13.50</w:t>
            </w:r>
            <w:r w:rsidRPr="00EB3964">
              <w:rPr>
                <w:rFonts w:ascii="Times New Roman" w:hAnsi="Times New Roman" w:cs="Times New Roman"/>
                <w:highlight w:val="yellow"/>
                <w:vertAlign w:val="superscript"/>
              </w:rPr>
              <w:t>bc</w:t>
            </w:r>
          </w:p>
        </w:tc>
        <w:tc>
          <w:tcPr>
            <w:tcW w:w="0" w:type="auto"/>
            <w:shd w:val="clear" w:color="auto" w:fill="auto"/>
            <w:hideMark/>
          </w:tcPr>
          <w:p w14:paraId="312FC2F0"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13.60</w:t>
            </w:r>
            <w:r w:rsidRPr="00EB3964">
              <w:rPr>
                <w:rFonts w:ascii="Times New Roman" w:hAnsi="Times New Roman" w:cs="Times New Roman"/>
                <w:highlight w:val="yellow"/>
                <w:vertAlign w:val="superscript"/>
              </w:rPr>
              <w:t>ab</w:t>
            </w:r>
          </w:p>
        </w:tc>
        <w:tc>
          <w:tcPr>
            <w:tcW w:w="1587" w:type="dxa"/>
            <w:shd w:val="clear" w:color="auto" w:fill="auto"/>
            <w:hideMark/>
          </w:tcPr>
          <w:p w14:paraId="10564FE6"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2.80</w:t>
            </w:r>
            <w:r w:rsidRPr="00EB3964">
              <w:rPr>
                <w:rFonts w:ascii="Times New Roman" w:hAnsi="Times New Roman" w:cs="Times New Roman"/>
                <w:highlight w:val="yellow"/>
                <w:vertAlign w:val="superscript"/>
              </w:rPr>
              <w:t>ab</w:t>
            </w:r>
          </w:p>
        </w:tc>
      </w:tr>
      <w:tr w:rsidR="00937A35" w:rsidRPr="00EB3964" w14:paraId="28440C0E" w14:textId="77777777" w:rsidTr="00BD6BB3">
        <w:trPr>
          <w:trHeight w:val="465"/>
        </w:trPr>
        <w:tc>
          <w:tcPr>
            <w:cnfStyle w:val="001000000000" w:firstRow="0" w:lastRow="0" w:firstColumn="1" w:lastColumn="0" w:oddVBand="0" w:evenVBand="0" w:oddHBand="0" w:evenHBand="0" w:firstRowFirstColumn="0" w:firstRowLastColumn="0" w:lastRowFirstColumn="0" w:lastRowLastColumn="0"/>
            <w:tcW w:w="1975" w:type="dxa"/>
            <w:hideMark/>
          </w:tcPr>
          <w:p w14:paraId="7C138342"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T + 60% FC</w:t>
            </w:r>
          </w:p>
        </w:tc>
        <w:tc>
          <w:tcPr>
            <w:tcW w:w="1208" w:type="dxa"/>
            <w:hideMark/>
          </w:tcPr>
          <w:p w14:paraId="139F87EB"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7.72</w:t>
            </w:r>
            <w:r w:rsidRPr="00EB3964">
              <w:rPr>
                <w:rFonts w:ascii="Times New Roman" w:hAnsi="Times New Roman" w:cs="Times New Roman"/>
                <w:highlight w:val="yellow"/>
                <w:vertAlign w:val="superscript"/>
              </w:rPr>
              <w:t>a</w:t>
            </w:r>
          </w:p>
        </w:tc>
        <w:tc>
          <w:tcPr>
            <w:tcW w:w="0" w:type="auto"/>
            <w:hideMark/>
          </w:tcPr>
          <w:p w14:paraId="6A2E0F78"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440</w:t>
            </w:r>
            <w:r w:rsidRPr="00EB3964">
              <w:rPr>
                <w:rFonts w:ascii="Times New Roman" w:hAnsi="Times New Roman" w:cs="Times New Roman"/>
                <w:highlight w:val="yellow"/>
                <w:vertAlign w:val="superscript"/>
              </w:rPr>
              <w:t>ab</w:t>
            </w:r>
          </w:p>
        </w:tc>
        <w:tc>
          <w:tcPr>
            <w:tcW w:w="0" w:type="auto"/>
            <w:hideMark/>
          </w:tcPr>
          <w:p w14:paraId="04146B47"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13.45</w:t>
            </w:r>
            <w:r w:rsidRPr="00EB3964">
              <w:rPr>
                <w:rFonts w:ascii="Times New Roman" w:hAnsi="Times New Roman" w:cs="Times New Roman"/>
                <w:highlight w:val="yellow"/>
                <w:vertAlign w:val="superscript"/>
              </w:rPr>
              <w:t>bc</w:t>
            </w:r>
          </w:p>
        </w:tc>
        <w:tc>
          <w:tcPr>
            <w:tcW w:w="0" w:type="auto"/>
            <w:hideMark/>
          </w:tcPr>
          <w:p w14:paraId="1E643FDD"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13.70</w:t>
            </w:r>
            <w:r w:rsidRPr="00EB3964">
              <w:rPr>
                <w:rFonts w:ascii="Times New Roman" w:hAnsi="Times New Roman" w:cs="Times New Roman"/>
                <w:highlight w:val="yellow"/>
                <w:vertAlign w:val="superscript"/>
              </w:rPr>
              <w:t>a</w:t>
            </w:r>
          </w:p>
        </w:tc>
        <w:tc>
          <w:tcPr>
            <w:tcW w:w="1587" w:type="dxa"/>
            <w:hideMark/>
          </w:tcPr>
          <w:p w14:paraId="06F2B630"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2.85</w:t>
            </w:r>
            <w:r w:rsidRPr="00EB3964">
              <w:rPr>
                <w:rFonts w:ascii="Times New Roman" w:hAnsi="Times New Roman" w:cs="Times New Roman"/>
                <w:highlight w:val="yellow"/>
                <w:vertAlign w:val="superscript"/>
              </w:rPr>
              <w:t>ab</w:t>
            </w:r>
          </w:p>
        </w:tc>
      </w:tr>
      <w:tr w:rsidR="00937A35" w:rsidRPr="00EB3964" w14:paraId="5F7BA9B3" w14:textId="77777777" w:rsidTr="00BD6BB3">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hideMark/>
          </w:tcPr>
          <w:p w14:paraId="558F4CE7"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T + 100% FC</w:t>
            </w:r>
          </w:p>
        </w:tc>
        <w:tc>
          <w:tcPr>
            <w:tcW w:w="1208" w:type="dxa"/>
            <w:shd w:val="clear" w:color="auto" w:fill="auto"/>
            <w:hideMark/>
          </w:tcPr>
          <w:p w14:paraId="75860F42"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7.76</w:t>
            </w:r>
            <w:r w:rsidRPr="00EB3964">
              <w:rPr>
                <w:rFonts w:ascii="Times New Roman" w:hAnsi="Times New Roman" w:cs="Times New Roman"/>
                <w:highlight w:val="yellow"/>
                <w:vertAlign w:val="superscript"/>
              </w:rPr>
              <w:t>a</w:t>
            </w:r>
          </w:p>
        </w:tc>
        <w:tc>
          <w:tcPr>
            <w:tcW w:w="0" w:type="auto"/>
            <w:shd w:val="clear" w:color="auto" w:fill="auto"/>
            <w:hideMark/>
          </w:tcPr>
          <w:p w14:paraId="330452E9"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410</w:t>
            </w:r>
            <w:r w:rsidRPr="00EB3964">
              <w:rPr>
                <w:rFonts w:ascii="Times New Roman" w:hAnsi="Times New Roman" w:cs="Times New Roman"/>
                <w:highlight w:val="yellow"/>
                <w:vertAlign w:val="superscript"/>
              </w:rPr>
              <w:t>ab</w:t>
            </w:r>
          </w:p>
        </w:tc>
        <w:tc>
          <w:tcPr>
            <w:tcW w:w="0" w:type="auto"/>
            <w:shd w:val="clear" w:color="auto" w:fill="auto"/>
            <w:hideMark/>
          </w:tcPr>
          <w:p w14:paraId="47ED78E7"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13.50</w:t>
            </w:r>
            <w:r w:rsidRPr="00EB3964">
              <w:rPr>
                <w:rFonts w:ascii="Times New Roman" w:hAnsi="Times New Roman" w:cs="Times New Roman"/>
                <w:highlight w:val="yellow"/>
                <w:vertAlign w:val="superscript"/>
              </w:rPr>
              <w:t>bc</w:t>
            </w:r>
          </w:p>
        </w:tc>
        <w:tc>
          <w:tcPr>
            <w:tcW w:w="0" w:type="auto"/>
            <w:shd w:val="clear" w:color="auto" w:fill="auto"/>
            <w:hideMark/>
          </w:tcPr>
          <w:p w14:paraId="7C4421F6"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13.80</w:t>
            </w:r>
            <w:r w:rsidRPr="00EB3964">
              <w:rPr>
                <w:rFonts w:ascii="Times New Roman" w:hAnsi="Times New Roman" w:cs="Times New Roman"/>
                <w:highlight w:val="yellow"/>
                <w:vertAlign w:val="superscript"/>
              </w:rPr>
              <w:t>a</w:t>
            </w:r>
          </w:p>
        </w:tc>
        <w:tc>
          <w:tcPr>
            <w:tcW w:w="1587" w:type="dxa"/>
            <w:shd w:val="clear" w:color="auto" w:fill="auto"/>
            <w:hideMark/>
          </w:tcPr>
          <w:p w14:paraId="5CD7D7B9"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2.90</w:t>
            </w:r>
            <w:r w:rsidRPr="00EB3964">
              <w:rPr>
                <w:rFonts w:ascii="Times New Roman" w:hAnsi="Times New Roman" w:cs="Times New Roman"/>
                <w:highlight w:val="yellow"/>
                <w:vertAlign w:val="superscript"/>
              </w:rPr>
              <w:t>ab</w:t>
            </w:r>
          </w:p>
        </w:tc>
      </w:tr>
      <w:tr w:rsidR="00937A35" w:rsidRPr="00EB3964" w14:paraId="4A3DFADA" w14:textId="77777777" w:rsidTr="00BD6BB3">
        <w:trPr>
          <w:trHeight w:val="465"/>
        </w:trPr>
        <w:tc>
          <w:tcPr>
            <w:cnfStyle w:val="001000000000" w:firstRow="0" w:lastRow="0" w:firstColumn="1" w:lastColumn="0" w:oddVBand="0" w:evenVBand="0" w:oddHBand="0" w:evenHBand="0" w:firstRowFirstColumn="0" w:firstRowLastColumn="0" w:lastRowFirstColumn="0" w:lastRowLastColumn="0"/>
            <w:tcW w:w="1975" w:type="dxa"/>
            <w:hideMark/>
          </w:tcPr>
          <w:p w14:paraId="262A1B89"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B + T + 40% FC</w:t>
            </w:r>
          </w:p>
        </w:tc>
        <w:tc>
          <w:tcPr>
            <w:tcW w:w="1208" w:type="dxa"/>
            <w:hideMark/>
          </w:tcPr>
          <w:p w14:paraId="386F12A3"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7.70</w:t>
            </w:r>
            <w:r w:rsidRPr="00EB3964">
              <w:rPr>
                <w:rFonts w:ascii="Times New Roman" w:hAnsi="Times New Roman" w:cs="Times New Roman"/>
                <w:highlight w:val="yellow"/>
                <w:vertAlign w:val="superscript"/>
              </w:rPr>
              <w:t>a</w:t>
            </w:r>
          </w:p>
        </w:tc>
        <w:tc>
          <w:tcPr>
            <w:tcW w:w="0" w:type="auto"/>
            <w:hideMark/>
          </w:tcPr>
          <w:p w14:paraId="182AD614"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450</w:t>
            </w:r>
            <w:r w:rsidRPr="00EB3964">
              <w:rPr>
                <w:rFonts w:ascii="Times New Roman" w:hAnsi="Times New Roman" w:cs="Times New Roman"/>
                <w:highlight w:val="yellow"/>
                <w:vertAlign w:val="superscript"/>
              </w:rPr>
              <w:t>a</w:t>
            </w:r>
          </w:p>
        </w:tc>
        <w:tc>
          <w:tcPr>
            <w:tcW w:w="0" w:type="auto"/>
            <w:hideMark/>
          </w:tcPr>
          <w:p w14:paraId="3E636F18"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13.55</w:t>
            </w:r>
            <w:r w:rsidRPr="00EB3964">
              <w:rPr>
                <w:rFonts w:ascii="Times New Roman" w:hAnsi="Times New Roman" w:cs="Times New Roman"/>
                <w:highlight w:val="yellow"/>
                <w:vertAlign w:val="superscript"/>
              </w:rPr>
              <w:t>bc</w:t>
            </w:r>
          </w:p>
        </w:tc>
        <w:tc>
          <w:tcPr>
            <w:tcW w:w="0" w:type="auto"/>
            <w:hideMark/>
          </w:tcPr>
          <w:p w14:paraId="07A9BD8B"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13.90</w:t>
            </w:r>
            <w:r w:rsidRPr="00EB3964">
              <w:rPr>
                <w:rFonts w:ascii="Times New Roman" w:hAnsi="Times New Roman" w:cs="Times New Roman"/>
                <w:highlight w:val="yellow"/>
                <w:vertAlign w:val="superscript"/>
              </w:rPr>
              <w:t>a</w:t>
            </w:r>
          </w:p>
        </w:tc>
        <w:tc>
          <w:tcPr>
            <w:tcW w:w="1587" w:type="dxa"/>
            <w:hideMark/>
          </w:tcPr>
          <w:p w14:paraId="15D93E76"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2.95</w:t>
            </w:r>
            <w:r w:rsidRPr="00EB3964">
              <w:rPr>
                <w:rFonts w:ascii="Times New Roman" w:hAnsi="Times New Roman" w:cs="Times New Roman"/>
                <w:highlight w:val="yellow"/>
                <w:vertAlign w:val="superscript"/>
              </w:rPr>
              <w:t>a</w:t>
            </w:r>
          </w:p>
        </w:tc>
      </w:tr>
      <w:tr w:rsidR="00937A35" w:rsidRPr="00EB3964" w14:paraId="18641BEB" w14:textId="77777777" w:rsidTr="00BD6BB3">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hideMark/>
          </w:tcPr>
          <w:p w14:paraId="46CD49B2"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B + T + 60% FC</w:t>
            </w:r>
          </w:p>
        </w:tc>
        <w:tc>
          <w:tcPr>
            <w:tcW w:w="1208" w:type="dxa"/>
            <w:shd w:val="clear" w:color="auto" w:fill="auto"/>
            <w:hideMark/>
          </w:tcPr>
          <w:p w14:paraId="4C911CF6"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7.74</w:t>
            </w:r>
            <w:r w:rsidRPr="00EB3964">
              <w:rPr>
                <w:rFonts w:ascii="Times New Roman" w:hAnsi="Times New Roman" w:cs="Times New Roman"/>
                <w:highlight w:val="yellow"/>
                <w:vertAlign w:val="superscript"/>
              </w:rPr>
              <w:t>a</w:t>
            </w:r>
          </w:p>
        </w:tc>
        <w:tc>
          <w:tcPr>
            <w:tcW w:w="0" w:type="auto"/>
            <w:shd w:val="clear" w:color="auto" w:fill="auto"/>
            <w:hideMark/>
          </w:tcPr>
          <w:p w14:paraId="7610E766"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470</w:t>
            </w:r>
            <w:r w:rsidRPr="00EB3964">
              <w:rPr>
                <w:rFonts w:ascii="Times New Roman" w:hAnsi="Times New Roman" w:cs="Times New Roman"/>
                <w:highlight w:val="yellow"/>
                <w:vertAlign w:val="superscript"/>
              </w:rPr>
              <w:t>a</w:t>
            </w:r>
          </w:p>
        </w:tc>
        <w:tc>
          <w:tcPr>
            <w:tcW w:w="0" w:type="auto"/>
            <w:shd w:val="clear" w:color="auto" w:fill="auto"/>
            <w:hideMark/>
          </w:tcPr>
          <w:p w14:paraId="018A32B0"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13.50</w:t>
            </w:r>
            <w:r w:rsidRPr="00EB3964">
              <w:rPr>
                <w:rFonts w:ascii="Times New Roman" w:hAnsi="Times New Roman" w:cs="Times New Roman"/>
                <w:highlight w:val="yellow"/>
                <w:vertAlign w:val="superscript"/>
              </w:rPr>
              <w:t>bc</w:t>
            </w:r>
          </w:p>
        </w:tc>
        <w:tc>
          <w:tcPr>
            <w:tcW w:w="0" w:type="auto"/>
            <w:shd w:val="clear" w:color="auto" w:fill="auto"/>
            <w:hideMark/>
          </w:tcPr>
          <w:p w14:paraId="2DC73C84"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14.05</w:t>
            </w:r>
            <w:r w:rsidRPr="00EB3964">
              <w:rPr>
                <w:rFonts w:ascii="Times New Roman" w:hAnsi="Times New Roman" w:cs="Times New Roman"/>
                <w:highlight w:val="yellow"/>
                <w:vertAlign w:val="superscript"/>
              </w:rPr>
              <w:t>a</w:t>
            </w:r>
          </w:p>
        </w:tc>
        <w:tc>
          <w:tcPr>
            <w:tcW w:w="1587" w:type="dxa"/>
            <w:shd w:val="clear" w:color="auto" w:fill="auto"/>
            <w:hideMark/>
          </w:tcPr>
          <w:p w14:paraId="4F695EBB" w14:textId="77777777" w:rsidR="00937A35" w:rsidRPr="00EB3964" w:rsidRDefault="00937A35" w:rsidP="00BD6BB3">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3.00</w:t>
            </w:r>
            <w:r w:rsidRPr="00EB3964">
              <w:rPr>
                <w:rFonts w:ascii="Times New Roman" w:hAnsi="Times New Roman" w:cs="Times New Roman"/>
                <w:highlight w:val="yellow"/>
                <w:vertAlign w:val="superscript"/>
              </w:rPr>
              <w:t>a</w:t>
            </w:r>
          </w:p>
        </w:tc>
      </w:tr>
      <w:tr w:rsidR="00937A35" w:rsidRPr="00EB3964" w14:paraId="730F3B80" w14:textId="77777777" w:rsidTr="00BD6BB3">
        <w:trPr>
          <w:trHeight w:val="759"/>
        </w:trPr>
        <w:tc>
          <w:tcPr>
            <w:cnfStyle w:val="001000000000" w:firstRow="0" w:lastRow="0" w:firstColumn="1" w:lastColumn="0" w:oddVBand="0" w:evenVBand="0" w:oddHBand="0" w:evenHBand="0" w:firstRowFirstColumn="0" w:firstRowLastColumn="0" w:lastRowFirstColumn="0" w:lastRowLastColumn="0"/>
            <w:tcW w:w="1975" w:type="dxa"/>
            <w:hideMark/>
          </w:tcPr>
          <w:p w14:paraId="538FB86C" w14:textId="77777777" w:rsidR="00937A35" w:rsidRPr="00EB3964" w:rsidRDefault="00937A35" w:rsidP="00BD6BB3">
            <w:pPr>
              <w:spacing w:line="278" w:lineRule="auto"/>
              <w:rPr>
                <w:rFonts w:ascii="Times New Roman" w:hAnsi="Times New Roman" w:cs="Times New Roman"/>
                <w:highlight w:val="yellow"/>
              </w:rPr>
            </w:pPr>
            <w:r w:rsidRPr="00EB3964">
              <w:rPr>
                <w:rFonts w:ascii="Times New Roman" w:hAnsi="Times New Roman" w:cs="Times New Roman"/>
                <w:highlight w:val="yellow"/>
              </w:rPr>
              <w:t>B + T + 100% FC</w:t>
            </w:r>
          </w:p>
        </w:tc>
        <w:tc>
          <w:tcPr>
            <w:tcW w:w="1208" w:type="dxa"/>
            <w:hideMark/>
          </w:tcPr>
          <w:p w14:paraId="4BA2EDF6"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7.78</w:t>
            </w:r>
            <w:r w:rsidRPr="00EB3964">
              <w:rPr>
                <w:rFonts w:ascii="Times New Roman" w:hAnsi="Times New Roman" w:cs="Times New Roman"/>
                <w:highlight w:val="yellow"/>
                <w:vertAlign w:val="superscript"/>
              </w:rPr>
              <w:t>a</w:t>
            </w:r>
          </w:p>
        </w:tc>
        <w:tc>
          <w:tcPr>
            <w:tcW w:w="0" w:type="auto"/>
            <w:hideMark/>
          </w:tcPr>
          <w:p w14:paraId="448FD155"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460</w:t>
            </w:r>
            <w:r w:rsidRPr="00EB3964">
              <w:rPr>
                <w:rFonts w:ascii="Times New Roman" w:hAnsi="Times New Roman" w:cs="Times New Roman"/>
                <w:highlight w:val="yellow"/>
                <w:vertAlign w:val="superscript"/>
              </w:rPr>
              <w:t>a</w:t>
            </w:r>
          </w:p>
        </w:tc>
        <w:tc>
          <w:tcPr>
            <w:tcW w:w="0" w:type="auto"/>
            <w:hideMark/>
          </w:tcPr>
          <w:p w14:paraId="5C5E70FC"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13.60</w:t>
            </w:r>
            <w:r w:rsidRPr="00EB3964">
              <w:rPr>
                <w:rFonts w:ascii="Times New Roman" w:hAnsi="Times New Roman" w:cs="Times New Roman"/>
                <w:highlight w:val="yellow"/>
                <w:vertAlign w:val="superscript"/>
              </w:rPr>
              <w:t>b</w:t>
            </w:r>
          </w:p>
        </w:tc>
        <w:tc>
          <w:tcPr>
            <w:tcW w:w="0" w:type="auto"/>
            <w:hideMark/>
          </w:tcPr>
          <w:p w14:paraId="2E215BD9"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14.25</w:t>
            </w:r>
            <w:r w:rsidRPr="00EB3964">
              <w:rPr>
                <w:rFonts w:ascii="Times New Roman" w:hAnsi="Times New Roman" w:cs="Times New Roman"/>
                <w:highlight w:val="yellow"/>
                <w:vertAlign w:val="superscript"/>
              </w:rPr>
              <w:t>a</w:t>
            </w:r>
          </w:p>
        </w:tc>
        <w:tc>
          <w:tcPr>
            <w:tcW w:w="1587" w:type="dxa"/>
            <w:hideMark/>
          </w:tcPr>
          <w:p w14:paraId="50CD67AD" w14:textId="77777777" w:rsidR="00937A35" w:rsidRPr="00EB3964" w:rsidRDefault="00937A35" w:rsidP="00BD6BB3">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3.12</w:t>
            </w:r>
            <w:r w:rsidRPr="00EB3964">
              <w:rPr>
                <w:rFonts w:ascii="Times New Roman" w:hAnsi="Times New Roman" w:cs="Times New Roman"/>
                <w:highlight w:val="yellow"/>
                <w:vertAlign w:val="superscript"/>
              </w:rPr>
              <w:t>a</w:t>
            </w:r>
          </w:p>
        </w:tc>
      </w:tr>
    </w:tbl>
    <w:p w14:paraId="2A6A8DAB" w14:textId="77777777" w:rsidR="00937A35" w:rsidRPr="00EB3964" w:rsidRDefault="00937A35" w:rsidP="00937A35">
      <w:pPr>
        <w:tabs>
          <w:tab w:val="left" w:pos="2880"/>
        </w:tabs>
        <w:spacing w:after="0" w:line="276" w:lineRule="auto"/>
        <w:ind w:right="-630"/>
        <w:rPr>
          <w:rFonts w:ascii="Times New Roman" w:hAnsi="Times New Roman" w:cs="Times New Roman"/>
          <w:i/>
          <w:highlight w:val="yellow"/>
        </w:rPr>
      </w:pPr>
      <w:r w:rsidRPr="00EB3964">
        <w:rPr>
          <w:rFonts w:ascii="Times New Roman" w:hAnsi="Times New Roman" w:cs="Times New Roman"/>
          <w:highlight w:val="yellow"/>
        </w:rPr>
        <w:t xml:space="preserve">Mean with the same letter(s) in superscript on the same column are not significantly different at p=0.05(Tukey HSD). FC = Field capacity; B = Biochar; T = </w:t>
      </w:r>
      <w:r w:rsidRPr="00EB3964">
        <w:rPr>
          <w:rFonts w:ascii="Times New Roman" w:hAnsi="Times New Roman" w:cs="Times New Roman"/>
          <w:i/>
          <w:highlight w:val="yellow"/>
        </w:rPr>
        <w:t xml:space="preserve">Trichoderma </w:t>
      </w:r>
      <w:proofErr w:type="spellStart"/>
      <w:r w:rsidRPr="00EB3964">
        <w:rPr>
          <w:rFonts w:ascii="Times New Roman" w:hAnsi="Times New Roman" w:cs="Times New Roman"/>
          <w:i/>
          <w:highlight w:val="yellow"/>
        </w:rPr>
        <w:t>harzianum</w:t>
      </w:r>
      <w:proofErr w:type="spellEnd"/>
    </w:p>
    <w:p w14:paraId="54C9AFD0" w14:textId="77777777" w:rsidR="00937A35" w:rsidRPr="00EB3964" w:rsidRDefault="00937A35" w:rsidP="00937A35">
      <w:pPr>
        <w:rPr>
          <w:rFonts w:ascii="Times New Roman" w:hAnsi="Times New Roman" w:cs="Times New Roman"/>
          <w:highlight w:val="yellow"/>
        </w:rPr>
      </w:pPr>
    </w:p>
    <w:p w14:paraId="586A9E78" w14:textId="77777777" w:rsidR="00937A35" w:rsidRPr="00EB3964" w:rsidRDefault="00937A35" w:rsidP="00937A35">
      <w:pPr>
        <w:rPr>
          <w:rFonts w:ascii="Times New Roman" w:hAnsi="Times New Roman" w:cs="Times New Roman"/>
          <w:highlight w:val="yellow"/>
        </w:rPr>
      </w:pPr>
    </w:p>
    <w:p w14:paraId="0D4E4E9E" w14:textId="77777777" w:rsidR="00937A35" w:rsidRPr="00EB3964" w:rsidRDefault="00937A35" w:rsidP="00937A35">
      <w:pPr>
        <w:rPr>
          <w:rFonts w:ascii="Times New Roman" w:hAnsi="Times New Roman" w:cs="Times New Roman"/>
          <w:b/>
          <w:bCs/>
          <w:highlight w:val="yellow"/>
        </w:rPr>
      </w:pPr>
    </w:p>
    <w:p w14:paraId="102AC1E4" w14:textId="77777777" w:rsidR="00937A35" w:rsidRPr="00EB3964" w:rsidRDefault="00937A35" w:rsidP="00937A35">
      <w:pPr>
        <w:rPr>
          <w:rFonts w:ascii="Times New Roman" w:hAnsi="Times New Roman" w:cs="Times New Roman"/>
          <w:b/>
          <w:bCs/>
          <w:highlight w:val="yellow"/>
        </w:rPr>
      </w:pPr>
    </w:p>
    <w:p w14:paraId="535D0E09" w14:textId="77777777" w:rsidR="00937A35" w:rsidRPr="00EB3964" w:rsidRDefault="00937A35" w:rsidP="00937A35">
      <w:pPr>
        <w:rPr>
          <w:rFonts w:ascii="Times New Roman" w:hAnsi="Times New Roman" w:cs="Times New Roman"/>
          <w:b/>
          <w:bCs/>
          <w:highlight w:val="yellow"/>
        </w:rPr>
      </w:pPr>
    </w:p>
    <w:p w14:paraId="33F050AD" w14:textId="77777777" w:rsidR="00937A35" w:rsidRPr="00EB3964" w:rsidRDefault="00937A35" w:rsidP="00937A35">
      <w:pPr>
        <w:rPr>
          <w:rFonts w:ascii="Times New Roman" w:hAnsi="Times New Roman" w:cs="Times New Roman"/>
          <w:b/>
          <w:bCs/>
          <w:highlight w:val="yellow"/>
        </w:rPr>
      </w:pPr>
    </w:p>
    <w:p w14:paraId="2553DBC9" w14:textId="77777777" w:rsidR="00937A35" w:rsidRPr="00EB3964" w:rsidRDefault="00937A35" w:rsidP="00937A35">
      <w:pPr>
        <w:rPr>
          <w:rFonts w:ascii="Times New Roman" w:hAnsi="Times New Roman" w:cs="Times New Roman"/>
          <w:b/>
          <w:bCs/>
          <w:highlight w:val="yellow"/>
        </w:rPr>
      </w:pPr>
    </w:p>
    <w:p w14:paraId="1D2366D1" w14:textId="77777777" w:rsidR="00937A35" w:rsidRPr="00EB3964" w:rsidRDefault="00937A35" w:rsidP="00937A35">
      <w:pPr>
        <w:rPr>
          <w:rFonts w:ascii="Times New Roman" w:hAnsi="Times New Roman" w:cs="Times New Roman"/>
          <w:b/>
          <w:bCs/>
          <w:highlight w:val="yellow"/>
        </w:rPr>
      </w:pPr>
    </w:p>
    <w:p w14:paraId="722C2DA0" w14:textId="77777777" w:rsidR="00937A35" w:rsidRPr="00EB3964" w:rsidRDefault="00937A35" w:rsidP="00937A35">
      <w:pPr>
        <w:rPr>
          <w:rFonts w:ascii="Times New Roman" w:hAnsi="Times New Roman" w:cs="Times New Roman"/>
          <w:b/>
          <w:bCs/>
          <w:highlight w:val="yellow"/>
        </w:rPr>
      </w:pPr>
    </w:p>
    <w:p w14:paraId="23DF3AD4" w14:textId="77777777" w:rsidR="00937A35" w:rsidRPr="00EB3964" w:rsidRDefault="00937A35" w:rsidP="00937A35">
      <w:pPr>
        <w:rPr>
          <w:rFonts w:ascii="Times New Roman" w:hAnsi="Times New Roman" w:cs="Times New Roman"/>
          <w:b/>
          <w:bCs/>
          <w:highlight w:val="yellow"/>
        </w:rPr>
      </w:pPr>
    </w:p>
    <w:p w14:paraId="45E0997A" w14:textId="77777777" w:rsidR="00937A35" w:rsidRPr="00EB3964" w:rsidRDefault="00937A35" w:rsidP="00937A35">
      <w:pPr>
        <w:spacing w:line="278" w:lineRule="auto"/>
        <w:rPr>
          <w:rFonts w:ascii="Times New Roman" w:hAnsi="Times New Roman" w:cs="Times New Roman"/>
          <w:b/>
          <w:bCs/>
          <w:highlight w:val="yellow"/>
        </w:rPr>
      </w:pPr>
      <w:r w:rsidRPr="00EB3964">
        <w:rPr>
          <w:rFonts w:ascii="Times New Roman" w:hAnsi="Times New Roman" w:cs="Times New Roman"/>
          <w:b/>
          <w:bCs/>
          <w:highlight w:val="yellow"/>
        </w:rPr>
        <w:t xml:space="preserve">Table 9b: </w:t>
      </w:r>
      <w:r w:rsidRPr="00EB3964">
        <w:rPr>
          <w:rFonts w:ascii="Times New Roman" w:hAnsi="Times New Roman" w:cs="Times New Roman"/>
          <w:highlight w:val="yellow"/>
        </w:rPr>
        <w:t>Soil chemical properties at termination of experiment</w:t>
      </w:r>
    </w:p>
    <w:tbl>
      <w:tblPr>
        <w:tblStyle w:val="ListTable6Colorful"/>
        <w:tblW w:w="10245" w:type="dxa"/>
        <w:tblInd w:w="-270" w:type="dxa"/>
        <w:tblLook w:val="04A0" w:firstRow="1" w:lastRow="0" w:firstColumn="1" w:lastColumn="0" w:noHBand="0" w:noVBand="1"/>
      </w:tblPr>
      <w:tblGrid>
        <w:gridCol w:w="2119"/>
        <w:gridCol w:w="1257"/>
        <w:gridCol w:w="1183"/>
        <w:gridCol w:w="1349"/>
        <w:gridCol w:w="1432"/>
        <w:gridCol w:w="1473"/>
        <w:gridCol w:w="1432"/>
      </w:tblGrid>
      <w:tr w:rsidR="00937A35" w:rsidRPr="00EB3964" w14:paraId="457DB53B" w14:textId="77777777" w:rsidTr="00BD6BB3">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2119" w:type="dxa"/>
            <w:hideMark/>
          </w:tcPr>
          <w:p w14:paraId="546CBB94"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TREATMENTS</w:t>
            </w:r>
          </w:p>
        </w:tc>
        <w:tc>
          <w:tcPr>
            <w:tcW w:w="0" w:type="auto"/>
            <w:hideMark/>
          </w:tcPr>
          <w:p w14:paraId="6A6509EF"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Total N (%)</w:t>
            </w:r>
          </w:p>
        </w:tc>
        <w:tc>
          <w:tcPr>
            <w:tcW w:w="0" w:type="auto"/>
            <w:hideMark/>
          </w:tcPr>
          <w:p w14:paraId="413B089D"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P (mg kg⁻¹)</w:t>
            </w:r>
          </w:p>
        </w:tc>
        <w:tc>
          <w:tcPr>
            <w:tcW w:w="0" w:type="auto"/>
            <w:hideMark/>
          </w:tcPr>
          <w:p w14:paraId="10C6535E"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K (</w:t>
            </w:r>
            <w:proofErr w:type="spellStart"/>
            <w:r w:rsidRPr="00EB3964">
              <w:rPr>
                <w:rFonts w:ascii="Times New Roman" w:hAnsi="Times New Roman" w:cs="Times New Roman"/>
                <w:highlight w:val="yellow"/>
              </w:rPr>
              <w:t>cmol</w:t>
            </w:r>
            <w:proofErr w:type="spellEnd"/>
            <w:r w:rsidRPr="00EB3964">
              <w:rPr>
                <w:rFonts w:ascii="Times New Roman" w:hAnsi="Times New Roman" w:cs="Times New Roman"/>
                <w:highlight w:val="yellow"/>
              </w:rPr>
              <w:t xml:space="preserve"> kg⁻¹)</w:t>
            </w:r>
          </w:p>
        </w:tc>
        <w:tc>
          <w:tcPr>
            <w:tcW w:w="0" w:type="auto"/>
            <w:hideMark/>
          </w:tcPr>
          <w:p w14:paraId="2378F8F1"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Ca (</w:t>
            </w:r>
            <w:proofErr w:type="spellStart"/>
            <w:r w:rsidRPr="00EB3964">
              <w:rPr>
                <w:rFonts w:ascii="Times New Roman" w:hAnsi="Times New Roman" w:cs="Times New Roman"/>
                <w:highlight w:val="yellow"/>
              </w:rPr>
              <w:t>cmol</w:t>
            </w:r>
            <w:proofErr w:type="spellEnd"/>
            <w:r w:rsidRPr="00EB3964">
              <w:rPr>
                <w:rFonts w:ascii="Times New Roman" w:hAnsi="Times New Roman" w:cs="Times New Roman"/>
                <w:highlight w:val="yellow"/>
              </w:rPr>
              <w:t xml:space="preserve"> kg⁻¹)</w:t>
            </w:r>
          </w:p>
        </w:tc>
        <w:tc>
          <w:tcPr>
            <w:tcW w:w="0" w:type="auto"/>
            <w:hideMark/>
          </w:tcPr>
          <w:p w14:paraId="72F30D70"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Mg (</w:t>
            </w:r>
            <w:proofErr w:type="spellStart"/>
            <w:r w:rsidRPr="00EB3964">
              <w:rPr>
                <w:rFonts w:ascii="Times New Roman" w:hAnsi="Times New Roman" w:cs="Times New Roman"/>
                <w:highlight w:val="yellow"/>
              </w:rPr>
              <w:t>cmol</w:t>
            </w:r>
            <w:proofErr w:type="spellEnd"/>
            <w:r w:rsidRPr="00EB3964">
              <w:rPr>
                <w:rFonts w:ascii="Times New Roman" w:hAnsi="Times New Roman" w:cs="Times New Roman"/>
                <w:highlight w:val="yellow"/>
              </w:rPr>
              <w:t xml:space="preserve"> kg⁻¹)</w:t>
            </w:r>
          </w:p>
        </w:tc>
        <w:tc>
          <w:tcPr>
            <w:tcW w:w="0" w:type="auto"/>
            <w:hideMark/>
          </w:tcPr>
          <w:p w14:paraId="7157845C" w14:textId="77777777" w:rsidR="00937A35" w:rsidRPr="00EB3964" w:rsidRDefault="00937A35" w:rsidP="00BD6BB3">
            <w:pPr>
              <w:spacing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Na (</w:t>
            </w:r>
            <w:proofErr w:type="spellStart"/>
            <w:r w:rsidRPr="00EB3964">
              <w:rPr>
                <w:rFonts w:ascii="Times New Roman" w:hAnsi="Times New Roman" w:cs="Times New Roman"/>
                <w:highlight w:val="yellow"/>
              </w:rPr>
              <w:t>cmol</w:t>
            </w:r>
            <w:proofErr w:type="spellEnd"/>
            <w:r w:rsidRPr="00EB3964">
              <w:rPr>
                <w:rFonts w:ascii="Times New Roman" w:hAnsi="Times New Roman" w:cs="Times New Roman"/>
                <w:highlight w:val="yellow"/>
              </w:rPr>
              <w:t xml:space="preserve"> kg⁻¹)</w:t>
            </w:r>
          </w:p>
        </w:tc>
      </w:tr>
      <w:tr w:rsidR="00937A35" w:rsidRPr="00EB3964" w14:paraId="1C0B6FE6" w14:textId="77777777" w:rsidTr="00BD6BB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hideMark/>
          </w:tcPr>
          <w:p w14:paraId="029E835C"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Biochar</w:t>
            </w:r>
          </w:p>
        </w:tc>
        <w:tc>
          <w:tcPr>
            <w:tcW w:w="0" w:type="auto"/>
            <w:shd w:val="clear" w:color="auto" w:fill="auto"/>
            <w:hideMark/>
          </w:tcPr>
          <w:p w14:paraId="16221B9E"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0.16</w:t>
            </w:r>
            <w:r w:rsidRPr="00EB3964">
              <w:rPr>
                <w:rFonts w:ascii="Times New Roman" w:hAnsi="Times New Roman" w:cs="Times New Roman"/>
                <w:highlight w:val="yellow"/>
                <w:vertAlign w:val="superscript"/>
              </w:rPr>
              <w:t>ab</w:t>
            </w:r>
          </w:p>
        </w:tc>
        <w:tc>
          <w:tcPr>
            <w:tcW w:w="0" w:type="auto"/>
            <w:shd w:val="clear" w:color="auto" w:fill="auto"/>
            <w:hideMark/>
          </w:tcPr>
          <w:p w14:paraId="358A42E9"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1.55</w:t>
            </w:r>
            <w:r w:rsidRPr="00EB3964">
              <w:rPr>
                <w:rFonts w:ascii="Times New Roman" w:hAnsi="Times New Roman" w:cs="Times New Roman"/>
                <w:highlight w:val="yellow"/>
                <w:vertAlign w:val="superscript"/>
              </w:rPr>
              <w:t>ab</w:t>
            </w:r>
          </w:p>
        </w:tc>
        <w:tc>
          <w:tcPr>
            <w:tcW w:w="0" w:type="auto"/>
            <w:shd w:val="clear" w:color="auto" w:fill="auto"/>
            <w:hideMark/>
          </w:tcPr>
          <w:p w14:paraId="1435AC34"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8.70</w:t>
            </w:r>
            <w:r w:rsidRPr="00EB3964">
              <w:rPr>
                <w:rFonts w:ascii="Times New Roman" w:hAnsi="Times New Roman" w:cs="Times New Roman"/>
                <w:highlight w:val="yellow"/>
                <w:vertAlign w:val="superscript"/>
              </w:rPr>
              <w:t>a</w:t>
            </w:r>
          </w:p>
        </w:tc>
        <w:tc>
          <w:tcPr>
            <w:tcW w:w="0" w:type="auto"/>
            <w:shd w:val="clear" w:color="auto" w:fill="auto"/>
            <w:hideMark/>
          </w:tcPr>
          <w:p w14:paraId="6A1C0C46"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2.30</w:t>
            </w:r>
            <w:r w:rsidRPr="00EB3964">
              <w:rPr>
                <w:rFonts w:ascii="Times New Roman" w:hAnsi="Times New Roman" w:cs="Times New Roman"/>
                <w:highlight w:val="yellow"/>
                <w:vertAlign w:val="superscript"/>
              </w:rPr>
              <w:t>ab</w:t>
            </w:r>
          </w:p>
        </w:tc>
        <w:tc>
          <w:tcPr>
            <w:tcW w:w="0" w:type="auto"/>
            <w:shd w:val="clear" w:color="auto" w:fill="auto"/>
            <w:hideMark/>
          </w:tcPr>
          <w:p w14:paraId="510FBAE9"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w:t>
            </w:r>
            <w:r w:rsidRPr="00EB3964">
              <w:rPr>
                <w:rFonts w:ascii="Times New Roman" w:hAnsi="Times New Roman" w:cs="Times New Roman"/>
                <w:highlight w:val="yellow"/>
                <w:vertAlign w:val="superscript"/>
              </w:rPr>
              <w:t>a</w:t>
            </w:r>
          </w:p>
        </w:tc>
        <w:tc>
          <w:tcPr>
            <w:tcW w:w="0" w:type="auto"/>
            <w:shd w:val="clear" w:color="auto" w:fill="auto"/>
            <w:hideMark/>
          </w:tcPr>
          <w:p w14:paraId="6382628C"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0.22</w:t>
            </w:r>
            <w:r w:rsidRPr="00EB3964">
              <w:rPr>
                <w:rFonts w:ascii="Times New Roman" w:hAnsi="Times New Roman" w:cs="Times New Roman"/>
                <w:highlight w:val="yellow"/>
                <w:vertAlign w:val="superscript"/>
              </w:rPr>
              <w:t>c</w:t>
            </w:r>
          </w:p>
        </w:tc>
      </w:tr>
      <w:tr w:rsidR="00937A35" w:rsidRPr="00EB3964" w14:paraId="2FC9D6E2" w14:textId="77777777" w:rsidTr="00BD6BB3">
        <w:trPr>
          <w:trHeight w:val="456"/>
        </w:trPr>
        <w:tc>
          <w:tcPr>
            <w:cnfStyle w:val="001000000000" w:firstRow="0" w:lastRow="0" w:firstColumn="1" w:lastColumn="0" w:oddVBand="0" w:evenVBand="0" w:oddHBand="0" w:evenHBand="0" w:firstRowFirstColumn="0" w:firstRowLastColumn="0" w:lastRowFirstColumn="0" w:lastRowLastColumn="0"/>
            <w:tcW w:w="2119" w:type="dxa"/>
            <w:hideMark/>
          </w:tcPr>
          <w:p w14:paraId="7DD098A0"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Trichoderma</w:t>
            </w:r>
          </w:p>
        </w:tc>
        <w:tc>
          <w:tcPr>
            <w:tcW w:w="0" w:type="auto"/>
            <w:hideMark/>
          </w:tcPr>
          <w:p w14:paraId="467C3CA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0.17</w:t>
            </w:r>
            <w:r w:rsidRPr="00EB3964">
              <w:rPr>
                <w:rFonts w:ascii="Times New Roman" w:hAnsi="Times New Roman" w:cs="Times New Roman"/>
                <w:highlight w:val="yellow"/>
                <w:vertAlign w:val="superscript"/>
              </w:rPr>
              <w:t>a</w:t>
            </w:r>
          </w:p>
        </w:tc>
        <w:tc>
          <w:tcPr>
            <w:tcW w:w="0" w:type="auto"/>
            <w:hideMark/>
          </w:tcPr>
          <w:p w14:paraId="2730406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1.60</w:t>
            </w:r>
            <w:r w:rsidRPr="00EB3964">
              <w:rPr>
                <w:rFonts w:ascii="Times New Roman" w:hAnsi="Times New Roman" w:cs="Times New Roman"/>
                <w:highlight w:val="yellow"/>
                <w:vertAlign w:val="superscript"/>
              </w:rPr>
              <w:t>a</w:t>
            </w:r>
          </w:p>
        </w:tc>
        <w:tc>
          <w:tcPr>
            <w:tcW w:w="0" w:type="auto"/>
            <w:hideMark/>
          </w:tcPr>
          <w:p w14:paraId="0124099D"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8.60</w:t>
            </w:r>
            <w:r w:rsidRPr="00EB3964">
              <w:rPr>
                <w:rFonts w:ascii="Times New Roman" w:hAnsi="Times New Roman" w:cs="Times New Roman"/>
                <w:highlight w:val="yellow"/>
                <w:vertAlign w:val="superscript"/>
              </w:rPr>
              <w:t>a</w:t>
            </w:r>
          </w:p>
        </w:tc>
        <w:tc>
          <w:tcPr>
            <w:tcW w:w="0" w:type="auto"/>
            <w:hideMark/>
          </w:tcPr>
          <w:p w14:paraId="5E917D1D"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2.20</w:t>
            </w:r>
            <w:r w:rsidRPr="00EB3964">
              <w:rPr>
                <w:rFonts w:ascii="Times New Roman" w:hAnsi="Times New Roman" w:cs="Times New Roman"/>
                <w:highlight w:val="yellow"/>
                <w:vertAlign w:val="superscript"/>
              </w:rPr>
              <w:t>ab</w:t>
            </w:r>
          </w:p>
        </w:tc>
        <w:tc>
          <w:tcPr>
            <w:tcW w:w="0" w:type="auto"/>
            <w:hideMark/>
          </w:tcPr>
          <w:p w14:paraId="0E799A68"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1.32</w:t>
            </w:r>
            <w:r w:rsidRPr="00EB3964">
              <w:rPr>
                <w:rFonts w:ascii="Times New Roman" w:hAnsi="Times New Roman" w:cs="Times New Roman"/>
                <w:highlight w:val="yellow"/>
                <w:vertAlign w:val="superscript"/>
              </w:rPr>
              <w:t>a</w:t>
            </w:r>
          </w:p>
        </w:tc>
        <w:tc>
          <w:tcPr>
            <w:tcW w:w="0" w:type="auto"/>
            <w:hideMark/>
          </w:tcPr>
          <w:p w14:paraId="6A2530B1"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0.23</w:t>
            </w:r>
            <w:r w:rsidRPr="00EB3964">
              <w:rPr>
                <w:rFonts w:ascii="Times New Roman" w:hAnsi="Times New Roman" w:cs="Times New Roman"/>
                <w:highlight w:val="yellow"/>
                <w:vertAlign w:val="superscript"/>
              </w:rPr>
              <w:t>c</w:t>
            </w:r>
          </w:p>
        </w:tc>
      </w:tr>
      <w:tr w:rsidR="00937A35" w:rsidRPr="00EB3964" w14:paraId="552817DA" w14:textId="77777777" w:rsidTr="00BD6BB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hideMark/>
          </w:tcPr>
          <w:p w14:paraId="6D457B1C"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40% FC</w:t>
            </w:r>
          </w:p>
        </w:tc>
        <w:tc>
          <w:tcPr>
            <w:tcW w:w="0" w:type="auto"/>
            <w:shd w:val="clear" w:color="auto" w:fill="auto"/>
            <w:hideMark/>
          </w:tcPr>
          <w:p w14:paraId="1D90C74D"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0.20</w:t>
            </w:r>
            <w:r w:rsidRPr="00EB3964">
              <w:rPr>
                <w:rFonts w:ascii="Times New Roman" w:hAnsi="Times New Roman" w:cs="Times New Roman"/>
                <w:highlight w:val="yellow"/>
                <w:vertAlign w:val="superscript"/>
              </w:rPr>
              <w:t>a</w:t>
            </w:r>
          </w:p>
        </w:tc>
        <w:tc>
          <w:tcPr>
            <w:tcW w:w="0" w:type="auto"/>
            <w:shd w:val="clear" w:color="auto" w:fill="auto"/>
            <w:hideMark/>
          </w:tcPr>
          <w:p w14:paraId="563A9EA0"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1.80</w:t>
            </w:r>
            <w:r w:rsidRPr="00EB3964">
              <w:rPr>
                <w:rFonts w:ascii="Times New Roman" w:hAnsi="Times New Roman" w:cs="Times New Roman"/>
                <w:highlight w:val="yellow"/>
                <w:vertAlign w:val="superscript"/>
              </w:rPr>
              <w:t>a</w:t>
            </w:r>
          </w:p>
        </w:tc>
        <w:tc>
          <w:tcPr>
            <w:tcW w:w="0" w:type="auto"/>
            <w:shd w:val="clear" w:color="auto" w:fill="auto"/>
            <w:hideMark/>
          </w:tcPr>
          <w:p w14:paraId="21E44F2C"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8.40</w:t>
            </w:r>
            <w:r w:rsidRPr="00EB3964">
              <w:rPr>
                <w:rFonts w:ascii="Times New Roman" w:hAnsi="Times New Roman" w:cs="Times New Roman"/>
                <w:highlight w:val="yellow"/>
                <w:vertAlign w:val="superscript"/>
              </w:rPr>
              <w:t>ab</w:t>
            </w:r>
          </w:p>
        </w:tc>
        <w:tc>
          <w:tcPr>
            <w:tcW w:w="0" w:type="auto"/>
            <w:shd w:val="clear" w:color="auto" w:fill="auto"/>
            <w:hideMark/>
          </w:tcPr>
          <w:p w14:paraId="4EBE05CD"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2.70</w:t>
            </w:r>
            <w:r w:rsidRPr="00EB3964">
              <w:rPr>
                <w:rFonts w:ascii="Times New Roman" w:hAnsi="Times New Roman" w:cs="Times New Roman"/>
                <w:highlight w:val="yellow"/>
                <w:vertAlign w:val="superscript"/>
              </w:rPr>
              <w:t>a</w:t>
            </w:r>
          </w:p>
        </w:tc>
        <w:tc>
          <w:tcPr>
            <w:tcW w:w="0" w:type="auto"/>
            <w:shd w:val="clear" w:color="auto" w:fill="auto"/>
            <w:hideMark/>
          </w:tcPr>
          <w:p w14:paraId="6AF179DD"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1.45</w:t>
            </w:r>
            <w:r w:rsidRPr="00EB3964">
              <w:rPr>
                <w:rFonts w:ascii="Times New Roman" w:hAnsi="Times New Roman" w:cs="Times New Roman"/>
                <w:highlight w:val="yellow"/>
                <w:vertAlign w:val="superscript"/>
              </w:rPr>
              <w:t>a</w:t>
            </w:r>
          </w:p>
        </w:tc>
        <w:tc>
          <w:tcPr>
            <w:tcW w:w="0" w:type="auto"/>
            <w:shd w:val="clear" w:color="auto" w:fill="auto"/>
            <w:hideMark/>
          </w:tcPr>
          <w:p w14:paraId="4CDCFEC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0.25</w:t>
            </w:r>
            <w:r w:rsidRPr="00EB3964">
              <w:rPr>
                <w:rFonts w:ascii="Times New Roman" w:hAnsi="Times New Roman" w:cs="Times New Roman"/>
                <w:highlight w:val="yellow"/>
                <w:vertAlign w:val="superscript"/>
              </w:rPr>
              <w:t>bc</w:t>
            </w:r>
          </w:p>
        </w:tc>
      </w:tr>
      <w:tr w:rsidR="00937A35" w:rsidRPr="00EB3964" w14:paraId="7A8CC633" w14:textId="77777777" w:rsidTr="00BD6BB3">
        <w:trPr>
          <w:trHeight w:val="456"/>
        </w:trPr>
        <w:tc>
          <w:tcPr>
            <w:cnfStyle w:val="001000000000" w:firstRow="0" w:lastRow="0" w:firstColumn="1" w:lastColumn="0" w:oddVBand="0" w:evenVBand="0" w:oddHBand="0" w:evenHBand="0" w:firstRowFirstColumn="0" w:firstRowLastColumn="0" w:lastRowFirstColumn="0" w:lastRowLastColumn="0"/>
            <w:tcW w:w="2119" w:type="dxa"/>
            <w:hideMark/>
          </w:tcPr>
          <w:p w14:paraId="7E27D910"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60% FC</w:t>
            </w:r>
          </w:p>
        </w:tc>
        <w:tc>
          <w:tcPr>
            <w:tcW w:w="0" w:type="auto"/>
            <w:hideMark/>
          </w:tcPr>
          <w:p w14:paraId="59BF36F8"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0.15</w:t>
            </w:r>
            <w:r w:rsidRPr="00EB3964">
              <w:rPr>
                <w:rFonts w:ascii="Times New Roman" w:hAnsi="Times New Roman" w:cs="Times New Roman"/>
                <w:highlight w:val="yellow"/>
                <w:vertAlign w:val="superscript"/>
              </w:rPr>
              <w:t>b</w:t>
            </w:r>
          </w:p>
        </w:tc>
        <w:tc>
          <w:tcPr>
            <w:tcW w:w="0" w:type="auto"/>
            <w:hideMark/>
          </w:tcPr>
          <w:p w14:paraId="17ACA130"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1.45</w:t>
            </w:r>
            <w:r w:rsidRPr="00EB3964">
              <w:rPr>
                <w:rFonts w:ascii="Times New Roman" w:hAnsi="Times New Roman" w:cs="Times New Roman"/>
                <w:highlight w:val="yellow"/>
                <w:vertAlign w:val="superscript"/>
              </w:rPr>
              <w:t>ab</w:t>
            </w:r>
          </w:p>
        </w:tc>
        <w:tc>
          <w:tcPr>
            <w:tcW w:w="0" w:type="auto"/>
            <w:hideMark/>
          </w:tcPr>
          <w:p w14:paraId="54B060CA"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8.55</w:t>
            </w:r>
            <w:r w:rsidRPr="00EB3964">
              <w:rPr>
                <w:rFonts w:ascii="Times New Roman" w:hAnsi="Times New Roman" w:cs="Times New Roman"/>
                <w:highlight w:val="yellow"/>
                <w:vertAlign w:val="superscript"/>
              </w:rPr>
              <w:t>a</w:t>
            </w:r>
          </w:p>
        </w:tc>
        <w:tc>
          <w:tcPr>
            <w:tcW w:w="0" w:type="auto"/>
            <w:hideMark/>
          </w:tcPr>
          <w:p w14:paraId="0D7E019F"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2.40</w:t>
            </w:r>
            <w:r w:rsidRPr="00EB3964">
              <w:rPr>
                <w:rFonts w:ascii="Times New Roman" w:hAnsi="Times New Roman" w:cs="Times New Roman"/>
                <w:highlight w:val="yellow"/>
                <w:vertAlign w:val="superscript"/>
              </w:rPr>
              <w:t>ab</w:t>
            </w:r>
          </w:p>
        </w:tc>
        <w:tc>
          <w:tcPr>
            <w:tcW w:w="0" w:type="auto"/>
            <w:hideMark/>
          </w:tcPr>
          <w:p w14:paraId="3610FB3E"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1.20</w:t>
            </w:r>
            <w:r w:rsidRPr="00EB3964">
              <w:rPr>
                <w:rFonts w:ascii="Times New Roman" w:hAnsi="Times New Roman" w:cs="Times New Roman"/>
                <w:highlight w:val="yellow"/>
                <w:vertAlign w:val="superscript"/>
              </w:rPr>
              <w:t>ab</w:t>
            </w:r>
          </w:p>
        </w:tc>
        <w:tc>
          <w:tcPr>
            <w:tcW w:w="0" w:type="auto"/>
            <w:hideMark/>
          </w:tcPr>
          <w:p w14:paraId="44834221"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0.30</w:t>
            </w:r>
            <w:r w:rsidRPr="00EB3964">
              <w:rPr>
                <w:rFonts w:ascii="Times New Roman" w:hAnsi="Times New Roman" w:cs="Times New Roman"/>
                <w:highlight w:val="yellow"/>
                <w:vertAlign w:val="superscript"/>
              </w:rPr>
              <w:t>ab</w:t>
            </w:r>
          </w:p>
        </w:tc>
      </w:tr>
      <w:tr w:rsidR="00937A35" w:rsidRPr="00EB3964" w14:paraId="2F174BE6" w14:textId="77777777" w:rsidTr="00BD6BB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hideMark/>
          </w:tcPr>
          <w:p w14:paraId="059C870B"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100% FC</w:t>
            </w:r>
          </w:p>
        </w:tc>
        <w:tc>
          <w:tcPr>
            <w:tcW w:w="0" w:type="auto"/>
            <w:shd w:val="clear" w:color="auto" w:fill="auto"/>
            <w:hideMark/>
          </w:tcPr>
          <w:p w14:paraId="60F575DA"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0.14</w:t>
            </w:r>
            <w:r w:rsidRPr="00EB3964">
              <w:rPr>
                <w:rFonts w:ascii="Times New Roman" w:hAnsi="Times New Roman" w:cs="Times New Roman"/>
                <w:highlight w:val="yellow"/>
                <w:vertAlign w:val="superscript"/>
              </w:rPr>
              <w:t>b</w:t>
            </w:r>
          </w:p>
        </w:tc>
        <w:tc>
          <w:tcPr>
            <w:tcW w:w="0" w:type="auto"/>
            <w:shd w:val="clear" w:color="auto" w:fill="auto"/>
            <w:hideMark/>
          </w:tcPr>
          <w:p w14:paraId="43B729A0"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w:t>
            </w:r>
            <w:r w:rsidRPr="00EB3964">
              <w:rPr>
                <w:rFonts w:ascii="Times New Roman" w:hAnsi="Times New Roman" w:cs="Times New Roman"/>
                <w:highlight w:val="yellow"/>
                <w:vertAlign w:val="superscript"/>
              </w:rPr>
              <w:t>b</w:t>
            </w:r>
          </w:p>
        </w:tc>
        <w:tc>
          <w:tcPr>
            <w:tcW w:w="0" w:type="auto"/>
            <w:shd w:val="clear" w:color="auto" w:fill="auto"/>
            <w:hideMark/>
          </w:tcPr>
          <w:p w14:paraId="64C4BB82"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8.30</w:t>
            </w:r>
            <w:r w:rsidRPr="00EB3964">
              <w:rPr>
                <w:rFonts w:ascii="Times New Roman" w:hAnsi="Times New Roman" w:cs="Times New Roman"/>
                <w:highlight w:val="yellow"/>
                <w:vertAlign w:val="superscript"/>
              </w:rPr>
              <w:t>b</w:t>
            </w:r>
          </w:p>
        </w:tc>
        <w:tc>
          <w:tcPr>
            <w:tcW w:w="0" w:type="auto"/>
            <w:shd w:val="clear" w:color="auto" w:fill="auto"/>
            <w:hideMark/>
          </w:tcPr>
          <w:p w14:paraId="6A5A6901"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2.10</w:t>
            </w:r>
            <w:r w:rsidRPr="00EB3964">
              <w:rPr>
                <w:rFonts w:ascii="Times New Roman" w:hAnsi="Times New Roman" w:cs="Times New Roman"/>
                <w:highlight w:val="yellow"/>
                <w:vertAlign w:val="superscript"/>
              </w:rPr>
              <w:t>b</w:t>
            </w:r>
          </w:p>
        </w:tc>
        <w:tc>
          <w:tcPr>
            <w:tcW w:w="0" w:type="auto"/>
            <w:shd w:val="clear" w:color="auto" w:fill="auto"/>
            <w:hideMark/>
          </w:tcPr>
          <w:p w14:paraId="297B3217"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1.10</w:t>
            </w:r>
            <w:r w:rsidRPr="00EB3964">
              <w:rPr>
                <w:rFonts w:ascii="Times New Roman" w:hAnsi="Times New Roman" w:cs="Times New Roman"/>
                <w:highlight w:val="yellow"/>
                <w:vertAlign w:val="superscript"/>
              </w:rPr>
              <w:t>b</w:t>
            </w:r>
          </w:p>
        </w:tc>
        <w:tc>
          <w:tcPr>
            <w:tcW w:w="0" w:type="auto"/>
            <w:shd w:val="clear" w:color="auto" w:fill="auto"/>
            <w:hideMark/>
          </w:tcPr>
          <w:p w14:paraId="763D7751"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0.45</w:t>
            </w:r>
            <w:r w:rsidRPr="00EB3964">
              <w:rPr>
                <w:rFonts w:ascii="Times New Roman" w:hAnsi="Times New Roman" w:cs="Times New Roman"/>
                <w:highlight w:val="yellow"/>
                <w:vertAlign w:val="superscript"/>
              </w:rPr>
              <w:t>a</w:t>
            </w:r>
          </w:p>
        </w:tc>
      </w:tr>
      <w:tr w:rsidR="00937A35" w:rsidRPr="00EB3964" w14:paraId="28E56325" w14:textId="77777777" w:rsidTr="00BD6BB3">
        <w:trPr>
          <w:trHeight w:val="456"/>
        </w:trPr>
        <w:tc>
          <w:tcPr>
            <w:cnfStyle w:val="001000000000" w:firstRow="0" w:lastRow="0" w:firstColumn="1" w:lastColumn="0" w:oddVBand="0" w:evenVBand="0" w:oddHBand="0" w:evenHBand="0" w:firstRowFirstColumn="0" w:firstRowLastColumn="0" w:lastRowFirstColumn="0" w:lastRowLastColumn="0"/>
            <w:tcW w:w="2119" w:type="dxa"/>
            <w:hideMark/>
          </w:tcPr>
          <w:p w14:paraId="2BC77891"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+ 40% FC</w:t>
            </w:r>
          </w:p>
        </w:tc>
        <w:tc>
          <w:tcPr>
            <w:tcW w:w="0" w:type="auto"/>
            <w:hideMark/>
          </w:tcPr>
          <w:p w14:paraId="1E692D7E"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0.18</w:t>
            </w:r>
            <w:r w:rsidRPr="00EB3964">
              <w:rPr>
                <w:rFonts w:ascii="Times New Roman" w:hAnsi="Times New Roman" w:cs="Times New Roman"/>
                <w:highlight w:val="yellow"/>
                <w:vertAlign w:val="superscript"/>
              </w:rPr>
              <w:t>a</w:t>
            </w:r>
          </w:p>
        </w:tc>
        <w:tc>
          <w:tcPr>
            <w:tcW w:w="0" w:type="auto"/>
            <w:hideMark/>
          </w:tcPr>
          <w:p w14:paraId="4402F3F2"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1.70</w:t>
            </w:r>
            <w:r w:rsidRPr="00EB3964">
              <w:rPr>
                <w:rFonts w:ascii="Times New Roman" w:hAnsi="Times New Roman" w:cs="Times New Roman"/>
                <w:highlight w:val="yellow"/>
                <w:vertAlign w:val="superscript"/>
              </w:rPr>
              <w:t>a</w:t>
            </w:r>
          </w:p>
        </w:tc>
        <w:tc>
          <w:tcPr>
            <w:tcW w:w="0" w:type="auto"/>
            <w:hideMark/>
          </w:tcPr>
          <w:p w14:paraId="40555518"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8.85</w:t>
            </w:r>
            <w:r w:rsidRPr="00EB3964">
              <w:rPr>
                <w:rFonts w:ascii="Times New Roman" w:hAnsi="Times New Roman" w:cs="Times New Roman"/>
                <w:highlight w:val="yellow"/>
                <w:vertAlign w:val="superscript"/>
              </w:rPr>
              <w:t>a</w:t>
            </w:r>
          </w:p>
        </w:tc>
        <w:tc>
          <w:tcPr>
            <w:tcW w:w="0" w:type="auto"/>
            <w:hideMark/>
          </w:tcPr>
          <w:p w14:paraId="24AE4CD1"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2.50</w:t>
            </w:r>
            <w:r w:rsidRPr="00EB3964">
              <w:rPr>
                <w:rFonts w:ascii="Times New Roman" w:hAnsi="Times New Roman" w:cs="Times New Roman"/>
                <w:highlight w:val="yellow"/>
                <w:vertAlign w:val="superscript"/>
              </w:rPr>
              <w:t>a</w:t>
            </w:r>
          </w:p>
        </w:tc>
        <w:tc>
          <w:tcPr>
            <w:tcW w:w="0" w:type="auto"/>
            <w:hideMark/>
          </w:tcPr>
          <w:p w14:paraId="4DC5B243"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1.40</w:t>
            </w:r>
            <w:r w:rsidRPr="00EB3964">
              <w:rPr>
                <w:rFonts w:ascii="Times New Roman" w:hAnsi="Times New Roman" w:cs="Times New Roman"/>
                <w:highlight w:val="yellow"/>
                <w:vertAlign w:val="superscript"/>
              </w:rPr>
              <w:t>a</w:t>
            </w:r>
          </w:p>
        </w:tc>
        <w:tc>
          <w:tcPr>
            <w:tcW w:w="0" w:type="auto"/>
            <w:hideMark/>
          </w:tcPr>
          <w:p w14:paraId="345480FE"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0.24</w:t>
            </w:r>
            <w:r w:rsidRPr="00EB3964">
              <w:rPr>
                <w:rFonts w:ascii="Times New Roman" w:hAnsi="Times New Roman" w:cs="Times New Roman"/>
                <w:highlight w:val="yellow"/>
                <w:vertAlign w:val="superscript"/>
              </w:rPr>
              <w:t>bc</w:t>
            </w:r>
          </w:p>
        </w:tc>
      </w:tr>
      <w:tr w:rsidR="00937A35" w:rsidRPr="00EB3964" w14:paraId="29A57DD7" w14:textId="77777777" w:rsidTr="00BD6BB3">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hideMark/>
          </w:tcPr>
          <w:p w14:paraId="0319583D"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+ 60% FC</w:t>
            </w:r>
          </w:p>
        </w:tc>
        <w:tc>
          <w:tcPr>
            <w:tcW w:w="0" w:type="auto"/>
            <w:shd w:val="clear" w:color="auto" w:fill="auto"/>
            <w:hideMark/>
          </w:tcPr>
          <w:p w14:paraId="7E5ACEC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0.17</w:t>
            </w:r>
            <w:r w:rsidRPr="00EB3964">
              <w:rPr>
                <w:rFonts w:ascii="Times New Roman" w:hAnsi="Times New Roman" w:cs="Times New Roman"/>
                <w:highlight w:val="yellow"/>
                <w:vertAlign w:val="superscript"/>
              </w:rPr>
              <w:t>a</w:t>
            </w:r>
          </w:p>
        </w:tc>
        <w:tc>
          <w:tcPr>
            <w:tcW w:w="0" w:type="auto"/>
            <w:shd w:val="clear" w:color="auto" w:fill="auto"/>
            <w:hideMark/>
          </w:tcPr>
          <w:p w14:paraId="7CBCD34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1.65</w:t>
            </w:r>
            <w:r w:rsidRPr="00EB3964">
              <w:rPr>
                <w:rFonts w:ascii="Times New Roman" w:hAnsi="Times New Roman" w:cs="Times New Roman"/>
                <w:highlight w:val="yellow"/>
                <w:vertAlign w:val="superscript"/>
              </w:rPr>
              <w:t>a</w:t>
            </w:r>
          </w:p>
        </w:tc>
        <w:tc>
          <w:tcPr>
            <w:tcW w:w="0" w:type="auto"/>
            <w:shd w:val="clear" w:color="auto" w:fill="auto"/>
            <w:hideMark/>
          </w:tcPr>
          <w:p w14:paraId="7303750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8.90</w:t>
            </w:r>
            <w:r w:rsidRPr="00EB3964">
              <w:rPr>
                <w:rFonts w:ascii="Times New Roman" w:hAnsi="Times New Roman" w:cs="Times New Roman"/>
                <w:highlight w:val="yellow"/>
                <w:vertAlign w:val="superscript"/>
              </w:rPr>
              <w:t>a</w:t>
            </w:r>
          </w:p>
        </w:tc>
        <w:tc>
          <w:tcPr>
            <w:tcW w:w="0" w:type="auto"/>
            <w:shd w:val="clear" w:color="auto" w:fill="auto"/>
            <w:hideMark/>
          </w:tcPr>
          <w:p w14:paraId="66AEA7EC"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2.45</w:t>
            </w:r>
            <w:r w:rsidRPr="00EB3964">
              <w:rPr>
                <w:rFonts w:ascii="Times New Roman" w:hAnsi="Times New Roman" w:cs="Times New Roman"/>
                <w:highlight w:val="yellow"/>
                <w:vertAlign w:val="superscript"/>
              </w:rPr>
              <w:t>a</w:t>
            </w:r>
          </w:p>
        </w:tc>
        <w:tc>
          <w:tcPr>
            <w:tcW w:w="0" w:type="auto"/>
            <w:shd w:val="clear" w:color="auto" w:fill="auto"/>
            <w:hideMark/>
          </w:tcPr>
          <w:p w14:paraId="556D0317"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1.38</w:t>
            </w:r>
            <w:r w:rsidRPr="00EB3964">
              <w:rPr>
                <w:rFonts w:ascii="Times New Roman" w:hAnsi="Times New Roman" w:cs="Times New Roman"/>
                <w:highlight w:val="yellow"/>
                <w:vertAlign w:val="superscript"/>
              </w:rPr>
              <w:t>a</w:t>
            </w:r>
          </w:p>
        </w:tc>
        <w:tc>
          <w:tcPr>
            <w:tcW w:w="0" w:type="auto"/>
            <w:shd w:val="clear" w:color="auto" w:fill="auto"/>
            <w:hideMark/>
          </w:tcPr>
          <w:p w14:paraId="521C7AF2"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0.26</w:t>
            </w:r>
            <w:r w:rsidRPr="00EB3964">
              <w:rPr>
                <w:rFonts w:ascii="Times New Roman" w:hAnsi="Times New Roman" w:cs="Times New Roman"/>
                <w:highlight w:val="yellow"/>
                <w:vertAlign w:val="superscript"/>
              </w:rPr>
              <w:t>bc</w:t>
            </w:r>
          </w:p>
        </w:tc>
      </w:tr>
      <w:tr w:rsidR="00937A35" w:rsidRPr="00EB3964" w14:paraId="444560E3" w14:textId="77777777" w:rsidTr="00BD6BB3">
        <w:trPr>
          <w:trHeight w:val="456"/>
        </w:trPr>
        <w:tc>
          <w:tcPr>
            <w:cnfStyle w:val="001000000000" w:firstRow="0" w:lastRow="0" w:firstColumn="1" w:lastColumn="0" w:oddVBand="0" w:evenVBand="0" w:oddHBand="0" w:evenHBand="0" w:firstRowFirstColumn="0" w:firstRowLastColumn="0" w:lastRowFirstColumn="0" w:lastRowLastColumn="0"/>
            <w:tcW w:w="2119" w:type="dxa"/>
            <w:hideMark/>
          </w:tcPr>
          <w:p w14:paraId="4CD97879"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+ 100% FC</w:t>
            </w:r>
          </w:p>
        </w:tc>
        <w:tc>
          <w:tcPr>
            <w:tcW w:w="0" w:type="auto"/>
            <w:hideMark/>
          </w:tcPr>
          <w:p w14:paraId="4DEF8BDA"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0.16</w:t>
            </w:r>
            <w:r w:rsidRPr="00EB3964">
              <w:rPr>
                <w:rFonts w:ascii="Times New Roman" w:hAnsi="Times New Roman" w:cs="Times New Roman"/>
                <w:highlight w:val="yellow"/>
                <w:vertAlign w:val="superscript"/>
              </w:rPr>
              <w:t>ab</w:t>
            </w:r>
          </w:p>
        </w:tc>
        <w:tc>
          <w:tcPr>
            <w:tcW w:w="0" w:type="auto"/>
            <w:hideMark/>
          </w:tcPr>
          <w:p w14:paraId="79D5187D"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1.60</w:t>
            </w:r>
            <w:r w:rsidRPr="00EB3964">
              <w:rPr>
                <w:rFonts w:ascii="Times New Roman" w:hAnsi="Times New Roman" w:cs="Times New Roman"/>
                <w:highlight w:val="yellow"/>
                <w:vertAlign w:val="superscript"/>
              </w:rPr>
              <w:t>a</w:t>
            </w:r>
          </w:p>
        </w:tc>
        <w:tc>
          <w:tcPr>
            <w:tcW w:w="0" w:type="auto"/>
            <w:hideMark/>
          </w:tcPr>
          <w:p w14:paraId="7F195BA2"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8.80</w:t>
            </w:r>
            <w:r w:rsidRPr="00EB3964">
              <w:rPr>
                <w:rFonts w:ascii="Times New Roman" w:hAnsi="Times New Roman" w:cs="Times New Roman"/>
                <w:highlight w:val="yellow"/>
                <w:vertAlign w:val="superscript"/>
              </w:rPr>
              <w:t>a</w:t>
            </w:r>
          </w:p>
        </w:tc>
        <w:tc>
          <w:tcPr>
            <w:tcW w:w="0" w:type="auto"/>
            <w:hideMark/>
          </w:tcPr>
          <w:p w14:paraId="0ADD492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2.35</w:t>
            </w:r>
            <w:r w:rsidRPr="00EB3964">
              <w:rPr>
                <w:rFonts w:ascii="Times New Roman" w:hAnsi="Times New Roman" w:cs="Times New Roman"/>
                <w:highlight w:val="yellow"/>
                <w:vertAlign w:val="superscript"/>
              </w:rPr>
              <w:t>ab</w:t>
            </w:r>
          </w:p>
        </w:tc>
        <w:tc>
          <w:tcPr>
            <w:tcW w:w="0" w:type="auto"/>
            <w:hideMark/>
          </w:tcPr>
          <w:p w14:paraId="664CBF13"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1.30</w:t>
            </w:r>
            <w:r w:rsidRPr="00EB3964">
              <w:rPr>
                <w:rFonts w:ascii="Times New Roman" w:hAnsi="Times New Roman" w:cs="Times New Roman"/>
                <w:highlight w:val="yellow"/>
                <w:vertAlign w:val="superscript"/>
              </w:rPr>
              <w:t>a</w:t>
            </w:r>
          </w:p>
        </w:tc>
        <w:tc>
          <w:tcPr>
            <w:tcW w:w="0" w:type="auto"/>
            <w:hideMark/>
          </w:tcPr>
          <w:p w14:paraId="294B2E8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0.32</w:t>
            </w:r>
            <w:r w:rsidRPr="00EB3964">
              <w:rPr>
                <w:rFonts w:ascii="Times New Roman" w:hAnsi="Times New Roman" w:cs="Times New Roman"/>
                <w:highlight w:val="yellow"/>
                <w:vertAlign w:val="superscript"/>
              </w:rPr>
              <w:t>ab</w:t>
            </w:r>
          </w:p>
        </w:tc>
      </w:tr>
      <w:tr w:rsidR="00937A35" w:rsidRPr="00EB3964" w14:paraId="558C23CF" w14:textId="77777777" w:rsidTr="00BD6BB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hideMark/>
          </w:tcPr>
          <w:p w14:paraId="34A2CEDD"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 + 40% FC</w:t>
            </w:r>
          </w:p>
        </w:tc>
        <w:tc>
          <w:tcPr>
            <w:tcW w:w="0" w:type="auto"/>
            <w:shd w:val="clear" w:color="auto" w:fill="auto"/>
            <w:hideMark/>
          </w:tcPr>
          <w:p w14:paraId="64E6CB6D"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0.19</w:t>
            </w:r>
            <w:r w:rsidRPr="00EB3964">
              <w:rPr>
                <w:rFonts w:ascii="Times New Roman" w:hAnsi="Times New Roman" w:cs="Times New Roman"/>
                <w:highlight w:val="yellow"/>
                <w:vertAlign w:val="superscript"/>
              </w:rPr>
              <w:t>a</w:t>
            </w:r>
          </w:p>
        </w:tc>
        <w:tc>
          <w:tcPr>
            <w:tcW w:w="0" w:type="auto"/>
            <w:shd w:val="clear" w:color="auto" w:fill="auto"/>
            <w:hideMark/>
          </w:tcPr>
          <w:p w14:paraId="0516F7F5"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1.75</w:t>
            </w:r>
            <w:r w:rsidRPr="00EB3964">
              <w:rPr>
                <w:rFonts w:ascii="Times New Roman" w:hAnsi="Times New Roman" w:cs="Times New Roman"/>
                <w:highlight w:val="yellow"/>
                <w:vertAlign w:val="superscript"/>
              </w:rPr>
              <w:t>a</w:t>
            </w:r>
          </w:p>
        </w:tc>
        <w:tc>
          <w:tcPr>
            <w:tcW w:w="0" w:type="auto"/>
            <w:shd w:val="clear" w:color="auto" w:fill="auto"/>
            <w:hideMark/>
          </w:tcPr>
          <w:p w14:paraId="5D331FE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8.70</w:t>
            </w:r>
            <w:r w:rsidRPr="00EB3964">
              <w:rPr>
                <w:rFonts w:ascii="Times New Roman" w:hAnsi="Times New Roman" w:cs="Times New Roman"/>
                <w:highlight w:val="yellow"/>
                <w:vertAlign w:val="superscript"/>
              </w:rPr>
              <w:t>a</w:t>
            </w:r>
          </w:p>
        </w:tc>
        <w:tc>
          <w:tcPr>
            <w:tcW w:w="0" w:type="auto"/>
            <w:shd w:val="clear" w:color="auto" w:fill="auto"/>
            <w:hideMark/>
          </w:tcPr>
          <w:p w14:paraId="0D5CFAEE"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2.45</w:t>
            </w:r>
            <w:r w:rsidRPr="00EB3964">
              <w:rPr>
                <w:rFonts w:ascii="Times New Roman" w:hAnsi="Times New Roman" w:cs="Times New Roman"/>
                <w:highlight w:val="yellow"/>
                <w:vertAlign w:val="superscript"/>
              </w:rPr>
              <w:t>a</w:t>
            </w:r>
          </w:p>
        </w:tc>
        <w:tc>
          <w:tcPr>
            <w:tcW w:w="0" w:type="auto"/>
            <w:shd w:val="clear" w:color="auto" w:fill="auto"/>
            <w:hideMark/>
          </w:tcPr>
          <w:p w14:paraId="43132D8A"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1.35</w:t>
            </w:r>
            <w:r w:rsidRPr="00EB3964">
              <w:rPr>
                <w:rFonts w:ascii="Times New Roman" w:hAnsi="Times New Roman" w:cs="Times New Roman"/>
                <w:highlight w:val="yellow"/>
                <w:vertAlign w:val="superscript"/>
              </w:rPr>
              <w:t>a</w:t>
            </w:r>
          </w:p>
        </w:tc>
        <w:tc>
          <w:tcPr>
            <w:tcW w:w="0" w:type="auto"/>
            <w:shd w:val="clear" w:color="auto" w:fill="auto"/>
            <w:hideMark/>
          </w:tcPr>
          <w:p w14:paraId="51C6DFFF"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0.25</w:t>
            </w:r>
            <w:r w:rsidRPr="00EB3964">
              <w:rPr>
                <w:rFonts w:ascii="Times New Roman" w:hAnsi="Times New Roman" w:cs="Times New Roman"/>
                <w:highlight w:val="yellow"/>
                <w:vertAlign w:val="superscript"/>
              </w:rPr>
              <w:t>bc</w:t>
            </w:r>
          </w:p>
        </w:tc>
      </w:tr>
      <w:tr w:rsidR="00937A35" w:rsidRPr="00EB3964" w14:paraId="7E7DE70E" w14:textId="77777777" w:rsidTr="00BD6BB3">
        <w:trPr>
          <w:trHeight w:val="456"/>
        </w:trPr>
        <w:tc>
          <w:tcPr>
            <w:cnfStyle w:val="001000000000" w:firstRow="0" w:lastRow="0" w:firstColumn="1" w:lastColumn="0" w:oddVBand="0" w:evenVBand="0" w:oddHBand="0" w:evenHBand="0" w:firstRowFirstColumn="0" w:firstRowLastColumn="0" w:lastRowFirstColumn="0" w:lastRowLastColumn="0"/>
            <w:tcW w:w="2119" w:type="dxa"/>
            <w:hideMark/>
          </w:tcPr>
          <w:p w14:paraId="7C46A4CC"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 + 60% FC</w:t>
            </w:r>
          </w:p>
        </w:tc>
        <w:tc>
          <w:tcPr>
            <w:tcW w:w="0" w:type="auto"/>
            <w:hideMark/>
          </w:tcPr>
          <w:p w14:paraId="3D2D15D4"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0.17</w:t>
            </w:r>
            <w:r w:rsidRPr="00EB3964">
              <w:rPr>
                <w:rFonts w:ascii="Times New Roman" w:hAnsi="Times New Roman" w:cs="Times New Roman"/>
                <w:highlight w:val="yellow"/>
                <w:vertAlign w:val="superscript"/>
              </w:rPr>
              <w:t>a</w:t>
            </w:r>
          </w:p>
        </w:tc>
        <w:tc>
          <w:tcPr>
            <w:tcW w:w="0" w:type="auto"/>
            <w:hideMark/>
          </w:tcPr>
          <w:p w14:paraId="05AB3944"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1.65</w:t>
            </w:r>
            <w:r w:rsidRPr="00EB3964">
              <w:rPr>
                <w:rFonts w:ascii="Times New Roman" w:hAnsi="Times New Roman" w:cs="Times New Roman"/>
                <w:highlight w:val="yellow"/>
                <w:vertAlign w:val="superscript"/>
              </w:rPr>
              <w:t>a</w:t>
            </w:r>
          </w:p>
        </w:tc>
        <w:tc>
          <w:tcPr>
            <w:tcW w:w="0" w:type="auto"/>
            <w:hideMark/>
          </w:tcPr>
          <w:p w14:paraId="14C0919D"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8.75</w:t>
            </w:r>
            <w:r w:rsidRPr="00EB3964">
              <w:rPr>
                <w:rFonts w:ascii="Times New Roman" w:hAnsi="Times New Roman" w:cs="Times New Roman"/>
                <w:highlight w:val="yellow"/>
                <w:vertAlign w:val="superscript"/>
              </w:rPr>
              <w:t>a</w:t>
            </w:r>
          </w:p>
        </w:tc>
        <w:tc>
          <w:tcPr>
            <w:tcW w:w="0" w:type="auto"/>
            <w:hideMark/>
          </w:tcPr>
          <w:p w14:paraId="3A9EF872"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2.40</w:t>
            </w:r>
            <w:r w:rsidRPr="00EB3964">
              <w:rPr>
                <w:rFonts w:ascii="Times New Roman" w:hAnsi="Times New Roman" w:cs="Times New Roman"/>
                <w:highlight w:val="yellow"/>
                <w:vertAlign w:val="superscript"/>
              </w:rPr>
              <w:t>ab</w:t>
            </w:r>
          </w:p>
        </w:tc>
        <w:tc>
          <w:tcPr>
            <w:tcW w:w="0" w:type="auto"/>
            <w:hideMark/>
          </w:tcPr>
          <w:p w14:paraId="7FAE0108"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1.30</w:t>
            </w:r>
            <w:r w:rsidRPr="00EB3964">
              <w:rPr>
                <w:rFonts w:ascii="Times New Roman" w:hAnsi="Times New Roman" w:cs="Times New Roman"/>
                <w:highlight w:val="yellow"/>
                <w:vertAlign w:val="superscript"/>
              </w:rPr>
              <w:t>a</w:t>
            </w:r>
          </w:p>
        </w:tc>
        <w:tc>
          <w:tcPr>
            <w:tcW w:w="0" w:type="auto"/>
            <w:hideMark/>
          </w:tcPr>
          <w:p w14:paraId="516A8505"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0.28</w:t>
            </w:r>
            <w:r w:rsidRPr="00EB3964">
              <w:rPr>
                <w:rFonts w:ascii="Times New Roman" w:hAnsi="Times New Roman" w:cs="Times New Roman"/>
                <w:highlight w:val="yellow"/>
                <w:vertAlign w:val="superscript"/>
              </w:rPr>
              <w:t>ab</w:t>
            </w:r>
          </w:p>
        </w:tc>
      </w:tr>
      <w:tr w:rsidR="00937A35" w:rsidRPr="00EB3964" w14:paraId="0A5F8219" w14:textId="77777777" w:rsidTr="00BD6BB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hideMark/>
          </w:tcPr>
          <w:p w14:paraId="3F1606E9"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T + 100% FC</w:t>
            </w:r>
          </w:p>
        </w:tc>
        <w:tc>
          <w:tcPr>
            <w:tcW w:w="0" w:type="auto"/>
            <w:shd w:val="clear" w:color="auto" w:fill="auto"/>
            <w:hideMark/>
          </w:tcPr>
          <w:p w14:paraId="4B13F82E"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0.16</w:t>
            </w:r>
            <w:r w:rsidRPr="00EB3964">
              <w:rPr>
                <w:rFonts w:ascii="Times New Roman" w:hAnsi="Times New Roman" w:cs="Times New Roman"/>
                <w:highlight w:val="yellow"/>
                <w:vertAlign w:val="superscript"/>
              </w:rPr>
              <w:t>ab</w:t>
            </w:r>
          </w:p>
        </w:tc>
        <w:tc>
          <w:tcPr>
            <w:tcW w:w="0" w:type="auto"/>
            <w:shd w:val="clear" w:color="auto" w:fill="auto"/>
            <w:hideMark/>
          </w:tcPr>
          <w:p w14:paraId="5824C6E4"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1.55</w:t>
            </w:r>
            <w:r w:rsidRPr="00EB3964">
              <w:rPr>
                <w:rFonts w:ascii="Times New Roman" w:hAnsi="Times New Roman" w:cs="Times New Roman"/>
                <w:highlight w:val="yellow"/>
                <w:vertAlign w:val="superscript"/>
              </w:rPr>
              <w:t>ab</w:t>
            </w:r>
          </w:p>
        </w:tc>
        <w:tc>
          <w:tcPr>
            <w:tcW w:w="0" w:type="auto"/>
            <w:shd w:val="clear" w:color="auto" w:fill="auto"/>
            <w:hideMark/>
          </w:tcPr>
          <w:p w14:paraId="15EEEBED"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8.65</w:t>
            </w:r>
            <w:r w:rsidRPr="00EB3964">
              <w:rPr>
                <w:rFonts w:ascii="Times New Roman" w:hAnsi="Times New Roman" w:cs="Times New Roman"/>
                <w:highlight w:val="yellow"/>
                <w:vertAlign w:val="superscript"/>
              </w:rPr>
              <w:t>a</w:t>
            </w:r>
          </w:p>
        </w:tc>
        <w:tc>
          <w:tcPr>
            <w:tcW w:w="0" w:type="auto"/>
            <w:shd w:val="clear" w:color="auto" w:fill="auto"/>
            <w:hideMark/>
          </w:tcPr>
          <w:p w14:paraId="09DDA770"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2.30</w:t>
            </w:r>
            <w:r w:rsidRPr="00EB3964">
              <w:rPr>
                <w:rFonts w:ascii="Times New Roman" w:hAnsi="Times New Roman" w:cs="Times New Roman"/>
                <w:highlight w:val="yellow"/>
                <w:vertAlign w:val="superscript"/>
              </w:rPr>
              <w:t>ab</w:t>
            </w:r>
          </w:p>
        </w:tc>
        <w:tc>
          <w:tcPr>
            <w:tcW w:w="0" w:type="auto"/>
            <w:shd w:val="clear" w:color="auto" w:fill="auto"/>
            <w:hideMark/>
          </w:tcPr>
          <w:p w14:paraId="176D19FB"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1.25</w:t>
            </w:r>
            <w:r w:rsidRPr="00EB3964">
              <w:rPr>
                <w:rFonts w:ascii="Times New Roman" w:hAnsi="Times New Roman" w:cs="Times New Roman"/>
                <w:highlight w:val="yellow"/>
                <w:vertAlign w:val="superscript"/>
              </w:rPr>
              <w:t>ab</w:t>
            </w:r>
          </w:p>
        </w:tc>
        <w:tc>
          <w:tcPr>
            <w:tcW w:w="0" w:type="auto"/>
            <w:shd w:val="clear" w:color="auto" w:fill="auto"/>
            <w:hideMark/>
          </w:tcPr>
          <w:p w14:paraId="4F8A5EB1"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0.34</w:t>
            </w:r>
            <w:r w:rsidRPr="00EB3964">
              <w:rPr>
                <w:rFonts w:ascii="Times New Roman" w:hAnsi="Times New Roman" w:cs="Times New Roman"/>
                <w:highlight w:val="yellow"/>
                <w:vertAlign w:val="superscript"/>
              </w:rPr>
              <w:t>ab</w:t>
            </w:r>
          </w:p>
        </w:tc>
      </w:tr>
      <w:tr w:rsidR="00937A35" w:rsidRPr="00EB3964" w14:paraId="683807FB" w14:textId="77777777" w:rsidTr="00BD6BB3">
        <w:trPr>
          <w:trHeight w:val="456"/>
        </w:trPr>
        <w:tc>
          <w:tcPr>
            <w:cnfStyle w:val="001000000000" w:firstRow="0" w:lastRow="0" w:firstColumn="1" w:lastColumn="0" w:oddVBand="0" w:evenVBand="0" w:oddHBand="0" w:evenHBand="0" w:firstRowFirstColumn="0" w:firstRowLastColumn="0" w:lastRowFirstColumn="0" w:lastRowLastColumn="0"/>
            <w:tcW w:w="2119" w:type="dxa"/>
            <w:hideMark/>
          </w:tcPr>
          <w:p w14:paraId="0D0EABBD"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T + 40% FC</w:t>
            </w:r>
          </w:p>
        </w:tc>
        <w:tc>
          <w:tcPr>
            <w:tcW w:w="0" w:type="auto"/>
            <w:hideMark/>
          </w:tcPr>
          <w:p w14:paraId="06DF1D0C"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0.20</w:t>
            </w:r>
            <w:r w:rsidRPr="00EB3964">
              <w:rPr>
                <w:rFonts w:ascii="Times New Roman" w:hAnsi="Times New Roman" w:cs="Times New Roman"/>
                <w:highlight w:val="yellow"/>
                <w:vertAlign w:val="superscript"/>
              </w:rPr>
              <w:t>a</w:t>
            </w:r>
          </w:p>
        </w:tc>
        <w:tc>
          <w:tcPr>
            <w:tcW w:w="0" w:type="auto"/>
            <w:hideMark/>
          </w:tcPr>
          <w:p w14:paraId="386A0F5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1.85</w:t>
            </w:r>
            <w:r w:rsidRPr="00EB3964">
              <w:rPr>
                <w:rFonts w:ascii="Times New Roman" w:hAnsi="Times New Roman" w:cs="Times New Roman"/>
                <w:highlight w:val="yellow"/>
                <w:vertAlign w:val="superscript"/>
              </w:rPr>
              <w:t>a</w:t>
            </w:r>
          </w:p>
        </w:tc>
        <w:tc>
          <w:tcPr>
            <w:tcW w:w="0" w:type="auto"/>
            <w:hideMark/>
          </w:tcPr>
          <w:p w14:paraId="57DBE029"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9.00</w:t>
            </w:r>
            <w:r w:rsidRPr="00EB3964">
              <w:rPr>
                <w:rFonts w:ascii="Times New Roman" w:hAnsi="Times New Roman" w:cs="Times New Roman"/>
                <w:highlight w:val="yellow"/>
                <w:vertAlign w:val="superscript"/>
              </w:rPr>
              <w:t>a</w:t>
            </w:r>
          </w:p>
        </w:tc>
        <w:tc>
          <w:tcPr>
            <w:tcW w:w="0" w:type="auto"/>
            <w:hideMark/>
          </w:tcPr>
          <w:p w14:paraId="29337763"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2.60</w:t>
            </w:r>
            <w:r w:rsidRPr="00EB3964">
              <w:rPr>
                <w:rFonts w:ascii="Times New Roman" w:hAnsi="Times New Roman" w:cs="Times New Roman"/>
                <w:highlight w:val="yellow"/>
                <w:vertAlign w:val="superscript"/>
              </w:rPr>
              <w:t>a</w:t>
            </w:r>
          </w:p>
        </w:tc>
        <w:tc>
          <w:tcPr>
            <w:tcW w:w="0" w:type="auto"/>
            <w:hideMark/>
          </w:tcPr>
          <w:p w14:paraId="3677D96C"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1.45</w:t>
            </w:r>
            <w:r w:rsidRPr="00EB3964">
              <w:rPr>
                <w:rFonts w:ascii="Times New Roman" w:hAnsi="Times New Roman" w:cs="Times New Roman"/>
                <w:highlight w:val="yellow"/>
                <w:vertAlign w:val="superscript"/>
              </w:rPr>
              <w:t>a</w:t>
            </w:r>
          </w:p>
        </w:tc>
        <w:tc>
          <w:tcPr>
            <w:tcW w:w="0" w:type="auto"/>
            <w:hideMark/>
          </w:tcPr>
          <w:p w14:paraId="2EDCD083"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0.24</w:t>
            </w:r>
            <w:r w:rsidRPr="00EB3964">
              <w:rPr>
                <w:rFonts w:ascii="Times New Roman" w:hAnsi="Times New Roman" w:cs="Times New Roman"/>
                <w:highlight w:val="yellow"/>
                <w:vertAlign w:val="superscript"/>
              </w:rPr>
              <w:t>bc</w:t>
            </w:r>
          </w:p>
        </w:tc>
      </w:tr>
      <w:tr w:rsidR="00937A35" w:rsidRPr="00EB3964" w14:paraId="2D7B79E8" w14:textId="77777777" w:rsidTr="00BD6BB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hideMark/>
          </w:tcPr>
          <w:p w14:paraId="48971295"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T + 60% FC</w:t>
            </w:r>
          </w:p>
        </w:tc>
        <w:tc>
          <w:tcPr>
            <w:tcW w:w="0" w:type="auto"/>
            <w:shd w:val="clear" w:color="auto" w:fill="auto"/>
            <w:hideMark/>
          </w:tcPr>
          <w:p w14:paraId="66B0B545"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0.18</w:t>
            </w:r>
            <w:r w:rsidRPr="00EB3964">
              <w:rPr>
                <w:rFonts w:ascii="Times New Roman" w:hAnsi="Times New Roman" w:cs="Times New Roman"/>
                <w:highlight w:val="yellow"/>
                <w:vertAlign w:val="superscript"/>
              </w:rPr>
              <w:t>a</w:t>
            </w:r>
          </w:p>
        </w:tc>
        <w:tc>
          <w:tcPr>
            <w:tcW w:w="0" w:type="auto"/>
            <w:shd w:val="clear" w:color="auto" w:fill="auto"/>
            <w:hideMark/>
          </w:tcPr>
          <w:p w14:paraId="2426FB6C"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1.75</w:t>
            </w:r>
            <w:r w:rsidRPr="00EB3964">
              <w:rPr>
                <w:rFonts w:ascii="Times New Roman" w:hAnsi="Times New Roman" w:cs="Times New Roman"/>
                <w:highlight w:val="yellow"/>
                <w:vertAlign w:val="superscript"/>
              </w:rPr>
              <w:t>a</w:t>
            </w:r>
          </w:p>
        </w:tc>
        <w:tc>
          <w:tcPr>
            <w:tcW w:w="0" w:type="auto"/>
            <w:shd w:val="clear" w:color="auto" w:fill="auto"/>
            <w:hideMark/>
          </w:tcPr>
          <w:p w14:paraId="06883288"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9.05</w:t>
            </w:r>
            <w:r w:rsidRPr="00EB3964">
              <w:rPr>
                <w:rFonts w:ascii="Times New Roman" w:hAnsi="Times New Roman" w:cs="Times New Roman"/>
                <w:highlight w:val="yellow"/>
                <w:vertAlign w:val="superscript"/>
              </w:rPr>
              <w:t>a</w:t>
            </w:r>
          </w:p>
        </w:tc>
        <w:tc>
          <w:tcPr>
            <w:tcW w:w="0" w:type="auto"/>
            <w:shd w:val="clear" w:color="auto" w:fill="auto"/>
            <w:hideMark/>
          </w:tcPr>
          <w:p w14:paraId="32074C25"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2.55</w:t>
            </w:r>
            <w:r w:rsidRPr="00EB3964">
              <w:rPr>
                <w:rFonts w:ascii="Times New Roman" w:hAnsi="Times New Roman" w:cs="Times New Roman"/>
                <w:highlight w:val="yellow"/>
                <w:vertAlign w:val="superscript"/>
              </w:rPr>
              <w:t>a</w:t>
            </w:r>
          </w:p>
        </w:tc>
        <w:tc>
          <w:tcPr>
            <w:tcW w:w="0" w:type="auto"/>
            <w:shd w:val="clear" w:color="auto" w:fill="auto"/>
            <w:hideMark/>
          </w:tcPr>
          <w:p w14:paraId="5D00FEE2"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1.42</w:t>
            </w:r>
            <w:r w:rsidRPr="00EB3964">
              <w:rPr>
                <w:rFonts w:ascii="Times New Roman" w:hAnsi="Times New Roman" w:cs="Times New Roman"/>
                <w:highlight w:val="yellow"/>
                <w:vertAlign w:val="superscript"/>
              </w:rPr>
              <w:t>a</w:t>
            </w:r>
          </w:p>
        </w:tc>
        <w:tc>
          <w:tcPr>
            <w:tcW w:w="0" w:type="auto"/>
            <w:shd w:val="clear" w:color="auto" w:fill="auto"/>
            <w:hideMark/>
          </w:tcPr>
          <w:p w14:paraId="0A3EFCF8" w14:textId="77777777" w:rsidR="00937A35" w:rsidRPr="00EB3964" w:rsidRDefault="00937A35" w:rsidP="00BD6BB3">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0.27</w:t>
            </w:r>
            <w:r w:rsidRPr="00EB3964">
              <w:rPr>
                <w:rFonts w:ascii="Times New Roman" w:hAnsi="Times New Roman" w:cs="Times New Roman"/>
                <w:highlight w:val="yellow"/>
                <w:vertAlign w:val="superscript"/>
              </w:rPr>
              <w:t>bc</w:t>
            </w:r>
          </w:p>
        </w:tc>
      </w:tr>
      <w:tr w:rsidR="00937A35" w:rsidRPr="00EB3964" w14:paraId="12FF6315" w14:textId="77777777" w:rsidTr="00BD6BB3">
        <w:trPr>
          <w:trHeight w:val="745"/>
        </w:trPr>
        <w:tc>
          <w:tcPr>
            <w:cnfStyle w:val="001000000000" w:firstRow="0" w:lastRow="0" w:firstColumn="1" w:lastColumn="0" w:oddVBand="0" w:evenVBand="0" w:oddHBand="0" w:evenHBand="0" w:firstRowFirstColumn="0" w:firstRowLastColumn="0" w:lastRowFirstColumn="0" w:lastRowLastColumn="0"/>
            <w:tcW w:w="2119" w:type="dxa"/>
            <w:hideMark/>
          </w:tcPr>
          <w:p w14:paraId="75007B84" w14:textId="77777777" w:rsidR="00937A35" w:rsidRPr="00EB3964" w:rsidRDefault="00937A35" w:rsidP="00BD6BB3">
            <w:pPr>
              <w:spacing w:line="278" w:lineRule="auto"/>
              <w:jc w:val="center"/>
              <w:rPr>
                <w:rFonts w:ascii="Times New Roman" w:hAnsi="Times New Roman" w:cs="Times New Roman"/>
                <w:highlight w:val="yellow"/>
              </w:rPr>
            </w:pPr>
            <w:r w:rsidRPr="00EB3964">
              <w:rPr>
                <w:rFonts w:ascii="Times New Roman" w:hAnsi="Times New Roman" w:cs="Times New Roman"/>
                <w:highlight w:val="yellow"/>
              </w:rPr>
              <w:t>B + T + 100% FC</w:t>
            </w:r>
          </w:p>
        </w:tc>
        <w:tc>
          <w:tcPr>
            <w:tcW w:w="0" w:type="auto"/>
            <w:hideMark/>
          </w:tcPr>
          <w:p w14:paraId="2E8F66AC"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0.17</w:t>
            </w:r>
            <w:r w:rsidRPr="00EB3964">
              <w:rPr>
                <w:rFonts w:ascii="Times New Roman" w:hAnsi="Times New Roman" w:cs="Times New Roman"/>
                <w:highlight w:val="yellow"/>
                <w:vertAlign w:val="superscript"/>
              </w:rPr>
              <w:t>a</w:t>
            </w:r>
          </w:p>
        </w:tc>
        <w:tc>
          <w:tcPr>
            <w:tcW w:w="0" w:type="auto"/>
            <w:hideMark/>
          </w:tcPr>
          <w:p w14:paraId="4E62A7B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1.70</w:t>
            </w:r>
            <w:r w:rsidRPr="00EB3964">
              <w:rPr>
                <w:rFonts w:ascii="Times New Roman" w:hAnsi="Times New Roman" w:cs="Times New Roman"/>
                <w:highlight w:val="yellow"/>
                <w:vertAlign w:val="superscript"/>
              </w:rPr>
              <w:t>a</w:t>
            </w:r>
          </w:p>
        </w:tc>
        <w:tc>
          <w:tcPr>
            <w:tcW w:w="0" w:type="auto"/>
            <w:hideMark/>
          </w:tcPr>
          <w:p w14:paraId="39C98335"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8.95</w:t>
            </w:r>
            <w:r w:rsidRPr="00EB3964">
              <w:rPr>
                <w:rFonts w:ascii="Times New Roman" w:hAnsi="Times New Roman" w:cs="Times New Roman"/>
                <w:highlight w:val="yellow"/>
                <w:vertAlign w:val="superscript"/>
              </w:rPr>
              <w:t>a</w:t>
            </w:r>
          </w:p>
        </w:tc>
        <w:tc>
          <w:tcPr>
            <w:tcW w:w="0" w:type="auto"/>
            <w:hideMark/>
          </w:tcPr>
          <w:p w14:paraId="02BB4CAB"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2.50</w:t>
            </w:r>
            <w:r w:rsidRPr="00EB3964">
              <w:rPr>
                <w:rFonts w:ascii="Times New Roman" w:hAnsi="Times New Roman" w:cs="Times New Roman"/>
                <w:highlight w:val="yellow"/>
                <w:vertAlign w:val="superscript"/>
              </w:rPr>
              <w:t>a</w:t>
            </w:r>
          </w:p>
        </w:tc>
        <w:tc>
          <w:tcPr>
            <w:tcW w:w="0" w:type="auto"/>
            <w:hideMark/>
          </w:tcPr>
          <w:p w14:paraId="6678E960"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1.38</w:t>
            </w:r>
            <w:r w:rsidRPr="00EB3964">
              <w:rPr>
                <w:rFonts w:ascii="Times New Roman" w:hAnsi="Times New Roman" w:cs="Times New Roman"/>
                <w:highlight w:val="yellow"/>
                <w:vertAlign w:val="superscript"/>
              </w:rPr>
              <w:t>a</w:t>
            </w:r>
          </w:p>
        </w:tc>
        <w:tc>
          <w:tcPr>
            <w:tcW w:w="0" w:type="auto"/>
            <w:hideMark/>
          </w:tcPr>
          <w:p w14:paraId="479DFCFD" w14:textId="77777777" w:rsidR="00937A35" w:rsidRPr="00EB3964" w:rsidRDefault="00937A35" w:rsidP="00BD6BB3">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EB3964">
              <w:rPr>
                <w:rFonts w:ascii="Times New Roman" w:hAnsi="Times New Roman" w:cs="Times New Roman"/>
                <w:highlight w:val="yellow"/>
              </w:rPr>
              <w:t>0.30</w:t>
            </w:r>
            <w:r w:rsidRPr="00EB3964">
              <w:rPr>
                <w:rFonts w:ascii="Times New Roman" w:hAnsi="Times New Roman" w:cs="Times New Roman"/>
                <w:highlight w:val="yellow"/>
                <w:vertAlign w:val="superscript"/>
              </w:rPr>
              <w:t>ab</w:t>
            </w:r>
          </w:p>
        </w:tc>
      </w:tr>
    </w:tbl>
    <w:p w14:paraId="6A88E90E" w14:textId="77777777" w:rsidR="00937A35" w:rsidRPr="00D46DCE" w:rsidRDefault="00937A35" w:rsidP="00937A35">
      <w:pPr>
        <w:tabs>
          <w:tab w:val="left" w:pos="2880"/>
        </w:tabs>
        <w:spacing w:after="0" w:line="276" w:lineRule="auto"/>
        <w:ind w:right="-630"/>
        <w:rPr>
          <w:rFonts w:ascii="Times New Roman" w:hAnsi="Times New Roman" w:cs="Times New Roman"/>
          <w:i/>
        </w:rPr>
      </w:pPr>
      <w:r w:rsidRPr="00EB3964">
        <w:rPr>
          <w:rFonts w:ascii="Times New Roman" w:hAnsi="Times New Roman" w:cs="Times New Roman"/>
          <w:highlight w:val="yellow"/>
        </w:rPr>
        <w:t xml:space="preserve">Mean with the same letter(s) in superscript on the same column are not significantly different at p=0.05(Tukey HSD). FC = Field capacity; B = Biochar; T = </w:t>
      </w:r>
      <w:r w:rsidRPr="00EB3964">
        <w:rPr>
          <w:rFonts w:ascii="Times New Roman" w:hAnsi="Times New Roman" w:cs="Times New Roman"/>
          <w:i/>
          <w:highlight w:val="yellow"/>
        </w:rPr>
        <w:t xml:space="preserve">Trichoderma </w:t>
      </w:r>
      <w:proofErr w:type="spellStart"/>
      <w:r w:rsidRPr="00EB3964">
        <w:rPr>
          <w:rFonts w:ascii="Times New Roman" w:hAnsi="Times New Roman" w:cs="Times New Roman"/>
          <w:i/>
          <w:highlight w:val="yellow"/>
        </w:rPr>
        <w:t>harzianum</w:t>
      </w:r>
      <w:proofErr w:type="spellEnd"/>
    </w:p>
    <w:bookmarkEnd w:id="2"/>
    <w:p w14:paraId="3B021716" w14:textId="77777777" w:rsidR="00F15FD7" w:rsidRDefault="00F15FD7">
      <w:pPr>
        <w:spacing w:line="276" w:lineRule="auto"/>
        <w:jc w:val="both"/>
        <w:rPr>
          <w:rFonts w:ascii="Times New Roman" w:hAnsi="Times New Roman" w:cs="Times New Roman"/>
        </w:rPr>
      </w:pPr>
    </w:p>
    <w:p w14:paraId="5A3C7A9C" w14:textId="77777777" w:rsidR="00F15FD7" w:rsidRDefault="00563E74">
      <w:pPr>
        <w:spacing w:line="276" w:lineRule="auto"/>
        <w:jc w:val="both"/>
        <w:rPr>
          <w:rFonts w:ascii="Times New Roman" w:hAnsi="Times New Roman" w:cs="Times New Roman"/>
          <w:b/>
          <w:bCs/>
        </w:rPr>
      </w:pPr>
      <w:r>
        <w:rPr>
          <w:rFonts w:ascii="Times New Roman" w:hAnsi="Times New Roman" w:cs="Times New Roman"/>
          <w:b/>
          <w:bCs/>
        </w:rPr>
        <w:t>DISCUSSION</w:t>
      </w:r>
    </w:p>
    <w:p w14:paraId="5D38A7C9" w14:textId="77777777" w:rsidR="00F15FD7" w:rsidRDefault="00563E74">
      <w:pPr>
        <w:pStyle w:val="Heading4"/>
        <w:spacing w:line="276" w:lineRule="auto"/>
        <w:rPr>
          <w:rFonts w:ascii="Times New Roman" w:hAnsi="Times New Roman" w:cs="Times New Roman"/>
          <w:b/>
          <w:bCs/>
          <w:i w:val="0"/>
          <w:iCs w:val="0"/>
          <w:color w:val="auto"/>
        </w:rPr>
      </w:pPr>
      <w:r>
        <w:rPr>
          <w:rFonts w:ascii="Times New Roman" w:hAnsi="Times New Roman" w:cs="Times New Roman"/>
          <w:b/>
          <w:bCs/>
          <w:i w:val="0"/>
          <w:iCs w:val="0"/>
          <w:color w:val="auto"/>
        </w:rPr>
        <w:t xml:space="preserve">Biochar effects on soil physical and chemical properties </w:t>
      </w:r>
    </w:p>
    <w:p w14:paraId="6189A02F" w14:textId="77777777" w:rsidR="00F15FD7" w:rsidRDefault="00563E74">
      <w:pPr>
        <w:tabs>
          <w:tab w:val="left" w:pos="2880"/>
        </w:tabs>
        <w:spacing w:after="0" w:line="276" w:lineRule="auto"/>
        <w:jc w:val="both"/>
        <w:rPr>
          <w:rFonts w:ascii="Times New Roman" w:hAnsi="Times New Roman" w:cs="Times New Roman"/>
        </w:rPr>
      </w:pPr>
      <w:bookmarkStart w:id="6" w:name="_Hlk226669993"/>
      <w:r>
        <w:rPr>
          <w:rFonts w:ascii="Times New Roman" w:hAnsi="Times New Roman" w:cs="Times New Roman"/>
        </w:rPr>
        <w:t xml:space="preserve">The produced biochar exhibits physicochemical properties that support its suitability as a soil amendment for improving soil quality and mitigating drought stress. Its alkaline pH (9.50) indicates a strong potential to ameliorate soil acidity and enhance nutrient availability. Additionally, the relatively high cation exchange capacity (35.54 </w:t>
      </w:r>
      <w:proofErr w:type="spellStart"/>
      <w:r>
        <w:rPr>
          <w:rFonts w:ascii="Times New Roman" w:hAnsi="Times New Roman" w:cs="Times New Roman"/>
        </w:rPr>
        <w:t>cmol</w:t>
      </w:r>
      <w:proofErr w:type="spellEnd"/>
      <w:r>
        <w:rPr>
          <w:rFonts w:ascii="Times New Roman" w:hAnsi="Times New Roman" w:cs="Times New Roman"/>
        </w:rPr>
        <w:t xml:space="preserve"> kg⁻¹) reflects an improved capacity for nutrient retention and soil moisture conservation under water-limited conditions; this is in accordance with earlier reports by Laird </w:t>
      </w:r>
      <w:r>
        <w:rPr>
          <w:rFonts w:ascii="Times New Roman" w:hAnsi="Times New Roman" w:cs="Times New Roman"/>
          <w:i/>
          <w:iCs/>
        </w:rPr>
        <w:t>et al.</w:t>
      </w:r>
      <w:r>
        <w:rPr>
          <w:rFonts w:ascii="Times New Roman" w:hAnsi="Times New Roman" w:cs="Times New Roman"/>
        </w:rPr>
        <w:t xml:space="preserve"> (2010) and Hossain</w:t>
      </w:r>
      <w:r>
        <w:rPr>
          <w:rFonts w:ascii="Times New Roman" w:hAnsi="Times New Roman" w:cs="Times New Roman"/>
          <w:i/>
          <w:iCs/>
        </w:rPr>
        <w:t xml:space="preserve"> et al</w:t>
      </w:r>
      <w:r>
        <w:rPr>
          <w:rFonts w:ascii="Times New Roman" w:hAnsi="Times New Roman" w:cs="Times New Roman"/>
        </w:rPr>
        <w:t xml:space="preserve">. (2020), as well as recent findings (Mao </w:t>
      </w:r>
      <w:r>
        <w:rPr>
          <w:rFonts w:ascii="Times New Roman" w:hAnsi="Times New Roman" w:cs="Times New Roman"/>
          <w:i/>
          <w:iCs/>
        </w:rPr>
        <w:t xml:space="preserve">et al., </w:t>
      </w:r>
      <w:r>
        <w:rPr>
          <w:rFonts w:ascii="Times New Roman" w:hAnsi="Times New Roman" w:cs="Times New Roman"/>
        </w:rPr>
        <w:t xml:space="preserve">2024; Kumar </w:t>
      </w:r>
      <w:r>
        <w:rPr>
          <w:rFonts w:ascii="Times New Roman" w:hAnsi="Times New Roman" w:cs="Times New Roman"/>
          <w:i/>
          <w:iCs/>
        </w:rPr>
        <w:t>et al.,</w:t>
      </w:r>
      <w:r>
        <w:rPr>
          <w:rFonts w:ascii="Times New Roman" w:hAnsi="Times New Roman" w:cs="Times New Roman"/>
        </w:rPr>
        <w:t xml:space="preserve"> 2025).</w:t>
      </w:r>
    </w:p>
    <w:p w14:paraId="77D326ED"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t xml:space="preserve">The carbon content (33.18 g kg⁻¹) and high C:N ratio (150:1) indicate a stable, recalcitrant carbon matrix capable of improving soil structure and water-holding capacity, thereby supporting plant performance under drought stress, in </w:t>
      </w:r>
      <w:r>
        <w:rPr>
          <w:rFonts w:ascii="Times New Roman" w:hAnsi="Times New Roman" w:cs="Times New Roman"/>
        </w:rPr>
        <w:lastRenderedPageBreak/>
        <w:t>accordance with the earlier report of Jeffery et al. (2017). Recent studies further confirm the role of biochar in enhancing soil water dynamics and carbon stability (Acharya et al., 2024; Ernest et al., 2024).</w:t>
      </w:r>
    </w:p>
    <w:p w14:paraId="7A895BF6"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t>Furthermore, the presence of essential nutrients, particularly the relatively high potassium content (2.597 g kg⁻¹), may enhance plant drought tolerance through improved osmotic regulation and physiological functioning, consistent with earlier and recent reports (</w:t>
      </w:r>
      <w:proofErr w:type="spellStart"/>
      <w:r>
        <w:rPr>
          <w:rFonts w:ascii="Times New Roman" w:hAnsi="Times New Roman" w:cs="Times New Roman"/>
        </w:rPr>
        <w:t>Agegnehu</w:t>
      </w:r>
      <w:proofErr w:type="spellEnd"/>
      <w:r>
        <w:rPr>
          <w:rFonts w:ascii="Times New Roman" w:hAnsi="Times New Roman" w:cs="Times New Roman"/>
        </w:rPr>
        <w:t xml:space="preserve"> et al., 2019; Hossain et al., 2020; Malik et al., 2024; </w:t>
      </w:r>
      <w:proofErr w:type="spellStart"/>
      <w:r>
        <w:rPr>
          <w:rFonts w:ascii="Times New Roman" w:hAnsi="Times New Roman" w:cs="Times New Roman"/>
        </w:rPr>
        <w:t>Adekiya</w:t>
      </w:r>
      <w:proofErr w:type="spellEnd"/>
      <w:r>
        <w:rPr>
          <w:rFonts w:ascii="Times New Roman" w:hAnsi="Times New Roman" w:cs="Times New Roman"/>
        </w:rPr>
        <w:t xml:space="preserve"> et al., 2025).</w:t>
      </w:r>
    </w:p>
    <w:p w14:paraId="0299F4F7"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t>Overall, these findings highlight the potential of the biochar to enhance soil fertility, improve moisture retention, and increase crop resilience under drought conditions, in accordance with both earlier and recent studies (Kumar et al., 2024; Su et al., 2024).</w:t>
      </w:r>
    </w:p>
    <w:p w14:paraId="6757604D" w14:textId="326522DC" w:rsidR="00F15FD7" w:rsidRDefault="00563E74">
      <w:pPr>
        <w:pStyle w:val="Caption"/>
        <w:tabs>
          <w:tab w:val="left" w:pos="2880"/>
        </w:tabs>
        <w:spacing w:line="276" w:lineRule="auto"/>
        <w:rPr>
          <w:rFonts w:cs="Times New Roman"/>
          <w:sz w:val="22"/>
          <w:szCs w:val="22"/>
          <w:lang w:val="en-US"/>
        </w:rPr>
      </w:pPr>
      <w:r>
        <w:rPr>
          <w:rFonts w:cs="Times New Roman"/>
          <w:sz w:val="22"/>
          <w:szCs w:val="22"/>
          <w:lang w:val="en-US"/>
        </w:rPr>
        <w:t xml:space="preserve">Biochar and watering regime effects </w:t>
      </w:r>
      <w:r w:rsidR="00595C83">
        <w:rPr>
          <w:rFonts w:cs="Times New Roman"/>
          <w:sz w:val="22"/>
          <w:szCs w:val="22"/>
          <w:lang w:val="en-US"/>
        </w:rPr>
        <w:t>on pepper</w:t>
      </w:r>
      <w:r>
        <w:rPr>
          <w:rFonts w:cs="Times New Roman"/>
          <w:sz w:val="22"/>
          <w:szCs w:val="22"/>
          <w:lang w:val="en-US"/>
        </w:rPr>
        <w:t xml:space="preserve"> growth characters </w:t>
      </w:r>
    </w:p>
    <w:p w14:paraId="1E164923" w14:textId="77777777" w:rsidR="00F15FD7" w:rsidRDefault="00563E74">
      <w:pPr>
        <w:jc w:val="both"/>
        <w:rPr>
          <w:rFonts w:ascii="Times New Roman" w:hAnsi="Times New Roman" w:cs="Times New Roman"/>
        </w:rPr>
      </w:pPr>
      <w:r>
        <w:rPr>
          <w:rFonts w:ascii="Times New Roman" w:hAnsi="Times New Roman" w:cs="Times New Roman"/>
        </w:rPr>
        <w:t xml:space="preserve">According to the study, the use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together had a major impact on pepper development under various watering regimes. While Trichoderma encourages plant growth through nutrient solubilization, hormone production, and improved root development (</w:t>
      </w:r>
      <w:r>
        <w:t>Zin and Badaluddin, 2020),</w:t>
      </w:r>
      <w:r>
        <w:rPr>
          <w:rFonts w:ascii="Times New Roman" w:hAnsi="Times New Roman" w:cs="Times New Roman"/>
        </w:rPr>
        <w:t xml:space="preserve"> biochar's synergistic effects on soil water-holding capacity and nutrient retention are probably responsible for the increased growth under combined treatments (</w:t>
      </w:r>
      <w:r>
        <w:t>Zulfiqar</w:t>
      </w:r>
      <w:r>
        <w:rPr>
          <w:rFonts w:ascii="Times New Roman" w:hAnsi="Times New Roman" w:cs="Times New Roman"/>
        </w:rPr>
        <w:t xml:space="preserve"> et al., 2022; Sharma et al., 2025). Additionally, there was an improvement in the development of the leaves and stems, indicating greater photosynthetic capacity and structural strength that assist drought resilience. Improved soil exploration for water and nutrients, a crucial adaptation under low moisture, as indicated by the root growth seen in plants treated with biochar and Trichoderma (Khan et al., 2024). These findings support recent reports on biochar–microbial synergism in crop stress tolerance (</w:t>
      </w:r>
      <w:proofErr w:type="spellStart"/>
      <w:r>
        <w:t>Lalarukh</w:t>
      </w:r>
      <w:proofErr w:type="spellEnd"/>
      <w:r>
        <w:rPr>
          <w:rFonts w:ascii="Times New Roman" w:hAnsi="Times New Roman" w:cs="Times New Roman"/>
        </w:rPr>
        <w:t xml:space="preserve"> et al., 2022; Sharma et al., 2023; Khan et al., 2024) and suggest that biochar and Trichoderma </w:t>
      </w:r>
      <w:proofErr w:type="spellStart"/>
      <w:r>
        <w:rPr>
          <w:rFonts w:ascii="Times New Roman" w:hAnsi="Times New Roman" w:cs="Times New Roman"/>
        </w:rPr>
        <w:t>harzianum</w:t>
      </w:r>
      <w:proofErr w:type="spellEnd"/>
      <w:r>
        <w:rPr>
          <w:rFonts w:ascii="Times New Roman" w:hAnsi="Times New Roman" w:cs="Times New Roman"/>
        </w:rPr>
        <w:t>, particularly in combination, can reduce drought stress in pepper by improving soil physical characteristics, nutrient availability, and plant physiological responses.</w:t>
      </w:r>
    </w:p>
    <w:p w14:paraId="5800820E" w14:textId="06163B18" w:rsidR="00F15FD7" w:rsidRDefault="00563E74">
      <w:pPr>
        <w:tabs>
          <w:tab w:val="left" w:pos="2880"/>
        </w:tabs>
        <w:spacing w:after="0" w:line="276" w:lineRule="auto"/>
        <w:jc w:val="both"/>
        <w:rPr>
          <w:rFonts w:ascii="Times New Roman" w:hAnsi="Times New Roman" w:cs="Times New Roman"/>
          <w:b/>
          <w:bCs/>
        </w:rPr>
      </w:pPr>
      <w:r>
        <w:rPr>
          <w:rFonts w:cs="Times New Roman"/>
          <w:b/>
          <w:bCs/>
        </w:rPr>
        <w:t>Biochar and watering regime effects on</w:t>
      </w:r>
      <w:r>
        <w:rPr>
          <w:rFonts w:ascii="Times New Roman" w:hAnsi="Times New Roman" w:cs="Times New Roman"/>
          <w:b/>
          <w:bCs/>
        </w:rPr>
        <w:t xml:space="preserve"> pepper biomass</w:t>
      </w:r>
    </w:p>
    <w:p w14:paraId="268A31B9"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t xml:space="preserve">The findings show that biomass accumulation in the roots, leaves, and stems was greatly impacted by both amendments and a sufficient supply of moisture. This improvement could be explained by biochar's ability to improve soil structure, nutrient retention, and water-holding capacity, all of which support biomass buildup and plant growth. According to a number of studies, biochar enhances nutrient uptake and root development, which increases vegetative growth in vegetable crops under both ideal and water-limited circumstances (Lehmann et al., 2021; </w:t>
      </w:r>
      <w:proofErr w:type="spellStart"/>
      <w:r>
        <w:rPr>
          <w:rFonts w:ascii="Times New Roman" w:hAnsi="Times New Roman" w:cs="Times New Roman"/>
        </w:rPr>
        <w:t>Agegnehu</w:t>
      </w:r>
      <w:proofErr w:type="spellEnd"/>
      <w:r>
        <w:rPr>
          <w:rFonts w:ascii="Times New Roman" w:hAnsi="Times New Roman" w:cs="Times New Roman"/>
        </w:rPr>
        <w:t xml:space="preserve"> et al., 2022). Compared </w:t>
      </w:r>
      <w:proofErr w:type="gramStart"/>
      <w:r>
        <w:rPr>
          <w:rFonts w:ascii="Times New Roman" w:hAnsi="Times New Roman" w:cs="Times New Roman"/>
        </w:rPr>
        <w:t>to  watering</w:t>
      </w:r>
      <w:proofErr w:type="gramEnd"/>
      <w:r>
        <w:rPr>
          <w:rFonts w:ascii="Times New Roman" w:hAnsi="Times New Roman" w:cs="Times New Roman"/>
        </w:rPr>
        <w:t xml:space="preserve"> regime alone, </w:t>
      </w:r>
      <w:proofErr w:type="spellStart"/>
      <w:r>
        <w:rPr>
          <w:rFonts w:ascii="Times New Roman" w:hAnsi="Times New Roman" w:cs="Times New Roman"/>
        </w:rPr>
        <w:t>Trichodermal</w:t>
      </w:r>
      <w:proofErr w:type="spellEnd"/>
      <w:r>
        <w:rPr>
          <w:rFonts w:ascii="Times New Roman" w:hAnsi="Times New Roman" w:cs="Times New Roman"/>
        </w:rPr>
        <w:t xml:space="preserve"> inoculation increased plant biomass. According to Contreras-Cornejo et al. (2020) and Harman et al. (2021), Trichoderma species are well known for their ability to stimulate root growth, promote nutrient solubilization, and increase plant resistance to abiotic stresses like drought. The higher root and shoot biomass seen in this study was probably caused by these mechanisms. Plant growth was also significantly impacted by the availability of water. Fresh weights of leaves and stems were often higher in plants kept at 100% field capacity than in those kept at 40% or 60% field capacity. On the other hand, the lowest biomass values were primarily found at 40% field capacity, especially for stem fresh weight (14.03 g) and leaf fresh weight (7.92 g), suggesting that a severe water deficit severely limited biomass production. It is well established that water stress reduces plant growth and dry matter buildup by limiting cell expansion, photosynthesis, and nutrient uptake (Farooq et al., 2022</w:t>
      </w:r>
      <w:proofErr w:type="gramStart"/>
      <w:r>
        <w:rPr>
          <w:rFonts w:ascii="Times New Roman" w:hAnsi="Times New Roman" w:cs="Times New Roman"/>
        </w:rPr>
        <w:t>).The</w:t>
      </w:r>
      <w:proofErr w:type="gramEnd"/>
      <w:r>
        <w:rPr>
          <w:rFonts w:ascii="Times New Roman" w:hAnsi="Times New Roman" w:cs="Times New Roman"/>
        </w:rPr>
        <w:t xml:space="preserve"> highest biomass values were often obtained from the combination treatments of biochar and Trichoderma under suitable moisture conditions. Significantly, high root fresh weight (14.31 g) and root dry weight (4.02 g) were produced when biochar and Trichoderma were combined at 100% field capacity, suggesting a strong synergistic effect between the amendments under ideal moisture conditions. Similarly, treatments like Trichoderma + 60% FC and biochar + Trichoderma + 60% FC produced high stem fresh weights (26.87 g and 26.97 g, respectively), indicating that by enhancing soil microbial activity and root function, these amendments may lessen moderate water stress. Additionally, prior research has shown that beneficial microbes and biochar work in concert to improve plant growth, nitrogen uptake, and stress tolerance (</w:t>
      </w:r>
      <w:proofErr w:type="spellStart"/>
      <w:r>
        <w:rPr>
          <w:rFonts w:ascii="Times New Roman" w:hAnsi="Times New Roman" w:cs="Times New Roman"/>
        </w:rPr>
        <w:t>Palansooriya</w:t>
      </w:r>
      <w:proofErr w:type="spellEnd"/>
      <w:r>
        <w:rPr>
          <w:rFonts w:ascii="Times New Roman" w:hAnsi="Times New Roman" w:cs="Times New Roman"/>
        </w:rPr>
        <w:t xml:space="preserve"> et al., 2022; Kumar et al., 2023).</w:t>
      </w:r>
    </w:p>
    <w:p w14:paraId="1EA2497F" w14:textId="77777777" w:rsidR="00F15FD7" w:rsidRDefault="00563E74">
      <w:pPr>
        <w:tabs>
          <w:tab w:val="left" w:pos="2880"/>
        </w:tabs>
        <w:spacing w:after="0" w:line="276" w:lineRule="auto"/>
        <w:jc w:val="both"/>
        <w:rPr>
          <w:rFonts w:ascii="Times New Roman" w:hAnsi="Times New Roman" w:cs="Times New Roman"/>
          <w:b/>
          <w:bCs/>
        </w:rPr>
      </w:pPr>
      <w:r>
        <w:rPr>
          <w:rFonts w:ascii="Times New Roman" w:hAnsi="Times New Roman" w:cs="Times New Roman"/>
        </w:rPr>
        <w:lastRenderedPageBreak/>
        <w:t xml:space="preserve">Overall, the findings show that Trichoderma </w:t>
      </w:r>
      <w:proofErr w:type="spellStart"/>
      <w:r>
        <w:rPr>
          <w:rFonts w:ascii="Times New Roman" w:hAnsi="Times New Roman" w:cs="Times New Roman"/>
        </w:rPr>
        <w:t>harzianum</w:t>
      </w:r>
      <w:proofErr w:type="spellEnd"/>
      <w:r>
        <w:rPr>
          <w:rFonts w:ascii="Times New Roman" w:hAnsi="Times New Roman" w:cs="Times New Roman"/>
        </w:rPr>
        <w:t xml:space="preserve"> and biochar both had a good impact on pepper biomass, especially when paired with sufficient soil moisture. By improving soil physical conditions, microbial activity, and nutrient availability, the incorporation of these amendments seems to enhance plant development and enable increased biomass accumulation even under mild water stress.</w:t>
      </w:r>
    </w:p>
    <w:p w14:paraId="52EA44F5" w14:textId="78FA4D76" w:rsidR="00F15FD7" w:rsidRDefault="00563E74">
      <w:pPr>
        <w:tabs>
          <w:tab w:val="left" w:pos="2880"/>
        </w:tabs>
        <w:spacing w:line="276" w:lineRule="auto"/>
        <w:rPr>
          <w:rFonts w:ascii="Times New Roman" w:hAnsi="Times New Roman" w:cs="Times New Roman"/>
          <w:b/>
          <w:bCs/>
        </w:rPr>
      </w:pPr>
      <w:r>
        <w:rPr>
          <w:rFonts w:cs="Times New Roman"/>
          <w:b/>
          <w:bCs/>
        </w:rPr>
        <w:t xml:space="preserve">Biochar and watering regime effects </w:t>
      </w:r>
      <w:r w:rsidR="00595C83">
        <w:rPr>
          <w:rFonts w:cs="Times New Roman"/>
          <w:b/>
          <w:bCs/>
        </w:rPr>
        <w:t xml:space="preserve">on </w:t>
      </w:r>
      <w:r w:rsidR="00595C83">
        <w:rPr>
          <w:rFonts w:ascii="Times New Roman" w:hAnsi="Times New Roman" w:cs="Times New Roman"/>
          <w:b/>
          <w:bCs/>
        </w:rPr>
        <w:t>yield</w:t>
      </w:r>
      <w:r>
        <w:rPr>
          <w:rFonts w:ascii="Times New Roman" w:hAnsi="Times New Roman" w:cs="Times New Roman"/>
          <w:b/>
          <w:bCs/>
        </w:rPr>
        <w:t xml:space="preserve"> of Pepper</w:t>
      </w:r>
    </w:p>
    <w:bookmarkEnd w:id="6"/>
    <w:p w14:paraId="00645136" w14:textId="77777777" w:rsidR="00F15FD7" w:rsidRDefault="00563E74">
      <w:pPr>
        <w:tabs>
          <w:tab w:val="left" w:pos="2880"/>
        </w:tabs>
        <w:spacing w:line="276" w:lineRule="auto"/>
        <w:jc w:val="both"/>
        <w:rPr>
          <w:rFonts w:ascii="Times New Roman" w:hAnsi="Times New Roman" w:cs="Times New Roman"/>
        </w:rPr>
      </w:pPr>
      <w:r>
        <w:rPr>
          <w:rFonts w:ascii="Times New Roman" w:hAnsi="Times New Roman" w:cs="Times New Roman"/>
        </w:rPr>
        <w:t xml:space="preserve">The results indicate that the application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significantly improved the yield of pepper under different watering regimes. Water stress markedly reduced yield parameters, as plants grown at 40% field capacity recorded the lowest number of fruits per plant (18.50), fruit fresh weight (81.00 g), and fruit dry weight (16.99 g), while higher values were observed at 100% field capacity. This reduction in yield under moisture deficit conditions has been attributed to impaired photosynthesis, reduced nutrient uptake, and limited assimilate translocation to developing fruits (</w:t>
      </w:r>
      <w:proofErr w:type="spellStart"/>
      <w:r>
        <w:rPr>
          <w:rFonts w:ascii="Times New Roman" w:hAnsi="Times New Roman" w:cs="Times New Roman"/>
        </w:rPr>
        <w:t>Barnabá</w:t>
      </w:r>
      <w:proofErr w:type="spellEnd"/>
      <w:r>
        <w:rPr>
          <w:rFonts w:ascii="Times New Roman" w:hAnsi="Times New Roman" w:cs="Times New Roman"/>
          <w:i/>
          <w:iCs/>
        </w:rPr>
        <w:t xml:space="preserve"> et al., 2008; </w:t>
      </w:r>
      <w:proofErr w:type="spellStart"/>
      <w:r>
        <w:rPr>
          <w:rFonts w:ascii="Times New Roman" w:hAnsi="Times New Roman" w:cs="Times New Roman"/>
        </w:rPr>
        <w:t>Hasanuzzaman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2020). the sole effects of biochar and </w:t>
      </w:r>
      <w:r>
        <w:rPr>
          <w:rFonts w:ascii="Times New Roman" w:hAnsi="Times New Roman" w:cs="Times New Roman"/>
          <w:i/>
          <w:iCs/>
        </w:rPr>
        <w:t>Trichoderma</w:t>
      </w:r>
      <w:r>
        <w:rPr>
          <w:rFonts w:ascii="Times New Roman" w:hAnsi="Times New Roman" w:cs="Times New Roman"/>
        </w:rPr>
        <w:t xml:space="preserve"> moderately enhanced pepper yield compared with the water-stressed treatments, with biochar producing 25.70 fruits per plant and 130.00 g fruit fresh weight, while </w:t>
      </w:r>
      <w:r>
        <w:rPr>
          <w:rFonts w:ascii="Times New Roman" w:hAnsi="Times New Roman" w:cs="Times New Roman"/>
          <w:i/>
          <w:iCs/>
        </w:rPr>
        <w:t>Trichoderma</w:t>
      </w:r>
      <w:r>
        <w:rPr>
          <w:rFonts w:ascii="Times New Roman" w:hAnsi="Times New Roman" w:cs="Times New Roman"/>
        </w:rPr>
        <w:t xml:space="preserve"> produced 24.34 fruits per plant and 125.33 g fruit fresh weight. Biochar is known to improve soil water retention, nutrient availability, and soil structure, thereby enhancing crop productivity (Sun and Lu, 2014; </w:t>
      </w:r>
      <w:proofErr w:type="spellStart"/>
      <w:r>
        <w:rPr>
          <w:rFonts w:ascii="Times New Roman" w:hAnsi="Times New Roman" w:cs="Times New Roman"/>
        </w:rPr>
        <w:t>Jien</w:t>
      </w:r>
      <w:proofErr w:type="spellEnd"/>
      <w:r>
        <w:rPr>
          <w:rFonts w:ascii="Times New Roman" w:hAnsi="Times New Roman" w:cs="Times New Roman"/>
        </w:rPr>
        <w:t xml:space="preserve"> et al., 2021). Similarly, </w:t>
      </w:r>
      <w:r>
        <w:rPr>
          <w:rFonts w:ascii="Times New Roman" w:hAnsi="Times New Roman" w:cs="Times New Roman"/>
          <w:i/>
          <w:iCs/>
        </w:rPr>
        <w:t>Trichoderma</w:t>
      </w:r>
      <w:r>
        <w:rPr>
          <w:rFonts w:ascii="Times New Roman" w:hAnsi="Times New Roman" w:cs="Times New Roman"/>
        </w:rPr>
        <w:t xml:space="preserve"> species promote plant growth and yield by improving root development, nutrient uptake, and stress tolerance (</w:t>
      </w:r>
      <w:bookmarkStart w:id="7" w:name="bbib6"/>
      <w:r>
        <w:rPr>
          <w:rFonts w:ascii="Times New Roman" w:hAnsi="Times New Roman" w:cs="Times New Roman"/>
        </w:rPr>
        <w:fldChar w:fldCharType="begin"/>
      </w:r>
      <w:r>
        <w:rPr>
          <w:rFonts w:ascii="Times New Roman" w:hAnsi="Times New Roman" w:cs="Times New Roman"/>
        </w:rPr>
        <w:instrText>HYPERLINK "https://www.sciencedirect.com/science/article/pii/S0944501324000661" \l "bib6"</w:instrText>
      </w:r>
      <w:r>
        <w:rPr>
          <w:rFonts w:ascii="Times New Roman" w:hAnsi="Times New Roman" w:cs="Times New Roman"/>
        </w:rPr>
      </w:r>
      <w:r>
        <w:rPr>
          <w:rFonts w:ascii="Times New Roman" w:hAnsi="Times New Roman" w:cs="Times New Roman"/>
        </w:rPr>
        <w:fldChar w:fldCharType="separate"/>
      </w:r>
      <w:r>
        <w:rPr>
          <w:rStyle w:val="Hyperlink"/>
          <w:rFonts w:ascii="Times New Roman" w:hAnsi="Times New Roman" w:cs="Times New Roman"/>
          <w:color w:val="auto"/>
          <w:u w:val="none"/>
        </w:rPr>
        <w:t>Basirat et al., 2019</w:t>
      </w:r>
      <w:r>
        <w:rPr>
          <w:rFonts w:ascii="Times New Roman" w:hAnsi="Times New Roman" w:cs="Times New Roman"/>
        </w:rPr>
        <w:fldChar w:fldCharType="end"/>
      </w:r>
      <w:bookmarkEnd w:id="7"/>
      <w:r>
        <w:rPr>
          <w:rFonts w:ascii="Times New Roman" w:hAnsi="Times New Roman" w:cs="Times New Roman"/>
        </w:rPr>
        <w:t xml:space="preserve">, </w:t>
      </w:r>
      <w:bookmarkStart w:id="8" w:name="bbib59"/>
      <w:r>
        <w:rPr>
          <w:rFonts w:ascii="Times New Roman" w:hAnsi="Times New Roman" w:cs="Times New Roman"/>
        </w:rPr>
        <w:fldChar w:fldCharType="begin"/>
      </w:r>
      <w:r>
        <w:rPr>
          <w:rFonts w:ascii="Times New Roman" w:hAnsi="Times New Roman" w:cs="Times New Roman"/>
        </w:rPr>
        <w:instrText>HYPERLINK "https://www.sciencedirect.com/science/article/pii/S0944501324000661" \l "bib59"</w:instrText>
      </w:r>
      <w:r>
        <w:rPr>
          <w:rFonts w:ascii="Times New Roman" w:hAnsi="Times New Roman" w:cs="Times New Roman"/>
        </w:rPr>
      </w:r>
      <w:r>
        <w:rPr>
          <w:rFonts w:ascii="Times New Roman" w:hAnsi="Times New Roman" w:cs="Times New Roman"/>
        </w:rPr>
        <w:fldChar w:fldCharType="separate"/>
      </w:r>
      <w:r>
        <w:rPr>
          <w:rStyle w:val="Hyperlink"/>
          <w:rFonts w:ascii="Times New Roman" w:hAnsi="Times New Roman" w:cs="Times New Roman"/>
          <w:color w:val="auto"/>
          <w:u w:val="none"/>
        </w:rPr>
        <w:t>Li et al., 2022</w:t>
      </w:r>
      <w:r>
        <w:rPr>
          <w:rFonts w:ascii="Times New Roman" w:hAnsi="Times New Roman" w:cs="Times New Roman"/>
        </w:rPr>
        <w:fldChar w:fldCharType="end"/>
      </w:r>
      <w:bookmarkEnd w:id="8"/>
      <w:r>
        <w:rPr>
          <w:rFonts w:ascii="Times New Roman" w:hAnsi="Times New Roman" w:cs="Times New Roman"/>
        </w:rPr>
        <w:t xml:space="preserve">). </w:t>
      </w:r>
      <w:bookmarkStart w:id="9" w:name="bbib40"/>
      <w:r>
        <w:rPr>
          <w:rFonts w:ascii="Times New Roman" w:hAnsi="Times New Roman" w:cs="Times New Roman"/>
        </w:rPr>
        <w:fldChar w:fldCharType="begin"/>
      </w:r>
      <w:r>
        <w:rPr>
          <w:rFonts w:ascii="Times New Roman" w:hAnsi="Times New Roman" w:cs="Times New Roman"/>
        </w:rPr>
        <w:instrText>HYPERLINK "https://www.sciencedirect.com/science/article/pii/S0944501324000661" \l "bib40"</w:instrText>
      </w:r>
      <w:r>
        <w:rPr>
          <w:rFonts w:ascii="Times New Roman" w:hAnsi="Times New Roman" w:cs="Times New Roman"/>
        </w:rPr>
      </w:r>
      <w:r>
        <w:rPr>
          <w:rFonts w:ascii="Times New Roman" w:hAnsi="Times New Roman" w:cs="Times New Roman"/>
        </w:rPr>
        <w:fldChar w:fldCharType="separate"/>
      </w:r>
      <w:r>
        <w:rPr>
          <w:rStyle w:val="Hyperlink"/>
          <w:rFonts w:ascii="Times New Roman" w:hAnsi="Times New Roman" w:cs="Times New Roman"/>
          <w:color w:val="auto"/>
          <w:u w:val="none"/>
        </w:rPr>
        <w:t>Harman et al. (2021</w:t>
      </w:r>
      <w:r>
        <w:rPr>
          <w:rFonts w:ascii="Times New Roman" w:hAnsi="Times New Roman" w:cs="Times New Roman"/>
        </w:rPr>
        <w:fldChar w:fldCharType="end"/>
      </w:r>
      <w:bookmarkEnd w:id="9"/>
      <w:r>
        <w:rPr>
          <w:rFonts w:ascii="Times New Roman" w:hAnsi="Times New Roman" w:cs="Times New Roman"/>
        </w:rPr>
        <w:t xml:space="preserve">) stated that Trichoderma species possess a remarkable ability to colonize roots effectively, enabling them to expand the root </w:t>
      </w:r>
      <w:hyperlink r:id="rId17" w:history="1">
        <w:r w:rsidR="00F15FD7">
          <w:rPr>
            <w:rStyle w:val="Hyperlink"/>
            <w:rFonts w:ascii="Times New Roman" w:hAnsi="Times New Roman" w:cs="Times New Roman"/>
            <w:color w:val="auto"/>
            <w:u w:val="none"/>
          </w:rPr>
          <w:t>surface area</w:t>
        </w:r>
      </w:hyperlink>
      <w:r>
        <w:rPr>
          <w:rFonts w:ascii="Times New Roman" w:hAnsi="Times New Roman" w:cs="Times New Roman"/>
        </w:rPr>
        <w:t xml:space="preserve"> in direct contact with the soil.  The co-application </w:t>
      </w:r>
      <w:proofErr w:type="gramStart"/>
      <w:r>
        <w:rPr>
          <w:rFonts w:ascii="Times New Roman" w:hAnsi="Times New Roman" w:cs="Times New Roman"/>
        </w:rPr>
        <w:t>of  biochar</w:t>
      </w:r>
      <w:proofErr w:type="gramEnd"/>
      <w:r>
        <w:rPr>
          <w:rFonts w:ascii="Times New Roman" w:hAnsi="Times New Roman" w:cs="Times New Roman"/>
        </w:rPr>
        <w:t xml:space="preserve"> and </w:t>
      </w:r>
      <w:r>
        <w:rPr>
          <w:rFonts w:ascii="Times New Roman" w:hAnsi="Times New Roman" w:cs="Times New Roman"/>
          <w:i/>
          <w:iCs/>
        </w:rPr>
        <w:t>Trichoderma</w:t>
      </w:r>
      <w:r>
        <w:rPr>
          <w:rFonts w:ascii="Times New Roman" w:hAnsi="Times New Roman" w:cs="Times New Roman"/>
        </w:rPr>
        <w:t xml:space="preserve"> produced the highest yield responses, particularly under adequate and moderate moisture conditions. The treatment B + T + 100% FC recorded the highest number of fruits (36.93 fruits/plant), fruit fresh weight (150.00 g), and fruit dry weight (25.00 g), followed by B + T + 60% FC. This synergistic effect may be attributed to improved soil physicochemical properties and enhanced microbial activity in the rhizosphere, which collectively promote plant growth and fruit production. According </w:t>
      </w:r>
      <w:proofErr w:type="spellStart"/>
      <w:r>
        <w:rPr>
          <w:rFonts w:ascii="Times New Roman" w:hAnsi="Times New Roman" w:cs="Times New Roman"/>
        </w:rPr>
        <w:t>Alkharabsheh</w:t>
      </w:r>
      <w:proofErr w:type="spellEnd"/>
      <w:r>
        <w:rPr>
          <w:rFonts w:ascii="Times New Roman" w:hAnsi="Times New Roman" w:cs="Times New Roman"/>
        </w:rPr>
        <w:t xml:space="preserve"> et al. (</w:t>
      </w:r>
      <w:hyperlink r:id="rId18" w:anchor="B6" w:history="1">
        <w:r w:rsidR="00F15FD7">
          <w:rPr>
            <w:rStyle w:val="Hyperlink"/>
            <w:rFonts w:ascii="Times New Roman" w:hAnsi="Times New Roman" w:cs="Times New Roman"/>
            <w:color w:val="auto"/>
            <w:u w:val="none"/>
          </w:rPr>
          <w:t>2021</w:t>
        </w:r>
      </w:hyperlink>
      <w:r>
        <w:rPr>
          <w:rFonts w:ascii="Times New Roman" w:hAnsi="Times New Roman" w:cs="Times New Roman"/>
        </w:rPr>
        <w:t xml:space="preserve">), Biochar is a reliable soil supplement that improves soil fertility, structure, and interactions with soil microbes. It acts as a medium for growth development, nutrient uptake, and root colonization of beneficial fungi through hyphal growth and elongation because of its larger surface area (Hussain et al., </w:t>
      </w:r>
      <w:hyperlink r:id="rId19" w:anchor="B37" w:history="1">
        <w:r w:rsidR="00F15FD7">
          <w:rPr>
            <w:rStyle w:val="Hyperlink"/>
            <w:rFonts w:ascii="Times New Roman" w:hAnsi="Times New Roman" w:cs="Times New Roman"/>
            <w:color w:val="auto"/>
            <w:u w:val="none"/>
          </w:rPr>
          <w:t>2021</w:t>
        </w:r>
      </w:hyperlink>
      <w:r>
        <w:rPr>
          <w:rFonts w:ascii="Times New Roman" w:hAnsi="Times New Roman" w:cs="Times New Roman"/>
        </w:rPr>
        <w:t>).</w:t>
      </w:r>
    </w:p>
    <w:p w14:paraId="238C2ECE" w14:textId="77777777" w:rsidR="00F15FD7" w:rsidRDefault="00563E74">
      <w:pPr>
        <w:spacing w:line="276" w:lineRule="auto"/>
        <w:rPr>
          <w:rFonts w:cs="Times New Roman"/>
          <w:b/>
          <w:bCs/>
        </w:rPr>
      </w:pPr>
      <w:r>
        <w:rPr>
          <w:rFonts w:cs="Times New Roman"/>
          <w:b/>
          <w:bCs/>
        </w:rPr>
        <w:t xml:space="preserve">Biochar and watering regime effects on mineral and proximate composition of pepper </w:t>
      </w:r>
    </w:p>
    <w:p w14:paraId="2C2313AA" w14:textId="77777777" w:rsidR="00F15FD7" w:rsidRDefault="00563E74">
      <w:pPr>
        <w:tabs>
          <w:tab w:val="left" w:pos="9000"/>
        </w:tabs>
        <w:spacing w:line="276" w:lineRule="auto"/>
        <w:jc w:val="both"/>
        <w:rPr>
          <w:rFonts w:ascii="Times New Roman" w:hAnsi="Times New Roman" w:cs="Times New Roman"/>
        </w:rPr>
      </w:pPr>
      <w:r>
        <w:rPr>
          <w:rFonts w:ascii="Times New Roman" w:hAnsi="Times New Roman" w:cs="Times New Roman"/>
        </w:rPr>
        <w:t xml:space="preserve">The proximate and mineral composition of pepper fruits was significantly influenced by the co-application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under varying moisture regimes. Moisture content varied slightly among treatments (7.11–7.16%), indicating that the amendments had minimal effect on fruit moisture. However, notable variations were observed in other nutritional parameters. Ash, crude </w:t>
      </w:r>
      <w:proofErr w:type="spellStart"/>
      <w:r>
        <w:rPr>
          <w:rFonts w:ascii="Times New Roman" w:hAnsi="Times New Roman" w:cs="Times New Roman"/>
        </w:rPr>
        <w:t>fibre</w:t>
      </w:r>
      <w:proofErr w:type="spellEnd"/>
      <w:r>
        <w:rPr>
          <w:rFonts w:ascii="Times New Roman" w:hAnsi="Times New Roman" w:cs="Times New Roman"/>
        </w:rPr>
        <w:t>, crude protein, carbohydrate, and vitamin contents were generally enhanced under treatments involving biochar and adequate moisture levels. For instance, the combination of biochar with 100% field capacity (B+100% FC) produced higher ash (5.88%) and crude protein (2.43%) contents compared with most other treatments, suggesting improved mineral accumulation and nutrient assimilation. Biochar is known to improve soil nutrient availability and retention, which can enhance the nutritional quality of crops (</w:t>
      </w:r>
      <w:proofErr w:type="spellStart"/>
      <w:r>
        <w:rPr>
          <w:rFonts w:ascii="Times New Roman" w:hAnsi="Times New Roman" w:cs="Times New Roman"/>
        </w:rPr>
        <w:t>Agegnehu</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2017; Lehmann and Joseph, 2015). Water deficit treatments (40% and 60% FC) showed relatively higher crude </w:t>
      </w:r>
      <w:proofErr w:type="spellStart"/>
      <w:r>
        <w:rPr>
          <w:rFonts w:ascii="Times New Roman" w:hAnsi="Times New Roman" w:cs="Times New Roman"/>
        </w:rPr>
        <w:t>fibre</w:t>
      </w:r>
      <w:proofErr w:type="spellEnd"/>
      <w:r>
        <w:rPr>
          <w:rFonts w:ascii="Times New Roman" w:hAnsi="Times New Roman" w:cs="Times New Roman"/>
        </w:rPr>
        <w:t xml:space="preserve"> and vitamin contents, which may reflect physiological adjustments of plants under stress conditions. Similar increases in certain nutritional compounds under moderate stress have been reported as part of plant adaptive responses (</w:t>
      </w:r>
      <w:proofErr w:type="spellStart"/>
      <w:r>
        <w:rPr>
          <w:rFonts w:ascii="Times New Roman" w:hAnsi="Times New Roman" w:cs="Times New Roman"/>
        </w:rPr>
        <w:t>Hasanuzzaman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2020). Treatments involving </w:t>
      </w:r>
      <w:r>
        <w:rPr>
          <w:rFonts w:ascii="Times New Roman" w:hAnsi="Times New Roman" w:cs="Times New Roman"/>
          <w:i/>
          <w:iCs/>
        </w:rPr>
        <w:t>Trichoderma</w:t>
      </w:r>
      <w:r>
        <w:rPr>
          <w:rFonts w:ascii="Times New Roman" w:hAnsi="Times New Roman" w:cs="Times New Roman"/>
        </w:rPr>
        <w:t xml:space="preserve"> alone or in combination also influenced fruit composition, although values for crude protein and ash were comparatively lower in some cases. Nevertheless, </w:t>
      </w:r>
      <w:r>
        <w:rPr>
          <w:rFonts w:ascii="Times New Roman" w:hAnsi="Times New Roman" w:cs="Times New Roman"/>
          <w:i/>
          <w:iCs/>
        </w:rPr>
        <w:t>Trichoderma</w:t>
      </w:r>
      <w:r>
        <w:rPr>
          <w:rFonts w:ascii="Times New Roman" w:hAnsi="Times New Roman" w:cs="Times New Roman"/>
        </w:rPr>
        <w:t xml:space="preserve"> is widely reported to enhance plant metabolism and nutrient uptake, thereby influencing crop nutritional quality (</w:t>
      </w:r>
      <w:r w:rsidRPr="00827E96">
        <w:t xml:space="preserve">Gary </w:t>
      </w:r>
      <w:r w:rsidRPr="00827E96">
        <w:rPr>
          <w:i/>
          <w:iCs/>
        </w:rPr>
        <w:t>et al.,</w:t>
      </w:r>
      <w:r w:rsidRPr="00827E96">
        <w:t xml:space="preserve"> 2021;</w:t>
      </w:r>
      <w:r>
        <w:rPr>
          <w:b/>
          <w:bCs/>
        </w:rPr>
        <w:t xml:space="preserve"> </w:t>
      </w:r>
      <w:r>
        <w:rPr>
          <w:rFonts w:ascii="Times New Roman" w:hAnsi="Times New Roman" w:cs="Times New Roman"/>
        </w:rPr>
        <w:t xml:space="preserve">Harman </w:t>
      </w:r>
      <w:r>
        <w:rPr>
          <w:rFonts w:ascii="Times New Roman" w:hAnsi="Times New Roman" w:cs="Times New Roman"/>
          <w:i/>
          <w:iCs/>
        </w:rPr>
        <w:t>et al.,</w:t>
      </w:r>
      <w:r>
        <w:rPr>
          <w:rFonts w:ascii="Times New Roman" w:hAnsi="Times New Roman" w:cs="Times New Roman"/>
        </w:rPr>
        <w:t xml:space="preserve"> 2021; </w:t>
      </w:r>
      <w:bookmarkStart w:id="10" w:name="_Hlk227268258"/>
      <w:r>
        <w:rPr>
          <w:rFonts w:ascii="Times New Roman" w:hAnsi="Times New Roman" w:cs="Times New Roman"/>
        </w:rPr>
        <w:t xml:space="preserve">Poveda, </w:t>
      </w:r>
      <w:bookmarkEnd w:id="10"/>
      <w:r>
        <w:rPr>
          <w:rFonts w:ascii="Times New Roman" w:hAnsi="Times New Roman" w:cs="Times New Roman"/>
        </w:rPr>
        <w:t xml:space="preserve">2021). Overall, the results indicate that the integration of biochar </w:t>
      </w:r>
      <w:r>
        <w:rPr>
          <w:rFonts w:ascii="Times New Roman" w:hAnsi="Times New Roman" w:cs="Times New Roman"/>
        </w:rPr>
        <w:lastRenderedPageBreak/>
        <w:t xml:space="preserve">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particularly under optimal moisture conditions, can improve the proximate and nutritional quality of pepper fruits, while water stress may induce variations in certain biochemical constituents.</w:t>
      </w:r>
    </w:p>
    <w:p w14:paraId="58B62218" w14:textId="77777777" w:rsidR="00F15FD7" w:rsidRDefault="00563E74">
      <w:pPr>
        <w:tabs>
          <w:tab w:val="left" w:pos="2880"/>
        </w:tabs>
        <w:spacing w:after="0" w:line="276" w:lineRule="auto"/>
        <w:ind w:right="-244"/>
        <w:jc w:val="both"/>
        <w:rPr>
          <w:rFonts w:ascii="Times New Roman" w:hAnsi="Times New Roman" w:cs="Times New Roman"/>
          <w:b/>
          <w:bCs/>
          <w:iCs/>
        </w:rPr>
      </w:pPr>
      <w:r>
        <w:rPr>
          <w:rFonts w:ascii="Times New Roman" w:hAnsi="Times New Roman" w:cs="Times New Roman"/>
          <w:b/>
          <w:bCs/>
          <w:iCs/>
        </w:rPr>
        <w:t xml:space="preserve">Effects on mineral contents </w:t>
      </w:r>
    </w:p>
    <w:p w14:paraId="5E46DB8B" w14:textId="77777777" w:rsidR="00F15FD7" w:rsidRDefault="00563E74">
      <w:pPr>
        <w:tabs>
          <w:tab w:val="left" w:pos="2880"/>
        </w:tabs>
        <w:spacing w:after="0" w:line="276" w:lineRule="auto"/>
        <w:ind w:right="-244"/>
        <w:jc w:val="both"/>
        <w:rPr>
          <w:rFonts w:ascii="Times New Roman" w:hAnsi="Times New Roman" w:cs="Times New Roman"/>
          <w:iCs/>
        </w:rPr>
      </w:pPr>
      <w:r>
        <w:rPr>
          <w:rFonts w:ascii="Times New Roman" w:hAnsi="Times New Roman" w:cs="Times New Roman"/>
          <w:iCs/>
        </w:rPr>
        <w:t xml:space="preserve">Co-application of biochar and </w:t>
      </w:r>
      <w:r w:rsidRPr="00827E96">
        <w:rPr>
          <w:rFonts w:ascii="Times New Roman" w:hAnsi="Times New Roman" w:cs="Times New Roman"/>
          <w:i/>
        </w:rPr>
        <w:t xml:space="preserve">Trichoderma </w:t>
      </w:r>
      <w:proofErr w:type="spellStart"/>
      <w:r w:rsidRPr="00827E96">
        <w:rPr>
          <w:rFonts w:ascii="Times New Roman" w:hAnsi="Times New Roman" w:cs="Times New Roman"/>
          <w:i/>
        </w:rPr>
        <w:t>harzianum</w:t>
      </w:r>
      <w:proofErr w:type="spellEnd"/>
      <w:r>
        <w:rPr>
          <w:rFonts w:ascii="Times New Roman" w:hAnsi="Times New Roman" w:cs="Times New Roman"/>
          <w:iCs/>
        </w:rPr>
        <w:t xml:space="preserve"> significantly influenced the mineral composition of pepper fruits under different soil moisture regimes (Table 6). Overall, treatments combining biochar and Trichoderma under higher field capacities (60% and 100% FC) generally produced the highest concentrations of Na, Ca, Mg, Cl, N, P, and K. For example, the B+T+100% FC treatment consistently recorded the highest values for Na (0.64 mg/100 g), Ca (15.64 mg/100 g), Mg (39.87 mg/100 g), Cl (0.41 mg/100 g), N (0.39 mg/100 g), P (21.24 mg/100 g), and K (224.19 mg/100 g).</w:t>
      </w:r>
    </w:p>
    <w:p w14:paraId="5F6141C1" w14:textId="77777777" w:rsidR="00F15FD7" w:rsidRDefault="00563E74">
      <w:pPr>
        <w:tabs>
          <w:tab w:val="left" w:pos="2880"/>
        </w:tabs>
        <w:spacing w:after="0" w:line="276" w:lineRule="auto"/>
        <w:ind w:right="-244"/>
        <w:jc w:val="both"/>
        <w:rPr>
          <w:rFonts w:ascii="Times New Roman" w:hAnsi="Times New Roman" w:cs="Times New Roman"/>
          <w:iCs/>
        </w:rPr>
      </w:pPr>
      <w:r>
        <w:rPr>
          <w:rFonts w:ascii="Times New Roman" w:hAnsi="Times New Roman" w:cs="Times New Roman"/>
          <w:iCs/>
        </w:rPr>
        <w:t xml:space="preserve">Individually, biochar or Trichoderma alone also enhanced mineral content relative to the control at moderate field capacities, but the magnitude was lower compared to combined applications. Notably, Trichoderma applied at 40% FC resulted in the lowest mineral concentrations, suggesting that microbial inoculation alone may be insufficient under water-limited conditions. Conversely, biochar appears to buffer nutrient availability, particularly when combined with adequate moisture, likely due to its high cation exchange capacity and improvement of soil physicochemical properties (Lehmann and Joseph, 2015; Sharma </w:t>
      </w:r>
      <w:r>
        <w:rPr>
          <w:rFonts w:ascii="Times New Roman" w:hAnsi="Times New Roman" w:cs="Times New Roman"/>
          <w:i/>
        </w:rPr>
        <w:t xml:space="preserve">et al., </w:t>
      </w:r>
      <w:r>
        <w:rPr>
          <w:rFonts w:ascii="Times New Roman" w:hAnsi="Times New Roman" w:cs="Times New Roman"/>
          <w:iCs/>
        </w:rPr>
        <w:t xml:space="preserve">2022). These results indicate synergistic interactions between biochar, Trichoderma, and optimal soil moisture in enhancing pepper fruit mineral nutrition. Such improvements in nutrient content could contribute to better fruit quality and yield under both controlled and field conditions, aligning with recent reports on biochar–microbe interactions improving crop nutrient uptake (Singh </w:t>
      </w:r>
      <w:r w:rsidRPr="003B1FC6">
        <w:rPr>
          <w:rFonts w:ascii="Times New Roman" w:hAnsi="Times New Roman" w:cs="Times New Roman"/>
          <w:i/>
        </w:rPr>
        <w:t>et al.,</w:t>
      </w:r>
      <w:r>
        <w:rPr>
          <w:rFonts w:ascii="Times New Roman" w:hAnsi="Times New Roman" w:cs="Times New Roman"/>
          <w:iCs/>
        </w:rPr>
        <w:t xml:space="preserve"> 2021; Wu </w:t>
      </w:r>
      <w:r w:rsidRPr="003B1FC6">
        <w:rPr>
          <w:rFonts w:ascii="Times New Roman" w:hAnsi="Times New Roman" w:cs="Times New Roman"/>
          <w:i/>
        </w:rPr>
        <w:t>et al.,</w:t>
      </w:r>
      <w:r>
        <w:rPr>
          <w:rFonts w:ascii="Times New Roman" w:hAnsi="Times New Roman" w:cs="Times New Roman"/>
          <w:iCs/>
        </w:rPr>
        <w:t xml:space="preserve"> 2020).</w:t>
      </w:r>
    </w:p>
    <w:p w14:paraId="31247649" w14:textId="77777777" w:rsidR="00F15FD7" w:rsidRDefault="00F15FD7">
      <w:pPr>
        <w:tabs>
          <w:tab w:val="left" w:pos="2880"/>
        </w:tabs>
        <w:spacing w:after="0" w:line="276" w:lineRule="auto"/>
        <w:ind w:right="-244"/>
        <w:rPr>
          <w:rFonts w:ascii="Times New Roman" w:hAnsi="Times New Roman" w:cs="Times New Roman"/>
          <w:b/>
        </w:rPr>
      </w:pPr>
    </w:p>
    <w:p w14:paraId="5EDA9AF2" w14:textId="77777777" w:rsidR="00F15FD7" w:rsidRDefault="00563E74">
      <w:pPr>
        <w:spacing w:line="276" w:lineRule="auto"/>
        <w:rPr>
          <w:rFonts w:ascii="Times New Roman" w:hAnsi="Times New Roman" w:cs="Times New Roman"/>
          <w:b/>
        </w:rPr>
      </w:pPr>
      <w:r>
        <w:rPr>
          <w:rFonts w:ascii="Times New Roman" w:hAnsi="Times New Roman" w:cs="Times New Roman"/>
          <w:b/>
        </w:rPr>
        <w:t xml:space="preserve">Biochar, </w:t>
      </w:r>
      <w:proofErr w:type="spellStart"/>
      <w:r>
        <w:rPr>
          <w:rFonts w:ascii="Times New Roman" w:hAnsi="Times New Roman" w:cs="Times New Roman"/>
          <w:b/>
        </w:rPr>
        <w:t>trichodermal</w:t>
      </w:r>
      <w:proofErr w:type="spellEnd"/>
      <w:r>
        <w:rPr>
          <w:rFonts w:ascii="Times New Roman" w:hAnsi="Times New Roman" w:cs="Times New Roman"/>
          <w:b/>
        </w:rPr>
        <w:t xml:space="preserve"> inoculation and </w:t>
      </w:r>
      <w:proofErr w:type="gramStart"/>
      <w:r>
        <w:rPr>
          <w:rFonts w:ascii="Times New Roman" w:hAnsi="Times New Roman" w:cs="Times New Roman"/>
          <w:b/>
        </w:rPr>
        <w:t>watering  effects</w:t>
      </w:r>
      <w:proofErr w:type="gramEnd"/>
      <w:r>
        <w:rPr>
          <w:rFonts w:ascii="Times New Roman" w:hAnsi="Times New Roman" w:cs="Times New Roman"/>
          <w:b/>
        </w:rPr>
        <w:t xml:space="preserve"> on biochemical attributes of pepper </w:t>
      </w:r>
    </w:p>
    <w:p w14:paraId="03771A3F" w14:textId="77777777" w:rsidR="00F15FD7" w:rsidRDefault="00563E74">
      <w:pPr>
        <w:spacing w:line="276" w:lineRule="auto"/>
        <w:rPr>
          <w:rFonts w:ascii="Times New Roman" w:hAnsi="Times New Roman" w:cs="Times New Roman"/>
          <w:b/>
          <w:bCs/>
        </w:rPr>
      </w:pPr>
      <w:proofErr w:type="gramStart"/>
      <w:r>
        <w:rPr>
          <w:rFonts w:ascii="Times New Roman" w:hAnsi="Times New Roman" w:cs="Times New Roman"/>
          <w:b/>
        </w:rPr>
        <w:t>Leaf</w:t>
      </w:r>
      <w:r>
        <w:rPr>
          <w:rFonts w:cs="Times New Roman"/>
          <w:b/>
          <w:bCs/>
        </w:rPr>
        <w:t xml:space="preserve"> </w:t>
      </w:r>
      <w:r>
        <w:rPr>
          <w:rFonts w:ascii="Times New Roman" w:hAnsi="Times New Roman" w:cs="Times New Roman"/>
          <w:b/>
          <w:bCs/>
        </w:rPr>
        <w:t xml:space="preserve"> chlorophyll</w:t>
      </w:r>
      <w:proofErr w:type="gramEnd"/>
      <w:r>
        <w:rPr>
          <w:rFonts w:ascii="Times New Roman" w:hAnsi="Times New Roman" w:cs="Times New Roman"/>
          <w:b/>
          <w:bCs/>
        </w:rPr>
        <w:t xml:space="preserve"> contents</w:t>
      </w:r>
    </w:p>
    <w:p w14:paraId="0B369EAF" w14:textId="4C7B4637" w:rsidR="00F15FD7" w:rsidRDefault="00563E74">
      <w:pPr>
        <w:tabs>
          <w:tab w:val="left" w:pos="9000"/>
        </w:tabs>
        <w:spacing w:line="276" w:lineRule="auto"/>
        <w:jc w:val="both"/>
        <w:rPr>
          <w:rFonts w:ascii="Times New Roman" w:hAnsi="Times New Roman" w:cs="Times New Roman"/>
        </w:rPr>
      </w:pPr>
      <w:r>
        <w:rPr>
          <w:rFonts w:ascii="Times New Roman" w:hAnsi="Times New Roman" w:cs="Times New Roman"/>
        </w:rPr>
        <w:t xml:space="preserve">Total chlorophyll content of pepper was influenced by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under different watering regimes. Lower chlorophyll values were observed under water stress, particularly at reduced field capacity, indicating that moisture deficit negatively affects chlorophyll synthesis and photosynthetic activity. Blum (2017) inferred that a decline in the production of photosynthetic assimilates can hinder osmotic adjustment and reduce the ability of plants to withstand drought stress.  The co-application of biochar or </w:t>
      </w:r>
      <w:r>
        <w:rPr>
          <w:rFonts w:ascii="Times New Roman" w:hAnsi="Times New Roman" w:cs="Times New Roman"/>
          <w:i/>
          <w:iCs/>
        </w:rPr>
        <w:t>Trichoderma</w:t>
      </w:r>
      <w:r>
        <w:rPr>
          <w:rFonts w:ascii="Times New Roman" w:hAnsi="Times New Roman" w:cs="Times New Roman"/>
        </w:rPr>
        <w:t xml:space="preserve"> improved chlorophyll content, likely due to enhanced soil moisture retention and improved nutrient uptake. It has been reported </w:t>
      </w:r>
      <w:r>
        <w:t xml:space="preserve">Biochar (BC) application can enhance plant chlorophyll content and growth rate by indirectly improving soil physicochemical properties, such as water availability, while also promoting the activity of native soil microbial communities (Aubertin et al., 2021; Batool et al., 2022). </w:t>
      </w:r>
      <w:r>
        <w:rPr>
          <w:rFonts w:ascii="Times New Roman" w:hAnsi="Times New Roman" w:cs="Times New Roman"/>
        </w:rPr>
        <w:t xml:space="preserve">Similarly, Soliman et al. (2020) reported that the application of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to </w:t>
      </w:r>
      <w:r>
        <w:rPr>
          <w:rFonts w:ascii="Times New Roman" w:hAnsi="Times New Roman" w:cs="Times New Roman"/>
          <w:i/>
          <w:iCs/>
        </w:rPr>
        <w:t>Cucurbita pepo</w:t>
      </w:r>
      <w:r>
        <w:rPr>
          <w:rFonts w:ascii="Times New Roman" w:hAnsi="Times New Roman" w:cs="Times New Roman"/>
        </w:rPr>
        <w:t xml:space="preserve"> significantly increased photosynthetic pigments and metabolite accumulation under salinity stress. Highest chlorophyll </w:t>
      </w:r>
      <w:proofErr w:type="gramStart"/>
      <w:r>
        <w:rPr>
          <w:rFonts w:ascii="Times New Roman" w:hAnsi="Times New Roman" w:cs="Times New Roman"/>
        </w:rPr>
        <w:t xml:space="preserve">contents </w:t>
      </w:r>
      <w:r>
        <w:t xml:space="preserve"> recorded</w:t>
      </w:r>
      <w:proofErr w:type="gramEnd"/>
      <w:r>
        <w:t xml:space="preserve"> </w:t>
      </w:r>
      <w:r>
        <w:rPr>
          <w:rFonts w:ascii="Times New Roman" w:hAnsi="Times New Roman" w:cs="Times New Roman"/>
        </w:rPr>
        <w:t xml:space="preserve">suggest </w:t>
      </w:r>
      <w:proofErr w:type="gramStart"/>
      <w:r>
        <w:rPr>
          <w:rFonts w:ascii="Times New Roman" w:hAnsi="Times New Roman" w:cs="Times New Roman"/>
        </w:rPr>
        <w:t>the  synergistic</w:t>
      </w:r>
      <w:proofErr w:type="gramEnd"/>
      <w:r>
        <w:rPr>
          <w:rFonts w:ascii="Times New Roman" w:hAnsi="Times New Roman" w:cs="Times New Roman"/>
        </w:rPr>
        <w:t xml:space="preserve"> </w:t>
      </w:r>
      <w:proofErr w:type="gramStart"/>
      <w:r>
        <w:rPr>
          <w:rFonts w:ascii="Times New Roman" w:hAnsi="Times New Roman" w:cs="Times New Roman"/>
        </w:rPr>
        <w:t>effect  of</w:t>
      </w:r>
      <w:proofErr w:type="gramEnd"/>
      <w:r>
        <w:rPr>
          <w:rFonts w:ascii="Times New Roman" w:hAnsi="Times New Roman" w:cs="Times New Roman"/>
        </w:rPr>
        <w:t xml:space="preserve"> watering and biochar on pepper physiological functions </w:t>
      </w:r>
      <w:proofErr w:type="gramStart"/>
      <w:r>
        <w:rPr>
          <w:rFonts w:ascii="Times New Roman" w:hAnsi="Times New Roman" w:cs="Times New Roman"/>
        </w:rPr>
        <w:t>and  mitigation</w:t>
      </w:r>
      <w:proofErr w:type="gramEnd"/>
      <w:r>
        <w:rPr>
          <w:rFonts w:ascii="Times New Roman" w:hAnsi="Times New Roman" w:cs="Times New Roman"/>
        </w:rPr>
        <w:t xml:space="preserve"> of soil moisture deficit. Similar improvements in chlorophyll content and overall plant physiological performance under the combined application of biochar and </w:t>
      </w:r>
      <w:r>
        <w:rPr>
          <w:rFonts w:ascii="Times New Roman" w:hAnsi="Times New Roman" w:cs="Times New Roman"/>
          <w:i/>
          <w:iCs/>
        </w:rPr>
        <w:t>Trichoderma</w:t>
      </w:r>
      <w:r>
        <w:rPr>
          <w:rFonts w:ascii="Times New Roman" w:hAnsi="Times New Roman" w:cs="Times New Roman"/>
        </w:rPr>
        <w:t xml:space="preserve"> have been widely reported (Danish and Zafar-ul-Hye, 2020; Li et al., 2023; Amanullah &amp; Khan, 2023).</w:t>
      </w:r>
    </w:p>
    <w:p w14:paraId="4972511A" w14:textId="77777777" w:rsidR="00F15FD7" w:rsidRDefault="00563E74">
      <w:pPr>
        <w:tabs>
          <w:tab w:val="left" w:pos="2880"/>
        </w:tabs>
        <w:spacing w:after="0" w:line="276" w:lineRule="auto"/>
        <w:ind w:right="-244"/>
        <w:rPr>
          <w:rFonts w:ascii="Times New Roman" w:hAnsi="Times New Roman" w:cs="Times New Roman"/>
          <w:b/>
        </w:rPr>
      </w:pPr>
      <w:r>
        <w:rPr>
          <w:rFonts w:ascii="Times New Roman" w:hAnsi="Times New Roman" w:cs="Times New Roman"/>
          <w:b/>
        </w:rPr>
        <w:t>M</w:t>
      </w:r>
      <w:r>
        <w:rPr>
          <w:rStyle w:val="Emphasis"/>
          <w:rFonts w:ascii="Times New Roman" w:hAnsi="Times New Roman" w:cs="Times New Roman"/>
          <w:b/>
          <w:i w:val="0"/>
          <w:iCs w:val="0"/>
        </w:rPr>
        <w:t xml:space="preserve">etabolites (proline, total phenolics) and antioxidant enzyme activities of pepper </w:t>
      </w:r>
    </w:p>
    <w:p w14:paraId="419E2EC2" w14:textId="77777777" w:rsidR="00F15FD7" w:rsidRDefault="00F15FD7">
      <w:pPr>
        <w:tabs>
          <w:tab w:val="left" w:pos="2880"/>
        </w:tabs>
        <w:spacing w:after="0" w:line="276" w:lineRule="auto"/>
        <w:ind w:right="-244"/>
        <w:jc w:val="both"/>
        <w:rPr>
          <w:rFonts w:ascii="Times New Roman" w:hAnsi="Times New Roman" w:cs="Times New Roman"/>
          <w:iCs/>
        </w:rPr>
      </w:pPr>
    </w:p>
    <w:p w14:paraId="6C7499EC" w14:textId="77777777" w:rsidR="00F15FD7" w:rsidRDefault="00563E74">
      <w:pPr>
        <w:spacing w:line="278" w:lineRule="auto"/>
        <w:jc w:val="both"/>
        <w:rPr>
          <w:rFonts w:ascii="Times New Roman" w:hAnsi="Times New Roman" w:cs="Times New Roman"/>
        </w:rPr>
      </w:pPr>
      <w:r>
        <w:rPr>
          <w:rFonts w:ascii="Times New Roman" w:hAnsi="Times New Roman" w:cs="Times New Roman"/>
        </w:rPr>
        <w:t xml:space="preserve">Elevated proline and phenolic contents under drought stress are consistent with well-established osmotic adjustment and reactive oxygen species (ROS) scavenging mechanisms in plants. Proline accumulation plays a central role in maintaining cellular osmotic balance, stabilizing proteins and membranes, and protecting metabolic processes under water deficit conditions. Many experimental studies in </w:t>
      </w:r>
      <w:r>
        <w:rPr>
          <w:rFonts w:ascii="Times New Roman" w:hAnsi="Times New Roman" w:cs="Times New Roman"/>
          <w:i/>
          <w:iCs/>
        </w:rPr>
        <w:t>Capsicum frutescens</w:t>
      </w:r>
      <w:r>
        <w:rPr>
          <w:rFonts w:ascii="Times New Roman" w:hAnsi="Times New Roman" w:cs="Times New Roman"/>
        </w:rPr>
        <w:t xml:space="preserve"> and other crops have confirmed that drought stress significantly increases proline levels as part of adaptive osmotic regulation while simultaneously enhancing antioxidant defense responses (Sharma et al., 2012; Szabados &amp; </w:t>
      </w:r>
      <w:proofErr w:type="spellStart"/>
      <w:r>
        <w:rPr>
          <w:rFonts w:ascii="Times New Roman" w:hAnsi="Times New Roman" w:cs="Times New Roman"/>
        </w:rPr>
        <w:t>Savouré</w:t>
      </w:r>
      <w:proofErr w:type="spellEnd"/>
      <w:r>
        <w:rPr>
          <w:rFonts w:ascii="Times New Roman" w:hAnsi="Times New Roman" w:cs="Times New Roman"/>
        </w:rPr>
        <w:t xml:space="preserve">, 2010). Similarly, phenolic compounds function </w:t>
      </w:r>
      <w:r>
        <w:rPr>
          <w:rFonts w:ascii="Times New Roman" w:hAnsi="Times New Roman" w:cs="Times New Roman"/>
        </w:rPr>
        <w:lastRenderedPageBreak/>
        <w:t xml:space="preserve">as key non-enzymatic antioxidants involved in ROS detoxification and protection of cellular structures during abiotic stress. Their accumulation under drought conditions has been widely associated with improved oxidative stress tolerance and membrane stability, further reinforcing plant defense capacity under water limitation (Dixon &amp; Paiva, 1995; Sharma et al., 2012). Biochar and </w:t>
      </w:r>
      <w:r>
        <w:rPr>
          <w:rFonts w:ascii="Times New Roman" w:hAnsi="Times New Roman" w:cs="Times New Roman"/>
          <w:i/>
          <w:iCs/>
        </w:rPr>
        <w:t>Trichoderma</w:t>
      </w:r>
      <w:r>
        <w:rPr>
          <w:rFonts w:ascii="Times New Roman" w:hAnsi="Times New Roman" w:cs="Times New Roman"/>
        </w:rPr>
        <w:t xml:space="preserve"> co-application mitigated drought-induced stress responses relative to the untreated 40% field capacity (FC) treatment, indicating improved physiological resilience and enhanced ROS detoxification. This response is likely attributed to improved soil physical properties, increased water retention capacity, and microbially mediated regulation of plant metabolic activity. Synergistic effects of biochar and </w:t>
      </w:r>
      <w:r>
        <w:rPr>
          <w:rFonts w:ascii="Times New Roman" w:hAnsi="Times New Roman" w:cs="Times New Roman"/>
          <w:i/>
          <w:iCs/>
        </w:rPr>
        <w:t>Trichoderma</w:t>
      </w:r>
      <w:r>
        <w:rPr>
          <w:rFonts w:ascii="Times New Roman" w:hAnsi="Times New Roman" w:cs="Times New Roman"/>
        </w:rPr>
        <w:t xml:space="preserve"> on antioxidant defense systems have been widely reported, with combined applications enhancing the activities of catalase (CAT), peroxidase (POD), and superoxide dismutase (SOD), while reducing oxidative stress markers and increasing phenolic accumulation compared with single amendments (Xu &amp; Mou, 2015; Pandey et al., 2016; Hashem et al., 2019; </w:t>
      </w:r>
      <w:proofErr w:type="spellStart"/>
      <w:r>
        <w:rPr>
          <w:rFonts w:ascii="Times New Roman" w:hAnsi="Times New Roman" w:cs="Times New Roman"/>
        </w:rPr>
        <w:t>Bashyal</w:t>
      </w:r>
      <w:proofErr w:type="spellEnd"/>
      <w:r>
        <w:rPr>
          <w:rFonts w:ascii="Times New Roman" w:hAnsi="Times New Roman" w:cs="Times New Roman"/>
        </w:rPr>
        <w:t xml:space="preserve"> et al., 2021). In addition, biochar alone has been shown to modulate plant stress physiology by improving soil moisture availability and nutrient retention, thereby reducing the metabolic demand for excessive osmolyte synthesis under drought stress (Younis et al., 2016; Kamran et al., 2020). Biochar also enhances rhizosphere microbial activity and nutrient cycling, which indirectly supports antioxidant defense mechanisms and overall plant stress adaptation (Singh et al., 2021; Wu et al., 2020). Collectively, the integrated application of biochar and </w:t>
      </w:r>
      <w:r>
        <w:rPr>
          <w:rFonts w:ascii="Times New Roman" w:hAnsi="Times New Roman" w:cs="Times New Roman"/>
          <w:i/>
          <w:iCs/>
        </w:rPr>
        <w:t>Trichoderma</w:t>
      </w:r>
      <w:r>
        <w:rPr>
          <w:rFonts w:ascii="Times New Roman" w:hAnsi="Times New Roman" w:cs="Times New Roman"/>
        </w:rPr>
        <w:t xml:space="preserve"> enhances drought tolerance in pepper by promoting osmotic adjustment, improving nutrient uptake efficiency, and strengthening ROS scavenging capacity. These findings align with recent reports demonstrating that combined soil amendment strategies significantly improve physiological performance and stress tolerance in horticultural crops under water-limited conditions (Singh et al., 2021; Wu et al., 2020).</w:t>
      </w:r>
    </w:p>
    <w:p w14:paraId="5041DD95" w14:textId="77777777" w:rsidR="00F15FD7" w:rsidRDefault="00F15FD7">
      <w:pPr>
        <w:tabs>
          <w:tab w:val="left" w:pos="2880"/>
        </w:tabs>
        <w:spacing w:after="0" w:line="276" w:lineRule="auto"/>
        <w:ind w:right="-244"/>
        <w:jc w:val="both"/>
        <w:rPr>
          <w:rFonts w:ascii="Times New Roman" w:hAnsi="Times New Roman" w:cs="Times New Roman"/>
          <w:iCs/>
        </w:rPr>
      </w:pPr>
    </w:p>
    <w:p w14:paraId="09DE77DF" w14:textId="4213228C" w:rsidR="00F15FD7" w:rsidRDefault="00563E74">
      <w:pPr>
        <w:spacing w:line="276" w:lineRule="auto"/>
        <w:rPr>
          <w:rFonts w:ascii="Times New Roman" w:hAnsi="Times New Roman" w:cs="Times New Roman"/>
          <w:b/>
        </w:rPr>
      </w:pPr>
      <w:r>
        <w:rPr>
          <w:rFonts w:ascii="Times New Roman" w:hAnsi="Times New Roman" w:cs="Times New Roman"/>
          <w:b/>
        </w:rPr>
        <w:t xml:space="preserve">Biochar, </w:t>
      </w:r>
      <w:proofErr w:type="spellStart"/>
      <w:r w:rsidR="00702106">
        <w:rPr>
          <w:rFonts w:ascii="Times New Roman" w:hAnsi="Times New Roman" w:cs="Times New Roman"/>
          <w:b/>
        </w:rPr>
        <w:t>t</w:t>
      </w:r>
      <w:r w:rsidRPr="00702106">
        <w:rPr>
          <w:rFonts w:ascii="Times New Roman" w:hAnsi="Times New Roman" w:cs="Times New Roman"/>
          <w:b/>
        </w:rPr>
        <w:t>richodermal</w:t>
      </w:r>
      <w:proofErr w:type="spellEnd"/>
      <w:r w:rsidRPr="00702106">
        <w:rPr>
          <w:rFonts w:ascii="Times New Roman" w:hAnsi="Times New Roman" w:cs="Times New Roman"/>
          <w:b/>
        </w:rPr>
        <w:t xml:space="preserve"> </w:t>
      </w:r>
      <w:r>
        <w:rPr>
          <w:rFonts w:ascii="Times New Roman" w:hAnsi="Times New Roman" w:cs="Times New Roman"/>
          <w:b/>
        </w:rPr>
        <w:t>inoculation and watering level effects on soil properties</w:t>
      </w:r>
    </w:p>
    <w:p w14:paraId="36A95837" w14:textId="66787B54" w:rsidR="00F15FD7" w:rsidRDefault="00563E74">
      <w:pPr>
        <w:spacing w:line="276" w:lineRule="auto"/>
        <w:jc w:val="both"/>
        <w:rPr>
          <w:rFonts w:ascii="Times New Roman" w:hAnsi="Times New Roman" w:cs="Times New Roman"/>
        </w:rPr>
      </w:pPr>
      <w:r>
        <w:rPr>
          <w:rFonts w:ascii="Times New Roman" w:hAnsi="Times New Roman" w:cs="Times New Roman"/>
        </w:rPr>
        <w:t xml:space="preserve">The physical and chemical properties of the soil under different treatment applications are presented in Tables 8a, 8b, 9a, and 9b. The results show that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significantly influenced soil physical properties, particularly bulk density, porosity, water-holding capacity (WHC), and moisture content. Soils amended with biochar or </w:t>
      </w:r>
      <w:r>
        <w:rPr>
          <w:rFonts w:ascii="Times New Roman" w:hAnsi="Times New Roman" w:cs="Times New Roman"/>
          <w:i/>
          <w:iCs/>
        </w:rPr>
        <w:t>Trichoderma</w:t>
      </w:r>
      <w:r>
        <w:rPr>
          <w:rFonts w:ascii="Times New Roman" w:hAnsi="Times New Roman" w:cs="Times New Roman"/>
        </w:rPr>
        <w:t xml:space="preserve"> generally exhibited lower bulk density and higher porosity compared with drought-stressed soils, indicating improved soil structure and aeration. Water-holding capacity was also enhanced by biochar and microbial inoculation, suggesting greater soil water retention, which is critical for mitigating drought stress in crops (Lehmann and Joseph, 2015; </w:t>
      </w:r>
      <w:proofErr w:type="spellStart"/>
      <w:r>
        <w:rPr>
          <w:rFonts w:ascii="Times New Roman" w:hAnsi="Times New Roman" w:cs="Times New Roman"/>
        </w:rPr>
        <w:t>Agegnehu</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2017). While moisture content varied across treatments, biochar- and </w:t>
      </w:r>
      <w:r>
        <w:rPr>
          <w:rFonts w:ascii="Times New Roman" w:hAnsi="Times New Roman" w:cs="Times New Roman"/>
          <w:i/>
          <w:iCs/>
        </w:rPr>
        <w:t>Trichoderma</w:t>
      </w:r>
      <w:r>
        <w:rPr>
          <w:rFonts w:ascii="Times New Roman" w:hAnsi="Times New Roman" w:cs="Times New Roman"/>
        </w:rPr>
        <w:t xml:space="preserve">-amended soils maintained relatively higher moisture levels, consistent with their known ability to improve soil water retention (Bui </w:t>
      </w:r>
      <w:r>
        <w:rPr>
          <w:rFonts w:ascii="Times New Roman" w:hAnsi="Times New Roman" w:cs="Times New Roman"/>
          <w:i/>
          <w:iCs/>
        </w:rPr>
        <w:t>et al.,</w:t>
      </w:r>
      <w:r>
        <w:rPr>
          <w:rFonts w:ascii="Times New Roman" w:hAnsi="Times New Roman" w:cs="Times New Roman"/>
        </w:rPr>
        <w:t xml:space="preserve"> 2024; Khan </w:t>
      </w:r>
      <w:r>
        <w:rPr>
          <w:rFonts w:ascii="Times New Roman" w:hAnsi="Times New Roman" w:cs="Times New Roman"/>
          <w:i/>
          <w:iCs/>
        </w:rPr>
        <w:t>et al.,</w:t>
      </w:r>
      <w:r>
        <w:rPr>
          <w:rFonts w:ascii="Times New Roman" w:hAnsi="Times New Roman" w:cs="Times New Roman"/>
        </w:rPr>
        <w:t xml:space="preserve"> 2024). The textural analysis (Table 8b) showed that all soils remained sandy loam, indicating that amendment applications did not alter soil texture but improved its functional physical properties.</w:t>
      </w:r>
    </w:p>
    <w:p w14:paraId="19AA0448" w14:textId="7B8F88AD" w:rsidR="00F15FD7" w:rsidRDefault="008151B5">
      <w:pPr>
        <w:spacing w:line="276" w:lineRule="auto"/>
        <w:jc w:val="both"/>
        <w:rPr>
          <w:rFonts w:ascii="Times New Roman" w:hAnsi="Times New Roman" w:cs="Times New Roman"/>
        </w:rPr>
      </w:pPr>
      <w:r>
        <w:rPr>
          <w:rFonts w:ascii="Times New Roman" w:hAnsi="Times New Roman" w:cs="Times New Roman"/>
        </w:rPr>
        <w:t>Treatment</w:t>
      </w:r>
      <w:r w:rsidR="00563E74">
        <w:rPr>
          <w:rFonts w:ascii="Times New Roman" w:hAnsi="Times New Roman" w:cs="Times New Roman"/>
        </w:rPr>
        <w:t xml:space="preserve"> effects on soil chemical properties presented in Tables 9a and b showed that application of biochar and </w:t>
      </w:r>
      <w:r w:rsidR="00563E74">
        <w:rPr>
          <w:rFonts w:ascii="Times New Roman" w:hAnsi="Times New Roman" w:cs="Times New Roman"/>
          <w:i/>
          <w:iCs/>
        </w:rPr>
        <w:t>Trichoderma</w:t>
      </w:r>
      <w:r w:rsidR="00563E74">
        <w:rPr>
          <w:rFonts w:ascii="Times New Roman" w:hAnsi="Times New Roman" w:cs="Times New Roman"/>
        </w:rPr>
        <w:t xml:space="preserve"> slightly increased soil and cation exchange capacity, enhancing the soil’s ability to retain essential nutrients. Organic matter and organic carbon levels were slightly higher in amended soils, reflecting the contribution of biochar as a stable carbon source (Hossain </w:t>
      </w:r>
      <w:r w:rsidR="00563E74">
        <w:rPr>
          <w:rFonts w:ascii="Times New Roman" w:hAnsi="Times New Roman" w:cs="Times New Roman"/>
          <w:i/>
          <w:iCs/>
        </w:rPr>
        <w:t>et al.,</w:t>
      </w:r>
      <w:r w:rsidR="00563E74">
        <w:rPr>
          <w:rFonts w:ascii="Times New Roman" w:hAnsi="Times New Roman" w:cs="Times New Roman"/>
        </w:rPr>
        <w:t xml:space="preserve"> 2020). Macronutrient analysis showed moderate improvements in total nitrogen, phosphorus, potassium, calcium, and magnesium in treated soils, particularly in biochar- or </w:t>
      </w:r>
      <w:r w:rsidR="00563E74">
        <w:rPr>
          <w:rFonts w:ascii="Times New Roman" w:hAnsi="Times New Roman" w:cs="Times New Roman"/>
          <w:i/>
          <w:iCs/>
        </w:rPr>
        <w:t>Trichoderma</w:t>
      </w:r>
      <w:r w:rsidR="00563E74">
        <w:rPr>
          <w:rFonts w:ascii="Times New Roman" w:hAnsi="Times New Roman" w:cs="Times New Roman"/>
        </w:rPr>
        <w:t xml:space="preserve">-amended soils, while sodium remained low. These results suggest that amendments improved nutrient availability without causing salinity issues. The enhanced CEC and nutrient retention are consistent with previous reports that biochar and beneficial microbes improve soil fertility and facilitate sustainable crop production under water-limited conditions (Sharma </w:t>
      </w:r>
      <w:r w:rsidR="00563E74">
        <w:rPr>
          <w:rFonts w:ascii="Times New Roman" w:hAnsi="Times New Roman" w:cs="Times New Roman"/>
          <w:i/>
          <w:iCs/>
        </w:rPr>
        <w:t>et al.,</w:t>
      </w:r>
      <w:r w:rsidR="00563E74">
        <w:rPr>
          <w:rFonts w:ascii="Times New Roman" w:hAnsi="Times New Roman" w:cs="Times New Roman"/>
        </w:rPr>
        <w:t xml:space="preserve"> 2023; Bui </w:t>
      </w:r>
      <w:r w:rsidR="00563E74">
        <w:rPr>
          <w:rFonts w:ascii="Times New Roman" w:hAnsi="Times New Roman" w:cs="Times New Roman"/>
          <w:i/>
          <w:iCs/>
        </w:rPr>
        <w:t>et al.,</w:t>
      </w:r>
      <w:r w:rsidR="00563E74">
        <w:rPr>
          <w:rFonts w:ascii="Times New Roman" w:hAnsi="Times New Roman" w:cs="Times New Roman"/>
        </w:rPr>
        <w:t xml:space="preserve"> 2024). Overall, the data indicate that biochar and </w:t>
      </w:r>
      <w:r w:rsidR="00563E74">
        <w:rPr>
          <w:rFonts w:ascii="Times New Roman" w:hAnsi="Times New Roman" w:cs="Times New Roman"/>
          <w:i/>
          <w:iCs/>
        </w:rPr>
        <w:t xml:space="preserve">Trichoderma </w:t>
      </w:r>
      <w:proofErr w:type="spellStart"/>
      <w:r w:rsidR="00563E74">
        <w:rPr>
          <w:rFonts w:ascii="Times New Roman" w:hAnsi="Times New Roman" w:cs="Times New Roman"/>
          <w:i/>
          <w:iCs/>
        </w:rPr>
        <w:t>harzianum</w:t>
      </w:r>
      <w:proofErr w:type="spellEnd"/>
      <w:r w:rsidR="00563E74">
        <w:rPr>
          <w:rFonts w:ascii="Times New Roman" w:hAnsi="Times New Roman" w:cs="Times New Roman"/>
        </w:rPr>
        <w:t xml:space="preserve"> improve soil physical and chemical properties, enhancing water-holding capacity, nutrient retention, and soil structural quality, thereby providing a more favorable environment for plant growth under drought stress.</w:t>
      </w:r>
    </w:p>
    <w:p w14:paraId="2A7310E1" w14:textId="77777777" w:rsidR="00F15FD7" w:rsidRDefault="00563E74">
      <w:pPr>
        <w:spacing w:line="276" w:lineRule="auto"/>
        <w:jc w:val="both"/>
        <w:rPr>
          <w:rFonts w:ascii="Times New Roman" w:hAnsi="Times New Roman" w:cs="Times New Roman"/>
          <w:b/>
          <w:bCs/>
          <w:i/>
          <w:iCs/>
        </w:rPr>
      </w:pPr>
      <w:r>
        <w:rPr>
          <w:rFonts w:ascii="Times New Roman" w:hAnsi="Times New Roman" w:cs="Times New Roman"/>
          <w:b/>
          <w:bCs/>
          <w:i/>
          <w:iCs/>
        </w:rPr>
        <w:lastRenderedPageBreak/>
        <w:t>Conclusions</w:t>
      </w:r>
    </w:p>
    <w:p w14:paraId="19095B7A" w14:textId="5BB4E699" w:rsidR="00F15FD7" w:rsidRDefault="00563E74">
      <w:pPr>
        <w:spacing w:line="276" w:lineRule="auto"/>
        <w:jc w:val="both"/>
        <w:rPr>
          <w:rFonts w:ascii="Times New Roman" w:hAnsi="Times New Roman" w:cs="Times New Roman"/>
        </w:rPr>
      </w:pPr>
      <w:r>
        <w:rPr>
          <w:rFonts w:ascii="Times New Roman" w:hAnsi="Times New Roman" w:cs="Times New Roman"/>
        </w:rPr>
        <w:t xml:space="preserve">This study demonstrated that the application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significantly improved the growth, biomass production, and yield of </w:t>
      </w:r>
      <w:r>
        <w:rPr>
          <w:rFonts w:ascii="Times New Roman" w:hAnsi="Times New Roman" w:cs="Times New Roman"/>
          <w:i/>
          <w:iCs/>
        </w:rPr>
        <w:t xml:space="preserve">Capsicum </w:t>
      </w:r>
      <w:proofErr w:type="spellStart"/>
      <w:r>
        <w:rPr>
          <w:rFonts w:ascii="Times New Roman" w:hAnsi="Times New Roman" w:cs="Times New Roman"/>
          <w:i/>
          <w:iCs/>
        </w:rPr>
        <w:t>chinense</w:t>
      </w:r>
      <w:proofErr w:type="spellEnd"/>
      <w:r>
        <w:rPr>
          <w:rFonts w:ascii="Times New Roman" w:hAnsi="Times New Roman" w:cs="Times New Roman"/>
        </w:rPr>
        <w:t xml:space="preserve"> under different watering regimes. The combined application of biochar and </w:t>
      </w:r>
      <w:r>
        <w:rPr>
          <w:rFonts w:ascii="Times New Roman" w:hAnsi="Times New Roman" w:cs="Times New Roman"/>
          <w:i/>
          <w:iCs/>
        </w:rPr>
        <w:t>Trichoderma</w:t>
      </w:r>
      <w:r>
        <w:rPr>
          <w:rFonts w:ascii="Times New Roman" w:hAnsi="Times New Roman" w:cs="Times New Roman"/>
        </w:rPr>
        <w:t xml:space="preserve"> produced the best overall performance, particularly under 100% and 60% field capacity. Plants subjected to severe water deficit (40% field capacity) showed reduced growth and productivity; however, the presence of biochar and </w:t>
      </w:r>
      <w:r>
        <w:rPr>
          <w:rFonts w:ascii="Times New Roman" w:hAnsi="Times New Roman" w:cs="Times New Roman"/>
          <w:i/>
          <w:iCs/>
        </w:rPr>
        <w:t>Trichoderma</w:t>
      </w:r>
      <w:r>
        <w:rPr>
          <w:rFonts w:ascii="Times New Roman" w:hAnsi="Times New Roman" w:cs="Times New Roman"/>
        </w:rPr>
        <w:t xml:space="preserve"> mitigated some of the negative effects of water stress.</w:t>
      </w:r>
      <w:r w:rsidR="008151B5">
        <w:rPr>
          <w:rFonts w:ascii="Times New Roman" w:hAnsi="Times New Roman" w:cs="Times New Roman"/>
        </w:rPr>
        <w:t xml:space="preserve"> </w:t>
      </w:r>
      <w:r>
        <w:rPr>
          <w:rFonts w:ascii="Times New Roman" w:hAnsi="Times New Roman" w:cs="Times New Roman"/>
        </w:rPr>
        <w:t xml:space="preserve">The improved performance of pepper plants under combined treatments may be attributed to enhanced soil physicochemical properties, improved water retention, better nutrient availability, and the plant growth-promoting effects of </w:t>
      </w:r>
      <w:r>
        <w:rPr>
          <w:rFonts w:ascii="Times New Roman" w:hAnsi="Times New Roman" w:cs="Times New Roman"/>
          <w:i/>
          <w:iCs/>
        </w:rPr>
        <w:t>Trichoderma</w:t>
      </w:r>
      <w:r>
        <w:rPr>
          <w:rFonts w:ascii="Times New Roman" w:hAnsi="Times New Roman" w:cs="Times New Roman"/>
        </w:rPr>
        <w:t>. These results highlight the potential of integrating biochar and beneficial microbial inoculants as a sustainable strategy for improving pepper production under water-limited conditions.</w:t>
      </w:r>
    </w:p>
    <w:p w14:paraId="13398184" w14:textId="77777777" w:rsidR="00532B5E" w:rsidRDefault="00532B5E">
      <w:pPr>
        <w:spacing w:line="276" w:lineRule="auto"/>
        <w:jc w:val="both"/>
        <w:rPr>
          <w:rFonts w:ascii="Times New Roman" w:hAnsi="Times New Roman" w:cs="Times New Roman"/>
        </w:rPr>
      </w:pPr>
    </w:p>
    <w:p w14:paraId="13B15260" w14:textId="77777777" w:rsidR="00532B5E" w:rsidRPr="00532B5E" w:rsidRDefault="00532B5E" w:rsidP="00532B5E">
      <w:pPr>
        <w:spacing w:line="276" w:lineRule="auto"/>
        <w:jc w:val="both"/>
        <w:rPr>
          <w:rFonts w:ascii="Times New Roman" w:hAnsi="Times New Roman" w:cs="Times New Roman"/>
        </w:rPr>
      </w:pPr>
      <w:r w:rsidRPr="00532B5E">
        <w:rPr>
          <w:rFonts w:ascii="Times New Roman" w:hAnsi="Times New Roman" w:cs="Times New Roman"/>
        </w:rPr>
        <w:t>COMPETING INTERESTS DISCLAIMER:</w:t>
      </w:r>
    </w:p>
    <w:p w14:paraId="14052055" w14:textId="3BA7E22D" w:rsidR="00532B5E" w:rsidRDefault="00532B5E" w:rsidP="00532B5E">
      <w:pPr>
        <w:spacing w:line="276" w:lineRule="auto"/>
        <w:jc w:val="both"/>
        <w:rPr>
          <w:rFonts w:ascii="Times New Roman" w:hAnsi="Times New Roman" w:cs="Times New Roman"/>
        </w:rPr>
      </w:pPr>
      <w:r w:rsidRPr="00532B5E">
        <w:rPr>
          <w:rFonts w:ascii="Times New Roman" w:hAnsi="Times New Roman" w:cs="Times New Roman"/>
        </w:rPr>
        <w:t>Authors have declared that they have no known competing financial interests OR non-financial interests OR personal relationships that could have appeared to influence the work reported in this paper.</w:t>
      </w:r>
    </w:p>
    <w:p w14:paraId="329C9CAF" w14:textId="3D33B23A" w:rsidR="00D0771D" w:rsidRDefault="00D0771D" w:rsidP="00532B5E">
      <w:pPr>
        <w:spacing w:line="276" w:lineRule="auto"/>
        <w:jc w:val="both"/>
        <w:rPr>
          <w:rFonts w:ascii="Times New Roman" w:hAnsi="Times New Roman" w:cs="Times New Roman"/>
        </w:rPr>
      </w:pPr>
    </w:p>
    <w:p w14:paraId="63E43CF2" w14:textId="77777777" w:rsidR="00D0771D" w:rsidRPr="00D0771D" w:rsidRDefault="00D0771D" w:rsidP="00D0771D">
      <w:pPr>
        <w:spacing w:after="0" w:line="240" w:lineRule="auto"/>
        <w:rPr>
          <w:rFonts w:ascii="Arial" w:eastAsia="Calibri" w:hAnsi="Arial" w:cs="Arial"/>
          <w:kern w:val="2"/>
          <w:highlight w:val="yellow"/>
        </w:rPr>
      </w:pPr>
      <w:bookmarkStart w:id="11" w:name="_Hlk198031404"/>
      <w:r w:rsidRPr="00D0771D">
        <w:rPr>
          <w:rFonts w:ascii="Arial" w:eastAsia="Calibri" w:hAnsi="Arial" w:cs="Arial"/>
          <w:kern w:val="2"/>
          <w:highlight w:val="yellow"/>
        </w:rPr>
        <w:t>Disclaimer (Artificial intelligence)</w:t>
      </w:r>
    </w:p>
    <w:p w14:paraId="460309D3" w14:textId="77777777" w:rsidR="00D0771D" w:rsidRPr="00D0771D" w:rsidRDefault="00D0771D" w:rsidP="00D0771D">
      <w:pPr>
        <w:spacing w:after="0" w:line="240" w:lineRule="auto"/>
        <w:rPr>
          <w:rFonts w:ascii="Arial" w:eastAsia="Calibri" w:hAnsi="Arial" w:cs="Arial"/>
          <w:kern w:val="2"/>
          <w:highlight w:val="yellow"/>
        </w:rPr>
      </w:pPr>
    </w:p>
    <w:p w14:paraId="7D9CAB6E" w14:textId="77777777" w:rsidR="00D0771D" w:rsidRPr="00D0771D" w:rsidRDefault="00D0771D" w:rsidP="00D0771D">
      <w:pPr>
        <w:spacing w:after="0" w:line="240" w:lineRule="auto"/>
        <w:rPr>
          <w:rFonts w:ascii="Arial" w:eastAsia="Calibri" w:hAnsi="Arial" w:cs="Arial"/>
          <w:kern w:val="2"/>
          <w:highlight w:val="yellow"/>
        </w:rPr>
      </w:pPr>
      <w:r w:rsidRPr="00D0771D">
        <w:rPr>
          <w:rFonts w:ascii="Arial" w:eastAsia="Calibri" w:hAnsi="Arial" w:cs="Arial"/>
          <w:kern w:val="2"/>
          <w:highlight w:val="yellow"/>
        </w:rPr>
        <w:t xml:space="preserve">Author(s) hereby </w:t>
      </w:r>
      <w:proofErr w:type="gramStart"/>
      <w:r w:rsidRPr="00D0771D">
        <w:rPr>
          <w:rFonts w:ascii="Arial" w:eastAsia="Calibri" w:hAnsi="Arial" w:cs="Arial"/>
          <w:kern w:val="2"/>
          <w:highlight w:val="yellow"/>
        </w:rPr>
        <w:t>declare</w:t>
      </w:r>
      <w:proofErr w:type="gramEnd"/>
      <w:r w:rsidRPr="00D0771D">
        <w:rPr>
          <w:rFonts w:ascii="Arial" w:eastAsia="Calibri" w:hAnsi="Arial" w:cs="Arial"/>
          <w:kern w:val="2"/>
          <w:highlight w:val="yellow"/>
        </w:rPr>
        <w:t xml:space="preserve"> that NO generative AI technologies such as Large Language Models (ChatGPT, COPILOT, etc.) and text-to-image generators have been used during the writing or editing of this manuscript. </w:t>
      </w:r>
    </w:p>
    <w:bookmarkEnd w:id="11"/>
    <w:p w14:paraId="03492DF2" w14:textId="77777777" w:rsidR="00D0771D" w:rsidRDefault="00D0771D" w:rsidP="00532B5E">
      <w:pPr>
        <w:spacing w:line="276" w:lineRule="auto"/>
        <w:jc w:val="both"/>
        <w:rPr>
          <w:rFonts w:ascii="Times New Roman" w:hAnsi="Times New Roman" w:cs="Times New Roman"/>
        </w:rPr>
      </w:pPr>
    </w:p>
    <w:p w14:paraId="1DF9BE10" w14:textId="77777777" w:rsidR="00532B5E" w:rsidRDefault="00532B5E">
      <w:pPr>
        <w:spacing w:line="276" w:lineRule="auto"/>
        <w:jc w:val="both"/>
        <w:rPr>
          <w:rFonts w:ascii="Times New Roman" w:hAnsi="Times New Roman" w:cs="Times New Roman"/>
        </w:rPr>
      </w:pPr>
    </w:p>
    <w:p w14:paraId="17072852" w14:textId="77777777" w:rsidR="00F15FD7" w:rsidRPr="008151B5" w:rsidRDefault="00563E74">
      <w:pPr>
        <w:spacing w:line="276" w:lineRule="auto"/>
        <w:jc w:val="both"/>
        <w:rPr>
          <w:rFonts w:ascii="Times New Roman" w:hAnsi="Times New Roman" w:cs="Times New Roman"/>
          <w:b/>
          <w:bCs/>
          <w:highlight w:val="yellow"/>
          <w:lang w:val="en-GB"/>
        </w:rPr>
      </w:pPr>
      <w:r w:rsidRPr="008151B5">
        <w:rPr>
          <w:rFonts w:ascii="Times New Roman" w:hAnsi="Times New Roman" w:cs="Times New Roman"/>
          <w:b/>
          <w:bCs/>
          <w:highlight w:val="yellow"/>
          <w:lang w:val="en-GB"/>
        </w:rPr>
        <w:t>References</w:t>
      </w:r>
    </w:p>
    <w:p w14:paraId="7263682F"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lang w:val="fr-FR"/>
        </w:rPr>
        <w:t xml:space="preserve">Acharya, B. S., </w:t>
      </w:r>
      <w:proofErr w:type="spellStart"/>
      <w:r w:rsidRPr="008151B5">
        <w:rPr>
          <w:rFonts w:cs="Times New Roman"/>
          <w:highlight w:val="yellow"/>
          <w:lang w:val="fr-FR"/>
        </w:rPr>
        <w:t>Dodla</w:t>
      </w:r>
      <w:proofErr w:type="spellEnd"/>
      <w:r w:rsidRPr="008151B5">
        <w:rPr>
          <w:rFonts w:cs="Times New Roman"/>
          <w:highlight w:val="yellow"/>
          <w:lang w:val="fr-FR"/>
        </w:rPr>
        <w:t xml:space="preserve">, S., Wang, J. J., Pavuluri, K., </w:t>
      </w:r>
      <w:proofErr w:type="spellStart"/>
      <w:r w:rsidRPr="008151B5">
        <w:rPr>
          <w:rFonts w:cs="Times New Roman"/>
          <w:highlight w:val="yellow"/>
          <w:lang w:val="fr-FR"/>
        </w:rPr>
        <w:t>Darapuneni</w:t>
      </w:r>
      <w:proofErr w:type="spellEnd"/>
      <w:r w:rsidRPr="008151B5">
        <w:rPr>
          <w:rFonts w:cs="Times New Roman"/>
          <w:highlight w:val="yellow"/>
          <w:lang w:val="fr-FR"/>
        </w:rPr>
        <w:t xml:space="preserve">, M., </w:t>
      </w:r>
      <w:proofErr w:type="spellStart"/>
      <w:r w:rsidRPr="008151B5">
        <w:rPr>
          <w:rFonts w:cs="Times New Roman"/>
          <w:highlight w:val="yellow"/>
          <w:lang w:val="fr-FR"/>
        </w:rPr>
        <w:t>Dattamudi</w:t>
      </w:r>
      <w:proofErr w:type="spellEnd"/>
      <w:r w:rsidRPr="008151B5">
        <w:rPr>
          <w:rFonts w:cs="Times New Roman"/>
          <w:highlight w:val="yellow"/>
          <w:lang w:val="fr-FR"/>
        </w:rPr>
        <w:t xml:space="preserve">, S., ... </w:t>
      </w:r>
      <w:r w:rsidRPr="008151B5">
        <w:rPr>
          <w:rFonts w:cs="Times New Roman"/>
          <w:highlight w:val="yellow"/>
        </w:rPr>
        <w:t xml:space="preserve">&amp; Kharel, G. (2024). Biochar impacts on soil water dynamics: knowns, unknowns, and research directions. </w:t>
      </w:r>
      <w:r w:rsidRPr="008151B5">
        <w:rPr>
          <w:rFonts w:cs="Times New Roman"/>
          <w:i/>
          <w:iCs/>
          <w:highlight w:val="yellow"/>
        </w:rPr>
        <w:t>Biochar</w:t>
      </w:r>
      <w:r w:rsidRPr="008151B5">
        <w:rPr>
          <w:rFonts w:cs="Times New Roman"/>
          <w:highlight w:val="yellow"/>
        </w:rPr>
        <w:t xml:space="preserve">, </w:t>
      </w:r>
      <w:r w:rsidRPr="008151B5">
        <w:rPr>
          <w:rFonts w:cs="Times New Roman"/>
          <w:i/>
          <w:iCs/>
          <w:highlight w:val="yellow"/>
        </w:rPr>
        <w:t>6</w:t>
      </w:r>
      <w:r w:rsidRPr="008151B5">
        <w:rPr>
          <w:rFonts w:cs="Times New Roman"/>
          <w:highlight w:val="yellow"/>
        </w:rPr>
        <w:t>(1), 34.</w:t>
      </w:r>
    </w:p>
    <w:p w14:paraId="6AA0D0BA"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Adekiya</w:t>
      </w:r>
      <w:proofErr w:type="spellEnd"/>
      <w:r w:rsidRPr="008151B5">
        <w:rPr>
          <w:rFonts w:cs="Times New Roman"/>
          <w:highlight w:val="yellow"/>
        </w:rPr>
        <w:t xml:space="preserve">, A. O., Ayorinde, B. B., &amp; </w:t>
      </w:r>
      <w:proofErr w:type="spellStart"/>
      <w:r w:rsidRPr="008151B5">
        <w:rPr>
          <w:rFonts w:cs="Times New Roman"/>
          <w:highlight w:val="yellow"/>
        </w:rPr>
        <w:t>Ogunbode</w:t>
      </w:r>
      <w:proofErr w:type="spellEnd"/>
      <w:r w:rsidRPr="008151B5">
        <w:rPr>
          <w:rFonts w:cs="Times New Roman"/>
          <w:highlight w:val="yellow"/>
        </w:rPr>
        <w:t xml:space="preserve">, T. (2024). Combined lime and biochar application enhances cowpea growth and yield in tropical </w:t>
      </w:r>
      <w:proofErr w:type="spellStart"/>
      <w:r w:rsidRPr="008151B5">
        <w:rPr>
          <w:rFonts w:cs="Times New Roman"/>
          <w:highlight w:val="yellow"/>
        </w:rPr>
        <w:t>Alfisol</w:t>
      </w:r>
      <w:proofErr w:type="spellEnd"/>
      <w:r w:rsidRPr="008151B5">
        <w:rPr>
          <w:rFonts w:cs="Times New Roman"/>
          <w:highlight w:val="yellow"/>
        </w:rPr>
        <w:t xml:space="preserve">. </w:t>
      </w:r>
      <w:r w:rsidRPr="008151B5">
        <w:rPr>
          <w:rFonts w:cs="Times New Roman"/>
          <w:i/>
          <w:iCs/>
          <w:highlight w:val="yellow"/>
        </w:rPr>
        <w:t>Scientific Reports</w:t>
      </w:r>
      <w:r w:rsidRPr="008151B5">
        <w:rPr>
          <w:rFonts w:cs="Times New Roman"/>
          <w:highlight w:val="yellow"/>
        </w:rPr>
        <w:t xml:space="preserve">, </w:t>
      </w:r>
      <w:r w:rsidRPr="008151B5">
        <w:rPr>
          <w:rFonts w:cs="Times New Roman"/>
          <w:i/>
          <w:iCs/>
          <w:highlight w:val="yellow"/>
        </w:rPr>
        <w:t>14</w:t>
      </w:r>
      <w:r w:rsidRPr="008151B5">
        <w:rPr>
          <w:rFonts w:cs="Times New Roman"/>
          <w:highlight w:val="yellow"/>
        </w:rPr>
        <w:t>(1), 1389.</w:t>
      </w:r>
    </w:p>
    <w:p w14:paraId="367460F0"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lang w:val="fr-FR"/>
        </w:rPr>
        <w:t>Agegnehu</w:t>
      </w:r>
      <w:proofErr w:type="spellEnd"/>
      <w:r w:rsidRPr="008151B5">
        <w:rPr>
          <w:rFonts w:cs="Times New Roman"/>
          <w:highlight w:val="yellow"/>
          <w:lang w:val="fr-FR"/>
        </w:rPr>
        <w:t xml:space="preserve">, G., Jemal, K., Abebe, A., &amp; Lulie, B. (2019). </w:t>
      </w:r>
      <w:r w:rsidRPr="008151B5">
        <w:rPr>
          <w:rFonts w:cs="Times New Roman"/>
          <w:highlight w:val="yellow"/>
        </w:rPr>
        <w:t>Plant growth and oil yield response of lemon grass (</w:t>
      </w:r>
      <w:r w:rsidRPr="008151B5">
        <w:rPr>
          <w:rFonts w:cs="Times New Roman"/>
          <w:i/>
          <w:iCs/>
          <w:highlight w:val="yellow"/>
        </w:rPr>
        <w:t xml:space="preserve">Cymbopogon </w:t>
      </w:r>
      <w:proofErr w:type="spellStart"/>
      <w:r w:rsidRPr="008151B5">
        <w:rPr>
          <w:rFonts w:cs="Times New Roman"/>
          <w:i/>
          <w:iCs/>
          <w:highlight w:val="yellow"/>
        </w:rPr>
        <w:t>citratus</w:t>
      </w:r>
      <w:proofErr w:type="spellEnd"/>
      <w:r w:rsidRPr="008151B5">
        <w:rPr>
          <w:rFonts w:cs="Times New Roman"/>
          <w:highlight w:val="yellow"/>
        </w:rPr>
        <w:t xml:space="preserve"> L.) to biochar application. </w:t>
      </w:r>
      <w:r w:rsidRPr="008151B5">
        <w:rPr>
          <w:rFonts w:cs="Times New Roman"/>
          <w:i/>
          <w:iCs/>
          <w:highlight w:val="yellow"/>
        </w:rPr>
        <w:t>Ethiopian Journal of Agricultural Sciences, 29</w:t>
      </w:r>
      <w:r w:rsidRPr="008151B5">
        <w:rPr>
          <w:rFonts w:cs="Times New Roman"/>
          <w:highlight w:val="yellow"/>
        </w:rPr>
        <w:t>(3), 1–12.</w:t>
      </w:r>
    </w:p>
    <w:p w14:paraId="29B7AA36"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Agegnehu</w:t>
      </w:r>
      <w:proofErr w:type="spellEnd"/>
      <w:r w:rsidRPr="008151B5">
        <w:rPr>
          <w:rFonts w:cs="Times New Roman"/>
          <w:highlight w:val="yellow"/>
        </w:rPr>
        <w:t xml:space="preserve">, G., Jemal, K., Abebe, A., &amp; Lulie, B. (2019). Plant growth and oil yield response of lemon grass (Cymbopogon </w:t>
      </w:r>
      <w:proofErr w:type="spellStart"/>
      <w:r w:rsidRPr="008151B5">
        <w:rPr>
          <w:rFonts w:cs="Times New Roman"/>
          <w:highlight w:val="yellow"/>
        </w:rPr>
        <w:t>citratuc</w:t>
      </w:r>
      <w:proofErr w:type="spellEnd"/>
      <w:r w:rsidRPr="008151B5">
        <w:rPr>
          <w:rFonts w:cs="Times New Roman"/>
          <w:highlight w:val="yellow"/>
        </w:rPr>
        <w:t xml:space="preserve"> L.) to biochar application. </w:t>
      </w:r>
      <w:r w:rsidRPr="008151B5">
        <w:rPr>
          <w:rFonts w:cs="Times New Roman"/>
          <w:i/>
          <w:iCs/>
          <w:highlight w:val="yellow"/>
        </w:rPr>
        <w:t>Ethiopian Journal of Agricultural Sciences</w:t>
      </w:r>
      <w:r w:rsidRPr="008151B5">
        <w:rPr>
          <w:rFonts w:cs="Times New Roman"/>
          <w:highlight w:val="yellow"/>
        </w:rPr>
        <w:t xml:space="preserve">, </w:t>
      </w:r>
      <w:r w:rsidRPr="008151B5">
        <w:rPr>
          <w:rFonts w:cs="Times New Roman"/>
          <w:i/>
          <w:iCs/>
          <w:highlight w:val="yellow"/>
        </w:rPr>
        <w:t>29</w:t>
      </w:r>
      <w:r w:rsidRPr="008151B5">
        <w:rPr>
          <w:rFonts w:cs="Times New Roman"/>
          <w:highlight w:val="yellow"/>
        </w:rPr>
        <w:t>(3), 1-12.</w:t>
      </w:r>
    </w:p>
    <w:p w14:paraId="060996FD"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lastRenderedPageBreak/>
        <w:t xml:space="preserve">Ahmad, C. A., Akhter, A., Haider, M. S., Abbas, M. T., Hashem, A., Avila-Quezada, G. D., &amp; </w:t>
      </w:r>
      <w:proofErr w:type="spellStart"/>
      <w:r w:rsidRPr="008151B5">
        <w:rPr>
          <w:rFonts w:cs="Times New Roman"/>
          <w:highlight w:val="yellow"/>
        </w:rPr>
        <w:t>Abd_Allah</w:t>
      </w:r>
      <w:proofErr w:type="spellEnd"/>
      <w:r w:rsidRPr="008151B5">
        <w:rPr>
          <w:rFonts w:cs="Times New Roman"/>
          <w:highlight w:val="yellow"/>
        </w:rPr>
        <w:t xml:space="preserve">, E. F. (2024). Demonstration of the synergistic effect of biochar and Trichoderma </w:t>
      </w:r>
      <w:proofErr w:type="spellStart"/>
      <w:r w:rsidRPr="008151B5">
        <w:rPr>
          <w:rFonts w:cs="Times New Roman"/>
          <w:highlight w:val="yellow"/>
        </w:rPr>
        <w:t>harzianum</w:t>
      </w:r>
      <w:proofErr w:type="spellEnd"/>
      <w:r w:rsidRPr="008151B5">
        <w:rPr>
          <w:rFonts w:cs="Times New Roman"/>
          <w:highlight w:val="yellow"/>
        </w:rPr>
        <w:t xml:space="preserve"> on the development of </w:t>
      </w:r>
      <w:proofErr w:type="spellStart"/>
      <w:r w:rsidRPr="008151B5">
        <w:rPr>
          <w:rFonts w:cs="Times New Roman"/>
          <w:highlight w:val="yellow"/>
        </w:rPr>
        <w:t>Ralstonia</w:t>
      </w:r>
      <w:proofErr w:type="spellEnd"/>
      <w:r w:rsidRPr="008151B5">
        <w:rPr>
          <w:rFonts w:cs="Times New Roman"/>
          <w:highlight w:val="yellow"/>
        </w:rPr>
        <w:t xml:space="preserve"> solanacearum in eggplant. </w:t>
      </w:r>
      <w:r w:rsidRPr="008151B5">
        <w:rPr>
          <w:rFonts w:cs="Times New Roman"/>
          <w:i/>
          <w:iCs/>
          <w:highlight w:val="yellow"/>
        </w:rPr>
        <w:t>Frontiers in Microbiology</w:t>
      </w:r>
      <w:r w:rsidRPr="008151B5">
        <w:rPr>
          <w:rFonts w:cs="Times New Roman"/>
          <w:highlight w:val="yellow"/>
        </w:rPr>
        <w:t xml:space="preserve">, </w:t>
      </w:r>
      <w:r w:rsidRPr="008151B5">
        <w:rPr>
          <w:rFonts w:cs="Times New Roman"/>
          <w:i/>
          <w:iCs/>
          <w:highlight w:val="yellow"/>
        </w:rPr>
        <w:t>15</w:t>
      </w:r>
      <w:r w:rsidRPr="008151B5">
        <w:rPr>
          <w:rFonts w:cs="Times New Roman"/>
          <w:highlight w:val="yellow"/>
        </w:rPr>
        <w:t>, 1360703.</w:t>
      </w:r>
    </w:p>
    <w:p w14:paraId="38F21252"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lang w:val="fr-FR"/>
        </w:rPr>
        <w:t xml:space="preserve">Akpan, E. A., Akpan, A. S., &amp; Essien, O. A. (2023). </w:t>
      </w:r>
      <w:r w:rsidRPr="008151B5">
        <w:rPr>
          <w:rFonts w:cs="Times New Roman"/>
          <w:highlight w:val="yellow"/>
        </w:rPr>
        <w:t>Effect of decapitation on the growth and yield of pepper (</w:t>
      </w:r>
      <w:r w:rsidRPr="008151B5">
        <w:rPr>
          <w:rFonts w:cs="Times New Roman"/>
          <w:i/>
          <w:iCs/>
          <w:highlight w:val="yellow"/>
        </w:rPr>
        <w:t>Capsicum annuum</w:t>
      </w:r>
      <w:r w:rsidRPr="008151B5">
        <w:rPr>
          <w:rFonts w:cs="Times New Roman"/>
          <w:highlight w:val="yellow"/>
        </w:rPr>
        <w:t xml:space="preserve"> L.) in Obio Akpa, Akwa Ibom State. </w:t>
      </w:r>
      <w:r w:rsidRPr="008151B5">
        <w:rPr>
          <w:rFonts w:cs="Times New Roman"/>
          <w:i/>
          <w:iCs/>
          <w:highlight w:val="yellow"/>
        </w:rPr>
        <w:t>AKSU Journal of Agriculture and Food Science, 7</w:t>
      </w:r>
      <w:r w:rsidRPr="008151B5">
        <w:rPr>
          <w:rFonts w:cs="Times New Roman"/>
          <w:highlight w:val="yellow"/>
        </w:rPr>
        <w:t>(1), 9–21.</w:t>
      </w:r>
    </w:p>
    <w:p w14:paraId="39B5A649"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AlkharabshehH</w:t>
      </w:r>
      <w:proofErr w:type="spellEnd"/>
      <w:r w:rsidRPr="008151B5">
        <w:rPr>
          <w:rFonts w:cs="Times New Roman"/>
          <w:highlight w:val="yellow"/>
        </w:rPr>
        <w:t xml:space="preserve">. </w:t>
      </w:r>
      <w:proofErr w:type="spellStart"/>
      <w:r w:rsidRPr="008151B5">
        <w:rPr>
          <w:rFonts w:cs="Times New Roman"/>
          <w:highlight w:val="yellow"/>
        </w:rPr>
        <w:t>M.SeleimanM</w:t>
      </w:r>
      <w:proofErr w:type="spellEnd"/>
      <w:r w:rsidRPr="008151B5">
        <w:rPr>
          <w:rFonts w:cs="Times New Roman"/>
          <w:highlight w:val="yellow"/>
        </w:rPr>
        <w:t xml:space="preserve">. </w:t>
      </w:r>
      <w:proofErr w:type="spellStart"/>
      <w:proofErr w:type="gramStart"/>
      <w:r w:rsidRPr="008151B5">
        <w:rPr>
          <w:rFonts w:cs="Times New Roman"/>
          <w:highlight w:val="yellow"/>
        </w:rPr>
        <w:t>F.BattagliaM</w:t>
      </w:r>
      <w:proofErr w:type="spellEnd"/>
      <w:proofErr w:type="gramEnd"/>
      <w:r w:rsidRPr="008151B5">
        <w:rPr>
          <w:rFonts w:cs="Times New Roman"/>
          <w:highlight w:val="yellow"/>
        </w:rPr>
        <w:t xml:space="preserve">. </w:t>
      </w:r>
      <w:proofErr w:type="spellStart"/>
      <w:r w:rsidRPr="008151B5">
        <w:rPr>
          <w:rFonts w:cs="Times New Roman"/>
          <w:highlight w:val="yellow"/>
        </w:rPr>
        <w:t>L.ShamiA.JalalR</w:t>
      </w:r>
      <w:proofErr w:type="spellEnd"/>
      <w:r w:rsidRPr="008151B5">
        <w:rPr>
          <w:rFonts w:cs="Times New Roman"/>
          <w:highlight w:val="yellow"/>
        </w:rPr>
        <w:t xml:space="preserve">. </w:t>
      </w:r>
      <w:proofErr w:type="spellStart"/>
      <w:proofErr w:type="gramStart"/>
      <w:r w:rsidRPr="008151B5">
        <w:rPr>
          <w:rFonts w:cs="Times New Roman"/>
          <w:highlight w:val="yellow"/>
        </w:rPr>
        <w:t>S.AlhammadB</w:t>
      </w:r>
      <w:proofErr w:type="spellEnd"/>
      <w:proofErr w:type="gramEnd"/>
      <w:r w:rsidRPr="008151B5">
        <w:rPr>
          <w:rFonts w:cs="Times New Roman"/>
          <w:highlight w:val="yellow"/>
        </w:rPr>
        <w:t xml:space="preserve">. A.et al. (2021). Biochar and its broad impacts in soil quality and fertility, nutrient leaching, and crop productivity: a review. </w:t>
      </w:r>
      <w:r w:rsidRPr="008151B5">
        <w:rPr>
          <w:rFonts w:cs="Times New Roman"/>
          <w:i/>
          <w:iCs/>
          <w:highlight w:val="yellow"/>
        </w:rPr>
        <w:t>Agron. J.</w:t>
      </w:r>
      <w:r w:rsidRPr="008151B5">
        <w:rPr>
          <w:rFonts w:cs="Times New Roman"/>
          <w:highlight w:val="yellow"/>
        </w:rPr>
        <w:t>11:993. 10.3390/agronomy11050993</w:t>
      </w:r>
    </w:p>
    <w:p w14:paraId="08B917D6"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Amanullah, F., &amp; Khan, W. (2023). Trichoderma </w:t>
      </w:r>
      <w:proofErr w:type="spellStart"/>
      <w:r w:rsidRPr="008151B5">
        <w:rPr>
          <w:rFonts w:cs="Times New Roman"/>
          <w:highlight w:val="yellow"/>
        </w:rPr>
        <w:t>asperellum</w:t>
      </w:r>
      <w:proofErr w:type="spellEnd"/>
      <w:r w:rsidRPr="008151B5">
        <w:rPr>
          <w:rFonts w:cs="Times New Roman"/>
          <w:highlight w:val="yellow"/>
        </w:rPr>
        <w:t xml:space="preserve"> coupled with biochar enhances growth and physiology of maize under heavy metal stress</w:t>
      </w:r>
      <w:r w:rsidRPr="008151B5">
        <w:rPr>
          <w:rFonts w:cs="Times New Roman"/>
          <w:i/>
          <w:iCs/>
          <w:highlight w:val="yellow"/>
        </w:rPr>
        <w:t>.</w:t>
      </w:r>
      <w:r w:rsidRPr="008151B5">
        <w:rPr>
          <w:rFonts w:cs="Times New Roman"/>
          <w:highlight w:val="yellow"/>
        </w:rPr>
        <w:t xml:space="preserve"> </w:t>
      </w:r>
      <w:r w:rsidRPr="008151B5">
        <w:rPr>
          <w:rFonts w:cs="Times New Roman"/>
          <w:i/>
          <w:iCs/>
          <w:highlight w:val="yellow"/>
        </w:rPr>
        <w:t>Plants</w:t>
      </w:r>
      <w:r w:rsidRPr="008151B5">
        <w:rPr>
          <w:rFonts w:cs="Times New Roman"/>
          <w:highlight w:val="yellow"/>
        </w:rPr>
        <w:t>, 12(4), 958.</w:t>
      </w:r>
    </w:p>
    <w:p w14:paraId="3FD43400"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Amit Sharma, Bhardwaj, R., Thukral, A. K., &amp; Al-</w:t>
      </w:r>
      <w:proofErr w:type="spellStart"/>
      <w:r w:rsidRPr="008151B5">
        <w:rPr>
          <w:rFonts w:cs="Times New Roman"/>
          <w:highlight w:val="yellow"/>
        </w:rPr>
        <w:t>Huqail</w:t>
      </w:r>
      <w:proofErr w:type="spellEnd"/>
      <w:r w:rsidRPr="008151B5">
        <w:rPr>
          <w:rFonts w:cs="Times New Roman"/>
          <w:highlight w:val="yellow"/>
        </w:rPr>
        <w:t xml:space="preserve">, A. A. (2022). Biochar application influences soil properties and plant growth: A review. </w:t>
      </w:r>
      <w:r w:rsidRPr="008151B5">
        <w:rPr>
          <w:rFonts w:cs="Times New Roman"/>
          <w:i/>
          <w:iCs/>
          <w:highlight w:val="yellow"/>
        </w:rPr>
        <w:t xml:space="preserve">Journal of Soil Science and Plant Nutrition, </w:t>
      </w:r>
      <w:r w:rsidRPr="008151B5">
        <w:rPr>
          <w:rFonts w:cs="Times New Roman"/>
          <w:highlight w:val="yellow"/>
        </w:rPr>
        <w:t>22, 1–17.</w:t>
      </w:r>
    </w:p>
    <w:p w14:paraId="4ADBB3E0"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AOAC. (1990). </w:t>
      </w:r>
      <w:r w:rsidRPr="008151B5">
        <w:rPr>
          <w:rFonts w:cs="Times New Roman"/>
          <w:i/>
          <w:iCs/>
          <w:highlight w:val="yellow"/>
        </w:rPr>
        <w:t>Official methods of analysis of the Association of Official Analytical Chemists</w:t>
      </w:r>
      <w:r w:rsidRPr="008151B5">
        <w:rPr>
          <w:rFonts w:cs="Times New Roman"/>
          <w:highlight w:val="yellow"/>
        </w:rPr>
        <w:t xml:space="preserve"> (15th ed., Vol. II, Sec. 985.29). Arlington, VA: Association of Official Analytical Chemists.</w:t>
      </w:r>
    </w:p>
    <w:p w14:paraId="699063FA"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Arnon, D. I. (1949). Copper enzymes in isolated chloroplasts: Polyphenol oxidase in </w:t>
      </w:r>
      <w:r w:rsidRPr="008151B5">
        <w:rPr>
          <w:rFonts w:cs="Times New Roman"/>
          <w:i/>
          <w:iCs/>
          <w:highlight w:val="yellow"/>
        </w:rPr>
        <w:t>Beta vulgaris</w:t>
      </w:r>
      <w:r w:rsidRPr="008151B5">
        <w:rPr>
          <w:rFonts w:cs="Times New Roman"/>
          <w:highlight w:val="yellow"/>
        </w:rPr>
        <w:t xml:space="preserve">. </w:t>
      </w:r>
      <w:r w:rsidRPr="008151B5">
        <w:rPr>
          <w:rFonts w:cs="Times New Roman"/>
          <w:i/>
          <w:iCs/>
          <w:highlight w:val="yellow"/>
        </w:rPr>
        <w:t>Plant Physiology, 24</w:t>
      </w:r>
      <w:r w:rsidRPr="008151B5">
        <w:rPr>
          <w:rFonts w:cs="Times New Roman"/>
          <w:highlight w:val="yellow"/>
        </w:rPr>
        <w:t>(1), 1–15.</w:t>
      </w:r>
    </w:p>
    <w:p w14:paraId="63585239"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Aubertin, M.L.; Girardin, C.; </w:t>
      </w:r>
      <w:proofErr w:type="spellStart"/>
      <w:r w:rsidRPr="008151B5">
        <w:rPr>
          <w:rFonts w:cs="Times New Roman"/>
          <w:highlight w:val="yellow"/>
        </w:rPr>
        <w:t>Houot</w:t>
      </w:r>
      <w:proofErr w:type="spellEnd"/>
      <w:r w:rsidRPr="008151B5">
        <w:rPr>
          <w:rFonts w:cs="Times New Roman"/>
          <w:highlight w:val="yellow"/>
        </w:rPr>
        <w:t>, S.; Nobile, C.; Houben, D.; Bena, S.; Brech, Y.; Rumpel, C. Biochar-compost interactions as affected by weathering: Effects on biological stability and plant growth. Agronomy 2021, 11, 336. [</w:t>
      </w:r>
      <w:hyperlink r:id="rId20" w:tgtFrame="_blank" w:history="1">
        <w:r w:rsidRPr="008151B5">
          <w:rPr>
            <w:rStyle w:val="Hyperlink"/>
            <w:rFonts w:cs="Times New Roman"/>
            <w:sz w:val="22"/>
            <w:highlight w:val="yellow"/>
          </w:rPr>
          <w:t>Google Scholar</w:t>
        </w:r>
      </w:hyperlink>
      <w:r w:rsidRPr="008151B5">
        <w:rPr>
          <w:rFonts w:cs="Times New Roman"/>
          <w:highlight w:val="yellow"/>
        </w:rPr>
        <w:t>] [</w:t>
      </w:r>
      <w:proofErr w:type="spellStart"/>
      <w:r w:rsidRPr="008151B5">
        <w:rPr>
          <w:rFonts w:cs="Times New Roman"/>
          <w:highlight w:val="yellow"/>
        </w:rPr>
        <w:fldChar w:fldCharType="begin"/>
      </w:r>
      <w:r w:rsidRPr="008151B5">
        <w:rPr>
          <w:rFonts w:cs="Times New Roman"/>
          <w:highlight w:val="yellow"/>
        </w:rPr>
        <w:instrText>HYPERLINK "https://doi.org/10.3390/agronomy11020336" \t "_blank"</w:instrText>
      </w:r>
      <w:r w:rsidRPr="008151B5">
        <w:rPr>
          <w:highlight w:val="yellow"/>
        </w:rPr>
      </w:r>
      <w:r w:rsidRPr="008151B5">
        <w:rPr>
          <w:rFonts w:cs="Times New Roman"/>
          <w:highlight w:val="yellow"/>
        </w:rPr>
        <w:fldChar w:fldCharType="separate"/>
      </w:r>
      <w:r w:rsidRPr="008151B5">
        <w:rPr>
          <w:rStyle w:val="Hyperlink"/>
          <w:rFonts w:cs="Times New Roman"/>
          <w:sz w:val="22"/>
          <w:highlight w:val="yellow"/>
        </w:rPr>
        <w:t>CrossRef</w:t>
      </w:r>
      <w:proofErr w:type="spellEnd"/>
      <w:r w:rsidRPr="008151B5">
        <w:rPr>
          <w:rFonts w:cs="Times New Roman"/>
          <w:highlight w:val="yellow"/>
        </w:rPr>
        <w:fldChar w:fldCharType="end"/>
      </w:r>
      <w:r w:rsidRPr="008151B5">
        <w:rPr>
          <w:rFonts w:cs="Times New Roman"/>
          <w:highlight w:val="yellow"/>
        </w:rPr>
        <w:t>]</w:t>
      </w:r>
    </w:p>
    <w:p w14:paraId="4E573DD5" w14:textId="77777777" w:rsidR="00F84517" w:rsidRPr="008151B5" w:rsidRDefault="00F84517" w:rsidP="008151B5">
      <w:pPr>
        <w:pStyle w:val="ListParagraph"/>
        <w:numPr>
          <w:ilvl w:val="0"/>
          <w:numId w:val="4"/>
        </w:numPr>
        <w:spacing w:after="0" w:line="360" w:lineRule="auto"/>
        <w:jc w:val="both"/>
        <w:rPr>
          <w:rFonts w:cs="Times New Roman"/>
          <w:highlight w:val="yellow"/>
        </w:rPr>
      </w:pPr>
      <w:bookmarkStart w:id="12" w:name="_Hlk227194458"/>
      <w:r w:rsidRPr="008151B5">
        <w:rPr>
          <w:rFonts w:cs="Times New Roman"/>
          <w:i/>
          <w:iCs/>
          <w:highlight w:val="yellow"/>
        </w:rPr>
        <w:t>Barnabá</w:t>
      </w:r>
      <w:bookmarkEnd w:id="12"/>
      <w:r w:rsidRPr="008151B5">
        <w:rPr>
          <w:rFonts w:cs="Times New Roman"/>
          <w:i/>
          <w:iCs/>
          <w:highlight w:val="yellow"/>
        </w:rPr>
        <w:t xml:space="preserve">s B., Jäger K., Fehér A. The effect of drought and heat stress on reproductive processes in cereals. Plant. </w:t>
      </w:r>
      <w:proofErr w:type="gramStart"/>
      <w:r w:rsidRPr="008151B5">
        <w:rPr>
          <w:rFonts w:cs="Times New Roman"/>
          <w:i/>
          <w:iCs/>
          <w:highlight w:val="yellow"/>
        </w:rPr>
        <w:t>2008;31:11</w:t>
      </w:r>
      <w:proofErr w:type="gramEnd"/>
      <w:r w:rsidRPr="008151B5">
        <w:rPr>
          <w:rFonts w:cs="Times New Roman"/>
          <w:i/>
          <w:iCs/>
          <w:highlight w:val="yellow"/>
        </w:rPr>
        <w:t xml:space="preserve">–38. </w:t>
      </w:r>
      <w:proofErr w:type="spellStart"/>
      <w:r w:rsidRPr="008151B5">
        <w:rPr>
          <w:rFonts w:cs="Times New Roman"/>
          <w:i/>
          <w:iCs/>
          <w:highlight w:val="yellow"/>
        </w:rPr>
        <w:t>doi</w:t>
      </w:r>
      <w:proofErr w:type="spellEnd"/>
      <w:r w:rsidRPr="008151B5">
        <w:rPr>
          <w:rFonts w:cs="Times New Roman"/>
          <w:i/>
          <w:iCs/>
          <w:highlight w:val="yellow"/>
        </w:rPr>
        <w:t>: 10.1111/j.1365-3040.2007.01727.x.</w:t>
      </w:r>
      <w:r w:rsidRPr="008151B5">
        <w:rPr>
          <w:rFonts w:cs="Times New Roman"/>
          <w:highlight w:val="yellow"/>
        </w:rPr>
        <w:t xml:space="preserve"> [</w:t>
      </w:r>
      <w:hyperlink r:id="rId21" w:tgtFrame="_blank" w:history="1">
        <w:r w:rsidRPr="008151B5">
          <w:rPr>
            <w:rStyle w:val="Hyperlink"/>
            <w:rFonts w:cs="Times New Roman"/>
            <w:sz w:val="22"/>
            <w:highlight w:val="yellow"/>
          </w:rPr>
          <w:t>DOI</w:t>
        </w:r>
      </w:hyperlink>
      <w:r w:rsidRPr="008151B5">
        <w:rPr>
          <w:rFonts w:cs="Times New Roman"/>
          <w:highlight w:val="yellow"/>
        </w:rPr>
        <w:t>] [</w:t>
      </w:r>
      <w:hyperlink r:id="rId22" w:history="1">
        <w:r w:rsidRPr="008151B5">
          <w:rPr>
            <w:rStyle w:val="Hyperlink"/>
            <w:rFonts w:cs="Times New Roman"/>
            <w:sz w:val="22"/>
            <w:highlight w:val="yellow"/>
          </w:rPr>
          <w:t>PubMed</w:t>
        </w:r>
      </w:hyperlink>
      <w:r w:rsidRPr="008151B5">
        <w:rPr>
          <w:rFonts w:cs="Times New Roman"/>
          <w:highlight w:val="yellow"/>
        </w:rPr>
        <w:t>] [</w:t>
      </w:r>
      <w:hyperlink r:id="rId23" w:tgtFrame="_blank" w:history="1">
        <w:r w:rsidRPr="008151B5">
          <w:rPr>
            <w:rStyle w:val="Hyperlink"/>
            <w:rFonts w:cs="Times New Roman"/>
            <w:sz w:val="22"/>
            <w:highlight w:val="yellow"/>
          </w:rPr>
          <w:t>Google Scholar</w:t>
        </w:r>
      </w:hyperlink>
      <w:r w:rsidRPr="008151B5">
        <w:rPr>
          <w:rFonts w:cs="Times New Roman"/>
          <w:highlight w:val="yellow"/>
        </w:rPr>
        <w:t>]</w:t>
      </w:r>
    </w:p>
    <w:p w14:paraId="03EBE827"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Bashyal</w:t>
      </w:r>
      <w:proofErr w:type="spellEnd"/>
      <w:r w:rsidRPr="008151B5">
        <w:rPr>
          <w:rFonts w:cs="Times New Roman"/>
          <w:highlight w:val="yellow"/>
        </w:rPr>
        <w:t xml:space="preserve">, B. M., Pandey, A., &amp; Sharma, S. (2021). Effects of </w:t>
      </w:r>
      <w:r w:rsidRPr="008151B5">
        <w:rPr>
          <w:rFonts w:cs="Times New Roman"/>
          <w:i/>
          <w:iCs/>
          <w:highlight w:val="yellow"/>
        </w:rPr>
        <w:t>Trichoderma</w:t>
      </w:r>
      <w:r w:rsidRPr="008151B5">
        <w:rPr>
          <w:rFonts w:cs="Times New Roman"/>
          <w:highlight w:val="yellow"/>
        </w:rPr>
        <w:t xml:space="preserve"> spp. on plant growth and antioxidant </w:t>
      </w:r>
      <w:proofErr w:type="spellStart"/>
      <w:r w:rsidRPr="008151B5">
        <w:rPr>
          <w:rFonts w:cs="Times New Roman"/>
          <w:highlight w:val="yellow"/>
        </w:rPr>
        <w:t>defense</w:t>
      </w:r>
      <w:proofErr w:type="spellEnd"/>
      <w:r w:rsidRPr="008151B5">
        <w:rPr>
          <w:rFonts w:cs="Times New Roman"/>
          <w:highlight w:val="yellow"/>
        </w:rPr>
        <w:t xml:space="preserve"> system under abiotic stress conditions. </w:t>
      </w:r>
      <w:r w:rsidRPr="008151B5">
        <w:rPr>
          <w:rFonts w:cs="Times New Roman"/>
          <w:i/>
          <w:iCs/>
          <w:highlight w:val="yellow"/>
        </w:rPr>
        <w:t>Plant Stress, 2</w:t>
      </w:r>
      <w:r w:rsidRPr="008151B5">
        <w:rPr>
          <w:rFonts w:cs="Times New Roman"/>
          <w:highlight w:val="yellow"/>
        </w:rPr>
        <w:t>, 100031.</w:t>
      </w:r>
    </w:p>
    <w:p w14:paraId="0C35D67F"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Bates, L. S., Waldren, R. P., &amp; Teare, I. D. (1973). Rapid determination of free proline for water-stress studies. </w:t>
      </w:r>
      <w:r w:rsidRPr="008151B5">
        <w:rPr>
          <w:rFonts w:cs="Times New Roman"/>
          <w:i/>
          <w:iCs/>
          <w:highlight w:val="yellow"/>
        </w:rPr>
        <w:t>Plant and Soil, 39</w:t>
      </w:r>
      <w:r w:rsidRPr="008151B5">
        <w:rPr>
          <w:rFonts w:cs="Times New Roman"/>
          <w:highlight w:val="yellow"/>
        </w:rPr>
        <w:t>, 205–207.</w:t>
      </w:r>
    </w:p>
    <w:p w14:paraId="08726DB4"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Batool, M.; Rahman, S.U.; Ali, M.; Nadeem, F.; Ashraf, M.N.; Harris, M.; Du, Z.; Khan, W.-U. Microbial-assisted soil chromium immobilization through zinc and iron-enriched rice husk biochar. Front. </w:t>
      </w:r>
      <w:proofErr w:type="spellStart"/>
      <w:r w:rsidRPr="008151B5">
        <w:rPr>
          <w:rFonts w:cs="Times New Roman"/>
          <w:highlight w:val="yellow"/>
        </w:rPr>
        <w:t>Microbiol</w:t>
      </w:r>
      <w:proofErr w:type="spellEnd"/>
      <w:r w:rsidRPr="008151B5">
        <w:rPr>
          <w:rFonts w:cs="Times New Roman"/>
          <w:highlight w:val="yellow"/>
        </w:rPr>
        <w:t>. 2022, 13, 3401. [</w:t>
      </w:r>
      <w:hyperlink r:id="rId24" w:tgtFrame="_blank" w:history="1">
        <w:r w:rsidRPr="008151B5">
          <w:rPr>
            <w:rStyle w:val="Hyperlink"/>
            <w:rFonts w:cs="Times New Roman"/>
            <w:sz w:val="22"/>
            <w:highlight w:val="yellow"/>
          </w:rPr>
          <w:t>Google Scholar</w:t>
        </w:r>
      </w:hyperlink>
      <w:r w:rsidRPr="008151B5">
        <w:rPr>
          <w:rFonts w:cs="Times New Roman"/>
          <w:highlight w:val="yellow"/>
        </w:rPr>
        <w:t>] [</w:t>
      </w:r>
      <w:proofErr w:type="spellStart"/>
      <w:r w:rsidRPr="008151B5">
        <w:rPr>
          <w:rFonts w:cs="Times New Roman"/>
          <w:highlight w:val="yellow"/>
        </w:rPr>
        <w:fldChar w:fldCharType="begin"/>
      </w:r>
      <w:r w:rsidRPr="008151B5">
        <w:rPr>
          <w:rFonts w:cs="Times New Roman"/>
          <w:highlight w:val="yellow"/>
        </w:rPr>
        <w:instrText>HYPERLINK "https://doi.org/10.3389/fmicb.2022.990329" \t "_blank"</w:instrText>
      </w:r>
      <w:r w:rsidRPr="008151B5">
        <w:rPr>
          <w:highlight w:val="yellow"/>
        </w:rPr>
      </w:r>
      <w:r w:rsidRPr="008151B5">
        <w:rPr>
          <w:rFonts w:cs="Times New Roman"/>
          <w:highlight w:val="yellow"/>
        </w:rPr>
        <w:fldChar w:fldCharType="separate"/>
      </w:r>
      <w:r w:rsidRPr="008151B5">
        <w:rPr>
          <w:rStyle w:val="Hyperlink"/>
          <w:rFonts w:cs="Times New Roman"/>
          <w:sz w:val="22"/>
          <w:highlight w:val="yellow"/>
        </w:rPr>
        <w:t>CrossRef</w:t>
      </w:r>
      <w:proofErr w:type="spellEnd"/>
      <w:r w:rsidRPr="008151B5">
        <w:rPr>
          <w:rFonts w:cs="Times New Roman"/>
          <w:highlight w:val="yellow"/>
        </w:rPr>
        <w:fldChar w:fldCharType="end"/>
      </w:r>
      <w:r w:rsidRPr="008151B5">
        <w:rPr>
          <w:rFonts w:cs="Times New Roman"/>
          <w:highlight w:val="yellow"/>
        </w:rPr>
        <w:t>]</w:t>
      </w:r>
    </w:p>
    <w:p w14:paraId="28E74246"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Bhupinder Pal Singh, C. S. R. Reddy, et al. (2021). Biochar and microbial interactions in soil: Implications for plant growth and nutrient cycling. </w:t>
      </w:r>
      <w:r w:rsidRPr="008151B5">
        <w:rPr>
          <w:rFonts w:cs="Times New Roman"/>
          <w:i/>
          <w:iCs/>
          <w:highlight w:val="yellow"/>
        </w:rPr>
        <w:t xml:space="preserve">Science of the Total Environment, </w:t>
      </w:r>
      <w:r w:rsidRPr="008151B5">
        <w:rPr>
          <w:rFonts w:cs="Times New Roman"/>
          <w:highlight w:val="yellow"/>
        </w:rPr>
        <w:t>752, 141828.</w:t>
      </w:r>
    </w:p>
    <w:p w14:paraId="4AE62D87"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lastRenderedPageBreak/>
        <w:t xml:space="preserve">Blanco-Canqui, H. (2017). Biochar and soil physical properties. </w:t>
      </w:r>
      <w:r w:rsidRPr="008151B5">
        <w:rPr>
          <w:rFonts w:cs="Times New Roman"/>
          <w:i/>
          <w:iCs/>
          <w:highlight w:val="yellow"/>
        </w:rPr>
        <w:t>Soil Science Society of America Journal, 81</w:t>
      </w:r>
      <w:r w:rsidRPr="008151B5">
        <w:rPr>
          <w:rFonts w:cs="Times New Roman"/>
          <w:highlight w:val="yellow"/>
        </w:rPr>
        <w:t>(4), 687–711.</w:t>
      </w:r>
    </w:p>
    <w:p w14:paraId="7B6D736C"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BlumA</w:t>
      </w:r>
      <w:proofErr w:type="spellEnd"/>
      <w:r w:rsidRPr="008151B5">
        <w:rPr>
          <w:rFonts w:cs="Times New Roman"/>
          <w:highlight w:val="yellow"/>
        </w:rPr>
        <w:t xml:space="preserve">. (2017) Osmotic adjustment is a prime drought stress adaptive engine in support of plant production. </w:t>
      </w:r>
      <w:r w:rsidRPr="008151B5">
        <w:rPr>
          <w:rFonts w:cs="Times New Roman"/>
          <w:i/>
          <w:iCs/>
          <w:highlight w:val="yellow"/>
        </w:rPr>
        <w:t>Plant Cell Environ.</w:t>
      </w:r>
      <w:r w:rsidRPr="008151B5">
        <w:rPr>
          <w:rFonts w:cs="Times New Roman"/>
          <w:highlight w:val="yellow"/>
        </w:rPr>
        <w:t>40, 4–10. 10.1111/pce.12800</w:t>
      </w:r>
    </w:p>
    <w:p w14:paraId="30F1FF34"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Bohara, H., </w:t>
      </w:r>
      <w:proofErr w:type="spellStart"/>
      <w:r w:rsidRPr="008151B5">
        <w:rPr>
          <w:rFonts w:cs="Times New Roman"/>
          <w:highlight w:val="yellow"/>
        </w:rPr>
        <w:t>Dodla</w:t>
      </w:r>
      <w:proofErr w:type="spellEnd"/>
      <w:r w:rsidRPr="008151B5">
        <w:rPr>
          <w:rFonts w:cs="Times New Roman"/>
          <w:highlight w:val="yellow"/>
        </w:rPr>
        <w:t xml:space="preserve">, S., Wang, J. J., </w:t>
      </w:r>
      <w:proofErr w:type="spellStart"/>
      <w:r w:rsidRPr="008151B5">
        <w:rPr>
          <w:rFonts w:cs="Times New Roman"/>
          <w:highlight w:val="yellow"/>
        </w:rPr>
        <w:t>Darapuneni</w:t>
      </w:r>
      <w:proofErr w:type="spellEnd"/>
      <w:r w:rsidRPr="008151B5">
        <w:rPr>
          <w:rFonts w:cs="Times New Roman"/>
          <w:highlight w:val="yellow"/>
        </w:rPr>
        <w:t xml:space="preserve">, M., Acharya, B. S., Magdi, S., &amp; Pavuluri, K. (2019). Influence of poultry litter and biochar on soil water dynamics and nutrient leaching from a very fine sandy loam soil. </w:t>
      </w:r>
      <w:r w:rsidRPr="008151B5">
        <w:rPr>
          <w:rFonts w:cs="Times New Roman"/>
          <w:i/>
          <w:iCs/>
          <w:highlight w:val="yellow"/>
        </w:rPr>
        <w:t>Soil Tillage Research, 189</w:t>
      </w:r>
      <w:r w:rsidRPr="008151B5">
        <w:rPr>
          <w:rFonts w:cs="Times New Roman"/>
          <w:highlight w:val="yellow"/>
        </w:rPr>
        <w:t>, 44–51.</w:t>
      </w:r>
    </w:p>
    <w:p w14:paraId="4ED8493A"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Bouyoucos</w:t>
      </w:r>
      <w:proofErr w:type="spellEnd"/>
      <w:r w:rsidRPr="008151B5">
        <w:rPr>
          <w:rFonts w:cs="Times New Roman"/>
          <w:highlight w:val="yellow"/>
        </w:rPr>
        <w:t xml:space="preserve">, G. J. (1962). Hydrometer method improved for making particle size analyses of soils. </w:t>
      </w:r>
      <w:r w:rsidRPr="008151B5">
        <w:rPr>
          <w:rFonts w:cs="Times New Roman"/>
          <w:i/>
          <w:iCs/>
          <w:highlight w:val="yellow"/>
        </w:rPr>
        <w:t>Agronomy Journal, 54</w:t>
      </w:r>
      <w:r w:rsidRPr="008151B5">
        <w:rPr>
          <w:rFonts w:cs="Times New Roman"/>
          <w:highlight w:val="yellow"/>
        </w:rPr>
        <w:t>(5), 464–465.</w:t>
      </w:r>
    </w:p>
    <w:p w14:paraId="5A7E2005"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Bui, V. K. H., Nguyen, T. P., Tran, T. P., Nguyen, T. N., Duong, T. N., Nguyen, V. T., ... &amp; Nguyen, X. C. Biochar-based fixed filter columns for water treatment: A comprehensive.</w:t>
      </w:r>
    </w:p>
    <w:p w14:paraId="339F3383"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Danish, S., &amp; Zafar-ul-Hye, M. (2020). Impact of application of Trichoderma and biochar on growth, productivity and nutritional quality of tomato under reduced NPK fertilization. Annals of Agricultural Sciences, 65(2), 146–155.</w:t>
      </w:r>
    </w:p>
    <w:p w14:paraId="7D87FE4E"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Dixon, R. A., &amp; Paiva, N. L. (1995). Stress-induced phenylpropanoid metabolism. </w:t>
      </w:r>
      <w:r w:rsidRPr="008151B5">
        <w:rPr>
          <w:rFonts w:cs="Times New Roman"/>
          <w:i/>
          <w:iCs/>
          <w:highlight w:val="yellow"/>
        </w:rPr>
        <w:t>The Plant Cell, 7</w:t>
      </w:r>
      <w:r w:rsidRPr="008151B5">
        <w:rPr>
          <w:rFonts w:cs="Times New Roman"/>
          <w:highlight w:val="yellow"/>
        </w:rPr>
        <w:t>(7), 1085–1097. https://doi.org/10.1105/tpc.7.7.1085</w:t>
      </w:r>
    </w:p>
    <w:p w14:paraId="6533EEBE"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Downie, A. (2011). </w:t>
      </w:r>
      <w:r w:rsidRPr="008151B5">
        <w:rPr>
          <w:rFonts w:cs="Times New Roman"/>
          <w:i/>
          <w:iCs/>
          <w:highlight w:val="yellow"/>
        </w:rPr>
        <w:t>Biochar production and use: Environmental risks and rewards</w:t>
      </w:r>
      <w:r w:rsidRPr="008151B5">
        <w:rPr>
          <w:rFonts w:cs="Times New Roman"/>
          <w:highlight w:val="yellow"/>
        </w:rPr>
        <w:t>. University of South Wales.</w:t>
      </w:r>
    </w:p>
    <w:p w14:paraId="145AEB55"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Druzhinina, I. S., Seidl-</w:t>
      </w:r>
      <w:proofErr w:type="spellStart"/>
      <w:r w:rsidRPr="008151B5">
        <w:rPr>
          <w:rFonts w:cs="Times New Roman"/>
          <w:highlight w:val="yellow"/>
        </w:rPr>
        <w:t>Seiboth</w:t>
      </w:r>
      <w:proofErr w:type="spellEnd"/>
      <w:r w:rsidRPr="008151B5">
        <w:rPr>
          <w:rFonts w:cs="Times New Roman"/>
          <w:highlight w:val="yellow"/>
        </w:rPr>
        <w:t xml:space="preserve">, V., Herrera-Estrella, A., Horwitz, B. A., </w:t>
      </w:r>
      <w:proofErr w:type="spellStart"/>
      <w:r w:rsidRPr="008151B5">
        <w:rPr>
          <w:rFonts w:cs="Times New Roman"/>
          <w:highlight w:val="yellow"/>
        </w:rPr>
        <w:t>Kenerley</w:t>
      </w:r>
      <w:proofErr w:type="spellEnd"/>
      <w:r w:rsidRPr="008151B5">
        <w:rPr>
          <w:rFonts w:cs="Times New Roman"/>
          <w:highlight w:val="yellow"/>
        </w:rPr>
        <w:t xml:space="preserve">, C. M., Monte, E., Mukherjee, P. K., Zeilinger, S., Grigoriev, I. V., &amp; Kubicek, C. P. (2011). </w:t>
      </w:r>
      <w:r w:rsidRPr="008151B5">
        <w:rPr>
          <w:rFonts w:cs="Times New Roman"/>
          <w:i/>
          <w:iCs/>
          <w:highlight w:val="yellow"/>
        </w:rPr>
        <w:t>Trichoderma</w:t>
      </w:r>
      <w:r w:rsidRPr="008151B5">
        <w:rPr>
          <w:rFonts w:cs="Times New Roman"/>
          <w:highlight w:val="yellow"/>
        </w:rPr>
        <w:t xml:space="preserve">: The genomics of opportunistic success. </w:t>
      </w:r>
      <w:r w:rsidRPr="008151B5">
        <w:rPr>
          <w:rFonts w:cs="Times New Roman"/>
          <w:i/>
          <w:iCs/>
          <w:highlight w:val="yellow"/>
        </w:rPr>
        <w:t>Nature Reviews Microbiology</w:t>
      </w:r>
      <w:r w:rsidRPr="008151B5">
        <w:rPr>
          <w:rFonts w:cs="Times New Roman"/>
          <w:highlight w:val="yellow"/>
        </w:rPr>
        <w:t xml:space="preserve">, 9, 749–759. </w:t>
      </w:r>
      <w:hyperlink r:id="rId25" w:history="1">
        <w:r w:rsidRPr="008151B5">
          <w:rPr>
            <w:rStyle w:val="Hyperlink"/>
            <w:rFonts w:cs="Times New Roman"/>
            <w:sz w:val="22"/>
            <w:highlight w:val="yellow"/>
          </w:rPr>
          <w:t>https://doi.org/10.1038/nrmicro2637</w:t>
        </w:r>
      </w:hyperlink>
    </w:p>
    <w:p w14:paraId="7F02DC77"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Elad, Y., Chet, I., &amp; </w:t>
      </w:r>
      <w:proofErr w:type="spellStart"/>
      <w:r w:rsidRPr="008151B5">
        <w:rPr>
          <w:rFonts w:cs="Times New Roman"/>
          <w:highlight w:val="yellow"/>
        </w:rPr>
        <w:t>Henis</w:t>
      </w:r>
      <w:proofErr w:type="spellEnd"/>
      <w:r w:rsidRPr="008151B5">
        <w:rPr>
          <w:rFonts w:cs="Times New Roman"/>
          <w:highlight w:val="yellow"/>
        </w:rPr>
        <w:t xml:space="preserve">, Y. (1981). A selective medium for improving quantitative isolation of </w:t>
      </w:r>
      <w:r w:rsidRPr="008151B5">
        <w:rPr>
          <w:rFonts w:cs="Times New Roman"/>
          <w:i/>
          <w:iCs/>
          <w:highlight w:val="yellow"/>
        </w:rPr>
        <w:t>Trichoderma</w:t>
      </w:r>
      <w:r w:rsidRPr="008151B5">
        <w:rPr>
          <w:rFonts w:cs="Times New Roman"/>
          <w:highlight w:val="yellow"/>
        </w:rPr>
        <w:t xml:space="preserve"> spp. from soil. </w:t>
      </w:r>
      <w:proofErr w:type="spellStart"/>
      <w:r w:rsidRPr="008151B5">
        <w:rPr>
          <w:rFonts w:cs="Times New Roman"/>
          <w:i/>
          <w:iCs/>
          <w:highlight w:val="yellow"/>
        </w:rPr>
        <w:t>Phytoparasitica</w:t>
      </w:r>
      <w:proofErr w:type="spellEnd"/>
      <w:r w:rsidRPr="008151B5">
        <w:rPr>
          <w:rFonts w:cs="Times New Roman"/>
          <w:i/>
          <w:iCs/>
          <w:highlight w:val="yellow"/>
        </w:rPr>
        <w:t>, 9</w:t>
      </w:r>
      <w:r w:rsidRPr="008151B5">
        <w:rPr>
          <w:rFonts w:cs="Times New Roman"/>
          <w:highlight w:val="yellow"/>
        </w:rPr>
        <w:t>(1), 59–67.</w:t>
      </w:r>
    </w:p>
    <w:p w14:paraId="2BD0B11A"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Ernest, B., Yanda, P. Z., Hansson, A., &amp; </w:t>
      </w:r>
      <w:proofErr w:type="spellStart"/>
      <w:r w:rsidRPr="008151B5">
        <w:rPr>
          <w:rFonts w:cs="Times New Roman"/>
          <w:highlight w:val="yellow"/>
        </w:rPr>
        <w:t>Fridahl</w:t>
      </w:r>
      <w:proofErr w:type="spellEnd"/>
      <w:r w:rsidRPr="008151B5">
        <w:rPr>
          <w:rFonts w:cs="Times New Roman"/>
          <w:highlight w:val="yellow"/>
        </w:rPr>
        <w:t xml:space="preserve">, M. (2024). Long-term effects of adding biochar to soils on organic matter content, persistent carbon storage, and moisture content in </w:t>
      </w:r>
      <w:proofErr w:type="spellStart"/>
      <w:r w:rsidRPr="008151B5">
        <w:rPr>
          <w:rFonts w:cs="Times New Roman"/>
          <w:highlight w:val="yellow"/>
        </w:rPr>
        <w:t>Karagwe</w:t>
      </w:r>
      <w:proofErr w:type="spellEnd"/>
      <w:r w:rsidRPr="008151B5">
        <w:rPr>
          <w:rFonts w:cs="Times New Roman"/>
          <w:highlight w:val="yellow"/>
        </w:rPr>
        <w:t xml:space="preserve">, Tanzania. </w:t>
      </w:r>
      <w:r w:rsidRPr="008151B5">
        <w:rPr>
          <w:rFonts w:cs="Times New Roman"/>
          <w:i/>
          <w:iCs/>
          <w:highlight w:val="yellow"/>
        </w:rPr>
        <w:t>Scientific Reports</w:t>
      </w:r>
      <w:r w:rsidRPr="008151B5">
        <w:rPr>
          <w:rFonts w:cs="Times New Roman"/>
          <w:highlight w:val="yellow"/>
        </w:rPr>
        <w:t xml:space="preserve">, </w:t>
      </w:r>
      <w:r w:rsidRPr="008151B5">
        <w:rPr>
          <w:rFonts w:cs="Times New Roman"/>
          <w:i/>
          <w:iCs/>
          <w:highlight w:val="yellow"/>
        </w:rPr>
        <w:t>14</w:t>
      </w:r>
      <w:r w:rsidRPr="008151B5">
        <w:rPr>
          <w:rFonts w:cs="Times New Roman"/>
          <w:highlight w:val="yellow"/>
        </w:rPr>
        <w:t>(1), 30565.</w:t>
      </w:r>
    </w:p>
    <w:p w14:paraId="0026ED45"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FAO. (2012). </w:t>
      </w:r>
      <w:r w:rsidRPr="008151B5">
        <w:rPr>
          <w:rFonts w:cs="Times New Roman"/>
          <w:i/>
          <w:iCs/>
          <w:highlight w:val="yellow"/>
        </w:rPr>
        <w:t>FAOSTAT: Food and agriculture data.</w:t>
      </w:r>
      <w:r w:rsidRPr="008151B5">
        <w:rPr>
          <w:rFonts w:cs="Times New Roman"/>
          <w:highlight w:val="yellow"/>
        </w:rPr>
        <w:t xml:space="preserve"> Food and Agriculture Organization of the United Nations. </w:t>
      </w:r>
      <w:hyperlink r:id="rId26" w:anchor="data/" w:history="1">
        <w:r w:rsidRPr="008151B5">
          <w:rPr>
            <w:rStyle w:val="Hyperlink"/>
            <w:rFonts w:cs="Times New Roman"/>
            <w:sz w:val="22"/>
            <w:highlight w:val="yellow"/>
          </w:rPr>
          <w:t>http://www.fao.org/faostat/en/#data/</w:t>
        </w:r>
      </w:hyperlink>
    </w:p>
    <w:p w14:paraId="706913BB"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FAO. (2020). </w:t>
      </w:r>
      <w:r w:rsidRPr="008151B5">
        <w:rPr>
          <w:rFonts w:cs="Times New Roman"/>
          <w:i/>
          <w:iCs/>
          <w:highlight w:val="yellow"/>
        </w:rPr>
        <w:t>Food and Agriculture Organization database 2020</w:t>
      </w:r>
      <w:r w:rsidRPr="008151B5">
        <w:rPr>
          <w:rFonts w:cs="Times New Roman"/>
          <w:highlight w:val="yellow"/>
        </w:rPr>
        <w:t>. Rome, Italy: FAO.</w:t>
      </w:r>
    </w:p>
    <w:p w14:paraId="0A26D876"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Gary E. Harman, Franken, P., Berg, G., et al. (2021). Microbial mechanisms for plant growth promotion and disease control by Trichoderma species</w:t>
      </w:r>
      <w:r w:rsidRPr="008151B5">
        <w:rPr>
          <w:rFonts w:cs="Times New Roman"/>
          <w:i/>
          <w:iCs/>
          <w:highlight w:val="yellow"/>
        </w:rPr>
        <w:t>.</w:t>
      </w:r>
      <w:r w:rsidRPr="008151B5">
        <w:rPr>
          <w:rFonts w:cs="Times New Roman"/>
          <w:highlight w:val="yellow"/>
        </w:rPr>
        <w:t xml:space="preserve"> </w:t>
      </w:r>
      <w:r w:rsidRPr="008151B5">
        <w:rPr>
          <w:rFonts w:cs="Times New Roman"/>
          <w:i/>
          <w:iCs/>
          <w:highlight w:val="yellow"/>
        </w:rPr>
        <w:t>Frontiers in Plant Science,</w:t>
      </w:r>
      <w:r w:rsidRPr="008151B5">
        <w:rPr>
          <w:rFonts w:cs="Times New Roman"/>
          <w:highlight w:val="yellow"/>
        </w:rPr>
        <w:t xml:space="preserve"> 12, 682.</w:t>
      </w:r>
    </w:p>
    <w:p w14:paraId="0F4ADB8C"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lastRenderedPageBreak/>
        <w:t xml:space="preserve">Ghosh, U. K., Islam, M. N., Siddiqui, M. N., &amp; Khan, M. A. R. (2021). Understanding the roles of osmolytes for acclimatizing plants to changing environment: A review of potential mechanism. </w:t>
      </w:r>
      <w:r w:rsidRPr="008151B5">
        <w:rPr>
          <w:rFonts w:cs="Times New Roman"/>
          <w:i/>
          <w:iCs/>
          <w:highlight w:val="yellow"/>
        </w:rPr>
        <w:t xml:space="preserve">Plant </w:t>
      </w:r>
      <w:proofErr w:type="spellStart"/>
      <w:r w:rsidRPr="008151B5">
        <w:rPr>
          <w:rFonts w:cs="Times New Roman"/>
          <w:i/>
          <w:iCs/>
          <w:highlight w:val="yellow"/>
        </w:rPr>
        <w:t>Signaling</w:t>
      </w:r>
      <w:proofErr w:type="spellEnd"/>
      <w:r w:rsidRPr="008151B5">
        <w:rPr>
          <w:rFonts w:cs="Times New Roman"/>
          <w:i/>
          <w:iCs/>
          <w:highlight w:val="yellow"/>
        </w:rPr>
        <w:t xml:space="preserve"> &amp; </w:t>
      </w:r>
      <w:proofErr w:type="spellStart"/>
      <w:r w:rsidRPr="008151B5">
        <w:rPr>
          <w:rFonts w:cs="Times New Roman"/>
          <w:i/>
          <w:iCs/>
          <w:highlight w:val="yellow"/>
        </w:rPr>
        <w:t>Behavior</w:t>
      </w:r>
      <w:proofErr w:type="spellEnd"/>
      <w:r w:rsidRPr="008151B5">
        <w:rPr>
          <w:rFonts w:cs="Times New Roman"/>
          <w:i/>
          <w:iCs/>
          <w:highlight w:val="yellow"/>
        </w:rPr>
        <w:t>, 16</w:t>
      </w:r>
      <w:r w:rsidRPr="008151B5">
        <w:rPr>
          <w:rFonts w:cs="Times New Roman"/>
          <w:highlight w:val="yellow"/>
        </w:rPr>
        <w:t>, 1913306.</w:t>
      </w:r>
    </w:p>
    <w:p w14:paraId="45D53192"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Giannopolitis</w:t>
      </w:r>
      <w:proofErr w:type="spellEnd"/>
      <w:r w:rsidRPr="008151B5">
        <w:rPr>
          <w:rFonts w:cs="Times New Roman"/>
          <w:highlight w:val="yellow"/>
        </w:rPr>
        <w:t xml:space="preserve">, C. N., &amp; Ries, S. K. (1977). Superoxide </w:t>
      </w:r>
      <w:proofErr w:type="spellStart"/>
      <w:r w:rsidRPr="008151B5">
        <w:rPr>
          <w:rFonts w:cs="Times New Roman"/>
          <w:highlight w:val="yellow"/>
        </w:rPr>
        <w:t>dismutases</w:t>
      </w:r>
      <w:proofErr w:type="spellEnd"/>
      <w:r w:rsidRPr="008151B5">
        <w:rPr>
          <w:rFonts w:cs="Times New Roman"/>
          <w:highlight w:val="yellow"/>
        </w:rPr>
        <w:t xml:space="preserve">: I. Occurrence in higher plants. </w:t>
      </w:r>
      <w:r w:rsidRPr="008151B5">
        <w:rPr>
          <w:rFonts w:cs="Times New Roman"/>
          <w:i/>
          <w:iCs/>
          <w:highlight w:val="yellow"/>
        </w:rPr>
        <w:t>Plant Physiology, 59</w:t>
      </w:r>
      <w:r w:rsidRPr="008151B5">
        <w:rPr>
          <w:rFonts w:cs="Times New Roman"/>
          <w:highlight w:val="yellow"/>
        </w:rPr>
        <w:t>, 309–314.</w:t>
      </w:r>
    </w:p>
    <w:p w14:paraId="1EDB9238"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Giannopolitis</w:t>
      </w:r>
      <w:proofErr w:type="spellEnd"/>
      <w:r w:rsidRPr="008151B5">
        <w:rPr>
          <w:rFonts w:cs="Times New Roman"/>
          <w:highlight w:val="yellow"/>
        </w:rPr>
        <w:t xml:space="preserve">, C. N., &amp; Ries, S. K. (1977). Superoxide </w:t>
      </w:r>
      <w:proofErr w:type="spellStart"/>
      <w:r w:rsidRPr="008151B5">
        <w:rPr>
          <w:rFonts w:cs="Times New Roman"/>
          <w:highlight w:val="yellow"/>
        </w:rPr>
        <w:t>dismutases</w:t>
      </w:r>
      <w:proofErr w:type="spellEnd"/>
      <w:r w:rsidRPr="008151B5">
        <w:rPr>
          <w:rFonts w:cs="Times New Roman"/>
          <w:highlight w:val="yellow"/>
        </w:rPr>
        <w:t xml:space="preserve">: II. Purification and quantitative relationship with water-soluble protein in seedlings. </w:t>
      </w:r>
      <w:r w:rsidRPr="008151B5">
        <w:rPr>
          <w:rFonts w:cs="Times New Roman"/>
          <w:i/>
          <w:iCs/>
          <w:highlight w:val="yellow"/>
        </w:rPr>
        <w:t>Plant Physiology, 59</w:t>
      </w:r>
      <w:r w:rsidRPr="008151B5">
        <w:rPr>
          <w:rFonts w:cs="Times New Roman"/>
          <w:highlight w:val="yellow"/>
        </w:rPr>
        <w:t>(2), 315–318.</w:t>
      </w:r>
    </w:p>
    <w:p w14:paraId="68854290"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Gupta, A., Rico-Medina, A., &amp; Caño-Delgado, A. I. (2020). The physiology of plant responses to drought. </w:t>
      </w:r>
      <w:r w:rsidRPr="008151B5">
        <w:rPr>
          <w:rFonts w:cs="Times New Roman"/>
          <w:i/>
          <w:iCs/>
          <w:highlight w:val="yellow"/>
        </w:rPr>
        <w:t>Science, 368</w:t>
      </w:r>
      <w:r w:rsidRPr="008151B5">
        <w:rPr>
          <w:rFonts w:cs="Times New Roman"/>
          <w:highlight w:val="yellow"/>
        </w:rPr>
        <w:t>, 266–269.</w:t>
      </w:r>
    </w:p>
    <w:p w14:paraId="5B576E72" w14:textId="77777777" w:rsidR="00F84517" w:rsidRPr="008151B5" w:rsidRDefault="00F84517" w:rsidP="008151B5">
      <w:pPr>
        <w:pStyle w:val="ListParagraph"/>
        <w:numPr>
          <w:ilvl w:val="0"/>
          <w:numId w:val="4"/>
        </w:numPr>
        <w:spacing w:after="0" w:line="360" w:lineRule="auto"/>
        <w:jc w:val="both"/>
        <w:rPr>
          <w:rFonts w:cs="Times New Roman"/>
          <w:highlight w:val="yellow"/>
        </w:rPr>
      </w:pPr>
      <w:hyperlink r:id="rId27" w:anchor="bbib40" w:history="1">
        <w:r w:rsidRPr="008151B5">
          <w:rPr>
            <w:rStyle w:val="Hyperlink"/>
            <w:rFonts w:cs="Times New Roman"/>
            <w:sz w:val="22"/>
            <w:highlight w:val="yellow"/>
          </w:rPr>
          <w:t>Harman et al., 2021</w:t>
        </w:r>
      </w:hyperlink>
      <w:r w:rsidRPr="008151B5">
        <w:rPr>
          <w:rFonts w:cs="Times New Roman"/>
          <w:highlight w:val="yellow"/>
        </w:rPr>
        <w:t xml:space="preserve"> G. Harman, F. Doni, R. Khadka, N. Uphoff Endophytic strains of </w:t>
      </w:r>
      <w:r w:rsidRPr="008151B5">
        <w:rPr>
          <w:rFonts w:cs="Times New Roman"/>
          <w:i/>
          <w:iCs/>
          <w:highlight w:val="yellow"/>
        </w:rPr>
        <w:t>Trichoderma</w:t>
      </w:r>
      <w:r w:rsidRPr="008151B5">
        <w:rPr>
          <w:rFonts w:cs="Times New Roman"/>
          <w:highlight w:val="yellow"/>
        </w:rPr>
        <w:t xml:space="preserve"> increase plants photosynthetic capability J. Appl. </w:t>
      </w:r>
      <w:proofErr w:type="spellStart"/>
      <w:r w:rsidRPr="008151B5">
        <w:rPr>
          <w:rFonts w:cs="Times New Roman"/>
          <w:highlight w:val="yellow"/>
        </w:rPr>
        <w:t>Microbiol</w:t>
      </w:r>
      <w:proofErr w:type="spellEnd"/>
      <w:r w:rsidRPr="008151B5">
        <w:rPr>
          <w:rFonts w:cs="Times New Roman"/>
          <w:highlight w:val="yellow"/>
        </w:rPr>
        <w:t xml:space="preserve">., 130 (2021), pp. 529-546, </w:t>
      </w:r>
      <w:hyperlink r:id="rId28" w:tgtFrame="_blank" w:history="1">
        <w:r w:rsidRPr="008151B5">
          <w:rPr>
            <w:rStyle w:val="Hyperlink"/>
            <w:rFonts w:cs="Times New Roman"/>
            <w:sz w:val="22"/>
            <w:highlight w:val="yellow"/>
          </w:rPr>
          <w:t>10.1111/jam.14368</w:t>
        </w:r>
      </w:hyperlink>
    </w:p>
    <w:p w14:paraId="4434E6FA"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Harman, G. E., Petzoldt, R., Comis, A., &amp; Chen, J. (2021). Interactions between Trichoderma </w:t>
      </w:r>
      <w:proofErr w:type="spellStart"/>
      <w:r w:rsidRPr="008151B5">
        <w:rPr>
          <w:rFonts w:cs="Times New Roman"/>
          <w:highlight w:val="yellow"/>
        </w:rPr>
        <w:t>harzianum</w:t>
      </w:r>
      <w:proofErr w:type="spellEnd"/>
      <w:r w:rsidRPr="008151B5">
        <w:rPr>
          <w:rFonts w:cs="Times New Roman"/>
          <w:highlight w:val="yellow"/>
        </w:rPr>
        <w:t xml:space="preserve"> strain T22 and maize inbred line Mo17 and effects of these interactions on diseases caused by Pythium </w:t>
      </w:r>
      <w:proofErr w:type="spellStart"/>
      <w:r w:rsidRPr="008151B5">
        <w:rPr>
          <w:rFonts w:cs="Times New Roman"/>
          <w:highlight w:val="yellow"/>
        </w:rPr>
        <w:t>ultimum</w:t>
      </w:r>
      <w:proofErr w:type="spellEnd"/>
      <w:r w:rsidRPr="008151B5">
        <w:rPr>
          <w:rFonts w:cs="Times New Roman"/>
          <w:highlight w:val="yellow"/>
        </w:rPr>
        <w:t xml:space="preserve"> and Colletotrichum </w:t>
      </w:r>
      <w:proofErr w:type="spellStart"/>
      <w:r w:rsidRPr="008151B5">
        <w:rPr>
          <w:rFonts w:cs="Times New Roman"/>
          <w:highlight w:val="yellow"/>
        </w:rPr>
        <w:t>graminicola</w:t>
      </w:r>
      <w:proofErr w:type="spellEnd"/>
      <w:r w:rsidRPr="008151B5">
        <w:rPr>
          <w:rFonts w:cs="Times New Roman"/>
          <w:highlight w:val="yellow"/>
        </w:rPr>
        <w:t xml:space="preserve">. </w:t>
      </w:r>
      <w:r w:rsidRPr="008151B5">
        <w:rPr>
          <w:rFonts w:cs="Times New Roman"/>
          <w:i/>
          <w:iCs/>
          <w:highlight w:val="yellow"/>
        </w:rPr>
        <w:t>Phytopathology,</w:t>
      </w:r>
      <w:r w:rsidRPr="008151B5">
        <w:rPr>
          <w:rFonts w:cs="Times New Roman"/>
          <w:highlight w:val="yellow"/>
        </w:rPr>
        <w:t xml:space="preserve"> 111(6), 927–935.</w:t>
      </w:r>
    </w:p>
    <w:p w14:paraId="3C8DDD50"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Hasanuzzaman</w:t>
      </w:r>
      <w:proofErr w:type="spellEnd"/>
      <w:r w:rsidRPr="008151B5">
        <w:rPr>
          <w:rFonts w:cs="Times New Roman"/>
          <w:highlight w:val="yellow"/>
        </w:rPr>
        <w:t xml:space="preserve">, M., Shabala, L., Brodribb, T. J., Zhou, M., &amp; Shabala, S. (2022). Understanding the role of physiological and agronomical traits during drought recovery as a determinant of differential drought stress tolerance in barley. </w:t>
      </w:r>
      <w:r w:rsidRPr="008151B5">
        <w:rPr>
          <w:rFonts w:cs="Times New Roman"/>
          <w:i/>
          <w:iCs/>
          <w:highlight w:val="yellow"/>
        </w:rPr>
        <w:t>Agronomy, 12</w:t>
      </w:r>
      <w:r w:rsidRPr="008151B5">
        <w:rPr>
          <w:rFonts w:cs="Times New Roman"/>
          <w:highlight w:val="yellow"/>
        </w:rPr>
        <w:t>(9), 2136.</w:t>
      </w:r>
    </w:p>
    <w:p w14:paraId="29700D65"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Hashem, A., </w:t>
      </w:r>
      <w:proofErr w:type="spellStart"/>
      <w:r w:rsidRPr="008151B5">
        <w:rPr>
          <w:rFonts w:cs="Times New Roman"/>
          <w:highlight w:val="yellow"/>
        </w:rPr>
        <w:t>Abd_Allah</w:t>
      </w:r>
      <w:proofErr w:type="spellEnd"/>
      <w:r w:rsidRPr="008151B5">
        <w:rPr>
          <w:rFonts w:cs="Times New Roman"/>
          <w:highlight w:val="yellow"/>
        </w:rPr>
        <w:t xml:space="preserve">, E. F., </w:t>
      </w:r>
      <w:proofErr w:type="spellStart"/>
      <w:r w:rsidRPr="008151B5">
        <w:rPr>
          <w:rFonts w:cs="Times New Roman"/>
          <w:highlight w:val="yellow"/>
        </w:rPr>
        <w:t>Alqarawi</w:t>
      </w:r>
      <w:proofErr w:type="spellEnd"/>
      <w:r w:rsidRPr="008151B5">
        <w:rPr>
          <w:rFonts w:cs="Times New Roman"/>
          <w:highlight w:val="yellow"/>
        </w:rPr>
        <w:t xml:space="preserve">, A. A., &amp; Wirth, S. (2019). Biochar and </w:t>
      </w:r>
      <w:r w:rsidRPr="008151B5">
        <w:rPr>
          <w:rFonts w:cs="Times New Roman"/>
          <w:i/>
          <w:iCs/>
          <w:highlight w:val="yellow"/>
        </w:rPr>
        <w:t>Trichoderma</w:t>
      </w:r>
      <w:r w:rsidRPr="008151B5">
        <w:rPr>
          <w:rFonts w:cs="Times New Roman"/>
          <w:highlight w:val="yellow"/>
        </w:rPr>
        <w:t xml:space="preserve"> enhance plant growth and antioxidant </w:t>
      </w:r>
      <w:proofErr w:type="spellStart"/>
      <w:r w:rsidRPr="008151B5">
        <w:rPr>
          <w:rFonts w:cs="Times New Roman"/>
          <w:highlight w:val="yellow"/>
        </w:rPr>
        <w:t>defense</w:t>
      </w:r>
      <w:proofErr w:type="spellEnd"/>
      <w:r w:rsidRPr="008151B5">
        <w:rPr>
          <w:rFonts w:cs="Times New Roman"/>
          <w:highlight w:val="yellow"/>
        </w:rPr>
        <w:t xml:space="preserve"> under stress conditions. </w:t>
      </w:r>
      <w:r w:rsidRPr="008151B5">
        <w:rPr>
          <w:rFonts w:cs="Times New Roman"/>
          <w:i/>
          <w:iCs/>
          <w:highlight w:val="yellow"/>
        </w:rPr>
        <w:t>Saudi Journal of Biological Sciences, 26</w:t>
      </w:r>
      <w:r w:rsidRPr="008151B5">
        <w:rPr>
          <w:rFonts w:cs="Times New Roman"/>
          <w:highlight w:val="yellow"/>
        </w:rPr>
        <w:t xml:space="preserve">(7), 1717–1723. </w:t>
      </w:r>
      <w:hyperlink r:id="rId29" w:tgtFrame="_new" w:history="1">
        <w:r w:rsidRPr="008151B5">
          <w:rPr>
            <w:rStyle w:val="Hyperlink"/>
            <w:rFonts w:cs="Times New Roman"/>
            <w:sz w:val="22"/>
            <w:highlight w:val="yellow"/>
          </w:rPr>
          <w:t>https://doi.org/10.1016/j.sjbs.2019.05.005</w:t>
        </w:r>
      </w:hyperlink>
    </w:p>
    <w:p w14:paraId="4ABEB288"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Hewavitharana</w:t>
      </w:r>
      <w:proofErr w:type="spellEnd"/>
      <w:r w:rsidRPr="008151B5">
        <w:rPr>
          <w:rFonts w:cs="Times New Roman"/>
          <w:highlight w:val="yellow"/>
        </w:rPr>
        <w:t xml:space="preserve">, N., Jayasekara, C., &amp; </w:t>
      </w:r>
      <w:proofErr w:type="spellStart"/>
      <w:r w:rsidRPr="008151B5">
        <w:rPr>
          <w:rFonts w:cs="Times New Roman"/>
          <w:highlight w:val="yellow"/>
        </w:rPr>
        <w:t>Somaratne</w:t>
      </w:r>
      <w:proofErr w:type="spellEnd"/>
      <w:r w:rsidRPr="008151B5">
        <w:rPr>
          <w:rFonts w:cs="Times New Roman"/>
          <w:highlight w:val="yellow"/>
        </w:rPr>
        <w:t xml:space="preserve">, S. (2018). Use of </w:t>
      </w:r>
      <w:r w:rsidRPr="008151B5">
        <w:rPr>
          <w:rFonts w:cs="Times New Roman"/>
          <w:i/>
          <w:iCs/>
          <w:highlight w:val="yellow"/>
        </w:rPr>
        <w:t>Trichoderma</w:t>
      </w:r>
      <w:r w:rsidRPr="008151B5">
        <w:rPr>
          <w:rFonts w:cs="Times New Roman"/>
          <w:highlight w:val="yellow"/>
        </w:rPr>
        <w:t xml:space="preserve"> spp. for biological control of plant pathogens: A review. </w:t>
      </w:r>
      <w:r w:rsidRPr="008151B5">
        <w:rPr>
          <w:rFonts w:cs="Times New Roman"/>
          <w:i/>
          <w:iCs/>
          <w:highlight w:val="yellow"/>
        </w:rPr>
        <w:t>International Journal of Applied Sciences and Biotechnology</w:t>
      </w:r>
      <w:r w:rsidRPr="008151B5">
        <w:rPr>
          <w:rFonts w:cs="Times New Roman"/>
          <w:highlight w:val="yellow"/>
        </w:rPr>
        <w:t xml:space="preserve">, 6(4), 285–293. </w:t>
      </w:r>
      <w:hyperlink r:id="rId30" w:history="1">
        <w:r w:rsidRPr="008151B5">
          <w:rPr>
            <w:rStyle w:val="Hyperlink"/>
            <w:rFonts w:cs="Times New Roman"/>
            <w:sz w:val="22"/>
            <w:highlight w:val="yellow"/>
          </w:rPr>
          <w:t>https://doi.org/10.3126/ijasbt.v6i4.22128</w:t>
        </w:r>
      </w:hyperlink>
    </w:p>
    <w:p w14:paraId="10D3F941"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lang w:val="fr-FR"/>
        </w:rPr>
        <w:t xml:space="preserve">Hossain, M. Z., Bahar, M. M., Sarkar, B., Donne, S. W., Ok, Y. S., </w:t>
      </w:r>
      <w:proofErr w:type="spellStart"/>
      <w:r w:rsidRPr="008151B5">
        <w:rPr>
          <w:rFonts w:cs="Times New Roman"/>
          <w:highlight w:val="yellow"/>
          <w:lang w:val="fr-FR"/>
        </w:rPr>
        <w:t>Palansooriya</w:t>
      </w:r>
      <w:proofErr w:type="spellEnd"/>
      <w:r w:rsidRPr="008151B5">
        <w:rPr>
          <w:rFonts w:cs="Times New Roman"/>
          <w:highlight w:val="yellow"/>
          <w:lang w:val="fr-FR"/>
        </w:rPr>
        <w:t xml:space="preserve">, K. N., … Bolan, N. (2020). </w:t>
      </w:r>
      <w:r w:rsidRPr="008151B5">
        <w:rPr>
          <w:rFonts w:cs="Times New Roman"/>
          <w:highlight w:val="yellow"/>
        </w:rPr>
        <w:t xml:space="preserve">Biochar and its importance on nutrient dynamics in soil and plant. </w:t>
      </w:r>
      <w:r w:rsidRPr="008151B5">
        <w:rPr>
          <w:rFonts w:cs="Times New Roman"/>
          <w:i/>
          <w:iCs/>
          <w:highlight w:val="yellow"/>
        </w:rPr>
        <w:t>Biochar, 2</w:t>
      </w:r>
      <w:r w:rsidRPr="008151B5">
        <w:rPr>
          <w:rFonts w:cs="Times New Roman"/>
          <w:highlight w:val="yellow"/>
        </w:rPr>
        <w:t>(4), 379–420.</w:t>
      </w:r>
    </w:p>
    <w:p w14:paraId="2F0DF10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lang w:val="fr-FR"/>
        </w:rPr>
        <w:t xml:space="preserve">Hossain, M. Z., Bahar, M. M., Sarkar, B., Donne, S. W., Ok, Y. S., </w:t>
      </w:r>
      <w:proofErr w:type="spellStart"/>
      <w:r w:rsidRPr="008151B5">
        <w:rPr>
          <w:rFonts w:cs="Times New Roman"/>
          <w:highlight w:val="yellow"/>
          <w:lang w:val="fr-FR"/>
        </w:rPr>
        <w:t>Palansooriya</w:t>
      </w:r>
      <w:proofErr w:type="spellEnd"/>
      <w:r w:rsidRPr="008151B5">
        <w:rPr>
          <w:rFonts w:cs="Times New Roman"/>
          <w:highlight w:val="yellow"/>
          <w:lang w:val="fr-FR"/>
        </w:rPr>
        <w:t xml:space="preserve">, K. N., ... &amp; Bolan, N. (2020). </w:t>
      </w:r>
      <w:r w:rsidRPr="008151B5">
        <w:rPr>
          <w:rFonts w:cs="Times New Roman"/>
          <w:highlight w:val="yellow"/>
        </w:rPr>
        <w:t xml:space="preserve">Biochar and its importance on nutrient dynamics in soil and plant. </w:t>
      </w:r>
      <w:r w:rsidRPr="008151B5">
        <w:rPr>
          <w:rFonts w:cs="Times New Roman"/>
          <w:i/>
          <w:iCs/>
          <w:highlight w:val="yellow"/>
        </w:rPr>
        <w:t>Biochar</w:t>
      </w:r>
      <w:r w:rsidRPr="008151B5">
        <w:rPr>
          <w:rFonts w:cs="Times New Roman"/>
          <w:highlight w:val="yellow"/>
        </w:rPr>
        <w:t xml:space="preserve">, </w:t>
      </w:r>
      <w:r w:rsidRPr="008151B5">
        <w:rPr>
          <w:rFonts w:cs="Times New Roman"/>
          <w:i/>
          <w:iCs/>
          <w:highlight w:val="yellow"/>
        </w:rPr>
        <w:t>2</w:t>
      </w:r>
      <w:r w:rsidRPr="008151B5">
        <w:rPr>
          <w:rFonts w:cs="Times New Roman"/>
          <w:highlight w:val="yellow"/>
        </w:rPr>
        <w:t>(4), 379-420.</w:t>
      </w:r>
    </w:p>
    <w:p w14:paraId="44E47F25"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Hossain, M. Z., Bahar, M. M., Sarkar, B., Donne, S. W., Ok, Y. S., </w:t>
      </w:r>
      <w:proofErr w:type="spellStart"/>
      <w:r w:rsidRPr="008151B5">
        <w:rPr>
          <w:rFonts w:cs="Times New Roman"/>
          <w:highlight w:val="yellow"/>
        </w:rPr>
        <w:t>Palansooriya</w:t>
      </w:r>
      <w:proofErr w:type="spellEnd"/>
      <w:r w:rsidRPr="008151B5">
        <w:rPr>
          <w:rFonts w:cs="Times New Roman"/>
          <w:highlight w:val="yellow"/>
        </w:rPr>
        <w:t xml:space="preserve">, K. N., ... &amp; Bolan, N. (2020). Biochar and its importance on nutrient dynamics in soil and plant. </w:t>
      </w:r>
      <w:r w:rsidRPr="008151B5">
        <w:rPr>
          <w:rFonts w:cs="Times New Roman"/>
          <w:i/>
          <w:iCs/>
          <w:highlight w:val="yellow"/>
        </w:rPr>
        <w:t>Biochar</w:t>
      </w:r>
      <w:r w:rsidRPr="008151B5">
        <w:rPr>
          <w:rFonts w:cs="Times New Roman"/>
          <w:highlight w:val="yellow"/>
        </w:rPr>
        <w:t xml:space="preserve">, </w:t>
      </w:r>
      <w:r w:rsidRPr="008151B5">
        <w:rPr>
          <w:rFonts w:cs="Times New Roman"/>
          <w:i/>
          <w:iCs/>
          <w:highlight w:val="yellow"/>
        </w:rPr>
        <w:t>2</w:t>
      </w:r>
      <w:r w:rsidRPr="008151B5">
        <w:rPr>
          <w:rFonts w:cs="Times New Roman"/>
          <w:highlight w:val="yellow"/>
        </w:rPr>
        <w:t>(4), 379-420.</w:t>
      </w:r>
    </w:p>
    <w:p w14:paraId="0CEE93F9"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proofErr w:type="gramStart"/>
      <w:r w:rsidRPr="008151B5">
        <w:rPr>
          <w:rFonts w:cs="Times New Roman"/>
          <w:highlight w:val="yellow"/>
        </w:rPr>
        <w:lastRenderedPageBreak/>
        <w:t>HussainS.SharifM.AhmadW</w:t>
      </w:r>
      <w:proofErr w:type="spellEnd"/>
      <w:proofErr w:type="gramEnd"/>
      <w:r w:rsidRPr="008151B5">
        <w:rPr>
          <w:rFonts w:cs="Times New Roman"/>
          <w:highlight w:val="yellow"/>
        </w:rPr>
        <w:t xml:space="preserve">. (2021). Selection of efficient phosphorus solubilizing bacteria strains and mycorrhiza for enhanced cereal growth, root microbe status, and N and P uptake in alkaline calcareous soil. </w:t>
      </w:r>
      <w:r w:rsidRPr="008151B5">
        <w:rPr>
          <w:rFonts w:cs="Times New Roman"/>
          <w:i/>
          <w:iCs/>
          <w:highlight w:val="yellow"/>
        </w:rPr>
        <w:t>Soil Sci. Plant Nutr.</w:t>
      </w:r>
      <w:r w:rsidRPr="008151B5">
        <w:rPr>
          <w:rFonts w:cs="Times New Roman"/>
          <w:highlight w:val="yellow"/>
        </w:rPr>
        <w:t>67, 259–268. 10.1080/00380768.2021.1904793</w:t>
      </w:r>
    </w:p>
    <w:p w14:paraId="37AF6FA7"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lang w:val="fr-FR"/>
        </w:rPr>
        <w:t xml:space="preserve">Iatrou, M., Papadopoulos, A., Papadopoulos, F., </w:t>
      </w:r>
      <w:proofErr w:type="spellStart"/>
      <w:r w:rsidRPr="008151B5">
        <w:rPr>
          <w:rFonts w:cs="Times New Roman"/>
          <w:highlight w:val="yellow"/>
          <w:lang w:val="fr-FR"/>
        </w:rPr>
        <w:t>Dichala</w:t>
      </w:r>
      <w:proofErr w:type="spellEnd"/>
      <w:r w:rsidRPr="008151B5">
        <w:rPr>
          <w:rFonts w:cs="Times New Roman"/>
          <w:highlight w:val="yellow"/>
          <w:lang w:val="fr-FR"/>
        </w:rPr>
        <w:t xml:space="preserve">, O., </w:t>
      </w:r>
      <w:proofErr w:type="spellStart"/>
      <w:r w:rsidRPr="008151B5">
        <w:rPr>
          <w:rFonts w:cs="Times New Roman"/>
          <w:highlight w:val="yellow"/>
          <w:lang w:val="fr-FR"/>
        </w:rPr>
        <w:t>Psoma</w:t>
      </w:r>
      <w:proofErr w:type="spellEnd"/>
      <w:r w:rsidRPr="008151B5">
        <w:rPr>
          <w:rFonts w:cs="Times New Roman"/>
          <w:highlight w:val="yellow"/>
          <w:lang w:val="fr-FR"/>
        </w:rPr>
        <w:t xml:space="preserve">, P., &amp; </w:t>
      </w:r>
      <w:proofErr w:type="spellStart"/>
      <w:r w:rsidRPr="008151B5">
        <w:rPr>
          <w:rFonts w:cs="Times New Roman"/>
          <w:highlight w:val="yellow"/>
          <w:lang w:val="fr-FR"/>
        </w:rPr>
        <w:t>Bountla</w:t>
      </w:r>
      <w:proofErr w:type="spellEnd"/>
      <w:r w:rsidRPr="008151B5">
        <w:rPr>
          <w:rFonts w:cs="Times New Roman"/>
          <w:highlight w:val="yellow"/>
          <w:lang w:val="fr-FR"/>
        </w:rPr>
        <w:t xml:space="preserve">, A. (2014). </w:t>
      </w:r>
      <w:r w:rsidRPr="008151B5">
        <w:rPr>
          <w:rFonts w:cs="Times New Roman"/>
          <w:highlight w:val="yellow"/>
        </w:rPr>
        <w:t xml:space="preserve">Determination of soil available phosphorus using the Olsen and </w:t>
      </w:r>
      <w:proofErr w:type="spellStart"/>
      <w:r w:rsidRPr="008151B5">
        <w:rPr>
          <w:rFonts w:cs="Times New Roman"/>
          <w:highlight w:val="yellow"/>
        </w:rPr>
        <w:t>Mehlich</w:t>
      </w:r>
      <w:proofErr w:type="spellEnd"/>
      <w:r w:rsidRPr="008151B5">
        <w:rPr>
          <w:rFonts w:cs="Times New Roman"/>
          <w:highlight w:val="yellow"/>
        </w:rPr>
        <w:t xml:space="preserve"> 3 methods for Greek soils having variable amounts of calcium carbonate. </w:t>
      </w:r>
      <w:r w:rsidRPr="008151B5">
        <w:rPr>
          <w:rFonts w:cs="Times New Roman"/>
          <w:i/>
          <w:iCs/>
          <w:highlight w:val="yellow"/>
        </w:rPr>
        <w:t>Communications in Soil Science and Plant Analysis, 45</w:t>
      </w:r>
      <w:r w:rsidRPr="008151B5">
        <w:rPr>
          <w:rFonts w:cs="Times New Roman"/>
          <w:highlight w:val="yellow"/>
        </w:rPr>
        <w:t>(16), 2207–2214.</w:t>
      </w:r>
    </w:p>
    <w:p w14:paraId="605B3C59"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Jackson, M. L. (1968). </w:t>
      </w:r>
      <w:r w:rsidRPr="008151B5">
        <w:rPr>
          <w:rFonts w:cs="Times New Roman"/>
          <w:i/>
          <w:iCs/>
          <w:highlight w:val="yellow"/>
        </w:rPr>
        <w:t>Soil chemical analysis; advanced course</w:t>
      </w:r>
      <w:r w:rsidRPr="008151B5">
        <w:rPr>
          <w:rFonts w:cs="Times New Roman"/>
          <w:highlight w:val="yellow"/>
        </w:rPr>
        <w:t>. Department of Soil Science, University of Wisconsin, Madison, WI.</w:t>
      </w:r>
    </w:p>
    <w:p w14:paraId="272704A4"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Jeffery, S., </w:t>
      </w:r>
      <w:proofErr w:type="spellStart"/>
      <w:r w:rsidRPr="008151B5">
        <w:rPr>
          <w:rFonts w:cs="Times New Roman"/>
          <w:highlight w:val="yellow"/>
        </w:rPr>
        <w:t>Memelink</w:t>
      </w:r>
      <w:proofErr w:type="spellEnd"/>
      <w:r w:rsidRPr="008151B5">
        <w:rPr>
          <w:rFonts w:cs="Times New Roman"/>
          <w:highlight w:val="yellow"/>
        </w:rPr>
        <w:t xml:space="preserve">, I., Hodgson, E., Jones, S., Van De Voorde, T. F., Martijn Bezemer, T., ... &amp; Van </w:t>
      </w:r>
      <w:proofErr w:type="spellStart"/>
      <w:r w:rsidRPr="008151B5">
        <w:rPr>
          <w:rFonts w:cs="Times New Roman"/>
          <w:highlight w:val="yellow"/>
        </w:rPr>
        <w:t>Groenigen</w:t>
      </w:r>
      <w:proofErr w:type="spellEnd"/>
      <w:r w:rsidRPr="008151B5">
        <w:rPr>
          <w:rFonts w:cs="Times New Roman"/>
          <w:highlight w:val="yellow"/>
        </w:rPr>
        <w:t xml:space="preserve">, J. W. (2017). Initial biochar effects on plant productivity derive from N fertilization. </w:t>
      </w:r>
      <w:r w:rsidRPr="008151B5">
        <w:rPr>
          <w:rFonts w:cs="Times New Roman"/>
          <w:i/>
          <w:iCs/>
          <w:highlight w:val="yellow"/>
        </w:rPr>
        <w:t>Plant and Soil</w:t>
      </w:r>
      <w:r w:rsidRPr="008151B5">
        <w:rPr>
          <w:rFonts w:cs="Times New Roman"/>
          <w:highlight w:val="yellow"/>
        </w:rPr>
        <w:t xml:space="preserve">, </w:t>
      </w:r>
      <w:r w:rsidRPr="008151B5">
        <w:rPr>
          <w:rFonts w:cs="Times New Roman"/>
          <w:i/>
          <w:iCs/>
          <w:highlight w:val="yellow"/>
        </w:rPr>
        <w:t>415</w:t>
      </w:r>
      <w:r w:rsidRPr="008151B5">
        <w:rPr>
          <w:rFonts w:cs="Times New Roman"/>
          <w:highlight w:val="yellow"/>
        </w:rPr>
        <w:t>(1), 435-448.</w:t>
      </w:r>
    </w:p>
    <w:p w14:paraId="1EE9C70B"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Ji, K., Wang, Y., Sun, W., Lou, Q., Mei, H., Shen, S., &amp; Chen, H. (2012). Drought-responsive mechanisms in rice genotypes with contrasting drought tolerance during reproductive stage. </w:t>
      </w:r>
      <w:r w:rsidRPr="008151B5">
        <w:rPr>
          <w:rFonts w:cs="Times New Roman"/>
          <w:i/>
          <w:iCs/>
          <w:highlight w:val="yellow"/>
        </w:rPr>
        <w:t>Journal of Plant Physiology</w:t>
      </w:r>
      <w:r w:rsidRPr="008151B5">
        <w:rPr>
          <w:rFonts w:cs="Times New Roman"/>
          <w:highlight w:val="yellow"/>
        </w:rPr>
        <w:t xml:space="preserve">, 169(1), 53–63. </w:t>
      </w:r>
      <w:hyperlink r:id="rId31" w:history="1">
        <w:r w:rsidRPr="008151B5">
          <w:rPr>
            <w:rStyle w:val="Hyperlink"/>
            <w:rFonts w:cs="Times New Roman"/>
            <w:sz w:val="22"/>
            <w:highlight w:val="yellow"/>
          </w:rPr>
          <w:t>https://doi.org/10.1016/j.jplph.2011.08.012</w:t>
        </w:r>
      </w:hyperlink>
    </w:p>
    <w:p w14:paraId="0985C512" w14:textId="77777777" w:rsidR="00F84517" w:rsidRPr="008151B5" w:rsidRDefault="00F84517" w:rsidP="008151B5">
      <w:pPr>
        <w:pStyle w:val="ListParagraph"/>
        <w:numPr>
          <w:ilvl w:val="0"/>
          <w:numId w:val="4"/>
        </w:numPr>
        <w:spacing w:after="0" w:line="360" w:lineRule="auto"/>
        <w:jc w:val="both"/>
        <w:rPr>
          <w:rFonts w:cs="Times New Roman"/>
          <w:highlight w:val="yellow"/>
        </w:rPr>
      </w:pPr>
      <w:bookmarkStart w:id="13" w:name="_Hlk227195317"/>
      <w:proofErr w:type="spellStart"/>
      <w:r w:rsidRPr="008151B5">
        <w:rPr>
          <w:rFonts w:cs="Times New Roman"/>
          <w:highlight w:val="yellow"/>
        </w:rPr>
        <w:t>Jien</w:t>
      </w:r>
      <w:bookmarkEnd w:id="13"/>
      <w:proofErr w:type="spellEnd"/>
      <w:r w:rsidRPr="008151B5">
        <w:rPr>
          <w:rFonts w:cs="Times New Roman"/>
          <w:highlight w:val="yellow"/>
        </w:rPr>
        <w:t xml:space="preserve">, S.-H.; Kuo, Y.-L.; Liao, C.-S.; Wu, Y.-T.; Wu, A.D.; Tsang, D.C.W.; Ok, Y.S. Effects of Field Scale </w:t>
      </w:r>
      <w:proofErr w:type="gramStart"/>
      <w:r w:rsidRPr="008151B5">
        <w:rPr>
          <w:rFonts w:cs="Times New Roman"/>
          <w:highlight w:val="yellow"/>
        </w:rPr>
        <w:t>In</w:t>
      </w:r>
      <w:proofErr w:type="gramEnd"/>
      <w:r w:rsidRPr="008151B5">
        <w:rPr>
          <w:rFonts w:cs="Times New Roman"/>
          <w:highlight w:val="yellow"/>
        </w:rPr>
        <w:t xml:space="preserve"> Situ Biochar Incorporation on Soil Environment in a Tropical Highly Weathered Soil. Environ. </w:t>
      </w:r>
      <w:proofErr w:type="spellStart"/>
      <w:r w:rsidRPr="008151B5">
        <w:rPr>
          <w:rFonts w:cs="Times New Roman"/>
          <w:highlight w:val="yellow"/>
        </w:rPr>
        <w:t>Pollut</w:t>
      </w:r>
      <w:proofErr w:type="spellEnd"/>
      <w:r w:rsidRPr="008151B5">
        <w:rPr>
          <w:rFonts w:cs="Times New Roman"/>
          <w:highlight w:val="yellow"/>
        </w:rPr>
        <w:t>. 2021, 272, 116009. [</w:t>
      </w:r>
      <w:proofErr w:type="spellStart"/>
      <w:r w:rsidRPr="008151B5">
        <w:rPr>
          <w:rFonts w:cs="Times New Roman"/>
          <w:highlight w:val="yellow"/>
        </w:rPr>
        <w:t>CrossRef</w:t>
      </w:r>
      <w:proofErr w:type="spellEnd"/>
      <w:r w:rsidRPr="008151B5">
        <w:rPr>
          <w:rFonts w:cs="Times New Roman"/>
          <w:highlight w:val="yellow"/>
        </w:rPr>
        <w:t>]</w:t>
      </w:r>
    </w:p>
    <w:p w14:paraId="6BE5EF5F"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Johannes Lehmann &amp; Stephen Joseph (2015). Biochar for Environmental Management: Science, Technology and Implementation (2nd ed.). Routledge, London.</w:t>
      </w:r>
    </w:p>
    <w:p w14:paraId="6F1CF350"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Kamran, M., Danish, S., Saleem, M. H., et al. (2020). Biochar alleviates drought stress by improving water and nutrient status in plants. </w:t>
      </w:r>
      <w:r w:rsidRPr="008151B5">
        <w:rPr>
          <w:rFonts w:cs="Times New Roman"/>
          <w:i/>
          <w:iCs/>
          <w:highlight w:val="yellow"/>
        </w:rPr>
        <w:t>Environmental Science and Pollution Research, 27</w:t>
      </w:r>
      <w:r w:rsidRPr="008151B5">
        <w:rPr>
          <w:rFonts w:cs="Times New Roman"/>
          <w:highlight w:val="yellow"/>
        </w:rPr>
        <w:t>, 30672–30682. https://doi.org/10.1007/s11356-020-09360-3</w:t>
      </w:r>
    </w:p>
    <w:p w14:paraId="44AF422B"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Khan, M. A., Basir, A., Shah, S. T., Rehman, M. U., Hassan, M. U., Zheng, H., ... &amp; Mancinelli, R. (2024). Sustainable soil management in alkaline soils: The role of biochar and organic nitrogen in enhancing soil fertility. </w:t>
      </w:r>
      <w:r w:rsidRPr="008151B5">
        <w:rPr>
          <w:rFonts w:cs="Times New Roman"/>
          <w:i/>
          <w:iCs/>
          <w:highlight w:val="yellow"/>
        </w:rPr>
        <w:t>Land</w:t>
      </w:r>
      <w:r w:rsidRPr="008151B5">
        <w:rPr>
          <w:rFonts w:cs="Times New Roman"/>
          <w:highlight w:val="yellow"/>
        </w:rPr>
        <w:t xml:space="preserve">, </w:t>
      </w:r>
      <w:r w:rsidRPr="008151B5">
        <w:rPr>
          <w:rFonts w:cs="Times New Roman"/>
          <w:i/>
          <w:iCs/>
          <w:highlight w:val="yellow"/>
        </w:rPr>
        <w:t>13</w:t>
      </w:r>
      <w:r w:rsidRPr="008151B5">
        <w:rPr>
          <w:rFonts w:cs="Times New Roman"/>
          <w:highlight w:val="yellow"/>
        </w:rPr>
        <w:t>(11), 1869.</w:t>
      </w:r>
    </w:p>
    <w:p w14:paraId="128A3A13"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Kim, K.-H., &amp; Lee, B.-M. (2023). Effects of climate change and drought tolerance on maize growth. </w:t>
      </w:r>
      <w:r w:rsidRPr="008151B5">
        <w:rPr>
          <w:rFonts w:cs="Times New Roman"/>
          <w:i/>
          <w:iCs/>
          <w:highlight w:val="yellow"/>
        </w:rPr>
        <w:t>Plants, 12</w:t>
      </w:r>
      <w:r w:rsidRPr="008151B5">
        <w:rPr>
          <w:rFonts w:cs="Times New Roman"/>
          <w:highlight w:val="yellow"/>
        </w:rPr>
        <w:t>, 3548.</w:t>
      </w:r>
    </w:p>
    <w:p w14:paraId="5BE2A532"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Kumar, A., Singh, E., &amp; Lo, S. L. (2024). </w:t>
      </w:r>
      <w:proofErr w:type="spellStart"/>
      <w:r w:rsidRPr="008151B5">
        <w:rPr>
          <w:rFonts w:cs="Times New Roman"/>
          <w:highlight w:val="yellow"/>
        </w:rPr>
        <w:t>MXene</w:t>
      </w:r>
      <w:proofErr w:type="spellEnd"/>
      <w:r w:rsidRPr="008151B5">
        <w:rPr>
          <w:rFonts w:cs="Times New Roman"/>
          <w:highlight w:val="yellow"/>
        </w:rPr>
        <w:t xml:space="preserve">/biochar composites for enhanced wastewater reclamation and bioenergy production: a kinetics and thermodynamics study. </w:t>
      </w:r>
      <w:r w:rsidRPr="008151B5">
        <w:rPr>
          <w:rFonts w:cs="Times New Roman"/>
          <w:i/>
          <w:iCs/>
          <w:highlight w:val="yellow"/>
        </w:rPr>
        <w:t>Chemosphere</w:t>
      </w:r>
      <w:r w:rsidRPr="008151B5">
        <w:rPr>
          <w:rFonts w:cs="Times New Roman"/>
          <w:highlight w:val="yellow"/>
        </w:rPr>
        <w:t xml:space="preserve">, </w:t>
      </w:r>
      <w:r w:rsidRPr="008151B5">
        <w:rPr>
          <w:rFonts w:cs="Times New Roman"/>
          <w:i/>
          <w:iCs/>
          <w:highlight w:val="yellow"/>
        </w:rPr>
        <w:t>359</w:t>
      </w:r>
      <w:r w:rsidRPr="008151B5">
        <w:rPr>
          <w:rFonts w:cs="Times New Roman"/>
          <w:highlight w:val="yellow"/>
        </w:rPr>
        <w:t>, 142268.</w:t>
      </w:r>
    </w:p>
    <w:p w14:paraId="20E85525"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lastRenderedPageBreak/>
        <w:t xml:space="preserve">Kumar, Y., Ren, W., Tao, H., Tao, B., &amp; Lindsey, L. E. (2025). Impact of biochar amendment on soil microbial biomass carbon enhancement under field experiments: a meta-analysis. </w:t>
      </w:r>
      <w:r w:rsidRPr="008151B5">
        <w:rPr>
          <w:rFonts w:cs="Times New Roman"/>
          <w:i/>
          <w:iCs/>
          <w:highlight w:val="yellow"/>
        </w:rPr>
        <w:t>Biochar</w:t>
      </w:r>
      <w:r w:rsidRPr="008151B5">
        <w:rPr>
          <w:rFonts w:cs="Times New Roman"/>
          <w:highlight w:val="yellow"/>
        </w:rPr>
        <w:t xml:space="preserve">, </w:t>
      </w:r>
      <w:r w:rsidRPr="008151B5">
        <w:rPr>
          <w:rFonts w:cs="Times New Roman"/>
          <w:i/>
          <w:iCs/>
          <w:highlight w:val="yellow"/>
        </w:rPr>
        <w:t>7</w:t>
      </w:r>
      <w:r w:rsidRPr="008151B5">
        <w:rPr>
          <w:rFonts w:cs="Times New Roman"/>
          <w:highlight w:val="yellow"/>
        </w:rPr>
        <w:t>(1), 2.</w:t>
      </w:r>
    </w:p>
    <w:p w14:paraId="0C172816"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Laird, D. A., Fleming, P., Davis, D. D., Horton, R., Wang, B., &amp; Karlen, D. L. (2010). Impact of biochar amendments on the quality of a typical Midwestern agricultural soil. </w:t>
      </w:r>
      <w:proofErr w:type="spellStart"/>
      <w:r w:rsidRPr="008151B5">
        <w:rPr>
          <w:rFonts w:cs="Times New Roman"/>
          <w:i/>
          <w:iCs/>
          <w:highlight w:val="yellow"/>
        </w:rPr>
        <w:t>Geoderma</w:t>
      </w:r>
      <w:proofErr w:type="spellEnd"/>
      <w:r w:rsidRPr="008151B5">
        <w:rPr>
          <w:rFonts w:cs="Times New Roman"/>
          <w:i/>
          <w:iCs/>
          <w:highlight w:val="yellow"/>
        </w:rPr>
        <w:t>, 158</w:t>
      </w:r>
      <w:r w:rsidRPr="008151B5">
        <w:rPr>
          <w:rFonts w:cs="Times New Roman"/>
          <w:highlight w:val="yellow"/>
        </w:rPr>
        <w:t>(3–4), 443–449.</w:t>
      </w:r>
    </w:p>
    <w:p w14:paraId="6F699DF2" w14:textId="77777777" w:rsidR="00F84517" w:rsidRPr="008151B5" w:rsidRDefault="00F84517" w:rsidP="008151B5">
      <w:pPr>
        <w:pStyle w:val="ListParagraph"/>
        <w:numPr>
          <w:ilvl w:val="0"/>
          <w:numId w:val="4"/>
        </w:numPr>
        <w:spacing w:after="0" w:line="360" w:lineRule="auto"/>
        <w:jc w:val="both"/>
        <w:rPr>
          <w:rFonts w:cs="Times New Roman"/>
          <w:highlight w:val="yellow"/>
        </w:rPr>
      </w:pPr>
      <w:bookmarkStart w:id="14" w:name="_Hlk227194046"/>
      <w:r w:rsidRPr="008151B5">
        <w:rPr>
          <w:rFonts w:cs="Times New Roman"/>
          <w:highlight w:val="yellow"/>
        </w:rPr>
        <w:t>Lalarukh</w:t>
      </w:r>
      <w:bookmarkEnd w:id="14"/>
      <w:r w:rsidRPr="008151B5">
        <w:rPr>
          <w:rFonts w:cs="Times New Roman"/>
          <w:highlight w:val="yellow"/>
        </w:rPr>
        <w:t xml:space="preserve">, I.; Amjad, S.F.; </w:t>
      </w:r>
      <w:proofErr w:type="spellStart"/>
      <w:r w:rsidRPr="008151B5">
        <w:rPr>
          <w:rFonts w:cs="Times New Roman"/>
          <w:highlight w:val="yellow"/>
        </w:rPr>
        <w:t>Mansoora</w:t>
      </w:r>
      <w:proofErr w:type="spellEnd"/>
      <w:r w:rsidRPr="008151B5">
        <w:rPr>
          <w:rFonts w:cs="Times New Roman"/>
          <w:highlight w:val="yellow"/>
        </w:rPr>
        <w:t>, N.; Al-</w:t>
      </w:r>
      <w:proofErr w:type="spellStart"/>
      <w:r w:rsidRPr="008151B5">
        <w:rPr>
          <w:rFonts w:cs="Times New Roman"/>
          <w:highlight w:val="yellow"/>
        </w:rPr>
        <w:t>Dhumri</w:t>
      </w:r>
      <w:proofErr w:type="spellEnd"/>
      <w:r w:rsidRPr="008151B5">
        <w:rPr>
          <w:rFonts w:cs="Times New Roman"/>
          <w:highlight w:val="yellow"/>
        </w:rPr>
        <w:t xml:space="preserve">, S.A.; </w:t>
      </w:r>
      <w:proofErr w:type="spellStart"/>
      <w:r w:rsidRPr="008151B5">
        <w:rPr>
          <w:rFonts w:cs="Times New Roman"/>
          <w:highlight w:val="yellow"/>
        </w:rPr>
        <w:t>Alshahri</w:t>
      </w:r>
      <w:proofErr w:type="spellEnd"/>
      <w:r w:rsidRPr="008151B5">
        <w:rPr>
          <w:rFonts w:cs="Times New Roman"/>
          <w:highlight w:val="yellow"/>
        </w:rPr>
        <w:t xml:space="preserve">, A.H.; </w:t>
      </w:r>
      <w:proofErr w:type="spellStart"/>
      <w:r w:rsidRPr="008151B5">
        <w:rPr>
          <w:rFonts w:cs="Times New Roman"/>
          <w:highlight w:val="yellow"/>
        </w:rPr>
        <w:t>Almutari</w:t>
      </w:r>
      <w:proofErr w:type="spellEnd"/>
      <w:r w:rsidRPr="008151B5">
        <w:rPr>
          <w:rFonts w:cs="Times New Roman"/>
          <w:highlight w:val="yellow"/>
        </w:rPr>
        <w:t xml:space="preserve">, M.M.; </w:t>
      </w:r>
      <w:proofErr w:type="spellStart"/>
      <w:r w:rsidRPr="008151B5">
        <w:rPr>
          <w:rFonts w:cs="Times New Roman"/>
          <w:highlight w:val="yellow"/>
        </w:rPr>
        <w:t>Alhusayni</w:t>
      </w:r>
      <w:proofErr w:type="spellEnd"/>
      <w:r w:rsidRPr="008151B5">
        <w:rPr>
          <w:rFonts w:cs="Times New Roman"/>
          <w:highlight w:val="yellow"/>
        </w:rPr>
        <w:t xml:space="preserve">, F.S.; Al-Shammari, W.B.; </w:t>
      </w:r>
      <w:proofErr w:type="spellStart"/>
      <w:r w:rsidRPr="008151B5">
        <w:rPr>
          <w:rFonts w:cs="Times New Roman"/>
          <w:highlight w:val="yellow"/>
        </w:rPr>
        <w:t>Poczai</w:t>
      </w:r>
      <w:proofErr w:type="spellEnd"/>
      <w:r w:rsidRPr="008151B5">
        <w:rPr>
          <w:rFonts w:cs="Times New Roman"/>
          <w:highlight w:val="yellow"/>
        </w:rPr>
        <w:t xml:space="preserve">, P.; Abbas, M.H.H.; et al. Integral Effects of </w:t>
      </w:r>
      <w:proofErr w:type="spellStart"/>
      <w:r w:rsidRPr="008151B5">
        <w:rPr>
          <w:rFonts w:cs="Times New Roman"/>
          <w:highlight w:val="yellow"/>
        </w:rPr>
        <w:t>Brassinosteroids</w:t>
      </w:r>
      <w:proofErr w:type="spellEnd"/>
      <w:r w:rsidRPr="008151B5">
        <w:rPr>
          <w:rFonts w:cs="Times New Roman"/>
          <w:highlight w:val="yellow"/>
        </w:rPr>
        <w:t xml:space="preserve"> and Timber Waste Biochar Enhances the Drought Tolerance Capacity of Wheat Plant. Sci. Rep. 2022, 12, 12842. [</w:t>
      </w:r>
      <w:proofErr w:type="spellStart"/>
      <w:r w:rsidRPr="008151B5">
        <w:rPr>
          <w:rFonts w:cs="Times New Roman"/>
          <w:highlight w:val="yellow"/>
        </w:rPr>
        <w:t>CrossRef</w:t>
      </w:r>
      <w:proofErr w:type="spellEnd"/>
      <w:r w:rsidRPr="008151B5">
        <w:rPr>
          <w:rFonts w:cs="Times New Roman"/>
          <w:highlight w:val="yellow"/>
        </w:rPr>
        <w:t>] [PubMed</w:t>
      </w:r>
    </w:p>
    <w:p w14:paraId="41DD3178" w14:textId="77777777" w:rsidR="00F84517" w:rsidRPr="008151B5" w:rsidRDefault="00F84517" w:rsidP="008151B5">
      <w:pPr>
        <w:pStyle w:val="ListParagraph"/>
        <w:numPr>
          <w:ilvl w:val="0"/>
          <w:numId w:val="4"/>
        </w:numPr>
        <w:spacing w:after="0" w:line="360" w:lineRule="auto"/>
        <w:jc w:val="both"/>
        <w:rPr>
          <w:rFonts w:cs="Times New Roman"/>
          <w:highlight w:val="yellow"/>
        </w:rPr>
      </w:pPr>
      <w:hyperlink r:id="rId32" w:anchor="bbib59" w:history="1">
        <w:r w:rsidRPr="008151B5">
          <w:rPr>
            <w:rStyle w:val="Hyperlink"/>
            <w:rFonts w:cs="Times New Roman"/>
            <w:sz w:val="22"/>
            <w:highlight w:val="yellow"/>
          </w:rPr>
          <w:t>Li et al., 2022</w:t>
        </w:r>
      </w:hyperlink>
      <w:r w:rsidRPr="008151B5">
        <w:rPr>
          <w:rFonts w:cs="Times New Roman"/>
          <w:highlight w:val="yellow"/>
        </w:rPr>
        <w:t xml:space="preserve"> M. Li, Y. Ren, C. He, J. Yao, M. Wei, X. He Complementary effects of dark septate endophytes and </w:t>
      </w:r>
      <w:r w:rsidRPr="008151B5">
        <w:rPr>
          <w:rFonts w:cs="Times New Roman"/>
          <w:i/>
          <w:iCs/>
          <w:highlight w:val="yellow"/>
        </w:rPr>
        <w:t>Trichoderma</w:t>
      </w:r>
      <w:r w:rsidRPr="008151B5">
        <w:rPr>
          <w:rFonts w:cs="Times New Roman"/>
          <w:highlight w:val="yellow"/>
        </w:rPr>
        <w:t xml:space="preserve"> strains on growth and active ingredient accumulation of </w:t>
      </w:r>
      <w:r w:rsidRPr="008151B5">
        <w:rPr>
          <w:rFonts w:cs="Times New Roman"/>
          <w:i/>
          <w:iCs/>
          <w:highlight w:val="yellow"/>
        </w:rPr>
        <w:t xml:space="preserve">Astragalus </w:t>
      </w:r>
      <w:proofErr w:type="spellStart"/>
      <w:r w:rsidRPr="008151B5">
        <w:rPr>
          <w:rFonts w:cs="Times New Roman"/>
          <w:i/>
          <w:iCs/>
          <w:highlight w:val="yellow"/>
        </w:rPr>
        <w:t>mongholicus</w:t>
      </w:r>
      <w:proofErr w:type="spellEnd"/>
      <w:r w:rsidRPr="008151B5">
        <w:rPr>
          <w:rFonts w:cs="Times New Roman"/>
          <w:highlight w:val="yellow"/>
        </w:rPr>
        <w:t xml:space="preserve"> under drought stress</w:t>
      </w:r>
    </w:p>
    <w:p w14:paraId="5DBF9971"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Li, S., Song, C., Wang, B., et al. (2023). Biochar and microbial inoculation improve plant physiological performance and stress tolerance under drought conditions. </w:t>
      </w:r>
      <w:r w:rsidRPr="008151B5">
        <w:rPr>
          <w:rFonts w:cs="Times New Roman"/>
          <w:i/>
          <w:iCs/>
          <w:highlight w:val="yellow"/>
        </w:rPr>
        <w:t>Frontiers in Plant Science, 14</w:t>
      </w:r>
      <w:r w:rsidRPr="008151B5">
        <w:rPr>
          <w:rFonts w:cs="Times New Roman"/>
          <w:highlight w:val="yellow"/>
        </w:rPr>
        <w:t>, 1189456. https://doi.org/10.3389/fpls.2023.1189456</w:t>
      </w:r>
    </w:p>
    <w:p w14:paraId="1A6E5D85"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Li, X. et al. (2023). Combination of biochar and Trichoderma </w:t>
      </w:r>
      <w:proofErr w:type="spellStart"/>
      <w:r w:rsidRPr="008151B5">
        <w:rPr>
          <w:rFonts w:cs="Times New Roman"/>
          <w:highlight w:val="yellow"/>
        </w:rPr>
        <w:t>harzianum</w:t>
      </w:r>
      <w:proofErr w:type="spellEnd"/>
      <w:r w:rsidRPr="008151B5">
        <w:rPr>
          <w:rFonts w:cs="Times New Roman"/>
          <w:highlight w:val="yellow"/>
        </w:rPr>
        <w:t xml:space="preserve"> improves phytoremediation and plant physiological traits in Brassica juncea</w:t>
      </w:r>
      <w:r w:rsidRPr="008151B5">
        <w:rPr>
          <w:rFonts w:cs="Times New Roman"/>
          <w:i/>
          <w:iCs/>
          <w:highlight w:val="yellow"/>
        </w:rPr>
        <w:t>.</w:t>
      </w:r>
      <w:r w:rsidRPr="008151B5">
        <w:rPr>
          <w:rFonts w:cs="Times New Roman"/>
          <w:highlight w:val="yellow"/>
        </w:rPr>
        <w:t xml:space="preserve"> </w:t>
      </w:r>
      <w:r w:rsidRPr="008151B5">
        <w:rPr>
          <w:rFonts w:cs="Times New Roman"/>
          <w:i/>
          <w:iCs/>
          <w:highlight w:val="yellow"/>
        </w:rPr>
        <w:t>Environmental Science and Pollution Research.</w:t>
      </w:r>
    </w:p>
    <w:p w14:paraId="17066626"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Lisar, S. Y., </w:t>
      </w:r>
      <w:proofErr w:type="spellStart"/>
      <w:r w:rsidRPr="008151B5">
        <w:rPr>
          <w:rFonts w:cs="Times New Roman"/>
          <w:highlight w:val="yellow"/>
        </w:rPr>
        <w:t>Motafakkerazad</w:t>
      </w:r>
      <w:proofErr w:type="spellEnd"/>
      <w:r w:rsidRPr="008151B5">
        <w:rPr>
          <w:rFonts w:cs="Times New Roman"/>
          <w:highlight w:val="yellow"/>
        </w:rPr>
        <w:t xml:space="preserve">, R., Hossain, M. M., &amp; Rahman, I. M. (2012). Water stress in plants: Causes, effects and responses. In </w:t>
      </w:r>
      <w:r w:rsidRPr="008151B5">
        <w:rPr>
          <w:rFonts w:cs="Times New Roman"/>
          <w:i/>
          <w:iCs/>
          <w:highlight w:val="yellow"/>
        </w:rPr>
        <w:t>Water stress</w:t>
      </w:r>
      <w:r w:rsidRPr="008151B5">
        <w:rPr>
          <w:rFonts w:cs="Times New Roman"/>
          <w:highlight w:val="yellow"/>
        </w:rPr>
        <w:t xml:space="preserve">. </w:t>
      </w:r>
      <w:proofErr w:type="spellStart"/>
      <w:r w:rsidRPr="008151B5">
        <w:rPr>
          <w:rFonts w:cs="Times New Roman"/>
          <w:highlight w:val="yellow"/>
        </w:rPr>
        <w:t>InTech</w:t>
      </w:r>
      <w:proofErr w:type="spellEnd"/>
      <w:r w:rsidRPr="008151B5">
        <w:rPr>
          <w:rFonts w:cs="Times New Roman"/>
          <w:highlight w:val="yellow"/>
        </w:rPr>
        <w:t>.</w:t>
      </w:r>
    </w:p>
    <w:p w14:paraId="6B89876F"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M. Basirat, S.M. Mousavi, S. Abbaszadeh, M. Ebrahimi, M. </w:t>
      </w:r>
      <w:proofErr w:type="spellStart"/>
      <w:r w:rsidRPr="008151B5">
        <w:rPr>
          <w:rFonts w:cs="Times New Roman"/>
          <w:highlight w:val="yellow"/>
        </w:rPr>
        <w:t>Zarebanadkouki</w:t>
      </w:r>
      <w:proofErr w:type="spellEnd"/>
      <w:r w:rsidRPr="008151B5">
        <w:rPr>
          <w:rFonts w:cs="Times New Roman"/>
          <w:highlight w:val="yellow"/>
        </w:rPr>
        <w:t xml:space="preserve"> The </w:t>
      </w:r>
      <w:proofErr w:type="spellStart"/>
      <w:r w:rsidRPr="008151B5">
        <w:rPr>
          <w:rFonts w:cs="Times New Roman"/>
          <w:highlight w:val="yellow"/>
        </w:rPr>
        <w:t>rhizosheath</w:t>
      </w:r>
      <w:proofErr w:type="spellEnd"/>
      <w:r w:rsidRPr="008151B5">
        <w:rPr>
          <w:rFonts w:cs="Times New Roman"/>
          <w:highlight w:val="yellow"/>
        </w:rPr>
        <w:t xml:space="preserve">: a potential root trait helping plants to tolerate drought stress Plant Soil, 445 (2019), pp. 565-575, </w:t>
      </w:r>
      <w:hyperlink r:id="rId33" w:tgtFrame="_blank" w:history="1">
        <w:r w:rsidRPr="008151B5">
          <w:rPr>
            <w:rStyle w:val="Hyperlink"/>
            <w:rFonts w:cs="Times New Roman"/>
            <w:sz w:val="22"/>
            <w:highlight w:val="yellow"/>
          </w:rPr>
          <w:t>10.1007/S11104-019-04334-0</w:t>
        </w:r>
      </w:hyperlink>
    </w:p>
    <w:p w14:paraId="161DA00B"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Malik, L., Hussain, S., Shahid, M., Mahmood, F., Ali, H. M., Malik, M., ... &amp; Shahzad, T. (2024). Co-applied biochar and drought tolerant PGPRs induced more improvement in soil quality and wheat production than their individual applications under drought conditions. </w:t>
      </w:r>
      <w:proofErr w:type="spellStart"/>
      <w:r w:rsidRPr="008151B5">
        <w:rPr>
          <w:rFonts w:cs="Times New Roman"/>
          <w:i/>
          <w:iCs/>
          <w:highlight w:val="yellow"/>
        </w:rPr>
        <w:t>PeerJ</w:t>
      </w:r>
      <w:proofErr w:type="spellEnd"/>
      <w:r w:rsidRPr="008151B5">
        <w:rPr>
          <w:rFonts w:cs="Times New Roman"/>
          <w:highlight w:val="yellow"/>
        </w:rPr>
        <w:t xml:space="preserve">, </w:t>
      </w:r>
      <w:r w:rsidRPr="008151B5">
        <w:rPr>
          <w:rFonts w:cs="Times New Roman"/>
          <w:i/>
          <w:iCs/>
          <w:highlight w:val="yellow"/>
        </w:rPr>
        <w:t>12</w:t>
      </w:r>
      <w:r w:rsidRPr="008151B5">
        <w:rPr>
          <w:rFonts w:cs="Times New Roman"/>
          <w:highlight w:val="yellow"/>
        </w:rPr>
        <w:t>, e18171.</w:t>
      </w:r>
    </w:p>
    <w:p w14:paraId="09917D12"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Mao, T., Wang, Y., Ning, S., Mao, J., Sheng, J., &amp; Jiang, P. (2024). Assessment of the effects of biochar on the physicochemical properties of saline–alkali soil based on meta-analysis. </w:t>
      </w:r>
      <w:r w:rsidRPr="008151B5">
        <w:rPr>
          <w:rFonts w:cs="Times New Roman"/>
          <w:i/>
          <w:iCs/>
          <w:highlight w:val="yellow"/>
        </w:rPr>
        <w:t>Agronomy</w:t>
      </w:r>
      <w:r w:rsidRPr="008151B5">
        <w:rPr>
          <w:rFonts w:cs="Times New Roman"/>
          <w:highlight w:val="yellow"/>
        </w:rPr>
        <w:t xml:space="preserve">, </w:t>
      </w:r>
      <w:r w:rsidRPr="008151B5">
        <w:rPr>
          <w:rFonts w:cs="Times New Roman"/>
          <w:i/>
          <w:iCs/>
          <w:highlight w:val="yellow"/>
        </w:rPr>
        <w:t>14</w:t>
      </w:r>
      <w:r w:rsidRPr="008151B5">
        <w:rPr>
          <w:rFonts w:cs="Times New Roman"/>
          <w:highlight w:val="yellow"/>
        </w:rPr>
        <w:t>(10), 2431.</w:t>
      </w:r>
    </w:p>
    <w:p w14:paraId="2D77E26C"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Mukherjee, P. K., Horwitz, B. A., Herrera-Estrella, A., Schmoll, M., &amp; </w:t>
      </w:r>
      <w:proofErr w:type="spellStart"/>
      <w:r w:rsidRPr="008151B5">
        <w:rPr>
          <w:rFonts w:cs="Times New Roman"/>
          <w:highlight w:val="yellow"/>
        </w:rPr>
        <w:t>Kenerley</w:t>
      </w:r>
      <w:proofErr w:type="spellEnd"/>
      <w:r w:rsidRPr="008151B5">
        <w:rPr>
          <w:rFonts w:cs="Times New Roman"/>
          <w:highlight w:val="yellow"/>
        </w:rPr>
        <w:t xml:space="preserve">, C. M. (2013). Trichoderma research in the genome era. </w:t>
      </w:r>
      <w:r w:rsidRPr="008151B5">
        <w:rPr>
          <w:rFonts w:cs="Times New Roman"/>
          <w:i/>
          <w:iCs/>
          <w:highlight w:val="yellow"/>
        </w:rPr>
        <w:t>Annual Review of Phytopathology</w:t>
      </w:r>
      <w:r w:rsidRPr="008151B5">
        <w:rPr>
          <w:rFonts w:cs="Times New Roman"/>
          <w:highlight w:val="yellow"/>
        </w:rPr>
        <w:t xml:space="preserve">, 51, 105–129. </w:t>
      </w:r>
      <w:hyperlink r:id="rId34" w:history="1">
        <w:r w:rsidRPr="008151B5">
          <w:rPr>
            <w:rStyle w:val="Hyperlink"/>
            <w:rFonts w:cs="Times New Roman"/>
            <w:sz w:val="22"/>
            <w:highlight w:val="yellow"/>
          </w:rPr>
          <w:t>https://doi.org/10.1146/annurev-phyto-082712-102353</w:t>
        </w:r>
      </w:hyperlink>
    </w:p>
    <w:p w14:paraId="6B361CA1"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Mukhopadhyay, R., &amp; Kumar, D. (2020). </w:t>
      </w:r>
      <w:r w:rsidRPr="008151B5">
        <w:rPr>
          <w:rFonts w:cs="Times New Roman"/>
          <w:i/>
          <w:iCs/>
          <w:highlight w:val="yellow"/>
        </w:rPr>
        <w:t>Trichoderma</w:t>
      </w:r>
      <w:r w:rsidRPr="008151B5">
        <w:rPr>
          <w:rFonts w:cs="Times New Roman"/>
          <w:highlight w:val="yellow"/>
        </w:rPr>
        <w:t xml:space="preserve">: A beneficial antifungal agent and insights into its mechanism of biocontrol potential. </w:t>
      </w:r>
      <w:r w:rsidRPr="008151B5">
        <w:rPr>
          <w:rFonts w:cs="Times New Roman"/>
          <w:i/>
          <w:iCs/>
          <w:highlight w:val="yellow"/>
        </w:rPr>
        <w:t>Egyptian Journal of Biological Pest Control, 30</w:t>
      </w:r>
      <w:r w:rsidRPr="008151B5">
        <w:rPr>
          <w:rFonts w:cs="Times New Roman"/>
          <w:highlight w:val="yellow"/>
        </w:rPr>
        <w:t>(1), 133.</w:t>
      </w:r>
    </w:p>
    <w:p w14:paraId="15F52CB3"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lastRenderedPageBreak/>
        <w:t xml:space="preserve">Mustapha, A. B., Felix, T., </w:t>
      </w:r>
      <w:proofErr w:type="spellStart"/>
      <w:r w:rsidRPr="008151B5">
        <w:rPr>
          <w:rFonts w:cs="Times New Roman"/>
          <w:highlight w:val="yellow"/>
        </w:rPr>
        <w:t>Tashiwa</w:t>
      </w:r>
      <w:proofErr w:type="spellEnd"/>
      <w:r w:rsidRPr="008151B5">
        <w:rPr>
          <w:rFonts w:cs="Times New Roman"/>
          <w:highlight w:val="yellow"/>
        </w:rPr>
        <w:t xml:space="preserve">, M. C., &amp; </w:t>
      </w:r>
      <w:proofErr w:type="spellStart"/>
      <w:r w:rsidRPr="008151B5">
        <w:rPr>
          <w:rFonts w:cs="Times New Roman"/>
          <w:highlight w:val="yellow"/>
        </w:rPr>
        <w:t>Gworgwor</w:t>
      </w:r>
      <w:proofErr w:type="spellEnd"/>
      <w:r w:rsidRPr="008151B5">
        <w:rPr>
          <w:rFonts w:cs="Times New Roman"/>
          <w:highlight w:val="yellow"/>
        </w:rPr>
        <w:t>, N. A. (2021). Effect of plant population density and methods of weed control on the yield of pepper (</w:t>
      </w:r>
      <w:r w:rsidRPr="008151B5">
        <w:rPr>
          <w:rFonts w:cs="Times New Roman"/>
          <w:i/>
          <w:iCs/>
          <w:highlight w:val="yellow"/>
        </w:rPr>
        <w:t>Capsicum annuum</w:t>
      </w:r>
      <w:r w:rsidRPr="008151B5">
        <w:rPr>
          <w:rFonts w:cs="Times New Roman"/>
          <w:highlight w:val="yellow"/>
        </w:rPr>
        <w:t xml:space="preserve"> L.) in Northeastern Nigeria. </w:t>
      </w:r>
      <w:r w:rsidRPr="008151B5">
        <w:rPr>
          <w:rFonts w:cs="Times New Roman"/>
          <w:i/>
          <w:iCs/>
          <w:highlight w:val="yellow"/>
        </w:rPr>
        <w:t>Journal of Applied Sciences and Environmental Management, 25</w:t>
      </w:r>
      <w:r w:rsidRPr="008151B5">
        <w:rPr>
          <w:rFonts w:cs="Times New Roman"/>
          <w:highlight w:val="yellow"/>
        </w:rPr>
        <w:t>(2), 261–267.</w:t>
      </w:r>
    </w:p>
    <w:p w14:paraId="79C08B31"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Nadeem, M., Li, J., Yahya, M., Sher, A., Ma, C., Wang, X., &amp; Qiu, L. (2019). Research progress and perspective on drought stress in legumes: A review. </w:t>
      </w:r>
      <w:r w:rsidRPr="008151B5">
        <w:rPr>
          <w:rFonts w:cs="Times New Roman"/>
          <w:i/>
          <w:iCs/>
          <w:highlight w:val="yellow"/>
        </w:rPr>
        <w:t>International Journal of Molecular Sciences, 20</w:t>
      </w:r>
      <w:r w:rsidRPr="008151B5">
        <w:rPr>
          <w:rFonts w:cs="Times New Roman"/>
          <w:highlight w:val="yellow"/>
        </w:rPr>
        <w:t>, 2541.</w:t>
      </w:r>
    </w:p>
    <w:p w14:paraId="6AA8D18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Nakano, Y., &amp; Asada, K. (1981). Hydrogen peroxide is scavenged by ascorbate-specific peroxidase in spinach chloroplasts. </w:t>
      </w:r>
      <w:r w:rsidRPr="008151B5">
        <w:rPr>
          <w:rFonts w:cs="Times New Roman"/>
          <w:i/>
          <w:iCs/>
          <w:highlight w:val="yellow"/>
        </w:rPr>
        <w:t>Plant and Cell Physiology, 22</w:t>
      </w:r>
      <w:r w:rsidRPr="008151B5">
        <w:rPr>
          <w:rFonts w:cs="Times New Roman"/>
          <w:highlight w:val="yellow"/>
        </w:rPr>
        <w:t>, 867–880.</w:t>
      </w:r>
    </w:p>
    <w:p w14:paraId="697B3CA0"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lang w:val="fr-FR"/>
        </w:rPr>
        <w:t>Narzari</w:t>
      </w:r>
      <w:proofErr w:type="spellEnd"/>
      <w:r w:rsidRPr="008151B5">
        <w:rPr>
          <w:rFonts w:cs="Times New Roman"/>
          <w:highlight w:val="yellow"/>
          <w:lang w:val="fr-FR"/>
        </w:rPr>
        <w:t xml:space="preserve">, R. B., Bordoloi, N. S., Sarma, B., Gogoi, L., Gogoi, N., </w:t>
      </w:r>
      <w:proofErr w:type="spellStart"/>
      <w:r w:rsidRPr="008151B5">
        <w:rPr>
          <w:rFonts w:cs="Times New Roman"/>
          <w:highlight w:val="yellow"/>
          <w:lang w:val="fr-FR"/>
        </w:rPr>
        <w:t>Borkotoki</w:t>
      </w:r>
      <w:proofErr w:type="spellEnd"/>
      <w:r w:rsidRPr="008151B5">
        <w:rPr>
          <w:rFonts w:cs="Times New Roman"/>
          <w:highlight w:val="yellow"/>
          <w:lang w:val="fr-FR"/>
        </w:rPr>
        <w:t xml:space="preserve">, B., … et al. </w:t>
      </w:r>
      <w:r w:rsidRPr="008151B5">
        <w:rPr>
          <w:rFonts w:cs="Times New Roman"/>
          <w:highlight w:val="yellow"/>
        </w:rPr>
        <w:t xml:space="preserve">(2017). Fabrication of </w:t>
      </w:r>
      <w:proofErr w:type="spellStart"/>
      <w:r w:rsidRPr="008151B5">
        <w:rPr>
          <w:rFonts w:cs="Times New Roman"/>
          <w:highlight w:val="yellow"/>
        </w:rPr>
        <w:t>biochars</w:t>
      </w:r>
      <w:proofErr w:type="spellEnd"/>
      <w:r w:rsidRPr="008151B5">
        <w:rPr>
          <w:rFonts w:cs="Times New Roman"/>
          <w:highlight w:val="yellow"/>
        </w:rPr>
        <w:t xml:space="preserve"> obtained from the </w:t>
      </w:r>
      <w:proofErr w:type="spellStart"/>
      <w:r w:rsidRPr="008151B5">
        <w:rPr>
          <w:rFonts w:cs="Times New Roman"/>
          <w:highlight w:val="yellow"/>
        </w:rPr>
        <w:t>valorization</w:t>
      </w:r>
      <w:proofErr w:type="spellEnd"/>
      <w:r w:rsidRPr="008151B5">
        <w:rPr>
          <w:rFonts w:cs="Times New Roman"/>
          <w:highlight w:val="yellow"/>
        </w:rPr>
        <w:t xml:space="preserve"> of biowaste and evaluation of its physicochemical properties. </w:t>
      </w:r>
      <w:r w:rsidRPr="008151B5">
        <w:rPr>
          <w:rFonts w:cs="Times New Roman"/>
          <w:i/>
          <w:iCs/>
          <w:highlight w:val="yellow"/>
        </w:rPr>
        <w:t>Bioresource Technology, 242</w:t>
      </w:r>
      <w:r w:rsidRPr="008151B5">
        <w:rPr>
          <w:rFonts w:cs="Times New Roman"/>
          <w:highlight w:val="yellow"/>
        </w:rPr>
        <w:t>, 324–328.</w:t>
      </w:r>
    </w:p>
    <w:p w14:paraId="37D1A762" w14:textId="77777777" w:rsidR="00F84517" w:rsidRPr="008151B5" w:rsidRDefault="00F84517" w:rsidP="008151B5">
      <w:pPr>
        <w:pStyle w:val="ListParagraph"/>
        <w:numPr>
          <w:ilvl w:val="0"/>
          <w:numId w:val="4"/>
        </w:numPr>
        <w:spacing w:after="0" w:line="360" w:lineRule="auto"/>
        <w:jc w:val="both"/>
        <w:rPr>
          <w:rFonts w:cs="Times New Roman"/>
          <w:highlight w:val="yellow"/>
        </w:rPr>
      </w:pPr>
      <w:proofErr w:type="spellStart"/>
      <w:r w:rsidRPr="008151B5">
        <w:rPr>
          <w:rFonts w:cs="Times New Roman"/>
          <w:highlight w:val="yellow"/>
        </w:rPr>
        <w:t>Ogunbo</w:t>
      </w:r>
      <w:proofErr w:type="spellEnd"/>
      <w:r w:rsidRPr="008151B5">
        <w:rPr>
          <w:rFonts w:cs="Times New Roman"/>
          <w:highlight w:val="yellow"/>
        </w:rPr>
        <w:t>, M. (2015). Resource use efficiency and optimal farm plan in pepper (</w:t>
      </w:r>
      <w:r w:rsidRPr="008151B5">
        <w:rPr>
          <w:rFonts w:cs="Times New Roman"/>
          <w:i/>
          <w:iCs/>
          <w:highlight w:val="yellow"/>
        </w:rPr>
        <w:t>Capsicum</w:t>
      </w:r>
      <w:r w:rsidRPr="008151B5">
        <w:rPr>
          <w:rFonts w:cs="Times New Roman"/>
          <w:highlight w:val="yellow"/>
        </w:rPr>
        <w:t xml:space="preserve"> spp.) production in Ogun State, Nigeria. </w:t>
      </w:r>
      <w:r w:rsidRPr="008151B5">
        <w:rPr>
          <w:rFonts w:cs="Times New Roman"/>
          <w:i/>
          <w:iCs/>
          <w:highlight w:val="yellow"/>
        </w:rPr>
        <w:t>African Journal of Food, Agriculture, Nutrition and Development, 15</w:t>
      </w:r>
      <w:r w:rsidRPr="008151B5">
        <w:rPr>
          <w:rFonts w:cs="Times New Roman"/>
          <w:highlight w:val="yellow"/>
        </w:rPr>
        <w:t>(4), 10255–10271.</w:t>
      </w:r>
    </w:p>
    <w:p w14:paraId="010F2B9A"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Pandey, V. C., Singh, J. S., &amp; Kumar, A. (2016). </w:t>
      </w:r>
      <w:r w:rsidRPr="008151B5">
        <w:rPr>
          <w:rFonts w:cs="Times New Roman"/>
          <w:i/>
          <w:iCs/>
          <w:highlight w:val="yellow"/>
        </w:rPr>
        <w:t>Trichoderma</w:t>
      </w:r>
      <w:r w:rsidRPr="008151B5">
        <w:rPr>
          <w:rFonts w:cs="Times New Roman"/>
          <w:highlight w:val="yellow"/>
        </w:rPr>
        <w:t xml:space="preserve"> enhances plant growth and antioxidant enzymes under stress conditions. </w:t>
      </w:r>
      <w:r w:rsidRPr="008151B5">
        <w:rPr>
          <w:rFonts w:cs="Times New Roman"/>
          <w:i/>
          <w:iCs/>
          <w:highlight w:val="yellow"/>
        </w:rPr>
        <w:t>Agronomy for Sustainable Development, 36</w:t>
      </w:r>
      <w:r w:rsidRPr="008151B5">
        <w:rPr>
          <w:rFonts w:cs="Times New Roman"/>
          <w:highlight w:val="yellow"/>
        </w:rPr>
        <w:t>, 38. https://doi.org/10.1007/s13593-016-0377-1</w:t>
      </w:r>
    </w:p>
    <w:p w14:paraId="3E0873FC"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lang w:val="fr-FR"/>
        </w:rPr>
        <w:t xml:space="preserve">Pei, Y. Y., Lei, L., Fan, X. W., &amp; Li, Y. Z. (2023). </w:t>
      </w:r>
      <w:r w:rsidRPr="008151B5">
        <w:rPr>
          <w:rFonts w:cs="Times New Roman"/>
          <w:highlight w:val="yellow"/>
        </w:rPr>
        <w:t xml:space="preserve">Effects of high air temperature, drought, and both combinations on maize: A case study. </w:t>
      </w:r>
      <w:r w:rsidRPr="008151B5">
        <w:rPr>
          <w:rFonts w:cs="Times New Roman"/>
          <w:i/>
          <w:iCs/>
          <w:highlight w:val="yellow"/>
        </w:rPr>
        <w:t>Plant Science, 327</w:t>
      </w:r>
      <w:r w:rsidRPr="008151B5">
        <w:rPr>
          <w:rFonts w:cs="Times New Roman"/>
          <w:highlight w:val="yellow"/>
        </w:rPr>
        <w:t>, 111543.</w:t>
      </w:r>
    </w:p>
    <w:p w14:paraId="6556577F"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Poveda (2021). Trichoderma as biocontrol agent against pests: New uses for a mycoparasite</w:t>
      </w:r>
      <w:r w:rsidRPr="008151B5">
        <w:rPr>
          <w:rFonts w:cs="Times New Roman"/>
          <w:i/>
          <w:iCs/>
          <w:highlight w:val="yellow"/>
        </w:rPr>
        <w:t>.</w:t>
      </w:r>
      <w:r w:rsidRPr="008151B5">
        <w:rPr>
          <w:rFonts w:cs="Times New Roman"/>
          <w:highlight w:val="yellow"/>
        </w:rPr>
        <w:t xml:space="preserve"> </w:t>
      </w:r>
      <w:r w:rsidRPr="008151B5">
        <w:rPr>
          <w:rFonts w:cs="Times New Roman"/>
          <w:i/>
          <w:iCs/>
          <w:highlight w:val="yellow"/>
        </w:rPr>
        <w:t>Biological Control</w:t>
      </w:r>
      <w:r w:rsidRPr="008151B5">
        <w:rPr>
          <w:rFonts w:cs="Times New Roman"/>
          <w:highlight w:val="yellow"/>
        </w:rPr>
        <w:t>, 159, 104634.</w:t>
      </w:r>
    </w:p>
    <w:p w14:paraId="3C679D5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Qi, M., Liu, X., Li, Y., Song, H., Yin, Z., Zhang, F., He, Q., Xu, Z., &amp; Zhou, G. (2021). Photosynthetic resistance and resilience under drought, flooding, and rewatering in maize plants. </w:t>
      </w:r>
      <w:r w:rsidRPr="008151B5">
        <w:rPr>
          <w:rFonts w:cs="Times New Roman"/>
          <w:i/>
          <w:iCs/>
          <w:highlight w:val="yellow"/>
        </w:rPr>
        <w:t>Photosynthesis Research, 148</w:t>
      </w:r>
      <w:r w:rsidRPr="008151B5">
        <w:rPr>
          <w:rFonts w:cs="Times New Roman"/>
          <w:highlight w:val="yellow"/>
        </w:rPr>
        <w:t>, 1–15.</w:t>
      </w:r>
    </w:p>
    <w:p w14:paraId="6E0C1C9F"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Rizvi, N. B., Fatima, A., Busquets, R., Khan, M. R., Ashraf, S., Khan, M. S., &amp; Oz, F. (2023). Effect of the media in the Folin-</w:t>
      </w:r>
      <w:proofErr w:type="spellStart"/>
      <w:r w:rsidRPr="008151B5">
        <w:rPr>
          <w:rFonts w:cs="Times New Roman"/>
          <w:highlight w:val="yellow"/>
        </w:rPr>
        <w:t>Ciocalteu</w:t>
      </w:r>
      <w:proofErr w:type="spellEnd"/>
      <w:r w:rsidRPr="008151B5">
        <w:rPr>
          <w:rFonts w:cs="Times New Roman"/>
          <w:highlight w:val="yellow"/>
        </w:rPr>
        <w:t xml:space="preserve"> assay for the analysis of the total phenolic content of olive products. </w:t>
      </w:r>
      <w:r w:rsidRPr="008151B5">
        <w:rPr>
          <w:rFonts w:cs="Times New Roman"/>
          <w:i/>
          <w:iCs/>
          <w:highlight w:val="yellow"/>
        </w:rPr>
        <w:t>Food Analytical Methods, 16</w:t>
      </w:r>
      <w:r w:rsidRPr="008151B5">
        <w:rPr>
          <w:rFonts w:cs="Times New Roman"/>
          <w:highlight w:val="yellow"/>
        </w:rPr>
        <w:t>(11), 1627–1634.</w:t>
      </w:r>
    </w:p>
    <w:p w14:paraId="61B2EFED"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Saha, K. C., Uddin, M. K., Shaha, P. K., Hossain Chowdhury, M. A., Hassan, L., &amp; Saha, B. K. (2024). Application of </w:t>
      </w:r>
      <w:r w:rsidRPr="008151B5">
        <w:rPr>
          <w:rFonts w:cs="Times New Roman"/>
          <w:i/>
          <w:iCs/>
          <w:highlight w:val="yellow"/>
        </w:rPr>
        <w:t xml:space="preserve">Trichoderma </w:t>
      </w:r>
      <w:proofErr w:type="spellStart"/>
      <w:r w:rsidRPr="008151B5">
        <w:rPr>
          <w:rFonts w:cs="Times New Roman"/>
          <w:i/>
          <w:iCs/>
          <w:highlight w:val="yellow"/>
        </w:rPr>
        <w:t>harzianum</w:t>
      </w:r>
      <w:proofErr w:type="spellEnd"/>
      <w:r w:rsidRPr="008151B5">
        <w:rPr>
          <w:rFonts w:cs="Times New Roman"/>
          <w:highlight w:val="yellow"/>
        </w:rPr>
        <w:t xml:space="preserve"> enhances salt tolerance and yield of Indian mustard through increasing antioxidant enzyme activity. </w:t>
      </w:r>
      <w:proofErr w:type="spellStart"/>
      <w:r w:rsidRPr="008151B5">
        <w:rPr>
          <w:rFonts w:cs="Times New Roman"/>
          <w:i/>
          <w:iCs/>
          <w:highlight w:val="yellow"/>
        </w:rPr>
        <w:t>Heliyon</w:t>
      </w:r>
      <w:proofErr w:type="spellEnd"/>
      <w:r w:rsidRPr="008151B5">
        <w:rPr>
          <w:rFonts w:cs="Times New Roman"/>
          <w:highlight w:val="yellow"/>
        </w:rPr>
        <w:t xml:space="preserve">, 11, e41114. </w:t>
      </w:r>
      <w:hyperlink r:id="rId35" w:history="1">
        <w:r w:rsidRPr="008151B5">
          <w:rPr>
            <w:rStyle w:val="Hyperlink"/>
            <w:rFonts w:cs="Times New Roman"/>
            <w:sz w:val="22"/>
            <w:highlight w:val="yellow"/>
          </w:rPr>
          <w:t>https://doi.org/10.1016/j.heliyon.2024.e41114</w:t>
        </w:r>
      </w:hyperlink>
    </w:p>
    <w:p w14:paraId="28AB542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Sato, H., </w:t>
      </w:r>
      <w:proofErr w:type="spellStart"/>
      <w:r w:rsidRPr="008151B5">
        <w:rPr>
          <w:rFonts w:cs="Times New Roman"/>
          <w:highlight w:val="yellow"/>
        </w:rPr>
        <w:t>Mizoi</w:t>
      </w:r>
      <w:proofErr w:type="spellEnd"/>
      <w:r w:rsidRPr="008151B5">
        <w:rPr>
          <w:rFonts w:cs="Times New Roman"/>
          <w:highlight w:val="yellow"/>
        </w:rPr>
        <w:t xml:space="preserve">, J., Shinozaki, K., &amp; Yamaguchi-Shinozaki, K. (2024). Complex plant responses to drought and heat stress under climate change. </w:t>
      </w:r>
      <w:r w:rsidRPr="008151B5">
        <w:rPr>
          <w:rFonts w:cs="Times New Roman"/>
          <w:i/>
          <w:iCs/>
          <w:highlight w:val="yellow"/>
        </w:rPr>
        <w:t>Plant Journal, 117</w:t>
      </w:r>
      <w:r w:rsidRPr="008151B5">
        <w:rPr>
          <w:rFonts w:cs="Times New Roman"/>
          <w:highlight w:val="yellow"/>
        </w:rPr>
        <w:t>, 1873–1892.</w:t>
      </w:r>
    </w:p>
    <w:p w14:paraId="4FC83C13"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lastRenderedPageBreak/>
        <w:t xml:space="preserve">Seeley, H. W., &amp; Vandemark, P. J. (1981). </w:t>
      </w:r>
      <w:r w:rsidRPr="008151B5">
        <w:rPr>
          <w:rFonts w:cs="Times New Roman"/>
          <w:i/>
          <w:iCs/>
          <w:highlight w:val="yellow"/>
        </w:rPr>
        <w:t>Microbes in action: A laboratory manual of microbiology</w:t>
      </w:r>
      <w:r w:rsidRPr="008151B5">
        <w:rPr>
          <w:rFonts w:cs="Times New Roman"/>
          <w:highlight w:val="yellow"/>
        </w:rPr>
        <w:t>.</w:t>
      </w:r>
    </w:p>
    <w:p w14:paraId="4FB591EC"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Sharma, K. K., &amp; Singh, U. S. (2014). Cultural and morphological characterization of </w:t>
      </w:r>
      <w:proofErr w:type="spellStart"/>
      <w:r w:rsidRPr="008151B5">
        <w:rPr>
          <w:rFonts w:cs="Times New Roman"/>
          <w:highlight w:val="yellow"/>
        </w:rPr>
        <w:t>rhizospheric</w:t>
      </w:r>
      <w:proofErr w:type="spellEnd"/>
      <w:r w:rsidRPr="008151B5">
        <w:rPr>
          <w:rFonts w:cs="Times New Roman"/>
          <w:highlight w:val="yellow"/>
        </w:rPr>
        <w:t xml:space="preserve"> isolates of fungal antagonist </w:t>
      </w:r>
      <w:r w:rsidRPr="008151B5">
        <w:rPr>
          <w:rFonts w:cs="Times New Roman"/>
          <w:i/>
          <w:iCs/>
          <w:highlight w:val="yellow"/>
        </w:rPr>
        <w:t>Trichoderma</w:t>
      </w:r>
      <w:r w:rsidRPr="008151B5">
        <w:rPr>
          <w:rFonts w:cs="Times New Roman"/>
          <w:highlight w:val="yellow"/>
        </w:rPr>
        <w:t xml:space="preserve">. </w:t>
      </w:r>
      <w:r w:rsidRPr="008151B5">
        <w:rPr>
          <w:rFonts w:cs="Times New Roman"/>
          <w:i/>
          <w:iCs/>
          <w:highlight w:val="yellow"/>
        </w:rPr>
        <w:t>Journal of Applied and Natural Science</w:t>
      </w:r>
      <w:r w:rsidRPr="008151B5">
        <w:rPr>
          <w:rFonts w:cs="Times New Roman"/>
          <w:highlight w:val="yellow"/>
        </w:rPr>
        <w:t>, 6(2), 451–456.</w:t>
      </w:r>
    </w:p>
    <w:p w14:paraId="03ABEF9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Sharma, P., Abrol, V., Nazir, J., </w:t>
      </w:r>
      <w:proofErr w:type="spellStart"/>
      <w:r w:rsidRPr="008151B5">
        <w:rPr>
          <w:rFonts w:cs="Times New Roman"/>
          <w:highlight w:val="yellow"/>
        </w:rPr>
        <w:t>Samnotra</w:t>
      </w:r>
      <w:proofErr w:type="spellEnd"/>
      <w:r w:rsidRPr="008151B5">
        <w:rPr>
          <w:rFonts w:cs="Times New Roman"/>
          <w:highlight w:val="yellow"/>
        </w:rPr>
        <w:t xml:space="preserve">, R. K., Gupta, S. K., Anand, S., ... &amp; Kumar, M. (2025). Optimizing soil properties, water use efficiency, and crop yield through biochar and organic manure integration in organic soil. </w:t>
      </w:r>
      <w:r w:rsidRPr="008151B5">
        <w:rPr>
          <w:rFonts w:cs="Times New Roman"/>
          <w:i/>
          <w:iCs/>
          <w:highlight w:val="yellow"/>
        </w:rPr>
        <w:t>Journal of Environmental Management</w:t>
      </w:r>
      <w:r w:rsidRPr="008151B5">
        <w:rPr>
          <w:rFonts w:cs="Times New Roman"/>
          <w:highlight w:val="yellow"/>
        </w:rPr>
        <w:t xml:space="preserve">, </w:t>
      </w:r>
      <w:r w:rsidRPr="008151B5">
        <w:rPr>
          <w:rFonts w:cs="Times New Roman"/>
          <w:i/>
          <w:iCs/>
          <w:highlight w:val="yellow"/>
        </w:rPr>
        <w:t>373</w:t>
      </w:r>
      <w:r w:rsidRPr="008151B5">
        <w:rPr>
          <w:rFonts w:cs="Times New Roman"/>
          <w:highlight w:val="yellow"/>
        </w:rPr>
        <w:t>, 123673.</w:t>
      </w:r>
    </w:p>
    <w:p w14:paraId="76133A0F"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Sharma, P., Jha, A. B., Dubey, R. S., &amp; </w:t>
      </w:r>
      <w:proofErr w:type="spellStart"/>
      <w:r w:rsidRPr="008151B5">
        <w:rPr>
          <w:rFonts w:cs="Times New Roman"/>
          <w:highlight w:val="yellow"/>
        </w:rPr>
        <w:t>Pessarakli</w:t>
      </w:r>
      <w:proofErr w:type="spellEnd"/>
      <w:r w:rsidRPr="008151B5">
        <w:rPr>
          <w:rFonts w:cs="Times New Roman"/>
          <w:highlight w:val="yellow"/>
        </w:rPr>
        <w:t xml:space="preserve">, M. (2012). Reactive oxygen species, oxidative damage, and antioxidative </w:t>
      </w:r>
      <w:proofErr w:type="spellStart"/>
      <w:r w:rsidRPr="008151B5">
        <w:rPr>
          <w:rFonts w:cs="Times New Roman"/>
          <w:highlight w:val="yellow"/>
        </w:rPr>
        <w:t>defense</w:t>
      </w:r>
      <w:proofErr w:type="spellEnd"/>
      <w:r w:rsidRPr="008151B5">
        <w:rPr>
          <w:rFonts w:cs="Times New Roman"/>
          <w:highlight w:val="yellow"/>
        </w:rPr>
        <w:t xml:space="preserve"> mechanism in plants under stressful conditions. </w:t>
      </w:r>
      <w:r w:rsidRPr="008151B5">
        <w:rPr>
          <w:rFonts w:cs="Times New Roman"/>
          <w:i/>
          <w:iCs/>
          <w:highlight w:val="yellow"/>
        </w:rPr>
        <w:t>Journal of Botany, 2012</w:t>
      </w:r>
      <w:r w:rsidRPr="008151B5">
        <w:rPr>
          <w:rFonts w:cs="Times New Roman"/>
          <w:highlight w:val="yellow"/>
        </w:rPr>
        <w:t>, 1–26.</w:t>
      </w:r>
    </w:p>
    <w:p w14:paraId="5AA7593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Singh, B. P., Cowie, A. L., &amp; </w:t>
      </w:r>
      <w:proofErr w:type="spellStart"/>
      <w:r w:rsidRPr="008151B5">
        <w:rPr>
          <w:rFonts w:cs="Times New Roman"/>
          <w:highlight w:val="yellow"/>
        </w:rPr>
        <w:t>Smernik</w:t>
      </w:r>
      <w:proofErr w:type="spellEnd"/>
      <w:r w:rsidRPr="008151B5">
        <w:rPr>
          <w:rFonts w:cs="Times New Roman"/>
          <w:highlight w:val="yellow"/>
        </w:rPr>
        <w:t xml:space="preserve">, R. J. (2021). Biochar and microbial interactions improve soil nutrient cycling and plant productivity. </w:t>
      </w:r>
      <w:r w:rsidRPr="008151B5">
        <w:rPr>
          <w:rFonts w:cs="Times New Roman"/>
          <w:i/>
          <w:iCs/>
          <w:highlight w:val="yellow"/>
        </w:rPr>
        <w:t>Science of the Total Environment, 752</w:t>
      </w:r>
      <w:r w:rsidRPr="008151B5">
        <w:rPr>
          <w:rFonts w:cs="Times New Roman"/>
          <w:highlight w:val="yellow"/>
        </w:rPr>
        <w:t>, 141828. https://doi.org/10.1016/j.scitotenv.2020.141828</w:t>
      </w:r>
    </w:p>
    <w:p w14:paraId="61169847"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Singleton, V. L., &amp; Rossi, J. A. (1965). Colorimetry of total phenolics with phosphomolybdic-</w:t>
      </w:r>
      <w:proofErr w:type="spellStart"/>
      <w:r w:rsidRPr="008151B5">
        <w:rPr>
          <w:rFonts w:cs="Times New Roman"/>
          <w:highlight w:val="yellow"/>
        </w:rPr>
        <w:t>phosphotungstic</w:t>
      </w:r>
      <w:proofErr w:type="spellEnd"/>
      <w:r w:rsidRPr="008151B5">
        <w:rPr>
          <w:rFonts w:cs="Times New Roman"/>
          <w:highlight w:val="yellow"/>
        </w:rPr>
        <w:t xml:space="preserve"> acid reagents. </w:t>
      </w:r>
      <w:r w:rsidRPr="008151B5">
        <w:rPr>
          <w:rFonts w:cs="Times New Roman"/>
          <w:i/>
          <w:iCs/>
          <w:highlight w:val="yellow"/>
        </w:rPr>
        <w:t xml:space="preserve">American Journal of </w:t>
      </w:r>
      <w:proofErr w:type="spellStart"/>
      <w:r w:rsidRPr="008151B5">
        <w:rPr>
          <w:rFonts w:cs="Times New Roman"/>
          <w:i/>
          <w:iCs/>
          <w:highlight w:val="yellow"/>
        </w:rPr>
        <w:t>Enology</w:t>
      </w:r>
      <w:proofErr w:type="spellEnd"/>
      <w:r w:rsidRPr="008151B5">
        <w:rPr>
          <w:rFonts w:cs="Times New Roman"/>
          <w:i/>
          <w:iCs/>
          <w:highlight w:val="yellow"/>
        </w:rPr>
        <w:t xml:space="preserve"> and Viticulture, 16</w:t>
      </w:r>
      <w:r w:rsidRPr="008151B5">
        <w:rPr>
          <w:rFonts w:cs="Times New Roman"/>
          <w:highlight w:val="yellow"/>
        </w:rPr>
        <w:t>, 144–158.</w:t>
      </w:r>
    </w:p>
    <w:p w14:paraId="3ADCBAF4"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Soliman, M.H.; </w:t>
      </w:r>
      <w:proofErr w:type="spellStart"/>
      <w:r w:rsidRPr="008151B5">
        <w:rPr>
          <w:rFonts w:cs="Times New Roman"/>
          <w:highlight w:val="yellow"/>
        </w:rPr>
        <w:t>Alnusaire</w:t>
      </w:r>
      <w:proofErr w:type="spellEnd"/>
      <w:r w:rsidRPr="008151B5">
        <w:rPr>
          <w:rFonts w:cs="Times New Roman"/>
          <w:highlight w:val="yellow"/>
        </w:rPr>
        <w:t xml:space="preserve">, T.S.; Abdelbaky, N.F.; </w:t>
      </w:r>
      <w:proofErr w:type="spellStart"/>
      <w:r w:rsidRPr="008151B5">
        <w:rPr>
          <w:rFonts w:cs="Times New Roman"/>
          <w:highlight w:val="yellow"/>
        </w:rPr>
        <w:t>Alayafi</w:t>
      </w:r>
      <w:proofErr w:type="spellEnd"/>
      <w:r w:rsidRPr="008151B5">
        <w:rPr>
          <w:rFonts w:cs="Times New Roman"/>
          <w:highlight w:val="yellow"/>
        </w:rPr>
        <w:t xml:space="preserve">, A.A.M.; </w:t>
      </w:r>
      <w:proofErr w:type="spellStart"/>
      <w:r w:rsidRPr="008151B5">
        <w:rPr>
          <w:rFonts w:cs="Times New Roman"/>
          <w:highlight w:val="yellow"/>
        </w:rPr>
        <w:t>Hasanuzzaman</w:t>
      </w:r>
      <w:proofErr w:type="spellEnd"/>
      <w:r w:rsidRPr="008151B5">
        <w:rPr>
          <w:rFonts w:cs="Times New Roman"/>
          <w:highlight w:val="yellow"/>
        </w:rPr>
        <w:t>, M.; Rowezak, M.M.; El-</w:t>
      </w:r>
      <w:proofErr w:type="spellStart"/>
      <w:r w:rsidRPr="008151B5">
        <w:rPr>
          <w:rFonts w:cs="Times New Roman"/>
          <w:highlight w:val="yellow"/>
        </w:rPr>
        <w:t>Esawi</w:t>
      </w:r>
      <w:proofErr w:type="spellEnd"/>
      <w:r w:rsidRPr="008151B5">
        <w:rPr>
          <w:rFonts w:cs="Times New Roman"/>
          <w:highlight w:val="yellow"/>
        </w:rPr>
        <w:t xml:space="preserve">, M.; </w:t>
      </w:r>
      <w:proofErr w:type="spellStart"/>
      <w:r w:rsidRPr="008151B5">
        <w:rPr>
          <w:rFonts w:cs="Times New Roman"/>
          <w:highlight w:val="yellow"/>
        </w:rPr>
        <w:t>Elkelish</w:t>
      </w:r>
      <w:proofErr w:type="spellEnd"/>
      <w:r w:rsidRPr="008151B5">
        <w:rPr>
          <w:rFonts w:cs="Times New Roman"/>
          <w:highlight w:val="yellow"/>
        </w:rPr>
        <w:t>, A. Trichoderma-induced improvement in growth, photosynthetic pigments, Proline, and Glutathione levels in Cucurbita pepo seedlings under salt stress. Phyton 2020, 89, 473–486. [</w:t>
      </w:r>
      <w:hyperlink r:id="rId36" w:tgtFrame="_blank" w:history="1">
        <w:r w:rsidRPr="008151B5">
          <w:rPr>
            <w:rStyle w:val="Hyperlink"/>
            <w:rFonts w:cs="Times New Roman"/>
            <w:sz w:val="22"/>
            <w:highlight w:val="yellow"/>
          </w:rPr>
          <w:t>Google Scholar</w:t>
        </w:r>
      </w:hyperlink>
      <w:r w:rsidRPr="008151B5">
        <w:rPr>
          <w:rFonts w:cs="Times New Roman"/>
          <w:highlight w:val="yellow"/>
        </w:rPr>
        <w:t>] [</w:t>
      </w:r>
      <w:proofErr w:type="spellStart"/>
      <w:r w:rsidRPr="008151B5">
        <w:rPr>
          <w:rFonts w:cs="Times New Roman"/>
          <w:highlight w:val="yellow"/>
        </w:rPr>
        <w:fldChar w:fldCharType="begin"/>
      </w:r>
      <w:r w:rsidRPr="008151B5">
        <w:rPr>
          <w:rFonts w:cs="Times New Roman"/>
          <w:highlight w:val="yellow"/>
        </w:rPr>
        <w:instrText>HYPERLINK "https://doi.org/10.32604/phyton.2020.08795" \t "_blank"</w:instrText>
      </w:r>
      <w:r w:rsidRPr="008151B5">
        <w:rPr>
          <w:highlight w:val="yellow"/>
        </w:rPr>
      </w:r>
      <w:r w:rsidRPr="008151B5">
        <w:rPr>
          <w:rFonts w:cs="Times New Roman"/>
          <w:highlight w:val="yellow"/>
        </w:rPr>
        <w:fldChar w:fldCharType="separate"/>
      </w:r>
      <w:r w:rsidRPr="008151B5">
        <w:rPr>
          <w:rStyle w:val="Hyperlink"/>
          <w:rFonts w:cs="Times New Roman"/>
          <w:sz w:val="22"/>
          <w:highlight w:val="yellow"/>
        </w:rPr>
        <w:t>CrossRef</w:t>
      </w:r>
      <w:proofErr w:type="spellEnd"/>
      <w:r w:rsidRPr="008151B5">
        <w:rPr>
          <w:rFonts w:cs="Times New Roman"/>
          <w:highlight w:val="yellow"/>
        </w:rPr>
        <w:fldChar w:fldCharType="end"/>
      </w:r>
      <w:r w:rsidRPr="008151B5">
        <w:rPr>
          <w:rFonts w:cs="Times New Roman"/>
          <w:highlight w:val="yellow"/>
        </w:rPr>
        <w:t>]</w:t>
      </w:r>
    </w:p>
    <w:p w14:paraId="40FCF057"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Su, Z., Liu, X., Wang, Z., &amp; Wang, J. (2024). Biochar effects on salt-affected soil properties and plant productivity: A global meta-analysis. </w:t>
      </w:r>
      <w:r w:rsidRPr="008151B5">
        <w:rPr>
          <w:rFonts w:cs="Times New Roman"/>
          <w:i/>
          <w:iCs/>
          <w:highlight w:val="yellow"/>
        </w:rPr>
        <w:t>Journal of Environmental Management</w:t>
      </w:r>
      <w:r w:rsidRPr="008151B5">
        <w:rPr>
          <w:rFonts w:cs="Times New Roman"/>
          <w:highlight w:val="yellow"/>
        </w:rPr>
        <w:t xml:space="preserve">, </w:t>
      </w:r>
      <w:r w:rsidRPr="008151B5">
        <w:rPr>
          <w:rFonts w:cs="Times New Roman"/>
          <w:i/>
          <w:iCs/>
          <w:highlight w:val="yellow"/>
        </w:rPr>
        <w:t>366</w:t>
      </w:r>
      <w:r w:rsidRPr="008151B5">
        <w:rPr>
          <w:rFonts w:cs="Times New Roman"/>
          <w:highlight w:val="yellow"/>
        </w:rPr>
        <w:t>, 121653.</w:t>
      </w:r>
    </w:p>
    <w:p w14:paraId="429D214E" w14:textId="77777777" w:rsidR="00F84517" w:rsidRPr="008151B5" w:rsidRDefault="00F84517" w:rsidP="008151B5">
      <w:pPr>
        <w:pStyle w:val="ListParagraph"/>
        <w:numPr>
          <w:ilvl w:val="0"/>
          <w:numId w:val="4"/>
        </w:numPr>
        <w:spacing w:after="0" w:line="360" w:lineRule="auto"/>
        <w:jc w:val="both"/>
        <w:rPr>
          <w:rFonts w:cs="Times New Roman"/>
          <w:highlight w:val="yellow"/>
        </w:rPr>
      </w:pPr>
      <w:bookmarkStart w:id="15" w:name="_Hlk227195302"/>
      <w:r w:rsidRPr="008151B5">
        <w:rPr>
          <w:rFonts w:cs="Times New Roman"/>
          <w:highlight w:val="yellow"/>
        </w:rPr>
        <w:t>Sun, F.; Lu, S</w:t>
      </w:r>
      <w:bookmarkEnd w:id="15"/>
      <w:r w:rsidRPr="008151B5">
        <w:rPr>
          <w:rFonts w:cs="Times New Roman"/>
          <w:highlight w:val="yellow"/>
        </w:rPr>
        <w:t xml:space="preserve">. </w:t>
      </w:r>
      <w:proofErr w:type="spellStart"/>
      <w:r w:rsidRPr="008151B5">
        <w:rPr>
          <w:rFonts w:cs="Times New Roman"/>
          <w:highlight w:val="yellow"/>
        </w:rPr>
        <w:t>Biochars</w:t>
      </w:r>
      <w:proofErr w:type="spellEnd"/>
      <w:r w:rsidRPr="008151B5">
        <w:rPr>
          <w:rFonts w:cs="Times New Roman"/>
          <w:highlight w:val="yellow"/>
        </w:rPr>
        <w:t xml:space="preserve"> Improve Aggregate Stability, Water Retention, and Pore-Space Properties of Clayey Soil. Z. </w:t>
      </w:r>
      <w:proofErr w:type="spellStart"/>
      <w:r w:rsidRPr="008151B5">
        <w:rPr>
          <w:rFonts w:cs="Times New Roman"/>
          <w:highlight w:val="yellow"/>
        </w:rPr>
        <w:t>Pflanzenernähr</w:t>
      </w:r>
      <w:proofErr w:type="spellEnd"/>
      <w:r w:rsidRPr="008151B5">
        <w:rPr>
          <w:rFonts w:cs="Times New Roman"/>
          <w:highlight w:val="yellow"/>
        </w:rPr>
        <w:t xml:space="preserve">. </w:t>
      </w:r>
      <w:proofErr w:type="spellStart"/>
      <w:r w:rsidRPr="008151B5">
        <w:rPr>
          <w:rFonts w:cs="Times New Roman"/>
          <w:highlight w:val="yellow"/>
        </w:rPr>
        <w:t>Bodenk</w:t>
      </w:r>
      <w:proofErr w:type="spellEnd"/>
      <w:r w:rsidRPr="008151B5">
        <w:rPr>
          <w:rFonts w:cs="Times New Roman"/>
          <w:highlight w:val="yellow"/>
        </w:rPr>
        <w:t>. 2014, 177, 26–33. [</w:t>
      </w:r>
      <w:proofErr w:type="spellStart"/>
      <w:r w:rsidRPr="008151B5">
        <w:rPr>
          <w:rFonts w:cs="Times New Roman"/>
          <w:highlight w:val="yellow"/>
        </w:rPr>
        <w:t>CrossRef</w:t>
      </w:r>
      <w:proofErr w:type="spellEnd"/>
    </w:p>
    <w:p w14:paraId="2113962A"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Szabados, L., &amp; </w:t>
      </w:r>
      <w:proofErr w:type="spellStart"/>
      <w:r w:rsidRPr="008151B5">
        <w:rPr>
          <w:rFonts w:cs="Times New Roman"/>
          <w:highlight w:val="yellow"/>
        </w:rPr>
        <w:t>Savouré</w:t>
      </w:r>
      <w:proofErr w:type="spellEnd"/>
      <w:r w:rsidRPr="008151B5">
        <w:rPr>
          <w:rFonts w:cs="Times New Roman"/>
          <w:highlight w:val="yellow"/>
        </w:rPr>
        <w:t xml:space="preserve">, A. (2010). Proline: A multifunctional amino acid. </w:t>
      </w:r>
      <w:r w:rsidRPr="008151B5">
        <w:rPr>
          <w:rFonts w:cs="Times New Roman"/>
          <w:i/>
          <w:iCs/>
          <w:highlight w:val="yellow"/>
        </w:rPr>
        <w:t>Trends in Plant Science, 15</w:t>
      </w:r>
      <w:r w:rsidRPr="008151B5">
        <w:rPr>
          <w:rFonts w:cs="Times New Roman"/>
          <w:highlight w:val="yellow"/>
        </w:rPr>
        <w:t>(2), 89–97. https://doi.org/10.1016/j.tplants.2009.11.009</w:t>
      </w:r>
    </w:p>
    <w:p w14:paraId="0774812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Walkley, A., &amp; Black, I. A. (1934). An examination of the </w:t>
      </w:r>
      <w:proofErr w:type="spellStart"/>
      <w:r w:rsidRPr="008151B5">
        <w:rPr>
          <w:rFonts w:cs="Times New Roman"/>
          <w:highlight w:val="yellow"/>
        </w:rPr>
        <w:t>Degtjareff</w:t>
      </w:r>
      <w:proofErr w:type="spellEnd"/>
      <w:r w:rsidRPr="008151B5">
        <w:rPr>
          <w:rFonts w:cs="Times New Roman"/>
          <w:highlight w:val="yellow"/>
        </w:rPr>
        <w:t xml:space="preserve"> method for determining soil organic matter, and a proposed modification of the chromic acid titration method. </w:t>
      </w:r>
      <w:r w:rsidRPr="008151B5">
        <w:rPr>
          <w:rFonts w:cs="Times New Roman"/>
          <w:i/>
          <w:iCs/>
          <w:highlight w:val="yellow"/>
        </w:rPr>
        <w:t>Soil Science, 37</w:t>
      </w:r>
      <w:r w:rsidRPr="008151B5">
        <w:rPr>
          <w:rFonts w:cs="Times New Roman"/>
          <w:highlight w:val="yellow"/>
        </w:rPr>
        <w:t>(1), 29–38.</w:t>
      </w:r>
    </w:p>
    <w:p w14:paraId="1B8BA257"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Wei Wu, et al. (2020). Biochar application improves soil fertility and crop productivity through microbial </w:t>
      </w:r>
      <w:r w:rsidRPr="008151B5">
        <w:rPr>
          <w:rFonts w:cs="Times New Roman"/>
          <w:i/>
          <w:iCs/>
          <w:highlight w:val="yellow"/>
        </w:rPr>
        <w:t>regulation.</w:t>
      </w:r>
      <w:r w:rsidRPr="008151B5">
        <w:rPr>
          <w:rFonts w:cs="Times New Roman"/>
          <w:highlight w:val="yellow"/>
        </w:rPr>
        <w:t xml:space="preserve"> </w:t>
      </w:r>
      <w:r w:rsidRPr="008151B5">
        <w:rPr>
          <w:rFonts w:cs="Times New Roman"/>
          <w:i/>
          <w:iCs/>
          <w:highlight w:val="yellow"/>
        </w:rPr>
        <w:t>Agriculture, Ecosystems &amp; Environment,</w:t>
      </w:r>
      <w:r w:rsidRPr="008151B5">
        <w:rPr>
          <w:rFonts w:cs="Times New Roman"/>
          <w:highlight w:val="yellow"/>
        </w:rPr>
        <w:t xml:space="preserve"> 300, 106972.</w:t>
      </w:r>
    </w:p>
    <w:p w14:paraId="56DFB008"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Wu, C., Zhi, D., Yao, B., Zhou, Y., Yang, Y., &amp; Zhou, Y. (2022). Immobilization of microbes on biochar for water and soil remediation: A review. </w:t>
      </w:r>
      <w:r w:rsidRPr="008151B5">
        <w:rPr>
          <w:rFonts w:cs="Times New Roman"/>
          <w:i/>
          <w:iCs/>
          <w:highlight w:val="yellow"/>
        </w:rPr>
        <w:t>Environmental Research, 212</w:t>
      </w:r>
      <w:r w:rsidRPr="008151B5">
        <w:rPr>
          <w:rFonts w:cs="Times New Roman"/>
          <w:highlight w:val="yellow"/>
        </w:rPr>
        <w:t>, 113226.</w:t>
      </w:r>
    </w:p>
    <w:p w14:paraId="5E71073C" w14:textId="77777777" w:rsidR="00F84517" w:rsidRPr="008151B5" w:rsidRDefault="00F84517" w:rsidP="008151B5">
      <w:pPr>
        <w:pStyle w:val="ListParagraph"/>
        <w:numPr>
          <w:ilvl w:val="0"/>
          <w:numId w:val="4"/>
        </w:numPr>
        <w:spacing w:after="0" w:line="360" w:lineRule="auto"/>
        <w:jc w:val="both"/>
        <w:rPr>
          <w:rFonts w:cs="Times New Roman"/>
          <w:sz w:val="22"/>
          <w:highlight w:val="yellow"/>
        </w:rPr>
      </w:pPr>
      <w:r w:rsidRPr="008151B5">
        <w:rPr>
          <w:rFonts w:cs="Times New Roman"/>
          <w:sz w:val="22"/>
          <w:highlight w:val="yellow"/>
        </w:rPr>
        <w:t xml:space="preserve">Wu, W., Wang, D., Bao, X., et al. (2020). Biochar improves soil fertility and crop productivity through microbial regulation. </w:t>
      </w:r>
      <w:r w:rsidRPr="008151B5">
        <w:rPr>
          <w:rFonts w:cs="Times New Roman"/>
          <w:i/>
          <w:iCs/>
          <w:sz w:val="22"/>
          <w:highlight w:val="yellow"/>
        </w:rPr>
        <w:t>Agriculture, Ecosystems &amp; Environment, 300</w:t>
      </w:r>
      <w:r w:rsidRPr="008151B5">
        <w:rPr>
          <w:rFonts w:cs="Times New Roman"/>
          <w:sz w:val="22"/>
          <w:highlight w:val="yellow"/>
        </w:rPr>
        <w:t>, 106972. https://doi.org/10.1016/j.agee.2020.106972</w:t>
      </w:r>
    </w:p>
    <w:p w14:paraId="312F6AF4" w14:textId="77777777" w:rsidR="00F84517" w:rsidRPr="008151B5" w:rsidRDefault="00F84517" w:rsidP="008151B5">
      <w:pPr>
        <w:pStyle w:val="ListParagraph"/>
        <w:numPr>
          <w:ilvl w:val="0"/>
          <w:numId w:val="4"/>
        </w:numPr>
        <w:spacing w:after="0" w:line="360" w:lineRule="auto"/>
        <w:jc w:val="both"/>
        <w:rPr>
          <w:rFonts w:cs="Times New Roman"/>
          <w:sz w:val="22"/>
          <w:highlight w:val="yellow"/>
        </w:rPr>
      </w:pPr>
      <w:r w:rsidRPr="008151B5">
        <w:rPr>
          <w:rFonts w:cs="Times New Roman"/>
          <w:sz w:val="22"/>
          <w:highlight w:val="yellow"/>
        </w:rPr>
        <w:lastRenderedPageBreak/>
        <w:t xml:space="preserve">Xu, X., &amp; Mou, B. (2015). Responses of spinach to biochar and </w:t>
      </w:r>
      <w:r w:rsidRPr="008151B5">
        <w:rPr>
          <w:rFonts w:cs="Times New Roman"/>
          <w:i/>
          <w:iCs/>
          <w:sz w:val="22"/>
          <w:highlight w:val="yellow"/>
        </w:rPr>
        <w:t>Trichoderma</w:t>
      </w:r>
      <w:r w:rsidRPr="008151B5">
        <w:rPr>
          <w:rFonts w:cs="Times New Roman"/>
          <w:sz w:val="22"/>
          <w:highlight w:val="yellow"/>
        </w:rPr>
        <w:t xml:space="preserve"> under abiotic stress conditions. </w:t>
      </w:r>
      <w:r w:rsidRPr="008151B5">
        <w:rPr>
          <w:rFonts w:cs="Times New Roman"/>
          <w:i/>
          <w:iCs/>
          <w:sz w:val="22"/>
          <w:highlight w:val="yellow"/>
        </w:rPr>
        <w:t xml:space="preserve">Scientia </w:t>
      </w:r>
      <w:proofErr w:type="spellStart"/>
      <w:r w:rsidRPr="008151B5">
        <w:rPr>
          <w:rFonts w:cs="Times New Roman"/>
          <w:i/>
          <w:iCs/>
          <w:sz w:val="22"/>
          <w:highlight w:val="yellow"/>
        </w:rPr>
        <w:t>Horticulturae</w:t>
      </w:r>
      <w:proofErr w:type="spellEnd"/>
      <w:r w:rsidRPr="008151B5">
        <w:rPr>
          <w:rFonts w:cs="Times New Roman"/>
          <w:i/>
          <w:iCs/>
          <w:sz w:val="22"/>
          <w:highlight w:val="yellow"/>
        </w:rPr>
        <w:t>, 186</w:t>
      </w:r>
      <w:r w:rsidRPr="008151B5">
        <w:rPr>
          <w:rFonts w:cs="Times New Roman"/>
          <w:sz w:val="22"/>
          <w:highlight w:val="yellow"/>
        </w:rPr>
        <w:t>, 29–37. https://doi.org/10.1016/j.scienta.2015.01.032</w:t>
      </w:r>
    </w:p>
    <w:p w14:paraId="0326EA89" w14:textId="77777777" w:rsidR="00F84517" w:rsidRPr="008151B5" w:rsidRDefault="00F84517" w:rsidP="008151B5">
      <w:pPr>
        <w:pStyle w:val="ListParagraph"/>
        <w:numPr>
          <w:ilvl w:val="0"/>
          <w:numId w:val="4"/>
        </w:numPr>
        <w:spacing w:after="0" w:line="360" w:lineRule="auto"/>
        <w:jc w:val="both"/>
        <w:rPr>
          <w:rFonts w:cs="Times New Roman"/>
          <w:sz w:val="22"/>
          <w:highlight w:val="yellow"/>
        </w:rPr>
      </w:pPr>
      <w:r w:rsidRPr="008151B5">
        <w:rPr>
          <w:rFonts w:cs="Times New Roman"/>
          <w:sz w:val="22"/>
          <w:highlight w:val="yellow"/>
        </w:rPr>
        <w:t xml:space="preserve">Younis, A., Riaz, A., Tariq, U., et al. (2016). Biochar improves plant physiological performance under drought stress. </w:t>
      </w:r>
      <w:r w:rsidRPr="008151B5">
        <w:rPr>
          <w:rFonts w:cs="Times New Roman"/>
          <w:i/>
          <w:iCs/>
          <w:sz w:val="22"/>
          <w:highlight w:val="yellow"/>
        </w:rPr>
        <w:t>Agriculture, Ecosystems &amp; Environment, 222</w:t>
      </w:r>
      <w:r w:rsidRPr="008151B5">
        <w:rPr>
          <w:rFonts w:cs="Times New Roman"/>
          <w:sz w:val="22"/>
          <w:highlight w:val="yellow"/>
        </w:rPr>
        <w:t>, 181–190. https://doi.org/10.1016/j.agee.2016.02.022</w:t>
      </w:r>
    </w:p>
    <w:p w14:paraId="07003FB9"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Zhang, F., Wang, Y., Liu, C., Chen, F., Ge, H., Tian, F., Yang, T., Ma, K., &amp; Zhang, Y. (2019). </w:t>
      </w:r>
      <w:r w:rsidRPr="008151B5">
        <w:rPr>
          <w:rFonts w:cs="Times New Roman"/>
          <w:i/>
          <w:iCs/>
          <w:highlight w:val="yellow"/>
        </w:rPr>
        <w:t xml:space="preserve">Trichoderma </w:t>
      </w:r>
      <w:proofErr w:type="spellStart"/>
      <w:r w:rsidRPr="008151B5">
        <w:rPr>
          <w:rFonts w:cs="Times New Roman"/>
          <w:i/>
          <w:iCs/>
          <w:highlight w:val="yellow"/>
        </w:rPr>
        <w:t>harzianum</w:t>
      </w:r>
      <w:proofErr w:type="spellEnd"/>
      <w:r w:rsidRPr="008151B5">
        <w:rPr>
          <w:rFonts w:cs="Times New Roman"/>
          <w:highlight w:val="yellow"/>
        </w:rPr>
        <w:t xml:space="preserve"> mitigates salt stress in cucumber via multiple responses. </w:t>
      </w:r>
      <w:r w:rsidRPr="008151B5">
        <w:rPr>
          <w:rFonts w:cs="Times New Roman"/>
          <w:i/>
          <w:iCs/>
          <w:highlight w:val="yellow"/>
        </w:rPr>
        <w:t>Ecotoxicology and Environmental Safety</w:t>
      </w:r>
      <w:r w:rsidRPr="008151B5">
        <w:rPr>
          <w:rFonts w:cs="Times New Roman"/>
          <w:highlight w:val="yellow"/>
        </w:rPr>
        <w:t xml:space="preserve">, 170, 436–445. </w:t>
      </w:r>
      <w:hyperlink r:id="rId37" w:history="1">
        <w:r w:rsidRPr="008151B5">
          <w:rPr>
            <w:rStyle w:val="Hyperlink"/>
            <w:rFonts w:cs="Times New Roman"/>
            <w:sz w:val="22"/>
            <w:highlight w:val="yellow"/>
          </w:rPr>
          <w:t>https://doi.org/10.1016/j.ecoenv.2018.11.046</w:t>
        </w:r>
      </w:hyperlink>
    </w:p>
    <w:p w14:paraId="2F99474B"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lang w:val="fr-FR"/>
        </w:rPr>
        <w:t xml:space="preserve">Zhang, J., &amp; Kirkham, M. B. (1994). </w:t>
      </w:r>
      <w:r w:rsidRPr="008151B5">
        <w:rPr>
          <w:rFonts w:cs="Times New Roman"/>
          <w:highlight w:val="yellow"/>
        </w:rPr>
        <w:t xml:space="preserve">Drought-stress-induced changes in activities of superoxide dismutase, catalase, and peroxidase in wheat species. </w:t>
      </w:r>
      <w:r w:rsidRPr="008151B5">
        <w:rPr>
          <w:rFonts w:cs="Times New Roman"/>
          <w:i/>
          <w:iCs/>
          <w:highlight w:val="yellow"/>
        </w:rPr>
        <w:t>Plant and Cell Physiology, 35</w:t>
      </w:r>
      <w:r w:rsidRPr="008151B5">
        <w:rPr>
          <w:rFonts w:cs="Times New Roman"/>
          <w:highlight w:val="yellow"/>
        </w:rPr>
        <w:t>(5), 785–791.</w:t>
      </w:r>
    </w:p>
    <w:p w14:paraId="2650E3BA"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Zhang, X. Z. (1992). The measurement and mechanism of lipid peroxidation and SOD, POD and CAT activities in biological systems. </w:t>
      </w:r>
      <w:r w:rsidRPr="008151B5">
        <w:rPr>
          <w:rFonts w:cs="Times New Roman"/>
          <w:i/>
          <w:iCs/>
          <w:highlight w:val="yellow"/>
        </w:rPr>
        <w:t>Research Methodology in Crop Physiology, 15</w:t>
      </w:r>
      <w:r w:rsidRPr="008151B5">
        <w:rPr>
          <w:rFonts w:cs="Times New Roman"/>
          <w:highlight w:val="yellow"/>
        </w:rPr>
        <w:t>, 208–211.</w:t>
      </w:r>
    </w:p>
    <w:p w14:paraId="083D18D9" w14:textId="77777777" w:rsidR="00F84517" w:rsidRPr="008151B5" w:rsidRDefault="00F84517" w:rsidP="008151B5">
      <w:pPr>
        <w:pStyle w:val="ListParagraph"/>
        <w:numPr>
          <w:ilvl w:val="0"/>
          <w:numId w:val="4"/>
        </w:numPr>
        <w:spacing w:after="0" w:line="360" w:lineRule="auto"/>
        <w:jc w:val="both"/>
        <w:rPr>
          <w:rFonts w:cs="Times New Roman"/>
          <w:sz w:val="22"/>
          <w:highlight w:val="yellow"/>
        </w:rPr>
      </w:pPr>
      <w:r w:rsidRPr="008151B5">
        <w:rPr>
          <w:rFonts w:cs="Times New Roman"/>
          <w:sz w:val="22"/>
          <w:highlight w:val="yellow"/>
          <w:lang w:val="en-US"/>
        </w:rPr>
        <w:t>Z</w:t>
      </w:r>
      <w:r w:rsidRPr="008151B5">
        <w:rPr>
          <w:rFonts w:cs="Times New Roman"/>
          <w:sz w:val="22"/>
          <w:highlight w:val="yellow"/>
        </w:rPr>
        <w:t xml:space="preserve">hang, Y., Li, X., Chen, J., et al. (2023). Biochar and beneficial microbes enhance drought tolerance through physiological and antioxidant regulation in plants. </w:t>
      </w:r>
      <w:r w:rsidRPr="008151B5">
        <w:rPr>
          <w:rFonts w:cs="Times New Roman"/>
          <w:i/>
          <w:iCs/>
          <w:sz w:val="22"/>
          <w:highlight w:val="yellow"/>
        </w:rPr>
        <w:t>Plant Physiology and Biochemistry, 197</w:t>
      </w:r>
      <w:r w:rsidRPr="008151B5">
        <w:rPr>
          <w:rFonts w:cs="Times New Roman"/>
          <w:sz w:val="22"/>
          <w:highlight w:val="yellow"/>
        </w:rPr>
        <w:t>, 107643.</w:t>
      </w:r>
    </w:p>
    <w:p w14:paraId="2AEEF67E" w14:textId="77777777" w:rsidR="00F84517" w:rsidRPr="008151B5" w:rsidRDefault="00F84517" w:rsidP="008151B5">
      <w:pPr>
        <w:pStyle w:val="ListParagraph"/>
        <w:numPr>
          <w:ilvl w:val="0"/>
          <w:numId w:val="4"/>
        </w:numPr>
        <w:spacing w:after="0" w:line="360" w:lineRule="auto"/>
        <w:jc w:val="both"/>
        <w:rPr>
          <w:rFonts w:cs="Times New Roman"/>
          <w:highlight w:val="yellow"/>
        </w:rPr>
      </w:pPr>
      <w:bookmarkStart w:id="16" w:name="_Hlk227193816"/>
      <w:r w:rsidRPr="008151B5">
        <w:rPr>
          <w:rFonts w:cs="Times New Roman"/>
          <w:highlight w:val="yellow"/>
        </w:rPr>
        <w:t xml:space="preserve">Zin, N.A.; </w:t>
      </w:r>
      <w:proofErr w:type="spellStart"/>
      <w:r w:rsidRPr="008151B5">
        <w:rPr>
          <w:rFonts w:cs="Times New Roman"/>
          <w:highlight w:val="yellow"/>
        </w:rPr>
        <w:t>Badaluddin</w:t>
      </w:r>
      <w:proofErr w:type="spellEnd"/>
      <w:r w:rsidRPr="008151B5">
        <w:rPr>
          <w:rFonts w:cs="Times New Roman"/>
          <w:highlight w:val="yellow"/>
        </w:rPr>
        <w:t xml:space="preserve">, N.A. </w:t>
      </w:r>
      <w:bookmarkEnd w:id="16"/>
      <w:r w:rsidRPr="008151B5">
        <w:rPr>
          <w:rFonts w:cs="Times New Roman"/>
          <w:highlight w:val="yellow"/>
        </w:rPr>
        <w:t>Biological Functions of Trichoderma spp. for Agriculture Applications. Ann. Agric. Sci. 2020, 65, 168–178. [</w:t>
      </w:r>
      <w:hyperlink r:id="rId38" w:tgtFrame="_blank" w:history="1">
        <w:r w:rsidRPr="008151B5">
          <w:rPr>
            <w:rStyle w:val="Hyperlink"/>
            <w:rFonts w:cs="Times New Roman"/>
            <w:sz w:val="22"/>
            <w:highlight w:val="yellow"/>
          </w:rPr>
          <w:t>Google Scholar</w:t>
        </w:r>
      </w:hyperlink>
      <w:r w:rsidRPr="008151B5">
        <w:rPr>
          <w:rFonts w:cs="Times New Roman"/>
          <w:highlight w:val="yellow"/>
        </w:rPr>
        <w:t>] [</w:t>
      </w:r>
      <w:proofErr w:type="spellStart"/>
      <w:r w:rsidRPr="008151B5">
        <w:rPr>
          <w:rFonts w:cs="Times New Roman"/>
          <w:highlight w:val="yellow"/>
        </w:rPr>
        <w:fldChar w:fldCharType="begin"/>
      </w:r>
      <w:r w:rsidRPr="008151B5">
        <w:rPr>
          <w:rFonts w:cs="Times New Roman"/>
          <w:highlight w:val="yellow"/>
        </w:rPr>
        <w:instrText>HYPERLINK "https://doi.org/10.1016/j.aoas.2020.09.003" \t "_blank"</w:instrText>
      </w:r>
      <w:r w:rsidRPr="008151B5">
        <w:rPr>
          <w:highlight w:val="yellow"/>
        </w:rPr>
      </w:r>
      <w:r w:rsidRPr="008151B5">
        <w:rPr>
          <w:rFonts w:cs="Times New Roman"/>
          <w:highlight w:val="yellow"/>
        </w:rPr>
        <w:fldChar w:fldCharType="separate"/>
      </w:r>
      <w:r w:rsidRPr="008151B5">
        <w:rPr>
          <w:rStyle w:val="Hyperlink"/>
          <w:rFonts w:cs="Times New Roman"/>
          <w:sz w:val="22"/>
          <w:highlight w:val="yellow"/>
        </w:rPr>
        <w:t>CrossRef</w:t>
      </w:r>
      <w:proofErr w:type="spellEnd"/>
      <w:r w:rsidRPr="008151B5">
        <w:rPr>
          <w:rFonts w:cs="Times New Roman"/>
          <w:highlight w:val="yellow"/>
        </w:rPr>
        <w:fldChar w:fldCharType="end"/>
      </w:r>
      <w:r w:rsidRPr="008151B5">
        <w:rPr>
          <w:rFonts w:cs="Times New Roman"/>
          <w:highlight w:val="yellow"/>
        </w:rPr>
        <w:t>]</w:t>
      </w:r>
    </w:p>
    <w:p w14:paraId="2C72FDB4" w14:textId="77777777" w:rsidR="00F84517" w:rsidRPr="008151B5" w:rsidRDefault="00F84517" w:rsidP="008151B5">
      <w:pPr>
        <w:pStyle w:val="ListParagraph"/>
        <w:numPr>
          <w:ilvl w:val="0"/>
          <w:numId w:val="4"/>
        </w:numPr>
        <w:spacing w:after="0" w:line="360" w:lineRule="auto"/>
        <w:jc w:val="both"/>
        <w:rPr>
          <w:rFonts w:cs="Times New Roman"/>
          <w:highlight w:val="yellow"/>
        </w:rPr>
      </w:pPr>
      <w:r w:rsidRPr="008151B5">
        <w:rPr>
          <w:rFonts w:cs="Times New Roman"/>
          <w:highlight w:val="yellow"/>
        </w:rPr>
        <w:t xml:space="preserve">Zulfiqar, B.; Raza, M.A.S.; Saleem, M.F.; Aslam, M.U.; Iqbal, R.; Muhammad, F.; Amin, J.; Ibrahim, M.A.; Khan, I.H. Biochar Enhances Wheat Crop Productivity by Mitigating the Effects of Drought: Insights into Physiological and Antioxidant </w:t>
      </w:r>
      <w:proofErr w:type="spellStart"/>
      <w:r w:rsidRPr="008151B5">
        <w:rPr>
          <w:rFonts w:cs="Times New Roman"/>
          <w:highlight w:val="yellow"/>
        </w:rPr>
        <w:t>Defense</w:t>
      </w:r>
      <w:proofErr w:type="spellEnd"/>
      <w:r w:rsidRPr="008151B5">
        <w:rPr>
          <w:rFonts w:cs="Times New Roman"/>
          <w:highlight w:val="yellow"/>
        </w:rPr>
        <w:t xml:space="preserve"> Mechanisms. </w:t>
      </w:r>
      <w:proofErr w:type="spellStart"/>
      <w:r w:rsidRPr="008151B5">
        <w:rPr>
          <w:rFonts w:cs="Times New Roman"/>
          <w:highlight w:val="yellow"/>
        </w:rPr>
        <w:t>PLoS</w:t>
      </w:r>
      <w:proofErr w:type="spellEnd"/>
      <w:r w:rsidRPr="008151B5">
        <w:rPr>
          <w:rFonts w:cs="Times New Roman"/>
          <w:highlight w:val="yellow"/>
        </w:rPr>
        <w:t xml:space="preserve"> ONE 2022, 17, 0267819.</w:t>
      </w:r>
    </w:p>
    <w:p w14:paraId="59B5B996" w14:textId="77777777" w:rsidR="00F15FD7" w:rsidRDefault="00F15FD7" w:rsidP="008151B5">
      <w:pPr>
        <w:spacing w:line="360" w:lineRule="auto"/>
        <w:jc w:val="both"/>
        <w:rPr>
          <w:rFonts w:ascii="Times New Roman" w:hAnsi="Times New Roman" w:cs="Times New Roman"/>
          <w:lang w:val="en-GB"/>
        </w:rPr>
      </w:pPr>
    </w:p>
    <w:sectPr w:rsidR="00F15FD7">
      <w:pgSz w:w="12240" w:h="15840"/>
      <w:pgMar w:top="1440" w:right="81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42ECA" w14:textId="77777777" w:rsidR="00A232B6" w:rsidRDefault="00A232B6">
      <w:pPr>
        <w:spacing w:line="240" w:lineRule="auto"/>
      </w:pPr>
      <w:r>
        <w:separator/>
      </w:r>
    </w:p>
  </w:endnote>
  <w:endnote w:type="continuationSeparator" w:id="0">
    <w:p w14:paraId="1D61F33D" w14:textId="77777777" w:rsidR="00A232B6" w:rsidRDefault="00A232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A51D" w14:textId="77777777" w:rsidR="00C36435" w:rsidRDefault="00C36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395E" w14:textId="77777777" w:rsidR="00C36435" w:rsidRDefault="00C364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3D10" w14:textId="77777777" w:rsidR="00C36435" w:rsidRDefault="00C36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0250F" w14:textId="77777777" w:rsidR="00A232B6" w:rsidRDefault="00A232B6">
      <w:pPr>
        <w:spacing w:after="0"/>
      </w:pPr>
      <w:r>
        <w:separator/>
      </w:r>
    </w:p>
  </w:footnote>
  <w:footnote w:type="continuationSeparator" w:id="0">
    <w:p w14:paraId="6D9F9233" w14:textId="77777777" w:rsidR="00A232B6" w:rsidRDefault="00A232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4756" w14:textId="617632BC" w:rsidR="00C36435" w:rsidRDefault="00000000">
    <w:pPr>
      <w:pStyle w:val="Header"/>
    </w:pPr>
    <w:r>
      <w:rPr>
        <w:noProof/>
      </w:rPr>
      <w:pict w14:anchorId="76A2D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630844"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A3B3" w14:textId="49386935" w:rsidR="00C36435" w:rsidRDefault="00000000">
    <w:pPr>
      <w:pStyle w:val="Header"/>
    </w:pPr>
    <w:r>
      <w:rPr>
        <w:noProof/>
      </w:rPr>
      <w:pict w14:anchorId="700349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630845"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3AE3" w14:textId="39AC5B7B" w:rsidR="00C36435" w:rsidRDefault="00000000">
    <w:pPr>
      <w:pStyle w:val="Header"/>
    </w:pPr>
    <w:r>
      <w:rPr>
        <w:noProof/>
      </w:rPr>
      <w:pict w14:anchorId="7A5F6B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630843"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E3C22"/>
    <w:multiLevelType w:val="multilevel"/>
    <w:tmpl w:val="191E3C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B11E17"/>
    <w:multiLevelType w:val="multilevel"/>
    <w:tmpl w:val="1EB11E17"/>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2D62D93"/>
    <w:multiLevelType w:val="multilevel"/>
    <w:tmpl w:val="22D62D9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7DAE4895"/>
    <w:multiLevelType w:val="hybridMultilevel"/>
    <w:tmpl w:val="9544CB6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4239476">
    <w:abstractNumId w:val="1"/>
  </w:num>
  <w:num w:numId="2" w16cid:durableId="1022165275">
    <w:abstractNumId w:val="2"/>
  </w:num>
  <w:num w:numId="3" w16cid:durableId="1050227843">
    <w:abstractNumId w:val="0"/>
  </w:num>
  <w:num w:numId="4" w16cid:durableId="128478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19"/>
    <w:rsid w:val="000036F4"/>
    <w:rsid w:val="00005687"/>
    <w:rsid w:val="000101FE"/>
    <w:rsid w:val="00014FFF"/>
    <w:rsid w:val="00015148"/>
    <w:rsid w:val="0001668F"/>
    <w:rsid w:val="00017FAB"/>
    <w:rsid w:val="000213BD"/>
    <w:rsid w:val="00031B23"/>
    <w:rsid w:val="00034283"/>
    <w:rsid w:val="0003458F"/>
    <w:rsid w:val="0004107A"/>
    <w:rsid w:val="00057065"/>
    <w:rsid w:val="000575EF"/>
    <w:rsid w:val="00060FBE"/>
    <w:rsid w:val="00071258"/>
    <w:rsid w:val="00072ECE"/>
    <w:rsid w:val="0007425C"/>
    <w:rsid w:val="000956EB"/>
    <w:rsid w:val="000C5E13"/>
    <w:rsid w:val="000D3880"/>
    <w:rsid w:val="000E0354"/>
    <w:rsid w:val="000F3404"/>
    <w:rsid w:val="0010404B"/>
    <w:rsid w:val="0011321C"/>
    <w:rsid w:val="00113790"/>
    <w:rsid w:val="001239D5"/>
    <w:rsid w:val="00141935"/>
    <w:rsid w:val="001451A3"/>
    <w:rsid w:val="00146520"/>
    <w:rsid w:val="001629C8"/>
    <w:rsid w:val="001706AC"/>
    <w:rsid w:val="00181C81"/>
    <w:rsid w:val="00191A4A"/>
    <w:rsid w:val="001968FE"/>
    <w:rsid w:val="001C2C6F"/>
    <w:rsid w:val="001D4E48"/>
    <w:rsid w:val="001E628A"/>
    <w:rsid w:val="001F18FF"/>
    <w:rsid w:val="002073AE"/>
    <w:rsid w:val="0022302C"/>
    <w:rsid w:val="002309ED"/>
    <w:rsid w:val="0024156E"/>
    <w:rsid w:val="0025237C"/>
    <w:rsid w:val="0025612E"/>
    <w:rsid w:val="002618F2"/>
    <w:rsid w:val="00270325"/>
    <w:rsid w:val="0027694F"/>
    <w:rsid w:val="00292F60"/>
    <w:rsid w:val="002A3F2E"/>
    <w:rsid w:val="002C4209"/>
    <w:rsid w:val="002E6685"/>
    <w:rsid w:val="00304CF7"/>
    <w:rsid w:val="003078B0"/>
    <w:rsid w:val="00330597"/>
    <w:rsid w:val="00331167"/>
    <w:rsid w:val="00332411"/>
    <w:rsid w:val="00341D30"/>
    <w:rsid w:val="00344A99"/>
    <w:rsid w:val="00344A9E"/>
    <w:rsid w:val="00361237"/>
    <w:rsid w:val="00373700"/>
    <w:rsid w:val="003766B4"/>
    <w:rsid w:val="0037790F"/>
    <w:rsid w:val="003916F6"/>
    <w:rsid w:val="00395216"/>
    <w:rsid w:val="003974D8"/>
    <w:rsid w:val="003B1FC6"/>
    <w:rsid w:val="004053FA"/>
    <w:rsid w:val="0044381C"/>
    <w:rsid w:val="00457272"/>
    <w:rsid w:val="004A2492"/>
    <w:rsid w:val="004A6A3F"/>
    <w:rsid w:val="004B10FA"/>
    <w:rsid w:val="004C4B76"/>
    <w:rsid w:val="004D3752"/>
    <w:rsid w:val="00504CE0"/>
    <w:rsid w:val="005151D6"/>
    <w:rsid w:val="0052163F"/>
    <w:rsid w:val="005278AD"/>
    <w:rsid w:val="00532B5E"/>
    <w:rsid w:val="0054372D"/>
    <w:rsid w:val="00563E74"/>
    <w:rsid w:val="00573BF2"/>
    <w:rsid w:val="0057405E"/>
    <w:rsid w:val="00592A6B"/>
    <w:rsid w:val="00595C83"/>
    <w:rsid w:val="005A4EF3"/>
    <w:rsid w:val="005B6EFA"/>
    <w:rsid w:val="005C772E"/>
    <w:rsid w:val="005D3865"/>
    <w:rsid w:val="005E092F"/>
    <w:rsid w:val="005E4129"/>
    <w:rsid w:val="005E5273"/>
    <w:rsid w:val="005F2EC4"/>
    <w:rsid w:val="00607B1C"/>
    <w:rsid w:val="00611C00"/>
    <w:rsid w:val="00614264"/>
    <w:rsid w:val="006175B2"/>
    <w:rsid w:val="006233E5"/>
    <w:rsid w:val="00623D51"/>
    <w:rsid w:val="00625320"/>
    <w:rsid w:val="0064445C"/>
    <w:rsid w:val="0064718A"/>
    <w:rsid w:val="00652881"/>
    <w:rsid w:val="006528FF"/>
    <w:rsid w:val="0066301C"/>
    <w:rsid w:val="00683760"/>
    <w:rsid w:val="00684159"/>
    <w:rsid w:val="00694365"/>
    <w:rsid w:val="0069693C"/>
    <w:rsid w:val="006A30B3"/>
    <w:rsid w:val="006B33FC"/>
    <w:rsid w:val="006C0655"/>
    <w:rsid w:val="006C34B1"/>
    <w:rsid w:val="006E5EC5"/>
    <w:rsid w:val="006F34D7"/>
    <w:rsid w:val="006F7C9E"/>
    <w:rsid w:val="00702106"/>
    <w:rsid w:val="00711475"/>
    <w:rsid w:val="007209C6"/>
    <w:rsid w:val="00744567"/>
    <w:rsid w:val="00763F49"/>
    <w:rsid w:val="00777BA1"/>
    <w:rsid w:val="00794633"/>
    <w:rsid w:val="00795638"/>
    <w:rsid w:val="007961AB"/>
    <w:rsid w:val="007A4B67"/>
    <w:rsid w:val="007A4D53"/>
    <w:rsid w:val="007A53BF"/>
    <w:rsid w:val="007E0FB1"/>
    <w:rsid w:val="007E6558"/>
    <w:rsid w:val="007F4A62"/>
    <w:rsid w:val="00810446"/>
    <w:rsid w:val="008151B5"/>
    <w:rsid w:val="00827E96"/>
    <w:rsid w:val="0083030D"/>
    <w:rsid w:val="00856600"/>
    <w:rsid w:val="00863186"/>
    <w:rsid w:val="00884C80"/>
    <w:rsid w:val="00884F96"/>
    <w:rsid w:val="008868A8"/>
    <w:rsid w:val="00890537"/>
    <w:rsid w:val="008917AD"/>
    <w:rsid w:val="00891CF8"/>
    <w:rsid w:val="008D3FC6"/>
    <w:rsid w:val="00904447"/>
    <w:rsid w:val="00904FF1"/>
    <w:rsid w:val="00906D62"/>
    <w:rsid w:val="00907705"/>
    <w:rsid w:val="00915F00"/>
    <w:rsid w:val="00916106"/>
    <w:rsid w:val="00916994"/>
    <w:rsid w:val="00921916"/>
    <w:rsid w:val="0093478C"/>
    <w:rsid w:val="00937A35"/>
    <w:rsid w:val="009549A7"/>
    <w:rsid w:val="00972095"/>
    <w:rsid w:val="009932B6"/>
    <w:rsid w:val="00994979"/>
    <w:rsid w:val="009C29FB"/>
    <w:rsid w:val="009D3255"/>
    <w:rsid w:val="009F7327"/>
    <w:rsid w:val="00A03000"/>
    <w:rsid w:val="00A06582"/>
    <w:rsid w:val="00A1357B"/>
    <w:rsid w:val="00A232B6"/>
    <w:rsid w:val="00A41D37"/>
    <w:rsid w:val="00A60A98"/>
    <w:rsid w:val="00A70578"/>
    <w:rsid w:val="00A817A6"/>
    <w:rsid w:val="00A91106"/>
    <w:rsid w:val="00AC329B"/>
    <w:rsid w:val="00AE378D"/>
    <w:rsid w:val="00AE52A7"/>
    <w:rsid w:val="00AF1690"/>
    <w:rsid w:val="00AF23B2"/>
    <w:rsid w:val="00B06562"/>
    <w:rsid w:val="00B135A8"/>
    <w:rsid w:val="00B26431"/>
    <w:rsid w:val="00B35F40"/>
    <w:rsid w:val="00B62C83"/>
    <w:rsid w:val="00B73BC2"/>
    <w:rsid w:val="00B82EF8"/>
    <w:rsid w:val="00B90819"/>
    <w:rsid w:val="00B90EFD"/>
    <w:rsid w:val="00B940AB"/>
    <w:rsid w:val="00BA7D27"/>
    <w:rsid w:val="00BB16BC"/>
    <w:rsid w:val="00BB7691"/>
    <w:rsid w:val="00BD07C2"/>
    <w:rsid w:val="00C35951"/>
    <w:rsid w:val="00C36435"/>
    <w:rsid w:val="00C60692"/>
    <w:rsid w:val="00C658D9"/>
    <w:rsid w:val="00CB2AB5"/>
    <w:rsid w:val="00CB6EF3"/>
    <w:rsid w:val="00CC0453"/>
    <w:rsid w:val="00CD1627"/>
    <w:rsid w:val="00CE024F"/>
    <w:rsid w:val="00CE63A3"/>
    <w:rsid w:val="00CE77FD"/>
    <w:rsid w:val="00CE7B10"/>
    <w:rsid w:val="00D0771D"/>
    <w:rsid w:val="00D32293"/>
    <w:rsid w:val="00D345BA"/>
    <w:rsid w:val="00D37332"/>
    <w:rsid w:val="00D4048A"/>
    <w:rsid w:val="00D646C3"/>
    <w:rsid w:val="00D8272A"/>
    <w:rsid w:val="00D84490"/>
    <w:rsid w:val="00D86439"/>
    <w:rsid w:val="00DB4B70"/>
    <w:rsid w:val="00DD7677"/>
    <w:rsid w:val="00DE04E4"/>
    <w:rsid w:val="00DF0D46"/>
    <w:rsid w:val="00E1602B"/>
    <w:rsid w:val="00E179C4"/>
    <w:rsid w:val="00E665BC"/>
    <w:rsid w:val="00E9683B"/>
    <w:rsid w:val="00EA7EC0"/>
    <w:rsid w:val="00EB3964"/>
    <w:rsid w:val="00EB7718"/>
    <w:rsid w:val="00EC2FDA"/>
    <w:rsid w:val="00EF2848"/>
    <w:rsid w:val="00F04215"/>
    <w:rsid w:val="00F150CF"/>
    <w:rsid w:val="00F154ED"/>
    <w:rsid w:val="00F15FD7"/>
    <w:rsid w:val="00F173D4"/>
    <w:rsid w:val="00F20FFE"/>
    <w:rsid w:val="00F2126F"/>
    <w:rsid w:val="00F26852"/>
    <w:rsid w:val="00F312E6"/>
    <w:rsid w:val="00F5577E"/>
    <w:rsid w:val="00F57782"/>
    <w:rsid w:val="00F674E0"/>
    <w:rsid w:val="00F75D17"/>
    <w:rsid w:val="00F81C06"/>
    <w:rsid w:val="00F84517"/>
    <w:rsid w:val="00F858D2"/>
    <w:rsid w:val="00FA6E23"/>
    <w:rsid w:val="00FB3FB9"/>
    <w:rsid w:val="00FC21ED"/>
    <w:rsid w:val="00FC7AA8"/>
    <w:rsid w:val="00FD0D2C"/>
    <w:rsid w:val="00FE3E67"/>
    <w:rsid w:val="3CFA0E9D"/>
    <w:rsid w:val="7ADF7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F5017"/>
  <w15:docId w15:val="{FEA4568F-A860-46DB-A55A-00D97B49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link w:val="Heading2Char"/>
    <w:uiPriority w:val="9"/>
    <w:semiHidden/>
    <w:unhideWhenUsed/>
    <w:qFormat/>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val="en-GB"/>
    </w:rPr>
  </w:style>
  <w:style w:type="paragraph" w:styleId="Heading3">
    <w:name w:val="heading 3"/>
    <w:basedOn w:val="Normal"/>
    <w:next w:val="Normal"/>
    <w:link w:val="Heading3Char"/>
    <w:uiPriority w:val="9"/>
    <w:unhideWhenUsed/>
    <w:qFormat/>
    <w:pPr>
      <w:keepNext/>
      <w:keepLines/>
      <w:spacing w:before="160" w:after="80" w:line="278" w:lineRule="auto"/>
      <w:outlineLvl w:val="2"/>
    </w:pPr>
    <w:rPr>
      <w:rFonts w:eastAsiaTheme="majorEastAsia" w:cstheme="majorBidi"/>
      <w:color w:val="2F5496" w:themeColor="accent1" w:themeShade="BF"/>
      <w:kern w:val="2"/>
      <w:sz w:val="28"/>
      <w:szCs w:val="28"/>
      <w:lang w:eastAsia="en-GB"/>
      <w14:ligatures w14:val="standardContextual"/>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jc w:val="both"/>
    </w:pPr>
    <w:rPr>
      <w:rFonts w:ascii="Times New Roman" w:hAnsi="Times New Roman"/>
      <w:b/>
      <w:iCs/>
      <w:color w:val="000000" w:themeColor="text1"/>
      <w:sz w:val="24"/>
      <w:szCs w:val="18"/>
      <w:lang w:val="en-GB"/>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563C1" w:themeColor="hyperlink"/>
      <w:u w:val="single"/>
    </w:rPr>
  </w:style>
  <w:style w:type="character" w:styleId="LineNumber">
    <w:name w:val="line number"/>
    <w:basedOn w:val="DefaultParagraphFont"/>
    <w:uiPriority w:val="99"/>
    <w:semiHidden/>
    <w:unhideWhenUsed/>
    <w:qFormat/>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qFormat/>
    <w:rPr>
      <w:rFonts w:eastAsiaTheme="majorEastAsia" w:cstheme="majorBidi"/>
      <w:color w:val="2F5496" w:themeColor="accent1" w:themeShade="BF"/>
      <w:kern w:val="2"/>
      <w:sz w:val="28"/>
      <w:szCs w:val="28"/>
      <w:lang w:eastAsia="en-GB"/>
      <w14:ligatures w14:val="standardContextual"/>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stTable21">
    <w:name w:val="List Table 21"/>
    <w:basedOn w:val="TableNormal"/>
    <w:uiPriority w:val="47"/>
    <w:qFormat/>
    <w:rPr>
      <w:rFonts w:eastAsiaTheme="minorEastAsia"/>
      <w:kern w:val="2"/>
      <w:sz w:val="24"/>
      <w:szCs w:val="24"/>
      <w:lang w:eastAsia="en-GB"/>
      <w14:ligatures w14:val="standardContextual"/>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pPr>
      <w:spacing w:after="200" w:line="276" w:lineRule="auto"/>
      <w:ind w:left="720"/>
      <w:contextualSpacing/>
    </w:pPr>
    <w:rPr>
      <w:rFonts w:ascii="Times New Roman" w:hAnsi="Times New Roman"/>
      <w:color w:val="000000" w:themeColor="text1"/>
      <w:sz w:val="24"/>
      <w:lang w:val="en-GB"/>
    </w:r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Pr>
      <w:sz w:val="22"/>
      <w:szCs w:val="22"/>
    </w:rPr>
  </w:style>
  <w:style w:type="table" w:customStyle="1" w:styleId="LightShading2">
    <w:name w:val="Light Shading2"/>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F5496" w:themeColor="accent1" w:themeShade="BF"/>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0101FE"/>
    <w:rPr>
      <w:color w:val="605E5C"/>
      <w:shd w:val="clear" w:color="auto" w:fill="E1DFDD"/>
    </w:rPr>
  </w:style>
  <w:style w:type="paragraph" w:styleId="Header">
    <w:name w:val="header"/>
    <w:basedOn w:val="Normal"/>
    <w:link w:val="HeaderChar"/>
    <w:uiPriority w:val="99"/>
    <w:unhideWhenUsed/>
    <w:rsid w:val="00C36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435"/>
    <w:rPr>
      <w:sz w:val="22"/>
      <w:szCs w:val="22"/>
    </w:rPr>
  </w:style>
  <w:style w:type="paragraph" w:styleId="Footer">
    <w:name w:val="footer"/>
    <w:basedOn w:val="Normal"/>
    <w:link w:val="FooterChar"/>
    <w:uiPriority w:val="99"/>
    <w:unhideWhenUsed/>
    <w:rsid w:val="00C36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435"/>
    <w:rPr>
      <w:sz w:val="22"/>
      <w:szCs w:val="22"/>
    </w:rPr>
  </w:style>
  <w:style w:type="table" w:styleId="ListTable6Colorful">
    <w:name w:val="List Table 6 Colorful"/>
    <w:basedOn w:val="TableNormal"/>
    <w:uiPriority w:val="51"/>
    <w:rsid w:val="0090770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frontiersin.org/journals/microbiology/articles/10.3389/fmicb.2025.1583114/full" TargetMode="External"/><Relationship Id="rId26" Type="http://schemas.openxmlformats.org/officeDocument/2006/relationships/hyperlink" Target="http://www.fao.org/faostat/en/" TargetMode="External"/><Relationship Id="rId39" Type="http://schemas.openxmlformats.org/officeDocument/2006/relationships/fontTable" Target="fontTable.xml"/><Relationship Id="rId21" Type="http://schemas.openxmlformats.org/officeDocument/2006/relationships/hyperlink" Target="https://doi.org/10.1111/j.1365-3040.2007.01727.x" TargetMode="External"/><Relationship Id="rId34" Type="http://schemas.openxmlformats.org/officeDocument/2006/relationships/hyperlink" Target="https://doi.org/10.1146/annurev-phyto-082712-102353" TargetMode="External"/><Relationship Id="rId7" Type="http://schemas.openxmlformats.org/officeDocument/2006/relationships/hyperlink" Target="https://link.springer.com/article/10.1007/s42773-024-00323-4" TargetMode="External"/><Relationship Id="rId12" Type="http://schemas.openxmlformats.org/officeDocument/2006/relationships/header" Target="header2.xml"/><Relationship Id="rId17" Type="http://schemas.openxmlformats.org/officeDocument/2006/relationships/hyperlink" Target="https://www.sciencedirect.com/topics/agricultural-and-biological-sciences/surface-area" TargetMode="External"/><Relationship Id="rId25" Type="http://schemas.openxmlformats.org/officeDocument/2006/relationships/hyperlink" Target="https://doi.org/10.1038/nrmicro2637" TargetMode="External"/><Relationship Id="rId33" Type="http://schemas.openxmlformats.org/officeDocument/2006/relationships/hyperlink" Target="https://doi.org/10.1007/S11104-019-04334-0" TargetMode="External"/><Relationship Id="rId38" Type="http://schemas.openxmlformats.org/officeDocument/2006/relationships/hyperlink" Target="https://scholar.google.com/scholar_lookup?title=Biological+Functions+of+Trichoderma+spp.+for+Agriculture+Applications&amp;author=Zin,+N.A.&amp;author=Badaluddin,+N.A.&amp;publication_year=2020&amp;journal=Ann.+Agric.+Sci.&amp;volume=65&amp;pages=168%E2%80%93178&amp;doi=10.1016/j.aoas.2020.09.003"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scholar.google.com/scholar_lookup?title=Biochar-compost+interactions+as+affected+by+weathering:+Effects+on+biological+stability+and+plant+growth&amp;author=Aubertin,+M.L.&amp;author=Girardin,+C.&amp;author=Houot,+S.&amp;author=Nobile,+C.&amp;author=Houben,+D.&amp;author=Bena,+S.&amp;author=Brech,+Y.&amp;author=Rumpel,+C.&amp;publication_year=2021&amp;journal=Agronomy&amp;volume=11&amp;pages=336&amp;doi=10.3390/agronomy11020336" TargetMode="External"/><Relationship Id="rId29" Type="http://schemas.openxmlformats.org/officeDocument/2006/relationships/hyperlink" Target="https://doi.org/10.1016/j.sjbs.2019.05.0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scholar.google.com/scholar_lookup?title=Microbial-assisted+soil+chromium+immobilization+through+zinc+and+iron-enriched+rice+husk+biochar&amp;author=Batool,+M.&amp;author=Rahman,+S.U.&amp;author=Ali,+M.&amp;author=Nadeem,+F.&amp;author=Ashraf,+M.N.&amp;author=Harris,+M.&amp;author=Du,+Z.&amp;author=Khan,+W.-U.&amp;publication_year=2022&amp;journal=Front.+Microbiol.&amp;volume=13&amp;pages=3401&amp;doi=10.3389/fmicb.2022.990329" TargetMode="External"/><Relationship Id="rId32" Type="http://schemas.openxmlformats.org/officeDocument/2006/relationships/hyperlink" Target="https://www.sciencedirect.com/science/article/pii/S0944501324000661" TargetMode="External"/><Relationship Id="rId37" Type="http://schemas.openxmlformats.org/officeDocument/2006/relationships/hyperlink" Target="https://doi.org/10.1016/j.ecoenv.2018.11.046"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scholar.google.com/scholar_lookup?journal=Plant&amp;title=The%20effect%20of%20drought%20and%20heat%20stress%20on%20reproductive%20processes%20in%20cereals&amp;author=B.%20Barnab%C3%A1s&amp;author=K.%20J%C3%A4ger&amp;author=A.%20Feh%C3%A9r&amp;volume=31&amp;publication_year=2008&amp;pages=11-38&amp;pmid=17971069&amp;doi=10.1111/j.1365-3040.2007.01727.x&amp;" TargetMode="External"/><Relationship Id="rId28" Type="http://schemas.openxmlformats.org/officeDocument/2006/relationships/hyperlink" Target="https://doi.org/10.1111/jam.14368" TargetMode="External"/><Relationship Id="rId36" Type="http://schemas.openxmlformats.org/officeDocument/2006/relationships/hyperlink" Target="https://scholar.google.com/scholar_lookup?title=Trichoderma-induced+improvement+in+growth,+photosynthetic+pigments,+Proline,+and+Glutathione+levels+in+Cucurbita+pepo+seedlings+under+salt+stress&amp;author=Soliman,+M.H.&amp;author=Alnusaire,+T.S.&amp;author=Abdelbaky,+N.F.&amp;author=Alayafi,+A.A.M.&amp;author=Hasanuzzaman,+M.&amp;author=Rowezak,+M.M.&amp;author=El-Esawi,+M.&amp;author=Elkelish,+A.&amp;publication_year=2020&amp;journal=Phyton&amp;volume=89&amp;pages=473%E2%80%93486&amp;doi=10.32604/phyton.2020.08795" TargetMode="External"/><Relationship Id="rId10" Type="http://schemas.openxmlformats.org/officeDocument/2006/relationships/chart" Target="charts/chart1.xml"/><Relationship Id="rId19" Type="http://schemas.openxmlformats.org/officeDocument/2006/relationships/hyperlink" Target="https://www.frontiersin.org/journals/microbiology/articles/10.3389/fmicb.2025.1583114/full" TargetMode="External"/><Relationship Id="rId31" Type="http://schemas.openxmlformats.org/officeDocument/2006/relationships/hyperlink" Target="https://doi.org/10.1016/j.jplph.2011.08.012" TargetMode="External"/><Relationship Id="rId4" Type="http://schemas.openxmlformats.org/officeDocument/2006/relationships/webSettings" Target="webSettings.xml"/><Relationship Id="rId9" Type="http://schemas.openxmlformats.org/officeDocument/2006/relationships/hyperlink" Target="https://www.frontiersin.org/journals/energy-research/articles/10.3389/fenrg.2020.00138/full" TargetMode="External"/><Relationship Id="rId14" Type="http://schemas.openxmlformats.org/officeDocument/2006/relationships/footer" Target="footer2.xml"/><Relationship Id="rId22" Type="http://schemas.openxmlformats.org/officeDocument/2006/relationships/hyperlink" Target="https://pubmed.ncbi.nlm.nih.gov/17971069/" TargetMode="External"/><Relationship Id="rId27" Type="http://schemas.openxmlformats.org/officeDocument/2006/relationships/hyperlink" Target="https://www.sciencedirect.com/science/article/pii/S0944501324000661" TargetMode="External"/><Relationship Id="rId30" Type="http://schemas.openxmlformats.org/officeDocument/2006/relationships/hyperlink" Target="https://doi.org/10.3126/ijasbt.v6i4.22128" TargetMode="External"/><Relationship Id="rId35" Type="http://schemas.openxmlformats.org/officeDocument/2006/relationships/hyperlink" Target="https://doi.org/10.1016/j.heliyon.2024.e41114" TargetMode="External"/><Relationship Id="rId8" Type="http://schemas.openxmlformats.org/officeDocument/2006/relationships/hyperlink" Target="https://link.springer.com/article/10.1007/s42773-024-00323-4" TargetMode="Externa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PhD%20Research\33DATA%20FRESH%20%20AND%20DRY%20WEIT%20REAL%20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496462891351396E-2"/>
          <c:y val="3.53243416827232E-2"/>
          <c:w val="0.88615716839356495"/>
          <c:h val="0.75906725532140895"/>
        </c:manualLayout>
      </c:layout>
      <c:barChart>
        <c:barDir val="col"/>
        <c:grouping val="stacked"/>
        <c:varyColors val="0"/>
        <c:ser>
          <c:idx val="0"/>
          <c:order val="0"/>
          <c:tx>
            <c:strRef>
              <c:f>'[33DATA FRESH  AND DRY WEIT REAL 22.xlsx]Sheet2'!$B$1</c:f>
              <c:strCache>
                <c:ptCount val="1"/>
                <c:pt idx="0">
                  <c:v>Total</c:v>
                </c:pt>
              </c:strCache>
            </c:strRef>
          </c:tx>
          <c:spPr>
            <a:solidFill>
              <a:schemeClr val="accent1"/>
            </a:solidFill>
            <a:ln>
              <a:noFill/>
            </a:ln>
            <a:effectLst/>
            <a:scene3d>
              <a:camera prst="orthographicFront"/>
              <a:lightRig rig="threePt" dir="t"/>
            </a:scene3d>
            <a:sp3d>
              <a:bevelT w="139700" h="139700" prst="divot"/>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'[33DATA FRESH  AND DRY WEIT REAL 22.xlsx]Sheet2'!$A$2:$A$15</c:f>
              <c:strCache>
                <c:ptCount val="14"/>
                <c:pt idx="0">
                  <c:v>Biochar </c:v>
                </c:pt>
                <c:pt idx="1">
                  <c:v>Trichoderma </c:v>
                </c:pt>
                <c:pt idx="2">
                  <c:v>40 %FC</c:v>
                </c:pt>
                <c:pt idx="3">
                  <c:v>60 %FC</c:v>
                </c:pt>
                <c:pt idx="4">
                  <c:v>100 %FC</c:v>
                </c:pt>
                <c:pt idx="5">
                  <c:v>B+40 %FC</c:v>
                </c:pt>
                <c:pt idx="6">
                  <c:v>B+60 %FC</c:v>
                </c:pt>
                <c:pt idx="7">
                  <c:v>B+100 %FC</c:v>
                </c:pt>
                <c:pt idx="8">
                  <c:v>T+40 %FC</c:v>
                </c:pt>
                <c:pt idx="9">
                  <c:v>T+60 %FC</c:v>
                </c:pt>
                <c:pt idx="10">
                  <c:v>T+100 %FC</c:v>
                </c:pt>
                <c:pt idx="11">
                  <c:v>B+T+40 %FC</c:v>
                </c:pt>
                <c:pt idx="12">
                  <c:v>B+T+60 %FC</c:v>
                </c:pt>
                <c:pt idx="13">
                  <c:v>B+T+100 %FC</c:v>
                </c:pt>
              </c:strCache>
            </c:strRef>
          </c:cat>
          <c:val>
            <c:numRef>
              <c:f>'[33DATA FRESH  AND DRY WEIT REAL 22.xlsx]Sheet2'!$B$2:$B$15</c:f>
              <c:numCache>
                <c:formatCode>General</c:formatCode>
                <c:ptCount val="14"/>
                <c:pt idx="0">
                  <c:v>63.7</c:v>
                </c:pt>
                <c:pt idx="1">
                  <c:v>69.23</c:v>
                </c:pt>
                <c:pt idx="2">
                  <c:v>69.099999999999994</c:v>
                </c:pt>
                <c:pt idx="3">
                  <c:v>66.62</c:v>
                </c:pt>
                <c:pt idx="4">
                  <c:v>63.06</c:v>
                </c:pt>
                <c:pt idx="5">
                  <c:v>63.34</c:v>
                </c:pt>
                <c:pt idx="6">
                  <c:v>70.73</c:v>
                </c:pt>
                <c:pt idx="7">
                  <c:v>71</c:v>
                </c:pt>
                <c:pt idx="8">
                  <c:v>72.67</c:v>
                </c:pt>
                <c:pt idx="9">
                  <c:v>71.63</c:v>
                </c:pt>
                <c:pt idx="10">
                  <c:v>70.83</c:v>
                </c:pt>
                <c:pt idx="11">
                  <c:v>73.22</c:v>
                </c:pt>
                <c:pt idx="12">
                  <c:v>73.22</c:v>
                </c:pt>
                <c:pt idx="13">
                  <c:v>67.72</c:v>
                </c:pt>
              </c:numCache>
            </c:numRef>
          </c:val>
          <c:extLst>
            <c:ext xmlns:c16="http://schemas.microsoft.com/office/drawing/2014/chart" uri="{C3380CC4-5D6E-409C-BE32-E72D297353CC}">
              <c16:uniqueId val="{00000000-905F-4E61-B65B-CDB1F81B8E59}"/>
            </c:ext>
          </c:extLst>
        </c:ser>
        <c:dLbls>
          <c:showLegendKey val="0"/>
          <c:showVal val="0"/>
          <c:showCatName val="0"/>
          <c:showSerName val="0"/>
          <c:showPercent val="0"/>
          <c:showBubbleSize val="0"/>
        </c:dLbls>
        <c:gapWidth val="75"/>
        <c:overlap val="100"/>
        <c:axId val="1687081343"/>
        <c:axId val="1687075103"/>
      </c:barChart>
      <c:catAx>
        <c:axId val="1687081343"/>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latin typeface="Times New Roman" panose="02020603050405020304" charset="0"/>
                    <a:cs typeface="Times New Roman" panose="02020603050405020304" charset="0"/>
                  </a:rPr>
                  <a:t>Treatments</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lang="en-US" sz="900" b="1"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687075103"/>
        <c:crosses val="autoZero"/>
        <c:auto val="1"/>
        <c:lblAlgn val="ctr"/>
        <c:lblOffset val="100"/>
        <c:noMultiLvlLbl val="0"/>
      </c:catAx>
      <c:valAx>
        <c:axId val="1687075103"/>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050" b="1">
                    <a:latin typeface="Times New Roman" panose="02020603050405020304" charset="0"/>
                    <a:cs typeface="Times New Roman" panose="02020603050405020304" charset="0"/>
                  </a:rPr>
                  <a:t>Total Chlorophlly</a:t>
                </a:r>
                <a:r>
                  <a:rPr lang="en-US" sz="1050" b="1" baseline="0">
                    <a:latin typeface="Times New Roman" panose="02020603050405020304" charset="0"/>
                    <a:cs typeface="Times New Roman" panose="02020603050405020304" charset="0"/>
                  </a:rPr>
                  <a:t> Content (</a:t>
                </a:r>
                <a:r>
                  <a:rPr lang="en-US" sz="1050" b="1" i="0" u="none" strike="noStrike" baseline="0">
                    <a:latin typeface="Times New Roman" panose="02020603050405020304" charset="0"/>
                    <a:cs typeface="Times New Roman" panose="02020603050405020304" charset="0"/>
                  </a:rPr>
                  <a:t>mg g⁻¹ FW)</a:t>
                </a:r>
                <a:endParaRPr lang="en-US" sz="1050" b="1">
                  <a:latin typeface="Times New Roman" panose="02020603050405020304" charset="0"/>
                  <a:cs typeface="Times New Roman" panose="02020603050405020304" charset="0"/>
                </a:endParaRPr>
              </a:p>
            </c:rich>
          </c:tx>
          <c:layout>
            <c:manualLayout>
              <c:xMode val="edge"/>
              <c:yMode val="edge"/>
              <c:x val="1.42204164550533E-2"/>
              <c:y val="0.159322389614593"/>
            </c:manualLayout>
          </c:layout>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dk1">
                <a:shade val="95000"/>
                <a:satMod val="105000"/>
              </a:schemeClr>
            </a:solidFill>
            <a:prstDash val="solid"/>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crossAx val="1687081343"/>
        <c:crosses val="autoZero"/>
        <c:crossBetween val="between"/>
      </c:valAx>
      <c:spPr>
        <a:noFill/>
        <a:ln>
          <a:noFill/>
        </a:ln>
        <a:effectLst/>
      </c:spPr>
    </c:plotArea>
    <c:plotVisOnly val="1"/>
    <c:dispBlanksAs val="gap"/>
    <c:showDLblsOverMax val="0"/>
    <c:extLst>
      <c:ext uri="{0b15fc19-7d7d-44ad-8c2d-2c3a37ce22c3}">
        <chartProps xmlns="https://web.wps.cn/et/2018/main" chartId="{fd026d2c-a573-4424-97f7-80e1bc7e2b62}"/>
      </c:ext>
    </c:extLst>
  </c:chart>
  <c:spPr>
    <a:solidFill>
      <a:schemeClr val="bg1"/>
    </a:solidFill>
    <a:ln w="9525" cap="flat" cmpd="sng" algn="ctr">
      <a:no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30</Pages>
  <Words>11984</Words>
  <Characters>68312</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Olumakinde Akinbuwa</cp:lastModifiedBy>
  <cp:revision>20</cp:revision>
  <dcterms:created xsi:type="dcterms:W3CDTF">2026-04-17T10:31:00Z</dcterms:created>
  <dcterms:modified xsi:type="dcterms:W3CDTF">2026-04-24T10:24:00Z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EB18D60880744A0B9B4087E4203F7245_13</vt:lpwstr>
  </property>
</Properties>
</file>