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9624E" w14:textId="77777777" w:rsidR="00BE2D51" w:rsidRPr="002B579F" w:rsidRDefault="00BE2D51" w:rsidP="00441B6F">
      <w:pPr>
        <w:pStyle w:val="Title"/>
        <w:spacing w:after="0"/>
        <w:jc w:val="both"/>
        <w:rPr>
          <w:rFonts w:ascii="Arial" w:hAnsi="Arial" w:cs="Arial"/>
        </w:rPr>
      </w:pPr>
    </w:p>
    <w:p w14:paraId="5B4D1710" w14:textId="77777777" w:rsidR="00467A69" w:rsidRPr="002B579F" w:rsidRDefault="00467A69" w:rsidP="00467A69">
      <w:pPr>
        <w:pStyle w:val="Author"/>
        <w:spacing w:line="240" w:lineRule="auto"/>
        <w:rPr>
          <w:rFonts w:ascii="Arial" w:hAnsi="Arial" w:cs="Arial"/>
          <w:bCs/>
          <w:iCs/>
          <w:kern w:val="28"/>
          <w:sz w:val="36"/>
        </w:rPr>
      </w:pPr>
      <w:r w:rsidRPr="002B579F">
        <w:rPr>
          <w:rFonts w:ascii="Arial" w:hAnsi="Arial" w:cs="Arial"/>
          <w:bCs/>
          <w:iCs/>
          <w:kern w:val="28"/>
          <w:sz w:val="36"/>
        </w:rPr>
        <w:t>Prevalence of Acute Respiratory Infection and Associated Household Environmental Factors Among Under-Five Children in Rural Southern Nigeria</w:t>
      </w:r>
    </w:p>
    <w:p w14:paraId="377A9AA7" w14:textId="77777777" w:rsidR="00A258C3" w:rsidRPr="002B579F" w:rsidRDefault="00231920" w:rsidP="00467A69">
      <w:pPr>
        <w:pStyle w:val="Author"/>
        <w:spacing w:line="240" w:lineRule="auto"/>
        <w:rPr>
          <w:rFonts w:ascii="Arial" w:hAnsi="Arial" w:cs="Arial"/>
          <w:bCs/>
          <w:iCs/>
          <w:kern w:val="28"/>
          <w:sz w:val="36"/>
        </w:rPr>
      </w:pPr>
      <w:r w:rsidRPr="002B579F">
        <w:rPr>
          <w:rFonts w:ascii="Arial" w:hAnsi="Arial" w:cs="Arial"/>
          <w:bCs/>
          <w:iCs/>
          <w:kern w:val="28"/>
          <w:sz w:val="36"/>
        </w:rPr>
        <w:t xml:space="preserve"> </w:t>
      </w:r>
    </w:p>
    <w:p w14:paraId="758BCA56" w14:textId="77777777" w:rsidR="00790ADA" w:rsidRPr="002B579F" w:rsidRDefault="00790ADA" w:rsidP="00441B6F">
      <w:pPr>
        <w:pStyle w:val="Affiliation"/>
        <w:spacing w:after="0" w:line="240" w:lineRule="auto"/>
        <w:jc w:val="both"/>
        <w:rPr>
          <w:rFonts w:ascii="Arial" w:hAnsi="Arial" w:cs="Arial"/>
        </w:rPr>
      </w:pPr>
    </w:p>
    <w:p w14:paraId="0EDE4500" w14:textId="77777777" w:rsidR="002C57D2" w:rsidRPr="002B579F" w:rsidRDefault="002C57D2" w:rsidP="00441B6F">
      <w:pPr>
        <w:pStyle w:val="Affiliation"/>
        <w:spacing w:after="0" w:line="240" w:lineRule="auto"/>
        <w:jc w:val="both"/>
        <w:rPr>
          <w:rFonts w:ascii="Arial" w:hAnsi="Arial" w:cs="Arial"/>
        </w:rPr>
      </w:pPr>
    </w:p>
    <w:p w14:paraId="0009B8F1" w14:textId="77777777" w:rsidR="00B01FCD" w:rsidRPr="002B579F" w:rsidRDefault="00697909" w:rsidP="00441B6F">
      <w:pPr>
        <w:pStyle w:val="Copyright"/>
        <w:spacing w:after="0" w:line="240" w:lineRule="auto"/>
        <w:jc w:val="both"/>
        <w:rPr>
          <w:rFonts w:ascii="Arial" w:hAnsi="Arial" w:cs="Arial"/>
        </w:rPr>
        <w:sectPr w:rsidR="00B01FCD" w:rsidRPr="002B579F" w:rsidSect="005147F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2B579F">
        <w:rPr>
          <w:rFonts w:ascii="Arial" w:hAnsi="Arial" w:cs="Arial"/>
          <w:noProof/>
        </w:rPr>
        <mc:AlternateContent>
          <mc:Choice Requires="wps">
            <w:drawing>
              <wp:inline distT="0" distB="0" distL="0" distR="0" wp14:anchorId="79D0086E" wp14:editId="0C1F8493">
                <wp:extent cx="5303520" cy="635"/>
                <wp:effectExtent l="17145" t="14605" r="13335" b="1397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DBE731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2B579F">
        <w:rPr>
          <w:rFonts w:ascii="Arial" w:hAnsi="Arial" w:cs="Arial"/>
        </w:rPr>
        <w:t>.</w:t>
      </w:r>
    </w:p>
    <w:p w14:paraId="1008A1E9" w14:textId="77777777" w:rsidR="00B01FCD" w:rsidRPr="002B579F" w:rsidRDefault="00B01FCD" w:rsidP="00441B6F">
      <w:pPr>
        <w:pStyle w:val="AbstHead"/>
        <w:spacing w:after="0"/>
        <w:jc w:val="both"/>
        <w:rPr>
          <w:rFonts w:ascii="Arial" w:hAnsi="Arial" w:cs="Arial"/>
        </w:rPr>
      </w:pPr>
      <w:r w:rsidRPr="002B579F">
        <w:rPr>
          <w:rFonts w:ascii="Arial" w:hAnsi="Arial" w:cs="Arial"/>
        </w:rPr>
        <w:t>ABSTRACT</w:t>
      </w:r>
      <w:r w:rsidR="0066510A" w:rsidRPr="002B579F">
        <w:rPr>
          <w:rFonts w:ascii="Arial" w:hAnsi="Arial" w:cs="Arial"/>
        </w:rPr>
        <w:t xml:space="preserve"> </w:t>
      </w:r>
    </w:p>
    <w:p w14:paraId="36382F81" w14:textId="77777777" w:rsidR="00D36784" w:rsidRPr="002B579F" w:rsidRDefault="00D36784" w:rsidP="00BE2D51">
      <w:pPr>
        <w:pStyle w:val="Body"/>
        <w:rPr>
          <w:rFonts w:ascii="Arial" w:eastAsia="Calibri" w:hAnsi="Arial" w:cs="Arial"/>
          <w:szCs w:val="22"/>
        </w:rPr>
      </w:pPr>
      <w:r w:rsidRPr="002B579F">
        <w:rPr>
          <w:rFonts w:ascii="Arial" w:hAnsi="Arial" w:cs="Arial"/>
        </w:rPr>
        <w:br/>
      </w:r>
      <w:r w:rsidR="00BE2D51" w:rsidRPr="002B579F">
        <w:rPr>
          <w:rFonts w:ascii="Arial" w:eastAsia="Calibri" w:hAnsi="Arial" w:cs="Arial"/>
          <w:color w:val="FF0000"/>
          <w:szCs w:val="22"/>
        </w:rPr>
        <w:t>Acute respiratory infection (ARI) remains a major cause of childhood morbidity, particularly in low- and middle-income countries where household air pollution, inadequate housing and other environmental conditions may increase children's vulnerability. In rural communities, exposure to solid cooking fuels and poor housing materials may contribute to respiratory health risks</w:t>
      </w:r>
      <w:r w:rsidR="00735B8F" w:rsidRPr="002B579F">
        <w:rPr>
          <w:rFonts w:ascii="Arial" w:eastAsia="Calibri" w:hAnsi="Arial" w:cs="Arial"/>
          <w:color w:val="FF0000"/>
          <w:szCs w:val="22"/>
        </w:rPr>
        <w:t xml:space="preserve">. </w:t>
      </w:r>
      <w:r w:rsidR="00735B8F" w:rsidRPr="002B579F">
        <w:rPr>
          <w:rFonts w:ascii="Arial" w:eastAsia="Calibri" w:hAnsi="Arial" w:cs="Arial"/>
          <w:szCs w:val="22"/>
        </w:rPr>
        <w:t xml:space="preserve">This study assessed ARI prevalence and associated household environmental factors among under-five children in rural Southern Nigeria using data from the 2023–2024 Nigeria Demographic and Health Survey (NDHS). A cross-sectional analytical design was adopted, and data were </w:t>
      </w:r>
      <w:proofErr w:type="spellStart"/>
      <w:r w:rsidR="00735B8F" w:rsidRPr="002B579F">
        <w:rPr>
          <w:rFonts w:ascii="Arial" w:eastAsia="Calibri" w:hAnsi="Arial" w:cs="Arial"/>
          <w:szCs w:val="22"/>
        </w:rPr>
        <w:t>analysed</w:t>
      </w:r>
      <w:proofErr w:type="spellEnd"/>
      <w:r w:rsidR="00735B8F" w:rsidRPr="002B579F">
        <w:rPr>
          <w:rFonts w:ascii="Arial" w:eastAsia="Calibri" w:hAnsi="Arial" w:cs="Arial"/>
          <w:szCs w:val="22"/>
        </w:rPr>
        <w:t xml:space="preserve"> using descriptive statistics, chi-square tests and survey-adjusted regression. Most children were aged 48–59 months (21.33%), male (50.22%), and had mothers aged 25–34 years (52.26%) with secondary education (63.72%). Most lived in households with 5–8 members (53.27%), male-headed households (73.99%), and middle-wealth households (31.91%). The South East accounted for the largest proportion of participants (56.09%). The overall ARI prevalence was 3.03%, with the highest prevalence among children aged 0–11 months (4.32%) and the lowest among those aged 36–47 months (1.39%). Adjusted analysis identified solid cooking-fuel use (adjusted odds ratio [AOR] = 4.67; 95% CI: 1.36–16.07) and non-durable roofing materials (AOR = 32.21; 95% CI: 5.51–68.39) as household environmental factors associated with higher odds of ARI. Conversely, household size of 5–8 members </w:t>
      </w:r>
      <w:proofErr w:type="gramStart"/>
      <w:r w:rsidR="00735B8F" w:rsidRPr="002B579F">
        <w:rPr>
          <w:rFonts w:ascii="Arial" w:eastAsia="Calibri" w:hAnsi="Arial" w:cs="Arial"/>
          <w:szCs w:val="22"/>
        </w:rPr>
        <w:t>was</w:t>
      </w:r>
      <w:proofErr w:type="gramEnd"/>
      <w:r w:rsidR="00735B8F" w:rsidRPr="002B579F">
        <w:rPr>
          <w:rFonts w:ascii="Arial" w:eastAsia="Calibri" w:hAnsi="Arial" w:cs="Arial"/>
          <w:szCs w:val="22"/>
        </w:rPr>
        <w:t xml:space="preserve"> associated with lower odds (AOR = 0.34; 95% CI: 0.12–0.96). </w:t>
      </w:r>
      <w:r w:rsidRPr="002B579F">
        <w:rPr>
          <w:rFonts w:ascii="Arial" w:eastAsia="Calibri" w:hAnsi="Arial" w:cs="Arial"/>
          <w:szCs w:val="22"/>
        </w:rPr>
        <w:t>These findings highlighted the importance of cleaner cooking fuels and improved roofing materials in addressing ARI among under-five children in rural Southern Nigeria</w:t>
      </w:r>
      <w:r w:rsidR="00735B8F" w:rsidRPr="002B579F">
        <w:rPr>
          <w:rFonts w:ascii="Arial" w:eastAsia="Calibri" w:hAnsi="Arial" w:cs="Arial"/>
          <w:szCs w:val="22"/>
        </w:rPr>
        <w:t>.</w:t>
      </w:r>
    </w:p>
    <w:p w14:paraId="2483306A" w14:textId="77777777" w:rsidR="00636EB2" w:rsidRPr="002B579F" w:rsidRDefault="00636EB2" w:rsidP="00441B6F">
      <w:pPr>
        <w:pStyle w:val="Body"/>
        <w:spacing w:after="0"/>
        <w:rPr>
          <w:rFonts w:ascii="Arial" w:hAnsi="Arial" w:cs="Arial"/>
          <w:i/>
        </w:rPr>
      </w:pPr>
    </w:p>
    <w:p w14:paraId="5B7674F6" w14:textId="450B44EC" w:rsidR="00D32312" w:rsidRPr="002B579F" w:rsidRDefault="00A24E7E" w:rsidP="00D32312">
      <w:pPr>
        <w:pStyle w:val="NormalWeb"/>
      </w:pPr>
      <w:r w:rsidRPr="002B579F">
        <w:rPr>
          <w:rFonts w:ascii="Arial" w:hAnsi="Arial" w:cs="Arial"/>
          <w:i/>
        </w:rPr>
        <w:t xml:space="preserve">Keywords: </w:t>
      </w:r>
      <w:r w:rsidR="00D32312" w:rsidRPr="002B579F">
        <w:t>Acute respiratory infection; Under-five children; Household air pollution; Solid cooking fuels; Roofing materials; Rural communities; Environmental health</w:t>
      </w:r>
    </w:p>
    <w:p w14:paraId="57E51DE2" w14:textId="6A71DD14" w:rsidR="00A24E7E" w:rsidRPr="002B579F" w:rsidRDefault="00A24E7E" w:rsidP="00441B6F">
      <w:pPr>
        <w:pStyle w:val="Body"/>
        <w:spacing w:after="0"/>
        <w:rPr>
          <w:rFonts w:ascii="Arial" w:hAnsi="Arial" w:cs="Arial"/>
          <w:i/>
        </w:rPr>
      </w:pPr>
    </w:p>
    <w:p w14:paraId="0BB85CF8" w14:textId="77777777" w:rsidR="00790ADA" w:rsidRPr="002B579F" w:rsidRDefault="00790ADA" w:rsidP="00441B6F">
      <w:pPr>
        <w:pStyle w:val="Body"/>
        <w:spacing w:after="0"/>
        <w:rPr>
          <w:rFonts w:ascii="Arial" w:hAnsi="Arial" w:cs="Arial"/>
          <w:i/>
        </w:rPr>
      </w:pPr>
    </w:p>
    <w:p w14:paraId="3AD33EDB" w14:textId="77777777" w:rsidR="007F7B32" w:rsidRPr="002B579F" w:rsidRDefault="00902823" w:rsidP="00441B6F">
      <w:pPr>
        <w:pStyle w:val="AbstHead"/>
        <w:spacing w:after="0"/>
        <w:jc w:val="both"/>
        <w:rPr>
          <w:rFonts w:ascii="Arial" w:hAnsi="Arial" w:cs="Arial"/>
        </w:rPr>
      </w:pPr>
      <w:r w:rsidRPr="002B579F">
        <w:rPr>
          <w:rFonts w:ascii="Arial" w:hAnsi="Arial" w:cs="Arial"/>
        </w:rPr>
        <w:t xml:space="preserve">1. </w:t>
      </w:r>
      <w:r w:rsidR="00B01FCD" w:rsidRPr="002B579F">
        <w:rPr>
          <w:rFonts w:ascii="Arial" w:hAnsi="Arial" w:cs="Arial"/>
        </w:rPr>
        <w:t>INTRODUCTION</w:t>
      </w:r>
    </w:p>
    <w:p w14:paraId="551F2A34" w14:textId="77777777" w:rsidR="00790ADA" w:rsidRPr="002B579F" w:rsidRDefault="00790ADA" w:rsidP="00441B6F">
      <w:pPr>
        <w:pStyle w:val="AbstHead"/>
        <w:spacing w:after="0"/>
        <w:jc w:val="both"/>
        <w:rPr>
          <w:rFonts w:ascii="Arial" w:hAnsi="Arial" w:cs="Arial"/>
        </w:rPr>
      </w:pPr>
    </w:p>
    <w:p w14:paraId="317CEE75" w14:textId="4001824F" w:rsidR="00906A5E" w:rsidRPr="002B579F" w:rsidRDefault="00217B78" w:rsidP="002B579F">
      <w:pPr>
        <w:pStyle w:val="Body"/>
        <w:spacing w:after="0"/>
        <w:rPr>
          <w:bCs/>
        </w:rPr>
      </w:pPr>
      <w:r w:rsidRPr="002B579F">
        <w:rPr>
          <w:rFonts w:ascii="Arial" w:hAnsi="Arial" w:cs="Arial"/>
        </w:rPr>
        <w:t xml:space="preserve">Acute respiratory infection (ARI) remains an important public health problem among children under five years of age, particularly in low- and middle-income countries (World Health Organization [WHO], 2024a). Pneumonia is a severe form of childhood respiratory infection and remains a leading infectious cause of death among children under five years globally (WHO, 2022; WHO, 2024b). Children may be particularly susceptible because their developing immune systems and other </w:t>
      </w:r>
      <w:r w:rsidR="00404C81" w:rsidRPr="002B579F">
        <w:rPr>
          <w:rFonts w:ascii="Arial" w:hAnsi="Arial" w:cs="Arial"/>
        </w:rPr>
        <w:t xml:space="preserve">physiological </w:t>
      </w:r>
      <w:r w:rsidRPr="002B579F">
        <w:rPr>
          <w:rFonts w:ascii="Arial" w:hAnsi="Arial" w:cs="Arial"/>
        </w:rPr>
        <w:t xml:space="preserve">characteristics can increase susceptibility to respiratory infections (WHO, 2022). </w:t>
      </w:r>
      <w:r w:rsidRPr="002B579F">
        <w:rPr>
          <w:bCs/>
        </w:rPr>
        <w:t>A hospital-based retrospective analysis in Abuja documented community-acquired pneumonia among paediatric patients, illustrating the clinical relevance of childhood respiratory illness in Nigeria (Ekop et al., 2025).</w:t>
      </w:r>
    </w:p>
    <w:p w14:paraId="20D4CF21" w14:textId="77777777" w:rsidR="00217B78" w:rsidRPr="002B579F" w:rsidRDefault="00217B78" w:rsidP="00217B78">
      <w:pPr>
        <w:pStyle w:val="Body"/>
        <w:spacing w:after="0"/>
        <w:rPr>
          <w:rFonts w:ascii="Arial" w:hAnsi="Arial" w:cs="Arial"/>
        </w:rPr>
      </w:pPr>
    </w:p>
    <w:p w14:paraId="667E816A" w14:textId="77DB9364" w:rsidR="00906A5E" w:rsidRPr="002B579F" w:rsidRDefault="00217B78" w:rsidP="002B579F">
      <w:pPr>
        <w:pStyle w:val="Body"/>
        <w:spacing w:after="0"/>
        <w:rPr>
          <w:bCs/>
        </w:rPr>
      </w:pPr>
      <w:r w:rsidRPr="002B579F">
        <w:rPr>
          <w:rFonts w:ascii="Arial" w:hAnsi="Arial" w:cs="Arial"/>
        </w:rPr>
        <w:t xml:space="preserve">Household air pollution is an important environmental risk factor for childhood lower respiratory infections, with exposure to household smoke increasing the risk of respiratory illness among young children (WHO, 2024b). Children may also be exposed to respiratory hazards through overcrowding, parental smoking and poor household conditions (WHO, 2022; </w:t>
      </w:r>
      <w:r w:rsidR="0050240C" w:rsidRPr="002B579F">
        <w:rPr>
          <w:rFonts w:ascii="Arial" w:hAnsi="Arial" w:cs="Arial"/>
          <w:color w:val="FF0000"/>
        </w:rPr>
        <w:t xml:space="preserve">Islam </w:t>
      </w:r>
      <w:r w:rsidR="0050240C" w:rsidRPr="002B579F">
        <w:rPr>
          <w:rFonts w:ascii="Arial" w:hAnsi="Arial" w:cs="Arial"/>
          <w:i/>
          <w:iCs/>
          <w:color w:val="FF0000"/>
        </w:rPr>
        <w:t>et al</w:t>
      </w:r>
      <w:r w:rsidR="0050240C" w:rsidRPr="002B579F">
        <w:rPr>
          <w:rFonts w:ascii="Arial" w:hAnsi="Arial" w:cs="Arial"/>
          <w:color w:val="FF0000"/>
        </w:rPr>
        <w:t>., 2024</w:t>
      </w:r>
      <w:r w:rsidRPr="002B579F">
        <w:rPr>
          <w:rFonts w:ascii="Arial" w:hAnsi="Arial" w:cs="Arial"/>
          <w:color w:val="FF0000"/>
        </w:rPr>
        <w:t xml:space="preserve">). </w:t>
      </w:r>
      <w:r w:rsidRPr="002B579F">
        <w:rPr>
          <w:rFonts w:ascii="Arial" w:hAnsi="Arial" w:cs="Arial"/>
        </w:rPr>
        <w:t>These environmental exposures are particularly relevant in rural communities where polluting cooking fuels and inadequate household infrastructure may be more common (</w:t>
      </w:r>
      <w:r w:rsidR="0050240C" w:rsidRPr="002B579F">
        <w:rPr>
          <w:rFonts w:ascii="Arial" w:hAnsi="Arial" w:cs="Arial"/>
        </w:rPr>
        <w:t>Islam et al., 2024</w:t>
      </w:r>
      <w:r w:rsidR="005F2EF7" w:rsidRPr="002B579F">
        <w:rPr>
          <w:rFonts w:ascii="Arial" w:hAnsi="Arial" w:cs="Arial"/>
        </w:rPr>
        <w:t xml:space="preserve">; </w:t>
      </w:r>
      <w:r w:rsidR="005F2EF7" w:rsidRPr="002B579F">
        <w:rPr>
          <w:color w:val="FF0000"/>
        </w:rPr>
        <w:t xml:space="preserve">Mangeni </w:t>
      </w:r>
      <w:r w:rsidR="005F2EF7" w:rsidRPr="002B579F">
        <w:rPr>
          <w:i/>
          <w:iCs/>
          <w:color w:val="FF0000"/>
        </w:rPr>
        <w:t xml:space="preserve">et al., </w:t>
      </w:r>
      <w:r w:rsidR="005F2EF7" w:rsidRPr="002B579F">
        <w:rPr>
          <w:color w:val="FF0000"/>
        </w:rPr>
        <w:t>2025</w:t>
      </w:r>
      <w:r w:rsidRPr="002B579F">
        <w:rPr>
          <w:rFonts w:ascii="Arial" w:hAnsi="Arial" w:cs="Arial"/>
          <w:color w:val="FF0000"/>
        </w:rPr>
        <w:t>).</w:t>
      </w:r>
      <w:r w:rsidR="002B579F" w:rsidRPr="002B579F">
        <w:rPr>
          <w:rFonts w:ascii="Arial" w:hAnsi="Arial" w:cs="Arial"/>
          <w:color w:val="FF0000"/>
        </w:rPr>
        <w:t xml:space="preserve"> </w:t>
      </w:r>
      <w:r w:rsidRPr="002B579F">
        <w:rPr>
          <w:bCs/>
        </w:rPr>
        <w:t xml:space="preserve">A systematic </w:t>
      </w:r>
      <w:r w:rsidRPr="002B579F">
        <w:rPr>
          <w:bCs/>
        </w:rPr>
        <w:lastRenderedPageBreak/>
        <w:t>review and meta-analysis of studies from low- and middle-income countries identified associations between indoor air pollution exposures and acute respiratory infections among children younger than five years (Desye et al., 2025). An Africa-focused narrative review also described household solid-fuel combustion as an important source of exposure linked to lower respiratory infection burden among young children (Shadrach &amp; Bebelade, 2026).</w:t>
      </w:r>
    </w:p>
    <w:p w14:paraId="1E37AC62" w14:textId="77777777" w:rsidR="00217B78" w:rsidRPr="002B579F" w:rsidRDefault="00217B78" w:rsidP="00217B78">
      <w:pPr>
        <w:pStyle w:val="Body"/>
        <w:spacing w:after="0"/>
        <w:rPr>
          <w:rFonts w:ascii="Arial" w:hAnsi="Arial" w:cs="Arial"/>
          <w:color w:val="FF0000"/>
        </w:rPr>
      </w:pPr>
    </w:p>
    <w:p w14:paraId="2BF6B8FC" w14:textId="3DB25418" w:rsidR="00906A5E" w:rsidRPr="002B579F" w:rsidRDefault="00217B78" w:rsidP="002B579F">
      <w:pPr>
        <w:pStyle w:val="Body"/>
        <w:spacing w:after="0"/>
        <w:rPr>
          <w:bCs/>
        </w:rPr>
      </w:pPr>
      <w:r w:rsidRPr="002B579F">
        <w:rPr>
          <w:rFonts w:ascii="Arial" w:hAnsi="Arial" w:cs="Arial"/>
        </w:rPr>
        <w:t>In Nigeria, household environmental factors have been associated with respiratory symptoms in children under five years of age (</w:t>
      </w:r>
      <w:r w:rsidR="0050240C" w:rsidRPr="002B579F">
        <w:rPr>
          <w:rFonts w:ascii="Arial" w:hAnsi="Arial" w:cs="Arial"/>
          <w:color w:val="FF0000"/>
        </w:rPr>
        <w:t>Islam et al., 2024</w:t>
      </w:r>
      <w:r w:rsidRPr="002B579F">
        <w:rPr>
          <w:rFonts w:ascii="Arial" w:hAnsi="Arial" w:cs="Arial"/>
          <w:color w:val="FF0000"/>
        </w:rPr>
        <w:t xml:space="preserve">; </w:t>
      </w:r>
      <w:r w:rsidRPr="002B579F">
        <w:rPr>
          <w:rFonts w:ascii="Arial" w:hAnsi="Arial" w:cs="Arial"/>
        </w:rPr>
        <w:t xml:space="preserve">Bassey et al., 2026). A national analysis of Nigeria Demographic and Health Survey data reported that poor-quality housing materials were associated with increased odds of ARI symptoms among children under five (Bura et al., 2021). </w:t>
      </w:r>
      <w:r w:rsidR="00E80E6D" w:rsidRPr="002B579F">
        <w:rPr>
          <w:color w:val="FF0000"/>
        </w:rPr>
        <w:t xml:space="preserve">Abubakar et al. </w:t>
      </w:r>
      <w:r w:rsidR="004B35BD" w:rsidRPr="002B579F">
        <w:rPr>
          <w:rFonts w:ascii="Arial" w:hAnsi="Arial" w:cs="Arial"/>
          <w:color w:val="FF0000"/>
        </w:rPr>
        <w:t>(20</w:t>
      </w:r>
      <w:r w:rsidR="00E80E6D" w:rsidRPr="002B579F">
        <w:rPr>
          <w:rFonts w:ascii="Arial" w:hAnsi="Arial" w:cs="Arial"/>
          <w:color w:val="FF0000"/>
        </w:rPr>
        <w:t>25</w:t>
      </w:r>
      <w:r w:rsidR="004B35BD" w:rsidRPr="002B579F">
        <w:rPr>
          <w:rFonts w:ascii="Arial" w:hAnsi="Arial" w:cs="Arial"/>
          <w:color w:val="FF0000"/>
        </w:rPr>
        <w:t xml:space="preserve">) further </w:t>
      </w:r>
      <w:r w:rsidRPr="002B579F">
        <w:rPr>
          <w:rFonts w:ascii="Arial" w:hAnsi="Arial" w:cs="Arial"/>
          <w:color w:val="FF0000"/>
        </w:rPr>
        <w:t>reported that household environmental factors such as</w:t>
      </w:r>
      <w:r w:rsidR="00E80E6D" w:rsidRPr="002B579F">
        <w:rPr>
          <w:rFonts w:ascii="Arial" w:hAnsi="Arial" w:cs="Arial"/>
          <w:color w:val="FF0000"/>
        </w:rPr>
        <w:t xml:space="preserve"> cooking fuel, toilet facility, water supply, ventilation, kitchen location, and indoor kerosene lamp use </w:t>
      </w:r>
      <w:r w:rsidRPr="002B579F">
        <w:rPr>
          <w:rFonts w:ascii="Arial" w:hAnsi="Arial" w:cs="Arial"/>
          <w:color w:val="FF0000"/>
        </w:rPr>
        <w:t xml:space="preserve">affect childhood respiratory health. </w:t>
      </w:r>
      <w:r w:rsidRPr="002B579F">
        <w:rPr>
          <w:rFonts w:ascii="Arial" w:hAnsi="Arial" w:cs="Arial"/>
        </w:rPr>
        <w:t xml:space="preserve">A recent study by Oluwaseun and Seun-Addie (2025) in Ibadan, Nigeria, also showed that children living in overcrowded households and those exposed to firewood smoke had substantially higher risks of acute respiratory infection. </w:t>
      </w:r>
      <w:r w:rsidRPr="002B579F">
        <w:rPr>
          <w:bCs/>
        </w:rPr>
        <w:t>A Nigerian hospital-based investigation identified inadequate ventilation and indoor smoking among household exposures associated with respiratory infections in children younger than five years (Abubakar et al., 2025). A case-control study in Bangladesh also reported an association between natural roofing materials and ARI symptoms among under-five children, providing comparative evidence on housing conditions (Bakchi et al., 2024).</w:t>
      </w:r>
    </w:p>
    <w:p w14:paraId="332355D8" w14:textId="77777777" w:rsidR="00217B78" w:rsidRPr="002B579F" w:rsidRDefault="00217B78" w:rsidP="00217B78">
      <w:pPr>
        <w:pStyle w:val="Body"/>
        <w:spacing w:after="0"/>
        <w:rPr>
          <w:rFonts w:ascii="Arial" w:hAnsi="Arial" w:cs="Arial"/>
        </w:rPr>
      </w:pPr>
    </w:p>
    <w:p w14:paraId="6DA0FF15" w14:textId="77777777" w:rsidR="00217B78" w:rsidRPr="002B579F" w:rsidRDefault="00217B78" w:rsidP="00217B78">
      <w:pPr>
        <w:pStyle w:val="Body"/>
        <w:spacing w:after="0"/>
        <w:rPr>
          <w:rFonts w:ascii="Arial" w:hAnsi="Arial" w:cs="Arial"/>
        </w:rPr>
      </w:pPr>
      <w:r w:rsidRPr="002B579F">
        <w:rPr>
          <w:rFonts w:ascii="Arial" w:hAnsi="Arial" w:cs="Arial"/>
        </w:rPr>
        <w:t>However, evidence from Nigeria indicates that although many caregivers seek care when children develop ARI symptoms, appropriate care-seeking remains suboptimal (Adamu &amp; Ango, 2024; Adeoti &amp; Cavallaro, 2022; Bakare et al., 2023; Dougherty et al., 2020). Differences in household conditions, socioeconomic circumstances and access to healthcare may also contribute to variations in childhood ARI across Nigerian regions (Islam et al., 2024; Oluwaseun &amp; Seun-Addie, 2025; Yaya et al., 2021).</w:t>
      </w:r>
    </w:p>
    <w:p w14:paraId="5466AAA2" w14:textId="77777777" w:rsidR="00217B78" w:rsidRPr="002B579F" w:rsidRDefault="00217B78" w:rsidP="00217B78">
      <w:pPr>
        <w:pStyle w:val="Body"/>
        <w:spacing w:after="0"/>
        <w:rPr>
          <w:rFonts w:ascii="Arial" w:hAnsi="Arial" w:cs="Arial"/>
        </w:rPr>
      </w:pPr>
    </w:p>
    <w:p w14:paraId="01ACF92C" w14:textId="77777777" w:rsidR="00217B78" w:rsidRPr="002B579F" w:rsidRDefault="00217B78" w:rsidP="00217B78">
      <w:pPr>
        <w:pStyle w:val="Body"/>
        <w:spacing w:after="0"/>
        <w:rPr>
          <w:rFonts w:ascii="Arial" w:hAnsi="Arial" w:cs="Arial"/>
        </w:rPr>
      </w:pPr>
      <w:r w:rsidRPr="002B579F">
        <w:rPr>
          <w:rFonts w:ascii="Arial" w:hAnsi="Arial" w:cs="Arial"/>
        </w:rPr>
        <w:t>Despite previous research, evidence specifically examining household environmental factors and ARI among under-five children living in rural Southern Nigeria remains limited (</w:t>
      </w:r>
      <w:r w:rsidR="0050240C" w:rsidRPr="002B579F">
        <w:rPr>
          <w:rFonts w:ascii="Arial" w:hAnsi="Arial" w:cs="Arial"/>
        </w:rPr>
        <w:t>Islam et al., 2024</w:t>
      </w:r>
      <w:r w:rsidRPr="002B579F">
        <w:rPr>
          <w:rFonts w:ascii="Arial" w:hAnsi="Arial" w:cs="Arial"/>
        </w:rPr>
        <w:t xml:space="preserve">). The 2024 Nigeria Demographic and Health Survey provides recent nationally representative data that can be used to examine childhood health outcomes and associated household characteristics in Nigeria (Federal Ministry of Health and Social Welfare of Nigeria et al., 2025). Examining rural children across the South East, South </w:t>
      </w:r>
      <w:proofErr w:type="spellStart"/>
      <w:r w:rsidRPr="002B579F">
        <w:rPr>
          <w:rFonts w:ascii="Arial" w:hAnsi="Arial" w:cs="Arial"/>
        </w:rPr>
        <w:t>South</w:t>
      </w:r>
      <w:proofErr w:type="spellEnd"/>
      <w:r w:rsidRPr="002B579F">
        <w:rPr>
          <w:rFonts w:ascii="Arial" w:hAnsi="Arial" w:cs="Arial"/>
        </w:rPr>
        <w:t xml:space="preserve"> and South West may therefore provide more context-specific evidence on the environmental conditions associated with childhood ARI. Such evidence is important for identifying modifiable household conditions and informing interventions aimed at preventing respiratory illness among young children.</w:t>
      </w:r>
    </w:p>
    <w:p w14:paraId="63DFCB2C" w14:textId="77777777" w:rsidR="00906A5E" w:rsidRPr="002B579F" w:rsidRDefault="00000000">
      <w:pPr>
        <w:pStyle w:val="Body"/>
      </w:pPr>
      <w:r w:rsidRPr="002B579F">
        <w:rPr>
          <w:b/>
        </w:rPr>
        <w:t>Study objective</w:t>
      </w:r>
    </w:p>
    <w:p w14:paraId="1B824E0D" w14:textId="77777777" w:rsidR="00906A5E" w:rsidRPr="002B579F" w:rsidRDefault="00000000">
      <w:pPr>
        <w:pStyle w:val="Body"/>
      </w:pPr>
      <w:r w:rsidRPr="002B579F">
        <w:t>Therefore, this study examined household environmental factors and acute respiratory infection among under-five children in rural Southern Nigeria.</w:t>
      </w:r>
    </w:p>
    <w:p w14:paraId="70F904E3" w14:textId="77777777" w:rsidR="00790ADA" w:rsidRPr="002B579F" w:rsidRDefault="00790ADA" w:rsidP="00441B6F">
      <w:pPr>
        <w:pStyle w:val="Body"/>
        <w:spacing w:after="0"/>
        <w:rPr>
          <w:rFonts w:ascii="Arial" w:hAnsi="Arial" w:cs="Arial"/>
        </w:rPr>
      </w:pPr>
    </w:p>
    <w:p w14:paraId="1C3D7333" w14:textId="77777777" w:rsidR="007F7B32" w:rsidRPr="002B579F" w:rsidRDefault="00902823" w:rsidP="00441B6F">
      <w:pPr>
        <w:pStyle w:val="AbstHead"/>
        <w:spacing w:after="0"/>
        <w:jc w:val="both"/>
        <w:rPr>
          <w:rFonts w:ascii="Arial" w:hAnsi="Arial" w:cs="Arial"/>
        </w:rPr>
      </w:pPr>
      <w:r w:rsidRPr="002B579F">
        <w:rPr>
          <w:rFonts w:ascii="Arial" w:hAnsi="Arial" w:cs="Arial"/>
        </w:rPr>
        <w:t xml:space="preserve">2. </w:t>
      </w:r>
      <w:r w:rsidR="003F03E5" w:rsidRPr="002B579F">
        <w:rPr>
          <w:rFonts w:ascii="Arial" w:hAnsi="Arial" w:cs="Arial"/>
        </w:rPr>
        <w:t>Materials</w:t>
      </w:r>
      <w:r w:rsidRPr="002B579F">
        <w:rPr>
          <w:rFonts w:ascii="Arial" w:hAnsi="Arial" w:cs="Arial"/>
        </w:rPr>
        <w:t xml:space="preserve"> and method</w:t>
      </w:r>
      <w:r w:rsidR="00000F8F" w:rsidRPr="002B579F">
        <w:rPr>
          <w:rFonts w:ascii="Arial" w:hAnsi="Arial" w:cs="Arial"/>
        </w:rPr>
        <w:t xml:space="preserve">s </w:t>
      </w:r>
    </w:p>
    <w:p w14:paraId="7C793361" w14:textId="77777777" w:rsidR="00790ADA" w:rsidRPr="002B579F" w:rsidRDefault="00790ADA" w:rsidP="00441B6F">
      <w:pPr>
        <w:pStyle w:val="AbstHead"/>
        <w:spacing w:after="0"/>
        <w:jc w:val="both"/>
        <w:rPr>
          <w:rFonts w:ascii="Arial" w:hAnsi="Arial" w:cs="Arial"/>
        </w:rPr>
      </w:pPr>
    </w:p>
    <w:p w14:paraId="50B517DC"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2.1 </w:t>
      </w:r>
      <w:r w:rsidR="003F03E5" w:rsidRPr="002B579F">
        <w:rPr>
          <w:rFonts w:ascii="Arial" w:hAnsi="Arial" w:cs="Arial"/>
          <w:b/>
          <w:bCs/>
        </w:rPr>
        <w:t>Research Design</w:t>
      </w:r>
    </w:p>
    <w:p w14:paraId="4E612412" w14:textId="77777777" w:rsidR="003F03E5" w:rsidRPr="002B579F" w:rsidRDefault="003F03E5" w:rsidP="003F03E5">
      <w:pPr>
        <w:pStyle w:val="Body"/>
        <w:spacing w:after="0"/>
        <w:rPr>
          <w:rFonts w:ascii="Arial" w:hAnsi="Arial" w:cs="Arial"/>
          <w:b/>
          <w:bCs/>
        </w:rPr>
      </w:pPr>
    </w:p>
    <w:p w14:paraId="7FB19583" w14:textId="77777777" w:rsidR="003F03E5" w:rsidRPr="002B579F" w:rsidRDefault="003F03E5" w:rsidP="003F03E5">
      <w:pPr>
        <w:pStyle w:val="Body"/>
        <w:spacing w:after="0"/>
        <w:rPr>
          <w:rFonts w:ascii="Arial" w:hAnsi="Arial" w:cs="Arial"/>
        </w:rPr>
      </w:pPr>
      <w:r w:rsidRPr="002B579F">
        <w:rPr>
          <w:rFonts w:ascii="Arial" w:hAnsi="Arial" w:cs="Arial"/>
        </w:rPr>
        <w:t xml:space="preserve">This study used a cross-sectional analytical design based on secondary analysis of data from the 2024 Nigeria Demographic and Health Survey (2023–24 NDHS). The design was appropriate for estimating the prevalence of acute respiratory infection (ARI) and examining associations between ARI and household environmental factors among under-five children living in rural Southern Nigeria. The analysis also examined treatment-seeking </w:t>
      </w:r>
      <w:proofErr w:type="spellStart"/>
      <w:r w:rsidRPr="002B579F">
        <w:rPr>
          <w:rFonts w:ascii="Arial" w:hAnsi="Arial" w:cs="Arial"/>
        </w:rPr>
        <w:t>behaviour</w:t>
      </w:r>
      <w:proofErr w:type="spellEnd"/>
      <w:r w:rsidRPr="002B579F">
        <w:rPr>
          <w:rFonts w:ascii="Arial" w:hAnsi="Arial" w:cs="Arial"/>
        </w:rPr>
        <w:t xml:space="preserve"> among children with reported ARI symptoms and differences in ARI prevalence by child sex.</w:t>
      </w:r>
    </w:p>
    <w:p w14:paraId="5AC1ADA9" w14:textId="77777777" w:rsidR="003F03E5" w:rsidRPr="002B579F" w:rsidRDefault="003F03E5" w:rsidP="003F03E5">
      <w:pPr>
        <w:pStyle w:val="Body"/>
        <w:spacing w:after="0"/>
        <w:rPr>
          <w:rFonts w:ascii="Arial" w:hAnsi="Arial" w:cs="Arial"/>
        </w:rPr>
      </w:pPr>
    </w:p>
    <w:p w14:paraId="53301BF6"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2.2 </w:t>
      </w:r>
      <w:r w:rsidR="003F03E5" w:rsidRPr="002B579F">
        <w:rPr>
          <w:rFonts w:ascii="Arial" w:hAnsi="Arial" w:cs="Arial"/>
          <w:b/>
          <w:bCs/>
        </w:rPr>
        <w:t>Research Setting</w:t>
      </w:r>
    </w:p>
    <w:p w14:paraId="77AD97F6" w14:textId="77777777" w:rsidR="003F03E5" w:rsidRPr="002B579F" w:rsidRDefault="003F03E5" w:rsidP="003F03E5">
      <w:pPr>
        <w:pStyle w:val="Body"/>
        <w:spacing w:after="0"/>
        <w:rPr>
          <w:rFonts w:ascii="Arial" w:hAnsi="Arial" w:cs="Arial"/>
          <w:b/>
          <w:bCs/>
        </w:rPr>
      </w:pPr>
    </w:p>
    <w:p w14:paraId="59ABB246" w14:textId="77777777" w:rsidR="003F03E5" w:rsidRPr="002B579F" w:rsidRDefault="003F03E5" w:rsidP="003F03E5">
      <w:pPr>
        <w:pStyle w:val="Body"/>
        <w:spacing w:after="0"/>
        <w:rPr>
          <w:rFonts w:ascii="Arial" w:hAnsi="Arial" w:cs="Arial"/>
        </w:rPr>
      </w:pPr>
      <w:r w:rsidRPr="002B579F">
        <w:rPr>
          <w:rFonts w:ascii="Arial" w:hAnsi="Arial" w:cs="Arial"/>
        </w:rPr>
        <w:t xml:space="preserve">The study was conducted in rural areas of Southern Nigeria, comprising the South East, South </w:t>
      </w:r>
      <w:proofErr w:type="spellStart"/>
      <w:r w:rsidRPr="002B579F">
        <w:rPr>
          <w:rFonts w:ascii="Arial" w:hAnsi="Arial" w:cs="Arial"/>
        </w:rPr>
        <w:t>South</w:t>
      </w:r>
      <w:proofErr w:type="spellEnd"/>
      <w:r w:rsidRPr="002B579F">
        <w:rPr>
          <w:rFonts w:ascii="Arial" w:hAnsi="Arial" w:cs="Arial"/>
        </w:rPr>
        <w:t xml:space="preserve"> and South West geopolitical zones. These three zones contain 17 states and encompass diverse environmental, socioeconomic and housing conditions (Figure 1). The region includes densely populated urban </w:t>
      </w:r>
      <w:proofErr w:type="spellStart"/>
      <w:r w:rsidRPr="002B579F">
        <w:rPr>
          <w:rFonts w:ascii="Arial" w:hAnsi="Arial" w:cs="Arial"/>
        </w:rPr>
        <w:t>centres</w:t>
      </w:r>
      <w:proofErr w:type="spellEnd"/>
      <w:r w:rsidRPr="002B579F">
        <w:rPr>
          <w:rFonts w:ascii="Arial" w:hAnsi="Arial" w:cs="Arial"/>
        </w:rPr>
        <w:t xml:space="preserve"> as well as extensive rural communities, with differences in household cooking practices, sources of drinking water, sanitation, housing materials and socioeconomic conditions. For this study, only households classified as rural in the 2023–24 NDHS and located within the three Southern geopolitical zones were included.</w:t>
      </w:r>
    </w:p>
    <w:p w14:paraId="2AE315A7" w14:textId="77777777" w:rsidR="003F03E5" w:rsidRPr="002B579F" w:rsidRDefault="003F03E5" w:rsidP="003F03E5">
      <w:pPr>
        <w:pStyle w:val="Body"/>
        <w:spacing w:after="0"/>
        <w:rPr>
          <w:rFonts w:ascii="Arial" w:hAnsi="Arial" w:cs="Arial"/>
        </w:rPr>
      </w:pPr>
      <w:r w:rsidRPr="002B579F">
        <w:rPr>
          <w:rFonts w:ascii="Arial" w:hAnsi="Arial" w:cs="Arial"/>
          <w:noProof/>
        </w:rPr>
        <w:lastRenderedPageBreak/>
        <w:drawing>
          <wp:inline distT="0" distB="0" distL="0" distR="0" wp14:anchorId="7E4A8446" wp14:editId="45DDB886">
            <wp:extent cx="5861050" cy="2687955"/>
            <wp:effectExtent l="0" t="0" r="0" b="0"/>
            <wp:docPr id="12244142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14247"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878836" cy="2696112"/>
                    </a:xfrm>
                    <a:prstGeom prst="rect">
                      <a:avLst/>
                    </a:prstGeom>
                    <a:noFill/>
                    <a:ln>
                      <a:noFill/>
                    </a:ln>
                  </pic:spPr>
                </pic:pic>
              </a:graphicData>
            </a:graphic>
          </wp:inline>
        </w:drawing>
      </w:r>
    </w:p>
    <w:p w14:paraId="64C2628F" w14:textId="77777777" w:rsidR="003F03E5" w:rsidRPr="002B579F" w:rsidRDefault="003F03E5" w:rsidP="003F03E5">
      <w:pPr>
        <w:pStyle w:val="Body"/>
        <w:spacing w:after="0"/>
        <w:rPr>
          <w:rFonts w:ascii="Arial" w:hAnsi="Arial" w:cs="Arial"/>
        </w:rPr>
      </w:pPr>
      <w:r w:rsidRPr="002B579F">
        <w:rPr>
          <w:rFonts w:ascii="Arial" w:hAnsi="Arial" w:cs="Arial"/>
        </w:rPr>
        <w:t>Figure 1: Map of Nigeria showing the southern geopolitical zones.</w:t>
      </w:r>
    </w:p>
    <w:p w14:paraId="104BFF50" w14:textId="77777777" w:rsidR="003F03E5" w:rsidRPr="002B579F" w:rsidRDefault="003F03E5" w:rsidP="003F03E5">
      <w:pPr>
        <w:pStyle w:val="Body"/>
        <w:spacing w:after="0"/>
        <w:rPr>
          <w:rFonts w:ascii="Arial" w:hAnsi="Arial" w:cs="Arial"/>
        </w:rPr>
      </w:pPr>
    </w:p>
    <w:p w14:paraId="4E8E611A"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2.3 </w:t>
      </w:r>
      <w:r w:rsidR="003F03E5" w:rsidRPr="002B579F">
        <w:rPr>
          <w:rFonts w:ascii="Arial" w:hAnsi="Arial" w:cs="Arial"/>
          <w:b/>
          <w:bCs/>
        </w:rPr>
        <w:t>Population of the Study</w:t>
      </w:r>
    </w:p>
    <w:p w14:paraId="472FEF66" w14:textId="77777777" w:rsidR="003F03E5" w:rsidRPr="002B579F" w:rsidRDefault="003F03E5" w:rsidP="003F03E5">
      <w:pPr>
        <w:pStyle w:val="Body"/>
        <w:spacing w:after="0"/>
        <w:rPr>
          <w:rFonts w:ascii="Arial" w:hAnsi="Arial" w:cs="Arial"/>
          <w:b/>
          <w:bCs/>
        </w:rPr>
      </w:pPr>
    </w:p>
    <w:p w14:paraId="14FFE470" w14:textId="77777777" w:rsidR="003F03E5" w:rsidRPr="002B579F" w:rsidRDefault="003F03E5" w:rsidP="003F03E5">
      <w:pPr>
        <w:pStyle w:val="Body"/>
        <w:spacing w:after="0"/>
        <w:rPr>
          <w:rFonts w:ascii="Arial" w:hAnsi="Arial" w:cs="Arial"/>
        </w:rPr>
      </w:pPr>
      <w:r w:rsidRPr="002B579F">
        <w:rPr>
          <w:rFonts w:ascii="Arial" w:hAnsi="Arial" w:cs="Arial"/>
        </w:rPr>
        <w:t xml:space="preserve">The study population comprised children aged 0–59 months living in rural households in the South East, South </w:t>
      </w:r>
      <w:proofErr w:type="spellStart"/>
      <w:r w:rsidRPr="002B579F">
        <w:rPr>
          <w:rFonts w:ascii="Arial" w:hAnsi="Arial" w:cs="Arial"/>
        </w:rPr>
        <w:t>South</w:t>
      </w:r>
      <w:proofErr w:type="spellEnd"/>
      <w:r w:rsidRPr="002B579F">
        <w:rPr>
          <w:rFonts w:ascii="Arial" w:hAnsi="Arial" w:cs="Arial"/>
        </w:rPr>
        <w:t xml:space="preserve"> and South West geopolitical zones of Nigeria who were included in the 2023–24 NDHS. The analysis focused on children with available information on reported ARI symptoms and relevant household environmental characteristics. For the treatment-seeking analysis, the population was restricted to children who were reported to have experienced symptoms consistent with ARI during the survey reference period.</w:t>
      </w:r>
    </w:p>
    <w:p w14:paraId="37EB61FF" w14:textId="77777777" w:rsidR="003F03E5" w:rsidRPr="002B579F" w:rsidRDefault="003F03E5" w:rsidP="003F03E5">
      <w:pPr>
        <w:pStyle w:val="Body"/>
        <w:spacing w:after="0"/>
        <w:rPr>
          <w:rFonts w:ascii="Arial" w:hAnsi="Arial" w:cs="Arial"/>
        </w:rPr>
      </w:pPr>
    </w:p>
    <w:p w14:paraId="5C1B4E26"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2.4 </w:t>
      </w:r>
      <w:r w:rsidR="003F03E5" w:rsidRPr="002B579F">
        <w:rPr>
          <w:rFonts w:ascii="Arial" w:hAnsi="Arial" w:cs="Arial"/>
          <w:b/>
          <w:bCs/>
        </w:rPr>
        <w:t>Sample Size and Sampling Technique</w:t>
      </w:r>
    </w:p>
    <w:p w14:paraId="1E91F1D5" w14:textId="77777777" w:rsidR="003F03E5" w:rsidRPr="002B579F" w:rsidRDefault="003F03E5" w:rsidP="003F03E5">
      <w:pPr>
        <w:pStyle w:val="Body"/>
        <w:spacing w:after="0"/>
        <w:rPr>
          <w:rFonts w:ascii="Arial" w:hAnsi="Arial" w:cs="Arial"/>
          <w:b/>
          <w:bCs/>
        </w:rPr>
      </w:pPr>
    </w:p>
    <w:p w14:paraId="5FF72CAD" w14:textId="77777777" w:rsidR="003F03E5" w:rsidRPr="002B579F" w:rsidRDefault="003F03E5" w:rsidP="003F03E5">
      <w:pPr>
        <w:pStyle w:val="Body"/>
        <w:spacing w:after="0"/>
        <w:rPr>
          <w:rFonts w:ascii="Arial" w:hAnsi="Arial" w:cs="Arial"/>
        </w:rPr>
      </w:pPr>
      <w:r w:rsidRPr="002B579F">
        <w:rPr>
          <w:rFonts w:ascii="Arial" w:hAnsi="Arial" w:cs="Arial"/>
        </w:rPr>
        <w:t xml:space="preserve">The study </w:t>
      </w:r>
      <w:proofErr w:type="spellStart"/>
      <w:r w:rsidRPr="002B579F">
        <w:rPr>
          <w:rFonts w:ascii="Arial" w:hAnsi="Arial" w:cs="Arial"/>
        </w:rPr>
        <w:t>utilised</w:t>
      </w:r>
      <w:proofErr w:type="spellEnd"/>
      <w:r w:rsidRPr="002B579F">
        <w:rPr>
          <w:rFonts w:ascii="Arial" w:hAnsi="Arial" w:cs="Arial"/>
        </w:rPr>
        <w:t xml:space="preserve"> data from the 2023–24 Nigeria Demographic and Health Survey (NDHS), a nationally representative household survey conducted using a stratified, two-stage cluster sampling design. In the first stage, enumeration areas were selected as primary sampling units with probability proportional to size. The sampling frame was stratified by state and urban–rural residence to ensure adequate representation of different geographic and residential populations. In the second stage, households were systematically selected from updated household listings within the selected enumeration areas.</w:t>
      </w:r>
    </w:p>
    <w:p w14:paraId="2879E0CF" w14:textId="77777777" w:rsidR="003F03E5" w:rsidRPr="002B579F" w:rsidRDefault="003F03E5" w:rsidP="003F03E5">
      <w:pPr>
        <w:pStyle w:val="Body"/>
        <w:spacing w:after="0"/>
        <w:rPr>
          <w:rFonts w:ascii="Arial" w:hAnsi="Arial" w:cs="Arial"/>
        </w:rPr>
      </w:pPr>
    </w:p>
    <w:p w14:paraId="66B2379E" w14:textId="77777777" w:rsidR="003F03E5" w:rsidRPr="002B579F" w:rsidRDefault="003F03E5" w:rsidP="003F03E5">
      <w:pPr>
        <w:pStyle w:val="Body"/>
        <w:spacing w:after="0"/>
        <w:rPr>
          <w:rFonts w:ascii="Arial" w:hAnsi="Arial" w:cs="Arial"/>
        </w:rPr>
      </w:pPr>
      <w:r w:rsidRPr="002B579F">
        <w:rPr>
          <w:rFonts w:ascii="Arial" w:hAnsi="Arial" w:cs="Arial"/>
        </w:rPr>
        <w:t xml:space="preserve">For the present study, the national NDHS dataset was restricted to children aged 0–59 months who resided in rural households within the South East, South </w:t>
      </w:r>
      <w:proofErr w:type="spellStart"/>
      <w:r w:rsidRPr="002B579F">
        <w:rPr>
          <w:rFonts w:ascii="Arial" w:hAnsi="Arial" w:cs="Arial"/>
        </w:rPr>
        <w:t>South</w:t>
      </w:r>
      <w:proofErr w:type="spellEnd"/>
      <w:r w:rsidRPr="002B579F">
        <w:rPr>
          <w:rFonts w:ascii="Arial" w:hAnsi="Arial" w:cs="Arial"/>
        </w:rPr>
        <w:t xml:space="preserve"> and South West geopolitical zones of Nigeria. Thus, the study did not independently recruit or sample participants; rather, eligible observations were identified from the existing NDHS dataset according to the predefined inclusion and exclusion criteria. After applying these criteria and retaining records with the required information on ARI and relevant household environmental characteristics, a total of 2,949 children constituted the sample.</w:t>
      </w:r>
    </w:p>
    <w:p w14:paraId="5E0CA11B" w14:textId="77777777" w:rsidR="003F03E5" w:rsidRPr="002B579F" w:rsidRDefault="003F03E5" w:rsidP="003F03E5">
      <w:pPr>
        <w:pStyle w:val="Body"/>
        <w:spacing w:after="0"/>
        <w:rPr>
          <w:rFonts w:ascii="Arial" w:hAnsi="Arial" w:cs="Arial"/>
        </w:rPr>
      </w:pPr>
    </w:p>
    <w:p w14:paraId="258D7A8D"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2.5 </w:t>
      </w:r>
      <w:r w:rsidR="003F03E5" w:rsidRPr="002B579F">
        <w:rPr>
          <w:rFonts w:ascii="Arial" w:hAnsi="Arial" w:cs="Arial"/>
          <w:b/>
          <w:bCs/>
        </w:rPr>
        <w:t>Inclusion and Exclusion Criteria</w:t>
      </w:r>
    </w:p>
    <w:p w14:paraId="3FA342B9" w14:textId="77777777" w:rsidR="003F03E5" w:rsidRPr="002B579F" w:rsidRDefault="003F03E5" w:rsidP="003F03E5">
      <w:pPr>
        <w:pStyle w:val="Body"/>
        <w:spacing w:after="0"/>
        <w:rPr>
          <w:rFonts w:ascii="Arial" w:hAnsi="Arial" w:cs="Arial"/>
          <w:b/>
          <w:bCs/>
        </w:rPr>
      </w:pPr>
    </w:p>
    <w:p w14:paraId="75438254" w14:textId="77777777" w:rsidR="003F03E5" w:rsidRPr="002B579F" w:rsidRDefault="003F03E5" w:rsidP="003F03E5">
      <w:pPr>
        <w:pStyle w:val="Body"/>
        <w:spacing w:after="0"/>
        <w:rPr>
          <w:rFonts w:ascii="Arial" w:hAnsi="Arial" w:cs="Arial"/>
        </w:rPr>
      </w:pPr>
      <w:r w:rsidRPr="002B579F">
        <w:rPr>
          <w:rFonts w:ascii="Arial" w:hAnsi="Arial" w:cs="Arial"/>
        </w:rPr>
        <w:t xml:space="preserve">Children were included if they were aged 0–59 months, resided in a rural household within the South East, South </w:t>
      </w:r>
      <w:proofErr w:type="spellStart"/>
      <w:r w:rsidRPr="002B579F">
        <w:rPr>
          <w:rFonts w:ascii="Arial" w:hAnsi="Arial" w:cs="Arial"/>
        </w:rPr>
        <w:t>South</w:t>
      </w:r>
      <w:proofErr w:type="spellEnd"/>
      <w:r w:rsidRPr="002B579F">
        <w:rPr>
          <w:rFonts w:ascii="Arial" w:hAnsi="Arial" w:cs="Arial"/>
        </w:rPr>
        <w:t xml:space="preserve"> or South West geopolitical zones, and had available information on ARI symptoms and the household characteristics required for the analysis.</w:t>
      </w:r>
    </w:p>
    <w:p w14:paraId="39EBC987" w14:textId="77777777" w:rsidR="003F03E5" w:rsidRPr="002B579F" w:rsidRDefault="003F03E5" w:rsidP="003F03E5">
      <w:pPr>
        <w:pStyle w:val="Body"/>
        <w:spacing w:after="0"/>
        <w:rPr>
          <w:rFonts w:ascii="Arial" w:hAnsi="Arial" w:cs="Arial"/>
        </w:rPr>
      </w:pPr>
      <w:r w:rsidRPr="002B579F">
        <w:rPr>
          <w:rFonts w:ascii="Arial" w:hAnsi="Arial" w:cs="Arial"/>
        </w:rPr>
        <w:t xml:space="preserve">Children were excluded if they were aged 60 months or older, lived in urban households, resided outside the three Southern geopolitical zones, or lacked information on the primary outcome or essential variables for the relevant analysis. Children without reported ARI symptoms were excluded from the treatment-seeking analysis because treatment-seeking </w:t>
      </w:r>
      <w:proofErr w:type="spellStart"/>
      <w:r w:rsidRPr="002B579F">
        <w:rPr>
          <w:rFonts w:ascii="Arial" w:hAnsi="Arial" w:cs="Arial"/>
        </w:rPr>
        <w:t>behaviour</w:t>
      </w:r>
      <w:proofErr w:type="spellEnd"/>
      <w:r w:rsidRPr="002B579F">
        <w:rPr>
          <w:rFonts w:ascii="Arial" w:hAnsi="Arial" w:cs="Arial"/>
        </w:rPr>
        <w:t xml:space="preserve"> was assessed only among children who experienced ARI symptoms.</w:t>
      </w:r>
    </w:p>
    <w:p w14:paraId="259F0102" w14:textId="77777777" w:rsidR="003F03E5" w:rsidRPr="002B579F" w:rsidRDefault="003F03E5" w:rsidP="003F03E5">
      <w:pPr>
        <w:pStyle w:val="Body"/>
        <w:spacing w:after="0"/>
        <w:rPr>
          <w:rFonts w:ascii="Arial" w:hAnsi="Arial" w:cs="Arial"/>
        </w:rPr>
      </w:pPr>
    </w:p>
    <w:p w14:paraId="5FF66FB5"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2.6 </w:t>
      </w:r>
      <w:r w:rsidR="003F03E5" w:rsidRPr="002B579F">
        <w:rPr>
          <w:rFonts w:ascii="Arial" w:hAnsi="Arial" w:cs="Arial"/>
          <w:b/>
          <w:bCs/>
        </w:rPr>
        <w:t>Research Instrument</w:t>
      </w:r>
    </w:p>
    <w:p w14:paraId="0C28659F" w14:textId="77777777" w:rsidR="003F03E5" w:rsidRPr="002B579F" w:rsidRDefault="003F03E5" w:rsidP="003F03E5">
      <w:pPr>
        <w:pStyle w:val="Body"/>
        <w:spacing w:after="0"/>
        <w:rPr>
          <w:rFonts w:ascii="Arial" w:hAnsi="Arial" w:cs="Arial"/>
          <w:b/>
          <w:bCs/>
        </w:rPr>
      </w:pPr>
    </w:p>
    <w:p w14:paraId="04CF49B3" w14:textId="77777777" w:rsidR="003F03E5" w:rsidRPr="002B579F" w:rsidRDefault="003F03E5" w:rsidP="003F03E5">
      <w:pPr>
        <w:pStyle w:val="Body"/>
        <w:spacing w:after="0"/>
        <w:rPr>
          <w:rFonts w:ascii="Arial" w:hAnsi="Arial" w:cs="Arial"/>
        </w:rPr>
      </w:pPr>
      <w:r w:rsidRPr="002B579F">
        <w:rPr>
          <w:rFonts w:ascii="Arial" w:hAnsi="Arial" w:cs="Arial"/>
        </w:rPr>
        <w:t xml:space="preserve">The study </w:t>
      </w:r>
      <w:proofErr w:type="spellStart"/>
      <w:r w:rsidRPr="002B579F">
        <w:rPr>
          <w:rFonts w:ascii="Arial" w:hAnsi="Arial" w:cs="Arial"/>
        </w:rPr>
        <w:t>utilised</w:t>
      </w:r>
      <w:proofErr w:type="spellEnd"/>
      <w:r w:rsidRPr="002B579F">
        <w:rPr>
          <w:rFonts w:ascii="Arial" w:hAnsi="Arial" w:cs="Arial"/>
        </w:rPr>
        <w:t xml:space="preserve"> data collected through the 2023–24 NDHS </w:t>
      </w:r>
      <w:proofErr w:type="spellStart"/>
      <w:r w:rsidRPr="002B579F">
        <w:rPr>
          <w:rFonts w:ascii="Arial" w:hAnsi="Arial" w:cs="Arial"/>
        </w:rPr>
        <w:t>standardised</w:t>
      </w:r>
      <w:proofErr w:type="spellEnd"/>
      <w:r w:rsidRPr="002B579F">
        <w:rPr>
          <w:rFonts w:ascii="Arial" w:hAnsi="Arial" w:cs="Arial"/>
        </w:rPr>
        <w:t xml:space="preserve"> questionnaires, particularly the household and child-related sections containing information on demographic characteristics, childhood illness, household environmental conditions and socioeconomic status. The original survey employed </w:t>
      </w:r>
      <w:proofErr w:type="spellStart"/>
      <w:r w:rsidRPr="002B579F">
        <w:rPr>
          <w:rFonts w:ascii="Arial" w:hAnsi="Arial" w:cs="Arial"/>
        </w:rPr>
        <w:t>standardised</w:t>
      </w:r>
      <w:proofErr w:type="spellEnd"/>
      <w:r w:rsidRPr="002B579F">
        <w:rPr>
          <w:rFonts w:ascii="Arial" w:hAnsi="Arial" w:cs="Arial"/>
        </w:rPr>
        <w:t xml:space="preserve"> DHS data-collection procedures and computer-assisted personal interviewing (CAPI). </w:t>
      </w:r>
    </w:p>
    <w:p w14:paraId="1F4B0FB4" w14:textId="77777777" w:rsidR="003F03E5" w:rsidRPr="002B579F" w:rsidRDefault="003F03E5" w:rsidP="003F03E5">
      <w:pPr>
        <w:pStyle w:val="Body"/>
        <w:spacing w:after="0"/>
        <w:rPr>
          <w:rFonts w:ascii="Arial" w:hAnsi="Arial" w:cs="Arial"/>
        </w:rPr>
      </w:pPr>
      <w:r w:rsidRPr="002B579F">
        <w:rPr>
          <w:rFonts w:ascii="Arial" w:hAnsi="Arial" w:cs="Arial"/>
        </w:rPr>
        <w:lastRenderedPageBreak/>
        <w:t xml:space="preserve">For the present analysis, relevant variables were extracted from the appropriate NDHS datasets. These included child age and sex, ARI symptoms, household size, cooking fuel, roofing material, source of drinking water, household wealth status, sex of household head and other relevant demographic and household characteristics. </w:t>
      </w:r>
    </w:p>
    <w:p w14:paraId="1DA61E4C" w14:textId="77777777" w:rsidR="003F03E5" w:rsidRPr="002B579F" w:rsidRDefault="003F03E5" w:rsidP="003F03E5">
      <w:pPr>
        <w:pStyle w:val="Body"/>
        <w:spacing w:after="0"/>
        <w:rPr>
          <w:rFonts w:ascii="Arial" w:hAnsi="Arial" w:cs="Arial"/>
        </w:rPr>
      </w:pPr>
      <w:r w:rsidRPr="002B579F">
        <w:rPr>
          <w:rFonts w:ascii="Arial" w:hAnsi="Arial" w:cs="Arial"/>
        </w:rPr>
        <w:t xml:space="preserve">The reliability of the NDHS instruments was supported by </w:t>
      </w:r>
      <w:proofErr w:type="spellStart"/>
      <w:r w:rsidRPr="002B579F">
        <w:rPr>
          <w:rFonts w:ascii="Arial" w:hAnsi="Arial" w:cs="Arial"/>
        </w:rPr>
        <w:t>standardised</w:t>
      </w:r>
      <w:proofErr w:type="spellEnd"/>
      <w:r w:rsidRPr="002B579F">
        <w:rPr>
          <w:rFonts w:ascii="Arial" w:hAnsi="Arial" w:cs="Arial"/>
        </w:rPr>
        <w:t xml:space="preserve"> questionnaires, pretesting, training of field personnel, supervision and the use of computer-assisted personal interviewing (CAPI). These procedures enhanced the consistency and quality of the data used in this study.</w:t>
      </w:r>
    </w:p>
    <w:p w14:paraId="08E4FC0A" w14:textId="77777777" w:rsidR="004D3927" w:rsidRPr="002B579F" w:rsidRDefault="004D3927" w:rsidP="003F03E5">
      <w:pPr>
        <w:pStyle w:val="Body"/>
        <w:spacing w:after="0"/>
        <w:rPr>
          <w:rFonts w:ascii="Arial" w:hAnsi="Arial" w:cs="Arial"/>
        </w:rPr>
      </w:pPr>
    </w:p>
    <w:p w14:paraId="53A5C879" w14:textId="77777777" w:rsidR="003F03E5" w:rsidRPr="002B579F" w:rsidRDefault="004D3927" w:rsidP="003F03E5">
      <w:pPr>
        <w:pStyle w:val="Body"/>
        <w:spacing w:after="0"/>
        <w:rPr>
          <w:rFonts w:ascii="Arial" w:hAnsi="Arial" w:cs="Arial"/>
          <w:b/>
          <w:bCs/>
        </w:rPr>
      </w:pPr>
      <w:r w:rsidRPr="002B579F">
        <w:rPr>
          <w:rFonts w:ascii="Arial" w:hAnsi="Arial" w:cs="Arial"/>
          <w:b/>
          <w:bCs/>
        </w:rPr>
        <w:t xml:space="preserve">2.7 </w:t>
      </w:r>
      <w:r w:rsidR="003F03E5" w:rsidRPr="002B579F">
        <w:rPr>
          <w:rFonts w:ascii="Arial" w:hAnsi="Arial" w:cs="Arial"/>
          <w:b/>
          <w:bCs/>
        </w:rPr>
        <w:t>Data Collection and Analysis</w:t>
      </w:r>
    </w:p>
    <w:p w14:paraId="1A08B6AE" w14:textId="77777777" w:rsidR="004D3927" w:rsidRPr="002B579F" w:rsidRDefault="004D3927" w:rsidP="003F03E5">
      <w:pPr>
        <w:pStyle w:val="Body"/>
        <w:spacing w:after="0"/>
        <w:rPr>
          <w:rFonts w:ascii="Arial" w:hAnsi="Arial" w:cs="Arial"/>
          <w:b/>
          <w:bCs/>
        </w:rPr>
      </w:pPr>
    </w:p>
    <w:p w14:paraId="5B54FA31" w14:textId="77777777" w:rsidR="003F03E5" w:rsidRPr="002B579F" w:rsidRDefault="003F03E5" w:rsidP="003F03E5">
      <w:pPr>
        <w:pStyle w:val="Body"/>
        <w:spacing w:after="0"/>
        <w:rPr>
          <w:rFonts w:ascii="Arial" w:hAnsi="Arial" w:cs="Arial"/>
        </w:rPr>
      </w:pPr>
      <w:r w:rsidRPr="002B579F">
        <w:rPr>
          <w:rFonts w:ascii="Arial" w:hAnsi="Arial" w:cs="Arial"/>
        </w:rPr>
        <w:t xml:space="preserve">The original NDHS data were collected by trained field personnel using </w:t>
      </w:r>
      <w:proofErr w:type="spellStart"/>
      <w:r w:rsidRPr="002B579F">
        <w:rPr>
          <w:rFonts w:ascii="Arial" w:hAnsi="Arial" w:cs="Arial"/>
        </w:rPr>
        <w:t>standardised</w:t>
      </w:r>
      <w:proofErr w:type="spellEnd"/>
      <w:r w:rsidRPr="002B579F">
        <w:rPr>
          <w:rFonts w:ascii="Arial" w:hAnsi="Arial" w:cs="Arial"/>
        </w:rPr>
        <w:t xml:space="preserve"> questionnaires administered through CAPI. The present study involved secondary data analysis and therefore did not involve direct contact with participants or independent primary data collection.</w:t>
      </w:r>
    </w:p>
    <w:p w14:paraId="660F007E" w14:textId="77777777" w:rsidR="003F03E5" w:rsidRPr="002B579F" w:rsidRDefault="003F03E5" w:rsidP="003F03E5">
      <w:pPr>
        <w:pStyle w:val="Body"/>
        <w:spacing w:after="0"/>
        <w:rPr>
          <w:rFonts w:ascii="Arial" w:hAnsi="Arial" w:cs="Arial"/>
        </w:rPr>
      </w:pPr>
      <w:r w:rsidRPr="002B579F">
        <w:rPr>
          <w:rFonts w:ascii="Arial" w:hAnsi="Arial" w:cs="Arial"/>
        </w:rPr>
        <w:t xml:space="preserve">The data were cleaned, coded and </w:t>
      </w:r>
      <w:proofErr w:type="spellStart"/>
      <w:r w:rsidRPr="002B579F">
        <w:rPr>
          <w:rFonts w:ascii="Arial" w:hAnsi="Arial" w:cs="Arial"/>
        </w:rPr>
        <w:t>analysed</w:t>
      </w:r>
      <w:proofErr w:type="spellEnd"/>
      <w:r w:rsidRPr="002B579F">
        <w:rPr>
          <w:rFonts w:ascii="Arial" w:hAnsi="Arial" w:cs="Arial"/>
        </w:rPr>
        <w:t xml:space="preserve"> using Stata version 18 SE. Descriptive statistics were presented as weighted frequencies and percentages. The prevalence of ARI was estimated with 95% confidence intervals. Associations between ARI and explanatory variables were examined using survey-adjusted Pearson's chi-square tests.</w:t>
      </w:r>
    </w:p>
    <w:p w14:paraId="6892C1AE" w14:textId="77777777" w:rsidR="003F03E5" w:rsidRPr="002B579F" w:rsidRDefault="003F03E5" w:rsidP="003F03E5">
      <w:pPr>
        <w:pStyle w:val="Body"/>
        <w:spacing w:after="0"/>
        <w:rPr>
          <w:rFonts w:ascii="Arial" w:hAnsi="Arial" w:cs="Arial"/>
        </w:rPr>
      </w:pPr>
      <w:r w:rsidRPr="002B579F">
        <w:rPr>
          <w:rFonts w:ascii="Arial" w:hAnsi="Arial" w:cs="Arial"/>
        </w:rPr>
        <w:t>Survey-adjusted Poisson regression with robust variance was used to estimate crude and adjusted prevalence ratios (PRs) with corresponding 95% confidence intervals. The multivariable model included relevant household environmental factors and selected child, maternal and socioeconomic characteristics. Statistical significance was set at p &lt; 0.05.</w:t>
      </w:r>
    </w:p>
    <w:p w14:paraId="611D1D3B" w14:textId="77777777" w:rsidR="003F03E5" w:rsidRPr="002B579F" w:rsidRDefault="003F03E5" w:rsidP="003F03E5">
      <w:pPr>
        <w:pStyle w:val="Body"/>
        <w:spacing w:after="0"/>
        <w:rPr>
          <w:rFonts w:ascii="Arial" w:hAnsi="Arial" w:cs="Arial"/>
        </w:rPr>
      </w:pPr>
      <w:r w:rsidRPr="002B579F">
        <w:rPr>
          <w:rFonts w:ascii="Arial" w:hAnsi="Arial" w:cs="Arial"/>
        </w:rPr>
        <w:t>All analyses accounted for the complex survey design by incorporating the NDHS sampling weights, primary sampling units and stratification variables.</w:t>
      </w:r>
    </w:p>
    <w:p w14:paraId="34F7454A" w14:textId="77777777" w:rsidR="00790ADA" w:rsidRPr="002B579F" w:rsidRDefault="00790ADA" w:rsidP="00441B6F">
      <w:pPr>
        <w:pStyle w:val="Body"/>
        <w:spacing w:after="0"/>
        <w:rPr>
          <w:rFonts w:ascii="Arial" w:hAnsi="Arial" w:cs="Arial"/>
        </w:rPr>
      </w:pPr>
    </w:p>
    <w:p w14:paraId="0D29EE18" w14:textId="77777777" w:rsidR="00790ADA" w:rsidRPr="002B579F" w:rsidRDefault="00790ADA" w:rsidP="00441B6F">
      <w:pPr>
        <w:pStyle w:val="Body"/>
        <w:spacing w:after="0"/>
        <w:rPr>
          <w:rFonts w:ascii="Arial" w:hAnsi="Arial" w:cs="Arial"/>
        </w:rPr>
      </w:pPr>
    </w:p>
    <w:p w14:paraId="1C9FC9C4" w14:textId="77777777" w:rsidR="00902823" w:rsidRPr="002B579F" w:rsidRDefault="00000F8F" w:rsidP="00441B6F">
      <w:pPr>
        <w:pStyle w:val="Head1"/>
        <w:spacing w:after="0"/>
        <w:jc w:val="both"/>
        <w:rPr>
          <w:rFonts w:ascii="Arial" w:hAnsi="Arial" w:cs="Arial"/>
        </w:rPr>
      </w:pPr>
      <w:r w:rsidRPr="002B579F">
        <w:rPr>
          <w:rFonts w:ascii="Arial" w:hAnsi="Arial" w:cs="Arial"/>
        </w:rPr>
        <w:t>3</w:t>
      </w:r>
      <w:r w:rsidR="00902823" w:rsidRPr="002B579F">
        <w:rPr>
          <w:rFonts w:ascii="Arial" w:hAnsi="Arial" w:cs="Arial"/>
        </w:rPr>
        <w:t xml:space="preserve">. </w:t>
      </w:r>
      <w:r w:rsidRPr="002B579F">
        <w:rPr>
          <w:rFonts w:ascii="Arial" w:hAnsi="Arial" w:cs="Arial"/>
        </w:rPr>
        <w:t>results and discussion</w:t>
      </w:r>
    </w:p>
    <w:p w14:paraId="390C1CC6" w14:textId="77777777" w:rsidR="00790ADA" w:rsidRPr="002B579F" w:rsidRDefault="00790ADA" w:rsidP="00441B6F">
      <w:pPr>
        <w:pStyle w:val="Head1"/>
        <w:spacing w:after="0"/>
        <w:jc w:val="both"/>
        <w:rPr>
          <w:rFonts w:ascii="Arial" w:hAnsi="Arial" w:cs="Arial"/>
        </w:rPr>
      </w:pPr>
    </w:p>
    <w:p w14:paraId="20B8B717" w14:textId="77777777" w:rsidR="004D3927" w:rsidRPr="002B579F" w:rsidRDefault="004D3927" w:rsidP="004D3927">
      <w:pPr>
        <w:pStyle w:val="Body"/>
        <w:spacing w:after="0"/>
        <w:rPr>
          <w:rFonts w:ascii="Arial" w:hAnsi="Arial" w:cs="Arial"/>
          <w:b/>
          <w:bCs/>
        </w:rPr>
      </w:pPr>
      <w:r w:rsidRPr="002B579F">
        <w:rPr>
          <w:rFonts w:ascii="Arial" w:hAnsi="Arial" w:cs="Arial"/>
          <w:b/>
          <w:bCs/>
        </w:rPr>
        <w:t>3.1 Results</w:t>
      </w:r>
    </w:p>
    <w:p w14:paraId="6954BB0E" w14:textId="77777777" w:rsidR="004D3927" w:rsidRPr="002B579F" w:rsidRDefault="004D3927" w:rsidP="004D3927">
      <w:pPr>
        <w:pStyle w:val="Body"/>
        <w:spacing w:after="0"/>
        <w:rPr>
          <w:rFonts w:ascii="Arial" w:hAnsi="Arial" w:cs="Arial"/>
          <w:b/>
          <w:bCs/>
        </w:rPr>
      </w:pPr>
    </w:p>
    <w:p w14:paraId="7298EFC9" w14:textId="77777777" w:rsidR="004D3927" w:rsidRPr="002B579F" w:rsidRDefault="004D3927" w:rsidP="004D3927">
      <w:pPr>
        <w:pStyle w:val="Body"/>
        <w:spacing w:after="0"/>
        <w:rPr>
          <w:rFonts w:ascii="Arial" w:hAnsi="Arial" w:cs="Arial"/>
          <w:b/>
          <w:bCs/>
        </w:rPr>
      </w:pPr>
      <w:r w:rsidRPr="002B579F">
        <w:rPr>
          <w:rFonts w:ascii="Arial" w:hAnsi="Arial" w:cs="Arial"/>
          <w:b/>
          <w:bCs/>
        </w:rPr>
        <w:t>3.1.1 Socio-Demographic Characteristics in the Study Population</w:t>
      </w:r>
    </w:p>
    <w:p w14:paraId="7033DAD7" w14:textId="77777777" w:rsidR="004D3927" w:rsidRPr="002B579F" w:rsidRDefault="004D3927" w:rsidP="004D3927">
      <w:pPr>
        <w:pStyle w:val="Body"/>
        <w:spacing w:after="0"/>
        <w:rPr>
          <w:rFonts w:ascii="Arial" w:hAnsi="Arial" w:cs="Arial"/>
          <w:b/>
          <w:bCs/>
        </w:rPr>
      </w:pPr>
    </w:p>
    <w:p w14:paraId="105F6ECF" w14:textId="77777777" w:rsidR="004D3927" w:rsidRPr="002B579F" w:rsidRDefault="004D3927" w:rsidP="004D3927">
      <w:pPr>
        <w:pStyle w:val="Body"/>
        <w:spacing w:after="0"/>
        <w:rPr>
          <w:rFonts w:ascii="Arial" w:hAnsi="Arial" w:cs="Arial"/>
        </w:rPr>
      </w:pPr>
      <w:r w:rsidRPr="002B579F">
        <w:rPr>
          <w:rFonts w:ascii="Arial" w:hAnsi="Arial" w:cs="Arial"/>
          <w:b/>
          <w:bCs/>
        </w:rPr>
        <w:t>Table 1</w:t>
      </w:r>
      <w:r w:rsidRPr="002B579F">
        <w:rPr>
          <w:rFonts w:ascii="Arial" w:hAnsi="Arial" w:cs="Arial"/>
        </w:rPr>
        <w:t xml:space="preserve"> presents the socio-demographic characteristics of the study population. The findings show that the study population comprised 2,949 children. The largest age group was 48–59 months (21.33%), while the smallest was 24–35 months (18.62%). The sex distribution was nearly equal, with males accounting for 50.22% and females 49.78%. Most children had mothers aged 25–34 years (52.26%), and secondary education was the most commonly reported maternal educational level (63.72%). Regarding household wealth, the middle category was the most represented (31.91%), followed by the richer category (27.70%). More than half of the children lived in households with 5–8 members (53.27%), while 73.99% lived in male-headed households. Geographically, the South East had the highest representation (56.09%), followed by the South </w:t>
      </w:r>
      <w:proofErr w:type="spellStart"/>
      <w:r w:rsidRPr="002B579F">
        <w:rPr>
          <w:rFonts w:ascii="Arial" w:hAnsi="Arial" w:cs="Arial"/>
        </w:rPr>
        <w:t>South</w:t>
      </w:r>
      <w:proofErr w:type="spellEnd"/>
      <w:r w:rsidRPr="002B579F">
        <w:rPr>
          <w:rFonts w:ascii="Arial" w:hAnsi="Arial" w:cs="Arial"/>
        </w:rPr>
        <w:t xml:space="preserve"> (26.69%) and South West (17.23%).</w:t>
      </w:r>
    </w:p>
    <w:p w14:paraId="382AA2B0" w14:textId="77777777" w:rsidR="004D3927" w:rsidRPr="002B579F" w:rsidRDefault="004D3927" w:rsidP="004D3927">
      <w:pPr>
        <w:pStyle w:val="Body"/>
        <w:spacing w:after="0"/>
        <w:rPr>
          <w:rFonts w:ascii="Arial" w:hAnsi="Arial" w:cs="Arial"/>
        </w:rPr>
      </w:pPr>
    </w:p>
    <w:p w14:paraId="56B00936" w14:textId="77777777" w:rsidR="004D3927" w:rsidRPr="002B579F" w:rsidRDefault="004D3927" w:rsidP="004D3927">
      <w:pPr>
        <w:pStyle w:val="Body"/>
        <w:spacing w:after="0"/>
        <w:rPr>
          <w:rFonts w:ascii="Arial" w:hAnsi="Arial" w:cs="Arial"/>
        </w:rPr>
      </w:pPr>
      <w:r w:rsidRPr="002B579F">
        <w:rPr>
          <w:rFonts w:ascii="Arial" w:hAnsi="Arial" w:cs="Arial"/>
        </w:rPr>
        <w:t>Table 1: Socio-Demographic Characteristics in the Study Population</w:t>
      </w:r>
    </w:p>
    <w:tbl>
      <w:tblPr>
        <w:tblStyle w:val="PlainTable2"/>
        <w:tblW w:w="8965" w:type="dxa"/>
        <w:tblLook w:val="07A0" w:firstRow="1" w:lastRow="0" w:firstColumn="1" w:lastColumn="1" w:noHBand="1" w:noVBand="1"/>
      </w:tblPr>
      <w:tblGrid>
        <w:gridCol w:w="4416"/>
        <w:gridCol w:w="2188"/>
        <w:gridCol w:w="2361"/>
      </w:tblGrid>
      <w:tr w:rsidR="004D3927" w:rsidRPr="002B579F" w14:paraId="1BD2E623" w14:textId="77777777" w:rsidTr="001B58F0">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3A5E3D33" w14:textId="77777777" w:rsidR="004D3927" w:rsidRPr="002B579F" w:rsidRDefault="004D3927" w:rsidP="004D3927">
            <w:pPr>
              <w:pStyle w:val="Body"/>
              <w:rPr>
                <w:rFonts w:ascii="Arial" w:hAnsi="Arial" w:cs="Arial"/>
              </w:rPr>
            </w:pPr>
            <w:r w:rsidRPr="002B579F">
              <w:rPr>
                <w:rFonts w:ascii="Arial" w:hAnsi="Arial" w:cs="Arial"/>
              </w:rPr>
              <w:t>Characteristics</w:t>
            </w:r>
          </w:p>
        </w:tc>
        <w:tc>
          <w:tcPr>
            <w:tcW w:w="0" w:type="auto"/>
            <w:hideMark/>
          </w:tcPr>
          <w:p w14:paraId="4C5EAC89"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Frequency (n)</w:t>
            </w:r>
          </w:p>
        </w:tc>
        <w:tc>
          <w:tcPr>
            <w:cnfStyle w:val="000100000000" w:firstRow="0" w:lastRow="0" w:firstColumn="0" w:lastColumn="1" w:oddVBand="0" w:evenVBand="0" w:oddHBand="0" w:evenHBand="0" w:firstRowFirstColumn="0" w:firstRowLastColumn="0" w:lastRowFirstColumn="0" w:lastRowLastColumn="0"/>
            <w:tcW w:w="0" w:type="auto"/>
            <w:hideMark/>
          </w:tcPr>
          <w:p w14:paraId="670DE9E5" w14:textId="77777777" w:rsidR="004D3927" w:rsidRPr="002B579F" w:rsidRDefault="004D3927" w:rsidP="004D3927">
            <w:pPr>
              <w:pStyle w:val="Body"/>
              <w:rPr>
                <w:rFonts w:ascii="Arial" w:hAnsi="Arial" w:cs="Arial"/>
              </w:rPr>
            </w:pPr>
            <w:r w:rsidRPr="002B579F">
              <w:rPr>
                <w:rFonts w:ascii="Arial" w:hAnsi="Arial" w:cs="Arial"/>
              </w:rPr>
              <w:t>Percentage (%)</w:t>
            </w:r>
          </w:p>
        </w:tc>
      </w:tr>
      <w:tr w:rsidR="004D3927" w:rsidRPr="002B579F" w14:paraId="117B8B16"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4D38E6E" w14:textId="77777777" w:rsidR="004D3927" w:rsidRPr="002B579F" w:rsidRDefault="004D3927" w:rsidP="004D3927">
            <w:pPr>
              <w:pStyle w:val="Body"/>
              <w:rPr>
                <w:rFonts w:ascii="Arial" w:hAnsi="Arial" w:cs="Arial"/>
              </w:rPr>
            </w:pPr>
            <w:r w:rsidRPr="002B579F">
              <w:rPr>
                <w:rFonts w:ascii="Arial" w:hAnsi="Arial" w:cs="Arial"/>
              </w:rPr>
              <w:t>Age of child (months)</w:t>
            </w:r>
          </w:p>
        </w:tc>
        <w:tc>
          <w:tcPr>
            <w:tcW w:w="0" w:type="auto"/>
            <w:hideMark/>
          </w:tcPr>
          <w:p w14:paraId="430BD0E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3759F793" w14:textId="77777777" w:rsidR="004D3927" w:rsidRPr="002B579F" w:rsidRDefault="004D3927" w:rsidP="004D3927">
            <w:pPr>
              <w:pStyle w:val="Body"/>
              <w:rPr>
                <w:rFonts w:ascii="Arial" w:hAnsi="Arial" w:cs="Arial"/>
              </w:rPr>
            </w:pPr>
          </w:p>
        </w:tc>
      </w:tr>
      <w:tr w:rsidR="004D3927" w:rsidRPr="002B579F" w14:paraId="2AFB27E4"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4B9385CF" w14:textId="77777777" w:rsidR="004D3927" w:rsidRPr="002B579F" w:rsidRDefault="004D3927" w:rsidP="004D3927">
            <w:pPr>
              <w:pStyle w:val="Body"/>
              <w:rPr>
                <w:rFonts w:ascii="Arial" w:hAnsi="Arial" w:cs="Arial"/>
                <w:b w:val="0"/>
              </w:rPr>
            </w:pPr>
            <w:r w:rsidRPr="002B579F">
              <w:rPr>
                <w:rFonts w:ascii="Arial" w:hAnsi="Arial" w:cs="Arial"/>
                <w:b w:val="0"/>
              </w:rPr>
              <w:t>0–11 months</w:t>
            </w:r>
          </w:p>
        </w:tc>
        <w:tc>
          <w:tcPr>
            <w:tcW w:w="0" w:type="auto"/>
            <w:hideMark/>
          </w:tcPr>
          <w:p w14:paraId="7581469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594</w:t>
            </w:r>
          </w:p>
        </w:tc>
        <w:tc>
          <w:tcPr>
            <w:cnfStyle w:val="000100000000" w:firstRow="0" w:lastRow="0" w:firstColumn="0" w:lastColumn="1" w:oddVBand="0" w:evenVBand="0" w:oddHBand="0" w:evenHBand="0" w:firstRowFirstColumn="0" w:firstRowLastColumn="0" w:lastRowFirstColumn="0" w:lastRowLastColumn="0"/>
            <w:tcW w:w="0" w:type="auto"/>
            <w:hideMark/>
          </w:tcPr>
          <w:p w14:paraId="7B7DFA60" w14:textId="77777777" w:rsidR="004D3927" w:rsidRPr="002B579F" w:rsidRDefault="004D3927" w:rsidP="004D3927">
            <w:pPr>
              <w:pStyle w:val="Body"/>
              <w:rPr>
                <w:rFonts w:ascii="Arial" w:hAnsi="Arial" w:cs="Arial"/>
                <w:b w:val="0"/>
              </w:rPr>
            </w:pPr>
            <w:r w:rsidRPr="002B579F">
              <w:rPr>
                <w:rFonts w:ascii="Arial" w:hAnsi="Arial" w:cs="Arial"/>
                <w:b w:val="0"/>
              </w:rPr>
              <w:t>20.14</w:t>
            </w:r>
          </w:p>
        </w:tc>
      </w:tr>
      <w:tr w:rsidR="004D3927" w:rsidRPr="002B579F" w14:paraId="4AFDFDAC"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03628C7" w14:textId="77777777" w:rsidR="004D3927" w:rsidRPr="002B579F" w:rsidRDefault="004D3927" w:rsidP="004D3927">
            <w:pPr>
              <w:pStyle w:val="Body"/>
              <w:rPr>
                <w:rFonts w:ascii="Arial" w:hAnsi="Arial" w:cs="Arial"/>
                <w:b w:val="0"/>
              </w:rPr>
            </w:pPr>
            <w:r w:rsidRPr="002B579F">
              <w:rPr>
                <w:rFonts w:ascii="Arial" w:hAnsi="Arial" w:cs="Arial"/>
                <w:b w:val="0"/>
              </w:rPr>
              <w:t>12–23 months</w:t>
            </w:r>
          </w:p>
        </w:tc>
        <w:tc>
          <w:tcPr>
            <w:tcW w:w="0" w:type="auto"/>
            <w:hideMark/>
          </w:tcPr>
          <w:p w14:paraId="38C710B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559</w:t>
            </w:r>
          </w:p>
        </w:tc>
        <w:tc>
          <w:tcPr>
            <w:cnfStyle w:val="000100000000" w:firstRow="0" w:lastRow="0" w:firstColumn="0" w:lastColumn="1" w:oddVBand="0" w:evenVBand="0" w:oddHBand="0" w:evenHBand="0" w:firstRowFirstColumn="0" w:firstRowLastColumn="0" w:lastRowFirstColumn="0" w:lastRowLastColumn="0"/>
            <w:tcW w:w="0" w:type="auto"/>
            <w:hideMark/>
          </w:tcPr>
          <w:p w14:paraId="47D82B32" w14:textId="77777777" w:rsidR="004D3927" w:rsidRPr="002B579F" w:rsidRDefault="004D3927" w:rsidP="004D3927">
            <w:pPr>
              <w:pStyle w:val="Body"/>
              <w:rPr>
                <w:rFonts w:ascii="Arial" w:hAnsi="Arial" w:cs="Arial"/>
                <w:b w:val="0"/>
              </w:rPr>
            </w:pPr>
            <w:r w:rsidRPr="002B579F">
              <w:rPr>
                <w:rFonts w:ascii="Arial" w:hAnsi="Arial" w:cs="Arial"/>
                <w:b w:val="0"/>
              </w:rPr>
              <w:t>18.96</w:t>
            </w:r>
          </w:p>
        </w:tc>
      </w:tr>
      <w:tr w:rsidR="004D3927" w:rsidRPr="002B579F" w14:paraId="4E973D5B"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CF98787" w14:textId="77777777" w:rsidR="004D3927" w:rsidRPr="002B579F" w:rsidRDefault="004D3927" w:rsidP="004D3927">
            <w:pPr>
              <w:pStyle w:val="Body"/>
              <w:rPr>
                <w:rFonts w:ascii="Arial" w:hAnsi="Arial" w:cs="Arial"/>
                <w:b w:val="0"/>
              </w:rPr>
            </w:pPr>
            <w:r w:rsidRPr="002B579F">
              <w:rPr>
                <w:rFonts w:ascii="Arial" w:hAnsi="Arial" w:cs="Arial"/>
                <w:b w:val="0"/>
              </w:rPr>
              <w:t>24–35 months</w:t>
            </w:r>
          </w:p>
        </w:tc>
        <w:tc>
          <w:tcPr>
            <w:tcW w:w="0" w:type="auto"/>
            <w:hideMark/>
          </w:tcPr>
          <w:p w14:paraId="5BD109E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549</w:t>
            </w:r>
          </w:p>
        </w:tc>
        <w:tc>
          <w:tcPr>
            <w:cnfStyle w:val="000100000000" w:firstRow="0" w:lastRow="0" w:firstColumn="0" w:lastColumn="1" w:oddVBand="0" w:evenVBand="0" w:oddHBand="0" w:evenHBand="0" w:firstRowFirstColumn="0" w:firstRowLastColumn="0" w:lastRowFirstColumn="0" w:lastRowLastColumn="0"/>
            <w:tcW w:w="0" w:type="auto"/>
            <w:hideMark/>
          </w:tcPr>
          <w:p w14:paraId="7D76B8AA" w14:textId="77777777" w:rsidR="004D3927" w:rsidRPr="002B579F" w:rsidRDefault="004D3927" w:rsidP="004D3927">
            <w:pPr>
              <w:pStyle w:val="Body"/>
              <w:rPr>
                <w:rFonts w:ascii="Arial" w:hAnsi="Arial" w:cs="Arial"/>
                <w:b w:val="0"/>
              </w:rPr>
            </w:pPr>
            <w:r w:rsidRPr="002B579F">
              <w:rPr>
                <w:rFonts w:ascii="Arial" w:hAnsi="Arial" w:cs="Arial"/>
                <w:b w:val="0"/>
              </w:rPr>
              <w:t>18.62</w:t>
            </w:r>
          </w:p>
        </w:tc>
      </w:tr>
      <w:tr w:rsidR="004D3927" w:rsidRPr="002B579F" w14:paraId="56D0D80F"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B199F9B" w14:textId="77777777" w:rsidR="004D3927" w:rsidRPr="002B579F" w:rsidRDefault="004D3927" w:rsidP="004D3927">
            <w:pPr>
              <w:pStyle w:val="Body"/>
              <w:rPr>
                <w:rFonts w:ascii="Arial" w:hAnsi="Arial" w:cs="Arial"/>
                <w:b w:val="0"/>
              </w:rPr>
            </w:pPr>
            <w:r w:rsidRPr="002B579F">
              <w:rPr>
                <w:rFonts w:ascii="Arial" w:hAnsi="Arial" w:cs="Arial"/>
                <w:b w:val="0"/>
              </w:rPr>
              <w:t>36–47 months</w:t>
            </w:r>
          </w:p>
        </w:tc>
        <w:tc>
          <w:tcPr>
            <w:tcW w:w="0" w:type="auto"/>
            <w:hideMark/>
          </w:tcPr>
          <w:p w14:paraId="410CC51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618</w:t>
            </w:r>
          </w:p>
        </w:tc>
        <w:tc>
          <w:tcPr>
            <w:cnfStyle w:val="000100000000" w:firstRow="0" w:lastRow="0" w:firstColumn="0" w:lastColumn="1" w:oddVBand="0" w:evenVBand="0" w:oddHBand="0" w:evenHBand="0" w:firstRowFirstColumn="0" w:firstRowLastColumn="0" w:lastRowFirstColumn="0" w:lastRowLastColumn="0"/>
            <w:tcW w:w="0" w:type="auto"/>
            <w:hideMark/>
          </w:tcPr>
          <w:p w14:paraId="21F1DDA5" w14:textId="77777777" w:rsidR="004D3927" w:rsidRPr="002B579F" w:rsidRDefault="004D3927" w:rsidP="004D3927">
            <w:pPr>
              <w:pStyle w:val="Body"/>
              <w:rPr>
                <w:rFonts w:ascii="Arial" w:hAnsi="Arial" w:cs="Arial"/>
                <w:b w:val="0"/>
              </w:rPr>
            </w:pPr>
            <w:r w:rsidRPr="002B579F">
              <w:rPr>
                <w:rFonts w:ascii="Arial" w:hAnsi="Arial" w:cs="Arial"/>
                <w:b w:val="0"/>
              </w:rPr>
              <w:t>20.96</w:t>
            </w:r>
          </w:p>
        </w:tc>
      </w:tr>
      <w:tr w:rsidR="004D3927" w:rsidRPr="002B579F" w14:paraId="251805BC"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24FD9E7A" w14:textId="77777777" w:rsidR="004D3927" w:rsidRPr="002B579F" w:rsidRDefault="004D3927" w:rsidP="004D3927">
            <w:pPr>
              <w:pStyle w:val="Body"/>
              <w:rPr>
                <w:rFonts w:ascii="Arial" w:hAnsi="Arial" w:cs="Arial"/>
                <w:b w:val="0"/>
              </w:rPr>
            </w:pPr>
            <w:r w:rsidRPr="002B579F">
              <w:rPr>
                <w:rFonts w:ascii="Arial" w:hAnsi="Arial" w:cs="Arial"/>
                <w:b w:val="0"/>
              </w:rPr>
              <w:t>48–59 months</w:t>
            </w:r>
          </w:p>
        </w:tc>
        <w:tc>
          <w:tcPr>
            <w:tcW w:w="0" w:type="auto"/>
            <w:hideMark/>
          </w:tcPr>
          <w:p w14:paraId="30B57EC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629</w:t>
            </w:r>
          </w:p>
        </w:tc>
        <w:tc>
          <w:tcPr>
            <w:cnfStyle w:val="000100000000" w:firstRow="0" w:lastRow="0" w:firstColumn="0" w:lastColumn="1" w:oddVBand="0" w:evenVBand="0" w:oddHBand="0" w:evenHBand="0" w:firstRowFirstColumn="0" w:firstRowLastColumn="0" w:lastRowFirstColumn="0" w:lastRowLastColumn="0"/>
            <w:tcW w:w="0" w:type="auto"/>
            <w:hideMark/>
          </w:tcPr>
          <w:p w14:paraId="3DCE0EBC" w14:textId="77777777" w:rsidR="004D3927" w:rsidRPr="002B579F" w:rsidRDefault="004D3927" w:rsidP="004D3927">
            <w:pPr>
              <w:pStyle w:val="Body"/>
              <w:rPr>
                <w:rFonts w:ascii="Arial" w:hAnsi="Arial" w:cs="Arial"/>
                <w:b w:val="0"/>
              </w:rPr>
            </w:pPr>
            <w:r w:rsidRPr="002B579F">
              <w:rPr>
                <w:rFonts w:ascii="Arial" w:hAnsi="Arial" w:cs="Arial"/>
                <w:b w:val="0"/>
              </w:rPr>
              <w:t>21.33</w:t>
            </w:r>
          </w:p>
        </w:tc>
      </w:tr>
      <w:tr w:rsidR="004D3927" w:rsidRPr="002B579F" w14:paraId="3C59D0F1"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5A0C30F" w14:textId="77777777" w:rsidR="004D3927" w:rsidRPr="002B579F" w:rsidRDefault="004D3927" w:rsidP="004D3927">
            <w:pPr>
              <w:pStyle w:val="Body"/>
              <w:rPr>
                <w:rFonts w:ascii="Arial" w:hAnsi="Arial" w:cs="Arial"/>
              </w:rPr>
            </w:pPr>
            <w:r w:rsidRPr="002B579F">
              <w:rPr>
                <w:rFonts w:ascii="Arial" w:hAnsi="Arial" w:cs="Arial"/>
              </w:rPr>
              <w:t>Sex of child</w:t>
            </w:r>
          </w:p>
        </w:tc>
        <w:tc>
          <w:tcPr>
            <w:tcW w:w="0" w:type="auto"/>
            <w:hideMark/>
          </w:tcPr>
          <w:p w14:paraId="2367CE0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605873A8" w14:textId="77777777" w:rsidR="004D3927" w:rsidRPr="002B579F" w:rsidRDefault="004D3927" w:rsidP="004D3927">
            <w:pPr>
              <w:pStyle w:val="Body"/>
              <w:rPr>
                <w:rFonts w:ascii="Arial" w:hAnsi="Arial" w:cs="Arial"/>
              </w:rPr>
            </w:pPr>
          </w:p>
        </w:tc>
      </w:tr>
      <w:tr w:rsidR="004D3927" w:rsidRPr="002B579F" w14:paraId="2A9C98E3"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CB19061" w14:textId="77777777" w:rsidR="004D3927" w:rsidRPr="002B579F" w:rsidRDefault="004D3927" w:rsidP="004D3927">
            <w:pPr>
              <w:pStyle w:val="Body"/>
              <w:rPr>
                <w:rFonts w:ascii="Arial" w:hAnsi="Arial" w:cs="Arial"/>
                <w:b w:val="0"/>
              </w:rPr>
            </w:pPr>
            <w:r w:rsidRPr="002B579F">
              <w:rPr>
                <w:rFonts w:ascii="Arial" w:hAnsi="Arial" w:cs="Arial"/>
                <w:b w:val="0"/>
              </w:rPr>
              <w:t>Male</w:t>
            </w:r>
          </w:p>
        </w:tc>
        <w:tc>
          <w:tcPr>
            <w:tcW w:w="0" w:type="auto"/>
            <w:hideMark/>
          </w:tcPr>
          <w:p w14:paraId="22FCC97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1,481</w:t>
            </w:r>
          </w:p>
        </w:tc>
        <w:tc>
          <w:tcPr>
            <w:cnfStyle w:val="000100000000" w:firstRow="0" w:lastRow="0" w:firstColumn="0" w:lastColumn="1" w:oddVBand="0" w:evenVBand="0" w:oddHBand="0" w:evenHBand="0" w:firstRowFirstColumn="0" w:firstRowLastColumn="0" w:lastRowFirstColumn="0" w:lastRowLastColumn="0"/>
            <w:tcW w:w="0" w:type="auto"/>
            <w:hideMark/>
          </w:tcPr>
          <w:p w14:paraId="56CA5145" w14:textId="77777777" w:rsidR="004D3927" w:rsidRPr="002B579F" w:rsidRDefault="004D3927" w:rsidP="004D3927">
            <w:pPr>
              <w:pStyle w:val="Body"/>
              <w:rPr>
                <w:rFonts w:ascii="Arial" w:hAnsi="Arial" w:cs="Arial"/>
                <w:b w:val="0"/>
              </w:rPr>
            </w:pPr>
            <w:r w:rsidRPr="002B579F">
              <w:rPr>
                <w:rFonts w:ascii="Arial" w:hAnsi="Arial" w:cs="Arial"/>
                <w:b w:val="0"/>
              </w:rPr>
              <w:t>50.22</w:t>
            </w:r>
          </w:p>
        </w:tc>
      </w:tr>
      <w:tr w:rsidR="004D3927" w:rsidRPr="002B579F" w14:paraId="22A13362"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4A2079E" w14:textId="77777777" w:rsidR="004D3927" w:rsidRPr="002B579F" w:rsidRDefault="004D3927" w:rsidP="004D3927">
            <w:pPr>
              <w:pStyle w:val="Body"/>
              <w:rPr>
                <w:rFonts w:ascii="Arial" w:hAnsi="Arial" w:cs="Arial"/>
                <w:b w:val="0"/>
              </w:rPr>
            </w:pPr>
            <w:r w:rsidRPr="002B579F">
              <w:rPr>
                <w:rFonts w:ascii="Arial" w:hAnsi="Arial" w:cs="Arial"/>
                <w:b w:val="0"/>
              </w:rPr>
              <w:t>Female</w:t>
            </w:r>
          </w:p>
        </w:tc>
        <w:tc>
          <w:tcPr>
            <w:tcW w:w="0" w:type="auto"/>
            <w:hideMark/>
          </w:tcPr>
          <w:p w14:paraId="670B195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1,468</w:t>
            </w:r>
          </w:p>
        </w:tc>
        <w:tc>
          <w:tcPr>
            <w:cnfStyle w:val="000100000000" w:firstRow="0" w:lastRow="0" w:firstColumn="0" w:lastColumn="1" w:oddVBand="0" w:evenVBand="0" w:oddHBand="0" w:evenHBand="0" w:firstRowFirstColumn="0" w:firstRowLastColumn="0" w:lastRowFirstColumn="0" w:lastRowLastColumn="0"/>
            <w:tcW w:w="0" w:type="auto"/>
            <w:hideMark/>
          </w:tcPr>
          <w:p w14:paraId="2FD8938C" w14:textId="77777777" w:rsidR="004D3927" w:rsidRPr="002B579F" w:rsidRDefault="004D3927" w:rsidP="004D3927">
            <w:pPr>
              <w:pStyle w:val="Body"/>
              <w:rPr>
                <w:rFonts w:ascii="Arial" w:hAnsi="Arial" w:cs="Arial"/>
                <w:b w:val="0"/>
              </w:rPr>
            </w:pPr>
            <w:r w:rsidRPr="002B579F">
              <w:rPr>
                <w:rFonts w:ascii="Arial" w:hAnsi="Arial" w:cs="Arial"/>
                <w:b w:val="0"/>
              </w:rPr>
              <w:t>49.78</w:t>
            </w:r>
          </w:p>
        </w:tc>
      </w:tr>
      <w:tr w:rsidR="004D3927" w:rsidRPr="002B579F" w14:paraId="7D1DAEDF"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D3D020F" w14:textId="77777777" w:rsidR="004D3927" w:rsidRPr="002B579F" w:rsidRDefault="004D3927" w:rsidP="004D3927">
            <w:pPr>
              <w:pStyle w:val="Body"/>
              <w:rPr>
                <w:rFonts w:ascii="Arial" w:hAnsi="Arial" w:cs="Arial"/>
              </w:rPr>
            </w:pPr>
            <w:r w:rsidRPr="002B579F">
              <w:rPr>
                <w:rFonts w:ascii="Arial" w:hAnsi="Arial" w:cs="Arial"/>
              </w:rPr>
              <w:lastRenderedPageBreak/>
              <w:t>Mother's age group (years)</w:t>
            </w:r>
          </w:p>
        </w:tc>
        <w:tc>
          <w:tcPr>
            <w:tcW w:w="0" w:type="auto"/>
            <w:hideMark/>
          </w:tcPr>
          <w:p w14:paraId="4884A98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24697797" w14:textId="77777777" w:rsidR="004D3927" w:rsidRPr="002B579F" w:rsidRDefault="004D3927" w:rsidP="004D3927">
            <w:pPr>
              <w:pStyle w:val="Body"/>
              <w:rPr>
                <w:rFonts w:ascii="Arial" w:hAnsi="Arial" w:cs="Arial"/>
              </w:rPr>
            </w:pPr>
          </w:p>
        </w:tc>
      </w:tr>
      <w:tr w:rsidR="004D3927" w:rsidRPr="002B579F" w14:paraId="0C0CFE34"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76CAAB1A" w14:textId="77777777" w:rsidR="004D3927" w:rsidRPr="002B579F" w:rsidRDefault="004D3927" w:rsidP="004D3927">
            <w:pPr>
              <w:pStyle w:val="Body"/>
              <w:rPr>
                <w:rFonts w:ascii="Arial" w:hAnsi="Arial" w:cs="Arial"/>
                <w:b w:val="0"/>
              </w:rPr>
            </w:pPr>
            <w:r w:rsidRPr="002B579F">
              <w:rPr>
                <w:rFonts w:ascii="Arial" w:hAnsi="Arial" w:cs="Arial"/>
                <w:b w:val="0"/>
              </w:rPr>
              <w:t>15–24 years</w:t>
            </w:r>
          </w:p>
        </w:tc>
        <w:tc>
          <w:tcPr>
            <w:tcW w:w="0" w:type="auto"/>
            <w:hideMark/>
          </w:tcPr>
          <w:p w14:paraId="5812FBA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519</w:t>
            </w:r>
          </w:p>
        </w:tc>
        <w:tc>
          <w:tcPr>
            <w:cnfStyle w:val="000100000000" w:firstRow="0" w:lastRow="0" w:firstColumn="0" w:lastColumn="1" w:oddVBand="0" w:evenVBand="0" w:oddHBand="0" w:evenHBand="0" w:firstRowFirstColumn="0" w:firstRowLastColumn="0" w:lastRowFirstColumn="0" w:lastRowLastColumn="0"/>
            <w:tcW w:w="0" w:type="auto"/>
            <w:hideMark/>
          </w:tcPr>
          <w:p w14:paraId="6B4D3591" w14:textId="77777777" w:rsidR="004D3927" w:rsidRPr="002B579F" w:rsidRDefault="004D3927" w:rsidP="004D3927">
            <w:pPr>
              <w:pStyle w:val="Body"/>
              <w:rPr>
                <w:rFonts w:ascii="Arial" w:hAnsi="Arial" w:cs="Arial"/>
                <w:b w:val="0"/>
              </w:rPr>
            </w:pPr>
            <w:r w:rsidRPr="002B579F">
              <w:rPr>
                <w:rFonts w:ascii="Arial" w:hAnsi="Arial" w:cs="Arial"/>
                <w:b w:val="0"/>
              </w:rPr>
              <w:t>17.60</w:t>
            </w:r>
          </w:p>
        </w:tc>
      </w:tr>
      <w:tr w:rsidR="004D3927" w:rsidRPr="002B579F" w14:paraId="08F82D3D"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980D48C" w14:textId="77777777" w:rsidR="004D3927" w:rsidRPr="002B579F" w:rsidRDefault="004D3927" w:rsidP="004D3927">
            <w:pPr>
              <w:pStyle w:val="Body"/>
              <w:rPr>
                <w:rFonts w:ascii="Arial" w:hAnsi="Arial" w:cs="Arial"/>
                <w:b w:val="0"/>
              </w:rPr>
            </w:pPr>
            <w:r w:rsidRPr="002B579F">
              <w:rPr>
                <w:rFonts w:ascii="Arial" w:hAnsi="Arial" w:cs="Arial"/>
                <w:b w:val="0"/>
              </w:rPr>
              <w:t>25–34 years</w:t>
            </w:r>
          </w:p>
        </w:tc>
        <w:tc>
          <w:tcPr>
            <w:tcW w:w="0" w:type="auto"/>
            <w:hideMark/>
          </w:tcPr>
          <w:p w14:paraId="0E66FFE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1,541</w:t>
            </w:r>
          </w:p>
        </w:tc>
        <w:tc>
          <w:tcPr>
            <w:cnfStyle w:val="000100000000" w:firstRow="0" w:lastRow="0" w:firstColumn="0" w:lastColumn="1" w:oddVBand="0" w:evenVBand="0" w:oddHBand="0" w:evenHBand="0" w:firstRowFirstColumn="0" w:firstRowLastColumn="0" w:lastRowFirstColumn="0" w:lastRowLastColumn="0"/>
            <w:tcW w:w="0" w:type="auto"/>
            <w:hideMark/>
          </w:tcPr>
          <w:p w14:paraId="20737910" w14:textId="77777777" w:rsidR="004D3927" w:rsidRPr="002B579F" w:rsidRDefault="004D3927" w:rsidP="004D3927">
            <w:pPr>
              <w:pStyle w:val="Body"/>
              <w:rPr>
                <w:rFonts w:ascii="Arial" w:hAnsi="Arial" w:cs="Arial"/>
                <w:b w:val="0"/>
              </w:rPr>
            </w:pPr>
            <w:r w:rsidRPr="002B579F">
              <w:rPr>
                <w:rFonts w:ascii="Arial" w:hAnsi="Arial" w:cs="Arial"/>
                <w:b w:val="0"/>
              </w:rPr>
              <w:t>52.26</w:t>
            </w:r>
          </w:p>
        </w:tc>
      </w:tr>
      <w:tr w:rsidR="004D3927" w:rsidRPr="002B579F" w14:paraId="50533282"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33EC2925" w14:textId="77777777" w:rsidR="004D3927" w:rsidRPr="002B579F" w:rsidRDefault="004D3927" w:rsidP="004D3927">
            <w:pPr>
              <w:pStyle w:val="Body"/>
              <w:rPr>
                <w:rFonts w:ascii="Arial" w:hAnsi="Arial" w:cs="Arial"/>
                <w:b w:val="0"/>
              </w:rPr>
            </w:pPr>
            <w:r w:rsidRPr="002B579F">
              <w:rPr>
                <w:rFonts w:ascii="Arial" w:hAnsi="Arial" w:cs="Arial"/>
                <w:b w:val="0"/>
              </w:rPr>
              <w:t>35–49 years</w:t>
            </w:r>
          </w:p>
        </w:tc>
        <w:tc>
          <w:tcPr>
            <w:tcW w:w="0" w:type="auto"/>
            <w:hideMark/>
          </w:tcPr>
          <w:p w14:paraId="05F33BD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889</w:t>
            </w:r>
          </w:p>
        </w:tc>
        <w:tc>
          <w:tcPr>
            <w:cnfStyle w:val="000100000000" w:firstRow="0" w:lastRow="0" w:firstColumn="0" w:lastColumn="1" w:oddVBand="0" w:evenVBand="0" w:oddHBand="0" w:evenHBand="0" w:firstRowFirstColumn="0" w:firstRowLastColumn="0" w:lastRowFirstColumn="0" w:lastRowLastColumn="0"/>
            <w:tcW w:w="0" w:type="auto"/>
            <w:hideMark/>
          </w:tcPr>
          <w:p w14:paraId="5F4AB6C9" w14:textId="77777777" w:rsidR="004D3927" w:rsidRPr="002B579F" w:rsidRDefault="004D3927" w:rsidP="004D3927">
            <w:pPr>
              <w:pStyle w:val="Body"/>
              <w:rPr>
                <w:rFonts w:ascii="Arial" w:hAnsi="Arial" w:cs="Arial"/>
                <w:b w:val="0"/>
              </w:rPr>
            </w:pPr>
            <w:r w:rsidRPr="002B579F">
              <w:rPr>
                <w:rFonts w:ascii="Arial" w:hAnsi="Arial" w:cs="Arial"/>
                <w:b w:val="0"/>
              </w:rPr>
              <w:t>30.15</w:t>
            </w:r>
          </w:p>
        </w:tc>
      </w:tr>
      <w:tr w:rsidR="004D3927" w:rsidRPr="002B579F" w14:paraId="19B2EB78"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2C577E0" w14:textId="77777777" w:rsidR="004D3927" w:rsidRPr="002B579F" w:rsidRDefault="004D3927" w:rsidP="004D3927">
            <w:pPr>
              <w:pStyle w:val="Body"/>
              <w:rPr>
                <w:rFonts w:ascii="Arial" w:hAnsi="Arial" w:cs="Arial"/>
              </w:rPr>
            </w:pPr>
            <w:r w:rsidRPr="002B579F">
              <w:rPr>
                <w:rFonts w:ascii="Arial" w:hAnsi="Arial" w:cs="Arial"/>
              </w:rPr>
              <w:t>Highest educational level</w:t>
            </w:r>
          </w:p>
        </w:tc>
        <w:tc>
          <w:tcPr>
            <w:tcW w:w="0" w:type="auto"/>
            <w:hideMark/>
          </w:tcPr>
          <w:p w14:paraId="0C948D4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39FC28B8" w14:textId="77777777" w:rsidR="004D3927" w:rsidRPr="002B579F" w:rsidRDefault="004D3927" w:rsidP="004D3927">
            <w:pPr>
              <w:pStyle w:val="Body"/>
              <w:rPr>
                <w:rFonts w:ascii="Arial" w:hAnsi="Arial" w:cs="Arial"/>
              </w:rPr>
            </w:pPr>
          </w:p>
        </w:tc>
      </w:tr>
      <w:tr w:rsidR="004D3927" w:rsidRPr="002B579F" w14:paraId="41F90DF8"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0001F28" w14:textId="77777777" w:rsidR="004D3927" w:rsidRPr="002B579F" w:rsidRDefault="004D3927" w:rsidP="004D3927">
            <w:pPr>
              <w:pStyle w:val="Body"/>
              <w:rPr>
                <w:rFonts w:ascii="Arial" w:hAnsi="Arial" w:cs="Arial"/>
                <w:b w:val="0"/>
              </w:rPr>
            </w:pPr>
            <w:r w:rsidRPr="002B579F">
              <w:rPr>
                <w:rFonts w:ascii="Arial" w:hAnsi="Arial" w:cs="Arial"/>
                <w:b w:val="0"/>
              </w:rPr>
              <w:t>No education</w:t>
            </w:r>
          </w:p>
        </w:tc>
        <w:tc>
          <w:tcPr>
            <w:tcW w:w="0" w:type="auto"/>
            <w:hideMark/>
          </w:tcPr>
          <w:p w14:paraId="1FB7FCB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234</w:t>
            </w:r>
          </w:p>
        </w:tc>
        <w:tc>
          <w:tcPr>
            <w:cnfStyle w:val="000100000000" w:firstRow="0" w:lastRow="0" w:firstColumn="0" w:lastColumn="1" w:oddVBand="0" w:evenVBand="0" w:oddHBand="0" w:evenHBand="0" w:firstRowFirstColumn="0" w:firstRowLastColumn="0" w:lastRowFirstColumn="0" w:lastRowLastColumn="0"/>
            <w:tcW w:w="0" w:type="auto"/>
            <w:hideMark/>
          </w:tcPr>
          <w:p w14:paraId="70673214" w14:textId="77777777" w:rsidR="004D3927" w:rsidRPr="002B579F" w:rsidRDefault="004D3927" w:rsidP="004D3927">
            <w:pPr>
              <w:pStyle w:val="Body"/>
              <w:rPr>
                <w:rFonts w:ascii="Arial" w:hAnsi="Arial" w:cs="Arial"/>
                <w:b w:val="0"/>
              </w:rPr>
            </w:pPr>
            <w:r w:rsidRPr="002B579F">
              <w:rPr>
                <w:rFonts w:ascii="Arial" w:hAnsi="Arial" w:cs="Arial"/>
                <w:b w:val="0"/>
              </w:rPr>
              <w:t>7.93</w:t>
            </w:r>
          </w:p>
        </w:tc>
      </w:tr>
      <w:tr w:rsidR="004D3927" w:rsidRPr="002B579F" w14:paraId="66D9B13E"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0A99C1BB" w14:textId="77777777" w:rsidR="004D3927" w:rsidRPr="002B579F" w:rsidRDefault="004D3927" w:rsidP="004D3927">
            <w:pPr>
              <w:pStyle w:val="Body"/>
              <w:rPr>
                <w:rFonts w:ascii="Arial" w:hAnsi="Arial" w:cs="Arial"/>
                <w:b w:val="0"/>
              </w:rPr>
            </w:pPr>
            <w:r w:rsidRPr="002B579F">
              <w:rPr>
                <w:rFonts w:ascii="Arial" w:hAnsi="Arial" w:cs="Arial"/>
                <w:b w:val="0"/>
              </w:rPr>
              <w:t>Primary</w:t>
            </w:r>
          </w:p>
        </w:tc>
        <w:tc>
          <w:tcPr>
            <w:tcW w:w="0" w:type="auto"/>
            <w:hideMark/>
          </w:tcPr>
          <w:p w14:paraId="47A9E63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521</w:t>
            </w:r>
          </w:p>
        </w:tc>
        <w:tc>
          <w:tcPr>
            <w:cnfStyle w:val="000100000000" w:firstRow="0" w:lastRow="0" w:firstColumn="0" w:lastColumn="1" w:oddVBand="0" w:evenVBand="0" w:oddHBand="0" w:evenHBand="0" w:firstRowFirstColumn="0" w:firstRowLastColumn="0" w:lastRowFirstColumn="0" w:lastRowLastColumn="0"/>
            <w:tcW w:w="0" w:type="auto"/>
            <w:hideMark/>
          </w:tcPr>
          <w:p w14:paraId="5BF1D087" w14:textId="77777777" w:rsidR="004D3927" w:rsidRPr="002B579F" w:rsidRDefault="004D3927" w:rsidP="004D3927">
            <w:pPr>
              <w:pStyle w:val="Body"/>
              <w:rPr>
                <w:rFonts w:ascii="Arial" w:hAnsi="Arial" w:cs="Arial"/>
                <w:b w:val="0"/>
              </w:rPr>
            </w:pPr>
            <w:r w:rsidRPr="002B579F">
              <w:rPr>
                <w:rFonts w:ascii="Arial" w:hAnsi="Arial" w:cs="Arial"/>
                <w:b w:val="0"/>
              </w:rPr>
              <w:t>17.67</w:t>
            </w:r>
          </w:p>
        </w:tc>
      </w:tr>
      <w:tr w:rsidR="004D3927" w:rsidRPr="002B579F" w14:paraId="2C45A917"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8718E6F" w14:textId="77777777" w:rsidR="004D3927" w:rsidRPr="002B579F" w:rsidRDefault="004D3927" w:rsidP="004D3927">
            <w:pPr>
              <w:pStyle w:val="Body"/>
              <w:rPr>
                <w:rFonts w:ascii="Arial" w:hAnsi="Arial" w:cs="Arial"/>
                <w:b w:val="0"/>
              </w:rPr>
            </w:pPr>
            <w:r w:rsidRPr="002B579F">
              <w:rPr>
                <w:rFonts w:ascii="Arial" w:hAnsi="Arial" w:cs="Arial"/>
                <w:b w:val="0"/>
              </w:rPr>
              <w:t>Secondary</w:t>
            </w:r>
          </w:p>
        </w:tc>
        <w:tc>
          <w:tcPr>
            <w:tcW w:w="0" w:type="auto"/>
            <w:hideMark/>
          </w:tcPr>
          <w:p w14:paraId="47721C4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1,879</w:t>
            </w:r>
          </w:p>
        </w:tc>
        <w:tc>
          <w:tcPr>
            <w:cnfStyle w:val="000100000000" w:firstRow="0" w:lastRow="0" w:firstColumn="0" w:lastColumn="1" w:oddVBand="0" w:evenVBand="0" w:oddHBand="0" w:evenHBand="0" w:firstRowFirstColumn="0" w:firstRowLastColumn="0" w:lastRowFirstColumn="0" w:lastRowLastColumn="0"/>
            <w:tcW w:w="0" w:type="auto"/>
            <w:hideMark/>
          </w:tcPr>
          <w:p w14:paraId="7FB3B578" w14:textId="77777777" w:rsidR="004D3927" w:rsidRPr="002B579F" w:rsidRDefault="004D3927" w:rsidP="004D3927">
            <w:pPr>
              <w:pStyle w:val="Body"/>
              <w:rPr>
                <w:rFonts w:ascii="Arial" w:hAnsi="Arial" w:cs="Arial"/>
                <w:b w:val="0"/>
              </w:rPr>
            </w:pPr>
            <w:r w:rsidRPr="002B579F">
              <w:rPr>
                <w:rFonts w:ascii="Arial" w:hAnsi="Arial" w:cs="Arial"/>
                <w:b w:val="0"/>
              </w:rPr>
              <w:t>63.72</w:t>
            </w:r>
          </w:p>
        </w:tc>
      </w:tr>
      <w:tr w:rsidR="004D3927" w:rsidRPr="002B579F" w14:paraId="247C4333"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774B1CC" w14:textId="77777777" w:rsidR="004D3927" w:rsidRPr="002B579F" w:rsidRDefault="004D3927" w:rsidP="004D3927">
            <w:pPr>
              <w:pStyle w:val="Body"/>
              <w:rPr>
                <w:rFonts w:ascii="Arial" w:hAnsi="Arial" w:cs="Arial"/>
                <w:b w:val="0"/>
              </w:rPr>
            </w:pPr>
            <w:r w:rsidRPr="002B579F">
              <w:rPr>
                <w:rFonts w:ascii="Arial" w:hAnsi="Arial" w:cs="Arial"/>
                <w:b w:val="0"/>
              </w:rPr>
              <w:t>Higher</w:t>
            </w:r>
          </w:p>
        </w:tc>
        <w:tc>
          <w:tcPr>
            <w:tcW w:w="0" w:type="auto"/>
            <w:hideMark/>
          </w:tcPr>
          <w:p w14:paraId="22D59BC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315</w:t>
            </w:r>
          </w:p>
        </w:tc>
        <w:tc>
          <w:tcPr>
            <w:cnfStyle w:val="000100000000" w:firstRow="0" w:lastRow="0" w:firstColumn="0" w:lastColumn="1" w:oddVBand="0" w:evenVBand="0" w:oddHBand="0" w:evenHBand="0" w:firstRowFirstColumn="0" w:firstRowLastColumn="0" w:lastRowFirstColumn="0" w:lastRowLastColumn="0"/>
            <w:tcW w:w="0" w:type="auto"/>
            <w:hideMark/>
          </w:tcPr>
          <w:p w14:paraId="77C6E641" w14:textId="77777777" w:rsidR="004D3927" w:rsidRPr="002B579F" w:rsidRDefault="004D3927" w:rsidP="004D3927">
            <w:pPr>
              <w:pStyle w:val="Body"/>
              <w:rPr>
                <w:rFonts w:ascii="Arial" w:hAnsi="Arial" w:cs="Arial"/>
                <w:b w:val="0"/>
              </w:rPr>
            </w:pPr>
            <w:r w:rsidRPr="002B579F">
              <w:rPr>
                <w:rFonts w:ascii="Arial" w:hAnsi="Arial" w:cs="Arial"/>
                <w:b w:val="0"/>
              </w:rPr>
              <w:t>10.68</w:t>
            </w:r>
          </w:p>
        </w:tc>
      </w:tr>
      <w:tr w:rsidR="004D3927" w:rsidRPr="002B579F" w14:paraId="6CAE8BE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E2AD178" w14:textId="77777777" w:rsidR="004D3927" w:rsidRPr="002B579F" w:rsidRDefault="004D3927" w:rsidP="004D3927">
            <w:pPr>
              <w:pStyle w:val="Body"/>
              <w:rPr>
                <w:rFonts w:ascii="Arial" w:hAnsi="Arial" w:cs="Arial"/>
              </w:rPr>
            </w:pPr>
            <w:r w:rsidRPr="002B579F">
              <w:rPr>
                <w:rFonts w:ascii="Arial" w:hAnsi="Arial" w:cs="Arial"/>
              </w:rPr>
              <w:t>Wealth index</w:t>
            </w:r>
          </w:p>
        </w:tc>
        <w:tc>
          <w:tcPr>
            <w:tcW w:w="0" w:type="auto"/>
            <w:hideMark/>
          </w:tcPr>
          <w:p w14:paraId="5BB2CF8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75D0F75C" w14:textId="77777777" w:rsidR="004D3927" w:rsidRPr="002B579F" w:rsidRDefault="004D3927" w:rsidP="004D3927">
            <w:pPr>
              <w:pStyle w:val="Body"/>
              <w:rPr>
                <w:rFonts w:ascii="Arial" w:hAnsi="Arial" w:cs="Arial"/>
              </w:rPr>
            </w:pPr>
          </w:p>
        </w:tc>
      </w:tr>
      <w:tr w:rsidR="004D3927" w:rsidRPr="002B579F" w14:paraId="6765D9E0"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7F399340" w14:textId="77777777" w:rsidR="004D3927" w:rsidRPr="002B579F" w:rsidRDefault="004D3927" w:rsidP="004D3927">
            <w:pPr>
              <w:pStyle w:val="Body"/>
              <w:rPr>
                <w:rFonts w:ascii="Arial" w:hAnsi="Arial" w:cs="Arial"/>
                <w:b w:val="0"/>
              </w:rPr>
            </w:pPr>
            <w:r w:rsidRPr="002B579F">
              <w:rPr>
                <w:rFonts w:ascii="Arial" w:hAnsi="Arial" w:cs="Arial"/>
                <w:b w:val="0"/>
              </w:rPr>
              <w:t>Poorest</w:t>
            </w:r>
          </w:p>
        </w:tc>
        <w:tc>
          <w:tcPr>
            <w:tcW w:w="0" w:type="auto"/>
            <w:hideMark/>
          </w:tcPr>
          <w:p w14:paraId="5ED2EDF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271</w:t>
            </w:r>
          </w:p>
        </w:tc>
        <w:tc>
          <w:tcPr>
            <w:cnfStyle w:val="000100000000" w:firstRow="0" w:lastRow="0" w:firstColumn="0" w:lastColumn="1" w:oddVBand="0" w:evenVBand="0" w:oddHBand="0" w:evenHBand="0" w:firstRowFirstColumn="0" w:firstRowLastColumn="0" w:lastRowFirstColumn="0" w:lastRowLastColumn="0"/>
            <w:tcW w:w="0" w:type="auto"/>
            <w:hideMark/>
          </w:tcPr>
          <w:p w14:paraId="5D001656" w14:textId="77777777" w:rsidR="004D3927" w:rsidRPr="002B579F" w:rsidRDefault="004D3927" w:rsidP="004D3927">
            <w:pPr>
              <w:pStyle w:val="Body"/>
              <w:rPr>
                <w:rFonts w:ascii="Arial" w:hAnsi="Arial" w:cs="Arial"/>
                <w:b w:val="0"/>
              </w:rPr>
            </w:pPr>
            <w:r w:rsidRPr="002B579F">
              <w:rPr>
                <w:rFonts w:ascii="Arial" w:hAnsi="Arial" w:cs="Arial"/>
                <w:b w:val="0"/>
              </w:rPr>
              <w:t>9.19</w:t>
            </w:r>
          </w:p>
        </w:tc>
      </w:tr>
      <w:tr w:rsidR="004D3927" w:rsidRPr="002B579F" w14:paraId="02014281"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9645126" w14:textId="77777777" w:rsidR="004D3927" w:rsidRPr="002B579F" w:rsidRDefault="004D3927" w:rsidP="004D3927">
            <w:pPr>
              <w:pStyle w:val="Body"/>
              <w:rPr>
                <w:rFonts w:ascii="Arial" w:hAnsi="Arial" w:cs="Arial"/>
                <w:b w:val="0"/>
              </w:rPr>
            </w:pPr>
            <w:r w:rsidRPr="002B579F">
              <w:rPr>
                <w:rFonts w:ascii="Arial" w:hAnsi="Arial" w:cs="Arial"/>
                <w:b w:val="0"/>
              </w:rPr>
              <w:t>Poorer</w:t>
            </w:r>
          </w:p>
        </w:tc>
        <w:tc>
          <w:tcPr>
            <w:tcW w:w="0" w:type="auto"/>
            <w:hideMark/>
          </w:tcPr>
          <w:p w14:paraId="2889F26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535</w:t>
            </w:r>
          </w:p>
        </w:tc>
        <w:tc>
          <w:tcPr>
            <w:cnfStyle w:val="000100000000" w:firstRow="0" w:lastRow="0" w:firstColumn="0" w:lastColumn="1" w:oddVBand="0" w:evenVBand="0" w:oddHBand="0" w:evenHBand="0" w:firstRowFirstColumn="0" w:firstRowLastColumn="0" w:lastRowFirstColumn="0" w:lastRowLastColumn="0"/>
            <w:tcW w:w="0" w:type="auto"/>
            <w:hideMark/>
          </w:tcPr>
          <w:p w14:paraId="4F260E59" w14:textId="77777777" w:rsidR="004D3927" w:rsidRPr="002B579F" w:rsidRDefault="004D3927" w:rsidP="004D3927">
            <w:pPr>
              <w:pStyle w:val="Body"/>
              <w:rPr>
                <w:rFonts w:ascii="Arial" w:hAnsi="Arial" w:cs="Arial"/>
                <w:b w:val="0"/>
              </w:rPr>
            </w:pPr>
            <w:r w:rsidRPr="002B579F">
              <w:rPr>
                <w:rFonts w:ascii="Arial" w:hAnsi="Arial" w:cs="Arial"/>
                <w:b w:val="0"/>
              </w:rPr>
              <w:t>18.14</w:t>
            </w:r>
          </w:p>
        </w:tc>
      </w:tr>
      <w:tr w:rsidR="004D3927" w:rsidRPr="002B579F" w14:paraId="00C32FFA"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560FDFF" w14:textId="77777777" w:rsidR="004D3927" w:rsidRPr="002B579F" w:rsidRDefault="004D3927" w:rsidP="004D3927">
            <w:pPr>
              <w:pStyle w:val="Body"/>
              <w:rPr>
                <w:rFonts w:ascii="Arial" w:hAnsi="Arial" w:cs="Arial"/>
                <w:b w:val="0"/>
              </w:rPr>
            </w:pPr>
            <w:r w:rsidRPr="002B579F">
              <w:rPr>
                <w:rFonts w:ascii="Arial" w:hAnsi="Arial" w:cs="Arial"/>
                <w:b w:val="0"/>
              </w:rPr>
              <w:t>Middle</w:t>
            </w:r>
          </w:p>
        </w:tc>
        <w:tc>
          <w:tcPr>
            <w:tcW w:w="0" w:type="auto"/>
            <w:hideMark/>
          </w:tcPr>
          <w:p w14:paraId="74FCDCC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941</w:t>
            </w:r>
          </w:p>
        </w:tc>
        <w:tc>
          <w:tcPr>
            <w:cnfStyle w:val="000100000000" w:firstRow="0" w:lastRow="0" w:firstColumn="0" w:lastColumn="1" w:oddVBand="0" w:evenVBand="0" w:oddHBand="0" w:evenHBand="0" w:firstRowFirstColumn="0" w:firstRowLastColumn="0" w:lastRowFirstColumn="0" w:lastRowLastColumn="0"/>
            <w:tcW w:w="0" w:type="auto"/>
            <w:hideMark/>
          </w:tcPr>
          <w:p w14:paraId="23AEB785" w14:textId="77777777" w:rsidR="004D3927" w:rsidRPr="002B579F" w:rsidRDefault="004D3927" w:rsidP="004D3927">
            <w:pPr>
              <w:pStyle w:val="Body"/>
              <w:rPr>
                <w:rFonts w:ascii="Arial" w:hAnsi="Arial" w:cs="Arial"/>
                <w:b w:val="0"/>
              </w:rPr>
            </w:pPr>
            <w:r w:rsidRPr="002B579F">
              <w:rPr>
                <w:rFonts w:ascii="Arial" w:hAnsi="Arial" w:cs="Arial"/>
                <w:b w:val="0"/>
              </w:rPr>
              <w:t>31.91</w:t>
            </w:r>
          </w:p>
        </w:tc>
      </w:tr>
      <w:tr w:rsidR="004D3927" w:rsidRPr="002B579F" w14:paraId="69A3A81A"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B14484F" w14:textId="77777777" w:rsidR="004D3927" w:rsidRPr="002B579F" w:rsidRDefault="004D3927" w:rsidP="004D3927">
            <w:pPr>
              <w:pStyle w:val="Body"/>
              <w:rPr>
                <w:rFonts w:ascii="Arial" w:hAnsi="Arial" w:cs="Arial"/>
                <w:b w:val="0"/>
              </w:rPr>
            </w:pPr>
            <w:r w:rsidRPr="002B579F">
              <w:rPr>
                <w:rFonts w:ascii="Arial" w:hAnsi="Arial" w:cs="Arial"/>
                <w:b w:val="0"/>
              </w:rPr>
              <w:t>Richer</w:t>
            </w:r>
          </w:p>
        </w:tc>
        <w:tc>
          <w:tcPr>
            <w:tcW w:w="0" w:type="auto"/>
            <w:hideMark/>
          </w:tcPr>
          <w:p w14:paraId="3426EB4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817</w:t>
            </w:r>
          </w:p>
        </w:tc>
        <w:tc>
          <w:tcPr>
            <w:cnfStyle w:val="000100000000" w:firstRow="0" w:lastRow="0" w:firstColumn="0" w:lastColumn="1" w:oddVBand="0" w:evenVBand="0" w:oddHBand="0" w:evenHBand="0" w:firstRowFirstColumn="0" w:firstRowLastColumn="0" w:lastRowFirstColumn="0" w:lastRowLastColumn="0"/>
            <w:tcW w:w="0" w:type="auto"/>
            <w:hideMark/>
          </w:tcPr>
          <w:p w14:paraId="541CA2F0" w14:textId="77777777" w:rsidR="004D3927" w:rsidRPr="002B579F" w:rsidRDefault="004D3927" w:rsidP="004D3927">
            <w:pPr>
              <w:pStyle w:val="Body"/>
              <w:rPr>
                <w:rFonts w:ascii="Arial" w:hAnsi="Arial" w:cs="Arial"/>
                <w:b w:val="0"/>
              </w:rPr>
            </w:pPr>
            <w:r w:rsidRPr="002B579F">
              <w:rPr>
                <w:rFonts w:ascii="Arial" w:hAnsi="Arial" w:cs="Arial"/>
                <w:b w:val="0"/>
              </w:rPr>
              <w:t>27.70</w:t>
            </w:r>
          </w:p>
        </w:tc>
      </w:tr>
      <w:tr w:rsidR="004D3927" w:rsidRPr="002B579F" w14:paraId="42A1F106"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674E242" w14:textId="77777777" w:rsidR="004D3927" w:rsidRPr="002B579F" w:rsidRDefault="004D3927" w:rsidP="004D3927">
            <w:pPr>
              <w:pStyle w:val="Body"/>
              <w:rPr>
                <w:rFonts w:ascii="Arial" w:hAnsi="Arial" w:cs="Arial"/>
                <w:b w:val="0"/>
              </w:rPr>
            </w:pPr>
            <w:r w:rsidRPr="002B579F">
              <w:rPr>
                <w:rFonts w:ascii="Arial" w:hAnsi="Arial" w:cs="Arial"/>
                <w:b w:val="0"/>
              </w:rPr>
              <w:t>Richest</w:t>
            </w:r>
          </w:p>
        </w:tc>
        <w:tc>
          <w:tcPr>
            <w:tcW w:w="0" w:type="auto"/>
            <w:hideMark/>
          </w:tcPr>
          <w:p w14:paraId="0D18DEA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385</w:t>
            </w:r>
          </w:p>
        </w:tc>
        <w:tc>
          <w:tcPr>
            <w:cnfStyle w:val="000100000000" w:firstRow="0" w:lastRow="0" w:firstColumn="0" w:lastColumn="1" w:oddVBand="0" w:evenVBand="0" w:oddHBand="0" w:evenHBand="0" w:firstRowFirstColumn="0" w:firstRowLastColumn="0" w:lastRowFirstColumn="0" w:lastRowLastColumn="0"/>
            <w:tcW w:w="0" w:type="auto"/>
            <w:hideMark/>
          </w:tcPr>
          <w:p w14:paraId="0E21D2D5" w14:textId="77777777" w:rsidR="004D3927" w:rsidRPr="002B579F" w:rsidRDefault="004D3927" w:rsidP="004D3927">
            <w:pPr>
              <w:pStyle w:val="Body"/>
              <w:rPr>
                <w:rFonts w:ascii="Arial" w:hAnsi="Arial" w:cs="Arial"/>
                <w:b w:val="0"/>
              </w:rPr>
            </w:pPr>
            <w:r w:rsidRPr="002B579F">
              <w:rPr>
                <w:rFonts w:ascii="Arial" w:hAnsi="Arial" w:cs="Arial"/>
                <w:b w:val="0"/>
              </w:rPr>
              <w:t>13.06</w:t>
            </w:r>
          </w:p>
        </w:tc>
      </w:tr>
      <w:tr w:rsidR="004D3927" w:rsidRPr="002B579F" w14:paraId="0E8F39B7"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59A83D22" w14:textId="77777777" w:rsidR="004D3927" w:rsidRPr="002B579F" w:rsidRDefault="004D3927" w:rsidP="004D3927">
            <w:pPr>
              <w:pStyle w:val="Body"/>
              <w:rPr>
                <w:rFonts w:ascii="Arial" w:hAnsi="Arial" w:cs="Arial"/>
              </w:rPr>
            </w:pPr>
            <w:r w:rsidRPr="002B579F">
              <w:rPr>
                <w:rFonts w:ascii="Arial" w:hAnsi="Arial" w:cs="Arial"/>
              </w:rPr>
              <w:t>Household size</w:t>
            </w:r>
          </w:p>
        </w:tc>
        <w:tc>
          <w:tcPr>
            <w:tcW w:w="0" w:type="auto"/>
            <w:hideMark/>
          </w:tcPr>
          <w:p w14:paraId="263E25E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394105FB" w14:textId="77777777" w:rsidR="004D3927" w:rsidRPr="002B579F" w:rsidRDefault="004D3927" w:rsidP="004D3927">
            <w:pPr>
              <w:pStyle w:val="Body"/>
              <w:rPr>
                <w:rFonts w:ascii="Arial" w:hAnsi="Arial" w:cs="Arial"/>
              </w:rPr>
            </w:pPr>
          </w:p>
        </w:tc>
      </w:tr>
      <w:tr w:rsidR="004D3927" w:rsidRPr="002B579F" w14:paraId="4B07D61E"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7A5D88E" w14:textId="77777777" w:rsidR="004D3927" w:rsidRPr="002B579F" w:rsidRDefault="004D3927" w:rsidP="004D3927">
            <w:pPr>
              <w:pStyle w:val="Body"/>
              <w:rPr>
                <w:rFonts w:ascii="Arial" w:hAnsi="Arial" w:cs="Arial"/>
                <w:b w:val="0"/>
              </w:rPr>
            </w:pPr>
            <w:r w:rsidRPr="002B579F">
              <w:rPr>
                <w:rFonts w:ascii="Arial" w:hAnsi="Arial" w:cs="Arial"/>
                <w:b w:val="0"/>
              </w:rPr>
              <w:t>1–4 members</w:t>
            </w:r>
          </w:p>
        </w:tc>
        <w:tc>
          <w:tcPr>
            <w:tcW w:w="0" w:type="auto"/>
            <w:hideMark/>
          </w:tcPr>
          <w:p w14:paraId="2071867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890</w:t>
            </w:r>
          </w:p>
        </w:tc>
        <w:tc>
          <w:tcPr>
            <w:cnfStyle w:val="000100000000" w:firstRow="0" w:lastRow="0" w:firstColumn="0" w:lastColumn="1" w:oddVBand="0" w:evenVBand="0" w:oddHBand="0" w:evenHBand="0" w:firstRowFirstColumn="0" w:firstRowLastColumn="0" w:lastRowFirstColumn="0" w:lastRowLastColumn="0"/>
            <w:tcW w:w="0" w:type="auto"/>
            <w:hideMark/>
          </w:tcPr>
          <w:p w14:paraId="3E407CFD" w14:textId="77777777" w:rsidR="004D3927" w:rsidRPr="002B579F" w:rsidRDefault="004D3927" w:rsidP="004D3927">
            <w:pPr>
              <w:pStyle w:val="Body"/>
              <w:rPr>
                <w:rFonts w:ascii="Arial" w:hAnsi="Arial" w:cs="Arial"/>
                <w:b w:val="0"/>
              </w:rPr>
            </w:pPr>
            <w:r w:rsidRPr="002B579F">
              <w:rPr>
                <w:rFonts w:ascii="Arial" w:hAnsi="Arial" w:cs="Arial"/>
                <w:b w:val="0"/>
              </w:rPr>
              <w:t>30.18</w:t>
            </w:r>
          </w:p>
        </w:tc>
      </w:tr>
      <w:tr w:rsidR="004D3927" w:rsidRPr="002B579F" w14:paraId="11B2ACD1"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6AE1F6F" w14:textId="77777777" w:rsidR="004D3927" w:rsidRPr="002B579F" w:rsidRDefault="004D3927" w:rsidP="004D3927">
            <w:pPr>
              <w:pStyle w:val="Body"/>
              <w:rPr>
                <w:rFonts w:ascii="Arial" w:hAnsi="Arial" w:cs="Arial"/>
                <w:b w:val="0"/>
              </w:rPr>
            </w:pPr>
            <w:r w:rsidRPr="002B579F">
              <w:rPr>
                <w:rFonts w:ascii="Arial" w:hAnsi="Arial" w:cs="Arial"/>
                <w:b w:val="0"/>
              </w:rPr>
              <w:t>5–8 members</w:t>
            </w:r>
          </w:p>
        </w:tc>
        <w:tc>
          <w:tcPr>
            <w:tcW w:w="0" w:type="auto"/>
            <w:hideMark/>
          </w:tcPr>
          <w:p w14:paraId="60F8935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1,571</w:t>
            </w:r>
          </w:p>
        </w:tc>
        <w:tc>
          <w:tcPr>
            <w:cnfStyle w:val="000100000000" w:firstRow="0" w:lastRow="0" w:firstColumn="0" w:lastColumn="1" w:oddVBand="0" w:evenVBand="0" w:oddHBand="0" w:evenHBand="0" w:firstRowFirstColumn="0" w:firstRowLastColumn="0" w:lastRowFirstColumn="0" w:lastRowLastColumn="0"/>
            <w:tcW w:w="0" w:type="auto"/>
            <w:hideMark/>
          </w:tcPr>
          <w:p w14:paraId="3B38EB96" w14:textId="77777777" w:rsidR="004D3927" w:rsidRPr="002B579F" w:rsidRDefault="004D3927" w:rsidP="004D3927">
            <w:pPr>
              <w:pStyle w:val="Body"/>
              <w:rPr>
                <w:rFonts w:ascii="Arial" w:hAnsi="Arial" w:cs="Arial"/>
                <w:b w:val="0"/>
              </w:rPr>
            </w:pPr>
            <w:r w:rsidRPr="002B579F">
              <w:rPr>
                <w:rFonts w:ascii="Arial" w:hAnsi="Arial" w:cs="Arial"/>
                <w:b w:val="0"/>
              </w:rPr>
              <w:t>53.27</w:t>
            </w:r>
          </w:p>
        </w:tc>
      </w:tr>
      <w:tr w:rsidR="004D3927" w:rsidRPr="002B579F" w14:paraId="45D6B8FD"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0E9C80CE" w14:textId="77777777" w:rsidR="004D3927" w:rsidRPr="002B579F" w:rsidRDefault="004D3927" w:rsidP="004D3927">
            <w:pPr>
              <w:pStyle w:val="Body"/>
              <w:rPr>
                <w:rFonts w:ascii="Arial" w:hAnsi="Arial" w:cs="Arial"/>
                <w:b w:val="0"/>
              </w:rPr>
            </w:pPr>
            <w:r w:rsidRPr="002B579F">
              <w:rPr>
                <w:rFonts w:ascii="Arial" w:hAnsi="Arial" w:cs="Arial"/>
                <w:b w:val="0"/>
              </w:rPr>
              <w:t>9 or more members</w:t>
            </w:r>
          </w:p>
        </w:tc>
        <w:tc>
          <w:tcPr>
            <w:tcW w:w="0" w:type="auto"/>
            <w:hideMark/>
          </w:tcPr>
          <w:p w14:paraId="25061F2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488</w:t>
            </w:r>
          </w:p>
        </w:tc>
        <w:tc>
          <w:tcPr>
            <w:cnfStyle w:val="000100000000" w:firstRow="0" w:lastRow="0" w:firstColumn="0" w:lastColumn="1" w:oddVBand="0" w:evenVBand="0" w:oddHBand="0" w:evenHBand="0" w:firstRowFirstColumn="0" w:firstRowLastColumn="0" w:lastRowFirstColumn="0" w:lastRowLastColumn="0"/>
            <w:tcW w:w="0" w:type="auto"/>
            <w:hideMark/>
          </w:tcPr>
          <w:p w14:paraId="76E4E29E" w14:textId="77777777" w:rsidR="004D3927" w:rsidRPr="002B579F" w:rsidRDefault="004D3927" w:rsidP="004D3927">
            <w:pPr>
              <w:pStyle w:val="Body"/>
              <w:rPr>
                <w:rFonts w:ascii="Arial" w:hAnsi="Arial" w:cs="Arial"/>
                <w:b w:val="0"/>
              </w:rPr>
            </w:pPr>
            <w:r w:rsidRPr="002B579F">
              <w:rPr>
                <w:rFonts w:ascii="Arial" w:hAnsi="Arial" w:cs="Arial"/>
                <w:b w:val="0"/>
              </w:rPr>
              <w:t>16.55</w:t>
            </w:r>
          </w:p>
        </w:tc>
      </w:tr>
      <w:tr w:rsidR="004D3927" w:rsidRPr="002B579F" w14:paraId="32B82C79"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983A9D6" w14:textId="77777777" w:rsidR="004D3927" w:rsidRPr="002B579F" w:rsidRDefault="004D3927" w:rsidP="004D3927">
            <w:pPr>
              <w:pStyle w:val="Body"/>
              <w:rPr>
                <w:rFonts w:ascii="Arial" w:hAnsi="Arial" w:cs="Arial"/>
              </w:rPr>
            </w:pPr>
            <w:r w:rsidRPr="002B579F">
              <w:rPr>
                <w:rFonts w:ascii="Arial" w:hAnsi="Arial" w:cs="Arial"/>
              </w:rPr>
              <w:t>Sex of household head</w:t>
            </w:r>
          </w:p>
        </w:tc>
        <w:tc>
          <w:tcPr>
            <w:tcW w:w="0" w:type="auto"/>
            <w:hideMark/>
          </w:tcPr>
          <w:p w14:paraId="2B174E1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381C5A12" w14:textId="77777777" w:rsidR="004D3927" w:rsidRPr="002B579F" w:rsidRDefault="004D3927" w:rsidP="004D3927">
            <w:pPr>
              <w:pStyle w:val="Body"/>
              <w:rPr>
                <w:rFonts w:ascii="Arial" w:hAnsi="Arial" w:cs="Arial"/>
              </w:rPr>
            </w:pPr>
          </w:p>
        </w:tc>
      </w:tr>
      <w:tr w:rsidR="004D3927" w:rsidRPr="002B579F" w14:paraId="0E4F31B4"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E8EDFD1" w14:textId="77777777" w:rsidR="004D3927" w:rsidRPr="002B579F" w:rsidRDefault="004D3927" w:rsidP="004D3927">
            <w:pPr>
              <w:pStyle w:val="Body"/>
              <w:rPr>
                <w:rFonts w:ascii="Arial" w:hAnsi="Arial" w:cs="Arial"/>
                <w:b w:val="0"/>
              </w:rPr>
            </w:pPr>
            <w:r w:rsidRPr="002B579F">
              <w:rPr>
                <w:rFonts w:ascii="Arial" w:hAnsi="Arial" w:cs="Arial"/>
                <w:b w:val="0"/>
              </w:rPr>
              <w:t>Male</w:t>
            </w:r>
          </w:p>
        </w:tc>
        <w:tc>
          <w:tcPr>
            <w:tcW w:w="0" w:type="auto"/>
            <w:hideMark/>
          </w:tcPr>
          <w:p w14:paraId="2A2D482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2,182</w:t>
            </w:r>
          </w:p>
        </w:tc>
        <w:tc>
          <w:tcPr>
            <w:cnfStyle w:val="000100000000" w:firstRow="0" w:lastRow="0" w:firstColumn="0" w:lastColumn="1" w:oddVBand="0" w:evenVBand="0" w:oddHBand="0" w:evenHBand="0" w:firstRowFirstColumn="0" w:firstRowLastColumn="0" w:lastRowFirstColumn="0" w:lastRowLastColumn="0"/>
            <w:tcW w:w="0" w:type="auto"/>
            <w:hideMark/>
          </w:tcPr>
          <w:p w14:paraId="26365B09" w14:textId="77777777" w:rsidR="004D3927" w:rsidRPr="002B579F" w:rsidRDefault="004D3927" w:rsidP="004D3927">
            <w:pPr>
              <w:pStyle w:val="Body"/>
              <w:rPr>
                <w:rFonts w:ascii="Arial" w:hAnsi="Arial" w:cs="Arial"/>
                <w:b w:val="0"/>
              </w:rPr>
            </w:pPr>
            <w:r w:rsidRPr="002B579F">
              <w:rPr>
                <w:rFonts w:ascii="Arial" w:hAnsi="Arial" w:cs="Arial"/>
                <w:b w:val="0"/>
              </w:rPr>
              <w:t>73.99</w:t>
            </w:r>
          </w:p>
        </w:tc>
      </w:tr>
      <w:tr w:rsidR="004D3927" w:rsidRPr="002B579F" w14:paraId="788A4DBE"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F327A2B" w14:textId="77777777" w:rsidR="004D3927" w:rsidRPr="002B579F" w:rsidRDefault="004D3927" w:rsidP="004D3927">
            <w:pPr>
              <w:pStyle w:val="Body"/>
              <w:rPr>
                <w:rFonts w:ascii="Arial" w:hAnsi="Arial" w:cs="Arial"/>
                <w:b w:val="0"/>
              </w:rPr>
            </w:pPr>
            <w:r w:rsidRPr="002B579F">
              <w:rPr>
                <w:rFonts w:ascii="Arial" w:hAnsi="Arial" w:cs="Arial"/>
                <w:b w:val="0"/>
              </w:rPr>
              <w:t>Female</w:t>
            </w:r>
          </w:p>
        </w:tc>
        <w:tc>
          <w:tcPr>
            <w:tcW w:w="0" w:type="auto"/>
            <w:hideMark/>
          </w:tcPr>
          <w:p w14:paraId="1E858AC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767</w:t>
            </w:r>
          </w:p>
        </w:tc>
        <w:tc>
          <w:tcPr>
            <w:cnfStyle w:val="000100000000" w:firstRow="0" w:lastRow="0" w:firstColumn="0" w:lastColumn="1" w:oddVBand="0" w:evenVBand="0" w:oddHBand="0" w:evenHBand="0" w:firstRowFirstColumn="0" w:firstRowLastColumn="0" w:lastRowFirstColumn="0" w:lastRowLastColumn="0"/>
            <w:tcW w:w="0" w:type="auto"/>
            <w:hideMark/>
          </w:tcPr>
          <w:p w14:paraId="042AC9BF" w14:textId="77777777" w:rsidR="004D3927" w:rsidRPr="002B579F" w:rsidRDefault="004D3927" w:rsidP="004D3927">
            <w:pPr>
              <w:pStyle w:val="Body"/>
              <w:rPr>
                <w:rFonts w:ascii="Arial" w:hAnsi="Arial" w:cs="Arial"/>
                <w:b w:val="0"/>
              </w:rPr>
            </w:pPr>
            <w:r w:rsidRPr="002B579F">
              <w:rPr>
                <w:rFonts w:ascii="Arial" w:hAnsi="Arial" w:cs="Arial"/>
                <w:b w:val="0"/>
              </w:rPr>
              <w:t>26.01</w:t>
            </w:r>
          </w:p>
        </w:tc>
      </w:tr>
      <w:tr w:rsidR="004D3927" w:rsidRPr="002B579F" w14:paraId="4437AC12" w14:textId="77777777" w:rsidTr="001B58F0">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6CD57C6A" w14:textId="77777777" w:rsidR="004D3927" w:rsidRPr="002B579F" w:rsidRDefault="004D3927" w:rsidP="004D3927">
            <w:pPr>
              <w:pStyle w:val="Body"/>
              <w:rPr>
                <w:rFonts w:ascii="Arial" w:hAnsi="Arial" w:cs="Arial"/>
              </w:rPr>
            </w:pPr>
            <w:r w:rsidRPr="002B579F">
              <w:rPr>
                <w:rFonts w:ascii="Arial" w:hAnsi="Arial" w:cs="Arial"/>
              </w:rPr>
              <w:t>Geopolitical zone of residence</w:t>
            </w:r>
          </w:p>
        </w:tc>
        <w:tc>
          <w:tcPr>
            <w:tcW w:w="0" w:type="auto"/>
            <w:hideMark/>
          </w:tcPr>
          <w:p w14:paraId="5512DB3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0" w:type="auto"/>
            <w:hideMark/>
          </w:tcPr>
          <w:p w14:paraId="4F712F7D" w14:textId="77777777" w:rsidR="004D3927" w:rsidRPr="002B579F" w:rsidRDefault="004D3927" w:rsidP="004D3927">
            <w:pPr>
              <w:pStyle w:val="Body"/>
              <w:rPr>
                <w:rFonts w:ascii="Arial" w:hAnsi="Arial" w:cs="Arial"/>
              </w:rPr>
            </w:pPr>
          </w:p>
        </w:tc>
      </w:tr>
      <w:tr w:rsidR="004D3927" w:rsidRPr="002B579F" w14:paraId="308152C5"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26D10A54" w14:textId="77777777" w:rsidR="004D3927" w:rsidRPr="002B579F" w:rsidRDefault="004D3927" w:rsidP="004D3927">
            <w:pPr>
              <w:pStyle w:val="Body"/>
              <w:rPr>
                <w:rFonts w:ascii="Arial" w:hAnsi="Arial" w:cs="Arial"/>
                <w:b w:val="0"/>
              </w:rPr>
            </w:pPr>
            <w:r w:rsidRPr="002B579F">
              <w:rPr>
                <w:rFonts w:ascii="Arial" w:hAnsi="Arial" w:cs="Arial"/>
                <w:b w:val="0"/>
              </w:rPr>
              <w:t>South East</w:t>
            </w:r>
          </w:p>
        </w:tc>
        <w:tc>
          <w:tcPr>
            <w:tcW w:w="0" w:type="auto"/>
            <w:hideMark/>
          </w:tcPr>
          <w:p w14:paraId="3C85FF8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1,654</w:t>
            </w:r>
          </w:p>
        </w:tc>
        <w:tc>
          <w:tcPr>
            <w:cnfStyle w:val="000100000000" w:firstRow="0" w:lastRow="0" w:firstColumn="0" w:lastColumn="1" w:oddVBand="0" w:evenVBand="0" w:oddHBand="0" w:evenHBand="0" w:firstRowFirstColumn="0" w:firstRowLastColumn="0" w:lastRowFirstColumn="0" w:lastRowLastColumn="0"/>
            <w:tcW w:w="0" w:type="auto"/>
            <w:hideMark/>
          </w:tcPr>
          <w:p w14:paraId="7BA97F30" w14:textId="77777777" w:rsidR="004D3927" w:rsidRPr="002B579F" w:rsidRDefault="004D3927" w:rsidP="004D3927">
            <w:pPr>
              <w:pStyle w:val="Body"/>
              <w:rPr>
                <w:rFonts w:ascii="Arial" w:hAnsi="Arial" w:cs="Arial"/>
                <w:b w:val="0"/>
              </w:rPr>
            </w:pPr>
            <w:r w:rsidRPr="002B579F">
              <w:rPr>
                <w:rFonts w:ascii="Arial" w:hAnsi="Arial" w:cs="Arial"/>
                <w:b w:val="0"/>
              </w:rPr>
              <w:t>56.09</w:t>
            </w:r>
          </w:p>
        </w:tc>
      </w:tr>
      <w:tr w:rsidR="004D3927" w:rsidRPr="002B579F" w14:paraId="6A61BC95"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6C510CA1" w14:textId="77777777" w:rsidR="004D3927" w:rsidRPr="002B579F" w:rsidRDefault="004D3927" w:rsidP="004D3927">
            <w:pPr>
              <w:pStyle w:val="Body"/>
              <w:rPr>
                <w:rFonts w:ascii="Arial" w:hAnsi="Arial" w:cs="Arial"/>
                <w:b w:val="0"/>
              </w:rPr>
            </w:pPr>
            <w:r w:rsidRPr="002B579F">
              <w:rPr>
                <w:rFonts w:ascii="Arial" w:hAnsi="Arial" w:cs="Arial"/>
                <w:b w:val="0"/>
              </w:rPr>
              <w:t xml:space="preserve">South </w:t>
            </w:r>
            <w:proofErr w:type="spellStart"/>
            <w:r w:rsidRPr="002B579F">
              <w:rPr>
                <w:rFonts w:ascii="Arial" w:hAnsi="Arial" w:cs="Arial"/>
                <w:b w:val="0"/>
              </w:rPr>
              <w:t>South</w:t>
            </w:r>
            <w:proofErr w:type="spellEnd"/>
          </w:p>
        </w:tc>
        <w:tc>
          <w:tcPr>
            <w:tcW w:w="0" w:type="auto"/>
            <w:hideMark/>
          </w:tcPr>
          <w:p w14:paraId="7C5E7E1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787</w:t>
            </w:r>
          </w:p>
        </w:tc>
        <w:tc>
          <w:tcPr>
            <w:cnfStyle w:val="000100000000" w:firstRow="0" w:lastRow="0" w:firstColumn="0" w:lastColumn="1" w:oddVBand="0" w:evenVBand="0" w:oddHBand="0" w:evenHBand="0" w:firstRowFirstColumn="0" w:firstRowLastColumn="0" w:lastRowFirstColumn="0" w:lastRowLastColumn="0"/>
            <w:tcW w:w="0" w:type="auto"/>
            <w:hideMark/>
          </w:tcPr>
          <w:p w14:paraId="501901AA" w14:textId="77777777" w:rsidR="004D3927" w:rsidRPr="002B579F" w:rsidRDefault="004D3927" w:rsidP="004D3927">
            <w:pPr>
              <w:pStyle w:val="Body"/>
              <w:rPr>
                <w:rFonts w:ascii="Arial" w:hAnsi="Arial" w:cs="Arial"/>
                <w:b w:val="0"/>
              </w:rPr>
            </w:pPr>
            <w:r w:rsidRPr="002B579F">
              <w:rPr>
                <w:rFonts w:ascii="Arial" w:hAnsi="Arial" w:cs="Arial"/>
                <w:b w:val="0"/>
              </w:rPr>
              <w:t>26.69</w:t>
            </w:r>
          </w:p>
        </w:tc>
      </w:tr>
      <w:tr w:rsidR="004D3927" w:rsidRPr="002B579F" w14:paraId="2449A5A6" w14:textId="77777777" w:rsidTr="001B58F0">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428C9A90" w14:textId="77777777" w:rsidR="004D3927" w:rsidRPr="002B579F" w:rsidRDefault="004D3927" w:rsidP="004D3927">
            <w:pPr>
              <w:pStyle w:val="Body"/>
              <w:rPr>
                <w:rFonts w:ascii="Arial" w:hAnsi="Arial" w:cs="Arial"/>
                <w:b w:val="0"/>
              </w:rPr>
            </w:pPr>
            <w:r w:rsidRPr="002B579F">
              <w:rPr>
                <w:rFonts w:ascii="Arial" w:hAnsi="Arial" w:cs="Arial"/>
                <w:b w:val="0"/>
              </w:rPr>
              <w:t>South West</w:t>
            </w:r>
          </w:p>
        </w:tc>
        <w:tc>
          <w:tcPr>
            <w:tcW w:w="0" w:type="auto"/>
            <w:hideMark/>
          </w:tcPr>
          <w:p w14:paraId="2712588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508</w:t>
            </w:r>
          </w:p>
        </w:tc>
        <w:tc>
          <w:tcPr>
            <w:cnfStyle w:val="000100000000" w:firstRow="0" w:lastRow="0" w:firstColumn="0" w:lastColumn="1" w:oddVBand="0" w:evenVBand="0" w:oddHBand="0" w:evenHBand="0" w:firstRowFirstColumn="0" w:firstRowLastColumn="0" w:lastRowFirstColumn="0" w:lastRowLastColumn="0"/>
            <w:tcW w:w="0" w:type="auto"/>
            <w:hideMark/>
          </w:tcPr>
          <w:p w14:paraId="05DA5709" w14:textId="77777777" w:rsidR="004D3927" w:rsidRPr="002B579F" w:rsidRDefault="004D3927" w:rsidP="004D3927">
            <w:pPr>
              <w:pStyle w:val="Body"/>
              <w:rPr>
                <w:rFonts w:ascii="Arial" w:hAnsi="Arial" w:cs="Arial"/>
                <w:b w:val="0"/>
              </w:rPr>
            </w:pPr>
            <w:r w:rsidRPr="002B579F">
              <w:rPr>
                <w:rFonts w:ascii="Arial" w:hAnsi="Arial" w:cs="Arial"/>
                <w:b w:val="0"/>
              </w:rPr>
              <w:t>17.23</w:t>
            </w:r>
          </w:p>
        </w:tc>
      </w:tr>
    </w:tbl>
    <w:p w14:paraId="38649FAE" w14:textId="77777777" w:rsidR="004D3927" w:rsidRPr="002B579F" w:rsidRDefault="004D3927" w:rsidP="004D3927">
      <w:pPr>
        <w:pStyle w:val="Body"/>
        <w:spacing w:after="0"/>
        <w:rPr>
          <w:rFonts w:ascii="Arial" w:hAnsi="Arial" w:cs="Arial"/>
        </w:rPr>
      </w:pPr>
    </w:p>
    <w:p w14:paraId="074EAFE7" w14:textId="77777777" w:rsidR="004D3927" w:rsidRPr="002B579F" w:rsidRDefault="004D3927" w:rsidP="004D3927">
      <w:pPr>
        <w:pStyle w:val="Body"/>
        <w:spacing w:after="0"/>
        <w:rPr>
          <w:rFonts w:ascii="Arial" w:hAnsi="Arial" w:cs="Arial"/>
          <w:b/>
          <w:bCs/>
        </w:rPr>
      </w:pPr>
    </w:p>
    <w:p w14:paraId="70BEF4A7" w14:textId="77777777" w:rsidR="004D3927" w:rsidRPr="002B579F" w:rsidRDefault="004D3927" w:rsidP="004D3927">
      <w:pPr>
        <w:pStyle w:val="Body"/>
        <w:spacing w:after="0"/>
        <w:rPr>
          <w:rFonts w:ascii="Arial" w:hAnsi="Arial" w:cs="Arial"/>
          <w:b/>
        </w:rPr>
      </w:pPr>
      <w:r w:rsidRPr="002B579F">
        <w:rPr>
          <w:rFonts w:ascii="Arial" w:hAnsi="Arial" w:cs="Arial"/>
          <w:b/>
          <w:bCs/>
        </w:rPr>
        <w:t xml:space="preserve">3.1.2 </w:t>
      </w:r>
      <w:r w:rsidRPr="002B579F">
        <w:rPr>
          <w:rFonts w:ascii="Arial" w:hAnsi="Arial" w:cs="Arial"/>
          <w:b/>
        </w:rPr>
        <w:t>Prevalence of acute respiratory infection among under-five children in rural Southern Nigeria</w:t>
      </w:r>
    </w:p>
    <w:p w14:paraId="68BC8C4C" w14:textId="77777777" w:rsidR="004D3927" w:rsidRPr="002B579F" w:rsidRDefault="004D3927" w:rsidP="004D3927">
      <w:pPr>
        <w:pStyle w:val="Body"/>
        <w:spacing w:after="0"/>
        <w:rPr>
          <w:rFonts w:ascii="Arial" w:hAnsi="Arial" w:cs="Arial"/>
          <w:b/>
        </w:rPr>
      </w:pPr>
    </w:p>
    <w:p w14:paraId="245F3387" w14:textId="77777777" w:rsidR="004D3927" w:rsidRPr="002B579F" w:rsidRDefault="004D3927" w:rsidP="004D3927">
      <w:pPr>
        <w:pStyle w:val="Body"/>
        <w:spacing w:after="0"/>
        <w:rPr>
          <w:rFonts w:ascii="Arial" w:hAnsi="Arial" w:cs="Arial"/>
        </w:rPr>
      </w:pPr>
      <w:r w:rsidRPr="002B579F">
        <w:rPr>
          <w:rFonts w:ascii="Arial" w:hAnsi="Arial" w:cs="Arial"/>
          <w:b/>
          <w:bCs/>
        </w:rPr>
        <w:t>Table 2</w:t>
      </w:r>
      <w:r w:rsidRPr="002B579F">
        <w:rPr>
          <w:rFonts w:ascii="Arial" w:hAnsi="Arial" w:cs="Arial"/>
        </w:rPr>
        <w:t xml:space="preserve"> presents the prevalence of acute respiratory infection (ARI) among children aged 0–59 months in rural Southern Nigeria according to selected child characteristics, including age, sex and geopolitical zone. The findings show that the overall prevalence of ARI among children aged 0–59 months in rural Southern Nigeria was 3.03%. Children aged 0–11 </w:t>
      </w:r>
      <w:r w:rsidRPr="002B579F">
        <w:rPr>
          <w:rFonts w:ascii="Arial" w:hAnsi="Arial" w:cs="Arial"/>
        </w:rPr>
        <w:lastRenderedPageBreak/>
        <w:t xml:space="preserve">months had the highest prevalence (4.32%), while those aged 36–47 months had the lowest (1.39%). Female children had a higher prevalence (3.10%) than males (2.13%). Across geopolitical zones, the South </w:t>
      </w:r>
      <w:proofErr w:type="spellStart"/>
      <w:r w:rsidRPr="002B579F">
        <w:rPr>
          <w:rFonts w:ascii="Arial" w:hAnsi="Arial" w:cs="Arial"/>
        </w:rPr>
        <w:t>South</w:t>
      </w:r>
      <w:proofErr w:type="spellEnd"/>
      <w:r w:rsidRPr="002B579F">
        <w:rPr>
          <w:rFonts w:ascii="Arial" w:hAnsi="Arial" w:cs="Arial"/>
        </w:rPr>
        <w:t xml:space="preserve"> had the highest prevalence (4.55%), followed by the South East (2.18%), while the South West recorded the lowest prevalence (1.44%).</w:t>
      </w:r>
    </w:p>
    <w:p w14:paraId="73487571" w14:textId="77777777" w:rsidR="004D3927" w:rsidRPr="002B579F" w:rsidRDefault="004D3927" w:rsidP="004D3927">
      <w:pPr>
        <w:pStyle w:val="Body"/>
        <w:spacing w:after="0"/>
        <w:rPr>
          <w:rFonts w:ascii="Arial" w:hAnsi="Arial" w:cs="Arial"/>
        </w:rPr>
      </w:pPr>
    </w:p>
    <w:p w14:paraId="3DCE611E" w14:textId="77777777" w:rsidR="004D3927" w:rsidRPr="002B579F" w:rsidRDefault="004D3927" w:rsidP="004D3927">
      <w:pPr>
        <w:pStyle w:val="Body"/>
        <w:rPr>
          <w:rFonts w:ascii="Arial" w:hAnsi="Arial" w:cs="Arial"/>
        </w:rPr>
      </w:pPr>
      <w:r w:rsidRPr="002B579F">
        <w:rPr>
          <w:rFonts w:ascii="Arial" w:hAnsi="Arial" w:cs="Arial"/>
        </w:rPr>
        <w:t>Table 2: Prevalence of Acute Respiratory Infection among Children Aged 0–59 Months by Child Characteristics</w:t>
      </w:r>
    </w:p>
    <w:tbl>
      <w:tblPr>
        <w:tblStyle w:val="PlainTable2"/>
        <w:tblW w:w="8330" w:type="dxa"/>
        <w:tblLook w:val="07A0" w:firstRow="1" w:lastRow="0" w:firstColumn="1" w:lastColumn="1" w:noHBand="1" w:noVBand="1"/>
      </w:tblPr>
      <w:tblGrid>
        <w:gridCol w:w="2465"/>
        <w:gridCol w:w="1763"/>
        <w:gridCol w:w="1692"/>
        <w:gridCol w:w="2410"/>
      </w:tblGrid>
      <w:tr w:rsidR="004D3927" w:rsidRPr="002B579F" w14:paraId="6307A972" w14:textId="77777777" w:rsidTr="00720D5C">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tcPr>
          <w:p w14:paraId="3170997C" w14:textId="77777777" w:rsidR="004D3927" w:rsidRPr="002B579F" w:rsidRDefault="004D3927" w:rsidP="00720D5C">
            <w:pPr>
              <w:pStyle w:val="Body"/>
              <w:spacing w:after="0"/>
              <w:jc w:val="center"/>
              <w:rPr>
                <w:rFonts w:ascii="Arial" w:hAnsi="Arial" w:cs="Arial"/>
              </w:rPr>
            </w:pPr>
            <w:r w:rsidRPr="002B579F">
              <w:rPr>
                <w:rFonts w:ascii="Arial" w:hAnsi="Arial" w:cs="Arial"/>
              </w:rPr>
              <w:t>Child characteristic</w:t>
            </w:r>
          </w:p>
        </w:tc>
        <w:tc>
          <w:tcPr>
            <w:tcW w:w="0" w:type="auto"/>
          </w:tcPr>
          <w:p w14:paraId="47BCFEDE" w14:textId="77777777" w:rsidR="004D3927" w:rsidRPr="002B579F" w:rsidRDefault="004D3927" w:rsidP="00720D5C">
            <w:pPr>
              <w:pStyle w:val="Body"/>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No ARI, n (%)</w:t>
            </w:r>
          </w:p>
        </w:tc>
        <w:tc>
          <w:tcPr>
            <w:tcW w:w="1692" w:type="dxa"/>
          </w:tcPr>
          <w:p w14:paraId="388A55CD" w14:textId="77777777" w:rsidR="004D3927" w:rsidRPr="002B579F" w:rsidRDefault="004D3927" w:rsidP="00720D5C">
            <w:pPr>
              <w:pStyle w:val="Body"/>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ARI, n (%)</w:t>
            </w:r>
          </w:p>
        </w:tc>
        <w:tc>
          <w:tcPr>
            <w:cnfStyle w:val="000100000000" w:firstRow="0" w:lastRow="0" w:firstColumn="0" w:lastColumn="1" w:oddVBand="0" w:evenVBand="0" w:oddHBand="0" w:evenHBand="0" w:firstRowFirstColumn="0" w:firstRowLastColumn="0" w:lastRowFirstColumn="0" w:lastRowLastColumn="0"/>
            <w:tcW w:w="2410" w:type="dxa"/>
          </w:tcPr>
          <w:p w14:paraId="2E0A7A6E" w14:textId="77777777" w:rsidR="004D3927" w:rsidRPr="002B579F" w:rsidRDefault="004D3927" w:rsidP="00720D5C">
            <w:pPr>
              <w:pStyle w:val="Body"/>
              <w:spacing w:after="0"/>
              <w:jc w:val="center"/>
              <w:rPr>
                <w:rFonts w:ascii="Arial" w:hAnsi="Arial" w:cs="Arial"/>
              </w:rPr>
            </w:pPr>
            <w:r w:rsidRPr="002B579F">
              <w:rPr>
                <w:rFonts w:ascii="Arial" w:hAnsi="Arial" w:cs="Arial"/>
              </w:rPr>
              <w:t>95% CI for ARI prevalence (%)</w:t>
            </w:r>
          </w:p>
        </w:tc>
      </w:tr>
      <w:tr w:rsidR="004D3927" w:rsidRPr="002B579F" w14:paraId="7DCC99CE"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37FC724D" w14:textId="77777777" w:rsidR="004D3927" w:rsidRPr="002B579F" w:rsidRDefault="004D3927" w:rsidP="00720D5C">
            <w:pPr>
              <w:pStyle w:val="Body"/>
              <w:spacing w:after="0"/>
              <w:jc w:val="center"/>
              <w:rPr>
                <w:rFonts w:ascii="Arial" w:hAnsi="Arial" w:cs="Arial"/>
              </w:rPr>
            </w:pPr>
            <w:r w:rsidRPr="002B579F">
              <w:rPr>
                <w:rFonts w:ascii="Arial" w:hAnsi="Arial" w:cs="Arial"/>
              </w:rPr>
              <w:t>Age group</w:t>
            </w:r>
          </w:p>
        </w:tc>
        <w:tc>
          <w:tcPr>
            <w:tcW w:w="0" w:type="auto"/>
          </w:tcPr>
          <w:p w14:paraId="6AB9BF6C"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72F18F10"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380A4A2E" w14:textId="77777777" w:rsidR="004D3927" w:rsidRPr="002B579F" w:rsidRDefault="004D3927" w:rsidP="00720D5C">
            <w:pPr>
              <w:pStyle w:val="Body"/>
              <w:spacing w:after="0"/>
              <w:jc w:val="center"/>
              <w:rPr>
                <w:rFonts w:ascii="Arial" w:hAnsi="Arial" w:cs="Arial"/>
              </w:rPr>
            </w:pPr>
          </w:p>
        </w:tc>
      </w:tr>
      <w:tr w:rsidR="004D3927" w:rsidRPr="002B579F" w14:paraId="129C5DC8"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2D355E89"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0–11 months</w:t>
            </w:r>
          </w:p>
        </w:tc>
        <w:tc>
          <w:tcPr>
            <w:tcW w:w="0" w:type="auto"/>
          </w:tcPr>
          <w:p w14:paraId="73787A6B"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539 (95.69)</w:t>
            </w:r>
          </w:p>
        </w:tc>
        <w:tc>
          <w:tcPr>
            <w:tcW w:w="1692" w:type="dxa"/>
          </w:tcPr>
          <w:p w14:paraId="6FFD541A"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29 (4.32)</w:t>
            </w:r>
          </w:p>
        </w:tc>
        <w:tc>
          <w:tcPr>
            <w:cnfStyle w:val="000100000000" w:firstRow="0" w:lastRow="0" w:firstColumn="0" w:lastColumn="1" w:oddVBand="0" w:evenVBand="0" w:oddHBand="0" w:evenHBand="0" w:firstRowFirstColumn="0" w:firstRowLastColumn="0" w:lastRowFirstColumn="0" w:lastRowLastColumn="0"/>
            <w:tcW w:w="2410" w:type="dxa"/>
          </w:tcPr>
          <w:p w14:paraId="649065C0"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2.83–6.52</w:t>
            </w:r>
          </w:p>
        </w:tc>
      </w:tr>
      <w:tr w:rsidR="004D3927" w:rsidRPr="002B579F" w14:paraId="47317455"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3C66BC5"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12–23 months</w:t>
            </w:r>
          </w:p>
        </w:tc>
        <w:tc>
          <w:tcPr>
            <w:tcW w:w="0" w:type="auto"/>
          </w:tcPr>
          <w:p w14:paraId="3E211B31"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509 (96.38)</w:t>
            </w:r>
          </w:p>
        </w:tc>
        <w:tc>
          <w:tcPr>
            <w:tcW w:w="1692" w:type="dxa"/>
          </w:tcPr>
          <w:p w14:paraId="171CEA3D"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22 (3.62)</w:t>
            </w:r>
          </w:p>
        </w:tc>
        <w:tc>
          <w:tcPr>
            <w:cnfStyle w:val="000100000000" w:firstRow="0" w:lastRow="0" w:firstColumn="0" w:lastColumn="1" w:oddVBand="0" w:evenVBand="0" w:oddHBand="0" w:evenHBand="0" w:firstRowFirstColumn="0" w:firstRowLastColumn="0" w:lastRowFirstColumn="0" w:lastRowLastColumn="0"/>
            <w:tcW w:w="2410" w:type="dxa"/>
          </w:tcPr>
          <w:p w14:paraId="4B52EBEB"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2.19–5.91</w:t>
            </w:r>
          </w:p>
        </w:tc>
      </w:tr>
      <w:tr w:rsidR="004D3927" w:rsidRPr="002B579F" w14:paraId="1D34DEDA"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4F48B22D"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24–35 months</w:t>
            </w:r>
          </w:p>
        </w:tc>
        <w:tc>
          <w:tcPr>
            <w:tcW w:w="0" w:type="auto"/>
          </w:tcPr>
          <w:p w14:paraId="32E84543"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508 (97.99)</w:t>
            </w:r>
          </w:p>
        </w:tc>
        <w:tc>
          <w:tcPr>
            <w:tcW w:w="1692" w:type="dxa"/>
          </w:tcPr>
          <w:p w14:paraId="13B5D7CF"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11 (2.01)</w:t>
            </w:r>
          </w:p>
        </w:tc>
        <w:tc>
          <w:tcPr>
            <w:cnfStyle w:val="000100000000" w:firstRow="0" w:lastRow="0" w:firstColumn="0" w:lastColumn="1" w:oddVBand="0" w:evenVBand="0" w:oddHBand="0" w:evenHBand="0" w:firstRowFirstColumn="0" w:firstRowLastColumn="0" w:lastRowFirstColumn="0" w:lastRowLastColumn="0"/>
            <w:tcW w:w="2410" w:type="dxa"/>
          </w:tcPr>
          <w:p w14:paraId="4224EA14"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1.10–3.65</w:t>
            </w:r>
          </w:p>
        </w:tc>
      </w:tr>
      <w:tr w:rsidR="004D3927" w:rsidRPr="002B579F" w14:paraId="2385B253"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10562604"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36–47 months</w:t>
            </w:r>
          </w:p>
        </w:tc>
        <w:tc>
          <w:tcPr>
            <w:tcW w:w="0" w:type="auto"/>
          </w:tcPr>
          <w:p w14:paraId="53FD329B"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564 (98.61)</w:t>
            </w:r>
          </w:p>
        </w:tc>
        <w:tc>
          <w:tcPr>
            <w:tcW w:w="1692" w:type="dxa"/>
          </w:tcPr>
          <w:p w14:paraId="338B4544"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9 (1.39)</w:t>
            </w:r>
          </w:p>
        </w:tc>
        <w:tc>
          <w:tcPr>
            <w:cnfStyle w:val="000100000000" w:firstRow="0" w:lastRow="0" w:firstColumn="0" w:lastColumn="1" w:oddVBand="0" w:evenVBand="0" w:oddHBand="0" w:evenHBand="0" w:firstRowFirstColumn="0" w:firstRowLastColumn="0" w:lastRowFirstColumn="0" w:lastRowLastColumn="0"/>
            <w:tcW w:w="2410" w:type="dxa"/>
          </w:tcPr>
          <w:p w14:paraId="00ED1D32"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0.64–2.99</w:t>
            </w:r>
          </w:p>
        </w:tc>
      </w:tr>
      <w:tr w:rsidR="004D3927" w:rsidRPr="002B579F" w14:paraId="137A0E66"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5B16E59B"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48–59 months</w:t>
            </w:r>
          </w:p>
        </w:tc>
        <w:tc>
          <w:tcPr>
            <w:tcW w:w="0" w:type="auto"/>
          </w:tcPr>
          <w:p w14:paraId="18734D48"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565 (98.33)</w:t>
            </w:r>
          </w:p>
        </w:tc>
        <w:tc>
          <w:tcPr>
            <w:tcW w:w="1692" w:type="dxa"/>
          </w:tcPr>
          <w:p w14:paraId="1A687669"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13 (1.67)</w:t>
            </w:r>
          </w:p>
        </w:tc>
        <w:tc>
          <w:tcPr>
            <w:cnfStyle w:val="000100000000" w:firstRow="0" w:lastRow="0" w:firstColumn="0" w:lastColumn="1" w:oddVBand="0" w:evenVBand="0" w:oddHBand="0" w:evenHBand="0" w:firstRowFirstColumn="0" w:firstRowLastColumn="0" w:lastRowFirstColumn="0" w:lastRowLastColumn="0"/>
            <w:tcW w:w="2410" w:type="dxa"/>
          </w:tcPr>
          <w:p w14:paraId="349356EA"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0.84–3.29</w:t>
            </w:r>
          </w:p>
        </w:tc>
      </w:tr>
      <w:tr w:rsidR="004D3927" w:rsidRPr="002B579F" w14:paraId="22F1BFE0"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4C872C28" w14:textId="77777777" w:rsidR="004D3927" w:rsidRPr="002B579F" w:rsidRDefault="004D3927" w:rsidP="00720D5C">
            <w:pPr>
              <w:pStyle w:val="Body"/>
              <w:spacing w:after="0"/>
              <w:jc w:val="center"/>
              <w:rPr>
                <w:rFonts w:ascii="Arial" w:hAnsi="Arial" w:cs="Arial"/>
              </w:rPr>
            </w:pPr>
            <w:r w:rsidRPr="002B579F">
              <w:rPr>
                <w:rFonts w:ascii="Arial" w:hAnsi="Arial" w:cs="Arial"/>
              </w:rPr>
              <w:t>Sex</w:t>
            </w:r>
          </w:p>
        </w:tc>
        <w:tc>
          <w:tcPr>
            <w:tcW w:w="0" w:type="auto"/>
          </w:tcPr>
          <w:p w14:paraId="78B5D0D8"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7219F84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6955FDAD" w14:textId="77777777" w:rsidR="004D3927" w:rsidRPr="002B579F" w:rsidRDefault="004D3927" w:rsidP="00720D5C">
            <w:pPr>
              <w:pStyle w:val="Body"/>
              <w:spacing w:after="0"/>
              <w:jc w:val="center"/>
              <w:rPr>
                <w:rFonts w:ascii="Arial" w:hAnsi="Arial" w:cs="Arial"/>
              </w:rPr>
            </w:pPr>
          </w:p>
        </w:tc>
      </w:tr>
      <w:tr w:rsidR="004D3927" w:rsidRPr="002B579F" w14:paraId="64094EBB" w14:textId="77777777" w:rsidTr="00720D5C">
        <w:trPr>
          <w:trHeight w:val="467"/>
        </w:trPr>
        <w:tc>
          <w:tcPr>
            <w:cnfStyle w:val="001000000000" w:firstRow="0" w:lastRow="0" w:firstColumn="1" w:lastColumn="0" w:oddVBand="0" w:evenVBand="0" w:oddHBand="0" w:evenHBand="0" w:firstRowFirstColumn="0" w:firstRowLastColumn="0" w:lastRowFirstColumn="0" w:lastRowLastColumn="0"/>
            <w:tcW w:w="0" w:type="auto"/>
          </w:tcPr>
          <w:p w14:paraId="2F5AA8AD"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Male</w:t>
            </w:r>
          </w:p>
        </w:tc>
        <w:tc>
          <w:tcPr>
            <w:tcW w:w="0" w:type="auto"/>
          </w:tcPr>
          <w:p w14:paraId="4405C67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1,349 (97.87)</w:t>
            </w:r>
          </w:p>
        </w:tc>
        <w:tc>
          <w:tcPr>
            <w:tcW w:w="1692" w:type="dxa"/>
          </w:tcPr>
          <w:p w14:paraId="2C9AD5D6"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35 (2.13)</w:t>
            </w:r>
          </w:p>
        </w:tc>
        <w:tc>
          <w:tcPr>
            <w:cnfStyle w:val="000100000000" w:firstRow="0" w:lastRow="0" w:firstColumn="0" w:lastColumn="1" w:oddVBand="0" w:evenVBand="0" w:oddHBand="0" w:evenHBand="0" w:firstRowFirstColumn="0" w:firstRowLastColumn="0" w:lastRowFirstColumn="0" w:lastRowLastColumn="0"/>
            <w:tcW w:w="2410" w:type="dxa"/>
          </w:tcPr>
          <w:p w14:paraId="4B0A4517"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1.49–3.04</w:t>
            </w:r>
          </w:p>
        </w:tc>
      </w:tr>
      <w:tr w:rsidR="004D3927" w:rsidRPr="002B579F" w14:paraId="4F5B835A"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541E51CB"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Female</w:t>
            </w:r>
          </w:p>
        </w:tc>
        <w:tc>
          <w:tcPr>
            <w:tcW w:w="0" w:type="auto"/>
          </w:tcPr>
          <w:p w14:paraId="2A34CE3C"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1,336 (96.90)</w:t>
            </w:r>
          </w:p>
        </w:tc>
        <w:tc>
          <w:tcPr>
            <w:tcW w:w="1692" w:type="dxa"/>
          </w:tcPr>
          <w:p w14:paraId="46D8A671"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49 (3.10)</w:t>
            </w:r>
          </w:p>
        </w:tc>
        <w:tc>
          <w:tcPr>
            <w:cnfStyle w:val="000100000000" w:firstRow="0" w:lastRow="0" w:firstColumn="0" w:lastColumn="1" w:oddVBand="0" w:evenVBand="0" w:oddHBand="0" w:evenHBand="0" w:firstRowFirstColumn="0" w:firstRowLastColumn="0" w:lastRowFirstColumn="0" w:lastRowLastColumn="0"/>
            <w:tcW w:w="2410" w:type="dxa"/>
          </w:tcPr>
          <w:p w14:paraId="0076244E"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2.11–4.53</w:t>
            </w:r>
          </w:p>
        </w:tc>
      </w:tr>
      <w:tr w:rsidR="004D3927" w:rsidRPr="002B579F" w14:paraId="4689AF0E"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04CAE453" w14:textId="77777777" w:rsidR="004D3927" w:rsidRPr="002B579F" w:rsidRDefault="004D3927" w:rsidP="00720D5C">
            <w:pPr>
              <w:pStyle w:val="Body"/>
              <w:spacing w:after="0"/>
              <w:jc w:val="center"/>
              <w:rPr>
                <w:rFonts w:ascii="Arial" w:hAnsi="Arial" w:cs="Arial"/>
              </w:rPr>
            </w:pPr>
            <w:r w:rsidRPr="002B579F">
              <w:rPr>
                <w:rFonts w:ascii="Arial" w:hAnsi="Arial" w:cs="Arial"/>
              </w:rPr>
              <w:t>Geopolitical zone</w:t>
            </w:r>
          </w:p>
        </w:tc>
        <w:tc>
          <w:tcPr>
            <w:tcW w:w="0" w:type="auto"/>
          </w:tcPr>
          <w:p w14:paraId="76A5EDCF"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1692" w:type="dxa"/>
          </w:tcPr>
          <w:p w14:paraId="56A11E1A"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100000000" w:firstRow="0" w:lastRow="0" w:firstColumn="0" w:lastColumn="1" w:oddVBand="0" w:evenVBand="0" w:oddHBand="0" w:evenHBand="0" w:firstRowFirstColumn="0" w:firstRowLastColumn="0" w:lastRowFirstColumn="0" w:lastRowLastColumn="0"/>
            <w:tcW w:w="2410" w:type="dxa"/>
          </w:tcPr>
          <w:p w14:paraId="7E0CA7AE" w14:textId="77777777" w:rsidR="004D3927" w:rsidRPr="002B579F" w:rsidRDefault="004D3927" w:rsidP="00720D5C">
            <w:pPr>
              <w:pStyle w:val="Body"/>
              <w:spacing w:after="0"/>
              <w:jc w:val="center"/>
              <w:rPr>
                <w:rFonts w:ascii="Arial" w:hAnsi="Arial" w:cs="Arial"/>
              </w:rPr>
            </w:pPr>
          </w:p>
        </w:tc>
      </w:tr>
      <w:tr w:rsidR="004D3927" w:rsidRPr="002B579F" w14:paraId="3C21300E"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2B0D74D8"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South East</w:t>
            </w:r>
          </w:p>
        </w:tc>
        <w:tc>
          <w:tcPr>
            <w:tcW w:w="0" w:type="auto"/>
          </w:tcPr>
          <w:p w14:paraId="3E48444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1,502 (97.82)</w:t>
            </w:r>
          </w:p>
        </w:tc>
        <w:tc>
          <w:tcPr>
            <w:tcW w:w="1692" w:type="dxa"/>
          </w:tcPr>
          <w:p w14:paraId="756F5DE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36 (2.18)</w:t>
            </w:r>
          </w:p>
        </w:tc>
        <w:tc>
          <w:tcPr>
            <w:cnfStyle w:val="000100000000" w:firstRow="0" w:lastRow="0" w:firstColumn="0" w:lastColumn="1" w:oddVBand="0" w:evenVBand="0" w:oddHBand="0" w:evenHBand="0" w:firstRowFirstColumn="0" w:firstRowLastColumn="0" w:lastRowFirstColumn="0" w:lastRowLastColumn="0"/>
            <w:tcW w:w="2410" w:type="dxa"/>
          </w:tcPr>
          <w:p w14:paraId="4C7192FF"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1.40–3.38</w:t>
            </w:r>
          </w:p>
        </w:tc>
      </w:tr>
      <w:tr w:rsidR="004D3927" w:rsidRPr="002B579F" w14:paraId="436A5501"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603D66BF"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 xml:space="preserve">South </w:t>
            </w:r>
            <w:proofErr w:type="spellStart"/>
            <w:r w:rsidRPr="002B579F">
              <w:rPr>
                <w:rFonts w:ascii="Arial" w:hAnsi="Arial" w:cs="Arial"/>
                <w:b w:val="0"/>
                <w:bCs w:val="0"/>
              </w:rPr>
              <w:t>South</w:t>
            </w:r>
            <w:proofErr w:type="spellEnd"/>
          </w:p>
        </w:tc>
        <w:tc>
          <w:tcPr>
            <w:tcW w:w="0" w:type="auto"/>
          </w:tcPr>
          <w:p w14:paraId="2E9B892D"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704 (95.45)</w:t>
            </w:r>
          </w:p>
        </w:tc>
        <w:tc>
          <w:tcPr>
            <w:tcW w:w="1692" w:type="dxa"/>
          </w:tcPr>
          <w:p w14:paraId="1FEA4A6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40 (4.55)</w:t>
            </w:r>
          </w:p>
        </w:tc>
        <w:tc>
          <w:tcPr>
            <w:cnfStyle w:val="000100000000" w:firstRow="0" w:lastRow="0" w:firstColumn="0" w:lastColumn="1" w:oddVBand="0" w:evenVBand="0" w:oddHBand="0" w:evenHBand="0" w:firstRowFirstColumn="0" w:firstRowLastColumn="0" w:lastRowFirstColumn="0" w:lastRowLastColumn="0"/>
            <w:tcW w:w="2410" w:type="dxa"/>
          </w:tcPr>
          <w:p w14:paraId="7A344C91"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3.16–6.51</w:t>
            </w:r>
          </w:p>
        </w:tc>
      </w:tr>
      <w:tr w:rsidR="004D3927" w:rsidRPr="002B579F" w14:paraId="07CEC563" w14:textId="77777777" w:rsidTr="00720D5C">
        <w:trPr>
          <w:trHeight w:val="457"/>
        </w:trPr>
        <w:tc>
          <w:tcPr>
            <w:cnfStyle w:val="001000000000" w:firstRow="0" w:lastRow="0" w:firstColumn="1" w:lastColumn="0" w:oddVBand="0" w:evenVBand="0" w:oddHBand="0" w:evenHBand="0" w:firstRowFirstColumn="0" w:firstRowLastColumn="0" w:lastRowFirstColumn="0" w:lastRowLastColumn="0"/>
            <w:tcW w:w="0" w:type="auto"/>
          </w:tcPr>
          <w:p w14:paraId="614BEACB"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South West</w:t>
            </w:r>
          </w:p>
        </w:tc>
        <w:tc>
          <w:tcPr>
            <w:tcW w:w="0" w:type="auto"/>
          </w:tcPr>
          <w:p w14:paraId="387B4902"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479 (98.56)</w:t>
            </w:r>
          </w:p>
        </w:tc>
        <w:tc>
          <w:tcPr>
            <w:tcW w:w="1692" w:type="dxa"/>
          </w:tcPr>
          <w:p w14:paraId="6CACB4B4" w14:textId="77777777" w:rsidR="004D3927" w:rsidRPr="002B579F" w:rsidRDefault="004D3927" w:rsidP="00720D5C">
            <w:pPr>
              <w:pStyle w:val="Body"/>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8 (1.44)</w:t>
            </w:r>
          </w:p>
        </w:tc>
        <w:tc>
          <w:tcPr>
            <w:cnfStyle w:val="000100000000" w:firstRow="0" w:lastRow="0" w:firstColumn="0" w:lastColumn="1" w:oddVBand="0" w:evenVBand="0" w:oddHBand="0" w:evenHBand="0" w:firstRowFirstColumn="0" w:firstRowLastColumn="0" w:lastRowFirstColumn="0" w:lastRowLastColumn="0"/>
            <w:tcW w:w="2410" w:type="dxa"/>
          </w:tcPr>
          <w:p w14:paraId="389D5B92" w14:textId="77777777" w:rsidR="004D3927" w:rsidRPr="002B579F" w:rsidRDefault="004D3927" w:rsidP="00720D5C">
            <w:pPr>
              <w:pStyle w:val="Body"/>
              <w:spacing w:after="0"/>
              <w:jc w:val="center"/>
              <w:rPr>
                <w:rFonts w:ascii="Arial" w:hAnsi="Arial" w:cs="Arial"/>
                <w:b w:val="0"/>
                <w:bCs w:val="0"/>
              </w:rPr>
            </w:pPr>
            <w:r w:rsidRPr="002B579F">
              <w:rPr>
                <w:rFonts w:ascii="Arial" w:hAnsi="Arial" w:cs="Arial"/>
                <w:b w:val="0"/>
                <w:bCs w:val="0"/>
              </w:rPr>
              <w:t>0.71–2.90</w:t>
            </w:r>
          </w:p>
        </w:tc>
      </w:tr>
    </w:tbl>
    <w:p w14:paraId="2277162C" w14:textId="77777777" w:rsidR="004D3927" w:rsidRPr="002B579F" w:rsidRDefault="004D3927" w:rsidP="004D3927">
      <w:pPr>
        <w:pStyle w:val="Body"/>
        <w:rPr>
          <w:rFonts w:ascii="Arial" w:hAnsi="Arial" w:cs="Arial"/>
          <w:b/>
          <w:bCs/>
        </w:rPr>
      </w:pPr>
    </w:p>
    <w:p w14:paraId="4D9A5A18" w14:textId="77777777" w:rsidR="004D3927" w:rsidRPr="002B579F" w:rsidRDefault="00720D5C" w:rsidP="004D3927">
      <w:pPr>
        <w:pStyle w:val="Body"/>
        <w:spacing w:after="0"/>
        <w:rPr>
          <w:rFonts w:ascii="Arial" w:hAnsi="Arial" w:cs="Arial"/>
          <w:b/>
          <w:bCs/>
        </w:rPr>
      </w:pPr>
      <w:r w:rsidRPr="002B579F">
        <w:rPr>
          <w:rFonts w:ascii="Arial" w:hAnsi="Arial" w:cs="Arial"/>
          <w:b/>
          <w:bCs/>
        </w:rPr>
        <w:t xml:space="preserve">3.1.3 </w:t>
      </w:r>
      <w:r w:rsidR="004D3927" w:rsidRPr="002B579F">
        <w:rPr>
          <w:rFonts w:ascii="Arial" w:hAnsi="Arial" w:cs="Arial"/>
          <w:b/>
          <w:bCs/>
        </w:rPr>
        <w:t>Household Environmental Factors Associated with Child Acute Respiratory Infection in Rural Southern Nigeria</w:t>
      </w:r>
    </w:p>
    <w:p w14:paraId="357F28D4" w14:textId="77777777" w:rsidR="00720D5C" w:rsidRPr="002B579F" w:rsidRDefault="00720D5C" w:rsidP="004D3927">
      <w:pPr>
        <w:pStyle w:val="Body"/>
        <w:spacing w:after="0"/>
        <w:rPr>
          <w:rFonts w:ascii="Arial" w:hAnsi="Arial" w:cs="Arial"/>
          <w:b/>
          <w:bCs/>
        </w:rPr>
      </w:pPr>
    </w:p>
    <w:p w14:paraId="6A4E2C3F" w14:textId="77777777" w:rsidR="004D3927" w:rsidRPr="002B579F" w:rsidRDefault="004D3927" w:rsidP="004D3927">
      <w:pPr>
        <w:pStyle w:val="Body"/>
        <w:spacing w:after="0"/>
        <w:rPr>
          <w:rFonts w:ascii="Arial" w:hAnsi="Arial" w:cs="Arial"/>
        </w:rPr>
      </w:pPr>
      <w:r w:rsidRPr="002B579F">
        <w:rPr>
          <w:rFonts w:ascii="Arial" w:hAnsi="Arial" w:cs="Arial"/>
        </w:rPr>
        <w:t>Table 3 presents the factors associated with acute respiratory infection (ARI) among under-five children in rural Southern Nigeria using crude and adjusted logistic regression models. The results indicate that cooking fuel, drinking water source, roofing material and household size were significantly associated with ARI among under-five children in rural Southern Nigeria after adjustment. Children in households using solid cooking fuels (AOR = 4.67; p = 0.02) and those living in houses with non-durable roofing materials (AOR = 32.21; p &lt; 0.001) had higher odds of ARI. Conversely, children in households using unimproved or surface water sources (AOR = 0.07; p = 0.05) and those living in households with 5–8 members (AOR = 0.34; p = 0.04) had lower odds of ARI. Household size of nine or more members was not significantly associated with ARI. Child age and geopolitical zone were significantly associated with ARI in the crude analysis, but these associations were no longer statistically significant after adjustment. Similarly, sex of the child, maternal age, household wealth index and the number of under-five children in the household showed no statistically significant associations with ARI in the adjusted model.</w:t>
      </w:r>
    </w:p>
    <w:p w14:paraId="540467EB" w14:textId="77777777" w:rsidR="00720D5C" w:rsidRPr="002B579F" w:rsidRDefault="00720D5C" w:rsidP="004D3927">
      <w:pPr>
        <w:pStyle w:val="Body"/>
        <w:spacing w:after="0"/>
        <w:rPr>
          <w:rFonts w:ascii="Arial" w:hAnsi="Arial" w:cs="Arial"/>
        </w:rPr>
      </w:pPr>
    </w:p>
    <w:p w14:paraId="481385F3" w14:textId="77777777" w:rsidR="004D3927" w:rsidRPr="002B579F" w:rsidRDefault="004D3927" w:rsidP="004D3927">
      <w:pPr>
        <w:pStyle w:val="Body"/>
        <w:rPr>
          <w:rFonts w:ascii="Arial" w:hAnsi="Arial" w:cs="Arial"/>
        </w:rPr>
      </w:pPr>
      <w:r w:rsidRPr="002B579F">
        <w:rPr>
          <w:rFonts w:ascii="Arial" w:hAnsi="Arial" w:cs="Arial"/>
        </w:rPr>
        <w:t>Table 3. Household environmental factors associated with acute respiratory infection among under-five children in rural Southern Nigeria</w:t>
      </w:r>
    </w:p>
    <w:tbl>
      <w:tblPr>
        <w:tblStyle w:val="PlainTable2"/>
        <w:tblW w:w="0" w:type="auto"/>
        <w:tblLook w:val="07A0" w:firstRow="1" w:lastRow="0" w:firstColumn="1" w:lastColumn="1" w:noHBand="1" w:noVBand="1"/>
      </w:tblPr>
      <w:tblGrid>
        <w:gridCol w:w="2395"/>
        <w:gridCol w:w="3263"/>
        <w:gridCol w:w="661"/>
        <w:gridCol w:w="1019"/>
        <w:gridCol w:w="842"/>
        <w:gridCol w:w="717"/>
        <w:gridCol w:w="1019"/>
        <w:gridCol w:w="884"/>
      </w:tblGrid>
      <w:tr w:rsidR="004D3927" w:rsidRPr="002B579F" w14:paraId="2BD1E0D9" w14:textId="77777777" w:rsidTr="00720D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06A47A" w14:textId="77777777" w:rsidR="004D3927" w:rsidRPr="002B579F" w:rsidRDefault="004D3927" w:rsidP="004D3927">
            <w:pPr>
              <w:pStyle w:val="Body"/>
              <w:rPr>
                <w:rFonts w:ascii="Arial" w:hAnsi="Arial" w:cs="Arial"/>
              </w:rPr>
            </w:pPr>
            <w:r w:rsidRPr="002B579F">
              <w:rPr>
                <w:rFonts w:ascii="Arial" w:hAnsi="Arial" w:cs="Arial"/>
              </w:rPr>
              <w:t>Variable</w:t>
            </w:r>
          </w:p>
        </w:tc>
        <w:tc>
          <w:tcPr>
            <w:tcW w:w="0" w:type="auto"/>
          </w:tcPr>
          <w:p w14:paraId="09E0B710"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Category</w:t>
            </w:r>
          </w:p>
        </w:tc>
        <w:tc>
          <w:tcPr>
            <w:tcW w:w="0" w:type="auto"/>
          </w:tcPr>
          <w:p w14:paraId="0CDB9305"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COR</w:t>
            </w:r>
          </w:p>
        </w:tc>
        <w:tc>
          <w:tcPr>
            <w:tcW w:w="0" w:type="auto"/>
          </w:tcPr>
          <w:p w14:paraId="5EA3CEC0"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95% CI</w:t>
            </w:r>
          </w:p>
        </w:tc>
        <w:tc>
          <w:tcPr>
            <w:tcW w:w="0" w:type="auto"/>
          </w:tcPr>
          <w:p w14:paraId="4D3F94D5"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i/>
                <w:iCs/>
              </w:rPr>
              <w:t>p</w:t>
            </w:r>
            <w:r w:rsidRPr="002B579F">
              <w:rPr>
                <w:rFonts w:ascii="Arial" w:hAnsi="Arial" w:cs="Arial"/>
              </w:rPr>
              <w:t>-value</w:t>
            </w:r>
          </w:p>
        </w:tc>
        <w:tc>
          <w:tcPr>
            <w:tcW w:w="0" w:type="auto"/>
          </w:tcPr>
          <w:p w14:paraId="1B3D9D9A"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AOR</w:t>
            </w:r>
          </w:p>
        </w:tc>
        <w:tc>
          <w:tcPr>
            <w:tcW w:w="0" w:type="auto"/>
          </w:tcPr>
          <w:p w14:paraId="25D3D7D7" w14:textId="77777777" w:rsidR="004D3927" w:rsidRPr="002B579F" w:rsidRDefault="004D3927" w:rsidP="004D3927">
            <w:pPr>
              <w:pStyle w:val="Body"/>
              <w:cnfStyle w:val="100000000000" w:firstRow="1"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95% CI</w:t>
            </w:r>
          </w:p>
        </w:tc>
        <w:tc>
          <w:tcPr>
            <w:cnfStyle w:val="000100000000" w:firstRow="0" w:lastRow="0" w:firstColumn="0" w:lastColumn="1" w:oddVBand="0" w:evenVBand="0" w:oddHBand="0" w:evenHBand="0" w:firstRowFirstColumn="0" w:firstRowLastColumn="0" w:lastRowFirstColumn="0" w:lastRowLastColumn="0"/>
            <w:tcW w:w="0" w:type="auto"/>
          </w:tcPr>
          <w:p w14:paraId="4B0C241A" w14:textId="77777777" w:rsidR="004D3927" w:rsidRPr="002B579F" w:rsidRDefault="004D3927" w:rsidP="004D3927">
            <w:pPr>
              <w:pStyle w:val="Body"/>
              <w:rPr>
                <w:rFonts w:ascii="Arial" w:hAnsi="Arial" w:cs="Arial"/>
              </w:rPr>
            </w:pPr>
            <w:r w:rsidRPr="002B579F">
              <w:rPr>
                <w:rFonts w:ascii="Arial" w:hAnsi="Arial" w:cs="Arial"/>
                <w:i/>
                <w:iCs/>
              </w:rPr>
              <w:t>p</w:t>
            </w:r>
            <w:r w:rsidRPr="002B579F">
              <w:rPr>
                <w:rFonts w:ascii="Arial" w:hAnsi="Arial" w:cs="Arial"/>
              </w:rPr>
              <w:t>-value</w:t>
            </w:r>
          </w:p>
        </w:tc>
      </w:tr>
      <w:tr w:rsidR="004D3927" w:rsidRPr="002B579F" w14:paraId="4F50695E"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DABB1C9" w14:textId="77777777" w:rsidR="004D3927" w:rsidRPr="002B579F" w:rsidRDefault="004D3927" w:rsidP="004D3927">
            <w:pPr>
              <w:pStyle w:val="Body"/>
              <w:rPr>
                <w:rFonts w:ascii="Arial" w:hAnsi="Arial" w:cs="Arial"/>
              </w:rPr>
            </w:pPr>
            <w:r w:rsidRPr="002B579F">
              <w:rPr>
                <w:rFonts w:ascii="Arial" w:hAnsi="Arial" w:cs="Arial"/>
              </w:rPr>
              <w:t>Cooking fuel</w:t>
            </w:r>
          </w:p>
        </w:tc>
        <w:tc>
          <w:tcPr>
            <w:tcW w:w="0" w:type="auto"/>
          </w:tcPr>
          <w:p w14:paraId="2ED0346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Electricity/LPG/natural gas/biogas (Ref.)</w:t>
            </w:r>
          </w:p>
        </w:tc>
        <w:tc>
          <w:tcPr>
            <w:tcW w:w="0" w:type="auto"/>
          </w:tcPr>
          <w:p w14:paraId="047718B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67FC721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5AB179A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6594D65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19EF4C7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0C55B6BF"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5DCBC90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5AE72CE3" w14:textId="77777777" w:rsidR="004D3927" w:rsidRPr="002B579F" w:rsidRDefault="004D3927" w:rsidP="004D3927">
            <w:pPr>
              <w:pStyle w:val="Body"/>
              <w:rPr>
                <w:rFonts w:ascii="Arial" w:hAnsi="Arial" w:cs="Arial"/>
              </w:rPr>
            </w:pPr>
          </w:p>
        </w:tc>
        <w:tc>
          <w:tcPr>
            <w:tcW w:w="0" w:type="auto"/>
          </w:tcPr>
          <w:p w14:paraId="71B1F65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Coal/charcoal/wood/other solid fuel</w:t>
            </w:r>
          </w:p>
        </w:tc>
        <w:tc>
          <w:tcPr>
            <w:tcW w:w="0" w:type="auto"/>
          </w:tcPr>
          <w:p w14:paraId="5343C3A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2.26</w:t>
            </w:r>
          </w:p>
        </w:tc>
        <w:tc>
          <w:tcPr>
            <w:tcW w:w="0" w:type="auto"/>
          </w:tcPr>
          <w:p w14:paraId="69B53D3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0.86–5.97</w:t>
            </w:r>
          </w:p>
        </w:tc>
        <w:tc>
          <w:tcPr>
            <w:tcW w:w="0" w:type="auto"/>
          </w:tcPr>
          <w:p w14:paraId="68FA9AF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0.10</w:t>
            </w:r>
          </w:p>
        </w:tc>
        <w:tc>
          <w:tcPr>
            <w:tcW w:w="0" w:type="auto"/>
          </w:tcPr>
          <w:p w14:paraId="71178E6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4.67</w:t>
            </w:r>
          </w:p>
        </w:tc>
        <w:tc>
          <w:tcPr>
            <w:tcW w:w="0" w:type="auto"/>
          </w:tcPr>
          <w:p w14:paraId="2FBE163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1.36–16.07</w:t>
            </w:r>
          </w:p>
        </w:tc>
        <w:tc>
          <w:tcPr>
            <w:cnfStyle w:val="000100000000" w:firstRow="0" w:lastRow="0" w:firstColumn="0" w:lastColumn="1" w:oddVBand="0" w:evenVBand="0" w:oddHBand="0" w:evenHBand="0" w:firstRowFirstColumn="0" w:firstRowLastColumn="0" w:lastRowFirstColumn="0" w:lastRowLastColumn="0"/>
            <w:tcW w:w="0" w:type="auto"/>
          </w:tcPr>
          <w:p w14:paraId="2A6773A2"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02</w:t>
            </w:r>
          </w:p>
        </w:tc>
      </w:tr>
      <w:tr w:rsidR="004D3927" w:rsidRPr="002B579F" w14:paraId="71B28E65"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DEC97DD" w14:textId="77777777" w:rsidR="004D3927" w:rsidRPr="002B579F" w:rsidRDefault="004D3927" w:rsidP="004D3927">
            <w:pPr>
              <w:pStyle w:val="Body"/>
              <w:rPr>
                <w:rFonts w:ascii="Arial" w:hAnsi="Arial" w:cs="Arial"/>
              </w:rPr>
            </w:pPr>
            <w:r w:rsidRPr="002B579F">
              <w:rPr>
                <w:rFonts w:ascii="Arial" w:hAnsi="Arial" w:cs="Arial"/>
              </w:rPr>
              <w:t>Drinking water source</w:t>
            </w:r>
          </w:p>
        </w:tc>
        <w:tc>
          <w:tcPr>
            <w:tcW w:w="0" w:type="auto"/>
          </w:tcPr>
          <w:p w14:paraId="288AF69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Improved source (Ref.)</w:t>
            </w:r>
          </w:p>
        </w:tc>
        <w:tc>
          <w:tcPr>
            <w:tcW w:w="0" w:type="auto"/>
          </w:tcPr>
          <w:p w14:paraId="7621E71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0DAC974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31348B4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47D0391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1A2B5C2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0C7B4FD6"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76D43CD5"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A0DA7BC" w14:textId="77777777" w:rsidR="004D3927" w:rsidRPr="002B579F" w:rsidRDefault="004D3927" w:rsidP="004D3927">
            <w:pPr>
              <w:pStyle w:val="Body"/>
              <w:rPr>
                <w:rFonts w:ascii="Arial" w:hAnsi="Arial" w:cs="Arial"/>
              </w:rPr>
            </w:pPr>
          </w:p>
        </w:tc>
        <w:tc>
          <w:tcPr>
            <w:tcW w:w="0" w:type="auto"/>
          </w:tcPr>
          <w:p w14:paraId="28E8B8A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Unimproved/surface source</w:t>
            </w:r>
          </w:p>
        </w:tc>
        <w:tc>
          <w:tcPr>
            <w:tcW w:w="0" w:type="auto"/>
          </w:tcPr>
          <w:p w14:paraId="02FFD07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1.41</w:t>
            </w:r>
          </w:p>
        </w:tc>
        <w:tc>
          <w:tcPr>
            <w:tcW w:w="0" w:type="auto"/>
          </w:tcPr>
          <w:p w14:paraId="2AECD56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0.76–2.59</w:t>
            </w:r>
          </w:p>
        </w:tc>
        <w:tc>
          <w:tcPr>
            <w:tcW w:w="0" w:type="auto"/>
          </w:tcPr>
          <w:p w14:paraId="5AC45D9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0.27</w:t>
            </w:r>
          </w:p>
        </w:tc>
        <w:tc>
          <w:tcPr>
            <w:tcW w:w="0" w:type="auto"/>
          </w:tcPr>
          <w:p w14:paraId="3A46392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0.07</w:t>
            </w:r>
          </w:p>
        </w:tc>
        <w:tc>
          <w:tcPr>
            <w:tcW w:w="0" w:type="auto"/>
          </w:tcPr>
          <w:p w14:paraId="330C415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0.01–0.98</w:t>
            </w:r>
          </w:p>
        </w:tc>
        <w:tc>
          <w:tcPr>
            <w:cnfStyle w:val="000100000000" w:firstRow="0" w:lastRow="0" w:firstColumn="0" w:lastColumn="1" w:oddVBand="0" w:evenVBand="0" w:oddHBand="0" w:evenHBand="0" w:firstRowFirstColumn="0" w:firstRowLastColumn="0" w:lastRowFirstColumn="0" w:lastRowLastColumn="0"/>
            <w:tcW w:w="0" w:type="auto"/>
          </w:tcPr>
          <w:p w14:paraId="7833D08A" w14:textId="77777777" w:rsidR="004D3927" w:rsidRPr="002B579F" w:rsidRDefault="004D3927" w:rsidP="004D3927">
            <w:pPr>
              <w:pStyle w:val="Body"/>
              <w:rPr>
                <w:rFonts w:ascii="Arial" w:hAnsi="Arial" w:cs="Arial"/>
              </w:rPr>
            </w:pPr>
            <w:r w:rsidRPr="002B579F">
              <w:rPr>
                <w:rFonts w:ascii="Arial" w:hAnsi="Arial" w:cs="Arial"/>
                <w:b w:val="0"/>
                <w:bCs w:val="0"/>
              </w:rPr>
              <w:t>0.05</w:t>
            </w:r>
          </w:p>
        </w:tc>
      </w:tr>
      <w:tr w:rsidR="004D3927" w:rsidRPr="002B579F" w14:paraId="63366DF4"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72EBD93" w14:textId="77777777" w:rsidR="004D3927" w:rsidRPr="002B579F" w:rsidRDefault="004D3927" w:rsidP="004D3927">
            <w:pPr>
              <w:pStyle w:val="Body"/>
              <w:rPr>
                <w:rFonts w:ascii="Arial" w:hAnsi="Arial" w:cs="Arial"/>
              </w:rPr>
            </w:pPr>
            <w:r w:rsidRPr="002B579F">
              <w:rPr>
                <w:rFonts w:ascii="Arial" w:hAnsi="Arial" w:cs="Arial"/>
              </w:rPr>
              <w:t>Shared toilet</w:t>
            </w:r>
          </w:p>
        </w:tc>
        <w:tc>
          <w:tcPr>
            <w:tcW w:w="0" w:type="auto"/>
          </w:tcPr>
          <w:p w14:paraId="672B968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Not shared (Ref.)</w:t>
            </w:r>
          </w:p>
        </w:tc>
        <w:tc>
          <w:tcPr>
            <w:tcW w:w="0" w:type="auto"/>
          </w:tcPr>
          <w:p w14:paraId="0E3AA8F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7B71B39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5404C01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554915D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6FD7550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2E701A2"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24681058"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3A251C22" w14:textId="77777777" w:rsidR="004D3927" w:rsidRPr="002B579F" w:rsidRDefault="004D3927" w:rsidP="004D3927">
            <w:pPr>
              <w:pStyle w:val="Body"/>
              <w:rPr>
                <w:rFonts w:ascii="Arial" w:hAnsi="Arial" w:cs="Arial"/>
              </w:rPr>
            </w:pPr>
          </w:p>
        </w:tc>
        <w:tc>
          <w:tcPr>
            <w:tcW w:w="0" w:type="auto"/>
          </w:tcPr>
          <w:p w14:paraId="3CB50CC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Shared</w:t>
            </w:r>
          </w:p>
        </w:tc>
        <w:tc>
          <w:tcPr>
            <w:tcW w:w="0" w:type="auto"/>
          </w:tcPr>
          <w:p w14:paraId="08B92D7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431277B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0.43–2.31</w:t>
            </w:r>
          </w:p>
        </w:tc>
        <w:tc>
          <w:tcPr>
            <w:tcW w:w="0" w:type="auto"/>
          </w:tcPr>
          <w:p w14:paraId="36876B8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0.99</w:t>
            </w:r>
          </w:p>
        </w:tc>
        <w:tc>
          <w:tcPr>
            <w:tcW w:w="0" w:type="auto"/>
          </w:tcPr>
          <w:p w14:paraId="04347E1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0.67</w:t>
            </w:r>
          </w:p>
        </w:tc>
        <w:tc>
          <w:tcPr>
            <w:tcW w:w="0" w:type="auto"/>
          </w:tcPr>
          <w:p w14:paraId="6CD6421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0.24–1.81</w:t>
            </w:r>
          </w:p>
        </w:tc>
        <w:tc>
          <w:tcPr>
            <w:cnfStyle w:val="000100000000" w:firstRow="0" w:lastRow="0" w:firstColumn="0" w:lastColumn="1" w:oddVBand="0" w:evenVBand="0" w:oddHBand="0" w:evenHBand="0" w:firstRowFirstColumn="0" w:firstRowLastColumn="0" w:lastRowFirstColumn="0" w:lastRowLastColumn="0"/>
            <w:tcW w:w="0" w:type="auto"/>
          </w:tcPr>
          <w:p w14:paraId="72B1A732" w14:textId="77777777" w:rsidR="004D3927" w:rsidRPr="002B579F" w:rsidRDefault="004D3927" w:rsidP="004D3927">
            <w:pPr>
              <w:pStyle w:val="Body"/>
              <w:rPr>
                <w:rFonts w:ascii="Arial" w:hAnsi="Arial" w:cs="Arial"/>
              </w:rPr>
            </w:pPr>
            <w:r w:rsidRPr="002B579F">
              <w:rPr>
                <w:rFonts w:ascii="Arial" w:hAnsi="Arial" w:cs="Arial"/>
                <w:b w:val="0"/>
                <w:bCs w:val="0"/>
              </w:rPr>
              <w:t>0.42</w:t>
            </w:r>
          </w:p>
        </w:tc>
      </w:tr>
      <w:tr w:rsidR="004D3927" w:rsidRPr="002B579F" w14:paraId="58AF5674"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747B817" w14:textId="77777777" w:rsidR="004D3927" w:rsidRPr="002B579F" w:rsidRDefault="004D3927" w:rsidP="004D3927">
            <w:pPr>
              <w:pStyle w:val="Body"/>
              <w:rPr>
                <w:rFonts w:ascii="Arial" w:hAnsi="Arial" w:cs="Arial"/>
              </w:rPr>
            </w:pPr>
            <w:r w:rsidRPr="002B579F">
              <w:rPr>
                <w:rFonts w:ascii="Arial" w:hAnsi="Arial" w:cs="Arial"/>
              </w:rPr>
              <w:t>Electricity</w:t>
            </w:r>
          </w:p>
        </w:tc>
        <w:tc>
          <w:tcPr>
            <w:tcW w:w="0" w:type="auto"/>
          </w:tcPr>
          <w:p w14:paraId="256E261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No (Ref.)</w:t>
            </w:r>
          </w:p>
        </w:tc>
        <w:tc>
          <w:tcPr>
            <w:tcW w:w="0" w:type="auto"/>
          </w:tcPr>
          <w:p w14:paraId="0DB7409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4A36396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1D44D5A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74C501B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44E0B7F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7BFDF510"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71144828"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599492DB" w14:textId="77777777" w:rsidR="004D3927" w:rsidRPr="002B579F" w:rsidRDefault="004D3927" w:rsidP="004D3927">
            <w:pPr>
              <w:pStyle w:val="Body"/>
              <w:rPr>
                <w:rFonts w:ascii="Arial" w:hAnsi="Arial" w:cs="Arial"/>
              </w:rPr>
            </w:pPr>
          </w:p>
        </w:tc>
        <w:tc>
          <w:tcPr>
            <w:tcW w:w="0" w:type="auto"/>
          </w:tcPr>
          <w:p w14:paraId="33D2B8E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Yes</w:t>
            </w:r>
          </w:p>
        </w:tc>
        <w:tc>
          <w:tcPr>
            <w:tcW w:w="0" w:type="auto"/>
          </w:tcPr>
          <w:p w14:paraId="360CF5A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0.75</w:t>
            </w:r>
          </w:p>
        </w:tc>
        <w:tc>
          <w:tcPr>
            <w:tcW w:w="0" w:type="auto"/>
          </w:tcPr>
          <w:p w14:paraId="2A38B8D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0.41–1.38</w:t>
            </w:r>
          </w:p>
        </w:tc>
        <w:tc>
          <w:tcPr>
            <w:tcW w:w="0" w:type="auto"/>
          </w:tcPr>
          <w:p w14:paraId="5D17301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0.35</w:t>
            </w:r>
          </w:p>
        </w:tc>
        <w:tc>
          <w:tcPr>
            <w:tcW w:w="0" w:type="auto"/>
          </w:tcPr>
          <w:p w14:paraId="5D9DFB5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0.56</w:t>
            </w:r>
          </w:p>
        </w:tc>
        <w:tc>
          <w:tcPr>
            <w:tcW w:w="0" w:type="auto"/>
          </w:tcPr>
          <w:p w14:paraId="10BF150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0.19–1.66</w:t>
            </w:r>
          </w:p>
        </w:tc>
        <w:tc>
          <w:tcPr>
            <w:cnfStyle w:val="000100000000" w:firstRow="0" w:lastRow="0" w:firstColumn="0" w:lastColumn="1" w:oddVBand="0" w:evenVBand="0" w:oddHBand="0" w:evenHBand="0" w:firstRowFirstColumn="0" w:firstRowLastColumn="0" w:lastRowFirstColumn="0" w:lastRowLastColumn="0"/>
            <w:tcW w:w="0" w:type="auto"/>
          </w:tcPr>
          <w:p w14:paraId="0D96E678"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30</w:t>
            </w:r>
          </w:p>
        </w:tc>
      </w:tr>
      <w:tr w:rsidR="004D3927" w:rsidRPr="002B579F" w14:paraId="305E1DEA"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32211A12" w14:textId="77777777" w:rsidR="004D3927" w:rsidRPr="002B579F" w:rsidRDefault="004D3927" w:rsidP="004D3927">
            <w:pPr>
              <w:pStyle w:val="Body"/>
              <w:rPr>
                <w:rFonts w:ascii="Arial" w:hAnsi="Arial" w:cs="Arial"/>
              </w:rPr>
            </w:pPr>
            <w:r w:rsidRPr="002B579F">
              <w:rPr>
                <w:rFonts w:ascii="Arial" w:hAnsi="Arial" w:cs="Arial"/>
              </w:rPr>
              <w:t>Roofing material</w:t>
            </w:r>
          </w:p>
        </w:tc>
        <w:tc>
          <w:tcPr>
            <w:tcW w:w="0" w:type="auto"/>
          </w:tcPr>
          <w:p w14:paraId="3AF201F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Durable roofing material (Ref.)</w:t>
            </w:r>
          </w:p>
        </w:tc>
        <w:tc>
          <w:tcPr>
            <w:tcW w:w="0" w:type="auto"/>
          </w:tcPr>
          <w:p w14:paraId="71429AB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2335BEC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5FE5054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7009447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2E94A63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7B9076A"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354A503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5AE5A86" w14:textId="77777777" w:rsidR="004D3927" w:rsidRPr="002B579F" w:rsidRDefault="004D3927" w:rsidP="004D3927">
            <w:pPr>
              <w:pStyle w:val="Body"/>
              <w:rPr>
                <w:rFonts w:ascii="Arial" w:hAnsi="Arial" w:cs="Arial"/>
              </w:rPr>
            </w:pPr>
          </w:p>
        </w:tc>
        <w:tc>
          <w:tcPr>
            <w:tcW w:w="0" w:type="auto"/>
          </w:tcPr>
          <w:p w14:paraId="2CD3893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Non-durable roofing material</w:t>
            </w:r>
          </w:p>
        </w:tc>
        <w:tc>
          <w:tcPr>
            <w:tcW w:w="0" w:type="auto"/>
          </w:tcPr>
          <w:p w14:paraId="4A43E83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1.09</w:t>
            </w:r>
          </w:p>
        </w:tc>
        <w:tc>
          <w:tcPr>
            <w:tcW w:w="0" w:type="auto"/>
          </w:tcPr>
          <w:p w14:paraId="2A30224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0.19–6.12</w:t>
            </w:r>
          </w:p>
        </w:tc>
        <w:tc>
          <w:tcPr>
            <w:tcW w:w="0" w:type="auto"/>
          </w:tcPr>
          <w:p w14:paraId="13A0D72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0.92</w:t>
            </w:r>
          </w:p>
        </w:tc>
        <w:tc>
          <w:tcPr>
            <w:tcW w:w="0" w:type="auto"/>
          </w:tcPr>
          <w:p w14:paraId="1C6A3A8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32.21</w:t>
            </w:r>
          </w:p>
        </w:tc>
        <w:tc>
          <w:tcPr>
            <w:tcW w:w="0" w:type="auto"/>
          </w:tcPr>
          <w:p w14:paraId="3253F43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5.51–68.39</w:t>
            </w:r>
          </w:p>
        </w:tc>
        <w:tc>
          <w:tcPr>
            <w:cnfStyle w:val="000100000000" w:firstRow="0" w:lastRow="0" w:firstColumn="0" w:lastColumn="1" w:oddVBand="0" w:evenVBand="0" w:oddHBand="0" w:evenHBand="0" w:firstRowFirstColumn="0" w:firstRowLastColumn="0" w:lastRowFirstColumn="0" w:lastRowLastColumn="0"/>
            <w:tcW w:w="0" w:type="auto"/>
          </w:tcPr>
          <w:p w14:paraId="59CD5532" w14:textId="77777777" w:rsidR="004D3927" w:rsidRPr="002B579F" w:rsidRDefault="004D3927" w:rsidP="004D3927">
            <w:pPr>
              <w:pStyle w:val="Body"/>
              <w:rPr>
                <w:rFonts w:ascii="Arial" w:hAnsi="Arial" w:cs="Arial"/>
              </w:rPr>
            </w:pPr>
            <w:r w:rsidRPr="002B579F">
              <w:rPr>
                <w:rFonts w:ascii="Arial" w:hAnsi="Arial" w:cs="Arial"/>
                <w:b w:val="0"/>
                <w:bCs w:val="0"/>
              </w:rPr>
              <w:t>&lt;0</w:t>
            </w:r>
            <w:r w:rsidRPr="002B579F">
              <w:rPr>
                <w:rFonts w:ascii="Arial" w:hAnsi="Arial" w:cs="Arial"/>
              </w:rPr>
              <w:t>.</w:t>
            </w:r>
            <w:r w:rsidRPr="002B579F">
              <w:rPr>
                <w:rFonts w:ascii="Arial" w:hAnsi="Arial" w:cs="Arial"/>
                <w:b w:val="0"/>
                <w:bCs w:val="0"/>
              </w:rPr>
              <w:t>001</w:t>
            </w:r>
          </w:p>
        </w:tc>
      </w:tr>
      <w:tr w:rsidR="004D3927" w:rsidRPr="002B579F" w14:paraId="193E1DB3"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7EF4C4F1" w14:textId="77777777" w:rsidR="004D3927" w:rsidRPr="002B579F" w:rsidRDefault="004D3927" w:rsidP="004D3927">
            <w:pPr>
              <w:pStyle w:val="Body"/>
              <w:rPr>
                <w:rFonts w:ascii="Arial" w:hAnsi="Arial" w:cs="Arial"/>
              </w:rPr>
            </w:pPr>
            <w:r w:rsidRPr="002B579F">
              <w:rPr>
                <w:rFonts w:ascii="Arial" w:hAnsi="Arial" w:cs="Arial"/>
              </w:rPr>
              <w:t>Household size</w:t>
            </w:r>
          </w:p>
        </w:tc>
        <w:tc>
          <w:tcPr>
            <w:tcW w:w="0" w:type="auto"/>
          </w:tcPr>
          <w:p w14:paraId="0F3445C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1–4 members (Ref.)</w:t>
            </w:r>
          </w:p>
        </w:tc>
        <w:tc>
          <w:tcPr>
            <w:tcW w:w="0" w:type="auto"/>
          </w:tcPr>
          <w:p w14:paraId="63653F8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E43EBC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4EB8E5D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2655696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5BA670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4B0EFE49"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3A02BE3F"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7F061412" w14:textId="77777777" w:rsidR="004D3927" w:rsidRPr="002B579F" w:rsidRDefault="004D3927" w:rsidP="004D3927">
            <w:pPr>
              <w:pStyle w:val="Body"/>
              <w:rPr>
                <w:rFonts w:ascii="Arial" w:hAnsi="Arial" w:cs="Arial"/>
              </w:rPr>
            </w:pPr>
          </w:p>
        </w:tc>
        <w:tc>
          <w:tcPr>
            <w:tcW w:w="0" w:type="auto"/>
          </w:tcPr>
          <w:p w14:paraId="273CF1A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5–8 members</w:t>
            </w:r>
          </w:p>
        </w:tc>
        <w:tc>
          <w:tcPr>
            <w:tcW w:w="0" w:type="auto"/>
          </w:tcPr>
          <w:p w14:paraId="680F319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0.79</w:t>
            </w:r>
          </w:p>
        </w:tc>
        <w:tc>
          <w:tcPr>
            <w:tcW w:w="0" w:type="auto"/>
          </w:tcPr>
          <w:p w14:paraId="29ED4D5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0.45–1.36</w:t>
            </w:r>
          </w:p>
        </w:tc>
        <w:tc>
          <w:tcPr>
            <w:tcW w:w="0" w:type="auto"/>
          </w:tcPr>
          <w:p w14:paraId="0FBD996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0.39</w:t>
            </w:r>
          </w:p>
        </w:tc>
        <w:tc>
          <w:tcPr>
            <w:tcW w:w="0" w:type="auto"/>
          </w:tcPr>
          <w:p w14:paraId="77B34CE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0.34</w:t>
            </w:r>
          </w:p>
        </w:tc>
        <w:tc>
          <w:tcPr>
            <w:tcW w:w="0" w:type="auto"/>
          </w:tcPr>
          <w:p w14:paraId="349AFCA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0.12–0.96</w:t>
            </w:r>
          </w:p>
        </w:tc>
        <w:tc>
          <w:tcPr>
            <w:cnfStyle w:val="000100000000" w:firstRow="0" w:lastRow="0" w:firstColumn="0" w:lastColumn="1" w:oddVBand="0" w:evenVBand="0" w:oddHBand="0" w:evenHBand="0" w:firstRowFirstColumn="0" w:firstRowLastColumn="0" w:lastRowFirstColumn="0" w:lastRowLastColumn="0"/>
            <w:tcW w:w="0" w:type="auto"/>
          </w:tcPr>
          <w:p w14:paraId="38DAB948"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04</w:t>
            </w:r>
          </w:p>
        </w:tc>
      </w:tr>
      <w:tr w:rsidR="004D3927" w:rsidRPr="002B579F" w14:paraId="7BA0256D"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6494E7B" w14:textId="77777777" w:rsidR="004D3927" w:rsidRPr="002B579F" w:rsidRDefault="004D3927" w:rsidP="004D3927">
            <w:pPr>
              <w:pStyle w:val="Body"/>
              <w:rPr>
                <w:rFonts w:ascii="Arial" w:hAnsi="Arial" w:cs="Arial"/>
              </w:rPr>
            </w:pPr>
          </w:p>
        </w:tc>
        <w:tc>
          <w:tcPr>
            <w:tcW w:w="0" w:type="auto"/>
          </w:tcPr>
          <w:p w14:paraId="1554852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≥9 members</w:t>
            </w:r>
          </w:p>
        </w:tc>
        <w:tc>
          <w:tcPr>
            <w:tcW w:w="0" w:type="auto"/>
          </w:tcPr>
          <w:p w14:paraId="6683D83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0.53</w:t>
            </w:r>
          </w:p>
        </w:tc>
        <w:tc>
          <w:tcPr>
            <w:tcW w:w="0" w:type="auto"/>
          </w:tcPr>
          <w:p w14:paraId="6B09B92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0.20–1.39</w:t>
            </w:r>
          </w:p>
        </w:tc>
        <w:tc>
          <w:tcPr>
            <w:tcW w:w="0" w:type="auto"/>
          </w:tcPr>
          <w:p w14:paraId="6F10CF7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0.19</w:t>
            </w:r>
          </w:p>
        </w:tc>
        <w:tc>
          <w:tcPr>
            <w:tcW w:w="0" w:type="auto"/>
          </w:tcPr>
          <w:p w14:paraId="72F4721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0.16</w:t>
            </w:r>
          </w:p>
        </w:tc>
        <w:tc>
          <w:tcPr>
            <w:tcW w:w="0" w:type="auto"/>
          </w:tcPr>
          <w:p w14:paraId="26C965B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0.01–1.85</w:t>
            </w:r>
          </w:p>
        </w:tc>
        <w:tc>
          <w:tcPr>
            <w:cnfStyle w:val="000100000000" w:firstRow="0" w:lastRow="0" w:firstColumn="0" w:lastColumn="1" w:oddVBand="0" w:evenVBand="0" w:oddHBand="0" w:evenHBand="0" w:firstRowFirstColumn="0" w:firstRowLastColumn="0" w:lastRowFirstColumn="0" w:lastRowLastColumn="0"/>
            <w:tcW w:w="0" w:type="auto"/>
          </w:tcPr>
          <w:p w14:paraId="175038CF"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14</w:t>
            </w:r>
          </w:p>
        </w:tc>
      </w:tr>
      <w:tr w:rsidR="004D3927" w:rsidRPr="002B579F" w14:paraId="598687CD"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9C8CAB2" w14:textId="77777777" w:rsidR="004D3927" w:rsidRPr="002B579F" w:rsidRDefault="004D3927" w:rsidP="004D3927">
            <w:pPr>
              <w:pStyle w:val="Body"/>
              <w:rPr>
                <w:rFonts w:ascii="Arial" w:hAnsi="Arial" w:cs="Arial"/>
              </w:rPr>
            </w:pPr>
            <w:r w:rsidRPr="002B579F">
              <w:rPr>
                <w:rFonts w:ascii="Arial" w:hAnsi="Arial" w:cs="Arial"/>
              </w:rPr>
              <w:t>Number of under-five children</w:t>
            </w:r>
          </w:p>
        </w:tc>
        <w:tc>
          <w:tcPr>
            <w:tcW w:w="0" w:type="auto"/>
          </w:tcPr>
          <w:p w14:paraId="3714F17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 child (Ref.)</w:t>
            </w:r>
          </w:p>
        </w:tc>
        <w:tc>
          <w:tcPr>
            <w:tcW w:w="0" w:type="auto"/>
          </w:tcPr>
          <w:p w14:paraId="39815F0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326FA0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7953267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05F6FB4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6F134D4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2887F3F"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61304DF0"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9149D3D" w14:textId="77777777" w:rsidR="004D3927" w:rsidRPr="002B579F" w:rsidRDefault="004D3927" w:rsidP="004D3927">
            <w:pPr>
              <w:pStyle w:val="Body"/>
              <w:rPr>
                <w:rFonts w:ascii="Arial" w:hAnsi="Arial" w:cs="Arial"/>
              </w:rPr>
            </w:pPr>
          </w:p>
        </w:tc>
        <w:tc>
          <w:tcPr>
            <w:tcW w:w="0" w:type="auto"/>
          </w:tcPr>
          <w:p w14:paraId="46E0F7D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 children</w:t>
            </w:r>
          </w:p>
        </w:tc>
        <w:tc>
          <w:tcPr>
            <w:tcW w:w="0" w:type="auto"/>
          </w:tcPr>
          <w:p w14:paraId="3F91B6C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0.85</w:t>
            </w:r>
          </w:p>
        </w:tc>
        <w:tc>
          <w:tcPr>
            <w:tcW w:w="0" w:type="auto"/>
          </w:tcPr>
          <w:p w14:paraId="541E7DF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0.51–1.44</w:t>
            </w:r>
          </w:p>
        </w:tc>
        <w:tc>
          <w:tcPr>
            <w:tcW w:w="0" w:type="auto"/>
          </w:tcPr>
          <w:p w14:paraId="30D315A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0.55</w:t>
            </w:r>
          </w:p>
        </w:tc>
        <w:tc>
          <w:tcPr>
            <w:tcW w:w="0" w:type="auto"/>
          </w:tcPr>
          <w:p w14:paraId="2CF2152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0.87</w:t>
            </w:r>
          </w:p>
        </w:tc>
        <w:tc>
          <w:tcPr>
            <w:tcW w:w="0" w:type="auto"/>
          </w:tcPr>
          <w:p w14:paraId="5E22A4E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0.35–2.16</w:t>
            </w:r>
          </w:p>
        </w:tc>
        <w:tc>
          <w:tcPr>
            <w:cnfStyle w:val="000100000000" w:firstRow="0" w:lastRow="0" w:firstColumn="0" w:lastColumn="1" w:oddVBand="0" w:evenVBand="0" w:oddHBand="0" w:evenHBand="0" w:firstRowFirstColumn="0" w:firstRowLastColumn="0" w:lastRowFirstColumn="0" w:lastRowLastColumn="0"/>
            <w:tcW w:w="0" w:type="auto"/>
          </w:tcPr>
          <w:p w14:paraId="721D180B" w14:textId="77777777" w:rsidR="004D3927" w:rsidRPr="002B579F" w:rsidRDefault="004D3927" w:rsidP="004D3927">
            <w:pPr>
              <w:pStyle w:val="Body"/>
              <w:rPr>
                <w:rFonts w:ascii="Arial" w:hAnsi="Arial" w:cs="Arial"/>
              </w:rPr>
            </w:pPr>
            <w:r w:rsidRPr="002B579F">
              <w:rPr>
                <w:rFonts w:ascii="Arial" w:hAnsi="Arial" w:cs="Arial"/>
                <w:b w:val="0"/>
                <w:bCs w:val="0"/>
              </w:rPr>
              <w:t>0.77</w:t>
            </w:r>
          </w:p>
        </w:tc>
      </w:tr>
      <w:tr w:rsidR="004D3927" w:rsidRPr="002B579F" w14:paraId="36D16437"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52AD86A" w14:textId="77777777" w:rsidR="004D3927" w:rsidRPr="002B579F" w:rsidRDefault="004D3927" w:rsidP="004D3927">
            <w:pPr>
              <w:pStyle w:val="Body"/>
              <w:rPr>
                <w:rFonts w:ascii="Arial" w:hAnsi="Arial" w:cs="Arial"/>
              </w:rPr>
            </w:pPr>
          </w:p>
        </w:tc>
        <w:tc>
          <w:tcPr>
            <w:tcW w:w="0" w:type="auto"/>
          </w:tcPr>
          <w:p w14:paraId="27BD276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 children</w:t>
            </w:r>
          </w:p>
        </w:tc>
        <w:tc>
          <w:tcPr>
            <w:tcW w:w="0" w:type="auto"/>
          </w:tcPr>
          <w:p w14:paraId="1E9CC26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0.69</w:t>
            </w:r>
          </w:p>
        </w:tc>
        <w:tc>
          <w:tcPr>
            <w:tcW w:w="0" w:type="auto"/>
          </w:tcPr>
          <w:p w14:paraId="7ED9CCA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0.32–1.53</w:t>
            </w:r>
          </w:p>
        </w:tc>
        <w:tc>
          <w:tcPr>
            <w:tcW w:w="0" w:type="auto"/>
          </w:tcPr>
          <w:p w14:paraId="048D964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0.36</w:t>
            </w:r>
          </w:p>
        </w:tc>
        <w:tc>
          <w:tcPr>
            <w:tcW w:w="0" w:type="auto"/>
          </w:tcPr>
          <w:p w14:paraId="46CA4F9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0.39</w:t>
            </w:r>
          </w:p>
        </w:tc>
        <w:tc>
          <w:tcPr>
            <w:tcW w:w="0" w:type="auto"/>
          </w:tcPr>
          <w:p w14:paraId="5A5C707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0.09–1.68</w:t>
            </w:r>
          </w:p>
        </w:tc>
        <w:tc>
          <w:tcPr>
            <w:cnfStyle w:val="000100000000" w:firstRow="0" w:lastRow="0" w:firstColumn="0" w:lastColumn="1" w:oddVBand="0" w:evenVBand="0" w:oddHBand="0" w:evenHBand="0" w:firstRowFirstColumn="0" w:firstRowLastColumn="0" w:lastRowFirstColumn="0" w:lastRowLastColumn="0"/>
            <w:tcW w:w="0" w:type="auto"/>
          </w:tcPr>
          <w:p w14:paraId="2753041C" w14:textId="77777777" w:rsidR="004D3927" w:rsidRPr="002B579F" w:rsidRDefault="004D3927" w:rsidP="004D3927">
            <w:pPr>
              <w:pStyle w:val="Body"/>
              <w:rPr>
                <w:rFonts w:ascii="Arial" w:hAnsi="Arial" w:cs="Arial"/>
              </w:rPr>
            </w:pPr>
            <w:r w:rsidRPr="002B579F">
              <w:rPr>
                <w:rFonts w:ascii="Arial" w:hAnsi="Arial" w:cs="Arial"/>
                <w:b w:val="0"/>
                <w:bCs w:val="0"/>
              </w:rPr>
              <w:t>0.20</w:t>
            </w:r>
          </w:p>
        </w:tc>
      </w:tr>
      <w:tr w:rsidR="004D3927" w:rsidRPr="002B579F" w14:paraId="0C4349C4"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19FE54BF" w14:textId="77777777" w:rsidR="004D3927" w:rsidRPr="002B579F" w:rsidRDefault="004D3927" w:rsidP="004D3927">
            <w:pPr>
              <w:pStyle w:val="Body"/>
              <w:rPr>
                <w:rFonts w:ascii="Arial" w:hAnsi="Arial" w:cs="Arial"/>
              </w:rPr>
            </w:pPr>
            <w:r w:rsidRPr="002B579F">
              <w:rPr>
                <w:rFonts w:ascii="Arial" w:hAnsi="Arial" w:cs="Arial"/>
              </w:rPr>
              <w:t>Child age (months)</w:t>
            </w:r>
          </w:p>
        </w:tc>
        <w:tc>
          <w:tcPr>
            <w:tcW w:w="0" w:type="auto"/>
          </w:tcPr>
          <w:p w14:paraId="4D05D0C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0–11 (Ref.)</w:t>
            </w:r>
          </w:p>
        </w:tc>
        <w:tc>
          <w:tcPr>
            <w:tcW w:w="0" w:type="auto"/>
          </w:tcPr>
          <w:p w14:paraId="7327D86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5AA6E84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5028B57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44C77F3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469002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B38C751"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5CF8F763"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C71A7CB" w14:textId="77777777" w:rsidR="004D3927" w:rsidRPr="002B579F" w:rsidRDefault="004D3927" w:rsidP="004D3927">
            <w:pPr>
              <w:pStyle w:val="Body"/>
              <w:rPr>
                <w:rFonts w:ascii="Arial" w:hAnsi="Arial" w:cs="Arial"/>
              </w:rPr>
            </w:pPr>
          </w:p>
        </w:tc>
        <w:tc>
          <w:tcPr>
            <w:tcW w:w="0" w:type="auto"/>
          </w:tcPr>
          <w:p w14:paraId="7F3EC41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12–23</w:t>
            </w:r>
          </w:p>
        </w:tc>
        <w:tc>
          <w:tcPr>
            <w:tcW w:w="0" w:type="auto"/>
          </w:tcPr>
          <w:p w14:paraId="25F508F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0.83</w:t>
            </w:r>
          </w:p>
        </w:tc>
        <w:tc>
          <w:tcPr>
            <w:tcW w:w="0" w:type="auto"/>
          </w:tcPr>
          <w:p w14:paraId="44667D9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0.45–1.55</w:t>
            </w:r>
          </w:p>
        </w:tc>
        <w:tc>
          <w:tcPr>
            <w:tcW w:w="0" w:type="auto"/>
          </w:tcPr>
          <w:p w14:paraId="2AED061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0.56</w:t>
            </w:r>
          </w:p>
        </w:tc>
        <w:tc>
          <w:tcPr>
            <w:tcW w:w="0" w:type="auto"/>
          </w:tcPr>
          <w:p w14:paraId="620F59F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0.99</w:t>
            </w:r>
          </w:p>
        </w:tc>
        <w:tc>
          <w:tcPr>
            <w:tcW w:w="0" w:type="auto"/>
          </w:tcPr>
          <w:p w14:paraId="01FB997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0.28–3.54</w:t>
            </w:r>
          </w:p>
        </w:tc>
        <w:tc>
          <w:tcPr>
            <w:cnfStyle w:val="000100000000" w:firstRow="0" w:lastRow="0" w:firstColumn="0" w:lastColumn="1" w:oddVBand="0" w:evenVBand="0" w:oddHBand="0" w:evenHBand="0" w:firstRowFirstColumn="0" w:firstRowLastColumn="0" w:lastRowFirstColumn="0" w:lastRowLastColumn="0"/>
            <w:tcW w:w="0" w:type="auto"/>
          </w:tcPr>
          <w:p w14:paraId="2C3A8B26"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99</w:t>
            </w:r>
          </w:p>
        </w:tc>
      </w:tr>
      <w:tr w:rsidR="004D3927" w:rsidRPr="002B579F" w14:paraId="57A0CCFE"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563785DA" w14:textId="77777777" w:rsidR="004D3927" w:rsidRPr="002B579F" w:rsidRDefault="004D3927" w:rsidP="004D3927">
            <w:pPr>
              <w:pStyle w:val="Body"/>
              <w:rPr>
                <w:rFonts w:ascii="Arial" w:hAnsi="Arial" w:cs="Arial"/>
              </w:rPr>
            </w:pPr>
          </w:p>
        </w:tc>
        <w:tc>
          <w:tcPr>
            <w:tcW w:w="0" w:type="auto"/>
          </w:tcPr>
          <w:p w14:paraId="2B16E3D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24–35</w:t>
            </w:r>
          </w:p>
        </w:tc>
        <w:tc>
          <w:tcPr>
            <w:tcW w:w="0" w:type="auto"/>
          </w:tcPr>
          <w:p w14:paraId="282ED12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0.46</w:t>
            </w:r>
          </w:p>
        </w:tc>
        <w:tc>
          <w:tcPr>
            <w:tcW w:w="0" w:type="auto"/>
          </w:tcPr>
          <w:p w14:paraId="271A5AD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0.23–0.92</w:t>
            </w:r>
          </w:p>
        </w:tc>
        <w:tc>
          <w:tcPr>
            <w:tcW w:w="0" w:type="auto"/>
          </w:tcPr>
          <w:p w14:paraId="391B171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0.03</w:t>
            </w:r>
          </w:p>
        </w:tc>
        <w:tc>
          <w:tcPr>
            <w:tcW w:w="0" w:type="auto"/>
          </w:tcPr>
          <w:p w14:paraId="5F5176F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0.39</w:t>
            </w:r>
          </w:p>
        </w:tc>
        <w:tc>
          <w:tcPr>
            <w:tcW w:w="0" w:type="auto"/>
          </w:tcPr>
          <w:p w14:paraId="534CCE1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0.14–1.10</w:t>
            </w:r>
          </w:p>
        </w:tc>
        <w:tc>
          <w:tcPr>
            <w:cnfStyle w:val="000100000000" w:firstRow="0" w:lastRow="0" w:firstColumn="0" w:lastColumn="1" w:oddVBand="0" w:evenVBand="0" w:oddHBand="0" w:evenHBand="0" w:firstRowFirstColumn="0" w:firstRowLastColumn="0" w:lastRowFirstColumn="0" w:lastRowLastColumn="0"/>
            <w:tcW w:w="0" w:type="auto"/>
          </w:tcPr>
          <w:p w14:paraId="448C5B8B"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08</w:t>
            </w:r>
          </w:p>
        </w:tc>
      </w:tr>
      <w:tr w:rsidR="004D3927" w:rsidRPr="002B579F" w14:paraId="77A9C707"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EE522E2" w14:textId="77777777" w:rsidR="004D3927" w:rsidRPr="002B579F" w:rsidRDefault="004D3927" w:rsidP="004D3927">
            <w:pPr>
              <w:pStyle w:val="Body"/>
              <w:rPr>
                <w:rFonts w:ascii="Arial" w:hAnsi="Arial" w:cs="Arial"/>
              </w:rPr>
            </w:pPr>
          </w:p>
        </w:tc>
        <w:tc>
          <w:tcPr>
            <w:tcW w:w="0" w:type="auto"/>
          </w:tcPr>
          <w:p w14:paraId="4778268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36–47</w:t>
            </w:r>
          </w:p>
        </w:tc>
        <w:tc>
          <w:tcPr>
            <w:tcW w:w="0" w:type="auto"/>
          </w:tcPr>
          <w:p w14:paraId="676B98A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0.31</w:t>
            </w:r>
          </w:p>
        </w:tc>
        <w:tc>
          <w:tcPr>
            <w:tcW w:w="0" w:type="auto"/>
          </w:tcPr>
          <w:p w14:paraId="25CC500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0.12–0.79</w:t>
            </w:r>
          </w:p>
        </w:tc>
        <w:tc>
          <w:tcPr>
            <w:tcW w:w="0" w:type="auto"/>
          </w:tcPr>
          <w:p w14:paraId="2A27051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0.01</w:t>
            </w:r>
          </w:p>
        </w:tc>
        <w:tc>
          <w:tcPr>
            <w:tcW w:w="0" w:type="auto"/>
          </w:tcPr>
          <w:p w14:paraId="35FA45E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0.52</w:t>
            </w:r>
          </w:p>
        </w:tc>
        <w:tc>
          <w:tcPr>
            <w:tcW w:w="0" w:type="auto"/>
          </w:tcPr>
          <w:p w14:paraId="5D596C6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0.12–2.34</w:t>
            </w:r>
          </w:p>
        </w:tc>
        <w:tc>
          <w:tcPr>
            <w:cnfStyle w:val="000100000000" w:firstRow="0" w:lastRow="0" w:firstColumn="0" w:lastColumn="1" w:oddVBand="0" w:evenVBand="0" w:oddHBand="0" w:evenHBand="0" w:firstRowFirstColumn="0" w:firstRowLastColumn="0" w:lastRowFirstColumn="0" w:lastRowLastColumn="0"/>
            <w:tcW w:w="0" w:type="auto"/>
          </w:tcPr>
          <w:p w14:paraId="4AA00342"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39</w:t>
            </w:r>
          </w:p>
        </w:tc>
      </w:tr>
      <w:tr w:rsidR="004D3927" w:rsidRPr="002B579F" w14:paraId="0D46B91A"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7453F65" w14:textId="77777777" w:rsidR="004D3927" w:rsidRPr="002B579F" w:rsidRDefault="004D3927" w:rsidP="004D3927">
            <w:pPr>
              <w:pStyle w:val="Body"/>
              <w:rPr>
                <w:rFonts w:ascii="Arial" w:hAnsi="Arial" w:cs="Arial"/>
              </w:rPr>
            </w:pPr>
          </w:p>
        </w:tc>
        <w:tc>
          <w:tcPr>
            <w:tcW w:w="0" w:type="auto"/>
          </w:tcPr>
          <w:p w14:paraId="469DD63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48–59</w:t>
            </w:r>
          </w:p>
        </w:tc>
        <w:tc>
          <w:tcPr>
            <w:tcW w:w="0" w:type="auto"/>
          </w:tcPr>
          <w:p w14:paraId="3030C61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0.38</w:t>
            </w:r>
          </w:p>
        </w:tc>
        <w:tc>
          <w:tcPr>
            <w:tcW w:w="0" w:type="auto"/>
          </w:tcPr>
          <w:p w14:paraId="5A2D2C3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0.17–0.85</w:t>
            </w:r>
          </w:p>
        </w:tc>
        <w:tc>
          <w:tcPr>
            <w:tcW w:w="0" w:type="auto"/>
          </w:tcPr>
          <w:p w14:paraId="1206001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0.02</w:t>
            </w:r>
          </w:p>
        </w:tc>
        <w:tc>
          <w:tcPr>
            <w:tcW w:w="0" w:type="auto"/>
          </w:tcPr>
          <w:p w14:paraId="0B3F32F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0.37</w:t>
            </w:r>
          </w:p>
        </w:tc>
        <w:tc>
          <w:tcPr>
            <w:tcW w:w="0" w:type="auto"/>
          </w:tcPr>
          <w:p w14:paraId="12935D8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0.08–1.73</w:t>
            </w:r>
          </w:p>
        </w:tc>
        <w:tc>
          <w:tcPr>
            <w:cnfStyle w:val="000100000000" w:firstRow="0" w:lastRow="0" w:firstColumn="0" w:lastColumn="1" w:oddVBand="0" w:evenVBand="0" w:oddHBand="0" w:evenHBand="0" w:firstRowFirstColumn="0" w:firstRowLastColumn="0" w:lastRowFirstColumn="0" w:lastRowLastColumn="0"/>
            <w:tcW w:w="0" w:type="auto"/>
          </w:tcPr>
          <w:p w14:paraId="3A774960" w14:textId="77777777" w:rsidR="004D3927" w:rsidRPr="002B579F" w:rsidRDefault="004D3927" w:rsidP="004D3927">
            <w:pPr>
              <w:pStyle w:val="Body"/>
              <w:rPr>
                <w:rFonts w:ascii="Arial" w:hAnsi="Arial" w:cs="Arial"/>
              </w:rPr>
            </w:pPr>
            <w:r w:rsidRPr="002B579F">
              <w:rPr>
                <w:rFonts w:ascii="Arial" w:hAnsi="Arial" w:cs="Arial"/>
                <w:b w:val="0"/>
                <w:bCs w:val="0"/>
              </w:rPr>
              <w:t>0.20</w:t>
            </w:r>
          </w:p>
        </w:tc>
      </w:tr>
      <w:tr w:rsidR="004D3927" w:rsidRPr="002B579F" w14:paraId="623938A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D37CA06" w14:textId="77777777" w:rsidR="004D3927" w:rsidRPr="002B579F" w:rsidRDefault="004D3927" w:rsidP="004D3927">
            <w:pPr>
              <w:pStyle w:val="Body"/>
              <w:rPr>
                <w:rFonts w:ascii="Arial" w:hAnsi="Arial" w:cs="Arial"/>
              </w:rPr>
            </w:pPr>
            <w:r w:rsidRPr="002B579F">
              <w:rPr>
                <w:rFonts w:ascii="Arial" w:hAnsi="Arial" w:cs="Arial"/>
              </w:rPr>
              <w:t>Sex</w:t>
            </w:r>
          </w:p>
        </w:tc>
        <w:tc>
          <w:tcPr>
            <w:tcW w:w="0" w:type="auto"/>
          </w:tcPr>
          <w:p w14:paraId="104E2F2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Male (Ref.)</w:t>
            </w:r>
          </w:p>
        </w:tc>
        <w:tc>
          <w:tcPr>
            <w:tcW w:w="0" w:type="auto"/>
          </w:tcPr>
          <w:p w14:paraId="2272F50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2F2E166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161E74F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2979F1C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463C8B0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BAD4B94"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183845F0"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83FD209" w14:textId="77777777" w:rsidR="004D3927" w:rsidRPr="002B579F" w:rsidRDefault="004D3927" w:rsidP="004D3927">
            <w:pPr>
              <w:pStyle w:val="Body"/>
              <w:rPr>
                <w:rFonts w:ascii="Arial" w:hAnsi="Arial" w:cs="Arial"/>
              </w:rPr>
            </w:pPr>
          </w:p>
        </w:tc>
        <w:tc>
          <w:tcPr>
            <w:tcW w:w="0" w:type="auto"/>
          </w:tcPr>
          <w:p w14:paraId="53697BE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Female</w:t>
            </w:r>
          </w:p>
        </w:tc>
        <w:tc>
          <w:tcPr>
            <w:tcW w:w="0" w:type="auto"/>
          </w:tcPr>
          <w:p w14:paraId="10C36EE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1.47</w:t>
            </w:r>
          </w:p>
        </w:tc>
        <w:tc>
          <w:tcPr>
            <w:tcW w:w="0" w:type="auto"/>
          </w:tcPr>
          <w:p w14:paraId="3482D59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0.87–2.49</w:t>
            </w:r>
          </w:p>
        </w:tc>
        <w:tc>
          <w:tcPr>
            <w:tcW w:w="0" w:type="auto"/>
          </w:tcPr>
          <w:p w14:paraId="1A4989E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0.15</w:t>
            </w:r>
          </w:p>
        </w:tc>
        <w:tc>
          <w:tcPr>
            <w:tcW w:w="0" w:type="auto"/>
          </w:tcPr>
          <w:p w14:paraId="123C40A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0.78</w:t>
            </w:r>
          </w:p>
        </w:tc>
        <w:tc>
          <w:tcPr>
            <w:tcW w:w="0" w:type="auto"/>
          </w:tcPr>
          <w:p w14:paraId="2C89296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0.34–1.78</w:t>
            </w:r>
          </w:p>
        </w:tc>
        <w:tc>
          <w:tcPr>
            <w:cnfStyle w:val="000100000000" w:firstRow="0" w:lastRow="0" w:firstColumn="0" w:lastColumn="1" w:oddVBand="0" w:evenVBand="0" w:oddHBand="0" w:evenHBand="0" w:firstRowFirstColumn="0" w:firstRowLastColumn="0" w:lastRowFirstColumn="0" w:lastRowLastColumn="0"/>
            <w:tcW w:w="0" w:type="auto"/>
          </w:tcPr>
          <w:p w14:paraId="2506FD83" w14:textId="77777777" w:rsidR="004D3927" w:rsidRPr="002B579F" w:rsidRDefault="004D3927" w:rsidP="004D3927">
            <w:pPr>
              <w:pStyle w:val="Body"/>
              <w:rPr>
                <w:rFonts w:ascii="Arial" w:hAnsi="Arial" w:cs="Arial"/>
              </w:rPr>
            </w:pPr>
            <w:r w:rsidRPr="002B579F">
              <w:rPr>
                <w:rFonts w:ascii="Arial" w:hAnsi="Arial" w:cs="Arial"/>
                <w:b w:val="0"/>
                <w:bCs w:val="0"/>
              </w:rPr>
              <w:t>0</w:t>
            </w:r>
            <w:r w:rsidRPr="002B579F">
              <w:rPr>
                <w:rFonts w:ascii="Arial" w:hAnsi="Arial" w:cs="Arial"/>
              </w:rPr>
              <w:t>.</w:t>
            </w:r>
            <w:r w:rsidRPr="002B579F">
              <w:rPr>
                <w:rFonts w:ascii="Arial" w:hAnsi="Arial" w:cs="Arial"/>
                <w:b w:val="0"/>
                <w:bCs w:val="0"/>
              </w:rPr>
              <w:t>55</w:t>
            </w:r>
          </w:p>
        </w:tc>
      </w:tr>
      <w:tr w:rsidR="004D3927" w:rsidRPr="002B579F" w14:paraId="1C10AFE6"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1DFB645" w14:textId="77777777" w:rsidR="004D3927" w:rsidRPr="002B579F" w:rsidRDefault="004D3927" w:rsidP="004D3927">
            <w:pPr>
              <w:pStyle w:val="Body"/>
              <w:rPr>
                <w:rFonts w:ascii="Arial" w:hAnsi="Arial" w:cs="Arial"/>
              </w:rPr>
            </w:pPr>
            <w:r w:rsidRPr="002B579F">
              <w:rPr>
                <w:rFonts w:ascii="Arial" w:hAnsi="Arial" w:cs="Arial"/>
              </w:rPr>
              <w:lastRenderedPageBreak/>
              <w:t>Maternal age (years)</w:t>
            </w:r>
          </w:p>
        </w:tc>
        <w:tc>
          <w:tcPr>
            <w:tcW w:w="0" w:type="auto"/>
          </w:tcPr>
          <w:p w14:paraId="3E6043B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15–24 (Ref.)</w:t>
            </w:r>
          </w:p>
        </w:tc>
        <w:tc>
          <w:tcPr>
            <w:tcW w:w="0" w:type="auto"/>
          </w:tcPr>
          <w:p w14:paraId="0E139F3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21D0275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498157E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0216B82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CA270B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ECB65E4" w14:textId="77777777" w:rsidR="004D3927" w:rsidRPr="002B579F" w:rsidRDefault="004D3927" w:rsidP="004D3927">
            <w:pPr>
              <w:pStyle w:val="Body"/>
              <w:rPr>
                <w:rFonts w:ascii="Arial" w:hAnsi="Arial" w:cs="Arial"/>
              </w:rPr>
            </w:pPr>
            <w:r w:rsidRPr="002B579F">
              <w:rPr>
                <w:rFonts w:ascii="Arial" w:hAnsi="Arial" w:cs="Arial"/>
              </w:rPr>
              <w:t>—</w:t>
            </w:r>
          </w:p>
        </w:tc>
      </w:tr>
      <w:tr w:rsidR="004D3927" w:rsidRPr="002B579F" w14:paraId="6F07538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738DCC0" w14:textId="77777777" w:rsidR="004D3927" w:rsidRPr="002B579F" w:rsidRDefault="004D3927" w:rsidP="004D3927">
            <w:pPr>
              <w:pStyle w:val="Body"/>
              <w:rPr>
                <w:rFonts w:ascii="Arial" w:hAnsi="Arial" w:cs="Arial"/>
              </w:rPr>
            </w:pPr>
          </w:p>
        </w:tc>
        <w:tc>
          <w:tcPr>
            <w:tcW w:w="0" w:type="auto"/>
          </w:tcPr>
          <w:p w14:paraId="6B79958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25–34</w:t>
            </w:r>
          </w:p>
        </w:tc>
        <w:tc>
          <w:tcPr>
            <w:tcW w:w="0" w:type="auto"/>
          </w:tcPr>
          <w:p w14:paraId="326B405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0.74</w:t>
            </w:r>
          </w:p>
        </w:tc>
        <w:tc>
          <w:tcPr>
            <w:tcW w:w="0" w:type="auto"/>
          </w:tcPr>
          <w:p w14:paraId="578FA4F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0.40–1.38</w:t>
            </w:r>
          </w:p>
        </w:tc>
        <w:tc>
          <w:tcPr>
            <w:tcW w:w="0" w:type="auto"/>
          </w:tcPr>
          <w:p w14:paraId="3CB8786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0.34</w:t>
            </w:r>
          </w:p>
        </w:tc>
        <w:tc>
          <w:tcPr>
            <w:tcW w:w="0" w:type="auto"/>
          </w:tcPr>
          <w:p w14:paraId="0BEF53F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2.50</w:t>
            </w:r>
          </w:p>
        </w:tc>
        <w:tc>
          <w:tcPr>
            <w:tcW w:w="0" w:type="auto"/>
          </w:tcPr>
          <w:p w14:paraId="7774268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0.66–9.49</w:t>
            </w:r>
          </w:p>
        </w:tc>
        <w:tc>
          <w:tcPr>
            <w:cnfStyle w:val="000100000000" w:firstRow="0" w:lastRow="0" w:firstColumn="0" w:lastColumn="1" w:oddVBand="0" w:evenVBand="0" w:oddHBand="0" w:evenHBand="0" w:firstRowFirstColumn="0" w:firstRowLastColumn="0" w:lastRowFirstColumn="0" w:lastRowLastColumn="0"/>
            <w:tcW w:w="0" w:type="auto"/>
          </w:tcPr>
          <w:p w14:paraId="3DF805E7"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0.18</w:t>
            </w:r>
          </w:p>
        </w:tc>
      </w:tr>
      <w:tr w:rsidR="004D3927" w:rsidRPr="002B579F" w14:paraId="6326D9C3"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71CF987" w14:textId="77777777" w:rsidR="004D3927" w:rsidRPr="002B579F" w:rsidRDefault="004D3927" w:rsidP="004D3927">
            <w:pPr>
              <w:pStyle w:val="Body"/>
              <w:rPr>
                <w:rFonts w:ascii="Arial" w:hAnsi="Arial" w:cs="Arial"/>
              </w:rPr>
            </w:pPr>
          </w:p>
        </w:tc>
        <w:tc>
          <w:tcPr>
            <w:tcW w:w="0" w:type="auto"/>
          </w:tcPr>
          <w:p w14:paraId="7D9D779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35–49</w:t>
            </w:r>
          </w:p>
        </w:tc>
        <w:tc>
          <w:tcPr>
            <w:tcW w:w="0" w:type="auto"/>
          </w:tcPr>
          <w:p w14:paraId="1D02145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0.88</w:t>
            </w:r>
          </w:p>
        </w:tc>
        <w:tc>
          <w:tcPr>
            <w:tcW w:w="0" w:type="auto"/>
          </w:tcPr>
          <w:p w14:paraId="73D2BC2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0.42–1.86</w:t>
            </w:r>
          </w:p>
        </w:tc>
        <w:tc>
          <w:tcPr>
            <w:tcW w:w="0" w:type="auto"/>
          </w:tcPr>
          <w:p w14:paraId="7688CB4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0.74</w:t>
            </w:r>
          </w:p>
        </w:tc>
        <w:tc>
          <w:tcPr>
            <w:tcW w:w="0" w:type="auto"/>
          </w:tcPr>
          <w:p w14:paraId="78EB5C1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2.62</w:t>
            </w:r>
          </w:p>
        </w:tc>
        <w:tc>
          <w:tcPr>
            <w:tcW w:w="0" w:type="auto"/>
          </w:tcPr>
          <w:p w14:paraId="78392E4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0.65–10.48</w:t>
            </w:r>
          </w:p>
        </w:tc>
        <w:tc>
          <w:tcPr>
            <w:cnfStyle w:val="000100000000" w:firstRow="0" w:lastRow="0" w:firstColumn="0" w:lastColumn="1" w:oddVBand="0" w:evenVBand="0" w:oddHBand="0" w:evenHBand="0" w:firstRowFirstColumn="0" w:firstRowLastColumn="0" w:lastRowFirstColumn="0" w:lastRowLastColumn="0"/>
            <w:tcW w:w="0" w:type="auto"/>
          </w:tcPr>
          <w:p w14:paraId="44B15C18"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0.17</w:t>
            </w:r>
          </w:p>
        </w:tc>
      </w:tr>
      <w:tr w:rsidR="004D3927" w:rsidRPr="002B579F" w14:paraId="0E50A172"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47CEDE5" w14:textId="77777777" w:rsidR="004D3927" w:rsidRPr="002B579F" w:rsidRDefault="004D3927" w:rsidP="004D3927">
            <w:pPr>
              <w:pStyle w:val="Body"/>
              <w:rPr>
                <w:rFonts w:ascii="Arial" w:hAnsi="Arial" w:cs="Arial"/>
              </w:rPr>
            </w:pPr>
            <w:r w:rsidRPr="002B579F">
              <w:rPr>
                <w:rFonts w:ascii="Arial" w:hAnsi="Arial" w:cs="Arial"/>
              </w:rPr>
              <w:t>Wealth index</w:t>
            </w:r>
          </w:p>
        </w:tc>
        <w:tc>
          <w:tcPr>
            <w:tcW w:w="0" w:type="auto"/>
          </w:tcPr>
          <w:p w14:paraId="27BF652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Poorest (Ref.)</w:t>
            </w:r>
          </w:p>
        </w:tc>
        <w:tc>
          <w:tcPr>
            <w:tcW w:w="0" w:type="auto"/>
          </w:tcPr>
          <w:p w14:paraId="74983F6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0FC5B2D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2E6A497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3E90CA3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53A9BEF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20F4180" w14:textId="77777777" w:rsidR="004D3927" w:rsidRPr="002B579F" w:rsidRDefault="004D3927" w:rsidP="004D3927">
            <w:pPr>
              <w:pStyle w:val="Body"/>
              <w:rPr>
                <w:rFonts w:ascii="Arial" w:hAnsi="Arial" w:cs="Arial"/>
                <w:b w:val="0"/>
                <w:bCs w:val="0"/>
              </w:rPr>
            </w:pPr>
            <w:r w:rsidRPr="002B579F">
              <w:rPr>
                <w:rFonts w:ascii="Arial" w:hAnsi="Arial" w:cs="Arial"/>
                <w:b w:val="0"/>
                <w:bCs w:val="0"/>
              </w:rPr>
              <w:t>—</w:t>
            </w:r>
          </w:p>
        </w:tc>
      </w:tr>
      <w:tr w:rsidR="004D3927" w:rsidRPr="002B579F" w14:paraId="40022F6F"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64E5301" w14:textId="77777777" w:rsidR="004D3927" w:rsidRPr="002B579F" w:rsidRDefault="004D3927" w:rsidP="004D3927">
            <w:pPr>
              <w:pStyle w:val="Body"/>
              <w:rPr>
                <w:rFonts w:ascii="Arial" w:hAnsi="Arial" w:cs="Arial"/>
              </w:rPr>
            </w:pPr>
          </w:p>
        </w:tc>
        <w:tc>
          <w:tcPr>
            <w:tcW w:w="0" w:type="auto"/>
          </w:tcPr>
          <w:p w14:paraId="45D316D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Poorer</w:t>
            </w:r>
          </w:p>
        </w:tc>
        <w:tc>
          <w:tcPr>
            <w:tcW w:w="0" w:type="auto"/>
          </w:tcPr>
          <w:p w14:paraId="4E2123C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2.81</w:t>
            </w:r>
          </w:p>
        </w:tc>
        <w:tc>
          <w:tcPr>
            <w:tcW w:w="0" w:type="auto"/>
          </w:tcPr>
          <w:p w14:paraId="68658C8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0.76–10.42</w:t>
            </w:r>
          </w:p>
        </w:tc>
        <w:tc>
          <w:tcPr>
            <w:tcW w:w="0" w:type="auto"/>
          </w:tcPr>
          <w:p w14:paraId="1ACD536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0.12</w:t>
            </w:r>
          </w:p>
        </w:tc>
        <w:tc>
          <w:tcPr>
            <w:tcW w:w="0" w:type="auto"/>
          </w:tcPr>
          <w:p w14:paraId="5205D5B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0.84</w:t>
            </w:r>
          </w:p>
        </w:tc>
        <w:tc>
          <w:tcPr>
            <w:tcW w:w="0" w:type="auto"/>
          </w:tcPr>
          <w:p w14:paraId="44E4768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0.11–6.37</w:t>
            </w:r>
          </w:p>
        </w:tc>
        <w:tc>
          <w:tcPr>
            <w:cnfStyle w:val="000100000000" w:firstRow="0" w:lastRow="0" w:firstColumn="0" w:lastColumn="1" w:oddVBand="0" w:evenVBand="0" w:oddHBand="0" w:evenHBand="0" w:firstRowFirstColumn="0" w:firstRowLastColumn="0" w:lastRowFirstColumn="0" w:lastRowLastColumn="0"/>
            <w:tcW w:w="0" w:type="auto"/>
          </w:tcPr>
          <w:p w14:paraId="0BA47AA8"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0.87</w:t>
            </w:r>
          </w:p>
        </w:tc>
      </w:tr>
      <w:tr w:rsidR="004D3927" w:rsidRPr="002B579F" w14:paraId="7CE4D77D"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2EE29C34" w14:textId="77777777" w:rsidR="004D3927" w:rsidRPr="002B579F" w:rsidRDefault="004D3927" w:rsidP="004D3927">
            <w:pPr>
              <w:pStyle w:val="Body"/>
              <w:rPr>
                <w:rFonts w:ascii="Arial" w:hAnsi="Arial" w:cs="Arial"/>
              </w:rPr>
            </w:pPr>
          </w:p>
        </w:tc>
        <w:tc>
          <w:tcPr>
            <w:tcW w:w="0" w:type="auto"/>
          </w:tcPr>
          <w:p w14:paraId="468F396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Middle</w:t>
            </w:r>
          </w:p>
        </w:tc>
        <w:tc>
          <w:tcPr>
            <w:tcW w:w="0" w:type="auto"/>
          </w:tcPr>
          <w:p w14:paraId="7F9AEFD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2.62</w:t>
            </w:r>
          </w:p>
        </w:tc>
        <w:tc>
          <w:tcPr>
            <w:tcW w:w="0" w:type="auto"/>
          </w:tcPr>
          <w:p w14:paraId="75EF5AB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0.73–9.46</w:t>
            </w:r>
          </w:p>
        </w:tc>
        <w:tc>
          <w:tcPr>
            <w:tcW w:w="0" w:type="auto"/>
          </w:tcPr>
          <w:p w14:paraId="7A77785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0.14</w:t>
            </w:r>
          </w:p>
        </w:tc>
        <w:tc>
          <w:tcPr>
            <w:tcW w:w="0" w:type="auto"/>
          </w:tcPr>
          <w:p w14:paraId="5450906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0.40</w:t>
            </w:r>
          </w:p>
        </w:tc>
        <w:tc>
          <w:tcPr>
            <w:tcW w:w="0" w:type="auto"/>
          </w:tcPr>
          <w:p w14:paraId="31C171F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0.08–2.02</w:t>
            </w:r>
          </w:p>
        </w:tc>
        <w:tc>
          <w:tcPr>
            <w:cnfStyle w:val="000100000000" w:firstRow="0" w:lastRow="0" w:firstColumn="0" w:lastColumn="1" w:oddVBand="0" w:evenVBand="0" w:oddHBand="0" w:evenHBand="0" w:firstRowFirstColumn="0" w:firstRowLastColumn="0" w:lastRowFirstColumn="0" w:lastRowLastColumn="0"/>
            <w:tcW w:w="0" w:type="auto"/>
          </w:tcPr>
          <w:p w14:paraId="653D54A3"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0.26</w:t>
            </w:r>
          </w:p>
        </w:tc>
      </w:tr>
      <w:tr w:rsidR="004D3927" w:rsidRPr="002B579F" w14:paraId="601B2195"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722BD449" w14:textId="77777777" w:rsidR="004D3927" w:rsidRPr="002B579F" w:rsidRDefault="004D3927" w:rsidP="004D3927">
            <w:pPr>
              <w:pStyle w:val="Body"/>
              <w:rPr>
                <w:rFonts w:ascii="Arial" w:hAnsi="Arial" w:cs="Arial"/>
              </w:rPr>
            </w:pPr>
          </w:p>
        </w:tc>
        <w:tc>
          <w:tcPr>
            <w:tcW w:w="0" w:type="auto"/>
          </w:tcPr>
          <w:p w14:paraId="167BFAB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Richer</w:t>
            </w:r>
          </w:p>
        </w:tc>
        <w:tc>
          <w:tcPr>
            <w:tcW w:w="0" w:type="auto"/>
          </w:tcPr>
          <w:p w14:paraId="2D4E249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2.87</w:t>
            </w:r>
          </w:p>
        </w:tc>
        <w:tc>
          <w:tcPr>
            <w:tcW w:w="0" w:type="auto"/>
          </w:tcPr>
          <w:p w14:paraId="29DF3E4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0.79–10.47</w:t>
            </w:r>
          </w:p>
        </w:tc>
        <w:tc>
          <w:tcPr>
            <w:tcW w:w="0" w:type="auto"/>
          </w:tcPr>
          <w:p w14:paraId="74640553"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0.11</w:t>
            </w:r>
          </w:p>
        </w:tc>
        <w:tc>
          <w:tcPr>
            <w:tcW w:w="0" w:type="auto"/>
          </w:tcPr>
          <w:p w14:paraId="3C2D2675"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0.82</w:t>
            </w:r>
          </w:p>
        </w:tc>
        <w:tc>
          <w:tcPr>
            <w:tcW w:w="0" w:type="auto"/>
          </w:tcPr>
          <w:p w14:paraId="2B29202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0.22–3.05</w:t>
            </w:r>
          </w:p>
        </w:tc>
        <w:tc>
          <w:tcPr>
            <w:cnfStyle w:val="000100000000" w:firstRow="0" w:lastRow="0" w:firstColumn="0" w:lastColumn="1" w:oddVBand="0" w:evenVBand="0" w:oddHBand="0" w:evenHBand="0" w:firstRowFirstColumn="0" w:firstRowLastColumn="0" w:lastRowFirstColumn="0" w:lastRowLastColumn="0"/>
            <w:tcW w:w="0" w:type="auto"/>
          </w:tcPr>
          <w:p w14:paraId="63C38D93"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0.77</w:t>
            </w:r>
          </w:p>
        </w:tc>
      </w:tr>
      <w:tr w:rsidR="004D3927" w:rsidRPr="002B579F" w14:paraId="0A3D3B8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0BE44186" w14:textId="77777777" w:rsidR="004D3927" w:rsidRPr="002B579F" w:rsidRDefault="004D3927" w:rsidP="004D3927">
            <w:pPr>
              <w:pStyle w:val="Body"/>
              <w:rPr>
                <w:rFonts w:ascii="Arial" w:hAnsi="Arial" w:cs="Arial"/>
              </w:rPr>
            </w:pPr>
            <w:r w:rsidRPr="002B579F">
              <w:rPr>
                <w:rFonts w:ascii="Arial" w:hAnsi="Arial" w:cs="Arial"/>
              </w:rPr>
              <w:t>Geopolitical zone</w:t>
            </w:r>
          </w:p>
        </w:tc>
        <w:tc>
          <w:tcPr>
            <w:tcW w:w="0" w:type="auto"/>
          </w:tcPr>
          <w:p w14:paraId="4EB276D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South East (Ref.)</w:t>
            </w:r>
          </w:p>
        </w:tc>
        <w:tc>
          <w:tcPr>
            <w:tcW w:w="0" w:type="auto"/>
          </w:tcPr>
          <w:p w14:paraId="2F85E2AF"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3E561F7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0902653D"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tcW w:w="0" w:type="auto"/>
          </w:tcPr>
          <w:p w14:paraId="3BF28770"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1.00</w:t>
            </w:r>
          </w:p>
        </w:tc>
        <w:tc>
          <w:tcPr>
            <w:tcW w:w="0" w:type="auto"/>
          </w:tcPr>
          <w:p w14:paraId="6242A8F4"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2588D9B" w14:textId="77777777" w:rsidR="004D3927" w:rsidRPr="002B579F" w:rsidRDefault="004D3927" w:rsidP="004D3927">
            <w:pPr>
              <w:pStyle w:val="Body"/>
              <w:rPr>
                <w:rFonts w:ascii="Arial" w:hAnsi="Arial" w:cs="Arial"/>
                <w:b w:val="0"/>
                <w:bCs w:val="0"/>
              </w:rPr>
            </w:pPr>
            <w:r w:rsidRPr="002B579F">
              <w:rPr>
                <w:rFonts w:ascii="Arial" w:hAnsi="Arial" w:cs="Arial"/>
                <w:b w:val="0"/>
                <w:bCs w:val="0"/>
              </w:rPr>
              <w:t>—</w:t>
            </w:r>
          </w:p>
        </w:tc>
      </w:tr>
      <w:tr w:rsidR="004D3927" w:rsidRPr="002B579F" w14:paraId="28C5B04B"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6A21FADE" w14:textId="77777777" w:rsidR="004D3927" w:rsidRPr="002B579F" w:rsidRDefault="004D3927" w:rsidP="004D3927">
            <w:pPr>
              <w:pStyle w:val="Body"/>
              <w:rPr>
                <w:rFonts w:ascii="Arial" w:hAnsi="Arial" w:cs="Arial"/>
              </w:rPr>
            </w:pPr>
          </w:p>
        </w:tc>
        <w:tc>
          <w:tcPr>
            <w:tcW w:w="0" w:type="auto"/>
          </w:tcPr>
          <w:p w14:paraId="34A1F96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 xml:space="preserve">South </w:t>
            </w:r>
            <w:proofErr w:type="spellStart"/>
            <w:r w:rsidRPr="002B579F">
              <w:rPr>
                <w:rFonts w:ascii="Arial" w:hAnsi="Arial" w:cs="Arial"/>
              </w:rPr>
              <w:t>South</w:t>
            </w:r>
            <w:proofErr w:type="spellEnd"/>
          </w:p>
        </w:tc>
        <w:tc>
          <w:tcPr>
            <w:tcW w:w="0" w:type="auto"/>
          </w:tcPr>
          <w:p w14:paraId="44E9CDB1"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2.14</w:t>
            </w:r>
          </w:p>
        </w:tc>
        <w:tc>
          <w:tcPr>
            <w:tcW w:w="0" w:type="auto"/>
          </w:tcPr>
          <w:p w14:paraId="5884E102"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1.19–3.85</w:t>
            </w:r>
          </w:p>
        </w:tc>
        <w:tc>
          <w:tcPr>
            <w:tcW w:w="0" w:type="auto"/>
          </w:tcPr>
          <w:p w14:paraId="7CB8DE2B"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0.01</w:t>
            </w:r>
          </w:p>
        </w:tc>
        <w:tc>
          <w:tcPr>
            <w:tcW w:w="0" w:type="auto"/>
          </w:tcPr>
          <w:p w14:paraId="5B300CA8"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2.17</w:t>
            </w:r>
          </w:p>
        </w:tc>
        <w:tc>
          <w:tcPr>
            <w:tcW w:w="0" w:type="auto"/>
          </w:tcPr>
          <w:p w14:paraId="5D627EBE"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0.92–5.14</w:t>
            </w:r>
          </w:p>
        </w:tc>
        <w:tc>
          <w:tcPr>
            <w:cnfStyle w:val="000100000000" w:firstRow="0" w:lastRow="0" w:firstColumn="0" w:lastColumn="1" w:oddVBand="0" w:evenVBand="0" w:oddHBand="0" w:evenHBand="0" w:firstRowFirstColumn="0" w:firstRowLastColumn="0" w:lastRowFirstColumn="0" w:lastRowLastColumn="0"/>
            <w:tcW w:w="0" w:type="auto"/>
          </w:tcPr>
          <w:p w14:paraId="26A52694"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0.08</w:t>
            </w:r>
          </w:p>
        </w:tc>
      </w:tr>
      <w:tr w:rsidR="004D3927" w:rsidRPr="002B579F" w14:paraId="30E6A459" w14:textId="77777777" w:rsidTr="00720D5C">
        <w:tc>
          <w:tcPr>
            <w:cnfStyle w:val="001000000000" w:firstRow="0" w:lastRow="0" w:firstColumn="1" w:lastColumn="0" w:oddVBand="0" w:evenVBand="0" w:oddHBand="0" w:evenHBand="0" w:firstRowFirstColumn="0" w:firstRowLastColumn="0" w:lastRowFirstColumn="0" w:lastRowLastColumn="0"/>
            <w:tcW w:w="0" w:type="auto"/>
          </w:tcPr>
          <w:p w14:paraId="4308ED63" w14:textId="77777777" w:rsidR="004D3927" w:rsidRPr="002B579F" w:rsidRDefault="004D3927" w:rsidP="004D3927">
            <w:pPr>
              <w:pStyle w:val="Body"/>
              <w:rPr>
                <w:rFonts w:ascii="Arial" w:hAnsi="Arial" w:cs="Arial"/>
              </w:rPr>
            </w:pPr>
          </w:p>
        </w:tc>
        <w:tc>
          <w:tcPr>
            <w:tcW w:w="0" w:type="auto"/>
          </w:tcPr>
          <w:p w14:paraId="4887B50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South West</w:t>
            </w:r>
          </w:p>
        </w:tc>
        <w:tc>
          <w:tcPr>
            <w:tcW w:w="0" w:type="auto"/>
          </w:tcPr>
          <w:p w14:paraId="19387AA7"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0.65</w:t>
            </w:r>
          </w:p>
        </w:tc>
        <w:tc>
          <w:tcPr>
            <w:tcW w:w="0" w:type="auto"/>
          </w:tcPr>
          <w:p w14:paraId="26C6197C"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0.28–1.53</w:t>
            </w:r>
          </w:p>
        </w:tc>
        <w:tc>
          <w:tcPr>
            <w:tcW w:w="0" w:type="auto"/>
          </w:tcPr>
          <w:p w14:paraId="18CC6219"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0.32</w:t>
            </w:r>
          </w:p>
        </w:tc>
        <w:tc>
          <w:tcPr>
            <w:tcW w:w="0" w:type="auto"/>
          </w:tcPr>
          <w:p w14:paraId="73DC0776"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0.26</w:t>
            </w:r>
          </w:p>
        </w:tc>
        <w:tc>
          <w:tcPr>
            <w:tcW w:w="0" w:type="auto"/>
          </w:tcPr>
          <w:p w14:paraId="5B17246A" w14:textId="77777777" w:rsidR="004D3927" w:rsidRPr="002B579F" w:rsidRDefault="004D3927" w:rsidP="004D3927">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2B579F">
              <w:rPr>
                <w:rFonts w:ascii="Arial" w:hAnsi="Arial" w:cs="Arial"/>
              </w:rPr>
              <w:t>0.03–2.61</w:t>
            </w:r>
          </w:p>
        </w:tc>
        <w:tc>
          <w:tcPr>
            <w:cnfStyle w:val="000100000000" w:firstRow="0" w:lastRow="0" w:firstColumn="0" w:lastColumn="1" w:oddVBand="0" w:evenVBand="0" w:oddHBand="0" w:evenHBand="0" w:firstRowFirstColumn="0" w:firstRowLastColumn="0" w:lastRowFirstColumn="0" w:lastRowLastColumn="0"/>
            <w:tcW w:w="0" w:type="auto"/>
          </w:tcPr>
          <w:p w14:paraId="21DCDBBD" w14:textId="77777777" w:rsidR="004D3927" w:rsidRPr="002B579F" w:rsidRDefault="004D3927" w:rsidP="004D3927">
            <w:pPr>
              <w:pStyle w:val="Body"/>
              <w:rPr>
                <w:rFonts w:ascii="Arial" w:hAnsi="Arial" w:cs="Arial"/>
                <w:b w:val="0"/>
                <w:bCs w:val="0"/>
              </w:rPr>
            </w:pPr>
            <w:r w:rsidRPr="002B579F">
              <w:rPr>
                <w:rFonts w:ascii="Arial" w:hAnsi="Arial" w:cs="Arial"/>
                <w:b w:val="0"/>
                <w:bCs w:val="0"/>
              </w:rPr>
              <w:t>0.25</w:t>
            </w:r>
          </w:p>
        </w:tc>
      </w:tr>
    </w:tbl>
    <w:p w14:paraId="1B3BB723" w14:textId="77777777" w:rsidR="004D3927" w:rsidRPr="002B579F" w:rsidRDefault="004D3927" w:rsidP="004D3927">
      <w:pPr>
        <w:pStyle w:val="Body"/>
        <w:spacing w:after="0"/>
        <w:rPr>
          <w:rFonts w:ascii="Arial" w:hAnsi="Arial" w:cs="Arial"/>
        </w:rPr>
      </w:pPr>
      <w:r w:rsidRPr="002B579F">
        <w:rPr>
          <w:rFonts w:ascii="Arial" w:hAnsi="Arial" w:cs="Arial"/>
        </w:rPr>
        <w:t xml:space="preserve">COR = crude odds ratio; AOR = adjusted odds ratio; CI = confidence interval; Ref. = reference category. Bold values indicate </w:t>
      </w:r>
      <w:r w:rsidRPr="002B579F">
        <w:rPr>
          <w:rFonts w:ascii="Arial" w:hAnsi="Arial" w:cs="Arial"/>
          <w:i/>
          <w:iCs/>
        </w:rPr>
        <w:t>p</w:t>
      </w:r>
      <w:r w:rsidRPr="002B579F">
        <w:rPr>
          <w:rFonts w:ascii="Arial" w:hAnsi="Arial" w:cs="Arial"/>
        </w:rPr>
        <w:t xml:space="preserve"> &lt; 0.05. Logistic regression models were used to estimate crude and adjusted odds ratios.</w:t>
      </w:r>
    </w:p>
    <w:p w14:paraId="5CED7428" w14:textId="77777777" w:rsidR="00720D5C" w:rsidRPr="002B579F" w:rsidRDefault="00720D5C" w:rsidP="004D3927">
      <w:pPr>
        <w:pStyle w:val="Body"/>
        <w:spacing w:after="0"/>
        <w:rPr>
          <w:rFonts w:ascii="Arial" w:hAnsi="Arial" w:cs="Arial"/>
        </w:rPr>
      </w:pPr>
    </w:p>
    <w:p w14:paraId="1C8E1673" w14:textId="77777777" w:rsidR="004D3927" w:rsidRPr="002B579F" w:rsidRDefault="00720D5C" w:rsidP="004D3927">
      <w:pPr>
        <w:pStyle w:val="Body"/>
        <w:spacing w:after="0"/>
        <w:rPr>
          <w:rFonts w:ascii="Arial" w:hAnsi="Arial" w:cs="Arial"/>
          <w:b/>
          <w:bCs/>
        </w:rPr>
      </w:pPr>
      <w:r w:rsidRPr="002B579F">
        <w:rPr>
          <w:rFonts w:ascii="Arial" w:hAnsi="Arial" w:cs="Arial"/>
          <w:b/>
          <w:bCs/>
        </w:rPr>
        <w:t>3.2 Discussion</w:t>
      </w:r>
    </w:p>
    <w:p w14:paraId="11FFED2E" w14:textId="77777777" w:rsidR="00720D5C" w:rsidRPr="002B579F" w:rsidRDefault="00720D5C" w:rsidP="004D3927">
      <w:pPr>
        <w:pStyle w:val="Body"/>
        <w:spacing w:after="0"/>
        <w:rPr>
          <w:rFonts w:ascii="Arial" w:hAnsi="Arial" w:cs="Arial"/>
          <w:b/>
          <w:bCs/>
        </w:rPr>
      </w:pPr>
    </w:p>
    <w:p w14:paraId="223AC86B" w14:textId="77777777" w:rsidR="004D3927" w:rsidRPr="002B579F" w:rsidRDefault="00720D5C" w:rsidP="004D3927">
      <w:pPr>
        <w:pStyle w:val="Body"/>
        <w:spacing w:after="0"/>
        <w:rPr>
          <w:rFonts w:ascii="Arial" w:hAnsi="Arial" w:cs="Arial"/>
          <w:b/>
          <w:bCs/>
        </w:rPr>
      </w:pPr>
      <w:r w:rsidRPr="002B579F">
        <w:rPr>
          <w:rFonts w:ascii="Arial" w:hAnsi="Arial" w:cs="Arial"/>
          <w:b/>
          <w:bCs/>
        </w:rPr>
        <w:t xml:space="preserve">3.2.1 </w:t>
      </w:r>
      <w:r w:rsidR="004D3927" w:rsidRPr="002B579F">
        <w:rPr>
          <w:rFonts w:ascii="Arial" w:hAnsi="Arial" w:cs="Arial"/>
          <w:b/>
          <w:bCs/>
        </w:rPr>
        <w:t>Prevalence of Acute Respiratory Infection among Under-Five Children</w:t>
      </w:r>
    </w:p>
    <w:p w14:paraId="44276805" w14:textId="77777777" w:rsidR="00720D5C" w:rsidRPr="002B579F" w:rsidRDefault="00720D5C" w:rsidP="004D3927">
      <w:pPr>
        <w:pStyle w:val="Body"/>
        <w:spacing w:after="0"/>
        <w:rPr>
          <w:rFonts w:ascii="Arial" w:hAnsi="Arial" w:cs="Arial"/>
          <w:b/>
          <w:bCs/>
        </w:rPr>
      </w:pPr>
    </w:p>
    <w:p w14:paraId="36CE55AB" w14:textId="77777777" w:rsidR="004D3927" w:rsidRPr="002B579F" w:rsidRDefault="004D3927" w:rsidP="004D3927">
      <w:pPr>
        <w:pStyle w:val="Body"/>
        <w:spacing w:after="0"/>
        <w:rPr>
          <w:rFonts w:ascii="Arial" w:hAnsi="Arial" w:cs="Arial"/>
        </w:rPr>
      </w:pPr>
      <w:r w:rsidRPr="002B579F">
        <w:rPr>
          <w:rFonts w:ascii="Arial" w:hAnsi="Arial" w:cs="Arial"/>
        </w:rPr>
        <w:t xml:space="preserve">The study found that ARI was present among under-five children in rural Southern Nigeria, although the prevalence was lower than some earlier estimates reported in Nigeria (Ekholuenetale et al., 2023). This may be consistent with the declining trend in childhood ARI observed across successive Nigerian surveys, which has been attributed to improvements in child health and survival interventions, including </w:t>
      </w:r>
      <w:proofErr w:type="spellStart"/>
      <w:r w:rsidRPr="002B579F">
        <w:rPr>
          <w:rFonts w:ascii="Arial" w:hAnsi="Arial" w:cs="Arial"/>
        </w:rPr>
        <w:t>immunisation</w:t>
      </w:r>
      <w:proofErr w:type="spellEnd"/>
      <w:r w:rsidRPr="002B579F">
        <w:rPr>
          <w:rFonts w:ascii="Arial" w:hAnsi="Arial" w:cs="Arial"/>
        </w:rPr>
        <w:t xml:space="preserve"> and healthcare access (</w:t>
      </w:r>
      <w:r w:rsidR="0050240C" w:rsidRPr="002B579F">
        <w:rPr>
          <w:rFonts w:ascii="Arial" w:hAnsi="Arial" w:cs="Arial"/>
          <w:color w:val="FF0000"/>
        </w:rPr>
        <w:t>Islam et al., 2024</w:t>
      </w:r>
      <w:r w:rsidRPr="002B579F">
        <w:rPr>
          <w:rFonts w:ascii="Arial" w:hAnsi="Arial" w:cs="Arial"/>
          <w:color w:val="FF0000"/>
        </w:rPr>
        <w:t>;</w:t>
      </w:r>
      <w:r w:rsidRPr="002B579F">
        <w:rPr>
          <w:rFonts w:ascii="Arial" w:hAnsi="Arial" w:cs="Arial"/>
        </w:rPr>
        <w:t xml:space="preserve"> </w:t>
      </w:r>
      <w:proofErr w:type="spellStart"/>
      <w:r w:rsidRPr="002B579F">
        <w:rPr>
          <w:rFonts w:ascii="Arial" w:hAnsi="Arial" w:cs="Arial"/>
        </w:rPr>
        <w:t>Orimadegun</w:t>
      </w:r>
      <w:proofErr w:type="spellEnd"/>
      <w:r w:rsidRPr="002B579F">
        <w:rPr>
          <w:rFonts w:ascii="Arial" w:hAnsi="Arial" w:cs="Arial"/>
        </w:rPr>
        <w:t xml:space="preserve"> &amp; Myer, 2019). However, comparisons should be interpreted cautiously because of differences in study populations, geographical settings and definitions of ARI. Recent evidence also indicates regional variation in ARI burden across Nigeria, with higher prevalence generally reported in northern regions than in the south (Oluwaseun &amp; Seun-Addie, 2025).</w:t>
      </w:r>
    </w:p>
    <w:p w14:paraId="24B95066" w14:textId="77777777" w:rsidR="00720D5C" w:rsidRPr="002B579F" w:rsidRDefault="00720D5C" w:rsidP="004D3927">
      <w:pPr>
        <w:pStyle w:val="Body"/>
        <w:spacing w:after="0"/>
        <w:rPr>
          <w:rFonts w:ascii="Arial" w:hAnsi="Arial" w:cs="Arial"/>
        </w:rPr>
      </w:pPr>
    </w:p>
    <w:p w14:paraId="744E1345" w14:textId="77777777" w:rsidR="004D3927" w:rsidRPr="002B579F" w:rsidRDefault="004D3927" w:rsidP="004D3927">
      <w:pPr>
        <w:pStyle w:val="Body"/>
        <w:spacing w:after="0"/>
        <w:rPr>
          <w:rFonts w:ascii="Arial" w:hAnsi="Arial" w:cs="Arial"/>
          <w:color w:val="FF0000"/>
        </w:rPr>
      </w:pPr>
      <w:r w:rsidRPr="002B579F">
        <w:rPr>
          <w:rFonts w:ascii="Arial" w:hAnsi="Arial" w:cs="Arial"/>
        </w:rPr>
        <w:t>Younger children had a higher prevalence of ARI, consistent with findings from previous Nigerian studies (</w:t>
      </w:r>
      <w:r w:rsidR="0050240C" w:rsidRPr="002B579F">
        <w:rPr>
          <w:rFonts w:ascii="Arial" w:hAnsi="Arial" w:cs="Arial"/>
        </w:rPr>
        <w:t>Islam et al., 2024</w:t>
      </w:r>
      <w:r w:rsidRPr="002B579F">
        <w:rPr>
          <w:rFonts w:ascii="Arial" w:hAnsi="Arial" w:cs="Arial"/>
        </w:rPr>
        <w:t xml:space="preserve">; </w:t>
      </w:r>
      <w:proofErr w:type="spellStart"/>
      <w:r w:rsidRPr="002B579F">
        <w:rPr>
          <w:rFonts w:ascii="Arial" w:hAnsi="Arial" w:cs="Arial"/>
        </w:rPr>
        <w:t>Orimadegun</w:t>
      </w:r>
      <w:proofErr w:type="spellEnd"/>
      <w:r w:rsidRPr="002B579F">
        <w:rPr>
          <w:rFonts w:ascii="Arial" w:hAnsi="Arial" w:cs="Arial"/>
        </w:rPr>
        <w:t xml:space="preserve"> &amp; Myer, 2019). The higher occurrence among younger children may be related to their greater susceptibility to respiratory infections and increased exposure to household and environmental risk factors (</w:t>
      </w:r>
      <w:r w:rsidR="0050240C" w:rsidRPr="002B579F">
        <w:rPr>
          <w:rFonts w:ascii="Arial" w:hAnsi="Arial" w:cs="Arial"/>
        </w:rPr>
        <w:t>Islam et al., 2024</w:t>
      </w:r>
      <w:r w:rsidRPr="002B579F">
        <w:rPr>
          <w:rFonts w:ascii="Arial" w:hAnsi="Arial" w:cs="Arial"/>
        </w:rPr>
        <w:t>; Sarfo et al., 2023). Female children had a slightly higher prevalence of ARI than male children; however, the difference was not statistically significant. This finding is consistent with evidence from Nigeria showing that sex-specific differences in ARI occurrence among under-five children may be small and inconsistent (</w:t>
      </w:r>
      <w:proofErr w:type="spellStart"/>
      <w:r w:rsidRPr="002B579F">
        <w:rPr>
          <w:rFonts w:ascii="Arial" w:hAnsi="Arial" w:cs="Arial"/>
        </w:rPr>
        <w:t>Orimadegun</w:t>
      </w:r>
      <w:proofErr w:type="spellEnd"/>
      <w:r w:rsidRPr="002B579F">
        <w:rPr>
          <w:rFonts w:ascii="Arial" w:hAnsi="Arial" w:cs="Arial"/>
        </w:rPr>
        <w:t xml:space="preserve"> &amp; Myer, 2019</w:t>
      </w:r>
      <w:r w:rsidR="007018BA" w:rsidRPr="002B579F">
        <w:rPr>
          <w:rFonts w:ascii="Arial" w:hAnsi="Arial" w:cs="Arial"/>
        </w:rPr>
        <w:t xml:space="preserve">; </w:t>
      </w:r>
      <w:proofErr w:type="spellStart"/>
      <w:r w:rsidR="007018BA" w:rsidRPr="002B579F">
        <w:rPr>
          <w:color w:val="FF0000"/>
        </w:rPr>
        <w:t>Orimadegun</w:t>
      </w:r>
      <w:proofErr w:type="spellEnd"/>
      <w:r w:rsidR="007018BA" w:rsidRPr="002B579F">
        <w:rPr>
          <w:color w:val="FF0000"/>
        </w:rPr>
        <w:t xml:space="preserve"> et al., 2020</w:t>
      </w:r>
      <w:r w:rsidRPr="002B579F">
        <w:rPr>
          <w:rFonts w:ascii="Arial" w:hAnsi="Arial" w:cs="Arial"/>
          <w:color w:val="FF0000"/>
        </w:rPr>
        <w:t>).</w:t>
      </w:r>
    </w:p>
    <w:p w14:paraId="72464370" w14:textId="77777777" w:rsidR="00720D5C" w:rsidRPr="002B579F" w:rsidRDefault="00720D5C" w:rsidP="004D3927">
      <w:pPr>
        <w:pStyle w:val="Body"/>
        <w:spacing w:after="0"/>
        <w:rPr>
          <w:rFonts w:ascii="Arial" w:hAnsi="Arial" w:cs="Arial"/>
          <w:color w:val="FF0000"/>
        </w:rPr>
      </w:pPr>
    </w:p>
    <w:p w14:paraId="0C9605D1" w14:textId="77777777" w:rsidR="004D3927" w:rsidRPr="002B579F" w:rsidRDefault="00720D5C" w:rsidP="004D3927">
      <w:pPr>
        <w:pStyle w:val="Body"/>
        <w:spacing w:after="0"/>
        <w:rPr>
          <w:rFonts w:ascii="Arial" w:hAnsi="Arial" w:cs="Arial"/>
          <w:b/>
          <w:bCs/>
        </w:rPr>
      </w:pPr>
      <w:r w:rsidRPr="002B579F">
        <w:rPr>
          <w:rFonts w:ascii="Arial" w:hAnsi="Arial" w:cs="Arial"/>
          <w:b/>
          <w:bCs/>
        </w:rPr>
        <w:t xml:space="preserve">3.2.2 </w:t>
      </w:r>
      <w:r w:rsidR="004D3927" w:rsidRPr="002B579F">
        <w:rPr>
          <w:rFonts w:ascii="Arial" w:hAnsi="Arial" w:cs="Arial"/>
          <w:b/>
          <w:bCs/>
        </w:rPr>
        <w:t>Household Environmental Factors Associated with Acute Respiratory Infection among Under-Five Children</w:t>
      </w:r>
    </w:p>
    <w:p w14:paraId="7269EC94" w14:textId="77777777" w:rsidR="00720D5C" w:rsidRPr="002B579F" w:rsidRDefault="00720D5C" w:rsidP="004D3927">
      <w:pPr>
        <w:pStyle w:val="Body"/>
        <w:spacing w:after="0"/>
        <w:rPr>
          <w:rFonts w:ascii="Arial" w:hAnsi="Arial" w:cs="Arial"/>
          <w:b/>
          <w:bCs/>
        </w:rPr>
      </w:pPr>
    </w:p>
    <w:p w14:paraId="64A5D8CF" w14:textId="77777777" w:rsidR="004D3927" w:rsidRPr="002B579F" w:rsidRDefault="004D3927" w:rsidP="004D3927">
      <w:pPr>
        <w:pStyle w:val="Body"/>
        <w:spacing w:after="0"/>
        <w:rPr>
          <w:rFonts w:ascii="Arial" w:hAnsi="Arial" w:cs="Arial"/>
        </w:rPr>
      </w:pPr>
      <w:r w:rsidRPr="002B579F">
        <w:rPr>
          <w:rFonts w:ascii="Arial" w:hAnsi="Arial" w:cs="Arial"/>
        </w:rPr>
        <w:t>Solid-fuel use was associated with higher odds of ARI compared with the use of cleaner fuels, consistent with evidence linking biomass smoke and childhood respiratory illness (Islam et al., 2024; Enyew et al., 2021; WHO, 2024a). Smoke from wood, charcoal and similar fuels produces pollutants that can impair respiratory health. However, exposure also depends on ventilation, cooking location and proximity of children to the cooking area (</w:t>
      </w:r>
      <w:proofErr w:type="spellStart"/>
      <w:r w:rsidRPr="002B579F">
        <w:rPr>
          <w:rFonts w:ascii="Arial" w:hAnsi="Arial" w:cs="Arial"/>
        </w:rPr>
        <w:t>Sk</w:t>
      </w:r>
      <w:proofErr w:type="spellEnd"/>
      <w:r w:rsidRPr="002B579F">
        <w:rPr>
          <w:rFonts w:ascii="Arial" w:hAnsi="Arial" w:cs="Arial"/>
        </w:rPr>
        <w:t xml:space="preserve"> et al., 2020).</w:t>
      </w:r>
    </w:p>
    <w:p w14:paraId="497B5E88" w14:textId="77777777" w:rsidR="00720D5C" w:rsidRPr="002B579F" w:rsidRDefault="00720D5C" w:rsidP="004D3927">
      <w:pPr>
        <w:pStyle w:val="Body"/>
        <w:spacing w:after="0"/>
        <w:rPr>
          <w:rFonts w:ascii="Arial" w:hAnsi="Arial" w:cs="Arial"/>
        </w:rPr>
      </w:pPr>
    </w:p>
    <w:p w14:paraId="1CE65F60" w14:textId="77777777" w:rsidR="004D3927" w:rsidRPr="002B579F" w:rsidRDefault="004D3927" w:rsidP="004D3927">
      <w:pPr>
        <w:pStyle w:val="Body"/>
        <w:spacing w:after="0"/>
        <w:rPr>
          <w:rFonts w:ascii="Arial" w:hAnsi="Arial" w:cs="Arial"/>
        </w:rPr>
      </w:pPr>
      <w:r w:rsidRPr="002B579F">
        <w:rPr>
          <w:rFonts w:ascii="Arial" w:hAnsi="Arial" w:cs="Arial"/>
        </w:rPr>
        <w:t>Children living in households with non-durable roofing materials had higher odds of ARI, consistent with evidence linking poor housing quality with childhood respiratory illness (</w:t>
      </w:r>
      <w:r w:rsidR="0050240C" w:rsidRPr="002B579F">
        <w:rPr>
          <w:rFonts w:ascii="Arial" w:hAnsi="Arial" w:cs="Arial"/>
        </w:rPr>
        <w:t>Islam et al., 2024</w:t>
      </w:r>
      <w:r w:rsidR="005F2EF7" w:rsidRPr="002B579F">
        <w:rPr>
          <w:rFonts w:ascii="Arial" w:hAnsi="Arial" w:cs="Arial"/>
        </w:rPr>
        <w:t xml:space="preserve">; </w:t>
      </w:r>
      <w:r w:rsidR="005F2EF7" w:rsidRPr="002B579F">
        <w:t>Mangeni</w:t>
      </w:r>
      <w:r w:rsidR="005F2EF7" w:rsidRPr="002B579F">
        <w:rPr>
          <w:rFonts w:ascii="Arial" w:hAnsi="Arial" w:cs="Arial"/>
        </w:rPr>
        <w:t xml:space="preserve"> et al., 2025</w:t>
      </w:r>
      <w:r w:rsidRPr="002B579F">
        <w:rPr>
          <w:rFonts w:ascii="Arial" w:hAnsi="Arial" w:cs="Arial"/>
        </w:rPr>
        <w:t>). Roofing material may reflect broader housing conditions such as ventilation and dampness. Household size showed no consistent association, possibly because household size does not directly measure overcrowding.</w:t>
      </w:r>
    </w:p>
    <w:p w14:paraId="4CE5A2CB" w14:textId="77777777" w:rsidR="00E053D0" w:rsidRPr="002B579F" w:rsidRDefault="00E053D0" w:rsidP="00441B6F">
      <w:pPr>
        <w:pStyle w:val="Body"/>
        <w:spacing w:after="0"/>
        <w:rPr>
          <w:rFonts w:ascii="Arial" w:hAnsi="Arial" w:cs="Arial"/>
        </w:rPr>
      </w:pPr>
    </w:p>
    <w:p w14:paraId="20A31313" w14:textId="77777777" w:rsidR="00790ADA" w:rsidRPr="002B579F" w:rsidRDefault="00790ADA" w:rsidP="00441B6F">
      <w:pPr>
        <w:pStyle w:val="Body"/>
        <w:spacing w:after="0"/>
        <w:rPr>
          <w:rFonts w:ascii="Arial" w:hAnsi="Arial" w:cs="Arial"/>
        </w:rPr>
      </w:pPr>
    </w:p>
    <w:p w14:paraId="2B1F84C3" w14:textId="77777777" w:rsidR="00B01FCD" w:rsidRPr="002B579F" w:rsidRDefault="00000F8F" w:rsidP="00441B6F">
      <w:pPr>
        <w:pStyle w:val="ConcHead"/>
        <w:spacing w:after="0"/>
        <w:jc w:val="both"/>
        <w:rPr>
          <w:rFonts w:ascii="Arial" w:hAnsi="Arial" w:cs="Arial"/>
        </w:rPr>
      </w:pPr>
      <w:r w:rsidRPr="002B579F">
        <w:rPr>
          <w:rFonts w:ascii="Arial" w:hAnsi="Arial" w:cs="Arial"/>
        </w:rPr>
        <w:t xml:space="preserve">4. </w:t>
      </w:r>
      <w:r w:rsidR="00B01FCD" w:rsidRPr="002B579F">
        <w:rPr>
          <w:rFonts w:ascii="Arial" w:hAnsi="Arial" w:cs="Arial"/>
        </w:rPr>
        <w:t>Conclusion</w:t>
      </w:r>
    </w:p>
    <w:p w14:paraId="733503E7" w14:textId="77777777" w:rsidR="00790ADA" w:rsidRPr="002B579F" w:rsidRDefault="00790ADA" w:rsidP="00441B6F">
      <w:pPr>
        <w:pStyle w:val="ConcHead"/>
        <w:spacing w:after="0"/>
        <w:jc w:val="both"/>
        <w:rPr>
          <w:rFonts w:ascii="Arial" w:hAnsi="Arial" w:cs="Arial"/>
        </w:rPr>
      </w:pPr>
    </w:p>
    <w:p w14:paraId="53E3B7AB" w14:textId="77777777" w:rsidR="000251D1" w:rsidRPr="002B579F" w:rsidRDefault="000251D1" w:rsidP="000251D1">
      <w:pPr>
        <w:pStyle w:val="Body"/>
        <w:spacing w:after="0"/>
        <w:rPr>
          <w:rFonts w:ascii="Arial" w:hAnsi="Arial" w:cs="Arial"/>
        </w:rPr>
      </w:pPr>
      <w:r w:rsidRPr="002B579F">
        <w:rPr>
          <w:rFonts w:ascii="Arial" w:hAnsi="Arial" w:cs="Arial"/>
        </w:rPr>
        <w:t>Acute respiratory infection (ARI) remains an important cause of illness among under-five children, particularly in rural communities where household environmental conditions and access to healthcare may influence disease occurrence and care-seeking practices. The study aimed to determine the prevalence of ARI and examine its associations with selected household environmental factors among under-five children in rural Southern Nigeria. The study found that ARI occurred among under-five children in rural Southern Nigeria, with a higher prevalence observed among younger children. Solid-fuel use and non-durable roofing were associated with increased odds of ARI. Although females generally had higher prevalence than males, the overall difference by sex was not statistically significant. Overall, the findings highlight the importance of household environmental conditions in addressing ARI among under-five children.</w:t>
      </w:r>
    </w:p>
    <w:p w14:paraId="6209F39C" w14:textId="77777777" w:rsidR="0069422B" w:rsidRPr="002B579F" w:rsidRDefault="0069422B" w:rsidP="000251D1">
      <w:pPr>
        <w:pStyle w:val="Body"/>
        <w:spacing w:after="0"/>
        <w:rPr>
          <w:rFonts w:ascii="Arial" w:hAnsi="Arial" w:cs="Arial"/>
        </w:rPr>
      </w:pPr>
    </w:p>
    <w:p w14:paraId="32D3955E" w14:textId="77777777" w:rsidR="0069422B" w:rsidRPr="002B579F" w:rsidRDefault="0069422B" w:rsidP="0069422B">
      <w:pPr>
        <w:pStyle w:val="Body"/>
        <w:spacing w:after="0"/>
        <w:rPr>
          <w:rFonts w:ascii="Arial" w:hAnsi="Arial" w:cs="Arial"/>
          <w:b/>
          <w:bCs/>
        </w:rPr>
      </w:pPr>
      <w:r w:rsidRPr="002B579F">
        <w:rPr>
          <w:rFonts w:ascii="Arial" w:hAnsi="Arial" w:cs="Arial"/>
          <w:b/>
          <w:bCs/>
        </w:rPr>
        <w:t>5. RECOMMENDATIONS</w:t>
      </w:r>
    </w:p>
    <w:p w14:paraId="7A160DFD" w14:textId="77777777" w:rsidR="0069422B" w:rsidRPr="002B579F" w:rsidRDefault="0069422B" w:rsidP="0069422B">
      <w:pPr>
        <w:pStyle w:val="Body"/>
        <w:spacing w:after="0"/>
        <w:rPr>
          <w:rFonts w:ascii="Arial" w:hAnsi="Arial" w:cs="Arial"/>
          <w:b/>
          <w:bCs/>
        </w:rPr>
      </w:pPr>
    </w:p>
    <w:p w14:paraId="3B2390C1" w14:textId="77777777" w:rsidR="0069422B" w:rsidRPr="002B579F" w:rsidRDefault="0069422B" w:rsidP="0069422B">
      <w:pPr>
        <w:pStyle w:val="Body"/>
        <w:spacing w:after="0"/>
        <w:rPr>
          <w:rFonts w:ascii="Arial" w:hAnsi="Arial" w:cs="Arial"/>
        </w:rPr>
      </w:pPr>
      <w:r w:rsidRPr="002B579F">
        <w:rPr>
          <w:rFonts w:ascii="Arial" w:hAnsi="Arial" w:cs="Arial"/>
        </w:rPr>
        <w:t>Based on the findings of this study, the following recommendations are proposed:</w:t>
      </w:r>
    </w:p>
    <w:p w14:paraId="5E75210A" w14:textId="77777777" w:rsidR="0069422B" w:rsidRPr="002B579F" w:rsidRDefault="0069422B" w:rsidP="0069422B">
      <w:pPr>
        <w:pStyle w:val="Body"/>
        <w:spacing w:after="0"/>
        <w:rPr>
          <w:rFonts w:ascii="Arial" w:hAnsi="Arial" w:cs="Arial"/>
        </w:rPr>
      </w:pPr>
    </w:p>
    <w:p w14:paraId="4E81702C" w14:textId="77777777" w:rsidR="0069422B" w:rsidRPr="002B579F" w:rsidRDefault="0069422B" w:rsidP="0069422B">
      <w:pPr>
        <w:pStyle w:val="Body"/>
        <w:numPr>
          <w:ilvl w:val="0"/>
          <w:numId w:val="31"/>
        </w:numPr>
        <w:tabs>
          <w:tab w:val="clear" w:pos="720"/>
        </w:tabs>
        <w:spacing w:after="0"/>
        <w:rPr>
          <w:rFonts w:ascii="Arial" w:hAnsi="Arial" w:cs="Arial"/>
        </w:rPr>
      </w:pPr>
      <w:r w:rsidRPr="002B579F">
        <w:rPr>
          <w:rFonts w:ascii="Arial" w:hAnsi="Arial" w:cs="Arial"/>
        </w:rPr>
        <w:t>The use of affordable clean cooking fuels should be encouraged to reduce children’s exposure to household smoke.</w:t>
      </w:r>
    </w:p>
    <w:p w14:paraId="56B92545" w14:textId="77777777" w:rsidR="0069422B" w:rsidRPr="002B579F" w:rsidRDefault="0069422B" w:rsidP="0069422B">
      <w:pPr>
        <w:pStyle w:val="Body"/>
        <w:numPr>
          <w:ilvl w:val="0"/>
          <w:numId w:val="31"/>
        </w:numPr>
        <w:tabs>
          <w:tab w:val="clear" w:pos="720"/>
        </w:tabs>
        <w:spacing w:after="0"/>
        <w:rPr>
          <w:rFonts w:ascii="Arial" w:hAnsi="Arial" w:cs="Arial"/>
        </w:rPr>
      </w:pPr>
      <w:r w:rsidRPr="002B579F">
        <w:rPr>
          <w:rFonts w:ascii="Arial" w:hAnsi="Arial" w:cs="Arial"/>
        </w:rPr>
        <w:t>Rural housing conditions, particularly roofing and ventilation, should be improved.</w:t>
      </w:r>
    </w:p>
    <w:p w14:paraId="17D7A761" w14:textId="77777777" w:rsidR="0069422B" w:rsidRPr="002B579F" w:rsidRDefault="0069422B" w:rsidP="0069422B">
      <w:pPr>
        <w:pStyle w:val="Body"/>
        <w:numPr>
          <w:ilvl w:val="0"/>
          <w:numId w:val="31"/>
        </w:numPr>
        <w:tabs>
          <w:tab w:val="clear" w:pos="720"/>
        </w:tabs>
        <w:spacing w:after="0"/>
        <w:rPr>
          <w:rFonts w:ascii="Arial" w:hAnsi="Arial" w:cs="Arial"/>
        </w:rPr>
      </w:pPr>
      <w:r w:rsidRPr="002B579F">
        <w:rPr>
          <w:rFonts w:ascii="Arial" w:hAnsi="Arial" w:cs="Arial"/>
        </w:rPr>
        <w:t>Caregiver education on ARI prevention, danger signs and timely care-seeking should be strengthened.</w:t>
      </w:r>
    </w:p>
    <w:p w14:paraId="473CE983" w14:textId="77777777" w:rsidR="0069422B" w:rsidRPr="002B579F" w:rsidRDefault="0069422B" w:rsidP="0069422B">
      <w:pPr>
        <w:pStyle w:val="Body"/>
        <w:numPr>
          <w:ilvl w:val="0"/>
          <w:numId w:val="31"/>
        </w:numPr>
        <w:tabs>
          <w:tab w:val="clear" w:pos="720"/>
        </w:tabs>
        <w:spacing w:after="0"/>
        <w:rPr>
          <w:rFonts w:ascii="Arial" w:hAnsi="Arial" w:cs="Arial"/>
        </w:rPr>
      </w:pPr>
      <w:r w:rsidRPr="002B579F">
        <w:rPr>
          <w:rFonts w:ascii="Arial" w:hAnsi="Arial" w:cs="Arial"/>
        </w:rPr>
        <w:t>Access to affordable and quality primary healthcare services should be improved, with particular attention to younger children.</w:t>
      </w:r>
    </w:p>
    <w:p w14:paraId="06D7260D" w14:textId="77777777" w:rsidR="0069422B" w:rsidRDefault="0069422B" w:rsidP="000251D1">
      <w:pPr>
        <w:pStyle w:val="Body"/>
        <w:spacing w:after="0"/>
        <w:rPr>
          <w:rFonts w:ascii="Arial" w:hAnsi="Arial" w:cs="Arial"/>
        </w:rPr>
      </w:pPr>
    </w:p>
    <w:p w14:paraId="4EF32F45" w14:textId="3C9F4D97" w:rsidR="004D10F1" w:rsidRPr="00C66CC2" w:rsidRDefault="004D10F1" w:rsidP="000251D1">
      <w:pPr>
        <w:pStyle w:val="Body"/>
        <w:spacing w:after="0"/>
        <w:rPr>
          <w:rFonts w:ascii="Arial" w:hAnsi="Arial" w:cs="Arial"/>
          <w:b/>
          <w:bCs/>
        </w:rPr>
      </w:pPr>
      <w:r w:rsidRPr="00C66CC2">
        <w:rPr>
          <w:rFonts w:ascii="Arial" w:hAnsi="Arial" w:cs="Arial"/>
          <w:b/>
          <w:bCs/>
        </w:rPr>
        <w:t>Limitations</w:t>
      </w:r>
    </w:p>
    <w:p w14:paraId="0118192A" w14:textId="77777777" w:rsidR="00FB4F2F" w:rsidRPr="00FB4F2F" w:rsidRDefault="00FB4F2F" w:rsidP="00FB4F2F">
      <w:pPr>
        <w:pStyle w:val="Body"/>
        <w:rPr>
          <w:rFonts w:ascii="Arial" w:hAnsi="Arial" w:cs="Arial"/>
        </w:rPr>
      </w:pPr>
      <w:r w:rsidRPr="00FB4F2F">
        <w:rPr>
          <w:rFonts w:ascii="Arial" w:hAnsi="Arial" w:cs="Arial"/>
        </w:rPr>
        <w:t xml:space="preserve">This study employed a cross-sectional secondary analysis of the 2023–2024 Nigeria Demographic and Health Survey, limiting causal interpretation of the observed associations. Caregiver-reported ARI symptoms may introduce recall and reporting biases. Household cooking fuels and roofing materials were assessed without direct measurement of environmental exposures. Residual confounding and potential selection bias from incomplete records cannot be excluded. Although the sample comprised 2,949 children, the findings are specific to rural Southern Nigeria and may not be </w:t>
      </w:r>
      <w:proofErr w:type="spellStart"/>
      <w:r w:rsidRPr="00FB4F2F">
        <w:rPr>
          <w:rFonts w:ascii="Arial" w:hAnsi="Arial" w:cs="Arial"/>
        </w:rPr>
        <w:t>generalisable</w:t>
      </w:r>
      <w:proofErr w:type="spellEnd"/>
      <w:r w:rsidRPr="00FB4F2F">
        <w:rPr>
          <w:rFonts w:ascii="Arial" w:hAnsi="Arial" w:cs="Arial"/>
        </w:rPr>
        <w:t xml:space="preserve"> to other populations. Future longitudinal studies incorporating clinically confirmed ARI outcomes and direct environmental exposure measurements could strengthen these findings.</w:t>
      </w:r>
    </w:p>
    <w:p w14:paraId="2E613F0B" w14:textId="77777777" w:rsidR="005C784C" w:rsidRPr="002B579F" w:rsidRDefault="005C784C" w:rsidP="00441B6F">
      <w:pPr>
        <w:pStyle w:val="ReferHead"/>
        <w:spacing w:after="0"/>
        <w:jc w:val="both"/>
        <w:rPr>
          <w:rFonts w:ascii="Arial" w:hAnsi="Arial" w:cs="Arial"/>
          <w:b w:val="0"/>
          <w:caps w:val="0"/>
          <w:sz w:val="20"/>
        </w:rPr>
      </w:pPr>
    </w:p>
    <w:p w14:paraId="63BC4CF4" w14:textId="7DD2DB57" w:rsidR="005C784C" w:rsidRPr="002B579F" w:rsidRDefault="005C784C" w:rsidP="00441B6F">
      <w:pPr>
        <w:pStyle w:val="ReferHead"/>
        <w:spacing w:after="0"/>
        <w:jc w:val="both"/>
        <w:rPr>
          <w:rFonts w:ascii="Arial" w:hAnsi="Arial" w:cs="Arial"/>
          <w:bCs/>
          <w:color w:val="000000" w:themeColor="text1"/>
        </w:rPr>
      </w:pPr>
      <w:r w:rsidRPr="002B579F">
        <w:rPr>
          <w:rFonts w:ascii="Arial" w:hAnsi="Arial" w:cs="Arial"/>
          <w:bCs/>
          <w:color w:val="000000" w:themeColor="text1"/>
        </w:rPr>
        <w:t xml:space="preserve">Ethical approval </w:t>
      </w:r>
    </w:p>
    <w:p w14:paraId="49E1232D" w14:textId="77777777" w:rsidR="005C784C" w:rsidRPr="002B579F" w:rsidRDefault="005C784C" w:rsidP="00441B6F">
      <w:pPr>
        <w:pStyle w:val="ReferHead"/>
        <w:spacing w:after="0"/>
        <w:jc w:val="both"/>
        <w:rPr>
          <w:rFonts w:ascii="Arial" w:hAnsi="Arial" w:cs="Arial"/>
          <w:bCs/>
          <w:color w:val="000000" w:themeColor="text1"/>
        </w:rPr>
      </w:pPr>
    </w:p>
    <w:p w14:paraId="5D0F5CD2" w14:textId="77777777" w:rsidR="0041027F" w:rsidRDefault="00D56497" w:rsidP="00D56497">
      <w:pPr>
        <w:pStyle w:val="ReferHead"/>
        <w:spacing w:after="0"/>
        <w:jc w:val="both"/>
        <w:rPr>
          <w:rFonts w:ascii="Arial" w:hAnsi="Arial" w:cs="Arial"/>
          <w:b w:val="0"/>
          <w:caps w:val="0"/>
          <w:color w:val="000000" w:themeColor="text1"/>
          <w:sz w:val="20"/>
        </w:rPr>
      </w:pPr>
      <w:r w:rsidRPr="002B579F">
        <w:rPr>
          <w:rFonts w:ascii="Arial" w:hAnsi="Arial" w:cs="Arial"/>
          <w:b w:val="0"/>
          <w:caps w:val="0"/>
          <w:color w:val="000000" w:themeColor="text1"/>
          <w:sz w:val="20"/>
        </w:rPr>
        <w:t>Ethical approval was obtained from the Faculty of Basic Medical Sciences (FBMS), Rivers State University, Port Harcourt, Nigeria (Approval No</w:t>
      </w:r>
      <w:r w:rsidR="00C647E9" w:rsidRPr="002B579F">
        <w:rPr>
          <w:rFonts w:ascii="Arial" w:hAnsi="Arial" w:cs="Arial"/>
          <w:b w:val="0"/>
          <w:caps w:val="0"/>
          <w:color w:val="000000" w:themeColor="text1"/>
          <w:sz w:val="20"/>
        </w:rPr>
        <w:t>:</w:t>
      </w:r>
      <w:r w:rsidR="00D14E21" w:rsidRPr="002B579F">
        <w:rPr>
          <w:rFonts w:ascii="Arial" w:hAnsi="Arial" w:cs="Arial"/>
          <w:b w:val="0"/>
          <w:caps w:val="0"/>
          <w:color w:val="000000" w:themeColor="text1"/>
          <w:sz w:val="20"/>
        </w:rPr>
        <w:t xml:space="preserve"> RSU/FBMS/REC/26/453</w:t>
      </w:r>
      <w:r w:rsidRPr="002B579F">
        <w:rPr>
          <w:rFonts w:ascii="Arial" w:hAnsi="Arial" w:cs="Arial"/>
          <w:b w:val="0"/>
          <w:caps w:val="0"/>
          <w:color w:val="000000" w:themeColor="text1"/>
          <w:sz w:val="20"/>
        </w:rPr>
        <w:t>).</w:t>
      </w:r>
    </w:p>
    <w:p w14:paraId="1E7ADA68" w14:textId="77777777" w:rsidR="00444615" w:rsidRDefault="00444615" w:rsidP="00D56497">
      <w:pPr>
        <w:pStyle w:val="ReferHead"/>
        <w:spacing w:after="0"/>
        <w:jc w:val="both"/>
        <w:rPr>
          <w:rFonts w:ascii="Arial" w:hAnsi="Arial" w:cs="Arial"/>
          <w:b w:val="0"/>
          <w:caps w:val="0"/>
          <w:color w:val="000000" w:themeColor="text1"/>
          <w:sz w:val="20"/>
        </w:rPr>
      </w:pPr>
    </w:p>
    <w:p w14:paraId="7F85EDB5" w14:textId="77777777" w:rsidR="00444615" w:rsidRPr="001718DF" w:rsidRDefault="00444615" w:rsidP="00444615">
      <w:pPr>
        <w:pStyle w:val="ReferHead"/>
        <w:jc w:val="both"/>
        <w:rPr>
          <w:rFonts w:ascii="Arial" w:hAnsi="Arial" w:cs="Arial"/>
          <w:bCs/>
          <w:caps w:val="0"/>
          <w:color w:val="000000" w:themeColor="text1"/>
          <w:sz w:val="20"/>
        </w:rPr>
      </w:pPr>
      <w:r w:rsidRPr="001718DF">
        <w:rPr>
          <w:rFonts w:ascii="Arial" w:hAnsi="Arial" w:cs="Arial"/>
          <w:bCs/>
          <w:caps w:val="0"/>
          <w:color w:val="000000" w:themeColor="text1"/>
          <w:sz w:val="20"/>
        </w:rPr>
        <w:t xml:space="preserve">Consent </w:t>
      </w:r>
    </w:p>
    <w:p w14:paraId="73600DAF" w14:textId="4FFD3968" w:rsidR="00444615" w:rsidRPr="002B579F" w:rsidRDefault="00444615" w:rsidP="00444615">
      <w:pPr>
        <w:pStyle w:val="ReferHead"/>
        <w:spacing w:after="0"/>
        <w:jc w:val="both"/>
        <w:rPr>
          <w:rFonts w:ascii="Arial" w:hAnsi="Arial" w:cs="Arial"/>
          <w:b w:val="0"/>
          <w:caps w:val="0"/>
          <w:color w:val="000000" w:themeColor="text1"/>
          <w:sz w:val="20"/>
        </w:rPr>
      </w:pPr>
      <w:r w:rsidRPr="00444615">
        <w:rPr>
          <w:rFonts w:ascii="Arial" w:hAnsi="Arial" w:cs="Arial"/>
          <w:b w:val="0"/>
          <w:caps w:val="0"/>
          <w:color w:val="000000" w:themeColor="text1"/>
          <w:sz w:val="20"/>
        </w:rPr>
        <w:t>As per international standards, parental written consent has been collected and preserved by the author(s).</w:t>
      </w:r>
    </w:p>
    <w:p w14:paraId="3168DE93" w14:textId="77777777" w:rsidR="005147FC" w:rsidRPr="002B579F" w:rsidRDefault="005147FC" w:rsidP="00D56497">
      <w:pPr>
        <w:pStyle w:val="ReferHead"/>
        <w:spacing w:after="0"/>
        <w:jc w:val="both"/>
        <w:rPr>
          <w:rFonts w:ascii="Arial" w:hAnsi="Arial" w:cs="Arial"/>
          <w:b w:val="0"/>
          <w:caps w:val="0"/>
          <w:color w:val="000000" w:themeColor="text1"/>
          <w:sz w:val="20"/>
        </w:rPr>
      </w:pPr>
    </w:p>
    <w:p w14:paraId="1F2F71AA" w14:textId="77777777" w:rsidR="005147FC" w:rsidRPr="002B579F" w:rsidRDefault="005147FC" w:rsidP="005147FC">
      <w:pPr>
        <w:rPr>
          <w:rFonts w:ascii="Arial" w:eastAsia="Calibri" w:hAnsi="Arial" w:cs="Arial"/>
          <w:b/>
        </w:rPr>
      </w:pPr>
      <w:r w:rsidRPr="002B579F">
        <w:rPr>
          <w:rFonts w:ascii="Arial" w:eastAsia="Calibri" w:hAnsi="Arial" w:cs="Arial"/>
          <w:b/>
        </w:rPr>
        <w:t>Declaration of AI Use</w:t>
      </w:r>
    </w:p>
    <w:p w14:paraId="7A284C70" w14:textId="77777777" w:rsidR="005147FC" w:rsidRPr="002B579F" w:rsidRDefault="005147FC" w:rsidP="005147FC">
      <w:pPr>
        <w:rPr>
          <w:rFonts w:ascii="Arial" w:eastAsia="Calibri" w:hAnsi="Arial" w:cs="Arial"/>
        </w:rPr>
      </w:pPr>
    </w:p>
    <w:p w14:paraId="7709620A" w14:textId="77777777" w:rsidR="005147FC" w:rsidRPr="002B579F" w:rsidRDefault="005147FC" w:rsidP="005147FC">
      <w:pPr>
        <w:rPr>
          <w:rFonts w:ascii="Arial" w:eastAsia="Calibri" w:hAnsi="Arial" w:cs="Arial"/>
        </w:rPr>
      </w:pPr>
      <w:r w:rsidRPr="002B579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03157D" w14:textId="77777777" w:rsidR="005147FC" w:rsidRPr="002B579F" w:rsidRDefault="005147FC" w:rsidP="005147FC">
      <w:pPr>
        <w:jc w:val="both"/>
        <w:rPr>
          <w:rFonts w:ascii="Times New Roman" w:eastAsia="Calibri" w:hAnsi="Times New Roman"/>
          <w:sz w:val="22"/>
          <w:szCs w:val="22"/>
        </w:rPr>
      </w:pPr>
    </w:p>
    <w:p w14:paraId="175C3FFE" w14:textId="77777777" w:rsidR="005147FC" w:rsidRPr="002B579F" w:rsidRDefault="005147FC" w:rsidP="005147FC">
      <w:pPr>
        <w:jc w:val="both"/>
        <w:rPr>
          <w:rFonts w:ascii="Times New Roman" w:eastAsia="Calibri" w:hAnsi="Times New Roman"/>
          <w:sz w:val="22"/>
          <w:szCs w:val="22"/>
        </w:rPr>
      </w:pPr>
    </w:p>
    <w:p w14:paraId="490FB61C" w14:textId="77777777" w:rsidR="005147FC" w:rsidRPr="002B579F" w:rsidRDefault="005147FC" w:rsidP="005147FC">
      <w:pPr>
        <w:spacing w:after="200" w:line="276" w:lineRule="auto"/>
        <w:rPr>
          <w:rFonts w:ascii="Cambria" w:hAnsi="Cambria" w:cs="Arial"/>
          <w:b/>
          <w:bCs/>
          <w:sz w:val="22"/>
          <w:szCs w:val="22"/>
          <w:lang w:val="en-GB" w:eastAsia="en-GB"/>
        </w:rPr>
      </w:pPr>
      <w:r w:rsidRPr="002B579F">
        <w:rPr>
          <w:rFonts w:ascii="Cambria" w:hAnsi="Cambria" w:cs="Arial"/>
          <w:b/>
          <w:bCs/>
          <w:sz w:val="22"/>
          <w:szCs w:val="22"/>
          <w:lang w:val="en-GB" w:eastAsia="en-GB"/>
        </w:rPr>
        <w:t>COMPETING INTERESTS DISCLAIMER:</w:t>
      </w:r>
    </w:p>
    <w:p w14:paraId="7ACA2AE8" w14:textId="77777777" w:rsidR="005147FC" w:rsidRPr="002B579F" w:rsidRDefault="005147FC" w:rsidP="005147FC">
      <w:pPr>
        <w:spacing w:after="200" w:line="276" w:lineRule="auto"/>
        <w:rPr>
          <w:rFonts w:ascii="Cambria" w:hAnsi="Cambria"/>
          <w:sz w:val="22"/>
          <w:szCs w:val="22"/>
          <w:lang w:val="en-GB" w:eastAsia="en-GB"/>
        </w:rPr>
      </w:pPr>
      <w:r w:rsidRPr="002B579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38DD0536" w14:textId="77777777" w:rsidR="005147FC" w:rsidRPr="002B579F" w:rsidRDefault="005147FC" w:rsidP="00D56497">
      <w:pPr>
        <w:pStyle w:val="ReferHead"/>
        <w:spacing w:after="0"/>
        <w:jc w:val="both"/>
        <w:rPr>
          <w:rFonts w:ascii="Arial" w:hAnsi="Arial" w:cs="Arial"/>
          <w:b w:val="0"/>
          <w:caps w:val="0"/>
          <w:color w:val="000000" w:themeColor="text1"/>
          <w:sz w:val="20"/>
        </w:rPr>
      </w:pPr>
    </w:p>
    <w:p w14:paraId="121DB712" w14:textId="77777777" w:rsidR="0069422B" w:rsidRPr="002B579F" w:rsidRDefault="0069422B" w:rsidP="00D56497">
      <w:pPr>
        <w:pStyle w:val="ReferHead"/>
        <w:spacing w:after="0"/>
        <w:jc w:val="both"/>
        <w:rPr>
          <w:rFonts w:ascii="Arial" w:hAnsi="Arial" w:cs="Arial"/>
          <w:b w:val="0"/>
          <w:caps w:val="0"/>
          <w:color w:val="000000" w:themeColor="text1"/>
          <w:sz w:val="20"/>
        </w:rPr>
      </w:pPr>
    </w:p>
    <w:p w14:paraId="1904E7D6" w14:textId="77777777" w:rsidR="00860000" w:rsidRPr="002B579F" w:rsidRDefault="00860000" w:rsidP="00441B6F">
      <w:pPr>
        <w:pStyle w:val="ReferHead"/>
        <w:spacing w:after="0"/>
        <w:jc w:val="both"/>
        <w:rPr>
          <w:rFonts w:ascii="Arial" w:hAnsi="Arial" w:cs="Arial"/>
          <w:b w:val="0"/>
          <w:caps w:val="0"/>
          <w:color w:val="000000" w:themeColor="text1"/>
          <w:sz w:val="20"/>
          <w:u w:val="single"/>
        </w:rPr>
      </w:pPr>
    </w:p>
    <w:p w14:paraId="6C3EBC5B" w14:textId="77777777" w:rsidR="00B01FCD" w:rsidRPr="002B579F" w:rsidRDefault="00B01FCD" w:rsidP="00441B6F">
      <w:pPr>
        <w:pStyle w:val="ReferHead"/>
        <w:spacing w:after="0"/>
        <w:jc w:val="both"/>
        <w:rPr>
          <w:rFonts w:ascii="Arial" w:hAnsi="Arial" w:cs="Arial"/>
        </w:rPr>
      </w:pPr>
      <w:r w:rsidRPr="002B579F">
        <w:rPr>
          <w:rFonts w:ascii="Arial" w:hAnsi="Arial" w:cs="Arial"/>
        </w:rPr>
        <w:t>References</w:t>
      </w:r>
    </w:p>
    <w:p w14:paraId="3DCCD111" w14:textId="77777777" w:rsidR="00790ADA" w:rsidRPr="002B579F" w:rsidRDefault="00790ADA" w:rsidP="00441B6F">
      <w:pPr>
        <w:pStyle w:val="ReferHead"/>
        <w:spacing w:after="0"/>
        <w:jc w:val="both"/>
        <w:rPr>
          <w:rFonts w:ascii="Arial" w:hAnsi="Arial" w:cs="Arial"/>
        </w:rPr>
      </w:pPr>
    </w:p>
    <w:p w14:paraId="757D4321" w14:textId="77777777" w:rsidR="007018BA" w:rsidRPr="002B579F" w:rsidRDefault="007018BA" w:rsidP="00F45906">
      <w:pPr>
        <w:pStyle w:val="Reference"/>
        <w:numPr>
          <w:ilvl w:val="0"/>
          <w:numId w:val="0"/>
        </w:numPr>
        <w:ind w:left="360"/>
      </w:pPr>
    </w:p>
    <w:p w14:paraId="52388A0F"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 Abubakar, F. I., Oche, O. M., Kaoje, A. U., Garba, B. I., Abubakar, M. J., &amp; Ahmed, H. K. (2025). Prevalence and associated risk factors of acute respiratory tract infections among under-five children in a tertiary hospital in Nigeria. BMC Pediatrics, 25, Article 880. </w:t>
      </w:r>
      <w:hyperlink r:id="rId15" w:history="1">
        <w:r w:rsidRPr="00C14BDA">
          <w:rPr>
            <w:rFonts w:ascii="Times New Roman" w:hAnsi="Times New Roman"/>
            <w:color w:val="0000FF"/>
            <w:sz w:val="24"/>
            <w:szCs w:val="24"/>
            <w:u w:val="single"/>
          </w:rPr>
          <w:t>https://doi.org/10.1186/s12887-025-06193-4</w:t>
        </w:r>
      </w:hyperlink>
    </w:p>
    <w:p w14:paraId="5E153A3D"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 Adamu, A., &amp; Ango, U. M. (2024). Health-seeking behavior among mothers of under-five children in Sokoto Metropolis, Sokoto, Nigeria. Annals of African Medicine, 23(3), 335–342. </w:t>
      </w:r>
      <w:hyperlink r:id="rId16" w:history="1">
        <w:r w:rsidRPr="00C14BDA">
          <w:rPr>
            <w:rFonts w:ascii="Times New Roman" w:hAnsi="Times New Roman"/>
            <w:color w:val="0000FF"/>
            <w:sz w:val="24"/>
            <w:szCs w:val="24"/>
            <w:u w:val="single"/>
          </w:rPr>
          <w:t>https://doi.org/10.4103/aam.aam_112_23</w:t>
        </w:r>
      </w:hyperlink>
    </w:p>
    <w:p w14:paraId="6F68195D"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3. Adeoti, I. G., &amp; Cavallaro, F. L. (2022). Determinants of care-seeking </w:t>
      </w:r>
      <w:proofErr w:type="spellStart"/>
      <w:r w:rsidRPr="00C14BDA">
        <w:rPr>
          <w:rFonts w:ascii="Times New Roman" w:hAnsi="Times New Roman"/>
          <w:sz w:val="24"/>
          <w:szCs w:val="24"/>
        </w:rPr>
        <w:t>behaviour</w:t>
      </w:r>
      <w:proofErr w:type="spellEnd"/>
      <w:r w:rsidRPr="00C14BDA">
        <w:rPr>
          <w:rFonts w:ascii="Times New Roman" w:hAnsi="Times New Roman"/>
          <w:sz w:val="24"/>
          <w:szCs w:val="24"/>
        </w:rPr>
        <w:t xml:space="preserve"> for fever, acute respiratory infection and </w:t>
      </w:r>
      <w:proofErr w:type="spellStart"/>
      <w:r w:rsidRPr="00C14BDA">
        <w:rPr>
          <w:rFonts w:ascii="Times New Roman" w:hAnsi="Times New Roman"/>
          <w:sz w:val="24"/>
          <w:szCs w:val="24"/>
        </w:rPr>
        <w:t>diarrhoea</w:t>
      </w:r>
      <w:proofErr w:type="spellEnd"/>
      <w:r w:rsidRPr="00C14BDA">
        <w:rPr>
          <w:rFonts w:ascii="Times New Roman" w:hAnsi="Times New Roman"/>
          <w:sz w:val="24"/>
          <w:szCs w:val="24"/>
        </w:rPr>
        <w:t xml:space="preserve"> among children under five in Nigeria. PLOS ONE, 17(9), Article e0273901. </w:t>
      </w:r>
      <w:hyperlink r:id="rId17" w:history="1">
        <w:r w:rsidRPr="00C14BDA">
          <w:rPr>
            <w:rFonts w:ascii="Times New Roman" w:hAnsi="Times New Roman"/>
            <w:color w:val="0000FF"/>
            <w:sz w:val="24"/>
            <w:szCs w:val="24"/>
            <w:u w:val="single"/>
          </w:rPr>
          <w:t>https://doi.org/10.1371/journal.pone.0273901</w:t>
        </w:r>
      </w:hyperlink>
    </w:p>
    <w:p w14:paraId="07A1F183"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4. Bakare, A. A., King, C., Salako, J., Bakare, D., Uchendu, O. C., Burgess, R. A., Shittu, F., Iuliano, A., Isah, A., Ahmed, T., Ahmar, S., Valentine, P., </w:t>
      </w:r>
      <w:proofErr w:type="spellStart"/>
      <w:r w:rsidRPr="00C14BDA">
        <w:rPr>
          <w:rFonts w:ascii="Times New Roman" w:hAnsi="Times New Roman"/>
          <w:sz w:val="24"/>
          <w:szCs w:val="24"/>
        </w:rPr>
        <w:t>Olowookere</w:t>
      </w:r>
      <w:proofErr w:type="spellEnd"/>
      <w:r w:rsidRPr="00C14BDA">
        <w:rPr>
          <w:rFonts w:ascii="Times New Roman" w:hAnsi="Times New Roman"/>
          <w:sz w:val="24"/>
          <w:szCs w:val="24"/>
        </w:rPr>
        <w:t xml:space="preserve">, T. F., McCollum, E. D., Colbourn, T., Falade, A. G., &amp; Graham, H. R. (2023). Pneumonia knowledge and care seeking behavior for children under-five years in Jigawa, Northwest Nigeria: A cross-sectional study. Frontiers in Public Health, 11, Article 1198225. </w:t>
      </w:r>
      <w:hyperlink r:id="rId18" w:history="1">
        <w:r w:rsidRPr="00C14BDA">
          <w:rPr>
            <w:rFonts w:ascii="Times New Roman" w:hAnsi="Times New Roman"/>
            <w:color w:val="0000FF"/>
            <w:sz w:val="24"/>
            <w:szCs w:val="24"/>
            <w:u w:val="single"/>
          </w:rPr>
          <w:t>https://doi.org/10.3389/fpubh.2023.1198225</w:t>
        </w:r>
      </w:hyperlink>
    </w:p>
    <w:p w14:paraId="6ABAD148"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5. </w:t>
      </w:r>
      <w:proofErr w:type="spellStart"/>
      <w:r w:rsidRPr="00C14BDA">
        <w:rPr>
          <w:rFonts w:ascii="Times New Roman" w:hAnsi="Times New Roman"/>
          <w:sz w:val="24"/>
          <w:szCs w:val="24"/>
        </w:rPr>
        <w:t>Bakchi</w:t>
      </w:r>
      <w:proofErr w:type="spellEnd"/>
      <w:r w:rsidRPr="00C14BDA">
        <w:rPr>
          <w:rFonts w:ascii="Times New Roman" w:hAnsi="Times New Roman"/>
          <w:sz w:val="24"/>
          <w:szCs w:val="24"/>
        </w:rPr>
        <w:t xml:space="preserve">, J., Rasel, R. A., </w:t>
      </w:r>
      <w:proofErr w:type="spellStart"/>
      <w:r w:rsidRPr="00C14BDA">
        <w:rPr>
          <w:rFonts w:ascii="Times New Roman" w:hAnsi="Times New Roman"/>
          <w:sz w:val="24"/>
          <w:szCs w:val="24"/>
        </w:rPr>
        <w:t>Shammi</w:t>
      </w:r>
      <w:proofErr w:type="spellEnd"/>
      <w:r w:rsidRPr="00C14BDA">
        <w:rPr>
          <w:rFonts w:ascii="Times New Roman" w:hAnsi="Times New Roman"/>
          <w:sz w:val="24"/>
          <w:szCs w:val="24"/>
        </w:rPr>
        <w:t xml:space="preserve">, K. F., Ferdous, S., Sultana, S., &amp; Rabeya, M. R. (2024). Effect of housing construction material on childhood acute respiratory infection: A </w:t>
      </w:r>
      <w:proofErr w:type="gramStart"/>
      <w:r w:rsidRPr="00C14BDA">
        <w:rPr>
          <w:rFonts w:ascii="Times New Roman" w:hAnsi="Times New Roman"/>
          <w:sz w:val="24"/>
          <w:szCs w:val="24"/>
        </w:rPr>
        <w:t>hospital based</w:t>
      </w:r>
      <w:proofErr w:type="gramEnd"/>
      <w:r w:rsidRPr="00C14BDA">
        <w:rPr>
          <w:rFonts w:ascii="Times New Roman" w:hAnsi="Times New Roman"/>
          <w:sz w:val="24"/>
          <w:szCs w:val="24"/>
        </w:rPr>
        <w:t xml:space="preserve"> case control study in Bangladesh. Scientific Reports, 14, Article 8163. </w:t>
      </w:r>
      <w:hyperlink r:id="rId19" w:history="1">
        <w:r w:rsidRPr="00C14BDA">
          <w:rPr>
            <w:rFonts w:ascii="Times New Roman" w:hAnsi="Times New Roman"/>
            <w:color w:val="0000FF"/>
            <w:sz w:val="24"/>
            <w:szCs w:val="24"/>
            <w:u w:val="single"/>
          </w:rPr>
          <w:t>https://doi.org/10.1038/s41598-024-57820-6</w:t>
        </w:r>
      </w:hyperlink>
    </w:p>
    <w:p w14:paraId="1BFB94D2"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6. Bassey, T. I., </w:t>
      </w:r>
      <w:proofErr w:type="spellStart"/>
      <w:r w:rsidRPr="00C14BDA">
        <w:rPr>
          <w:rFonts w:ascii="Times New Roman" w:hAnsi="Times New Roman"/>
          <w:sz w:val="24"/>
          <w:szCs w:val="24"/>
        </w:rPr>
        <w:t>Awelewa</w:t>
      </w:r>
      <w:proofErr w:type="spellEnd"/>
      <w:r w:rsidRPr="00C14BDA">
        <w:rPr>
          <w:rFonts w:ascii="Times New Roman" w:hAnsi="Times New Roman"/>
          <w:sz w:val="24"/>
          <w:szCs w:val="24"/>
        </w:rPr>
        <w:t xml:space="preserve">, O. F., Gbadegesin, A. S., &amp; Addie, O. O. (2026). State-level spatial pattern of caregiver-reported acute respiratory infection symptoms among children under five in Nigeria: Evidence from the 2021 MICS. Journal of </w:t>
      </w:r>
      <w:proofErr w:type="spellStart"/>
      <w:r w:rsidRPr="00C14BDA">
        <w:rPr>
          <w:rFonts w:ascii="Times New Roman" w:hAnsi="Times New Roman"/>
          <w:sz w:val="24"/>
          <w:szCs w:val="24"/>
        </w:rPr>
        <w:t>Enviromental</w:t>
      </w:r>
      <w:proofErr w:type="spellEnd"/>
      <w:r w:rsidRPr="00C14BDA">
        <w:rPr>
          <w:rFonts w:ascii="Times New Roman" w:hAnsi="Times New Roman"/>
          <w:sz w:val="24"/>
          <w:szCs w:val="24"/>
        </w:rPr>
        <w:t xml:space="preserve"> Sciences and Built </w:t>
      </w:r>
      <w:proofErr w:type="spellStart"/>
      <w:r w:rsidRPr="00C14BDA">
        <w:rPr>
          <w:rFonts w:ascii="Times New Roman" w:hAnsi="Times New Roman"/>
          <w:sz w:val="24"/>
          <w:szCs w:val="24"/>
        </w:rPr>
        <w:t>Environental</w:t>
      </w:r>
      <w:proofErr w:type="spellEnd"/>
      <w:r w:rsidRPr="00C14BDA">
        <w:rPr>
          <w:rFonts w:ascii="Times New Roman" w:hAnsi="Times New Roman"/>
          <w:sz w:val="24"/>
          <w:szCs w:val="24"/>
        </w:rPr>
        <w:t xml:space="preserve"> Research, 1(2), 346–354. </w:t>
      </w:r>
      <w:hyperlink r:id="rId20" w:history="1">
        <w:r w:rsidRPr="00C14BDA">
          <w:rPr>
            <w:rFonts w:ascii="Times New Roman" w:hAnsi="Times New Roman"/>
            <w:color w:val="0000FF"/>
            <w:sz w:val="24"/>
            <w:szCs w:val="24"/>
            <w:u w:val="single"/>
          </w:rPr>
          <w:t>https://www.jesber-unical.org.ng/index.php/home/article/view/82</w:t>
        </w:r>
      </w:hyperlink>
    </w:p>
    <w:p w14:paraId="1D88F1B7"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7. Bura, T., Doke, S., &amp; Sinaga, M. (2021). Relationship between the physical environment of house and the incidence of acute respiratory infections in children under five in </w:t>
      </w:r>
      <w:proofErr w:type="spellStart"/>
      <w:r w:rsidRPr="00C14BDA">
        <w:rPr>
          <w:rFonts w:ascii="Times New Roman" w:hAnsi="Times New Roman"/>
          <w:sz w:val="24"/>
          <w:szCs w:val="24"/>
        </w:rPr>
        <w:t>Ngada</w:t>
      </w:r>
      <w:proofErr w:type="spellEnd"/>
      <w:r w:rsidRPr="00C14BDA">
        <w:rPr>
          <w:rFonts w:ascii="Times New Roman" w:hAnsi="Times New Roman"/>
          <w:sz w:val="24"/>
          <w:szCs w:val="24"/>
        </w:rPr>
        <w:t xml:space="preserve"> Regency. Lontar: Journal of Community Health, 3(1), 20–30. </w:t>
      </w:r>
      <w:hyperlink r:id="rId21" w:history="1">
        <w:r w:rsidRPr="00C14BDA">
          <w:rPr>
            <w:rFonts w:ascii="Times New Roman" w:hAnsi="Times New Roman"/>
            <w:color w:val="0000FF"/>
            <w:sz w:val="24"/>
            <w:szCs w:val="24"/>
            <w:u w:val="single"/>
          </w:rPr>
          <w:t>https://doi.org/10.35508/ljch.v3i1.3783</w:t>
        </w:r>
      </w:hyperlink>
    </w:p>
    <w:p w14:paraId="29ADC084"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8. </w:t>
      </w:r>
      <w:proofErr w:type="spellStart"/>
      <w:r w:rsidRPr="00C14BDA">
        <w:rPr>
          <w:rFonts w:ascii="Times New Roman" w:hAnsi="Times New Roman"/>
          <w:sz w:val="24"/>
          <w:szCs w:val="24"/>
        </w:rPr>
        <w:t>Desye</w:t>
      </w:r>
      <w:proofErr w:type="spellEnd"/>
      <w:r w:rsidRPr="00C14BDA">
        <w:rPr>
          <w:rFonts w:ascii="Times New Roman" w:hAnsi="Times New Roman"/>
          <w:sz w:val="24"/>
          <w:szCs w:val="24"/>
        </w:rPr>
        <w:t xml:space="preserve">, B., Geto, A. K., Daba, C., Berihun, G., &amp; Berhanu, L. (2025). Indoor air pollution exposure and acute respiratory infection among under-five children in low- and middle-income countries: A systematic review and meta-analysis of epidemiological studies. BMC Infectious Diseases, 25, Article 1808. </w:t>
      </w:r>
      <w:hyperlink r:id="rId22" w:history="1">
        <w:r w:rsidRPr="00C14BDA">
          <w:rPr>
            <w:rFonts w:ascii="Times New Roman" w:hAnsi="Times New Roman"/>
            <w:color w:val="0000FF"/>
            <w:sz w:val="24"/>
            <w:szCs w:val="24"/>
            <w:u w:val="single"/>
          </w:rPr>
          <w:t>https://doi.org/10.1186/s12879-025-12148-y</w:t>
        </w:r>
      </w:hyperlink>
    </w:p>
    <w:p w14:paraId="09BF42ED"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9. Dougherty, L., Gilroy, K., Olayemi, A., </w:t>
      </w:r>
      <w:proofErr w:type="spellStart"/>
      <w:r w:rsidRPr="00C14BDA">
        <w:rPr>
          <w:rFonts w:ascii="Times New Roman" w:hAnsi="Times New Roman"/>
          <w:sz w:val="24"/>
          <w:szCs w:val="24"/>
        </w:rPr>
        <w:t>Ogesanmola</w:t>
      </w:r>
      <w:proofErr w:type="spellEnd"/>
      <w:r w:rsidRPr="00C14BDA">
        <w:rPr>
          <w:rFonts w:ascii="Times New Roman" w:hAnsi="Times New Roman"/>
          <w:sz w:val="24"/>
          <w:szCs w:val="24"/>
        </w:rPr>
        <w:t xml:space="preserve">, O., Ogaga, F., Nweze, C., Banerjee, J., </w:t>
      </w:r>
      <w:proofErr w:type="spellStart"/>
      <w:r w:rsidRPr="00C14BDA">
        <w:rPr>
          <w:rFonts w:ascii="Times New Roman" w:hAnsi="Times New Roman"/>
          <w:sz w:val="24"/>
          <w:szCs w:val="24"/>
        </w:rPr>
        <w:t>Oduenyi</w:t>
      </w:r>
      <w:proofErr w:type="spellEnd"/>
      <w:r w:rsidRPr="00C14BDA">
        <w:rPr>
          <w:rFonts w:ascii="Times New Roman" w:hAnsi="Times New Roman"/>
          <w:sz w:val="24"/>
          <w:szCs w:val="24"/>
        </w:rPr>
        <w:t xml:space="preserve">, C., &amp; </w:t>
      </w:r>
      <w:proofErr w:type="spellStart"/>
      <w:r w:rsidRPr="00C14BDA">
        <w:rPr>
          <w:rFonts w:ascii="Times New Roman" w:hAnsi="Times New Roman"/>
          <w:sz w:val="24"/>
          <w:szCs w:val="24"/>
        </w:rPr>
        <w:t>Pacqué</w:t>
      </w:r>
      <w:proofErr w:type="spellEnd"/>
      <w:r w:rsidRPr="00C14BDA">
        <w:rPr>
          <w:rFonts w:ascii="Times New Roman" w:hAnsi="Times New Roman"/>
          <w:sz w:val="24"/>
          <w:szCs w:val="24"/>
        </w:rPr>
        <w:t xml:space="preserve">, M. (2020). Understanding factors influencing care seeking for sick children in Ebonyi and Kogi States, Nigeria. BMC Public Health, 20, Article 746. </w:t>
      </w:r>
      <w:hyperlink r:id="rId23" w:history="1">
        <w:r w:rsidRPr="00C14BDA">
          <w:rPr>
            <w:rFonts w:ascii="Times New Roman" w:hAnsi="Times New Roman"/>
            <w:color w:val="0000FF"/>
            <w:sz w:val="24"/>
            <w:szCs w:val="24"/>
            <w:u w:val="single"/>
          </w:rPr>
          <w:t>https://doi.org/10.1186/s12889-020-08536-5</w:t>
        </w:r>
      </w:hyperlink>
    </w:p>
    <w:p w14:paraId="09772FB4"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10. </w:t>
      </w:r>
      <w:proofErr w:type="spellStart"/>
      <w:r w:rsidRPr="00C14BDA">
        <w:rPr>
          <w:rFonts w:ascii="Times New Roman" w:hAnsi="Times New Roman"/>
          <w:sz w:val="24"/>
          <w:szCs w:val="24"/>
        </w:rPr>
        <w:t>Ekholuenetale</w:t>
      </w:r>
      <w:proofErr w:type="spellEnd"/>
      <w:r w:rsidRPr="00C14BDA">
        <w:rPr>
          <w:rFonts w:ascii="Times New Roman" w:hAnsi="Times New Roman"/>
          <w:sz w:val="24"/>
          <w:szCs w:val="24"/>
        </w:rPr>
        <w:t xml:space="preserve">, M., Nzoputam, C. I., Okonji, O. C., Barrow, A., Wegbom, A. I., &amp; Edet, C. K. (2023). Differentials in the prevalence of acute respiratory infections among under-five children: An analysis of 37 sub-Saharan countries. Global Pediatric Health, 10, Article 2333794X231156715. </w:t>
      </w:r>
      <w:hyperlink r:id="rId24" w:history="1">
        <w:r w:rsidRPr="00C14BDA">
          <w:rPr>
            <w:rFonts w:ascii="Times New Roman" w:hAnsi="Times New Roman"/>
            <w:color w:val="0000FF"/>
            <w:sz w:val="24"/>
            <w:szCs w:val="24"/>
            <w:u w:val="single"/>
          </w:rPr>
          <w:t>https://doi.org/10.1177/2333794X231156715</w:t>
        </w:r>
      </w:hyperlink>
    </w:p>
    <w:p w14:paraId="3C6DC94F"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lastRenderedPageBreak/>
        <w:t xml:space="preserve">11. </w:t>
      </w:r>
      <w:proofErr w:type="spellStart"/>
      <w:r w:rsidRPr="00C14BDA">
        <w:rPr>
          <w:rFonts w:ascii="Times New Roman" w:hAnsi="Times New Roman"/>
          <w:sz w:val="24"/>
          <w:szCs w:val="24"/>
        </w:rPr>
        <w:t>Ekop</w:t>
      </w:r>
      <w:proofErr w:type="spellEnd"/>
      <w:r w:rsidRPr="00C14BDA">
        <w:rPr>
          <w:rFonts w:ascii="Times New Roman" w:hAnsi="Times New Roman"/>
          <w:sz w:val="24"/>
          <w:szCs w:val="24"/>
        </w:rPr>
        <w:t xml:space="preserve">, E. E., </w:t>
      </w:r>
      <w:proofErr w:type="spellStart"/>
      <w:r w:rsidRPr="00C14BDA">
        <w:rPr>
          <w:rFonts w:ascii="Times New Roman" w:hAnsi="Times New Roman"/>
          <w:sz w:val="24"/>
          <w:szCs w:val="24"/>
        </w:rPr>
        <w:t>Enefola</w:t>
      </w:r>
      <w:proofErr w:type="spellEnd"/>
      <w:r w:rsidRPr="00C14BDA">
        <w:rPr>
          <w:rFonts w:ascii="Times New Roman" w:hAnsi="Times New Roman"/>
          <w:sz w:val="24"/>
          <w:szCs w:val="24"/>
        </w:rPr>
        <w:t xml:space="preserve">, E. O., &amp; Samaila, H. (2025). Epidemiology of community acquired pneumonia in a tertiary care hospital, Abuja, Nigeria: A retrospective study. International Journal of Tropical Disease &amp; Health, 46(3), 75–81. </w:t>
      </w:r>
      <w:hyperlink r:id="rId25" w:history="1">
        <w:r w:rsidRPr="00C14BDA">
          <w:rPr>
            <w:rFonts w:ascii="Times New Roman" w:hAnsi="Times New Roman"/>
            <w:color w:val="0000FF"/>
            <w:sz w:val="24"/>
            <w:szCs w:val="24"/>
            <w:u w:val="single"/>
          </w:rPr>
          <w:t>https://doi.org/10.9734/ijtdh/2025/v46i31639</w:t>
        </w:r>
      </w:hyperlink>
    </w:p>
    <w:p w14:paraId="5AD0A906"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12. Enyew, H. D., Mereta, S. T., &amp; Hailu, A. B. (2021). Biomass fuel use and acute respiratory infection among children younger than 5 years in Ethiopia: A systematic review and meta-analysis. Public Health, 193, 29–40. </w:t>
      </w:r>
      <w:hyperlink r:id="rId26" w:history="1">
        <w:r w:rsidRPr="00C14BDA">
          <w:rPr>
            <w:rFonts w:ascii="Times New Roman" w:hAnsi="Times New Roman"/>
            <w:color w:val="0000FF"/>
            <w:sz w:val="24"/>
            <w:szCs w:val="24"/>
            <w:u w:val="single"/>
          </w:rPr>
          <w:t>https://doi.org/10.1016/j.puhe.2020.12.016</w:t>
        </w:r>
      </w:hyperlink>
    </w:p>
    <w:p w14:paraId="11F13668"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13. Federal Ministry of Health and Social Welfare of Nigeria, National Population Commission (Nigeria), &amp; ICF. (2025). Nigeria demographic and health survey 2024. </w:t>
      </w:r>
      <w:hyperlink r:id="rId27" w:history="1">
        <w:r w:rsidRPr="00C14BDA">
          <w:rPr>
            <w:rFonts w:ascii="Times New Roman" w:hAnsi="Times New Roman"/>
            <w:color w:val="0000FF"/>
            <w:sz w:val="24"/>
            <w:szCs w:val="24"/>
            <w:u w:val="single"/>
          </w:rPr>
          <w:t>https://www.health.gov.ng/wp-content/uploads/2025/10/NDHS-2024-Final-Report_Disseminated17102025.pdf</w:t>
        </w:r>
      </w:hyperlink>
    </w:p>
    <w:p w14:paraId="6DC0E47B"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14. Islam, M., Islam, K., Dalal, K., &amp; Hossain </w:t>
      </w:r>
      <w:proofErr w:type="spellStart"/>
      <w:r w:rsidRPr="00C14BDA">
        <w:rPr>
          <w:rFonts w:ascii="Times New Roman" w:hAnsi="Times New Roman"/>
          <w:sz w:val="24"/>
          <w:szCs w:val="24"/>
        </w:rPr>
        <w:t>Hawlader</w:t>
      </w:r>
      <w:proofErr w:type="spellEnd"/>
      <w:r w:rsidRPr="00C14BDA">
        <w:rPr>
          <w:rFonts w:ascii="Times New Roman" w:hAnsi="Times New Roman"/>
          <w:sz w:val="24"/>
          <w:szCs w:val="24"/>
        </w:rPr>
        <w:t xml:space="preserve">, M. D. (2024). In-house environmental factors and childhood acute respiratory infections in under-five children: A hospital-based matched case-control study in Bangladesh. BMC Pediatrics, 24, Article 38. </w:t>
      </w:r>
      <w:hyperlink r:id="rId28" w:history="1">
        <w:r w:rsidRPr="00C14BDA">
          <w:rPr>
            <w:rFonts w:ascii="Times New Roman" w:hAnsi="Times New Roman"/>
            <w:color w:val="0000FF"/>
            <w:sz w:val="24"/>
            <w:szCs w:val="24"/>
            <w:u w:val="single"/>
          </w:rPr>
          <w:t>https://doi.org/10.1186/s12887-024-04525-4</w:t>
        </w:r>
      </w:hyperlink>
    </w:p>
    <w:p w14:paraId="1C0A4570"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15. Mangeni, J. N., Menya, D., </w:t>
      </w:r>
      <w:proofErr w:type="spellStart"/>
      <w:r w:rsidRPr="00C14BDA">
        <w:rPr>
          <w:rFonts w:ascii="Times New Roman" w:hAnsi="Times New Roman"/>
          <w:sz w:val="24"/>
          <w:szCs w:val="24"/>
        </w:rPr>
        <w:t>Mwitari</w:t>
      </w:r>
      <w:proofErr w:type="spellEnd"/>
      <w:r w:rsidRPr="00C14BDA">
        <w:rPr>
          <w:rFonts w:ascii="Times New Roman" w:hAnsi="Times New Roman"/>
          <w:sz w:val="24"/>
          <w:szCs w:val="24"/>
        </w:rPr>
        <w:t xml:space="preserve">, J., </w:t>
      </w:r>
      <w:proofErr w:type="spellStart"/>
      <w:r w:rsidRPr="00C14BDA">
        <w:rPr>
          <w:rFonts w:ascii="Times New Roman" w:hAnsi="Times New Roman"/>
          <w:sz w:val="24"/>
          <w:szCs w:val="24"/>
        </w:rPr>
        <w:t>Shupler</w:t>
      </w:r>
      <w:proofErr w:type="spellEnd"/>
      <w:r w:rsidRPr="00C14BDA">
        <w:rPr>
          <w:rFonts w:ascii="Times New Roman" w:hAnsi="Times New Roman"/>
          <w:sz w:val="24"/>
          <w:szCs w:val="24"/>
        </w:rPr>
        <w:t xml:space="preserve">, M., Anderson de Cuevas, R., Sang, E., </w:t>
      </w:r>
      <w:proofErr w:type="spellStart"/>
      <w:r w:rsidRPr="00C14BDA">
        <w:rPr>
          <w:rFonts w:ascii="Times New Roman" w:hAnsi="Times New Roman"/>
          <w:sz w:val="24"/>
          <w:szCs w:val="24"/>
        </w:rPr>
        <w:t>Anabwani</w:t>
      </w:r>
      <w:proofErr w:type="spellEnd"/>
      <w:r w:rsidRPr="00C14BDA">
        <w:rPr>
          <w:rFonts w:ascii="Times New Roman" w:hAnsi="Times New Roman"/>
          <w:sz w:val="24"/>
          <w:szCs w:val="24"/>
        </w:rPr>
        <w:t xml:space="preserve">, E., Sutton, N., Nix, E., Ronzi, S., Pope, D., </w:t>
      </w:r>
      <w:proofErr w:type="spellStart"/>
      <w:r w:rsidRPr="00C14BDA">
        <w:rPr>
          <w:rFonts w:ascii="Times New Roman" w:hAnsi="Times New Roman"/>
          <w:sz w:val="24"/>
          <w:szCs w:val="24"/>
        </w:rPr>
        <w:t>Puzzolo</w:t>
      </w:r>
      <w:proofErr w:type="spellEnd"/>
      <w:r w:rsidRPr="00C14BDA">
        <w:rPr>
          <w:rFonts w:ascii="Times New Roman" w:hAnsi="Times New Roman"/>
          <w:sz w:val="24"/>
          <w:szCs w:val="24"/>
        </w:rPr>
        <w:t xml:space="preserve">, E., &amp; Asante, K. P. (2025). Household cooking fuel choice and associated factors in a rural and peri-urban community in Western Kenya. Energy &amp; Environment, 36(2), 870–887. </w:t>
      </w:r>
      <w:hyperlink r:id="rId29" w:history="1">
        <w:r w:rsidRPr="00C14BDA">
          <w:rPr>
            <w:rFonts w:ascii="Times New Roman" w:hAnsi="Times New Roman"/>
            <w:color w:val="0000FF"/>
            <w:sz w:val="24"/>
            <w:szCs w:val="24"/>
            <w:u w:val="single"/>
          </w:rPr>
          <w:t>https://doi.org/10.1177/0958305X231185338</w:t>
        </w:r>
      </w:hyperlink>
    </w:p>
    <w:p w14:paraId="51168BD0"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16. Oluwaseun, A., &amp; Seun-Addie, F. K. (2025). Reducing acute respiratory infections in under-five children in Nigeria through the mirror of risk factors: A cross-sectional study. BMC Public Health, 25, Article 1948. </w:t>
      </w:r>
      <w:hyperlink r:id="rId30" w:history="1">
        <w:r w:rsidRPr="00C14BDA">
          <w:rPr>
            <w:rFonts w:ascii="Times New Roman" w:hAnsi="Times New Roman"/>
            <w:color w:val="0000FF"/>
            <w:sz w:val="24"/>
            <w:szCs w:val="24"/>
            <w:u w:val="single"/>
          </w:rPr>
          <w:t>https://doi.org/10.1186/s12889-025-23148-7</w:t>
        </w:r>
      </w:hyperlink>
    </w:p>
    <w:p w14:paraId="68FE9841"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17. </w:t>
      </w:r>
      <w:proofErr w:type="spellStart"/>
      <w:r w:rsidRPr="00C14BDA">
        <w:rPr>
          <w:rFonts w:ascii="Times New Roman" w:hAnsi="Times New Roman"/>
          <w:sz w:val="24"/>
          <w:szCs w:val="24"/>
        </w:rPr>
        <w:t>Orimadegun</w:t>
      </w:r>
      <w:proofErr w:type="spellEnd"/>
      <w:r w:rsidRPr="00C14BDA">
        <w:rPr>
          <w:rFonts w:ascii="Times New Roman" w:hAnsi="Times New Roman"/>
          <w:sz w:val="24"/>
          <w:szCs w:val="24"/>
        </w:rPr>
        <w:t xml:space="preserve">, A. E., &amp; Myer, L. (2019). Sex-specific prevalence and trends in acute respiratory infection episodes among children less than 5 years in Nigeria. Nigerian Journal of Clinical Practice, 22(11), 1590–1599. </w:t>
      </w:r>
      <w:hyperlink r:id="rId31" w:history="1">
        <w:r w:rsidRPr="00C14BDA">
          <w:rPr>
            <w:rFonts w:ascii="Times New Roman" w:hAnsi="Times New Roman"/>
            <w:color w:val="0000FF"/>
            <w:sz w:val="24"/>
            <w:szCs w:val="24"/>
            <w:u w:val="single"/>
          </w:rPr>
          <w:t>https://doi.org/10.4103/njcp.njcp_34_19</w:t>
        </w:r>
      </w:hyperlink>
    </w:p>
    <w:p w14:paraId="0A23F2D2"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18. </w:t>
      </w:r>
      <w:proofErr w:type="spellStart"/>
      <w:r w:rsidRPr="00C14BDA">
        <w:rPr>
          <w:rFonts w:ascii="Times New Roman" w:hAnsi="Times New Roman"/>
          <w:sz w:val="24"/>
          <w:szCs w:val="24"/>
        </w:rPr>
        <w:t>Orimadegun</w:t>
      </w:r>
      <w:proofErr w:type="spellEnd"/>
      <w:r w:rsidRPr="00C14BDA">
        <w:rPr>
          <w:rFonts w:ascii="Times New Roman" w:hAnsi="Times New Roman"/>
          <w:sz w:val="24"/>
          <w:szCs w:val="24"/>
        </w:rPr>
        <w:t xml:space="preserve">, A. E., Adepoju, A. A., &amp; Myer, L. (2020). A systematic review and meta-analysis of sex differences in morbidity and mortality of acute lower respiratory tract infections among African children. Journal of Pediatrics Review, 8(2), 65–78. </w:t>
      </w:r>
      <w:hyperlink r:id="rId32" w:history="1">
        <w:r w:rsidRPr="00C14BDA">
          <w:rPr>
            <w:rFonts w:ascii="Times New Roman" w:hAnsi="Times New Roman"/>
            <w:color w:val="0000FF"/>
            <w:sz w:val="24"/>
            <w:szCs w:val="24"/>
            <w:u w:val="single"/>
          </w:rPr>
          <w:t>https://doi.org/10.32598/jpr.8.2.65</w:t>
        </w:r>
      </w:hyperlink>
    </w:p>
    <w:p w14:paraId="202729C6"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19. Sarfo, J. O., </w:t>
      </w:r>
      <w:proofErr w:type="spellStart"/>
      <w:r w:rsidRPr="00C14BDA">
        <w:rPr>
          <w:rFonts w:ascii="Times New Roman" w:hAnsi="Times New Roman"/>
          <w:sz w:val="24"/>
          <w:szCs w:val="24"/>
        </w:rPr>
        <w:t>Amoadu</w:t>
      </w:r>
      <w:proofErr w:type="spellEnd"/>
      <w:r w:rsidRPr="00C14BDA">
        <w:rPr>
          <w:rFonts w:ascii="Times New Roman" w:hAnsi="Times New Roman"/>
          <w:sz w:val="24"/>
          <w:szCs w:val="24"/>
        </w:rPr>
        <w:t xml:space="preserve">, M., Gyan, T. B., Osman, A.-G., </w:t>
      </w:r>
      <w:proofErr w:type="spellStart"/>
      <w:r w:rsidRPr="00C14BDA">
        <w:rPr>
          <w:rFonts w:ascii="Times New Roman" w:hAnsi="Times New Roman"/>
          <w:sz w:val="24"/>
          <w:szCs w:val="24"/>
        </w:rPr>
        <w:t>Kordorwu</w:t>
      </w:r>
      <w:proofErr w:type="spellEnd"/>
      <w:r w:rsidRPr="00C14BDA">
        <w:rPr>
          <w:rFonts w:ascii="Times New Roman" w:hAnsi="Times New Roman"/>
          <w:sz w:val="24"/>
          <w:szCs w:val="24"/>
        </w:rPr>
        <w:t xml:space="preserve">, P. Y., Adams, A. K., Asiedu, I., Ansah, E. W., Amponsah-Manu, F., &amp; Ofosu-Appiah, P. (2023). Acute lower respiratory infections among children under five in sub-Saharan Africa: A scoping review of prevalence and risk factors. BMC Pediatrics, 23, Article 225. </w:t>
      </w:r>
      <w:hyperlink r:id="rId33" w:history="1">
        <w:r w:rsidRPr="00C14BDA">
          <w:rPr>
            <w:rFonts w:ascii="Times New Roman" w:hAnsi="Times New Roman"/>
            <w:color w:val="0000FF"/>
            <w:sz w:val="24"/>
            <w:szCs w:val="24"/>
            <w:u w:val="single"/>
          </w:rPr>
          <w:t>https://doi.org/10.1186/s12887-023-04033-x</w:t>
        </w:r>
      </w:hyperlink>
    </w:p>
    <w:p w14:paraId="197A4F59"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20. Shadrach, E. O., &amp; </w:t>
      </w:r>
      <w:proofErr w:type="spellStart"/>
      <w:r w:rsidRPr="00C14BDA">
        <w:rPr>
          <w:rFonts w:ascii="Times New Roman" w:hAnsi="Times New Roman"/>
          <w:sz w:val="24"/>
          <w:szCs w:val="24"/>
        </w:rPr>
        <w:t>Bebelade</w:t>
      </w:r>
      <w:proofErr w:type="spellEnd"/>
      <w:r w:rsidRPr="00C14BDA">
        <w:rPr>
          <w:rFonts w:ascii="Times New Roman" w:hAnsi="Times New Roman"/>
          <w:sz w:val="24"/>
          <w:szCs w:val="24"/>
        </w:rPr>
        <w:t xml:space="preserve">, S. M. (2026). The impact of air pollution on human health in Africa: A critical narrative review. Journal of Global Ecology and Environment, 22(3), 178–194. </w:t>
      </w:r>
      <w:hyperlink r:id="rId34" w:history="1">
        <w:r w:rsidRPr="00C14BDA">
          <w:rPr>
            <w:rFonts w:ascii="Times New Roman" w:hAnsi="Times New Roman"/>
            <w:color w:val="0000FF"/>
            <w:sz w:val="24"/>
            <w:szCs w:val="24"/>
            <w:u w:val="single"/>
          </w:rPr>
          <w:t>https://doi.org/10.56557/jogee/2026/v22i310798</w:t>
        </w:r>
      </w:hyperlink>
    </w:p>
    <w:p w14:paraId="0442C893"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21. </w:t>
      </w:r>
      <w:proofErr w:type="spellStart"/>
      <w:r w:rsidRPr="00C14BDA">
        <w:rPr>
          <w:rFonts w:ascii="Times New Roman" w:hAnsi="Times New Roman"/>
          <w:sz w:val="24"/>
          <w:szCs w:val="24"/>
        </w:rPr>
        <w:t>Sk</w:t>
      </w:r>
      <w:proofErr w:type="spellEnd"/>
      <w:r w:rsidRPr="00C14BDA">
        <w:rPr>
          <w:rFonts w:ascii="Times New Roman" w:hAnsi="Times New Roman"/>
          <w:sz w:val="24"/>
          <w:szCs w:val="24"/>
        </w:rPr>
        <w:t xml:space="preserve">, R., </w:t>
      </w:r>
      <w:proofErr w:type="spellStart"/>
      <w:r w:rsidRPr="00C14BDA">
        <w:rPr>
          <w:rFonts w:ascii="Times New Roman" w:hAnsi="Times New Roman"/>
          <w:sz w:val="24"/>
          <w:szCs w:val="24"/>
        </w:rPr>
        <w:t>Rasooly</w:t>
      </w:r>
      <w:proofErr w:type="spellEnd"/>
      <w:r w:rsidRPr="00C14BDA">
        <w:rPr>
          <w:rFonts w:ascii="Times New Roman" w:hAnsi="Times New Roman"/>
          <w:sz w:val="24"/>
          <w:szCs w:val="24"/>
        </w:rPr>
        <w:t xml:space="preserve">, M. H., &amp; Barua, S. (2020). Do fuel type and place of cooking matter for acute respiratory infection among Afghan children? Evidence from the Afghanistan DHS 2015. Journal of Biosocial Science, 52(1), 140–153. </w:t>
      </w:r>
      <w:hyperlink r:id="rId35" w:history="1">
        <w:r w:rsidRPr="00C14BDA">
          <w:rPr>
            <w:rFonts w:ascii="Times New Roman" w:hAnsi="Times New Roman"/>
            <w:color w:val="0000FF"/>
            <w:sz w:val="24"/>
            <w:szCs w:val="24"/>
            <w:u w:val="single"/>
          </w:rPr>
          <w:t>https://doi.org/10.1017/S002193201900035X</w:t>
        </w:r>
      </w:hyperlink>
    </w:p>
    <w:p w14:paraId="11156E92"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22. World Health Organization. (2022). Pneumonia in children. </w:t>
      </w:r>
      <w:hyperlink r:id="rId36" w:history="1">
        <w:r w:rsidRPr="00C14BDA">
          <w:rPr>
            <w:rFonts w:ascii="Times New Roman" w:hAnsi="Times New Roman"/>
            <w:color w:val="0000FF"/>
            <w:sz w:val="24"/>
            <w:szCs w:val="24"/>
            <w:u w:val="single"/>
          </w:rPr>
          <w:t>https://www.who.int/news-room/fact-sheets/detail/pneumonia</w:t>
        </w:r>
      </w:hyperlink>
    </w:p>
    <w:p w14:paraId="7E3F8F3B"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lastRenderedPageBreak/>
        <w:t xml:space="preserve">23. World Health Organization. (2024a). Compendium of WHO and other UN guidance in health and environment, 2024 update. </w:t>
      </w:r>
      <w:hyperlink r:id="rId37" w:history="1">
        <w:r w:rsidRPr="00C14BDA">
          <w:rPr>
            <w:rFonts w:ascii="Times New Roman" w:hAnsi="Times New Roman"/>
            <w:color w:val="0000FF"/>
            <w:sz w:val="24"/>
            <w:szCs w:val="24"/>
            <w:u w:val="single"/>
          </w:rPr>
          <w:t>https://www.who.int/publications/i/item/9789240095380</w:t>
        </w:r>
      </w:hyperlink>
    </w:p>
    <w:p w14:paraId="6766D37A"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24. World Health Organization. (2024b). Guideline on management of pneumonia and </w:t>
      </w:r>
      <w:proofErr w:type="spellStart"/>
      <w:r w:rsidRPr="00C14BDA">
        <w:rPr>
          <w:rFonts w:ascii="Times New Roman" w:hAnsi="Times New Roman"/>
          <w:sz w:val="24"/>
          <w:szCs w:val="24"/>
        </w:rPr>
        <w:t>diarrhoea</w:t>
      </w:r>
      <w:proofErr w:type="spellEnd"/>
      <w:r w:rsidRPr="00C14BDA">
        <w:rPr>
          <w:rFonts w:ascii="Times New Roman" w:hAnsi="Times New Roman"/>
          <w:sz w:val="24"/>
          <w:szCs w:val="24"/>
        </w:rPr>
        <w:t xml:space="preserve"> in children up to 10 years of age. </w:t>
      </w:r>
      <w:hyperlink r:id="rId38" w:history="1">
        <w:r w:rsidRPr="00C14BDA">
          <w:rPr>
            <w:rFonts w:ascii="Times New Roman" w:hAnsi="Times New Roman"/>
            <w:color w:val="0000FF"/>
            <w:sz w:val="24"/>
            <w:szCs w:val="24"/>
            <w:u w:val="single"/>
          </w:rPr>
          <w:t>https://www.who.int/publications/i/item/9789240103412</w:t>
        </w:r>
      </w:hyperlink>
    </w:p>
    <w:p w14:paraId="6ECBD1B3" w14:textId="77777777" w:rsidR="00C14BDA" w:rsidRPr="00C14BDA" w:rsidRDefault="00C14BDA" w:rsidP="00C14BDA">
      <w:pPr>
        <w:spacing w:before="100" w:beforeAutospacing="1" w:after="100" w:afterAutospacing="1"/>
        <w:rPr>
          <w:rFonts w:ascii="Times New Roman" w:hAnsi="Times New Roman"/>
          <w:sz w:val="24"/>
          <w:szCs w:val="24"/>
        </w:rPr>
      </w:pPr>
      <w:r w:rsidRPr="00C14BDA">
        <w:rPr>
          <w:rFonts w:ascii="Times New Roman" w:hAnsi="Times New Roman"/>
          <w:sz w:val="24"/>
          <w:szCs w:val="24"/>
        </w:rPr>
        <w:t xml:space="preserve">25. Yaya, S., </w:t>
      </w:r>
      <w:proofErr w:type="spellStart"/>
      <w:r w:rsidRPr="00C14BDA">
        <w:rPr>
          <w:rFonts w:ascii="Times New Roman" w:hAnsi="Times New Roman"/>
          <w:sz w:val="24"/>
          <w:szCs w:val="24"/>
        </w:rPr>
        <w:t>Odusina</w:t>
      </w:r>
      <w:proofErr w:type="spellEnd"/>
      <w:r w:rsidRPr="00C14BDA">
        <w:rPr>
          <w:rFonts w:ascii="Times New Roman" w:hAnsi="Times New Roman"/>
          <w:sz w:val="24"/>
          <w:szCs w:val="24"/>
        </w:rPr>
        <w:t xml:space="preserve">, E. K., &amp; Adjei, N. K. (2021). Health care seeking </w:t>
      </w:r>
      <w:proofErr w:type="spellStart"/>
      <w:r w:rsidRPr="00C14BDA">
        <w:rPr>
          <w:rFonts w:ascii="Times New Roman" w:hAnsi="Times New Roman"/>
          <w:sz w:val="24"/>
          <w:szCs w:val="24"/>
        </w:rPr>
        <w:t>behaviour</w:t>
      </w:r>
      <w:proofErr w:type="spellEnd"/>
      <w:r w:rsidRPr="00C14BDA">
        <w:rPr>
          <w:rFonts w:ascii="Times New Roman" w:hAnsi="Times New Roman"/>
          <w:sz w:val="24"/>
          <w:szCs w:val="24"/>
        </w:rPr>
        <w:t xml:space="preserve"> for children with acute childhood illnesses and its relating factors in sub-Saharan Africa: Evidence from 24 countries. Tropical Medicine and Health, 49, Article 95. </w:t>
      </w:r>
      <w:hyperlink r:id="rId39" w:history="1">
        <w:r w:rsidRPr="00C14BDA">
          <w:rPr>
            <w:rFonts w:ascii="Times New Roman" w:hAnsi="Times New Roman"/>
            <w:color w:val="0000FF"/>
            <w:sz w:val="24"/>
            <w:szCs w:val="24"/>
            <w:u w:val="single"/>
          </w:rPr>
          <w:t>https://doi.org/10.1186/s41182-021-00385-1</w:t>
        </w:r>
      </w:hyperlink>
    </w:p>
    <w:p w14:paraId="3901305A" w14:textId="77777777" w:rsidR="00F45906" w:rsidRPr="004D2603" w:rsidRDefault="00F45906" w:rsidP="00347207">
      <w:pPr>
        <w:pStyle w:val="Reference"/>
        <w:numPr>
          <w:ilvl w:val="0"/>
          <w:numId w:val="0"/>
        </w:numPr>
        <w:spacing w:after="240" w:line="240" w:lineRule="auto"/>
        <w:ind w:left="360"/>
      </w:pPr>
    </w:p>
    <w:sectPr w:rsidR="00F45906" w:rsidRPr="004D2603" w:rsidSect="005147FC">
      <w:headerReference w:type="even" r:id="rId40"/>
      <w:headerReference w:type="default" r:id="rId41"/>
      <w:footerReference w:type="default" r:id="rId42"/>
      <w:headerReference w:type="first" r:id="rId4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1F6A" w14:textId="77777777" w:rsidR="004D6352" w:rsidRDefault="004D6352" w:rsidP="00C37E61">
      <w:r>
        <w:separator/>
      </w:r>
    </w:p>
  </w:endnote>
  <w:endnote w:type="continuationSeparator" w:id="0">
    <w:p w14:paraId="43E8BDBE" w14:textId="77777777" w:rsidR="004D6352" w:rsidRDefault="004D635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F7254" w14:textId="77777777" w:rsidR="00791704" w:rsidRDefault="00791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6CA0" w14:textId="77777777" w:rsidR="00C37E61" w:rsidRPr="005147FC" w:rsidRDefault="00C60627" w:rsidP="005147FC">
    <w:pPr>
      <w:pStyle w:val="Footer"/>
    </w:pPr>
    <w:r w:rsidRPr="005147FC">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218A" w14:textId="77777777" w:rsidR="00754C9A" w:rsidRPr="00791704" w:rsidRDefault="00754C9A" w:rsidP="007917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CA36"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463F" w14:textId="77777777" w:rsidR="004D6352" w:rsidRDefault="004D6352" w:rsidP="00C37E61">
      <w:r>
        <w:separator/>
      </w:r>
    </w:p>
  </w:footnote>
  <w:footnote w:type="continuationSeparator" w:id="0">
    <w:p w14:paraId="1BA7068C" w14:textId="77777777" w:rsidR="004D6352" w:rsidRDefault="004D635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EECE" w14:textId="77777777" w:rsidR="00791704" w:rsidRDefault="00000000">
    <w:pPr>
      <w:pStyle w:val="Header"/>
    </w:pPr>
    <w:r>
      <w:rPr>
        <w:noProof/>
      </w:rPr>
      <w:pict w14:anchorId="77788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5"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3128" w14:textId="77777777" w:rsidR="00791704" w:rsidRDefault="00000000">
    <w:pPr>
      <w:pStyle w:val="Header"/>
    </w:pPr>
    <w:r>
      <w:rPr>
        <w:noProof/>
      </w:rPr>
      <w:pict w14:anchorId="7DA951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6"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CBF8" w14:textId="77777777" w:rsidR="00296529" w:rsidRPr="00296529" w:rsidRDefault="00000000" w:rsidP="00296529">
    <w:pPr>
      <w:ind w:left="2160"/>
      <w:jc w:val="center"/>
      <w:rPr>
        <w:rFonts w:ascii="Times New Roman" w:eastAsia="Calibri" w:hAnsi="Times New Roman"/>
        <w:i/>
        <w:sz w:val="18"/>
        <w:szCs w:val="22"/>
      </w:rPr>
    </w:pPr>
    <w:r>
      <w:rPr>
        <w:noProof/>
      </w:rPr>
      <w:pict w14:anchorId="3DBC2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4"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34BB0E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9CD5BA9"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6425DE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B184167"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C91DCE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2D3F3D0"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ECF4" w14:textId="77777777" w:rsidR="00791704" w:rsidRDefault="00000000">
    <w:pPr>
      <w:pStyle w:val="Header"/>
    </w:pPr>
    <w:r>
      <w:rPr>
        <w:noProof/>
      </w:rPr>
      <w:pict w14:anchorId="14A1D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8"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7230144">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D336" w14:textId="77777777" w:rsidR="00791704" w:rsidRDefault="00000000">
    <w:pPr>
      <w:pStyle w:val="Header"/>
    </w:pPr>
    <w:r>
      <w:rPr>
        <w:noProof/>
      </w:rPr>
      <w:pict w14:anchorId="3F57EF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9"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8CED0F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6C8B" w14:textId="77777777" w:rsidR="00791704" w:rsidRPr="00296529" w:rsidRDefault="00000000" w:rsidP="00296529">
    <w:pPr>
      <w:ind w:left="2160"/>
      <w:jc w:val="center"/>
      <w:rPr>
        <w:rFonts w:ascii="Times New Roman" w:eastAsia="Calibri" w:hAnsi="Times New Roman"/>
        <w:i/>
        <w:sz w:val="18"/>
        <w:szCs w:val="22"/>
      </w:rPr>
    </w:pPr>
    <w:r>
      <w:rPr>
        <w:noProof/>
      </w:rPr>
      <w:pict w14:anchorId="2232E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600237"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A75C0AF">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F4DCE4F" w14:textId="77777777" w:rsidR="00791704" w:rsidRPr="00296529" w:rsidRDefault="0079170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6F0A748" w14:textId="77777777" w:rsidR="00791704" w:rsidRPr="00296529" w:rsidRDefault="0079170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94E554B" w14:textId="77777777" w:rsidR="00791704" w:rsidRPr="00296529" w:rsidRDefault="0079170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D2AD371" w14:textId="77777777" w:rsidR="00791704" w:rsidRDefault="0079170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EFE94E8" w14:textId="77777777" w:rsidR="00791704" w:rsidRDefault="0079170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7A34FB1" w14:textId="77777777" w:rsidR="00791704" w:rsidRDefault="0079170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8455425"/>
    <w:multiLevelType w:val="multilevel"/>
    <w:tmpl w:val="484554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6"/>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29"/>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7"/>
  </w:num>
  <w:num w:numId="25" w16cid:durableId="1206672560">
    <w:abstractNumId w:val="4"/>
  </w:num>
  <w:num w:numId="26" w16cid:durableId="121193178">
    <w:abstractNumId w:val="17"/>
  </w:num>
  <w:num w:numId="27" w16cid:durableId="1448308770">
    <w:abstractNumId w:val="21"/>
  </w:num>
  <w:num w:numId="28" w16cid:durableId="2027902646">
    <w:abstractNumId w:val="28"/>
  </w:num>
  <w:num w:numId="29" w16cid:durableId="452793216">
    <w:abstractNumId w:val="25"/>
  </w:num>
  <w:num w:numId="30" w16cid:durableId="511115286">
    <w:abstractNumId w:val="10"/>
  </w:num>
  <w:num w:numId="31" w16cid:durableId="5683474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xMzM1MDY2NDQzMjdQ0lEKTi0uzszPAykwrAUAEFm0sCwAAAA="/>
  </w:docVars>
  <w:rsids>
    <w:rsidRoot w:val="00AA6219"/>
    <w:rsid w:val="00000F8F"/>
    <w:rsid w:val="000251D1"/>
    <w:rsid w:val="00027A86"/>
    <w:rsid w:val="00030174"/>
    <w:rsid w:val="0004579C"/>
    <w:rsid w:val="00066C79"/>
    <w:rsid w:val="000A47FA"/>
    <w:rsid w:val="000A52FC"/>
    <w:rsid w:val="000A65D3"/>
    <w:rsid w:val="000B1E33"/>
    <w:rsid w:val="000B4795"/>
    <w:rsid w:val="000C1B2A"/>
    <w:rsid w:val="000D689F"/>
    <w:rsid w:val="000E7B7B"/>
    <w:rsid w:val="000E7D62"/>
    <w:rsid w:val="00103357"/>
    <w:rsid w:val="00107505"/>
    <w:rsid w:val="00123C9F"/>
    <w:rsid w:val="00126190"/>
    <w:rsid w:val="00130F17"/>
    <w:rsid w:val="001320BF"/>
    <w:rsid w:val="00163BC4"/>
    <w:rsid w:val="001718DF"/>
    <w:rsid w:val="00171FED"/>
    <w:rsid w:val="001751E2"/>
    <w:rsid w:val="00191062"/>
    <w:rsid w:val="00192B72"/>
    <w:rsid w:val="001A014D"/>
    <w:rsid w:val="001A29D8"/>
    <w:rsid w:val="001A5CAA"/>
    <w:rsid w:val="001B0427"/>
    <w:rsid w:val="001B2380"/>
    <w:rsid w:val="001D3A51"/>
    <w:rsid w:val="001E10D2"/>
    <w:rsid w:val="001E25B4"/>
    <w:rsid w:val="001E44FE"/>
    <w:rsid w:val="00200595"/>
    <w:rsid w:val="00204835"/>
    <w:rsid w:val="00215225"/>
    <w:rsid w:val="00217B78"/>
    <w:rsid w:val="00231920"/>
    <w:rsid w:val="0023195C"/>
    <w:rsid w:val="0024282C"/>
    <w:rsid w:val="0024464E"/>
    <w:rsid w:val="002460DC"/>
    <w:rsid w:val="00250985"/>
    <w:rsid w:val="002556F6"/>
    <w:rsid w:val="00277200"/>
    <w:rsid w:val="00282724"/>
    <w:rsid w:val="00283105"/>
    <w:rsid w:val="00284C4C"/>
    <w:rsid w:val="00287E68"/>
    <w:rsid w:val="00296529"/>
    <w:rsid w:val="00297885"/>
    <w:rsid w:val="002B27FB"/>
    <w:rsid w:val="002B579F"/>
    <w:rsid w:val="002B685A"/>
    <w:rsid w:val="002C57D2"/>
    <w:rsid w:val="002E0D56"/>
    <w:rsid w:val="002F644F"/>
    <w:rsid w:val="00312A2D"/>
    <w:rsid w:val="00315186"/>
    <w:rsid w:val="0033343E"/>
    <w:rsid w:val="00337F35"/>
    <w:rsid w:val="00347207"/>
    <w:rsid w:val="003511EB"/>
    <w:rsid w:val="003512C2"/>
    <w:rsid w:val="00371FB6"/>
    <w:rsid w:val="003755E0"/>
    <w:rsid w:val="003763C1"/>
    <w:rsid w:val="00376AF5"/>
    <w:rsid w:val="00376BBE"/>
    <w:rsid w:val="0039224F"/>
    <w:rsid w:val="003A43A4"/>
    <w:rsid w:val="003A718C"/>
    <w:rsid w:val="003A7E18"/>
    <w:rsid w:val="003C4C86"/>
    <w:rsid w:val="003C6258"/>
    <w:rsid w:val="003D4534"/>
    <w:rsid w:val="003E2904"/>
    <w:rsid w:val="003F03E5"/>
    <w:rsid w:val="003F66CA"/>
    <w:rsid w:val="003F6F7B"/>
    <w:rsid w:val="00401927"/>
    <w:rsid w:val="00404C81"/>
    <w:rsid w:val="0041027F"/>
    <w:rsid w:val="00412475"/>
    <w:rsid w:val="004135BA"/>
    <w:rsid w:val="00423789"/>
    <w:rsid w:val="00440F43"/>
    <w:rsid w:val="00441B6F"/>
    <w:rsid w:val="00444615"/>
    <w:rsid w:val="00446221"/>
    <w:rsid w:val="00450E62"/>
    <w:rsid w:val="004539DB"/>
    <w:rsid w:val="00464EF1"/>
    <w:rsid w:val="00467A69"/>
    <w:rsid w:val="0047128D"/>
    <w:rsid w:val="00471A80"/>
    <w:rsid w:val="00473F0F"/>
    <w:rsid w:val="00482003"/>
    <w:rsid w:val="004B35BD"/>
    <w:rsid w:val="004D10F1"/>
    <w:rsid w:val="004D2603"/>
    <w:rsid w:val="004D305E"/>
    <w:rsid w:val="004D3927"/>
    <w:rsid w:val="004D4277"/>
    <w:rsid w:val="004D6352"/>
    <w:rsid w:val="0050240C"/>
    <w:rsid w:val="00502516"/>
    <w:rsid w:val="00502BE5"/>
    <w:rsid w:val="00505F06"/>
    <w:rsid w:val="0050619E"/>
    <w:rsid w:val="00506828"/>
    <w:rsid w:val="005147FC"/>
    <w:rsid w:val="0053056E"/>
    <w:rsid w:val="00534BAA"/>
    <w:rsid w:val="00554FDA"/>
    <w:rsid w:val="00572240"/>
    <w:rsid w:val="005C7667"/>
    <w:rsid w:val="005C784C"/>
    <w:rsid w:val="005D17F6"/>
    <w:rsid w:val="005E5539"/>
    <w:rsid w:val="005F2EF7"/>
    <w:rsid w:val="00602BF5"/>
    <w:rsid w:val="00617FDD"/>
    <w:rsid w:val="00633614"/>
    <w:rsid w:val="00633F68"/>
    <w:rsid w:val="00636EB2"/>
    <w:rsid w:val="006375B8"/>
    <w:rsid w:val="0066510A"/>
    <w:rsid w:val="00673F9F"/>
    <w:rsid w:val="00686953"/>
    <w:rsid w:val="00687DEA"/>
    <w:rsid w:val="00687E67"/>
    <w:rsid w:val="0069422B"/>
    <w:rsid w:val="006967F7"/>
    <w:rsid w:val="00697909"/>
    <w:rsid w:val="006A250C"/>
    <w:rsid w:val="006A2D4F"/>
    <w:rsid w:val="006B0027"/>
    <w:rsid w:val="006B21D3"/>
    <w:rsid w:val="006B5095"/>
    <w:rsid w:val="006B57D0"/>
    <w:rsid w:val="006D1E4D"/>
    <w:rsid w:val="006D30FF"/>
    <w:rsid w:val="006D6940"/>
    <w:rsid w:val="006F11EC"/>
    <w:rsid w:val="006F571B"/>
    <w:rsid w:val="0070082C"/>
    <w:rsid w:val="007018BA"/>
    <w:rsid w:val="00720D5C"/>
    <w:rsid w:val="00735B8F"/>
    <w:rsid w:val="007369E6"/>
    <w:rsid w:val="00745EDE"/>
    <w:rsid w:val="00746E59"/>
    <w:rsid w:val="00754C9A"/>
    <w:rsid w:val="0075599A"/>
    <w:rsid w:val="00761D52"/>
    <w:rsid w:val="00763684"/>
    <w:rsid w:val="0077749E"/>
    <w:rsid w:val="00790ADA"/>
    <w:rsid w:val="00791704"/>
    <w:rsid w:val="007C7092"/>
    <w:rsid w:val="007D2288"/>
    <w:rsid w:val="007D2D4C"/>
    <w:rsid w:val="007E088F"/>
    <w:rsid w:val="007E3923"/>
    <w:rsid w:val="007F7B32"/>
    <w:rsid w:val="00804BC2"/>
    <w:rsid w:val="00812784"/>
    <w:rsid w:val="0081431A"/>
    <w:rsid w:val="00827396"/>
    <w:rsid w:val="008277C6"/>
    <w:rsid w:val="0083216F"/>
    <w:rsid w:val="008459D0"/>
    <w:rsid w:val="00860000"/>
    <w:rsid w:val="00863BD3"/>
    <w:rsid w:val="008641ED"/>
    <w:rsid w:val="00866D66"/>
    <w:rsid w:val="008671C6"/>
    <w:rsid w:val="00871F1E"/>
    <w:rsid w:val="00875803"/>
    <w:rsid w:val="008A2FE0"/>
    <w:rsid w:val="008A5671"/>
    <w:rsid w:val="008B459E"/>
    <w:rsid w:val="008C1987"/>
    <w:rsid w:val="008E13AE"/>
    <w:rsid w:val="008E1506"/>
    <w:rsid w:val="008E710C"/>
    <w:rsid w:val="008F69D6"/>
    <w:rsid w:val="00902823"/>
    <w:rsid w:val="00906A5E"/>
    <w:rsid w:val="00915CA6"/>
    <w:rsid w:val="00927834"/>
    <w:rsid w:val="00946344"/>
    <w:rsid w:val="009500A6"/>
    <w:rsid w:val="00957C18"/>
    <w:rsid w:val="009659BA"/>
    <w:rsid w:val="00971E0A"/>
    <w:rsid w:val="00983040"/>
    <w:rsid w:val="009B3FB9"/>
    <w:rsid w:val="009C2465"/>
    <w:rsid w:val="009C4373"/>
    <w:rsid w:val="009D2E81"/>
    <w:rsid w:val="009D35A0"/>
    <w:rsid w:val="009D7EB7"/>
    <w:rsid w:val="009E048A"/>
    <w:rsid w:val="009E08E9"/>
    <w:rsid w:val="009E3AC4"/>
    <w:rsid w:val="009E3DB9"/>
    <w:rsid w:val="009E6E35"/>
    <w:rsid w:val="009F0EDA"/>
    <w:rsid w:val="009F2EA2"/>
    <w:rsid w:val="009F5DE5"/>
    <w:rsid w:val="00A03B96"/>
    <w:rsid w:val="00A05B19"/>
    <w:rsid w:val="00A1134E"/>
    <w:rsid w:val="00A24E7E"/>
    <w:rsid w:val="00A258C3"/>
    <w:rsid w:val="00A26624"/>
    <w:rsid w:val="00A347C0"/>
    <w:rsid w:val="00A46AEB"/>
    <w:rsid w:val="00A51431"/>
    <w:rsid w:val="00A51E0C"/>
    <w:rsid w:val="00A539AD"/>
    <w:rsid w:val="00A720FF"/>
    <w:rsid w:val="00A94063"/>
    <w:rsid w:val="00A96A15"/>
    <w:rsid w:val="00AA6219"/>
    <w:rsid w:val="00AA74E0"/>
    <w:rsid w:val="00AB5F8D"/>
    <w:rsid w:val="00AB703F"/>
    <w:rsid w:val="00AC6BB8"/>
    <w:rsid w:val="00AD7429"/>
    <w:rsid w:val="00AE008F"/>
    <w:rsid w:val="00AE73C0"/>
    <w:rsid w:val="00B01FCD"/>
    <w:rsid w:val="00B1776C"/>
    <w:rsid w:val="00B445DC"/>
    <w:rsid w:val="00B517FD"/>
    <w:rsid w:val="00B52583"/>
    <w:rsid w:val="00B52896"/>
    <w:rsid w:val="00B95236"/>
    <w:rsid w:val="00B960B6"/>
    <w:rsid w:val="00B96BD9"/>
    <w:rsid w:val="00BA1B01"/>
    <w:rsid w:val="00BA2641"/>
    <w:rsid w:val="00BB37AA"/>
    <w:rsid w:val="00BC53A0"/>
    <w:rsid w:val="00BE2D51"/>
    <w:rsid w:val="00BE62AD"/>
    <w:rsid w:val="00BE6AE4"/>
    <w:rsid w:val="00BF121F"/>
    <w:rsid w:val="00BF1F80"/>
    <w:rsid w:val="00C14BDA"/>
    <w:rsid w:val="00C166EF"/>
    <w:rsid w:val="00C17EB0"/>
    <w:rsid w:val="00C2403B"/>
    <w:rsid w:val="00C27F5F"/>
    <w:rsid w:val="00C30A0F"/>
    <w:rsid w:val="00C37E61"/>
    <w:rsid w:val="00C60627"/>
    <w:rsid w:val="00C647E9"/>
    <w:rsid w:val="00C66CC2"/>
    <w:rsid w:val="00C677E2"/>
    <w:rsid w:val="00C70F1B"/>
    <w:rsid w:val="00C71A47"/>
    <w:rsid w:val="00C7464C"/>
    <w:rsid w:val="00C85588"/>
    <w:rsid w:val="00C93CAA"/>
    <w:rsid w:val="00CA1E45"/>
    <w:rsid w:val="00CD6755"/>
    <w:rsid w:val="00CD6856"/>
    <w:rsid w:val="00CE0089"/>
    <w:rsid w:val="00CE793C"/>
    <w:rsid w:val="00CF193C"/>
    <w:rsid w:val="00D14E21"/>
    <w:rsid w:val="00D173F1"/>
    <w:rsid w:val="00D27811"/>
    <w:rsid w:val="00D32312"/>
    <w:rsid w:val="00D36784"/>
    <w:rsid w:val="00D56497"/>
    <w:rsid w:val="00D74CB0"/>
    <w:rsid w:val="00D8295D"/>
    <w:rsid w:val="00D95788"/>
    <w:rsid w:val="00DC2A65"/>
    <w:rsid w:val="00DC5110"/>
    <w:rsid w:val="00DE15F0"/>
    <w:rsid w:val="00DE5663"/>
    <w:rsid w:val="00DE78AA"/>
    <w:rsid w:val="00E053D0"/>
    <w:rsid w:val="00E15994"/>
    <w:rsid w:val="00E3114E"/>
    <w:rsid w:val="00E31A70"/>
    <w:rsid w:val="00E35B02"/>
    <w:rsid w:val="00E66496"/>
    <w:rsid w:val="00E66B35"/>
    <w:rsid w:val="00E66E10"/>
    <w:rsid w:val="00E769F6"/>
    <w:rsid w:val="00E80E6D"/>
    <w:rsid w:val="00E81EA7"/>
    <w:rsid w:val="00E8407C"/>
    <w:rsid w:val="00E84F3C"/>
    <w:rsid w:val="00EA012C"/>
    <w:rsid w:val="00EC6A55"/>
    <w:rsid w:val="00ED0288"/>
    <w:rsid w:val="00ED6017"/>
    <w:rsid w:val="00ED688A"/>
    <w:rsid w:val="00EE17F9"/>
    <w:rsid w:val="00EE4280"/>
    <w:rsid w:val="00EE52CB"/>
    <w:rsid w:val="00EE7769"/>
    <w:rsid w:val="00EF581D"/>
    <w:rsid w:val="00EF7FD8"/>
    <w:rsid w:val="00F06A36"/>
    <w:rsid w:val="00F06F59"/>
    <w:rsid w:val="00F17988"/>
    <w:rsid w:val="00F45906"/>
    <w:rsid w:val="00F469F0"/>
    <w:rsid w:val="00F53273"/>
    <w:rsid w:val="00F755E4"/>
    <w:rsid w:val="00F77D02"/>
    <w:rsid w:val="00FA3B7D"/>
    <w:rsid w:val="00FB3A86"/>
    <w:rsid w:val="00FB4F2F"/>
    <w:rsid w:val="00FC3A93"/>
    <w:rsid w:val="00FD36C8"/>
    <w:rsid w:val="00FE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37FB1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4D10F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PlainTable2">
    <w:name w:val="Plain Table 2"/>
    <w:basedOn w:val="TableNormal"/>
    <w:uiPriority w:val="42"/>
    <w:rsid w:val="004D3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BE2D51"/>
    <w:rPr>
      <w:rFonts w:ascii="Times New Roman" w:hAnsi="Times New Roman"/>
      <w:sz w:val="24"/>
      <w:szCs w:val="24"/>
    </w:rPr>
  </w:style>
  <w:style w:type="paragraph" w:styleId="ListParagraph">
    <w:name w:val="List Paragraph"/>
    <w:basedOn w:val="Normal"/>
    <w:uiPriority w:val="34"/>
    <w:qFormat/>
    <w:rsid w:val="007018BA"/>
    <w:pPr>
      <w:ind w:left="720"/>
      <w:contextualSpacing/>
    </w:pPr>
  </w:style>
  <w:style w:type="character" w:customStyle="1" w:styleId="Heading3Char">
    <w:name w:val="Heading 3 Char"/>
    <w:basedOn w:val="DefaultParagraphFont"/>
    <w:link w:val="Heading3"/>
    <w:semiHidden/>
    <w:rsid w:val="004D10F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08954446">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32612622">
      <w:bodyDiv w:val="1"/>
      <w:marLeft w:val="0"/>
      <w:marRight w:val="0"/>
      <w:marTop w:val="0"/>
      <w:marBottom w:val="0"/>
      <w:divBdr>
        <w:top w:val="none" w:sz="0" w:space="0" w:color="auto"/>
        <w:left w:val="none" w:sz="0" w:space="0" w:color="auto"/>
        <w:bottom w:val="none" w:sz="0" w:space="0" w:color="auto"/>
        <w:right w:val="none" w:sz="0" w:space="0" w:color="auto"/>
      </w:divBdr>
      <w:divsChild>
        <w:div w:id="409161747">
          <w:marLeft w:val="0"/>
          <w:marRight w:val="0"/>
          <w:marTop w:val="0"/>
          <w:marBottom w:val="0"/>
          <w:divBdr>
            <w:top w:val="none" w:sz="0" w:space="0" w:color="auto"/>
            <w:left w:val="none" w:sz="0" w:space="0" w:color="auto"/>
            <w:bottom w:val="none" w:sz="0" w:space="0" w:color="auto"/>
            <w:right w:val="none" w:sz="0" w:space="0" w:color="auto"/>
          </w:divBdr>
          <w:divsChild>
            <w:div w:id="1629773812">
              <w:marLeft w:val="0"/>
              <w:marRight w:val="0"/>
              <w:marTop w:val="0"/>
              <w:marBottom w:val="0"/>
              <w:divBdr>
                <w:top w:val="none" w:sz="0" w:space="0" w:color="auto"/>
                <w:left w:val="none" w:sz="0" w:space="0" w:color="auto"/>
                <w:bottom w:val="none" w:sz="0" w:space="0" w:color="auto"/>
                <w:right w:val="none" w:sz="0" w:space="0" w:color="auto"/>
              </w:divBdr>
              <w:divsChild>
                <w:div w:id="1434127120">
                  <w:marLeft w:val="0"/>
                  <w:marRight w:val="0"/>
                  <w:marTop w:val="0"/>
                  <w:marBottom w:val="0"/>
                  <w:divBdr>
                    <w:top w:val="none" w:sz="0" w:space="0" w:color="auto"/>
                    <w:left w:val="none" w:sz="0" w:space="0" w:color="auto"/>
                    <w:bottom w:val="none" w:sz="0" w:space="0" w:color="auto"/>
                    <w:right w:val="none" w:sz="0" w:space="0" w:color="auto"/>
                  </w:divBdr>
                  <w:divsChild>
                    <w:div w:id="360083893">
                      <w:marLeft w:val="0"/>
                      <w:marRight w:val="0"/>
                      <w:marTop w:val="0"/>
                      <w:marBottom w:val="0"/>
                      <w:divBdr>
                        <w:top w:val="none" w:sz="0" w:space="0" w:color="auto"/>
                        <w:left w:val="none" w:sz="0" w:space="0" w:color="auto"/>
                        <w:bottom w:val="none" w:sz="0" w:space="0" w:color="auto"/>
                        <w:right w:val="none" w:sz="0" w:space="0" w:color="auto"/>
                      </w:divBdr>
                      <w:divsChild>
                        <w:div w:id="1545219309">
                          <w:marLeft w:val="0"/>
                          <w:marRight w:val="0"/>
                          <w:marTop w:val="0"/>
                          <w:marBottom w:val="0"/>
                          <w:divBdr>
                            <w:top w:val="none" w:sz="0" w:space="0" w:color="auto"/>
                            <w:left w:val="none" w:sz="0" w:space="0" w:color="auto"/>
                            <w:bottom w:val="none" w:sz="0" w:space="0" w:color="auto"/>
                            <w:right w:val="none" w:sz="0" w:space="0" w:color="auto"/>
                          </w:divBdr>
                          <w:divsChild>
                            <w:div w:id="7258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63625">
              <w:marLeft w:val="0"/>
              <w:marRight w:val="0"/>
              <w:marTop w:val="0"/>
              <w:marBottom w:val="0"/>
              <w:divBdr>
                <w:top w:val="none" w:sz="0" w:space="0" w:color="auto"/>
                <w:left w:val="none" w:sz="0" w:space="0" w:color="auto"/>
                <w:bottom w:val="none" w:sz="0" w:space="0" w:color="auto"/>
                <w:right w:val="none" w:sz="0" w:space="0" w:color="auto"/>
              </w:divBdr>
              <w:divsChild>
                <w:div w:id="7024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73609659">
      <w:bodyDiv w:val="1"/>
      <w:marLeft w:val="0"/>
      <w:marRight w:val="0"/>
      <w:marTop w:val="0"/>
      <w:marBottom w:val="0"/>
      <w:divBdr>
        <w:top w:val="none" w:sz="0" w:space="0" w:color="auto"/>
        <w:left w:val="none" w:sz="0" w:space="0" w:color="auto"/>
        <w:bottom w:val="none" w:sz="0" w:space="0" w:color="auto"/>
        <w:right w:val="none" w:sz="0" w:space="0" w:color="auto"/>
      </w:divBdr>
      <w:divsChild>
        <w:div w:id="1963999594">
          <w:marLeft w:val="0"/>
          <w:marRight w:val="0"/>
          <w:marTop w:val="0"/>
          <w:marBottom w:val="0"/>
          <w:divBdr>
            <w:top w:val="none" w:sz="0" w:space="0" w:color="auto"/>
            <w:left w:val="none" w:sz="0" w:space="0" w:color="auto"/>
            <w:bottom w:val="none" w:sz="0" w:space="0" w:color="auto"/>
            <w:right w:val="none" w:sz="0" w:space="0" w:color="auto"/>
          </w:divBdr>
          <w:divsChild>
            <w:div w:id="616642576">
              <w:marLeft w:val="0"/>
              <w:marRight w:val="0"/>
              <w:marTop w:val="0"/>
              <w:marBottom w:val="0"/>
              <w:divBdr>
                <w:top w:val="none" w:sz="0" w:space="0" w:color="auto"/>
                <w:left w:val="none" w:sz="0" w:space="0" w:color="auto"/>
                <w:bottom w:val="none" w:sz="0" w:space="0" w:color="auto"/>
                <w:right w:val="none" w:sz="0" w:space="0" w:color="auto"/>
              </w:divBdr>
              <w:divsChild>
                <w:div w:id="1023095078">
                  <w:marLeft w:val="0"/>
                  <w:marRight w:val="0"/>
                  <w:marTop w:val="0"/>
                  <w:marBottom w:val="0"/>
                  <w:divBdr>
                    <w:top w:val="none" w:sz="0" w:space="0" w:color="auto"/>
                    <w:left w:val="none" w:sz="0" w:space="0" w:color="auto"/>
                    <w:bottom w:val="none" w:sz="0" w:space="0" w:color="auto"/>
                    <w:right w:val="none" w:sz="0" w:space="0" w:color="auto"/>
                  </w:divBdr>
                  <w:divsChild>
                    <w:div w:id="1962567899">
                      <w:marLeft w:val="0"/>
                      <w:marRight w:val="0"/>
                      <w:marTop w:val="0"/>
                      <w:marBottom w:val="0"/>
                      <w:divBdr>
                        <w:top w:val="none" w:sz="0" w:space="0" w:color="auto"/>
                        <w:left w:val="none" w:sz="0" w:space="0" w:color="auto"/>
                        <w:bottom w:val="none" w:sz="0" w:space="0" w:color="auto"/>
                        <w:right w:val="none" w:sz="0" w:space="0" w:color="auto"/>
                      </w:divBdr>
                      <w:divsChild>
                        <w:div w:id="1813132895">
                          <w:marLeft w:val="0"/>
                          <w:marRight w:val="0"/>
                          <w:marTop w:val="0"/>
                          <w:marBottom w:val="0"/>
                          <w:divBdr>
                            <w:top w:val="none" w:sz="0" w:space="0" w:color="auto"/>
                            <w:left w:val="none" w:sz="0" w:space="0" w:color="auto"/>
                            <w:bottom w:val="none" w:sz="0" w:space="0" w:color="auto"/>
                            <w:right w:val="none" w:sz="0" w:space="0" w:color="auto"/>
                          </w:divBdr>
                          <w:divsChild>
                            <w:div w:id="170814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512003">
              <w:marLeft w:val="0"/>
              <w:marRight w:val="0"/>
              <w:marTop w:val="0"/>
              <w:marBottom w:val="0"/>
              <w:divBdr>
                <w:top w:val="none" w:sz="0" w:space="0" w:color="auto"/>
                <w:left w:val="none" w:sz="0" w:space="0" w:color="auto"/>
                <w:bottom w:val="none" w:sz="0" w:space="0" w:color="auto"/>
                <w:right w:val="none" w:sz="0" w:space="0" w:color="auto"/>
              </w:divBdr>
              <w:divsChild>
                <w:div w:id="15138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538733">
      <w:bodyDiv w:val="1"/>
      <w:marLeft w:val="0"/>
      <w:marRight w:val="0"/>
      <w:marTop w:val="0"/>
      <w:marBottom w:val="0"/>
      <w:divBdr>
        <w:top w:val="none" w:sz="0" w:space="0" w:color="auto"/>
        <w:left w:val="none" w:sz="0" w:space="0" w:color="auto"/>
        <w:bottom w:val="none" w:sz="0" w:space="0" w:color="auto"/>
        <w:right w:val="none" w:sz="0" w:space="0" w:color="auto"/>
      </w:divBdr>
      <w:divsChild>
        <w:div w:id="1725329177">
          <w:marLeft w:val="0"/>
          <w:marRight w:val="0"/>
          <w:marTop w:val="0"/>
          <w:marBottom w:val="0"/>
          <w:divBdr>
            <w:top w:val="none" w:sz="0" w:space="0" w:color="auto"/>
            <w:left w:val="none" w:sz="0" w:space="0" w:color="auto"/>
            <w:bottom w:val="none" w:sz="0" w:space="0" w:color="auto"/>
            <w:right w:val="none" w:sz="0" w:space="0" w:color="auto"/>
          </w:divBdr>
          <w:divsChild>
            <w:div w:id="1370373698">
              <w:marLeft w:val="0"/>
              <w:marRight w:val="0"/>
              <w:marTop w:val="0"/>
              <w:marBottom w:val="0"/>
              <w:divBdr>
                <w:top w:val="none" w:sz="0" w:space="0" w:color="auto"/>
                <w:left w:val="none" w:sz="0" w:space="0" w:color="auto"/>
                <w:bottom w:val="none" w:sz="0" w:space="0" w:color="auto"/>
                <w:right w:val="none" w:sz="0" w:space="0" w:color="auto"/>
              </w:divBdr>
              <w:divsChild>
                <w:div w:id="1015153453">
                  <w:marLeft w:val="0"/>
                  <w:marRight w:val="0"/>
                  <w:marTop w:val="0"/>
                  <w:marBottom w:val="0"/>
                  <w:divBdr>
                    <w:top w:val="none" w:sz="0" w:space="0" w:color="auto"/>
                    <w:left w:val="none" w:sz="0" w:space="0" w:color="auto"/>
                    <w:bottom w:val="none" w:sz="0" w:space="0" w:color="auto"/>
                    <w:right w:val="none" w:sz="0" w:space="0" w:color="auto"/>
                  </w:divBdr>
                  <w:divsChild>
                    <w:div w:id="1366953269">
                      <w:marLeft w:val="0"/>
                      <w:marRight w:val="0"/>
                      <w:marTop w:val="0"/>
                      <w:marBottom w:val="0"/>
                      <w:divBdr>
                        <w:top w:val="none" w:sz="0" w:space="0" w:color="auto"/>
                        <w:left w:val="none" w:sz="0" w:space="0" w:color="auto"/>
                        <w:bottom w:val="none" w:sz="0" w:space="0" w:color="auto"/>
                        <w:right w:val="none" w:sz="0" w:space="0" w:color="auto"/>
                      </w:divBdr>
                      <w:divsChild>
                        <w:div w:id="920023090">
                          <w:marLeft w:val="0"/>
                          <w:marRight w:val="0"/>
                          <w:marTop w:val="0"/>
                          <w:marBottom w:val="0"/>
                          <w:divBdr>
                            <w:top w:val="none" w:sz="0" w:space="0" w:color="auto"/>
                            <w:left w:val="none" w:sz="0" w:space="0" w:color="auto"/>
                            <w:bottom w:val="none" w:sz="0" w:space="0" w:color="auto"/>
                            <w:right w:val="none" w:sz="0" w:space="0" w:color="auto"/>
                          </w:divBdr>
                          <w:divsChild>
                            <w:div w:id="7005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719858">
              <w:marLeft w:val="0"/>
              <w:marRight w:val="0"/>
              <w:marTop w:val="0"/>
              <w:marBottom w:val="0"/>
              <w:divBdr>
                <w:top w:val="none" w:sz="0" w:space="0" w:color="auto"/>
                <w:left w:val="none" w:sz="0" w:space="0" w:color="auto"/>
                <w:bottom w:val="none" w:sz="0" w:space="0" w:color="auto"/>
                <w:right w:val="none" w:sz="0" w:space="0" w:color="auto"/>
              </w:divBdr>
              <w:divsChild>
                <w:div w:id="17480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90352777">
      <w:bodyDiv w:val="1"/>
      <w:marLeft w:val="0"/>
      <w:marRight w:val="0"/>
      <w:marTop w:val="0"/>
      <w:marBottom w:val="0"/>
      <w:divBdr>
        <w:top w:val="none" w:sz="0" w:space="0" w:color="auto"/>
        <w:left w:val="none" w:sz="0" w:space="0" w:color="auto"/>
        <w:bottom w:val="none" w:sz="0" w:space="0" w:color="auto"/>
        <w:right w:val="none" w:sz="0" w:space="0" w:color="auto"/>
      </w:divBdr>
      <w:divsChild>
        <w:div w:id="1990206341">
          <w:marLeft w:val="0"/>
          <w:marRight w:val="0"/>
          <w:marTop w:val="0"/>
          <w:marBottom w:val="0"/>
          <w:divBdr>
            <w:top w:val="none" w:sz="0" w:space="0" w:color="auto"/>
            <w:left w:val="none" w:sz="0" w:space="0" w:color="auto"/>
            <w:bottom w:val="none" w:sz="0" w:space="0" w:color="auto"/>
            <w:right w:val="none" w:sz="0" w:space="0" w:color="auto"/>
          </w:divBdr>
          <w:divsChild>
            <w:div w:id="1523786909">
              <w:marLeft w:val="0"/>
              <w:marRight w:val="0"/>
              <w:marTop w:val="0"/>
              <w:marBottom w:val="0"/>
              <w:divBdr>
                <w:top w:val="none" w:sz="0" w:space="0" w:color="auto"/>
                <w:left w:val="none" w:sz="0" w:space="0" w:color="auto"/>
                <w:bottom w:val="none" w:sz="0" w:space="0" w:color="auto"/>
                <w:right w:val="none" w:sz="0" w:space="0" w:color="auto"/>
              </w:divBdr>
              <w:divsChild>
                <w:div w:id="505556534">
                  <w:marLeft w:val="0"/>
                  <w:marRight w:val="0"/>
                  <w:marTop w:val="0"/>
                  <w:marBottom w:val="0"/>
                  <w:divBdr>
                    <w:top w:val="none" w:sz="0" w:space="0" w:color="auto"/>
                    <w:left w:val="none" w:sz="0" w:space="0" w:color="auto"/>
                    <w:bottom w:val="none" w:sz="0" w:space="0" w:color="auto"/>
                    <w:right w:val="none" w:sz="0" w:space="0" w:color="auto"/>
                  </w:divBdr>
                  <w:divsChild>
                    <w:div w:id="791217330">
                      <w:marLeft w:val="0"/>
                      <w:marRight w:val="0"/>
                      <w:marTop w:val="0"/>
                      <w:marBottom w:val="0"/>
                      <w:divBdr>
                        <w:top w:val="none" w:sz="0" w:space="0" w:color="auto"/>
                        <w:left w:val="none" w:sz="0" w:space="0" w:color="auto"/>
                        <w:bottom w:val="none" w:sz="0" w:space="0" w:color="auto"/>
                        <w:right w:val="none" w:sz="0" w:space="0" w:color="auto"/>
                      </w:divBdr>
                      <w:divsChild>
                        <w:div w:id="121464674">
                          <w:marLeft w:val="0"/>
                          <w:marRight w:val="0"/>
                          <w:marTop w:val="0"/>
                          <w:marBottom w:val="0"/>
                          <w:divBdr>
                            <w:top w:val="none" w:sz="0" w:space="0" w:color="auto"/>
                            <w:left w:val="none" w:sz="0" w:space="0" w:color="auto"/>
                            <w:bottom w:val="none" w:sz="0" w:space="0" w:color="auto"/>
                            <w:right w:val="none" w:sz="0" w:space="0" w:color="auto"/>
                          </w:divBdr>
                          <w:divsChild>
                            <w:div w:id="6383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56143">
              <w:marLeft w:val="0"/>
              <w:marRight w:val="0"/>
              <w:marTop w:val="0"/>
              <w:marBottom w:val="0"/>
              <w:divBdr>
                <w:top w:val="none" w:sz="0" w:space="0" w:color="auto"/>
                <w:left w:val="none" w:sz="0" w:space="0" w:color="auto"/>
                <w:bottom w:val="none" w:sz="0" w:space="0" w:color="auto"/>
                <w:right w:val="none" w:sz="0" w:space="0" w:color="auto"/>
              </w:divBdr>
              <w:divsChild>
                <w:div w:id="733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590505732">
      <w:bodyDiv w:val="1"/>
      <w:marLeft w:val="0"/>
      <w:marRight w:val="0"/>
      <w:marTop w:val="0"/>
      <w:marBottom w:val="0"/>
      <w:divBdr>
        <w:top w:val="none" w:sz="0" w:space="0" w:color="auto"/>
        <w:left w:val="none" w:sz="0" w:space="0" w:color="auto"/>
        <w:bottom w:val="none" w:sz="0" w:space="0" w:color="auto"/>
        <w:right w:val="none" w:sz="0" w:space="0" w:color="auto"/>
      </w:divBdr>
      <w:divsChild>
        <w:div w:id="569116995">
          <w:marLeft w:val="0"/>
          <w:marRight w:val="0"/>
          <w:marTop w:val="0"/>
          <w:marBottom w:val="0"/>
          <w:divBdr>
            <w:top w:val="none" w:sz="0" w:space="0" w:color="auto"/>
            <w:left w:val="none" w:sz="0" w:space="0" w:color="auto"/>
            <w:bottom w:val="none" w:sz="0" w:space="0" w:color="auto"/>
            <w:right w:val="none" w:sz="0" w:space="0" w:color="auto"/>
          </w:divBdr>
          <w:divsChild>
            <w:div w:id="1252935573">
              <w:marLeft w:val="0"/>
              <w:marRight w:val="0"/>
              <w:marTop w:val="0"/>
              <w:marBottom w:val="0"/>
              <w:divBdr>
                <w:top w:val="none" w:sz="0" w:space="0" w:color="auto"/>
                <w:left w:val="none" w:sz="0" w:space="0" w:color="auto"/>
                <w:bottom w:val="none" w:sz="0" w:space="0" w:color="auto"/>
                <w:right w:val="none" w:sz="0" w:space="0" w:color="auto"/>
              </w:divBdr>
              <w:divsChild>
                <w:div w:id="1567492499">
                  <w:marLeft w:val="0"/>
                  <w:marRight w:val="0"/>
                  <w:marTop w:val="0"/>
                  <w:marBottom w:val="0"/>
                  <w:divBdr>
                    <w:top w:val="none" w:sz="0" w:space="0" w:color="auto"/>
                    <w:left w:val="none" w:sz="0" w:space="0" w:color="auto"/>
                    <w:bottom w:val="none" w:sz="0" w:space="0" w:color="auto"/>
                    <w:right w:val="none" w:sz="0" w:space="0" w:color="auto"/>
                  </w:divBdr>
                  <w:divsChild>
                    <w:div w:id="1842622760">
                      <w:marLeft w:val="0"/>
                      <w:marRight w:val="0"/>
                      <w:marTop w:val="0"/>
                      <w:marBottom w:val="0"/>
                      <w:divBdr>
                        <w:top w:val="none" w:sz="0" w:space="0" w:color="auto"/>
                        <w:left w:val="none" w:sz="0" w:space="0" w:color="auto"/>
                        <w:bottom w:val="none" w:sz="0" w:space="0" w:color="auto"/>
                        <w:right w:val="none" w:sz="0" w:space="0" w:color="auto"/>
                      </w:divBdr>
                      <w:divsChild>
                        <w:div w:id="1986927427">
                          <w:marLeft w:val="0"/>
                          <w:marRight w:val="0"/>
                          <w:marTop w:val="0"/>
                          <w:marBottom w:val="0"/>
                          <w:divBdr>
                            <w:top w:val="none" w:sz="0" w:space="0" w:color="auto"/>
                            <w:left w:val="none" w:sz="0" w:space="0" w:color="auto"/>
                            <w:bottom w:val="none" w:sz="0" w:space="0" w:color="auto"/>
                            <w:right w:val="none" w:sz="0" w:space="0" w:color="auto"/>
                          </w:divBdr>
                          <w:divsChild>
                            <w:div w:id="5560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842423">
              <w:marLeft w:val="0"/>
              <w:marRight w:val="0"/>
              <w:marTop w:val="0"/>
              <w:marBottom w:val="0"/>
              <w:divBdr>
                <w:top w:val="none" w:sz="0" w:space="0" w:color="auto"/>
                <w:left w:val="none" w:sz="0" w:space="0" w:color="auto"/>
                <w:bottom w:val="none" w:sz="0" w:space="0" w:color="auto"/>
                <w:right w:val="none" w:sz="0" w:space="0" w:color="auto"/>
              </w:divBdr>
              <w:divsChild>
                <w:div w:id="101175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14261">
      <w:bodyDiv w:val="1"/>
      <w:marLeft w:val="0"/>
      <w:marRight w:val="0"/>
      <w:marTop w:val="0"/>
      <w:marBottom w:val="0"/>
      <w:divBdr>
        <w:top w:val="none" w:sz="0" w:space="0" w:color="auto"/>
        <w:left w:val="none" w:sz="0" w:space="0" w:color="auto"/>
        <w:bottom w:val="none" w:sz="0" w:space="0" w:color="auto"/>
        <w:right w:val="none" w:sz="0" w:space="0" w:color="auto"/>
      </w:divBdr>
      <w:divsChild>
        <w:div w:id="1415201719">
          <w:marLeft w:val="0"/>
          <w:marRight w:val="0"/>
          <w:marTop w:val="0"/>
          <w:marBottom w:val="0"/>
          <w:divBdr>
            <w:top w:val="none" w:sz="0" w:space="0" w:color="auto"/>
            <w:left w:val="none" w:sz="0" w:space="0" w:color="auto"/>
            <w:bottom w:val="none" w:sz="0" w:space="0" w:color="auto"/>
            <w:right w:val="none" w:sz="0" w:space="0" w:color="auto"/>
          </w:divBdr>
          <w:divsChild>
            <w:div w:id="715472734">
              <w:marLeft w:val="0"/>
              <w:marRight w:val="0"/>
              <w:marTop w:val="0"/>
              <w:marBottom w:val="0"/>
              <w:divBdr>
                <w:top w:val="none" w:sz="0" w:space="0" w:color="auto"/>
                <w:left w:val="none" w:sz="0" w:space="0" w:color="auto"/>
                <w:bottom w:val="none" w:sz="0" w:space="0" w:color="auto"/>
                <w:right w:val="none" w:sz="0" w:space="0" w:color="auto"/>
              </w:divBdr>
              <w:divsChild>
                <w:div w:id="90862851">
                  <w:marLeft w:val="0"/>
                  <w:marRight w:val="0"/>
                  <w:marTop w:val="0"/>
                  <w:marBottom w:val="0"/>
                  <w:divBdr>
                    <w:top w:val="none" w:sz="0" w:space="0" w:color="auto"/>
                    <w:left w:val="none" w:sz="0" w:space="0" w:color="auto"/>
                    <w:bottom w:val="none" w:sz="0" w:space="0" w:color="auto"/>
                    <w:right w:val="none" w:sz="0" w:space="0" w:color="auto"/>
                  </w:divBdr>
                  <w:divsChild>
                    <w:div w:id="1530216196">
                      <w:marLeft w:val="0"/>
                      <w:marRight w:val="0"/>
                      <w:marTop w:val="0"/>
                      <w:marBottom w:val="0"/>
                      <w:divBdr>
                        <w:top w:val="none" w:sz="0" w:space="0" w:color="auto"/>
                        <w:left w:val="none" w:sz="0" w:space="0" w:color="auto"/>
                        <w:bottom w:val="none" w:sz="0" w:space="0" w:color="auto"/>
                        <w:right w:val="none" w:sz="0" w:space="0" w:color="auto"/>
                      </w:divBdr>
                      <w:divsChild>
                        <w:div w:id="1359501611">
                          <w:marLeft w:val="0"/>
                          <w:marRight w:val="0"/>
                          <w:marTop w:val="0"/>
                          <w:marBottom w:val="0"/>
                          <w:divBdr>
                            <w:top w:val="none" w:sz="0" w:space="0" w:color="auto"/>
                            <w:left w:val="none" w:sz="0" w:space="0" w:color="auto"/>
                            <w:bottom w:val="none" w:sz="0" w:space="0" w:color="auto"/>
                            <w:right w:val="none" w:sz="0" w:space="0" w:color="auto"/>
                          </w:divBdr>
                          <w:divsChild>
                            <w:div w:id="17057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79814">
              <w:marLeft w:val="0"/>
              <w:marRight w:val="0"/>
              <w:marTop w:val="0"/>
              <w:marBottom w:val="0"/>
              <w:divBdr>
                <w:top w:val="none" w:sz="0" w:space="0" w:color="auto"/>
                <w:left w:val="none" w:sz="0" w:space="0" w:color="auto"/>
                <w:bottom w:val="none" w:sz="0" w:space="0" w:color="auto"/>
                <w:right w:val="none" w:sz="0" w:space="0" w:color="auto"/>
              </w:divBdr>
              <w:divsChild>
                <w:div w:id="5809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5098979">
      <w:bodyDiv w:val="1"/>
      <w:marLeft w:val="0"/>
      <w:marRight w:val="0"/>
      <w:marTop w:val="0"/>
      <w:marBottom w:val="0"/>
      <w:divBdr>
        <w:top w:val="none" w:sz="0" w:space="0" w:color="auto"/>
        <w:left w:val="none" w:sz="0" w:space="0" w:color="auto"/>
        <w:bottom w:val="none" w:sz="0" w:space="0" w:color="auto"/>
        <w:right w:val="none" w:sz="0" w:space="0" w:color="auto"/>
      </w:divBdr>
      <w:divsChild>
        <w:div w:id="669286322">
          <w:marLeft w:val="0"/>
          <w:marRight w:val="0"/>
          <w:marTop w:val="0"/>
          <w:marBottom w:val="0"/>
          <w:divBdr>
            <w:top w:val="none" w:sz="0" w:space="0" w:color="auto"/>
            <w:left w:val="none" w:sz="0" w:space="0" w:color="auto"/>
            <w:bottom w:val="none" w:sz="0" w:space="0" w:color="auto"/>
            <w:right w:val="none" w:sz="0" w:space="0" w:color="auto"/>
          </w:divBdr>
          <w:divsChild>
            <w:div w:id="1719818394">
              <w:marLeft w:val="0"/>
              <w:marRight w:val="0"/>
              <w:marTop w:val="0"/>
              <w:marBottom w:val="0"/>
              <w:divBdr>
                <w:top w:val="none" w:sz="0" w:space="0" w:color="auto"/>
                <w:left w:val="none" w:sz="0" w:space="0" w:color="auto"/>
                <w:bottom w:val="none" w:sz="0" w:space="0" w:color="auto"/>
                <w:right w:val="none" w:sz="0" w:space="0" w:color="auto"/>
              </w:divBdr>
              <w:divsChild>
                <w:div w:id="1470316284">
                  <w:marLeft w:val="0"/>
                  <w:marRight w:val="0"/>
                  <w:marTop w:val="0"/>
                  <w:marBottom w:val="0"/>
                  <w:divBdr>
                    <w:top w:val="none" w:sz="0" w:space="0" w:color="auto"/>
                    <w:left w:val="none" w:sz="0" w:space="0" w:color="auto"/>
                    <w:bottom w:val="none" w:sz="0" w:space="0" w:color="auto"/>
                    <w:right w:val="none" w:sz="0" w:space="0" w:color="auto"/>
                  </w:divBdr>
                  <w:divsChild>
                    <w:div w:id="2099015303">
                      <w:marLeft w:val="0"/>
                      <w:marRight w:val="0"/>
                      <w:marTop w:val="0"/>
                      <w:marBottom w:val="0"/>
                      <w:divBdr>
                        <w:top w:val="none" w:sz="0" w:space="0" w:color="auto"/>
                        <w:left w:val="none" w:sz="0" w:space="0" w:color="auto"/>
                        <w:bottom w:val="none" w:sz="0" w:space="0" w:color="auto"/>
                        <w:right w:val="none" w:sz="0" w:space="0" w:color="auto"/>
                      </w:divBdr>
                      <w:divsChild>
                        <w:div w:id="855115619">
                          <w:marLeft w:val="0"/>
                          <w:marRight w:val="0"/>
                          <w:marTop w:val="0"/>
                          <w:marBottom w:val="0"/>
                          <w:divBdr>
                            <w:top w:val="none" w:sz="0" w:space="0" w:color="auto"/>
                            <w:left w:val="none" w:sz="0" w:space="0" w:color="auto"/>
                            <w:bottom w:val="none" w:sz="0" w:space="0" w:color="auto"/>
                            <w:right w:val="none" w:sz="0" w:space="0" w:color="auto"/>
                          </w:divBdr>
                          <w:divsChild>
                            <w:div w:id="118567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90658">
              <w:marLeft w:val="0"/>
              <w:marRight w:val="0"/>
              <w:marTop w:val="0"/>
              <w:marBottom w:val="0"/>
              <w:divBdr>
                <w:top w:val="none" w:sz="0" w:space="0" w:color="auto"/>
                <w:left w:val="none" w:sz="0" w:space="0" w:color="auto"/>
                <w:bottom w:val="none" w:sz="0" w:space="0" w:color="auto"/>
                <w:right w:val="none" w:sz="0" w:space="0" w:color="auto"/>
              </w:divBdr>
              <w:divsChild>
                <w:div w:id="8936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539842">
      <w:bodyDiv w:val="1"/>
      <w:marLeft w:val="0"/>
      <w:marRight w:val="0"/>
      <w:marTop w:val="0"/>
      <w:marBottom w:val="0"/>
      <w:divBdr>
        <w:top w:val="none" w:sz="0" w:space="0" w:color="auto"/>
        <w:left w:val="none" w:sz="0" w:space="0" w:color="auto"/>
        <w:bottom w:val="none" w:sz="0" w:space="0" w:color="auto"/>
        <w:right w:val="none" w:sz="0" w:space="0" w:color="auto"/>
      </w:divBdr>
      <w:divsChild>
        <w:div w:id="1449855523">
          <w:marLeft w:val="0"/>
          <w:marRight w:val="0"/>
          <w:marTop w:val="0"/>
          <w:marBottom w:val="0"/>
          <w:divBdr>
            <w:top w:val="none" w:sz="0" w:space="0" w:color="auto"/>
            <w:left w:val="none" w:sz="0" w:space="0" w:color="auto"/>
            <w:bottom w:val="none" w:sz="0" w:space="0" w:color="auto"/>
            <w:right w:val="none" w:sz="0" w:space="0" w:color="auto"/>
          </w:divBdr>
          <w:divsChild>
            <w:div w:id="1183319342">
              <w:marLeft w:val="0"/>
              <w:marRight w:val="0"/>
              <w:marTop w:val="0"/>
              <w:marBottom w:val="0"/>
              <w:divBdr>
                <w:top w:val="none" w:sz="0" w:space="0" w:color="auto"/>
                <w:left w:val="none" w:sz="0" w:space="0" w:color="auto"/>
                <w:bottom w:val="none" w:sz="0" w:space="0" w:color="auto"/>
                <w:right w:val="none" w:sz="0" w:space="0" w:color="auto"/>
              </w:divBdr>
              <w:divsChild>
                <w:div w:id="1507670942">
                  <w:marLeft w:val="0"/>
                  <w:marRight w:val="0"/>
                  <w:marTop w:val="0"/>
                  <w:marBottom w:val="0"/>
                  <w:divBdr>
                    <w:top w:val="none" w:sz="0" w:space="0" w:color="auto"/>
                    <w:left w:val="none" w:sz="0" w:space="0" w:color="auto"/>
                    <w:bottom w:val="none" w:sz="0" w:space="0" w:color="auto"/>
                    <w:right w:val="none" w:sz="0" w:space="0" w:color="auto"/>
                  </w:divBdr>
                  <w:divsChild>
                    <w:div w:id="1593902012">
                      <w:marLeft w:val="0"/>
                      <w:marRight w:val="0"/>
                      <w:marTop w:val="0"/>
                      <w:marBottom w:val="0"/>
                      <w:divBdr>
                        <w:top w:val="none" w:sz="0" w:space="0" w:color="auto"/>
                        <w:left w:val="none" w:sz="0" w:space="0" w:color="auto"/>
                        <w:bottom w:val="none" w:sz="0" w:space="0" w:color="auto"/>
                        <w:right w:val="none" w:sz="0" w:space="0" w:color="auto"/>
                      </w:divBdr>
                      <w:divsChild>
                        <w:div w:id="1258055596">
                          <w:marLeft w:val="0"/>
                          <w:marRight w:val="0"/>
                          <w:marTop w:val="0"/>
                          <w:marBottom w:val="0"/>
                          <w:divBdr>
                            <w:top w:val="none" w:sz="0" w:space="0" w:color="auto"/>
                            <w:left w:val="none" w:sz="0" w:space="0" w:color="auto"/>
                            <w:bottom w:val="none" w:sz="0" w:space="0" w:color="auto"/>
                            <w:right w:val="none" w:sz="0" w:space="0" w:color="auto"/>
                          </w:divBdr>
                          <w:divsChild>
                            <w:div w:id="43398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693201">
              <w:marLeft w:val="0"/>
              <w:marRight w:val="0"/>
              <w:marTop w:val="0"/>
              <w:marBottom w:val="0"/>
              <w:divBdr>
                <w:top w:val="none" w:sz="0" w:space="0" w:color="auto"/>
                <w:left w:val="none" w:sz="0" w:space="0" w:color="auto"/>
                <w:bottom w:val="none" w:sz="0" w:space="0" w:color="auto"/>
                <w:right w:val="none" w:sz="0" w:space="0" w:color="auto"/>
              </w:divBdr>
              <w:divsChild>
                <w:div w:id="10123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7679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3389/fpubh.2023.1198225?utm_source=chatgpt.com" TargetMode="External"/><Relationship Id="rId26" Type="http://schemas.openxmlformats.org/officeDocument/2006/relationships/hyperlink" Target="https://doi.org/10.1016/j.puhe.2020.12.016?utm_source=chatgpt.com" TargetMode="External"/><Relationship Id="rId39" Type="http://schemas.openxmlformats.org/officeDocument/2006/relationships/hyperlink" Target="https://doi.org/10.1186/s41182-021-00385-1?utm_source=chatgpt.com" TargetMode="External"/><Relationship Id="rId21" Type="http://schemas.openxmlformats.org/officeDocument/2006/relationships/hyperlink" Target="https://doi.org/10.35508/ljch.v3i1.3783?utm_source=chatgpt.com" TargetMode="External"/><Relationship Id="rId34" Type="http://schemas.openxmlformats.org/officeDocument/2006/relationships/hyperlink" Target="https://doi.org/10.56557/jogee/2026/v22i310798?utm_source=chatgpt.com"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103/aam.aam_112_23?utm_source=chatgpt.com" TargetMode="External"/><Relationship Id="rId29" Type="http://schemas.openxmlformats.org/officeDocument/2006/relationships/hyperlink" Target="https://doi.org/10.1177/0958305X231185338?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77/2333794X231156715?utm_source=chatgpt.com" TargetMode="External"/><Relationship Id="rId32" Type="http://schemas.openxmlformats.org/officeDocument/2006/relationships/hyperlink" Target="https://doi.org/10.32598/jpr.8.2.65?utm_source=chatgpt.com" TargetMode="External"/><Relationship Id="rId37" Type="http://schemas.openxmlformats.org/officeDocument/2006/relationships/hyperlink" Target="https://www.who.int/publications/i/item/9789240095380?utm_source=chatgpt.com" TargetMode="Externa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86/s12887-025-06193-4?utm_source=chatgpt.com" TargetMode="External"/><Relationship Id="rId23" Type="http://schemas.openxmlformats.org/officeDocument/2006/relationships/hyperlink" Target="https://doi.org/10.1186/s12889-020-08536-5?utm_source=chatgpt.com" TargetMode="External"/><Relationship Id="rId28" Type="http://schemas.openxmlformats.org/officeDocument/2006/relationships/hyperlink" Target="https://doi.org/10.1186/s12887-024-04525-4?utm_source=chatgpt.com" TargetMode="External"/><Relationship Id="rId36" Type="http://schemas.openxmlformats.org/officeDocument/2006/relationships/hyperlink" Target="https://www.who.int/news-room/fact-sheets/detail/pneumonia?utm_source=chatgpt.com" TargetMode="External"/><Relationship Id="rId10" Type="http://schemas.openxmlformats.org/officeDocument/2006/relationships/footer" Target="footer1.xml"/><Relationship Id="rId19" Type="http://schemas.openxmlformats.org/officeDocument/2006/relationships/hyperlink" Target="https://doi.org/10.1038/s41598-024-57820-6?utm_source=chatgpt.com" TargetMode="External"/><Relationship Id="rId31" Type="http://schemas.openxmlformats.org/officeDocument/2006/relationships/hyperlink" Target="https://doi.org/10.4103/njcp.njcp_34_19?utm_source=chatgpt.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186/s12879-025-12148-y?utm_source=chatgpt.com" TargetMode="External"/><Relationship Id="rId27" Type="http://schemas.openxmlformats.org/officeDocument/2006/relationships/hyperlink" Target="https://www.health.gov.ng/wp-content/uploads/2025/10/NDHS-2024-Final-Report_Disseminated17102025.pdf?utm_source=chatgpt.com" TargetMode="External"/><Relationship Id="rId30" Type="http://schemas.openxmlformats.org/officeDocument/2006/relationships/hyperlink" Target="https://doi.org/10.1186/s12889-025-23148-7?utm_source=chatgpt.com" TargetMode="External"/><Relationship Id="rId35" Type="http://schemas.openxmlformats.org/officeDocument/2006/relationships/hyperlink" Target="https://doi.org/10.1017/S002193201900035X?utm_source=chatgpt.com" TargetMode="External"/><Relationship Id="rId43"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371/journal.pone.0273901?utm_source=chatgpt.com" TargetMode="External"/><Relationship Id="rId25" Type="http://schemas.openxmlformats.org/officeDocument/2006/relationships/hyperlink" Target="https://doi.org/10.9734/ijtdh/2025/v46i31639?utm_source=chatgpt.com" TargetMode="External"/><Relationship Id="rId33" Type="http://schemas.openxmlformats.org/officeDocument/2006/relationships/hyperlink" Target="https://doi.org/10.1186/s12887-023-04033-x?utm_source=chatgpt.com" TargetMode="External"/><Relationship Id="rId38" Type="http://schemas.openxmlformats.org/officeDocument/2006/relationships/hyperlink" Target="https://www.who.int/publications/i/item/9789240103412?utm_source=chatgpt.com" TargetMode="External"/><Relationship Id="rId20" Type="http://schemas.openxmlformats.org/officeDocument/2006/relationships/hyperlink" Target="https://www.jesber-unical.org.ng/index.php/home/article/view/82?utm_source=chatgpt.com" TargetMode="External"/><Relationship Id="rId41"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TotalTime>
  <Pages>12</Pages>
  <Words>5184</Words>
  <Characters>29551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34666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15</cp:revision>
  <cp:lastPrinted>1999-07-06T11:00:00Z</cp:lastPrinted>
  <dcterms:created xsi:type="dcterms:W3CDTF">2026-10-23T14:23:00Z</dcterms:created>
  <dcterms:modified xsi:type="dcterms:W3CDTF">2026-10-26T09:09:00Z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11e6eedf86587a13173b76b0305853b04d79103ac51ca249fa502f30dbdcb5e8</vt:lpwstr>
  </property>
</Properties>
</file>