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E3673E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E367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E3673E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3673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E3673E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E367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539C9A42" w:rsidR="00645413" w:rsidRPr="00E3673E" w:rsidRDefault="000634A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Ms_UPJOZ_6437</w:t>
            </w:r>
          </w:p>
        </w:tc>
      </w:tr>
      <w:tr w:rsidR="00645413" w:rsidRPr="00E3673E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E367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6C854C5B" w:rsidR="00645413" w:rsidRPr="00E3673E" w:rsidRDefault="000634A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Efficacy and economics of different insecticides against yellow stem borer, </w:t>
            </w:r>
            <w:proofErr w:type="spellStart"/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Scirpophaga</w:t>
            </w:r>
            <w:proofErr w:type="spellEnd"/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incertulas</w:t>
            </w:r>
            <w:proofErr w:type="spellEnd"/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(Walker) on Kalanamak rice</w:t>
            </w:r>
          </w:p>
        </w:tc>
      </w:tr>
      <w:tr w:rsidR="00645413" w:rsidRPr="00E3673E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E367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E3673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E3673E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E3673E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E3673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3673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E3673E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E3673E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E3673E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E3673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E3673E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367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367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E3673E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E367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E3673E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26C80901" w:rsidR="00645413" w:rsidRPr="00E3673E" w:rsidRDefault="009F368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has moderate potential scientific utility as a localized field-efficacy and economic comparison. Its strongest contribution would be a documented comparison of several registered formulations on Pusa Narendra Kalanamak-1 under the </w:t>
            </w:r>
            <w:proofErr w:type="spellStart"/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agro</w:t>
            </w:r>
            <w:proofErr w:type="spellEnd"/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-climatic conditions of Ayodhya. At present, however, the contribution is limited by the absence of a complete experimental protocol, incomplete statistical analysis, and uncertain aggregate calculations.</w:t>
            </w:r>
          </w:p>
        </w:tc>
        <w:tc>
          <w:tcPr>
            <w:tcW w:w="1667" w:type="pct"/>
          </w:tcPr>
          <w:p w14:paraId="24B092B6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E0C355" w14:textId="77777777" w:rsidR="00645413" w:rsidRPr="00E3673E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E3673E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367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E3673E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E3673E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E3673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E3673E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367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E3673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E3673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F368B" w:rsidRPr="00E3673E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65B4C0CB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0EA6B15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62551445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6A5FC5A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4F783D0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54E6295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5688C037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8E8959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5742EF59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D2C76E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3DE4FC5A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4C05D5E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14B1EC6E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BD38E7D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08C7E260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C9ADAD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77442901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7678B54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E3673E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0CE60B0B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3286B0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639E3B8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70426C40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59C275E3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3F3FC97D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B3B8C64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E3673E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0D218C2B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063B71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9F368B" w:rsidRPr="00E3673E" w:rsidRDefault="009F368B" w:rsidP="009F368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5B0AF33C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1D7C444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E3673E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E3673E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E3673E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367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E3673E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E3673E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E3673E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E3673E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E3673E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367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3673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3673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E3673E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4272B32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DB0F941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Field efficacy and economic performance of selected insecticides against yellow stem borer, </w:t>
            </w:r>
            <w:proofErr w:type="spellStart"/>
            <w:r w:rsidRPr="00E367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Scirpophaga</w:t>
            </w:r>
            <w:proofErr w:type="spellEnd"/>
            <w:r w:rsidRPr="00E367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incertulas</w:t>
            </w:r>
            <w:proofErr w:type="spellEnd"/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(Walker), in Pusa Narendra Kalanamak-1 rice</w:t>
            </w:r>
          </w:p>
          <w:p w14:paraId="0EB8E652" w14:textId="77777777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68A2A4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9F368B" w:rsidRPr="00E3673E" w:rsidRDefault="009F368B" w:rsidP="009F36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956EF27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 (</w:t>
            </w: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Correct “ABSTARCT” to “ABSTRACT.”</w:t>
            </w:r>
          </w:p>
          <w:p w14:paraId="1721A262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Replace “mean dead heart incidence (2.97% after the second spray)” with the correct statistic. Based on Table 1, the overall second-spray mean is 3.40%, whereas 2.97% is the 15DAS observation.</w:t>
            </w:r>
          </w:p>
          <w:p w14:paraId="005F3CC8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State that the experiment had one location, one season, one cultivar, and three replications.</w:t>
            </w:r>
          </w:p>
          <w:p w14:paraId="60AB7A74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Avoid “confirms the superior performance.” Use “indicated the best performance among the treatments tested under the conditions of this experiment.”</w:t>
            </w:r>
          </w:p>
          <w:p w14:paraId="2D859E04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The cost-benefit ratio should be defined briefly, particularly whether it is calculated using one or two applications.</w:t>
            </w:r>
          </w:p>
          <w:p w14:paraId="7A0BDA90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Use consistent units: 41.50 q ha</w:t>
            </w:r>
            <w:r w:rsidRPr="00E3673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⁻</w:t>
            </w: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¹ rather than alternating between “41.5 q/ha” and “41.50 q/ha.”</w:t>
            </w:r>
          </w:p>
          <w:p w14:paraId="33CCC1B8" w14:textId="77777777" w:rsidR="009F368B" w:rsidRPr="00E3673E" w:rsidRDefault="009F368B" w:rsidP="009F368B">
            <w:pPr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Avoid calling all treatments “economically viable” without defining the criterion for viability.</w:t>
            </w:r>
          </w:p>
          <w:p w14:paraId="1B445DC5" w14:textId="51308FFA" w:rsidR="009F368B" w:rsidRPr="00E3673E" w:rsidRDefault="009F368B" w:rsidP="009F36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Chlorantraniliprole 18.5% SC recorded the lowest second-spray overall dead-heart incidence (3.40%; the 15DAS value was 2.97%) and the highest grain yield (41.50 q ha</w:t>
            </w:r>
            <w:r w:rsidRPr="00E3673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⁻</w:t>
            </w:r>
            <w:r w:rsidRPr="00E3673E">
              <w:rPr>
                <w:rFonts w:ascii="Arial" w:hAnsi="Arial" w:cs="Arial"/>
                <w:b/>
                <w:bCs/>
                <w:sz w:val="20"/>
                <w:szCs w:val="20"/>
              </w:rPr>
              <w:t>¹). Its calculated benefit-cost ratio was 15.57 when the cost of two applications was used as the denominator.</w:t>
            </w:r>
          </w:p>
        </w:tc>
        <w:tc>
          <w:tcPr>
            <w:tcW w:w="1667" w:type="pct"/>
          </w:tcPr>
          <w:p w14:paraId="28CE1D8B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367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9F368B" w:rsidRPr="00E3673E" w:rsidRDefault="009F368B" w:rsidP="009F368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F104562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(</w:t>
            </w:r>
            <w:r w:rsidRPr="00E3673E">
              <w:rPr>
                <w:rFonts w:ascii="Arial" w:hAnsi="Arial" w:cs="Arial"/>
                <w:bCs/>
                <w:sz w:val="20"/>
                <w:szCs w:val="20"/>
              </w:rPr>
              <w:t>verified active-ingredient doses and spray timing;</w:t>
            </w:r>
          </w:p>
          <w:p w14:paraId="3E429918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yield significance and confidence intervals;</w:t>
            </w:r>
          </w:p>
          <w:p w14:paraId="1BF7F50E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white-ear assessment at reproductive stage;</w:t>
            </w:r>
          </w:p>
          <w:p w14:paraId="1280CA91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a non-chemical or IPM comparator;</w:t>
            </w:r>
          </w:p>
          <w:p w14:paraId="71E7E428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an untreated control with a clearly justified ETL-based intervention;</w:t>
            </w:r>
          </w:p>
          <w:p w14:paraId="6828B74F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a second location or season;</w:t>
            </w:r>
          </w:p>
          <w:p w14:paraId="7D0D3760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sensitivity analysis for the economic ranking;</w:t>
            </w:r>
          </w:p>
          <w:p w14:paraId="7F124A5E" w14:textId="77777777" w:rsidR="009F368B" w:rsidRPr="00E3673E" w:rsidRDefault="009F368B" w:rsidP="009F368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discussion of mode-of-action rotation and resistance risk.</w:t>
            </w:r>
          </w:p>
          <w:p w14:paraId="22CB271A" w14:textId="77777777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7D7DA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BBBF8F2" w14:textId="77777777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 (</w:t>
            </w:r>
          </w:p>
          <w:p w14:paraId="754A6568" w14:textId="77777777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2212C9C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 xml:space="preserve">Verify every cited source exists and supports the precise claim for which it is </w:t>
            </w:r>
            <w:r w:rsidRPr="00E3673E">
              <w:rPr>
                <w:rFonts w:ascii="Arial" w:hAnsi="Arial" w:cs="Arial"/>
                <w:bCs/>
                <w:sz w:val="20"/>
                <w:szCs w:val="20"/>
              </w:rPr>
              <w:lastRenderedPageBreak/>
              <w:t>cited.</w:t>
            </w:r>
          </w:p>
          <w:p w14:paraId="0DB930D2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Confirm all author names, years, journal titles, volume/issue numbers, pages, and DOI links.</w:t>
            </w:r>
          </w:p>
          <w:p w14:paraId="14929B18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 xml:space="preserve">Standardize taxonomic formatting: </w:t>
            </w:r>
            <w:proofErr w:type="spellStart"/>
            <w:r w:rsidRPr="00E3673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Scirpophaga</w:t>
            </w:r>
            <w:proofErr w:type="spellEnd"/>
            <w:r w:rsidRPr="00E3673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incertulas</w:t>
            </w:r>
            <w:proofErr w:type="spellEnd"/>
            <w:r w:rsidRPr="00E3673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754A10A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Standardize “chlorantraniliprole” and other active-ingredient names in lowercase unless beginning a sentence.</w:t>
            </w:r>
          </w:p>
          <w:p w14:paraId="64B2D4BF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Replace raw links with DOI-formatted references if required by the journal.</w:t>
            </w:r>
          </w:p>
          <w:p w14:paraId="3B98949B" w14:textId="77777777" w:rsidR="009F368B" w:rsidRPr="00E3673E" w:rsidRDefault="009F368B" w:rsidP="009F368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</w:rPr>
              <w:t>Add a current authoritative source for pesticide label status, resistance management, and residue/safety considerations if these are retained in the manuscript.</w:t>
            </w:r>
          </w:p>
          <w:p w14:paraId="230226A5" w14:textId="77777777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91514C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F368B" w:rsidRPr="00E3673E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9F368B" w:rsidRPr="00E3673E" w:rsidRDefault="009F368B" w:rsidP="009F368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9F368B" w:rsidRPr="00E3673E" w:rsidRDefault="009F368B" w:rsidP="009F368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6789C364" w:rsidR="009F368B" w:rsidRPr="00E3673E" w:rsidRDefault="009F368B" w:rsidP="009F36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367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9F368B" w:rsidRPr="00E3673E" w:rsidRDefault="009F368B" w:rsidP="009F368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257DCB" w14:textId="77777777" w:rsidR="00645413" w:rsidRPr="00E3673E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4557D58C" w14:textId="77777777" w:rsidR="00645413" w:rsidRPr="00E3673E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40FCC8" w14:textId="77777777" w:rsidR="00E3673E" w:rsidRPr="00E3673E" w:rsidRDefault="00E3673E" w:rsidP="00E3673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C2E422C" w14:textId="77777777" w:rsidR="00E3673E" w:rsidRPr="00E3673E" w:rsidRDefault="00E3673E" w:rsidP="00E3673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3673E">
        <w:rPr>
          <w:rFonts w:ascii="Arial" w:hAnsi="Arial" w:cs="Arial"/>
          <w:b/>
          <w:u w:val="single"/>
        </w:rPr>
        <w:t>Reviewer details:</w:t>
      </w:r>
    </w:p>
    <w:p w14:paraId="25AD70B2" w14:textId="77777777" w:rsidR="00E3673E" w:rsidRPr="00E3673E" w:rsidRDefault="00E3673E" w:rsidP="00E3673E">
      <w:pPr>
        <w:rPr>
          <w:rFonts w:ascii="Arial" w:hAnsi="Arial" w:cs="Arial"/>
          <w:sz w:val="20"/>
          <w:szCs w:val="20"/>
        </w:rPr>
      </w:pPr>
      <w:r w:rsidRPr="00E3673E">
        <w:rPr>
          <w:rFonts w:ascii="Arial" w:hAnsi="Arial" w:cs="Arial"/>
          <w:color w:val="000000"/>
          <w:sz w:val="20"/>
          <w:szCs w:val="20"/>
        </w:rPr>
        <w:t xml:space="preserve">Maan Abdul Azeez Shafeeq, </w:t>
      </w:r>
      <w:proofErr w:type="spellStart"/>
      <w:r w:rsidRPr="00E3673E">
        <w:rPr>
          <w:rFonts w:ascii="Arial" w:hAnsi="Arial" w:cs="Arial"/>
          <w:color w:val="000000"/>
          <w:sz w:val="20"/>
          <w:szCs w:val="20"/>
        </w:rPr>
        <w:t>Mustansiriyah</w:t>
      </w:r>
      <w:proofErr w:type="spellEnd"/>
      <w:r w:rsidRPr="00E3673E">
        <w:rPr>
          <w:rFonts w:ascii="Arial" w:hAnsi="Arial" w:cs="Arial"/>
          <w:color w:val="000000"/>
          <w:sz w:val="20"/>
          <w:szCs w:val="20"/>
        </w:rPr>
        <w:t xml:space="preserve"> University, Iraq</w:t>
      </w:r>
      <w:r w:rsidRPr="00E3673E">
        <w:rPr>
          <w:rFonts w:ascii="Arial" w:hAnsi="Arial" w:cs="Arial"/>
          <w:color w:val="000000"/>
          <w:sz w:val="20"/>
          <w:szCs w:val="20"/>
        </w:rPr>
        <w:br/>
      </w:r>
    </w:p>
    <w:p w14:paraId="620D6587" w14:textId="77777777" w:rsidR="009F368B" w:rsidRPr="00E3673E" w:rsidRDefault="009F368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sectPr w:rsidR="009F368B" w:rsidRPr="00E3673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FA55" w14:textId="77777777" w:rsidR="00A920FE" w:rsidRDefault="00A920FE">
      <w:r>
        <w:separator/>
      </w:r>
    </w:p>
  </w:endnote>
  <w:endnote w:type="continuationSeparator" w:id="0">
    <w:p w14:paraId="2CC74662" w14:textId="77777777" w:rsidR="00A920FE" w:rsidRDefault="00A9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1088" w14:textId="77777777" w:rsidR="00A920FE" w:rsidRDefault="00A920FE">
      <w:r>
        <w:separator/>
      </w:r>
    </w:p>
  </w:footnote>
  <w:footnote w:type="continuationSeparator" w:id="0">
    <w:p w14:paraId="395E2D0E" w14:textId="77777777" w:rsidR="00A920FE" w:rsidRDefault="00A9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A3161"/>
    <w:multiLevelType w:val="hybridMultilevel"/>
    <w:tmpl w:val="2FC62B4C"/>
    <w:lvl w:ilvl="0" w:tplc="6562F43E">
      <w:start w:val="1"/>
      <w:numFmt w:val="bullet"/>
      <w:lvlText w:val="•"/>
      <w:lvlJc w:val="left"/>
      <w:pPr>
        <w:ind w:left="720" w:hanging="360"/>
      </w:pPr>
    </w:lvl>
    <w:lvl w:ilvl="1" w:tplc="AC34E43E">
      <w:start w:val="1"/>
      <w:numFmt w:val="bullet"/>
      <w:lvlText w:val="◦"/>
      <w:lvlJc w:val="left"/>
      <w:pPr>
        <w:ind w:left="1440" w:hanging="360"/>
      </w:pPr>
    </w:lvl>
    <w:lvl w:ilvl="2" w:tplc="D0BAE458">
      <w:start w:val="1"/>
      <w:numFmt w:val="bullet"/>
      <w:lvlText w:val="•"/>
      <w:lvlJc w:val="left"/>
      <w:pPr>
        <w:ind w:left="2160" w:hanging="360"/>
      </w:pPr>
    </w:lvl>
    <w:lvl w:ilvl="3" w:tplc="91B43916">
      <w:start w:val="1"/>
      <w:numFmt w:val="bullet"/>
      <w:lvlText w:val="◦"/>
      <w:lvlJc w:val="left"/>
      <w:pPr>
        <w:ind w:left="2880" w:hanging="360"/>
      </w:pPr>
    </w:lvl>
    <w:lvl w:ilvl="4" w:tplc="908A88F0">
      <w:start w:val="1"/>
      <w:numFmt w:val="bullet"/>
      <w:lvlText w:val="•"/>
      <w:lvlJc w:val="left"/>
      <w:pPr>
        <w:ind w:left="3600" w:hanging="360"/>
      </w:pPr>
    </w:lvl>
    <w:lvl w:ilvl="5" w:tplc="019C2850">
      <w:start w:val="1"/>
      <w:numFmt w:val="bullet"/>
      <w:lvlText w:val="◦"/>
      <w:lvlJc w:val="left"/>
      <w:pPr>
        <w:ind w:left="4320" w:hanging="360"/>
      </w:pPr>
    </w:lvl>
    <w:lvl w:ilvl="6" w:tplc="FEBC0A28">
      <w:start w:val="1"/>
      <w:numFmt w:val="bullet"/>
      <w:lvlText w:val="•"/>
      <w:lvlJc w:val="left"/>
      <w:pPr>
        <w:ind w:left="5040" w:hanging="360"/>
      </w:pPr>
    </w:lvl>
    <w:lvl w:ilvl="7" w:tplc="F92A4492">
      <w:numFmt w:val="decimal"/>
      <w:lvlText w:val=""/>
      <w:lvlJc w:val="left"/>
    </w:lvl>
    <w:lvl w:ilvl="8" w:tplc="27844D2A">
      <w:numFmt w:val="decimal"/>
      <w:lvlText w:val=""/>
      <w:lvlJc w:val="left"/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2456BC"/>
    <w:multiLevelType w:val="multilevel"/>
    <w:tmpl w:val="EE6AE6E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481585332">
    <w:abstractNumId w:val="5"/>
  </w:num>
  <w:num w:numId="2" w16cid:durableId="1860386781">
    <w:abstractNumId w:val="9"/>
  </w:num>
  <w:num w:numId="3" w16cid:durableId="138504077">
    <w:abstractNumId w:val="8"/>
  </w:num>
  <w:num w:numId="4" w16cid:durableId="1775244625">
    <w:abstractNumId w:val="10"/>
  </w:num>
  <w:num w:numId="5" w16cid:durableId="20673514">
    <w:abstractNumId w:val="7"/>
  </w:num>
  <w:num w:numId="6" w16cid:durableId="1801341056">
    <w:abstractNumId w:val="0"/>
  </w:num>
  <w:num w:numId="7" w16cid:durableId="898589914">
    <w:abstractNumId w:val="4"/>
  </w:num>
  <w:num w:numId="8" w16cid:durableId="794324597">
    <w:abstractNumId w:val="12"/>
  </w:num>
  <w:num w:numId="9" w16cid:durableId="291206268">
    <w:abstractNumId w:val="11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6"/>
  </w:num>
  <w:num w:numId="13" w16cid:durableId="1427385703">
    <w:abstractNumId w:val="3"/>
    <w:lvlOverride w:ilvl="0">
      <w:startOverride w:val="1"/>
    </w:lvlOverride>
  </w:num>
  <w:num w:numId="14" w16cid:durableId="971443754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634AB"/>
    <w:rsid w:val="00230B02"/>
    <w:rsid w:val="003C3965"/>
    <w:rsid w:val="004E2DE2"/>
    <w:rsid w:val="00645413"/>
    <w:rsid w:val="007A33D8"/>
    <w:rsid w:val="007D3F0E"/>
    <w:rsid w:val="007E0067"/>
    <w:rsid w:val="009201F7"/>
    <w:rsid w:val="009F368B"/>
    <w:rsid w:val="00A920FE"/>
    <w:rsid w:val="00AD2A0C"/>
    <w:rsid w:val="00B01890"/>
    <w:rsid w:val="00B5033E"/>
    <w:rsid w:val="00CC2F27"/>
    <w:rsid w:val="00E3673E"/>
    <w:rsid w:val="00E96756"/>
    <w:rsid w:val="00F667C3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3673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38</cp:revision>
  <dcterms:created xsi:type="dcterms:W3CDTF">2026-03-24T06:32:00Z</dcterms:created>
  <dcterms:modified xsi:type="dcterms:W3CDTF">2026-10-10T07:29:00Z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