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4E6125" w14:paraId="38064BB5" w14:textId="77777777">
        <w:trPr>
          <w:trHeight w:val="20"/>
          <w:jc w:val="center"/>
        </w:trPr>
        <w:tc>
          <w:tcPr>
            <w:tcW w:w="1186" w:type="pct"/>
          </w:tcPr>
          <w:p w14:paraId="733C9C64" w14:textId="77777777" w:rsidR="000F510C" w:rsidRPr="004E6125" w:rsidRDefault="00351C3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7489EF0" w14:textId="77777777" w:rsidR="000F510C" w:rsidRPr="004E6125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E612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4E6125" w14:paraId="749BA897" w14:textId="77777777">
        <w:trPr>
          <w:trHeight w:val="20"/>
          <w:jc w:val="center"/>
        </w:trPr>
        <w:tc>
          <w:tcPr>
            <w:tcW w:w="1186" w:type="pct"/>
          </w:tcPr>
          <w:p w14:paraId="64933598" w14:textId="77777777" w:rsidR="000F510C" w:rsidRPr="004E6125" w:rsidRDefault="00351C3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7E7BF60F" w14:textId="77777777" w:rsidR="000F510C" w:rsidRPr="004E6125" w:rsidRDefault="00BA116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Ms_UPJOZ_6420</w:t>
            </w:r>
          </w:p>
        </w:tc>
      </w:tr>
      <w:tr w:rsidR="000F510C" w:rsidRPr="004E6125" w14:paraId="44D5CF3A" w14:textId="77777777">
        <w:trPr>
          <w:trHeight w:val="20"/>
          <w:jc w:val="center"/>
        </w:trPr>
        <w:tc>
          <w:tcPr>
            <w:tcW w:w="1186" w:type="pct"/>
          </w:tcPr>
          <w:p w14:paraId="129F8E89" w14:textId="77777777" w:rsidR="000F510C" w:rsidRPr="004E6125" w:rsidRDefault="00351C3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0E2BE3FB" w14:textId="77777777" w:rsidR="000F510C" w:rsidRPr="004E6125" w:rsidRDefault="00BA116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Comparative Efficacy of Essential Oil and Antibiotic Supplementation on the Growth Performance of Broiler Chickens</w:t>
            </w:r>
          </w:p>
        </w:tc>
      </w:tr>
      <w:tr w:rsidR="000F510C" w:rsidRPr="004E6125" w14:paraId="7BBCCE61" w14:textId="77777777">
        <w:trPr>
          <w:trHeight w:val="20"/>
          <w:jc w:val="center"/>
        </w:trPr>
        <w:tc>
          <w:tcPr>
            <w:tcW w:w="1186" w:type="pct"/>
          </w:tcPr>
          <w:p w14:paraId="597BC301" w14:textId="77777777" w:rsidR="000F510C" w:rsidRPr="004E6125" w:rsidRDefault="00351C3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BF4DC85" w14:textId="77777777" w:rsidR="000F510C" w:rsidRPr="004E6125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010EED3" w14:textId="77777777" w:rsidR="000F510C" w:rsidRPr="004E6125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54A70E43" w14:textId="77777777" w:rsidR="000F510C" w:rsidRPr="004E6125" w:rsidRDefault="00351C3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4E612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4E6125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27DAF2B0" w14:textId="77777777" w:rsidR="000F510C" w:rsidRPr="004E6125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4E6125" w14:paraId="042136F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9D1551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64793ED" w14:textId="77777777" w:rsidR="000F510C" w:rsidRPr="004E6125" w:rsidRDefault="00351C3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302BA39" w14:textId="77777777" w:rsidR="000F510C" w:rsidRPr="004E6125" w:rsidRDefault="00351C3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E612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E612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AAEEF5A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E6125" w14:paraId="664BEDA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45C74C" w14:textId="77777777" w:rsidR="000F510C" w:rsidRPr="004E6125" w:rsidRDefault="00351C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4FB58DE" w14:textId="77777777" w:rsidR="000F510C" w:rsidRPr="004E6125" w:rsidRDefault="00351C3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98D2792" w14:textId="77777777" w:rsidR="00050B51" w:rsidRPr="004E6125" w:rsidRDefault="00050B51" w:rsidP="00050B51">
            <w:pPr>
              <w:numPr>
                <w:ilvl w:val="0"/>
                <w:numId w:val="13"/>
              </w:numPr>
              <w:ind w:left="268" w:hanging="270"/>
              <w:rPr>
                <w:rFonts w:ascii="Arial" w:hAnsi="Arial" w:cs="Arial"/>
                <w:sz w:val="20"/>
                <w:szCs w:val="20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 xml:space="preserve">The study addresses the continuing interest in </w:t>
            </w:r>
            <w:r w:rsidRPr="004E6125">
              <w:rPr>
                <w:rStyle w:val="Strong"/>
                <w:rFonts w:ascii="Arial" w:eastAsia="MS Mincho" w:hAnsi="Arial" w:cs="Arial"/>
                <w:b w:val="0"/>
                <w:bCs w:val="0"/>
                <w:sz w:val="20"/>
                <w:szCs w:val="20"/>
              </w:rPr>
              <w:t>phytogenic feed additives as alternatives to antibiotic growth promoters</w:t>
            </w:r>
            <w:r w:rsidRPr="004E6125">
              <w:rPr>
                <w:rFonts w:ascii="Arial" w:hAnsi="Arial" w:cs="Arial"/>
                <w:sz w:val="20"/>
                <w:szCs w:val="20"/>
              </w:rPr>
              <w:t xml:space="preserve"> in broiler production. </w:t>
            </w:r>
          </w:p>
          <w:p w14:paraId="4733ED98" w14:textId="77777777" w:rsidR="00050B51" w:rsidRPr="004E6125" w:rsidRDefault="00050B51" w:rsidP="00050B51">
            <w:pPr>
              <w:numPr>
                <w:ilvl w:val="0"/>
                <w:numId w:val="13"/>
              </w:numPr>
              <w:ind w:left="268" w:hanging="270"/>
              <w:rPr>
                <w:rFonts w:ascii="Arial" w:hAnsi="Arial" w:cs="Arial"/>
                <w:sz w:val="20"/>
                <w:szCs w:val="20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 xml:space="preserve">It directly compares </w:t>
            </w:r>
            <w:r w:rsidRPr="004E6125">
              <w:rPr>
                <w:rStyle w:val="Strong"/>
                <w:rFonts w:ascii="Arial" w:eastAsia="MS Mincho" w:hAnsi="Arial" w:cs="Arial"/>
                <w:b w:val="0"/>
                <w:bCs w:val="0"/>
                <w:sz w:val="20"/>
                <w:szCs w:val="20"/>
              </w:rPr>
              <w:t xml:space="preserve">cinnamon oil, clove oil, their combination, tetracycline, and an </w:t>
            </w:r>
            <w:proofErr w:type="spellStart"/>
            <w:r w:rsidRPr="004E6125">
              <w:rPr>
                <w:rStyle w:val="Strong"/>
                <w:rFonts w:ascii="Arial" w:eastAsia="MS Mincho" w:hAnsi="Arial" w:cs="Arial"/>
                <w:b w:val="0"/>
                <w:bCs w:val="0"/>
                <w:sz w:val="20"/>
                <w:szCs w:val="20"/>
              </w:rPr>
              <w:t>unsupplemented</w:t>
            </w:r>
            <w:proofErr w:type="spellEnd"/>
            <w:r w:rsidRPr="004E6125">
              <w:rPr>
                <w:rStyle w:val="Strong"/>
                <w:rFonts w:ascii="Arial" w:eastAsia="MS Mincho" w:hAnsi="Arial" w:cs="Arial"/>
                <w:b w:val="0"/>
                <w:bCs w:val="0"/>
                <w:sz w:val="20"/>
                <w:szCs w:val="20"/>
              </w:rPr>
              <w:t xml:space="preserve"> control</w:t>
            </w:r>
            <w:r w:rsidRPr="004E6125">
              <w:rPr>
                <w:rFonts w:ascii="Arial" w:hAnsi="Arial" w:cs="Arial"/>
                <w:sz w:val="20"/>
                <w:szCs w:val="20"/>
              </w:rPr>
              <w:t xml:space="preserve">, which gives the study comparative relevance. </w:t>
            </w:r>
          </w:p>
          <w:p w14:paraId="2E2ECD17" w14:textId="77777777" w:rsidR="00050B51" w:rsidRPr="004E6125" w:rsidRDefault="00050B51" w:rsidP="00050B51">
            <w:pPr>
              <w:numPr>
                <w:ilvl w:val="0"/>
                <w:numId w:val="13"/>
              </w:numPr>
              <w:ind w:left="268" w:hanging="270"/>
              <w:rPr>
                <w:rFonts w:ascii="Arial" w:hAnsi="Arial" w:cs="Arial"/>
                <w:sz w:val="20"/>
                <w:szCs w:val="20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 xml:space="preserve">Growth performance outcomes include </w:t>
            </w:r>
            <w:r w:rsidRPr="004E6125">
              <w:rPr>
                <w:rStyle w:val="Strong"/>
                <w:rFonts w:ascii="Arial" w:eastAsia="MS Mincho" w:hAnsi="Arial" w:cs="Arial"/>
                <w:b w:val="0"/>
                <w:bCs w:val="0"/>
                <w:sz w:val="20"/>
                <w:szCs w:val="20"/>
              </w:rPr>
              <w:t>body weight, body-weight gain, feed consumption and FCR</w:t>
            </w:r>
            <w:r w:rsidRPr="004E6125">
              <w:rPr>
                <w:rFonts w:ascii="Arial" w:hAnsi="Arial" w:cs="Arial"/>
                <w:sz w:val="20"/>
                <w:szCs w:val="20"/>
              </w:rPr>
              <w:t xml:space="preserve">, which are important production parameters. </w:t>
            </w:r>
          </w:p>
          <w:p w14:paraId="547EC245" w14:textId="77777777" w:rsidR="00050B51" w:rsidRPr="004E6125" w:rsidRDefault="00050B51" w:rsidP="00050B51">
            <w:pPr>
              <w:numPr>
                <w:ilvl w:val="0"/>
                <w:numId w:val="13"/>
              </w:numPr>
              <w:ind w:left="268" w:hanging="270"/>
              <w:rPr>
                <w:rFonts w:ascii="Arial" w:hAnsi="Arial" w:cs="Arial"/>
                <w:sz w:val="20"/>
                <w:szCs w:val="20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 xml:space="preserve">The results indicate that the cinnamon-oil treatment produced the highest body weight and weight gain and the lowest FCR among the treatments evaluated. </w:t>
            </w:r>
          </w:p>
          <w:p w14:paraId="1DEFC5E2" w14:textId="77777777" w:rsidR="000F510C" w:rsidRPr="004E6125" w:rsidRDefault="000F510C" w:rsidP="00573751">
            <w:pPr>
              <w:ind w:left="268"/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872966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2CD7082" w14:textId="77777777" w:rsidR="00351215" w:rsidRPr="004E6125" w:rsidRDefault="0035121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</w:p>
    <w:p w14:paraId="6E61F6D4" w14:textId="77777777" w:rsidR="000F510C" w:rsidRPr="004E6125" w:rsidRDefault="00351C3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E612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F47076B" w14:textId="77777777" w:rsidR="000F510C" w:rsidRPr="004E6125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4E6125" w14:paraId="107B79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F47CFF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86C1669" w14:textId="77777777" w:rsidR="000F510C" w:rsidRPr="004E6125" w:rsidRDefault="00351C3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A47079" w14:textId="77777777" w:rsidR="000F510C" w:rsidRPr="004E6125" w:rsidRDefault="00351C3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E612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4E612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4E612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4E6125" w14:paraId="3F4788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F1B98E" w14:textId="77777777" w:rsidR="000F510C" w:rsidRPr="004E6125" w:rsidRDefault="00351C3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687F69" w14:textId="77777777" w:rsidR="000F510C" w:rsidRPr="004E6125" w:rsidRDefault="00351C3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ECBEAE" w14:textId="77777777" w:rsidR="000F510C" w:rsidRPr="004E6125" w:rsidRDefault="00351C3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5BE363" w14:textId="77777777" w:rsidR="00050B51" w:rsidRPr="004E6125" w:rsidRDefault="00B64000" w:rsidP="00351C3C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="00050B51" w:rsidRPr="004E61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1B2F466D" w14:textId="77777777" w:rsidR="000F510C" w:rsidRPr="004E6125" w:rsidRDefault="00050B51" w:rsidP="00351C3C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title clearly identifies essential oils, antibiotic supplementation and broiler growth performance. However, the Methods describe a broader study that are not presented.</w:t>
            </w:r>
          </w:p>
        </w:tc>
        <w:tc>
          <w:tcPr>
            <w:tcW w:w="1667" w:type="pct"/>
          </w:tcPr>
          <w:p w14:paraId="7FAD8801" w14:textId="77777777" w:rsidR="000F510C" w:rsidRPr="004E6125" w:rsidRDefault="000F510C" w:rsidP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4B388D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468D15" w14:textId="77777777" w:rsidR="00573751" w:rsidRPr="004E6125" w:rsidRDefault="00573751" w:rsidP="002F41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B9F34CC" w14:textId="77777777" w:rsidR="00573751" w:rsidRPr="004E6125" w:rsidRDefault="00573751" w:rsidP="002F41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94B9A" w14:textId="77777777" w:rsidR="00573751" w:rsidRPr="004E6125" w:rsidRDefault="00573751" w:rsidP="002F41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963674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  <w:p w14:paraId="3DB3BC02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It adequately summarizes design, treatments and growth findings, but does not mention important methodological limitations.</w:t>
            </w:r>
          </w:p>
        </w:tc>
        <w:tc>
          <w:tcPr>
            <w:tcW w:w="1667" w:type="pct"/>
          </w:tcPr>
          <w:p w14:paraId="33407796" w14:textId="77777777" w:rsidR="00573751" w:rsidRPr="004E6125" w:rsidRDefault="00573751" w:rsidP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4DF64E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04465" w14:textId="77777777" w:rsidR="00573751" w:rsidRPr="004E6125" w:rsidRDefault="00573751" w:rsidP="002F41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66CBE04" w14:textId="77777777" w:rsidR="00573751" w:rsidRPr="004E6125" w:rsidRDefault="00573751" w:rsidP="002F41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C28BCC" w14:textId="77777777" w:rsidR="00573751" w:rsidRPr="004E6125" w:rsidRDefault="00573751" w:rsidP="002F41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7A03F9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  <w:p w14:paraId="51F752C1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keywords directly represent the principal treatments, animal model and outcomes.</w:t>
            </w:r>
          </w:p>
        </w:tc>
        <w:tc>
          <w:tcPr>
            <w:tcW w:w="1667" w:type="pct"/>
          </w:tcPr>
          <w:p w14:paraId="182E9427" w14:textId="77777777" w:rsidR="00573751" w:rsidRPr="004E6125" w:rsidRDefault="00573751" w:rsidP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5C3BC1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1DE153" w14:textId="77777777" w:rsidR="00573751" w:rsidRPr="004E6125" w:rsidRDefault="00573751" w:rsidP="002F41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7E5A36B8" w14:textId="77777777" w:rsidR="00573751" w:rsidRPr="004E6125" w:rsidRDefault="00573751" w:rsidP="002F41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F21D90" w14:textId="77777777" w:rsidR="00573751" w:rsidRPr="004E6125" w:rsidRDefault="00573751" w:rsidP="002F41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650CBC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  <w:p w14:paraId="03A63F99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introduction establishes the rationale for phytogenic alternatives and explains cinnamon, clove and tetracycline.</w:t>
            </w:r>
          </w:p>
        </w:tc>
        <w:tc>
          <w:tcPr>
            <w:tcW w:w="1667" w:type="pct"/>
          </w:tcPr>
          <w:p w14:paraId="1BE28602" w14:textId="77777777" w:rsidR="00573751" w:rsidRPr="004E6125" w:rsidRDefault="00573751" w:rsidP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57D75F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8510CE" w14:textId="77777777" w:rsidR="00573751" w:rsidRPr="004E6125" w:rsidRDefault="00573751" w:rsidP="002F41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AE2AD2A" w14:textId="77777777" w:rsidR="00573751" w:rsidRPr="004E6125" w:rsidRDefault="00573751" w:rsidP="002F41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1A07B1" w14:textId="77777777" w:rsidR="00573751" w:rsidRPr="004E6125" w:rsidRDefault="00573751" w:rsidP="002F41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A5C633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  <w:p w14:paraId="5CB17582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objective is identifiable and stated at the end of the Introduction, although a formal hypothesis is not explicitly presented.</w:t>
            </w:r>
          </w:p>
        </w:tc>
        <w:tc>
          <w:tcPr>
            <w:tcW w:w="1667" w:type="pct"/>
          </w:tcPr>
          <w:p w14:paraId="1EF5D41F" w14:textId="77777777" w:rsidR="00573751" w:rsidRPr="004E6125" w:rsidRDefault="00573751" w:rsidP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6200151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6C6C10" w14:textId="77777777" w:rsidR="00573751" w:rsidRPr="004E6125" w:rsidRDefault="00573751" w:rsidP="002F41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667A8CA9" w14:textId="77777777" w:rsidR="00573751" w:rsidRPr="004E6125" w:rsidRDefault="00573751" w:rsidP="002F41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730A23" w14:textId="77777777" w:rsidR="00573751" w:rsidRPr="004E6125" w:rsidRDefault="00573751" w:rsidP="002F41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5892EC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  <w:p w14:paraId="0F090FAD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manuscript cites recent literature, including 2025-2026 references, while also using established references.</w:t>
            </w:r>
          </w:p>
        </w:tc>
        <w:tc>
          <w:tcPr>
            <w:tcW w:w="1667" w:type="pct"/>
          </w:tcPr>
          <w:p w14:paraId="69AB0C34" w14:textId="77777777" w:rsidR="00573751" w:rsidRPr="004E6125" w:rsidRDefault="00573751" w:rsidP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2A64F8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36B46E" w14:textId="77777777" w:rsidR="00573751" w:rsidRPr="004E6125" w:rsidRDefault="0057375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B4B0F6" w14:textId="77777777" w:rsidR="00573751" w:rsidRPr="004E6125" w:rsidRDefault="00573751" w:rsidP="00351C3C">
            <w:pPr>
              <w:ind w:left="360"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667" w:type="pct"/>
          </w:tcPr>
          <w:p w14:paraId="1FF58E68" w14:textId="77777777" w:rsidR="00573751" w:rsidRPr="004E6125" w:rsidRDefault="00573751" w:rsidP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5F8E5D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A70CAD" w14:textId="77777777" w:rsidR="00573751" w:rsidRPr="004E6125" w:rsidRDefault="00573751" w:rsidP="002F41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99E3484" w14:textId="77777777" w:rsidR="00573751" w:rsidRPr="004E6125" w:rsidRDefault="00573751" w:rsidP="002F41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ACE7" w14:textId="77777777" w:rsidR="00573751" w:rsidRPr="004E6125" w:rsidRDefault="00573751" w:rsidP="002F41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630AE9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  <w:p w14:paraId="47A66330" w14:textId="77777777" w:rsidR="00573751" w:rsidRPr="004E6125" w:rsidRDefault="00573751" w:rsidP="002F411D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Important clarification is needed concerning the experimental dates, experimental unit, replication and statistical model.</w:t>
            </w:r>
          </w:p>
        </w:tc>
        <w:tc>
          <w:tcPr>
            <w:tcW w:w="1667" w:type="pct"/>
          </w:tcPr>
          <w:p w14:paraId="5537FA68" w14:textId="77777777" w:rsidR="00573751" w:rsidRPr="004E6125" w:rsidRDefault="00573751" w:rsidP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3465B1A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945319" w14:textId="77777777" w:rsidR="00573751" w:rsidRPr="004E6125" w:rsidRDefault="0057375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1C44D9B3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6065FF" w14:textId="77777777" w:rsidR="00573751" w:rsidRPr="004E6125" w:rsidRDefault="005737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5A36E" w14:textId="77777777" w:rsidR="00573751" w:rsidRPr="004E6125" w:rsidRDefault="00573751" w:rsidP="00351C3C">
            <w:pPr>
              <w:ind w:left="360"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  <w:p w14:paraId="35CB8ADA" w14:textId="77777777" w:rsidR="00573751" w:rsidRPr="004E6125" w:rsidRDefault="00573751" w:rsidP="00351C3C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manuscript does not provide a clear animal-ethics/IAEC approval statement.</w:t>
            </w:r>
          </w:p>
        </w:tc>
        <w:tc>
          <w:tcPr>
            <w:tcW w:w="1667" w:type="pct"/>
          </w:tcPr>
          <w:p w14:paraId="5C9AA981" w14:textId="77777777" w:rsidR="00573751" w:rsidRPr="004E6125" w:rsidRDefault="00573751" w:rsidP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755808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DFE55" w14:textId="77777777" w:rsidR="00573751" w:rsidRPr="004E6125" w:rsidRDefault="005737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CF2DD77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70F3A" w14:textId="77777777" w:rsidR="00573751" w:rsidRPr="004E6125" w:rsidRDefault="0057375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17FD440" w14:textId="77777777" w:rsidR="00573751" w:rsidRPr="004E6125" w:rsidRDefault="00573751" w:rsidP="00351C3C">
            <w:pPr>
              <w:ind w:firstLine="361"/>
              <w:contextualSpacing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4 = Good</w:t>
            </w:r>
          </w:p>
          <w:p w14:paraId="2FFE6D39" w14:textId="77777777" w:rsidR="00573751" w:rsidRPr="004E6125" w:rsidRDefault="00573751" w:rsidP="00050B51">
            <w:pPr>
              <w:ind w:left="361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 xml:space="preserve">Growth, weight gain, feed consumption and FCR are presented systematically, but </w:t>
            </w:r>
            <w:r w:rsidRPr="004E6125">
              <w:rPr>
                <w:rFonts w:ascii="Arial" w:hAnsi="Arial" w:cs="Arial"/>
                <w:sz w:val="20"/>
                <w:szCs w:val="20"/>
              </w:rPr>
              <w:lastRenderedPageBreak/>
              <w:t>statistical interpretation and the experimental unit require clarification.</w:t>
            </w:r>
          </w:p>
        </w:tc>
        <w:tc>
          <w:tcPr>
            <w:tcW w:w="1667" w:type="pct"/>
          </w:tcPr>
          <w:p w14:paraId="4EB0F29B" w14:textId="77777777" w:rsidR="00573751" w:rsidRPr="004E6125" w:rsidRDefault="0057375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32CE17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4797C2" w14:textId="77777777" w:rsidR="00573751" w:rsidRPr="004E6125" w:rsidRDefault="005737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E95D1CE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9EADFD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685C12A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44504492" w14:textId="77777777" w:rsidR="00573751" w:rsidRPr="004E6125" w:rsidRDefault="005737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63667C" w14:textId="77777777" w:rsidR="00573751" w:rsidRPr="004E6125" w:rsidRDefault="00573751" w:rsidP="00351C3C">
            <w:pPr>
              <w:ind w:firstLine="361"/>
              <w:contextualSpacing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  <w:p w14:paraId="3E5F8DE5" w14:textId="77777777" w:rsidR="00573751" w:rsidRPr="004E6125" w:rsidRDefault="00573751" w:rsidP="00050B51">
            <w:pPr>
              <w:ind w:left="361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tables address the principal outcomes and figures illustrate trends, but the presentation should be checked and improved where necessary.</w:t>
            </w:r>
          </w:p>
        </w:tc>
        <w:tc>
          <w:tcPr>
            <w:tcW w:w="1667" w:type="pct"/>
          </w:tcPr>
          <w:p w14:paraId="72D364C7" w14:textId="77777777" w:rsidR="00573751" w:rsidRPr="004E6125" w:rsidRDefault="00573751" w:rsidP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33CC67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602210" w14:textId="77777777" w:rsidR="00573751" w:rsidRPr="004E6125" w:rsidRDefault="005737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E0791C9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709AEB" w14:textId="77777777" w:rsidR="00573751" w:rsidRPr="004E6125" w:rsidRDefault="005737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F40D7A" w14:textId="77777777" w:rsidR="00573751" w:rsidRPr="004E6125" w:rsidRDefault="00573751" w:rsidP="00351C3C">
            <w:pPr>
              <w:ind w:firstLine="361"/>
              <w:contextualSpacing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  <w:p w14:paraId="4AB5CE92" w14:textId="77777777" w:rsidR="00573751" w:rsidRPr="004E6125" w:rsidRDefault="00573751" w:rsidP="00050B51">
            <w:pPr>
              <w:ind w:left="361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authors compare their findings with several previous studies. However, some proposed mechanisms were not directly measured in this experiment and should therefore be expressed cautiously.</w:t>
            </w:r>
          </w:p>
        </w:tc>
        <w:tc>
          <w:tcPr>
            <w:tcW w:w="1667" w:type="pct"/>
          </w:tcPr>
          <w:p w14:paraId="3BC29B4B" w14:textId="77777777" w:rsidR="00573751" w:rsidRPr="004E6125" w:rsidRDefault="0057375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7398C9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A8E956" w14:textId="77777777" w:rsidR="00573751" w:rsidRPr="004E6125" w:rsidRDefault="005737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20C642E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C0DAD" w14:textId="77777777" w:rsidR="00573751" w:rsidRPr="004E6125" w:rsidRDefault="005737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55A54C" w14:textId="77777777" w:rsidR="00573751" w:rsidRPr="004E6125" w:rsidRDefault="00573751" w:rsidP="00351C3C">
            <w:pPr>
              <w:ind w:firstLine="361"/>
              <w:contextualSpacing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  <w:p w14:paraId="7CB353C2" w14:textId="77777777" w:rsidR="00573751" w:rsidRPr="004E6125" w:rsidRDefault="00573751" w:rsidP="00050B51">
            <w:pPr>
              <w:ind w:left="361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comparative growth findings support the observation that T1 performed best among the tested groups, but the broader claim that cinnamon oil is a “residue-free alternative” is not directly demonstrated because residue or antimicrobial-resistance measurements were not performed.</w:t>
            </w:r>
          </w:p>
        </w:tc>
        <w:tc>
          <w:tcPr>
            <w:tcW w:w="1667" w:type="pct"/>
          </w:tcPr>
          <w:p w14:paraId="06A14320" w14:textId="77777777" w:rsidR="00573751" w:rsidRPr="004E6125" w:rsidRDefault="0057375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0A61A2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7D4A96" w14:textId="77777777" w:rsidR="00573751" w:rsidRPr="004E6125" w:rsidRDefault="005737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CA32F70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5FB874" w14:textId="77777777" w:rsidR="00573751" w:rsidRPr="004E6125" w:rsidRDefault="005737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3E8AB" w14:textId="77777777" w:rsidR="00573751" w:rsidRPr="004E6125" w:rsidRDefault="00573751" w:rsidP="00351C3C">
            <w:pPr>
              <w:ind w:firstLine="361"/>
              <w:contextualSpacing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  <w:p w14:paraId="4C71E09B" w14:textId="77777777" w:rsidR="00573751" w:rsidRPr="004E6125" w:rsidRDefault="00573751" w:rsidP="00351C3C">
            <w:pPr>
              <w:ind w:firstLine="361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A dedicated limitations section is absent.</w:t>
            </w:r>
          </w:p>
        </w:tc>
        <w:tc>
          <w:tcPr>
            <w:tcW w:w="1667" w:type="pct"/>
          </w:tcPr>
          <w:p w14:paraId="47C27725" w14:textId="77777777" w:rsidR="00573751" w:rsidRPr="004E6125" w:rsidRDefault="00573751" w:rsidP="00050B5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593ACA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9C5856" w14:textId="77777777" w:rsidR="00573751" w:rsidRPr="004E6125" w:rsidRDefault="005737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EF5B874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2127C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17BD872" w14:textId="77777777" w:rsidR="00573751" w:rsidRPr="004E6125" w:rsidRDefault="005737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72B4623" w14:textId="77777777" w:rsidR="00573751" w:rsidRPr="004E6125" w:rsidRDefault="00573751" w:rsidP="00050B51">
            <w:pPr>
              <w:ind w:left="361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  <w:r w:rsidRPr="004E61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222E7373" w14:textId="77777777" w:rsidR="00573751" w:rsidRPr="004E6125" w:rsidRDefault="00573751" w:rsidP="00050B51">
            <w:pPr>
              <w:ind w:left="361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reference list is reasonably extensive and relevant, with several recent publications.</w:t>
            </w:r>
          </w:p>
        </w:tc>
        <w:tc>
          <w:tcPr>
            <w:tcW w:w="1667" w:type="pct"/>
          </w:tcPr>
          <w:p w14:paraId="6B0FD3BC" w14:textId="77777777" w:rsidR="00573751" w:rsidRPr="004E6125" w:rsidRDefault="00573751" w:rsidP="00050B5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73751" w:rsidRPr="004E6125" w14:paraId="79B4F7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366EC" w14:textId="77777777" w:rsidR="00573751" w:rsidRPr="004E6125" w:rsidRDefault="0057375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9404A98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7A8169" w14:textId="77777777" w:rsidR="00573751" w:rsidRPr="004E6125" w:rsidRDefault="0057375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C36AF7" w14:textId="77777777" w:rsidR="00573751" w:rsidRPr="004E6125" w:rsidRDefault="0057375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EB6D0F" w14:textId="77777777" w:rsidR="00573751" w:rsidRPr="004E6125" w:rsidRDefault="00573751" w:rsidP="00050B51">
            <w:pPr>
              <w:ind w:left="361"/>
              <w:contextualSpacing/>
              <w:jc w:val="both"/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  <w:p w14:paraId="49C39E82" w14:textId="77777777" w:rsidR="00573751" w:rsidRPr="004E6125" w:rsidRDefault="00573751" w:rsidP="00050B51">
            <w:pPr>
              <w:ind w:left="361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manuscript is generally understandable but requires language editing, consistency corrections and removal of some overstatements.</w:t>
            </w:r>
          </w:p>
        </w:tc>
        <w:tc>
          <w:tcPr>
            <w:tcW w:w="1667" w:type="pct"/>
          </w:tcPr>
          <w:p w14:paraId="70A4B4B2" w14:textId="77777777" w:rsidR="00573751" w:rsidRPr="004E6125" w:rsidRDefault="00573751" w:rsidP="00050B5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94D197" w14:textId="77777777" w:rsidR="000F510C" w:rsidRPr="004E6125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E3969A5" w14:textId="77777777" w:rsidR="000F510C" w:rsidRPr="004E6125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B96A5FA" w14:textId="77777777" w:rsidR="000F510C" w:rsidRPr="004E6125" w:rsidRDefault="00351C3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E612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D6A22C9" w14:textId="77777777" w:rsidR="000F510C" w:rsidRPr="004E6125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4E6125" w14:paraId="048281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C57759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8074C4" w14:textId="77777777" w:rsidR="000F510C" w:rsidRPr="004E6125" w:rsidRDefault="00351C3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80C382E" w14:textId="77777777" w:rsidR="000F510C" w:rsidRPr="004E612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D4004C" w14:textId="77777777" w:rsidR="000F510C" w:rsidRPr="004E6125" w:rsidRDefault="00351C3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E612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E612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E612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1C374D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E6125" w14:paraId="682E1E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9DC823" w14:textId="77777777" w:rsidR="000F510C" w:rsidRPr="004E6125" w:rsidRDefault="00351C3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9139638" w14:textId="77777777" w:rsidR="000F510C" w:rsidRPr="004E612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F76C255" w14:textId="77777777" w:rsidR="000F510C" w:rsidRPr="004E6125" w:rsidRDefault="00351C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A09DE24" w14:textId="77777777" w:rsidR="000F510C" w:rsidRPr="004E6125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9BEBCF" w14:textId="77777777" w:rsidR="000F510C" w:rsidRPr="004E6125" w:rsidRDefault="003512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43B25125" w14:textId="77777777" w:rsidR="00351215" w:rsidRPr="004E6125" w:rsidRDefault="003512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title is clear, appropriate, and adequately reflects the comparative nature and primary outcome of the study.</w:t>
            </w:r>
          </w:p>
        </w:tc>
        <w:tc>
          <w:tcPr>
            <w:tcW w:w="1667" w:type="pct"/>
          </w:tcPr>
          <w:p w14:paraId="2ADFD654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E6125" w14:paraId="6058BA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622580" w14:textId="77777777" w:rsidR="000F510C" w:rsidRPr="004E6125" w:rsidRDefault="00351C3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C4581F4" w14:textId="77777777" w:rsidR="000F510C" w:rsidRPr="004E612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1976168" w14:textId="77777777" w:rsidR="000F510C" w:rsidRPr="004E6125" w:rsidRDefault="00351C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7809EAE" w14:textId="77777777" w:rsidR="000F510C" w:rsidRPr="004E6125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54797D" w14:textId="77777777" w:rsidR="000F510C" w:rsidRPr="004E6125" w:rsidRDefault="003512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5FC5890C" w14:textId="77777777" w:rsidR="00351215" w:rsidRPr="004E6125" w:rsidRDefault="003512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abstract is generally informative, but requires revision for consistency with the methodology and results, particularly regarding experimental details, terminology, and reported values.</w:t>
            </w:r>
          </w:p>
        </w:tc>
        <w:tc>
          <w:tcPr>
            <w:tcW w:w="1667" w:type="pct"/>
          </w:tcPr>
          <w:p w14:paraId="38278CFE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E6125" w14:paraId="5EAC0E5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5EB9B" w14:textId="77777777" w:rsidR="000F510C" w:rsidRPr="004E6125" w:rsidRDefault="00351C3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E612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92C770B" w14:textId="77777777" w:rsidR="000F510C" w:rsidRPr="004E6125" w:rsidRDefault="00351C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9DFC3C0" w14:textId="77777777" w:rsidR="000F510C" w:rsidRPr="004E6125" w:rsidRDefault="00351C3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8658607" w14:textId="77777777" w:rsidR="00351215" w:rsidRPr="004E6125" w:rsidRDefault="00351215" w:rsidP="0035121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131DD56E" w14:textId="77777777" w:rsidR="000F510C" w:rsidRPr="004E6125" w:rsidRDefault="00351215" w:rsidP="00351215">
            <w:pPr>
              <w:ind w:left="361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E6125">
              <w:rPr>
                <w:rFonts w:ascii="Arial" w:hAnsi="Arial" w:cs="Arial"/>
                <w:sz w:val="20"/>
                <w:szCs w:val="20"/>
              </w:rPr>
              <w:t>The study is relevant, but clarification is required regarding the statistical model, calculation/reporting of growth-performance parameters, consistency among tables and text, and the strength of the conclusions. The claim of a “residue-free alternative” should be moderated unless residue/safety data were evaluated.</w:t>
            </w:r>
          </w:p>
          <w:p w14:paraId="2BA06F86" w14:textId="77777777" w:rsidR="00AE3DCE" w:rsidRPr="004E6125" w:rsidRDefault="00AE3DCE" w:rsidP="00351215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has merit but requires substantial methodological, statistical, presentation, and interpretational revisions before publication.</w:t>
            </w:r>
          </w:p>
          <w:p w14:paraId="58C6517E" w14:textId="77777777" w:rsidR="001935FF" w:rsidRPr="004E6125" w:rsidRDefault="001935FF" w:rsidP="00351215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9D375E3" w14:textId="282FE4E2" w:rsidR="001935FF" w:rsidRPr="004E6125" w:rsidRDefault="001935FF" w:rsidP="00967FE1">
            <w:pPr>
              <w:keepNext/>
              <w:outlineLvl w:val="1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5E59E9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E6125" w14:paraId="5214A64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AE2EFE" w14:textId="77777777" w:rsidR="000F510C" w:rsidRPr="004E6125" w:rsidRDefault="00351C3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A4D7985" w14:textId="77777777" w:rsidR="000F510C" w:rsidRPr="004E6125" w:rsidRDefault="00351C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93BECD0" w14:textId="77777777" w:rsidR="000F510C" w:rsidRPr="004E612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AF8A707" w14:textId="77777777" w:rsidR="000F510C" w:rsidRPr="004E6125" w:rsidRDefault="00351C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02C8B9E" w14:textId="77777777" w:rsidR="000F510C" w:rsidRPr="004E6125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F4D83C" w14:textId="77777777" w:rsidR="000E00AC" w:rsidRPr="004E6125" w:rsidRDefault="000E00AC" w:rsidP="000E00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2718333D" w14:textId="77777777" w:rsidR="000F510C" w:rsidRPr="004E6125" w:rsidRDefault="000E00AC" w:rsidP="000E00AC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</w:rPr>
              <w:t>The references are generally relevant, but additional recent literature should be incorporated, particularly regarding essential-oil dose response, mechanisms, safety, and comparison with antibiotic growth promoters.</w:t>
            </w:r>
          </w:p>
        </w:tc>
        <w:tc>
          <w:tcPr>
            <w:tcW w:w="1667" w:type="pct"/>
          </w:tcPr>
          <w:p w14:paraId="667282E6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E6125" w14:paraId="443D1B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3C64EF" w14:textId="77777777" w:rsidR="000F510C" w:rsidRPr="004E6125" w:rsidRDefault="00351C3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0F90EED" w14:textId="77777777" w:rsidR="000F510C" w:rsidRPr="004E6125" w:rsidRDefault="00351C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DBE555E" w14:textId="77777777" w:rsidR="000F510C" w:rsidRPr="004E612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DDC4A0" w14:textId="77777777" w:rsidR="000F510C" w:rsidRPr="004E6125" w:rsidRDefault="00351C3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BCD00EB" w14:textId="77777777" w:rsidR="000F510C" w:rsidRPr="004E6125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2A92C8F" w14:textId="77777777" w:rsidR="000E00AC" w:rsidRPr="004E6125" w:rsidRDefault="000E00AC" w:rsidP="000E00A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  <w:p w14:paraId="0F1F4717" w14:textId="77777777" w:rsidR="000F510C" w:rsidRPr="004E6125" w:rsidRDefault="000E00AC" w:rsidP="000E00AC">
            <w:pPr>
              <w:ind w:left="361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E6125">
              <w:rPr>
                <w:rFonts w:ascii="Arial" w:hAnsi="Arial" w:cs="Arial"/>
                <w:bCs/>
                <w:sz w:val="20"/>
                <w:szCs w:val="20"/>
              </w:rPr>
              <w:t>No specific ethical issue is apparent; however, the authors should include an appropriate statement regarding institutional animal welfare/ethical approval, if applicable.</w:t>
            </w:r>
          </w:p>
        </w:tc>
        <w:tc>
          <w:tcPr>
            <w:tcW w:w="1667" w:type="pct"/>
          </w:tcPr>
          <w:p w14:paraId="3DF6E85D" w14:textId="77777777" w:rsidR="000F510C" w:rsidRPr="004E6125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CA9C146" w14:textId="77777777" w:rsidR="004E6125" w:rsidRPr="004E6125" w:rsidRDefault="004E6125" w:rsidP="004E612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768747E" w14:textId="77777777" w:rsidR="004E6125" w:rsidRPr="004E6125" w:rsidRDefault="004E6125" w:rsidP="004E612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E6125">
        <w:rPr>
          <w:rFonts w:ascii="Arial" w:hAnsi="Arial" w:cs="Arial"/>
          <w:b/>
          <w:u w:val="single"/>
        </w:rPr>
        <w:t>Reviewer details:</w:t>
      </w:r>
    </w:p>
    <w:p w14:paraId="5D49EC59" w14:textId="77777777" w:rsidR="004E6125" w:rsidRPr="004E6125" w:rsidRDefault="004E6125" w:rsidP="004E6125">
      <w:pPr>
        <w:rPr>
          <w:rFonts w:ascii="Arial" w:hAnsi="Arial" w:cs="Arial"/>
          <w:sz w:val="20"/>
          <w:szCs w:val="20"/>
        </w:rPr>
      </w:pPr>
      <w:r w:rsidRPr="004E6125">
        <w:rPr>
          <w:rFonts w:ascii="Arial" w:hAnsi="Arial" w:cs="Arial"/>
          <w:color w:val="000000"/>
          <w:sz w:val="20"/>
          <w:szCs w:val="20"/>
        </w:rPr>
        <w:t xml:space="preserve">Anil Kumar Singh, </w:t>
      </w:r>
      <w:proofErr w:type="spellStart"/>
      <w:r w:rsidRPr="004E6125">
        <w:rPr>
          <w:rFonts w:ascii="Arial" w:hAnsi="Arial" w:cs="Arial"/>
          <w:color w:val="000000"/>
          <w:sz w:val="20"/>
          <w:szCs w:val="20"/>
        </w:rPr>
        <w:t>Nanaji</w:t>
      </w:r>
      <w:proofErr w:type="spellEnd"/>
      <w:r w:rsidRPr="004E6125">
        <w:rPr>
          <w:rFonts w:ascii="Arial" w:hAnsi="Arial" w:cs="Arial"/>
          <w:color w:val="000000"/>
          <w:sz w:val="20"/>
          <w:szCs w:val="20"/>
        </w:rPr>
        <w:t xml:space="preserve"> Deshmukh Veterinary Science University</w:t>
      </w:r>
      <w:r w:rsidRPr="004E6125">
        <w:rPr>
          <w:rFonts w:ascii="Arial" w:hAnsi="Arial" w:cs="Arial"/>
          <w:sz w:val="20"/>
          <w:szCs w:val="20"/>
        </w:rPr>
        <w:t xml:space="preserve">, </w:t>
      </w:r>
      <w:r w:rsidRPr="004E6125">
        <w:rPr>
          <w:rFonts w:ascii="Arial" w:hAnsi="Arial" w:cs="Arial"/>
          <w:color w:val="000000"/>
          <w:sz w:val="20"/>
          <w:szCs w:val="20"/>
        </w:rPr>
        <w:t>INDIA</w:t>
      </w:r>
    </w:p>
    <w:p w14:paraId="77FD05B8" w14:textId="77777777" w:rsidR="004E6125" w:rsidRPr="004E6125" w:rsidRDefault="004E6125" w:rsidP="004E6125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75B2777" w14:textId="77777777" w:rsidR="000F510C" w:rsidRPr="004E6125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4E6125" w:rsidSect="0057375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6C2AA" w14:textId="77777777" w:rsidR="0034508D" w:rsidRDefault="0034508D">
      <w:r>
        <w:separator/>
      </w:r>
    </w:p>
  </w:endnote>
  <w:endnote w:type="continuationSeparator" w:id="0">
    <w:p w14:paraId="60759887" w14:textId="77777777" w:rsidR="0034508D" w:rsidRDefault="00345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4254" w14:textId="77777777" w:rsidR="000E00AC" w:rsidRDefault="000E00AC">
    <w:pPr>
      <w:pStyle w:val="Footer"/>
      <w:jc w:val="right"/>
    </w:pPr>
  </w:p>
  <w:p w14:paraId="1C1251C8" w14:textId="77777777" w:rsidR="000E00AC" w:rsidRDefault="000E00A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EF7C80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EF7C80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5D82127" w14:textId="77777777" w:rsidR="000E00AC" w:rsidRDefault="000E00A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F7C912F" w14:textId="77777777" w:rsidR="000E00AC" w:rsidRDefault="000E00AC">
    <w:pPr>
      <w:pStyle w:val="Footer"/>
      <w:jc w:val="right"/>
    </w:pPr>
  </w:p>
  <w:p w14:paraId="78DAA4DE" w14:textId="77777777" w:rsidR="000E00AC" w:rsidRDefault="000E00A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41208" w14:textId="77777777" w:rsidR="0034508D" w:rsidRDefault="0034508D">
      <w:r>
        <w:separator/>
      </w:r>
    </w:p>
  </w:footnote>
  <w:footnote w:type="continuationSeparator" w:id="0">
    <w:p w14:paraId="6FA2C6A6" w14:textId="77777777" w:rsidR="0034508D" w:rsidRDefault="00345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7CF22" w14:textId="77777777" w:rsidR="000E00AC" w:rsidRDefault="000E00A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8421AED" w14:textId="77777777" w:rsidR="000E00AC" w:rsidRDefault="000E00A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FB8"/>
    <w:multiLevelType w:val="hybridMultilevel"/>
    <w:tmpl w:val="8E90D4C2"/>
    <w:lvl w:ilvl="0" w:tplc="8FD0A7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4A641B"/>
    <w:multiLevelType w:val="hybridMultilevel"/>
    <w:tmpl w:val="C370442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0570832">
    <w:abstractNumId w:val="5"/>
  </w:num>
  <w:num w:numId="2" w16cid:durableId="1212812596">
    <w:abstractNumId w:val="9"/>
  </w:num>
  <w:num w:numId="3" w16cid:durableId="223032960">
    <w:abstractNumId w:val="8"/>
  </w:num>
  <w:num w:numId="4" w16cid:durableId="1817605048">
    <w:abstractNumId w:val="10"/>
  </w:num>
  <w:num w:numId="5" w16cid:durableId="1652909002">
    <w:abstractNumId w:val="7"/>
  </w:num>
  <w:num w:numId="6" w16cid:durableId="1591083591">
    <w:abstractNumId w:val="0"/>
  </w:num>
  <w:num w:numId="7" w16cid:durableId="1178887211">
    <w:abstractNumId w:val="4"/>
  </w:num>
  <w:num w:numId="8" w16cid:durableId="1880238575">
    <w:abstractNumId w:val="13"/>
  </w:num>
  <w:num w:numId="9" w16cid:durableId="323630606">
    <w:abstractNumId w:val="12"/>
  </w:num>
  <w:num w:numId="10" w16cid:durableId="1827166831">
    <w:abstractNumId w:val="3"/>
  </w:num>
  <w:num w:numId="11" w16cid:durableId="702095703">
    <w:abstractNumId w:val="2"/>
  </w:num>
  <w:num w:numId="12" w16cid:durableId="850026980">
    <w:abstractNumId w:val="6"/>
  </w:num>
  <w:num w:numId="13" w16cid:durableId="2025589789">
    <w:abstractNumId w:val="1"/>
  </w:num>
  <w:num w:numId="14" w16cid:durableId="1397434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30B40"/>
    <w:rsid w:val="00050B51"/>
    <w:rsid w:val="000E00AC"/>
    <w:rsid w:val="000F510C"/>
    <w:rsid w:val="001935FF"/>
    <w:rsid w:val="002319F6"/>
    <w:rsid w:val="0034508D"/>
    <w:rsid w:val="00351215"/>
    <w:rsid w:val="00351C3C"/>
    <w:rsid w:val="004E6125"/>
    <w:rsid w:val="00551BBC"/>
    <w:rsid w:val="00573751"/>
    <w:rsid w:val="006518EB"/>
    <w:rsid w:val="006D4715"/>
    <w:rsid w:val="007B65AC"/>
    <w:rsid w:val="0080678C"/>
    <w:rsid w:val="0084796D"/>
    <w:rsid w:val="0085241F"/>
    <w:rsid w:val="008A048C"/>
    <w:rsid w:val="00967FE1"/>
    <w:rsid w:val="00974416"/>
    <w:rsid w:val="009F4610"/>
    <w:rsid w:val="00A42060"/>
    <w:rsid w:val="00A73FAC"/>
    <w:rsid w:val="00AD2A0C"/>
    <w:rsid w:val="00AE3DCE"/>
    <w:rsid w:val="00B27293"/>
    <w:rsid w:val="00B61CE3"/>
    <w:rsid w:val="00B64000"/>
    <w:rsid w:val="00BA116B"/>
    <w:rsid w:val="00C21838"/>
    <w:rsid w:val="00CF30FD"/>
    <w:rsid w:val="00DD7211"/>
    <w:rsid w:val="00E14A87"/>
    <w:rsid w:val="00E439E3"/>
    <w:rsid w:val="00E64EB0"/>
    <w:rsid w:val="00EF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FCEEB"/>
  <w15:docId w15:val="{2F53516C-D6A6-4C2A-8410-1ED6BCAA9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1F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5241F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85241F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85241F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85241F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8524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85241F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85241F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85241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5241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241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5241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5241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5241F"/>
    <w:pPr>
      <w:ind w:left="720"/>
      <w:contextualSpacing/>
    </w:pPr>
  </w:style>
  <w:style w:type="paragraph" w:styleId="Revision">
    <w:name w:val="Revision"/>
    <w:hidden/>
    <w:uiPriority w:val="99"/>
    <w:semiHidden/>
    <w:rsid w:val="0085241F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85241F"/>
    <w:rPr>
      <w:color w:val="800080"/>
      <w:u w:val="single"/>
    </w:rPr>
  </w:style>
  <w:style w:type="table" w:styleId="TableGrid">
    <w:name w:val="Table Grid"/>
    <w:basedOn w:val="TableNormal"/>
    <w:uiPriority w:val="59"/>
    <w:rsid w:val="0085241F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85241F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85241F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050B51"/>
    <w:rPr>
      <w:b/>
      <w:bCs/>
    </w:rPr>
  </w:style>
  <w:style w:type="character" w:styleId="UnresolvedMention">
    <w:name w:val="Unresolved Mention"/>
    <w:uiPriority w:val="99"/>
    <w:semiHidden/>
    <w:unhideWhenUsed/>
    <w:rsid w:val="00AE3DC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E612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31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2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268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39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807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3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2189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579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8888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4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43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75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1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05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92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228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53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90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138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986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4330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0275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66844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1209</Words>
  <Characters>6897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8090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2026-10-01T12:35:00Z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