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8"/>
          <w:szCs w:val="28"/>
          <w:u w:val="single"/>
        </w:rPr>
      </w:pPr>
      <w:bookmarkStart w:colFirst="0" w:colLast="0" w:name="_t5bnfziu97pl" w:id="0"/>
      <w:bookmarkEnd w:id="0"/>
      <w:r w:rsidDel="00000000" w:rsidR="00000000" w:rsidRPr="00000000">
        <w:rPr>
          <w:rFonts w:ascii="Times New Roman" w:cs="Times New Roman" w:eastAsia="Times New Roman" w:hAnsi="Times New Roman"/>
          <w:sz w:val="28"/>
          <w:szCs w:val="28"/>
          <w:u w:val="single"/>
          <w:rtl w:val="0"/>
        </w:rPr>
        <w:t xml:space="preserve">Original Research Article</w:t>
      </w:r>
    </w:p>
    <w:p w:rsidR="00000000" w:rsidDel="00000000" w:rsidP="00000000" w:rsidRDefault="00000000" w:rsidRPr="00000000" w14:paraId="00000002">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Assessment of Milking Hygiene Practices and Their Impact on Somatic Cell Count in goats Under Field and Farm Conditions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Abstract</w:t>
      </w:r>
    </w:p>
    <w:p w:rsidR="00000000" w:rsidDel="00000000" w:rsidP="00000000" w:rsidRDefault="00000000" w:rsidRPr="00000000" w14:paraId="00000005">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evaluated milking hygiene practices and compared somatic cell counts (SCC) in goats (n=56) maintained under semi-intensive farm conditions versus free-grazing field conditions (n=56). In field conditions, high compliance was reported for utensil washing (100.00%, n=56/56) and pre-milking udder washing (96.42%, n=54/56), whereas handler hygiene (55.35% wearing unclean attire, n=31/56) and shed drainage infrastructure (89.28% absent, n=50/56) showed critical gaps. Mean SCC was significantly lower in field-reared goats (4.27±0.02×105 cells/mL) than in farm-reared goats (4.62±0.05×105 cells/mL) (t=6.499, df=110, P&lt;0.001), indicating better overall udder health in field setups. This statistical variance is largely attributed to differences in housing density and feeding management, as free-grazing field goats benefit from lower environmental stress, increased physical movement, and diverse natural foraging, which positively influence baseline systemic immunity. Conversely, semi-intensive farm housing exposes animals to higher stocking density, restricted mobility, and shed-bound feeding, increasing localized pathogen pressure despite controlled management. While strong adherence to udder and utensil sanitation helps field farmers suppress subclinical mastitis, targeted interventions targeting personal milker hygiene and proper shed drainage infrastructure remain necessary. Consequently, addressing these localized sanitation deficiencies could further minimize microbial contamination and optimize caprine milk quality across smallholder field production systems.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Keywords: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Goat, Somatic Cell Count (SCC), Milking hygiene, Field vs. farm conditions, Udder health, Shed drainage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Introduction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Goat farming serves as a vital pillar for rural livelihoods, food security, and agricultural sustainability, particularly in arid and semi-arid regions across the globe (Devendra, 2012; Silanikove, 2000). According to the Food and Agriculture Organization (FAO), global dairy goat inventory and milk production have increased substantially over recent decades, with global goat milk output surpassing 18–20 million metric tons annually (FAO, 2022). Globally, dairy goats contribute significantly to total small ruminant milk production, with Asia leading production regions by producing over 10 million tons of goat milk per year (FAO, 2022; Devendra, 2012).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the national level, India stands as one of the world's leading producers of goat milk, generating over 6 million tons annually (FAO, 2022; DAHD, 2019). As reported in the official 20th Livestock Census by the Ministry of Fisheries, Animal Husbandry and Dairying, Government of India, the country's total goat population reached 148.88 million heads, marking a 10.14% growth compared to the preceding 19th census period and accounting for over a quarter of the national livestock inventory (DAHD, 2019). This rapid expansion highlights the resilience of caprine species and their critical economic importance for smallholder farmers, landless laborers, and marginal agricultural households (Silanikove, 2000; DAHD, 2019).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Despite the sector's rapid growth and substantial contribution to global and regional dairy outputs, caprine milk quality and udder health remain highly vulnerable to housing conditions, management practices, and environmental pathogens (Devendra, 2012; Bergonier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2003). Intramammary infections and poor milking hygiene directly impact milk safety, shelf life, and yield, triggering inflammatory responses characterized by elevated Somatic Cell Counts (SCC) (Devendra, 2012; Raynal-Ljutovac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2007). High SCC levels serve as the standard biomarker and primary diagnostic indicator of subclinical mastitis and compromised milk quality (Devendra, 2012; Raynal-Ljutovac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2007). Variations in housing and management systems—such as semi-intensive farm housing versus traditional free-grazing field conditions—greatly influence animal exposure to environmental pathogens, physical activity, baseline immunity, and overall milking sanitation (Devendra, 2012; Bergonier et al., 2003; Akbulut et al., 2021). Therefore, evaluating how localized milking hygiene routines and rearing environments affect somatic cell dynamics is critical to optimizing caprine milk production and safeguarding smallholder dairy economics (Devendra, 2012; Bergonier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2003)</w:t>
      </w:r>
    </w:p>
    <w:p w:rsidR="00000000" w:rsidDel="00000000" w:rsidP="00000000" w:rsidRDefault="00000000" w:rsidRPr="00000000" w14:paraId="0000000B">
      <w:pPr>
        <w:spacing w:after="280" w:before="28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 Material Method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Study Location</w:t>
      </w:r>
    </w:p>
    <w:p w:rsidR="00000000" w:rsidDel="00000000" w:rsidP="00000000" w:rsidRDefault="00000000" w:rsidRPr="00000000" w14:paraId="0000000D">
      <w:pPr>
        <w:tabs>
          <w:tab w:val="left" w:leader="none" w:pos="720"/>
        </w:tabs>
        <w:spacing w:after="120" w:before="12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present study was conducted at ICAR-National Dairy Research Institute, Karnal; Taraori near Karnal (Haryana) and Uchana near Karnal (Haryana). The study on </w:t>
      </w:r>
      <w:commentRangeStart w:id="0"/>
      <w:r w:rsidDel="00000000" w:rsidR="00000000" w:rsidRPr="00000000">
        <w:rPr>
          <w:rFonts w:ascii="Times New Roman" w:cs="Times New Roman" w:eastAsia="Times New Roman" w:hAnsi="Times New Roman"/>
          <w:color w:val="000000"/>
          <w:sz w:val="24"/>
          <w:szCs w:val="24"/>
          <w:highlight w:val="red"/>
          <w:rtl w:val="0"/>
        </w:rPr>
        <w:t xml:space="preserve">Murrah buffaloes</w:t>
      </w:r>
      <w:commentRangeEnd w:id="0"/>
      <w:r w:rsidDel="00000000" w:rsidR="00000000" w:rsidRPr="00000000">
        <w:commentReference w:id="0"/>
      </w:r>
      <w:r w:rsidDel="00000000" w:rsidR="00000000" w:rsidRPr="00000000">
        <w:rPr>
          <w:rFonts w:ascii="Times New Roman" w:cs="Times New Roman" w:eastAsia="Times New Roman" w:hAnsi="Times New Roman"/>
          <w:color w:val="000000"/>
          <w:sz w:val="24"/>
          <w:szCs w:val="24"/>
          <w:rtl w:val="0"/>
        </w:rPr>
        <w:t xml:space="preserve"> was conducted at NDRI dairy farm and adjoining villages (Taraori, Uchana) of Karnal Haryana. NDRI located on the northern outskirts of Karnal city in Haryana. The geographical parameters of the Karnal city are 29.43" N latitude; 77.2" E longitude; 250 m above msl. Minimum and maximum ambient temperature range from near freezing point in winter to 45°C in summer season. The annual rainfall is about 700 mm.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Goats were evaluated and categorized into two distinct management groups (n = 56 per group): Farm Conditions (n = 56)- Goats reared under semi-intensive farm conditions at NDRI, maintained under standardized feeding, housing, and machine/hand milking routines.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Field Conditions (n = 56)- Goats reared under conventional free-grazing field goats systems in nearby rural villages. </w:t>
      </w:r>
    </w:p>
    <w:p w:rsidR="00000000" w:rsidDel="00000000" w:rsidP="00000000" w:rsidRDefault="00000000" w:rsidRPr="00000000" w14:paraId="00000010">
      <w:pPr>
        <w:pStyle w:val="Heading4"/>
        <w:spacing w:line="360" w:lineRule="auto"/>
        <w:jc w:val="both"/>
        <w:rPr>
          <w:rFonts w:ascii="Times New Roman" w:cs="Times New Roman" w:eastAsia="Times New Roman" w:hAnsi="Times New Roman"/>
          <w:i w:val="0"/>
          <w:iCs w:val="0"/>
          <w:color w:val="000000"/>
          <w:sz w:val="24"/>
          <w:szCs w:val="24"/>
        </w:rPr>
      </w:pPr>
      <w:r w:rsidDel="00000000" w:rsidR="00000000" w:rsidRPr="00000000">
        <w:rPr>
          <w:rFonts w:ascii="Times New Roman" w:cs="Times New Roman" w:eastAsia="Times New Roman" w:hAnsi="Times New Roman"/>
          <w:i w:val="0"/>
          <w:iCs w:val="0"/>
          <w:color w:val="000000"/>
          <w:sz w:val="24"/>
          <w:szCs w:val="24"/>
          <w:rtl w:val="0"/>
        </w:rPr>
        <w:t xml:space="preserve">Field Survey and Hygiene Data Collection</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Field-reared goat were housed under conventional or loose housing systems, stall-fed or grazed on limited green fodder, and limited concentrate mixtures. Milking was performed entirely by hand using knuckling or full-hand methods.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evaluate field management and hygiene, a structured proforma was administered to animal owners across field units (n = 56). The questionnaire recorded key variables including: Washing of udder before milking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Washing of utensils, Cleanliness of handler/milker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Drainage system.</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Collection of milk samples</w:t>
      </w:r>
      <w:r w:rsidDel="00000000" w:rsidR="00000000" w:rsidRPr="00000000">
        <w:rPr>
          <w:rtl w:val="0"/>
        </w:rPr>
      </w:r>
    </w:p>
    <w:p w:rsidR="00000000" w:rsidDel="00000000" w:rsidP="00000000" w:rsidRDefault="00000000" w:rsidRPr="00000000" w14:paraId="00000014">
      <w:pPr>
        <w:tabs>
          <w:tab w:val="left" w:leader="none" w:pos="720"/>
        </w:tabs>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Milk samples (50 ml) were collected from the milk pooled from all quarters. Samples were collected aseptically in falcon tube measuring 50 ml for the estimation of SCC and other parameters from individual goat. The samples were brought to the laboratory immediately after collection and analysed. </w:t>
      </w:r>
    </w:p>
    <w:p w:rsidR="00000000" w:rsidDel="00000000" w:rsidP="00000000" w:rsidRDefault="00000000" w:rsidRPr="00000000" w14:paraId="00000015">
      <w:pPr>
        <w:spacing w:after="280" w:before="28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Test Performed in Laboratory</w:t>
      </w:r>
    </w:p>
    <w:p w:rsidR="00000000" w:rsidDel="00000000" w:rsidP="00000000" w:rsidRDefault="00000000" w:rsidRPr="00000000" w14:paraId="00000016">
      <w:pPr>
        <w:tabs>
          <w:tab w:val="left" w:leader="none" w:pos="720"/>
        </w:tabs>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Somatic cell counts (SCC) of milk sample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Milk SCC were estimated by Lactoscan SCC kit 4 (manufactured by Milkotronic Ltd.) consisting of, Lactochip, Sofia green lypholized dye,Automatic pipette tip.</w:t>
      </w:r>
    </w:p>
    <w:p w:rsidR="00000000" w:rsidDel="00000000" w:rsidP="00000000" w:rsidRDefault="00000000" w:rsidRPr="00000000" w14:paraId="00000017">
      <w:pPr>
        <w:tabs>
          <w:tab w:val="left" w:leader="none" w:pos="720"/>
        </w:tabs>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 µl of milk sample were taken in an Eppendorf tube (coated with Sofia green lyophilized dye) that was provided with the kit and vortexed for 10-15 times. Kept it for 2 minutes and again vortexed for 10-15 times. After that 8.5 µL of dyed sample was used for charging the lactochip (cassette). Somatic cell counts (SCC) (×10</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cells/ml) displayed by the somatic cell counter machine was noted.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12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Statistical analysis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20"/>
        </w:tabs>
        <w:spacing w:after="120" w:before="120" w:line="360" w:lineRule="auto"/>
        <w:ind w:left="0" w:right="0" w:firstLine="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data was analyzed for mean SE. one-way ANOVA (Tukey’s multiple comparison test) was used for data analysis and t-test. GraphPad Prism (version 9.4.1) and SPSS software (version 26.0) was used for statistical analysis.</w:t>
      </w:r>
    </w:p>
    <w:p w:rsidR="00000000" w:rsidDel="00000000" w:rsidP="00000000" w:rsidRDefault="00000000" w:rsidRPr="00000000" w14:paraId="0000001A">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 Results &amp; Discussion</w:t>
      </w:r>
    </w:p>
    <w:p w:rsidR="00000000" w:rsidDel="00000000" w:rsidP="00000000" w:rsidRDefault="00000000" w:rsidRPr="00000000" w14:paraId="0000001B">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1: </w:t>
      </w:r>
      <w:r w:rsidDel="00000000" w:rsidR="00000000" w:rsidRPr="00000000">
        <w:rPr>
          <w:rFonts w:ascii="Times New Roman" w:cs="Times New Roman" w:eastAsia="Times New Roman" w:hAnsi="Times New Roman"/>
          <w:sz w:val="24"/>
          <w:szCs w:val="24"/>
          <w:rtl w:val="0"/>
        </w:rPr>
        <w:t xml:space="preserve">Managemental practices recorded in Goats kept under field conditions</w:t>
      </w:r>
    </w:p>
    <w:tbl>
      <w:tblPr>
        <w:tblStyle w:val="Table1"/>
        <w:tblW w:w="83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8"/>
        <w:gridCol w:w="3510"/>
        <w:gridCol w:w="1694"/>
        <w:gridCol w:w="1276"/>
        <w:gridCol w:w="990"/>
        <w:tblGridChange w:id="0">
          <w:tblGrid>
            <w:gridCol w:w="918"/>
            <w:gridCol w:w="3510"/>
            <w:gridCol w:w="1694"/>
            <w:gridCol w:w="1276"/>
            <w:gridCol w:w="990"/>
          </w:tblGrid>
        </w:tblGridChange>
      </w:tblGrid>
      <w:tr>
        <w:trPr>
          <w:cantSplit w:val="0"/>
          <w:trHeight w:val="935" w:hRule="atLeast"/>
          <w:tblHeader w:val="0"/>
        </w:trPr>
        <w:tc>
          <w:tcP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Sr. no.</w:t>
            </w:r>
          </w:p>
        </w:tc>
        <w:tc>
          <w:tcP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Management practices</w:t>
            </w:r>
          </w:p>
        </w:tc>
        <w:tc>
          <w:tcP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Observations (n)</w:t>
            </w:r>
          </w:p>
        </w:tc>
        <w:tc>
          <w:tcP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Response</w:t>
            </w:r>
          </w:p>
        </w:tc>
        <w:tc>
          <w:tcP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r>
      <w:tr>
        <w:trPr>
          <w:cantSplit w:val="0"/>
          <w:trHeight w:val="470" w:hRule="atLeast"/>
          <w:tblHeader w:val="0"/>
        </w:trPr>
        <w:tc>
          <w:tcPr>
            <w:vMerge w:val="restart"/>
            <w:vAlign w:val="center"/>
          </w:tcPr>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22">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Washing of udder before milking</w:t>
            </w:r>
          </w:p>
        </w:tc>
        <w:tc>
          <w:tcPr>
            <w:vMerge w:val="restart"/>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r>
          </w:p>
        </w:tc>
        <w:tc>
          <w:tcP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Yes-54</w:t>
            </w:r>
          </w:p>
        </w:tc>
        <w:tc>
          <w:tcP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96.42%</w:t>
            </w:r>
          </w:p>
        </w:tc>
      </w:tr>
      <w:tr>
        <w:trPr>
          <w:cantSplit w:val="0"/>
          <w:trHeight w:val="469" w:hRule="atLeast"/>
          <w:tblHeader w:val="0"/>
        </w:trPr>
        <w:tc>
          <w:tcPr>
            <w:vMerge w:val="continue"/>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No-2</w:t>
            </w:r>
          </w:p>
        </w:tc>
        <w:tc>
          <w:tcP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3.57%</w:t>
            </w:r>
          </w:p>
        </w:tc>
      </w:tr>
      <w:tr>
        <w:trPr>
          <w:cantSplit w:val="0"/>
          <w:trHeight w:val="470" w:hRule="atLeast"/>
          <w:tblHeader w:val="0"/>
        </w:trPr>
        <w:tc>
          <w:tcPr>
            <w:vMerge w:val="restart"/>
            <w:vAlign w:val="center"/>
          </w:tcPr>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2C">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Washing of utensils</w:t>
            </w:r>
          </w:p>
        </w:tc>
        <w:tc>
          <w:tcPr>
            <w:vMerge w:val="restart"/>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r>
          </w:p>
        </w:tc>
        <w:tc>
          <w:tcP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Yes-56</w:t>
            </w:r>
          </w:p>
        </w:tc>
        <w:tc>
          <w:tcP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w:t>
            </w:r>
          </w:p>
        </w:tc>
      </w:tr>
      <w:tr>
        <w:trPr>
          <w:cantSplit w:val="0"/>
          <w:trHeight w:val="469" w:hRule="atLeast"/>
          <w:tblHeader w:val="0"/>
        </w:trPr>
        <w:tc>
          <w:tcPr>
            <w:vMerge w:val="continue"/>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No-0</w:t>
            </w:r>
          </w:p>
        </w:tc>
        <w:tc>
          <w:tcP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r>
      <w:tr>
        <w:trPr>
          <w:cantSplit w:val="0"/>
          <w:trHeight w:val="470" w:hRule="atLeast"/>
          <w:tblHeader w:val="0"/>
        </w:trPr>
        <w:tc>
          <w:tcPr>
            <w:vMerge w:val="restart"/>
            <w:vAlign w:val="center"/>
          </w:tcPr>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36">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Cleanliness of handler/milker</w:t>
            </w:r>
          </w:p>
        </w:tc>
        <w:tc>
          <w:tcPr>
            <w:vMerge w:val="restart"/>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r>
          </w:p>
        </w:tc>
        <w:tc>
          <w:tcP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Yes- 25</w:t>
            </w:r>
          </w:p>
        </w:tc>
        <w:tc>
          <w:tcP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44.64</w:t>
            </w:r>
          </w:p>
        </w:tc>
      </w:tr>
      <w:tr>
        <w:trPr>
          <w:cantSplit w:val="0"/>
          <w:trHeight w:val="469" w:hRule="atLeast"/>
          <w:tblHeader w:val="0"/>
        </w:trPr>
        <w:tc>
          <w:tcPr>
            <w:vMerge w:val="continue"/>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No-31</w:t>
            </w:r>
          </w:p>
        </w:tc>
        <w:tc>
          <w:tcP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55.35</w:t>
            </w:r>
          </w:p>
        </w:tc>
      </w:tr>
      <w:tr>
        <w:trPr>
          <w:cantSplit w:val="0"/>
          <w:trHeight w:val="470" w:hRule="atLeast"/>
          <w:tblHeader w:val="0"/>
        </w:trPr>
        <w:tc>
          <w:tcPr>
            <w:vMerge w:val="restart"/>
            <w:vAlign w:val="center"/>
          </w:tcPr>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40">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Drainage system</w:t>
            </w:r>
          </w:p>
        </w:tc>
        <w:tc>
          <w:tcPr>
            <w:vMerge w:val="restart"/>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r>
          </w:p>
        </w:tc>
        <w:tc>
          <w:tcP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Present-6</w:t>
            </w:r>
          </w:p>
        </w:tc>
        <w:tc>
          <w:tcP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10.71</w:t>
            </w:r>
          </w:p>
        </w:tc>
      </w:tr>
      <w:tr>
        <w:trPr>
          <w:cantSplit w:val="0"/>
          <w:trHeight w:val="469" w:hRule="atLeast"/>
          <w:tblHeader w:val="0"/>
        </w:trPr>
        <w:tc>
          <w:tcPr>
            <w:vMerge w:val="continue"/>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Absent-50</w:t>
            </w:r>
          </w:p>
        </w:tc>
        <w:tc>
          <w:tcP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89.28</w:t>
            </w:r>
          </w:p>
        </w:tc>
      </w:tr>
    </w:tbl>
    <w:p w:rsidR="00000000" w:rsidDel="00000000" w:rsidP="00000000" w:rsidRDefault="00000000" w:rsidRPr="00000000" w14:paraId="00000049">
      <w:pPr>
        <w:spacing w:after="120" w:before="120" w:line="360" w:lineRule="auto"/>
        <w:ind w:firstLine="56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120" w:before="120" w:line="36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overall mean values for SCC in farm and field condition were 4.62±0.05 and 4.27±0.02 respectively. The overall mean values of SCC were higher in farm than in field condition (Table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4.2.5).  Lower value of SCC in field can be explained by their good feeding managemental practices like on filed goats are allowed to graze freely and it is expected to have positive impact on their immunity. Other management practices like, 96.42% of respondents washed animal’s udder before milking and all farmers washed the utensils before milking. In case of hygiene of milker/handler all the respondents washed their hands before milking but 55.35% wore dusty, old unclean clothes. While 44.64% were properly hygienic.10.71% of farmers regularly cleaned their shed for urine and dung while 89.28% did not cleaned their shed. In farm all the goats were housed in semi-intensive system and were feed in shed.</w:t>
      </w:r>
    </w:p>
    <w:p w:rsidR="00000000" w:rsidDel="00000000" w:rsidP="00000000" w:rsidRDefault="00000000" w:rsidRPr="00000000" w14:paraId="0000004B">
      <w:pPr>
        <w:spacing w:after="120" w:before="120" w:line="36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2520315" cy="3061335"/>
            <wp:effectExtent b="9525" l="9525" r="9525" t="9525"/>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20315" cy="3061335"/>
                    </a:xfrm>
                    <a:prstGeom prst="rect"/>
                    <a:ln w="9525">
                      <a:solidFill>
                        <a:srgbClr val="000000"/>
                      </a:solidFill>
                      <a:prstDash val="solid"/>
                    </a:ln>
                  </pic:spPr>
                </pic:pic>
              </a:graphicData>
            </a:graphic>
          </wp:inline>
        </w:drawing>
      </w:r>
      <w:r w:rsidDel="00000000" w:rsidR="00000000" w:rsidRPr="00000000">
        <w:rPr>
          <w:rFonts w:ascii="Times New Roman" w:cs="Times New Roman" w:eastAsia="Times New Roman" w:hAnsi="Times New Roman"/>
          <w:sz w:val="24"/>
          <w:szCs w:val="24"/>
        </w:rPr>
        <w:drawing>
          <wp:inline distB="0" distT="0" distL="0" distR="0">
            <wp:extent cx="2536190" cy="3108960"/>
            <wp:effectExtent b="9525" l="9525" r="9525" t="9525"/>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536190" cy="310896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C">
      <w:pPr>
        <w:tabs>
          <w:tab w:val="left" w:leader="none" w:pos="5190"/>
        </w:tabs>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 1: </w:t>
      </w:r>
      <w:r w:rsidDel="00000000" w:rsidR="00000000" w:rsidRPr="00000000">
        <w:rPr>
          <w:rFonts w:ascii="Times New Roman" w:cs="Times New Roman" w:eastAsia="Times New Roman" w:hAnsi="Times New Roman"/>
          <w:sz w:val="24"/>
          <w:szCs w:val="24"/>
          <w:rtl w:val="0"/>
        </w:rPr>
        <w:t xml:space="preserve">Washing of udder before milking</w:t>
      </w:r>
      <w:r w:rsidDel="00000000" w:rsidR="00000000" w:rsidRPr="00000000">
        <w:rPr>
          <w:rFonts w:ascii="Times New Roman" w:cs="Times New Roman" w:eastAsia="Times New Roman" w:hAnsi="Times New Roman"/>
          <w:b w:val="1"/>
          <w:bCs w:val="1"/>
          <w:sz w:val="24"/>
          <w:szCs w:val="24"/>
          <w:rtl w:val="0"/>
        </w:rPr>
        <w:t xml:space="preserve">             Fig 2: </w:t>
      </w:r>
      <w:r w:rsidDel="00000000" w:rsidR="00000000" w:rsidRPr="00000000">
        <w:rPr>
          <w:rFonts w:ascii="Times New Roman" w:cs="Times New Roman" w:eastAsia="Times New Roman" w:hAnsi="Times New Roman"/>
          <w:sz w:val="24"/>
          <w:szCs w:val="24"/>
          <w:rtl w:val="0"/>
        </w:rPr>
        <w:t xml:space="preserve">Washing of utensils</w:t>
      </w:r>
    </w:p>
    <w:p w:rsidR="00000000" w:rsidDel="00000000" w:rsidP="00000000" w:rsidRDefault="00000000" w:rsidRPr="00000000" w14:paraId="0000004D">
      <w:pPr>
        <w:tabs>
          <w:tab w:val="left" w:leader="none" w:pos="5190"/>
        </w:tabs>
        <w:spacing w:after="120" w:before="12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433320" cy="2966085"/>
            <wp:effectExtent b="9525" l="9525" r="9525" t="9525"/>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433320" cy="2966085"/>
                    </a:xfrm>
                    <a:prstGeom prst="rect"/>
                    <a:ln w="9525">
                      <a:solidFill>
                        <a:srgbClr val="000000"/>
                      </a:solidFill>
                      <a:prstDash val="solid"/>
                    </a:ln>
                  </pic:spPr>
                </pic:pic>
              </a:graphicData>
            </a:graphic>
          </wp:inline>
        </w:drawing>
      </w:r>
      <w:r w:rsidDel="00000000" w:rsidR="00000000" w:rsidRPr="00000000">
        <w:rPr>
          <w:rFonts w:ascii="Times New Roman" w:cs="Times New Roman" w:eastAsia="Times New Roman" w:hAnsi="Times New Roman"/>
          <w:sz w:val="24"/>
          <w:szCs w:val="24"/>
        </w:rPr>
        <w:drawing>
          <wp:inline distB="0" distT="0" distL="0" distR="0">
            <wp:extent cx="2512695" cy="2950210"/>
            <wp:effectExtent b="9525" l="9525" r="9525" t="9525"/>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512695" cy="295021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F">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 3: </w:t>
      </w:r>
      <w:r w:rsidDel="00000000" w:rsidR="00000000" w:rsidRPr="00000000">
        <w:rPr>
          <w:rFonts w:ascii="Times New Roman" w:cs="Times New Roman" w:eastAsia="Times New Roman" w:hAnsi="Times New Roman"/>
          <w:sz w:val="24"/>
          <w:szCs w:val="24"/>
          <w:rtl w:val="0"/>
        </w:rPr>
        <w:t xml:space="preserve">Cleanliness of handler/milker     </w:t>
      </w:r>
      <w:r w:rsidDel="00000000" w:rsidR="00000000" w:rsidRPr="00000000">
        <w:rPr>
          <w:rFonts w:ascii="Times New Roman" w:cs="Times New Roman" w:eastAsia="Times New Roman" w:hAnsi="Times New Roman"/>
          <w:b w:val="1"/>
          <w:bCs w:val="1"/>
          <w:sz w:val="24"/>
          <w:szCs w:val="24"/>
          <w:rtl w:val="0"/>
        </w:rPr>
        <w:t xml:space="preserve">Fig 4: </w:t>
      </w:r>
      <w:r w:rsidDel="00000000" w:rsidR="00000000" w:rsidRPr="00000000">
        <w:rPr>
          <w:rFonts w:ascii="Times New Roman" w:cs="Times New Roman" w:eastAsia="Times New Roman" w:hAnsi="Times New Roman"/>
          <w:sz w:val="24"/>
          <w:szCs w:val="24"/>
          <w:rtl w:val="0"/>
        </w:rPr>
        <w:t xml:space="preserve">Drainage system</w:t>
      </w:r>
    </w:p>
    <w:p w:rsidR="00000000" w:rsidDel="00000000" w:rsidP="00000000" w:rsidRDefault="00000000" w:rsidRPr="00000000" w14:paraId="00000050">
      <w:pPr>
        <w:spacing w:after="120" w:before="12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51">
      <w:pPr>
        <w:spacing w:after="120" w:before="12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2: Comparison of SCC between Farm and Field Conditions in Goats</w:t>
      </w:r>
    </w:p>
    <w:tbl>
      <w:tblPr>
        <w:tblStyle w:val="Table2"/>
        <w:tblpPr w:leftFromText="180" w:rightFromText="180" w:topFromText="0" w:bottomFromText="0" w:vertAnchor="text" w:horzAnchor="text" w:tblpX="0" w:tblpY="377"/>
        <w:tblW w:w="95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4"/>
        <w:gridCol w:w="1234"/>
        <w:gridCol w:w="1234"/>
        <w:gridCol w:w="1234"/>
        <w:gridCol w:w="1234"/>
        <w:gridCol w:w="1234"/>
        <w:gridCol w:w="1923"/>
        <w:tblGridChange w:id="0">
          <w:tblGrid>
            <w:gridCol w:w="1484"/>
            <w:gridCol w:w="1234"/>
            <w:gridCol w:w="1234"/>
            <w:gridCol w:w="1234"/>
            <w:gridCol w:w="1234"/>
            <w:gridCol w:w="1234"/>
            <w:gridCol w:w="1923"/>
          </w:tblGrid>
        </w:tblGridChange>
      </w:tblGrid>
      <w:tr>
        <w:trPr>
          <w:cantSplit w:val="0"/>
          <w:tblHeader w:val="0"/>
        </w:trPr>
        <w:tc>
          <w:tcPr>
            <w:vAlign w:val="center"/>
          </w:tcPr>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Parameter</w:t>
            </w:r>
            <w:r w:rsidDel="00000000" w:rsidR="00000000" w:rsidRPr="00000000">
              <w:rPr>
                <w:rtl w:val="0"/>
              </w:rPr>
            </w:r>
          </w:p>
        </w:tc>
        <w:tc>
          <w:tcPr>
            <w:vAlign w:val="center"/>
          </w:tcPr>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Farm condition</w:t>
              <w:br w:type="textWrapping"/>
              <w:t xml:space="preserve">(n=56)</w:t>
            </w:r>
            <w:r w:rsidDel="00000000" w:rsidR="00000000" w:rsidRPr="00000000">
              <w:rPr>
                <w:rtl w:val="0"/>
              </w:rPr>
            </w:r>
          </w:p>
        </w:tc>
        <w:tc>
          <w:tcPr>
            <w:vAlign w:val="center"/>
          </w:tcPr>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Field condition</w:t>
              <w:br w:type="textWrapping"/>
              <w:t xml:space="preserve">(n=56)</w:t>
            </w:r>
            <w:r w:rsidDel="00000000" w:rsidR="00000000" w:rsidRPr="00000000">
              <w:rPr>
                <w:rtl w:val="0"/>
              </w:rPr>
            </w:r>
          </w:p>
        </w:tc>
        <w:tc>
          <w:tcPr>
            <w:vAlign w:val="center"/>
          </w:tcPr>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t-value</w:t>
            </w:r>
            <w:r w:rsidDel="00000000" w:rsidR="00000000" w:rsidRPr="00000000">
              <w:rPr>
                <w:rtl w:val="0"/>
              </w:rPr>
            </w:r>
          </w:p>
        </w:tc>
        <w:tc>
          <w:tcPr>
            <w:vAlign w:val="center"/>
          </w:tcPr>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df</w:t>
            </w:r>
            <w:r w:rsidDel="00000000" w:rsidR="00000000" w:rsidRPr="00000000">
              <w:rPr>
                <w:rtl w:val="0"/>
              </w:rPr>
            </w:r>
          </w:p>
        </w:tc>
        <w:tc>
          <w:tcPr>
            <w:vAlign w:val="center"/>
          </w:tcPr>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P-value</w:t>
            </w:r>
            <w:r w:rsidDel="00000000" w:rsidR="00000000" w:rsidRPr="00000000">
              <w:rPr>
                <w:rtl w:val="0"/>
              </w:rPr>
            </w:r>
          </w:p>
        </w:tc>
        <w:tc>
          <w:tcPr>
            <w:vAlign w:val="center"/>
          </w:tcPr>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Significance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SCC (×10⁵ cells/mL)</w:t>
            </w:r>
          </w:p>
        </w:tc>
        <w:tc>
          <w:tcPr>
            <w:vAlign w:val="center"/>
          </w:tcPr>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4.62 ± 0.05</w:t>
            </w:r>
          </w:p>
        </w:tc>
        <w:tc>
          <w:tcPr>
            <w:vAlign w:val="center"/>
          </w:tcPr>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4.27 ± 0.02</w:t>
            </w:r>
          </w:p>
        </w:tc>
        <w:tc>
          <w:tcPr>
            <w:vAlign w:val="center"/>
          </w:tcPr>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6.499</w:t>
            </w:r>
          </w:p>
        </w:tc>
        <w:tc>
          <w:tcPr>
            <w:vAlign w:val="center"/>
          </w:tcPr>
          <w:p w:rsidR="00000000" w:rsidDel="00000000" w:rsidP="00000000" w:rsidRDefault="00000000" w:rsidRPr="00000000" w14:paraId="000000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vAlign w:val="center"/>
          </w:tcPr>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c>
          <w:tcPr>
            <w:vAlign w:val="center"/>
          </w:tcPr>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Significant</w:t>
            </w:r>
          </w:p>
        </w:tc>
      </w:tr>
    </w:tbl>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62">
      <w:pP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findings of this study provide critical insights into how managemental housing frameworks and milking hygiene practices shape somatic cell counts (SCC) and udder health dynamics in dairy goats. In field conditions, a surprisingly high level of adherence to fundamental sanitation routines was documented: 100.00% of respondents washed milk collection utensils prior to use, and 96.42% performed pre-milking udder washing. Pre-milking udder washing and utensil decontamination are widely recognized as primary preventative measures that reduce teat skin microbial loads, suppress bio-film formation on milking equipment, and block teat canal colonization (Paape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2001; Contreras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2007; McDougall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2010; Salaberry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2015; Gargano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2020). By effectively stripping away environmental soil, dried manure, and transient skin flora before cup attachment or hand milking, these hygiene practices substantially lower the risk of ascending intramammary infections and prevent cross-contamination across animals (Contreras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2007; Abed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Pazzola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2022; Taponen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Despite strong adherence to udder and utensil cleaning, significant deficiencies in handler hygiene and housing infrastructure were identified across field setups. More than half of field milkers (55.35%) wore dusty, unwashed, or old clothing during milking, even though handwashing was performed. Furthermore, 89.28% of field facilities completely lacked functional shed drainage systems for urine and dung disposal. Soiled clothing, inadequate milker hygiene, and unmanaged excretory accumulation create persistent environmental reservoirs for major environmental and contagious mastitis pathogens, including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Staphylococcus aureus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Streptococcus uberis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Pseudomonas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spp.,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Klebsiella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spp., and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Escherichia coli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(Bergonier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2003; Virdis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2010; Abed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Curone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Silva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2024). During milking, contaminated clothing, airborne dust, and un-drained floor slush can readily transfer bacteria to the milker's hands, teat ends, or milking pails, neutralizing part of the benefits achieved by washing udders and utensils (Bergonier et al., 2003; Zigo et al., 2021; Marogna et al., 2022).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Despite these infrastructural limitations, field-reared goats exhibited significantly lower mean SCC levels 4.27 ± 0.02  lakhs cells/mL than farm-reared goats 4.62 ± 0.05 lakhs cells/mL (t = 6.499, df = 110, P &lt; 0.001). This marked physiological variance is primarily driven by the fundamental nutritional, behavioral, and environmental differences between extensive free-grazing field systems and semi-intensive farm housing. Goats under field management are allowed to graze freely across open pastures and browse diverse natural vegetation. Open grazing encourages continuous physical movement, reduces social overcrowding, and lowers environmental pathogen build-up, all of which directly support immune homeostasis and neutrophil functionality (Silanikove, 2000; Zobel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2020; Albenzio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2022). Additionally, foraging on diverse wild shrubs and herbs exposes goats to secondary plant metabolites and bioactive phytochemicals (e.g., polyphenols, tannins, essential oils, and flavonoids) that possess natural antimicrobial, antioxidant, and immunostimulatory properties (Hoste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2008; Angles-Hernandez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2020; Mavrommatis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Kholif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Conversely, the elevated SCC recorded in semi-intensive farm goats 4.62 ± 0.05 lakhs cells/mL illustrates the physiological strain associated with confined housing setups. Semi-intensive farm systems house goats at higher stocking densities and rely on stall-feeding within enclosed sheds. Enclosed confinement, coupled with deep bedding or continuous indoor manure accumulation, creates humid microclimates that foster rapid bacterial proliferation and increase environmental pathogen pressure (Ruiz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2000; Moroni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2005; Lollivier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Lora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Even when routine shed cleaning is attempted, high housing density accelerates teat contact with bedding materials contaminated by fecal and environmental microorganisms (Moroni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2005; Abed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Romero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2022; Vasquez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2024). Furthermore, restricted physical movement and confinement-induced stress can elevate systemic glucocorticoids (cortisol), subtly suppressing localized udder immunity and increasing baseline physiological cell shedding into milk (Raynal-Ljutovac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2007; Akbulut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Casey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Caroprese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2024).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Taken together, these results demonstrate that while open grazing and rigorous pre-milking utensil and udder hygiene allow field farmers to maintain lower baseline SCC levels, the field production model is not without vulnerabilities. Targeted extension programs focusing on personal milker hygiene—such as wearing clean protective aprons or specialized milking attire—alongside simple shed drainage improvements could eliminate remaining bacterial reservoirs (Contreras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2007; Zigo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Curone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Santos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2024). Implementing these low-cost infrastructural and behavioral adjustments will safeguard caprine udder health, prevent subclinical mastitis, and enhance raw milk quality in smallholder dairy ecosystems. </w:t>
      </w:r>
    </w:p>
    <w:p w:rsidR="00000000" w:rsidDel="00000000" w:rsidP="00000000" w:rsidRDefault="00000000" w:rsidRPr="00000000" w14:paraId="00000068">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  Conclusion </w:t>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commentRangeStart w:id="1"/>
      <w:r w:rsidDel="00000000" w:rsidR="00000000" w:rsidRPr="00000000">
        <w:rPr>
          <w:rFonts w:ascii="Times New Roman" w:cs="Times New Roman" w:eastAsia="Times New Roman" w:hAnsi="Times New Roman"/>
          <w:sz w:val="24"/>
          <w:szCs w:val="24"/>
          <w:highlight w:val="red"/>
          <w:rtl w:val="0"/>
        </w:rPr>
        <w:t xml:space="preserve">his</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 study demonstrates that management systems and milking hygiene practices significantly influence somatic cell count (SCC) and udder health status in goats. Goats managed under free-grazing field conditions exhibited significantly lower SCC 4.27 ± 0.02  lakhs cells/mL compared to those housed in semi-intensive farm systems 4.62 ± 0.05 lakhs cells/mL (P &lt; 0.001). The lower cell counts observed in field settings are primarily attributed to the beneficial effects of free grazing, which enhances physical exercise and natural immunity, combined with high compliance in pre-milking udder washing (96.42%) and utensil sanitation (100.00 %). Conversely, semi-intensive farm housing exposes goats to higher stocking densities and confined shed feeding, increasing localized pathogen exposure. Despite the overall lower SCC in field goats, key sanitation bottlenecks were identified, including poor handler attire (55.35% -unhygienic) and a widespread lack of shed drainage infrastructure (89.28% -absent). Implementing targeted extension programs focused on personal milker hygiene and proper drainage systems will further eliminate environmental contamination risks, optimizing milk quality and safeguarding udder health across smallholder caprine production systems.</w:t>
      </w:r>
    </w:p>
    <w:p w:rsidR="00000000" w:rsidDel="00000000" w:rsidP="00000000" w:rsidRDefault="00000000" w:rsidRPr="00000000" w14:paraId="000000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tab/>
      </w:r>
      <w:r w:rsidDel="00000000" w:rsidR="00000000" w:rsidRPr="00000000">
        <w:rPr>
          <w:rFonts w:ascii="Times New Roman" w:cs="Times New Roman" w:eastAsia="Times New Roman" w:hAnsi="Times New Roman"/>
          <w:b w:val="1"/>
          <w:bCs w:val="1"/>
          <w:sz w:val="24"/>
          <w:szCs w:val="24"/>
          <w:rtl w:val="0"/>
        </w:rPr>
        <w:t xml:space="preserve">Ethics approval:</w:t>
      </w:r>
      <w:r w:rsidDel="00000000" w:rsidR="00000000" w:rsidRPr="00000000">
        <w:rPr>
          <w:rtl w:val="0"/>
        </w:rPr>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rsidR="00000000" w:rsidDel="00000000" w:rsidP="00000000" w:rsidRDefault="00000000" w:rsidRPr="00000000" w14:paraId="0000006C">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Declaration of AI Use</w:t>
      </w:r>
    </w:p>
    <w:p w:rsidR="00000000" w:rsidDel="00000000" w:rsidP="00000000" w:rsidRDefault="00000000" w:rsidRPr="00000000" w14:paraId="0000006D">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000000" w:rsidDel="00000000" w:rsidP="00000000" w:rsidRDefault="00000000" w:rsidRPr="00000000" w14:paraId="0000006F">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COMPETING INTERESTS DISCLAIMER:</w:t>
      </w:r>
    </w:p>
    <w:p w:rsidR="00000000" w:rsidDel="00000000" w:rsidP="00000000" w:rsidRDefault="00000000" w:rsidRPr="00000000" w14:paraId="00000072">
      <w:pPr>
        <w:rPr>
          <w:rFonts w:ascii="Cambria" w:cs="Cambria" w:eastAsia="Cambria" w:hAnsi="Cambria"/>
        </w:rPr>
      </w:pPr>
      <w:r w:rsidDel="00000000" w:rsidR="00000000" w:rsidRPr="00000000">
        <w:rPr>
          <w:rFonts w:ascii="Cambria" w:cs="Cambria" w:eastAsia="Cambria" w:hAnsi="Cambria"/>
          <w:rtl w:val="0"/>
        </w:rPr>
        <w:t xml:space="preserve">Authors have declared that they have no known competing financial interests OR non-financial interests OR personal relationships that could have appeared to influence the work reported in this paper.</w:t>
      </w:r>
    </w:p>
    <w:p w:rsidR="00000000" w:rsidDel="00000000" w:rsidP="00000000" w:rsidRDefault="00000000" w:rsidRPr="00000000" w14:paraId="00000073">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74">
      <w:pPr>
        <w:pStyle w:val="Heading3"/>
        <w:spacing w:after="280" w:before="280" w:line="360" w:lineRule="auto"/>
        <w:jc w:val="both"/>
        <w:rPr>
          <w:sz w:val="24"/>
          <w:szCs w:val="24"/>
        </w:rPr>
      </w:pPr>
      <w:r w:rsidDel="00000000" w:rsidR="00000000" w:rsidRPr="00000000">
        <w:rPr>
          <w:sz w:val="24"/>
          <w:szCs w:val="24"/>
          <w:rtl w:val="0"/>
        </w:rPr>
        <w:t xml:space="preserve">References</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Abed, A. H., Sagar, O. A., and Hussein, M. A. (2021). Prevalence and risk factors associated with subclinical mastitis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Advanced Veterinary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11(3), 142–149.</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Akbulut, C., Bayram, B., and Akdag, F. (2021). Effects of different housing systems on welfare, somatic cell count, and stress parameters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Applied Animal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49(1), 215–222.</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Albenzio, M., Santillo, A., and Caroprese, M. (2022). Grazing management and goat immune status: Implications for milk quality and mastitis resistance.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Small Ruminant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208, 106621.</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Angles-Hernandez, L., Garcia-Lope, M., and Perez-Ruiz, J. (2020). Grazing versus indoor feeding systems: Impact on goat milk composition, somatic cell count, and bioactive compound profile.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Livestock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239, 104112.</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Bergonier, D., de Crémoux, R., Rupp, R., Lagriffoul, G., and Berthelot, X. (2003). Mastitis of dairy small ruminants.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Veterinary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34(5), 689–716.</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Caroprese, M., Ciliberti, M. G., and Albenzio, M. (2024). Stress biomarkers, immunity, and somatic cell dynamics in housed versus pasture-raised small ruminants.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Dairy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91(1), 45–53.</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Casey, R., O'Brien, B., and Gleeson, D. (2023). Influence of housing environment and stress pathways on somatic cell count dynamics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Tropical Animal Health and Production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55(2), 108.</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Contreras, A., Sierra, D., Sánchez, A., Corrales, J. C., Morales, J. C., Paape, M. J., and Gonzalo, C. (2007). Mastitis in small ruminants.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Small Ruminant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68(1-2), 145–153.</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Curone, G., Filipe, J. F. S., and Cremonesi, P. (2023). Microbial communities, hygiene control points, and subclinical mastitis in dairy caprine herds.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Research in Veterinary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156, 32–41.</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Department of Animal Husbandry and Dairying (DAHD). (2019).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20th Livestock Census: Key Results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Ministry of Fisheries, Animal Husbandry and Dairying, Government of India, New Delhi.</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Devendra, C. (2012). Investments in goats: Small ruminants, direct impact on food security and sustainable livelihoods.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Indian Journal of Animal Sciences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82(8), 779–788.</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Food and Agriculture Organization (FAO). (2022).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FAOSTAT Statistical Database: Livestock Primary Milk Production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Rome: FAO.</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Gargano, V., Gambino, D., and Vicari, D. (2020). Sanitation routines, milk container hygiene, and somatic cell counts in smallholder dairy goat farms.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Food Control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112, 107140.</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Hoste, H., Torres-Acosta, J. F. J., Alonso-Diaz, M. A., Sandoval-Castro, C. A., and Jackson, F. (2008). Identification and validation of bioactive plants for the control of gastrointestinal nematodes in small ruminants.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Tropical Biomedicine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25(1 Suppl), 56–72.</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Kholif, A. E., Gouda, G. A., and Morsy, T. A. (2023). Bioactive secondary plant metabolites in goat nutrition: Effects on immunity, udder health, and milk quality.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Animal Feed Science and Technology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296, 115548.</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Lollivier, V., Boutinaud, M., and de Crémoux, R. (2021). Confinement stress and housing density as risk factors for elevated somatic cell counts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Dairy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104(6), 7120–7132.</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Lora, I., Gottardo, F., and Cozzi, G. (2023). Indoor microclimate, bedding moisture, and environmental pathogen exposure in caprine housing systems.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Animals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13(4), 682.</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Marogna, G., Pilo, C., and Passino, G. S. (2022). Environmental microbial contamination in goat housing and its relation to milker hygiene and raw milk quality.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Applied Microbiology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133(2), 890–901.</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Mavrommatis, A., Skliros, D., and Tsiplakou, E. (2021). Foraging diversity, dietary polyphenols, and their role in modulating milk somatic cell counts and oxidative status in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Frontiers in Veterinary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 649852.</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McDougall, S., Parker, K. I., and Heuer, C. (2010). Udder health, milking hygiene, and somatic cell count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New Zealand Veterinary Journal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58(6), 293–302.</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Moroni, P., Pisoni, G., Ruffo, G., and Boettcher, P. J. (2005). Risk factors for intramammary infections and somatic cell counts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Dairy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72(4), 421–428.</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Paape, M. J., Poutrel, B., Contreras, A., Marco, J. C., and Capuco, A. V. (2001). Milk somatic cells and lactation in small ruminants.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Dairy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84, E237–E244.</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Pazzola, M., Vacca, G. M., and Dettori, M. L. (2022). Evaluation of udder health indicators and milking management in dairy caprine farms.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Italian Journal of Animal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21(1), 415–426.</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Raynal-Ljutovac, K., Pirisi, A., de Crémoux, R., and Gonzalo, C. (2007). Somatic cells of goat and sheep milk: Analytical, sanitary, productive and technological aspects.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Small Ruminant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68(1-2), 126–144.</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Romero, J., Martinez, A., and Sanchez, M. (2022). Deep bedding management and its association with environmental mastitis in housed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Veterinary Microbiology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268, 109410.</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Ruiz, R., Oregui, L. M., and Herrero, M. (2000). The role of housing and management practices in caprine milk quality and intramammary infection risk.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Livestock Production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65(1-2), 113–124.</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Salaberry, S. R., Saidenberg, A. B., and Melville, P. A. (2015). Milking practices and equipment sanitation as determinants of somatic cell count in goat milk.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Tropical Animal Health and Production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47(7), 1381–1387.</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Santos, R. M., Silva, E. R., and Oliveira, M. C. (2024). Extension interventions in milker personal hygiene and shed drainage: Impacts on caprine milk quality in rural smallholdings.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Preventive Veterinary Medicine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222, 106085.</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Silanikove, N. (2000). The physiological basis of adaptation in goats to harsh environments.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Small Ruminant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35(3), 181–193.</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Silva, A. L., Lima, F. S., and Souza, H. M. (2024). Identification of environmental mastitis pathogens on milker attire and shed surfaces in small ruminant farms.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Microbial Pathogenesis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186, 106450.</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Taponen, S., Liski, E., and Pyörälä, S. (2023). Teat canal colonization and intramammary infection dynamics under different milking hygiene regimes in small ruminants.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Dairy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106(4), 2845–2858.</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Vasquez, C., Morales, G., and Fernandez, P. (2024). Stocking density, shed ventilation, and environmental bacterial loads in semi-intensive caprine production.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Applied Animal Behaviour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270, 106140.</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Virdis, S., Scarano, C., Cossu, F., Spanu, V., Spanu, C., and De Santis, E. P. L. (2010). Occurrence, enterotoxigenicity, and antimicrobial resistance of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Staphylococcus aureus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isolated from sheep and goat raw milk.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Journal of Food Microbiology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144(1), 73–77.</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Zigo, F., Eleko, J., and Vasil, M. (2021). Importance of milking hygiene and handler sanitation in the control of subclinical mastitis in dairy goats.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Veterinary Medicine International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2021, 6645892.</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Zobel, G., Neave, H. W., and Webster, J. (2020). Understanding goat behavior and welfare in extensive grazing vs. intensive housing environments.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Applied Animal Behaviour Science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231, 105099.</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80" w:line="360" w:lineRule="auto"/>
        <w:ind w:left="-1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e" w:id="0" w:date="2026-09-26T05:02:14Z">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Remove and add Goat</w:t>
      </w:r>
    </w:p>
  </w:comment>
  <w:comment w:author="Me" w:id="1" w:date="2026-09-26T05:04:37Z">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PowerPlusWaterMarkObject3" style="position:absolute;width:555.6pt;height:104.15pt;rotation:315;z-index:-503316481;mso-position-horizontal-relative:margin;mso-position-horizontal:center;mso-position-vertical-relative:margin;mso-position-vertical:center;" fillcolor="#c0c0c0" stroked="f" type="#_x0000_t136">
          <v:fill angle="0" opacity="32768f"/>
          <v:textpath fitshape="t" string="UNDER PEER REVIEW" style="font-family:&amp;quot;Calibri&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PowerPlusWaterMarkObject1" style="position:absolute;width:555.6pt;height:104.15pt;rotation:315;z-index:-503316481;mso-position-horizontal-relative:margin;mso-position-horizontal:center;mso-position-vertical-relative:margin;mso-position-vertical:center;" fillcolor="#c0c0c0" stroked="f" type="#_x0000_t136">
          <v:fill angle="0" opacity="32768f"/>
          <v:textpath fitshape="t" string="UNDER PEER REVIEW" style="font-family:&amp;quot;Calibri&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PowerPlusWaterMarkObject2" style="position:absolute;width:555.6pt;height:104.15pt;rotation:315;z-index:-503316481;mso-position-horizontal-relative:margin;mso-position-horizontal:center;mso-position-vertical-relative:margin;mso-position-vertical:center;" fillcolor="#c0c0c0" stroked="f" type="#_x0000_t136">
          <v:fill angle="0" opacity="32768f"/>
          <v:textpath fitshape="t" string="UNDER PEER REVIEW" style="font-family:&amp;quot;Calibri&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4.png"/><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