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commentsExtended.xml" ContentType="application/vnd.openxmlformats-officedocument.wordprocessingml.commentsExtended+xml"/>
  <Override PartName="/word/footer3.xml" ContentType="application/vnd.openxmlformats-officedocument.wordprocessingml.footer+xml"/>
  <Override PartName="/word/document.xml" ContentType="application/vnd.openxmlformats-officedocument.wordprocessingml.document.main+xml"/>
  <Override PartName="/word/comments.xml" ContentType="application/vnd.openxmlformats-officedocument.wordprocessingml.comments+xml"/>
  <Override PartName="/customXml/itemProps1.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B1150FE">
      <w:pPr>
        <w:pStyle w:val="style0"/>
        <w:spacing w:lineRule="auto" w:line="360"/>
        <w:jc w:val="center"/>
        <w:rPr>
          <w:rFonts w:ascii="Times New Roman" w:cs="Times New Roman" w:hAnsi="Times New Roman"/>
          <w:sz w:val="28"/>
          <w:szCs w:val="28"/>
          <w:u w:val="single"/>
        </w:rPr>
      </w:pPr>
      <w:commentRangeStart w:id="1"/>
      <w:bookmarkStart w:id="0" w:name="_Hlk240712104"/>
      <w:r>
        <w:rPr>
          <w:rFonts w:ascii="Times New Roman" w:cs="Times New Roman" w:hAnsi="Times New Roman"/>
          <w:sz w:val="28"/>
          <w:szCs w:val="28"/>
          <w:u w:val="single"/>
        </w:rPr>
        <w:t>Original</w:t>
      </w:r>
      <w:commentRangeEnd w:id="1"/>
      <w:r>
        <w:rPr/>
        <w:commentReference w:id="1"/>
      </w:r>
      <w:r>
        <w:rPr>
          <w:rFonts w:ascii="Times New Roman" w:cs="Times New Roman" w:hAnsi="Times New Roman"/>
          <w:sz w:val="28"/>
          <w:szCs w:val="28"/>
          <w:u w:val="single"/>
        </w:rPr>
        <w:t xml:space="preserve"> Research Article</w:t>
      </w:r>
      <w:bookmarkEnd w:id="0"/>
    </w:p>
    <w:p w14:paraId="33C04963">
      <w:pPr>
        <w:pStyle w:val="style0"/>
        <w:spacing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 xml:space="preserve">Assessment of Milking Hygiene Practices and Their Impact on Somatic Cell Count in goats Under Field </w:t>
      </w:r>
      <w:r>
        <w:rPr>
          <w:rFonts w:ascii="Times New Roman" w:cs="Times New Roman" w:hAnsi="Times New Roman"/>
          <w:b/>
          <w:bCs/>
          <w:color w:val="000000"/>
          <w:sz w:val="24"/>
          <w:szCs w:val="24"/>
        </w:rPr>
        <w:t>and</w:t>
      </w:r>
      <w:r>
        <w:rPr>
          <w:rFonts w:ascii="Times New Roman" w:cs="Times New Roman" w:hAnsi="Times New Roman"/>
          <w:b/>
          <w:bCs/>
          <w:color w:val="000000"/>
          <w:sz w:val="24"/>
          <w:szCs w:val="24"/>
        </w:rPr>
        <w:t xml:space="preserve"> Farm Conditions</w:t>
      </w:r>
    </w:p>
    <w:p w14:paraId="75337167">
      <w:pPr>
        <w:pStyle w:val="style0"/>
        <w:rPr>
          <w:rFonts w:ascii="Times New Roman" w:cs="Times New Roman" w:hAnsi="Times New Roman"/>
          <w:sz w:val="24"/>
          <w:szCs w:val="24"/>
          <w:lang w:val="en-IN"/>
        </w:rPr>
      </w:pPr>
    </w:p>
    <w:p w14:paraId="72CC23B8">
      <w:pPr>
        <w:pStyle w:val="style0"/>
        <w:spacing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Abstract</w:t>
      </w:r>
    </w:p>
    <w:p w14:paraId="1C8331FF">
      <w:pPr>
        <w:pStyle w:val="style0"/>
        <w:spacing w:before="100" w:beforeAutospacing="true" w:after="100" w:afterAutospacing="true" w:lineRule="auto" w:line="36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w:t>
      </w:r>
      <w:r>
        <w:rPr>
          <w:rFonts w:ascii="Times New Roman" w:cs="Times New Roman" w:eastAsia="Times New Roman" w:hAnsi="Times New Roman"/>
          <w:sz w:val="24"/>
          <w:szCs w:val="24"/>
        </w:rPr>
        <w:t>his study evaluated milking hygiene practices and compared somatic cell counts (SCC) in goats (</w:t>
      </w:r>
      <w:r>
        <w:rPr>
          <w:rFonts w:ascii="Times New Roman" w:cs="Times New Roman" w:eastAsia="Times New Roman" w:hAnsi="Times New Roman"/>
          <w:sz w:val="24"/>
          <w:szCs w:val="24"/>
        </w:rPr>
        <w:t>n=56</w:t>
      </w:r>
      <w:r>
        <w:rPr>
          <w:rFonts w:ascii="Times New Roman" w:cs="Times New Roman" w:eastAsia="Times New Roman" w:hAnsi="Times New Roman"/>
          <w:sz w:val="24"/>
          <w:szCs w:val="24"/>
        </w:rPr>
        <w:t>) maintained under semi-intensive farm conditions versus free-grazing field conditions (</w:t>
      </w:r>
      <w:r>
        <w:rPr>
          <w:rFonts w:ascii="Times New Roman" w:cs="Times New Roman" w:eastAsia="Times New Roman" w:hAnsi="Times New Roman"/>
          <w:sz w:val="24"/>
          <w:szCs w:val="24"/>
        </w:rPr>
        <w:t>n=56</w:t>
      </w:r>
      <w:r>
        <w:rPr>
          <w:rFonts w:ascii="Times New Roman" w:cs="Times New Roman" w:eastAsia="Times New Roman" w:hAnsi="Times New Roman"/>
          <w:sz w:val="24"/>
          <w:szCs w:val="24"/>
        </w:rPr>
        <w:t>). In field conditions, high compliance was reported for utensil washing (</w:t>
      </w:r>
      <w:r>
        <w:rPr>
          <w:rFonts w:ascii="Times New Roman" w:cs="Times New Roman" w:eastAsia="Times New Roman" w:hAnsi="Times New Roman"/>
          <w:sz w:val="24"/>
          <w:szCs w:val="24"/>
        </w:rPr>
        <w:t>100.00%</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n=56/56</w:t>
      </w:r>
      <w:r>
        <w:rPr>
          <w:rFonts w:ascii="Times New Roman" w:cs="Times New Roman" w:eastAsia="Times New Roman" w:hAnsi="Times New Roman"/>
          <w:sz w:val="24"/>
          <w:szCs w:val="24"/>
        </w:rPr>
        <w:t>) and pre-milking udder washing (</w:t>
      </w:r>
      <w:r>
        <w:rPr>
          <w:rFonts w:ascii="Times New Roman" w:cs="Times New Roman" w:eastAsia="Times New Roman" w:hAnsi="Times New Roman"/>
          <w:sz w:val="24"/>
          <w:szCs w:val="24"/>
        </w:rPr>
        <w:t>96.42%</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n=54/56</w:t>
      </w:r>
      <w:r>
        <w:rPr>
          <w:rFonts w:ascii="Times New Roman" w:cs="Times New Roman" w:eastAsia="Times New Roman" w:hAnsi="Times New Roman"/>
          <w:sz w:val="24"/>
          <w:szCs w:val="24"/>
        </w:rPr>
        <w:t>), whereas handler hygiene (</w:t>
      </w:r>
      <w:r>
        <w:rPr>
          <w:rFonts w:ascii="Times New Roman" w:cs="Times New Roman" w:eastAsia="Times New Roman" w:hAnsi="Times New Roman"/>
          <w:sz w:val="24"/>
          <w:szCs w:val="24"/>
        </w:rPr>
        <w:t>55.35%</w:t>
      </w:r>
      <w:r>
        <w:rPr>
          <w:rFonts w:ascii="Times New Roman" w:cs="Times New Roman" w:eastAsia="Times New Roman" w:hAnsi="Times New Roman"/>
          <w:sz w:val="24"/>
          <w:szCs w:val="24"/>
        </w:rPr>
        <w:t xml:space="preserve"> wearing unclean attire, </w:t>
      </w:r>
      <w:r>
        <w:rPr>
          <w:rFonts w:ascii="Times New Roman" w:cs="Times New Roman" w:eastAsia="Times New Roman" w:hAnsi="Times New Roman"/>
          <w:sz w:val="24"/>
          <w:szCs w:val="24"/>
        </w:rPr>
        <w:t>n=31/56</w:t>
      </w:r>
      <w:r>
        <w:rPr>
          <w:rFonts w:ascii="Times New Roman" w:cs="Times New Roman" w:eastAsia="Times New Roman" w:hAnsi="Times New Roman"/>
          <w:sz w:val="24"/>
          <w:szCs w:val="24"/>
        </w:rPr>
        <w:t>) and shed drainage infrastructure (</w:t>
      </w:r>
      <w:r>
        <w:rPr>
          <w:rFonts w:ascii="Times New Roman" w:cs="Times New Roman" w:eastAsia="Times New Roman" w:hAnsi="Times New Roman"/>
          <w:sz w:val="24"/>
          <w:szCs w:val="24"/>
        </w:rPr>
        <w:t>89.28%</w:t>
      </w:r>
      <w:r>
        <w:rPr>
          <w:rFonts w:ascii="Times New Roman" w:cs="Times New Roman" w:eastAsia="Times New Roman" w:hAnsi="Times New Roman"/>
          <w:sz w:val="24"/>
          <w:szCs w:val="24"/>
        </w:rPr>
        <w:t xml:space="preserve"> absent, </w:t>
      </w:r>
      <w:r>
        <w:rPr>
          <w:rFonts w:ascii="Times New Roman" w:cs="Times New Roman" w:eastAsia="Times New Roman" w:hAnsi="Times New Roman"/>
          <w:sz w:val="24"/>
          <w:szCs w:val="24"/>
        </w:rPr>
        <w:t>n=50/56</w:t>
      </w:r>
      <w:r>
        <w:rPr>
          <w:rFonts w:ascii="Times New Roman" w:cs="Times New Roman" w:eastAsia="Times New Roman" w:hAnsi="Times New Roman"/>
          <w:sz w:val="24"/>
          <w:szCs w:val="24"/>
        </w:rPr>
        <w:t>) showed critical gaps. Mean SCC was significantly lower in field-reared goats (</w:t>
      </w:r>
      <w:r>
        <w:rPr>
          <w:rFonts w:ascii="Times New Roman" w:cs="Times New Roman" w:eastAsia="Times New Roman" w:hAnsi="Times New Roman"/>
          <w:sz w:val="24"/>
          <w:szCs w:val="24"/>
        </w:rPr>
        <w:t>4.27±0.02×105 cells/mL</w:t>
      </w:r>
      <w:r>
        <w:rPr>
          <w:rFonts w:ascii="Times New Roman" w:cs="Times New Roman" w:eastAsia="Times New Roman" w:hAnsi="Times New Roman"/>
          <w:sz w:val="24"/>
          <w:szCs w:val="24"/>
        </w:rPr>
        <w:t>) than in farm-reared goats (</w:t>
      </w:r>
      <w:r>
        <w:rPr>
          <w:rFonts w:ascii="Times New Roman" w:cs="Times New Roman" w:eastAsia="Times New Roman" w:hAnsi="Times New Roman"/>
          <w:sz w:val="24"/>
          <w:szCs w:val="24"/>
        </w:rPr>
        <w:t>4.62±0.05×105 cells/mL</w:t>
      </w:r>
      <w:r>
        <w:rPr>
          <w:rFonts w:ascii="Times New Roman" w:cs="Times New Roman" w:eastAsia="Times New Roman" w:hAnsi="Times New Roman"/>
          <w:sz w:val="24"/>
          <w:szCs w:val="24"/>
        </w:rPr>
        <w:t>) (</w:t>
      </w:r>
      <w:r>
        <w:rPr>
          <w:rFonts w:ascii="Times New Roman" w:cs="Times New Roman" w:eastAsia="Times New Roman" w:hAnsi="Times New Roman"/>
          <w:sz w:val="24"/>
          <w:szCs w:val="24"/>
        </w:rPr>
        <w:t>t=6.499</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df</w:t>
      </w:r>
      <w:r>
        <w:rPr>
          <w:rFonts w:ascii="Times New Roman" w:cs="Times New Roman" w:eastAsia="Times New Roman" w:hAnsi="Times New Roman"/>
          <w:sz w:val="24"/>
          <w:szCs w:val="24"/>
        </w:rPr>
        <w:t>=110</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P&lt;0.001</w:t>
      </w:r>
      <w:r>
        <w:rPr>
          <w:rFonts w:ascii="Times New Roman" w:cs="Times New Roman" w:eastAsia="Times New Roman" w:hAnsi="Times New Roman"/>
          <w:sz w:val="24"/>
          <w:szCs w:val="24"/>
        </w:rPr>
        <w:t xml:space="preserve">), indicating better overall udder health in field setups. This statistical variance is largely attributed to differences in housing density and feeding management, as free-grazing field goats benefit from lower environmental stress, increased physical movement, and diverse natural foraging, which positively influence baseline systemic immunity. Conversely, semi-intensive farm housing exposes animals to higher stocking density, restricted mobility, and shed-bound feeding, increasing localized pathogen pressure despite controlled management. While strong adherence to udder and utensil sanitation helps field farmers suppress subclinical mastitis, targeted interventions targeting personal milker hygiene and proper shed drainage infrastructure remain necessary. Consequently, addressing these localized sanitation deficiencies could further minimize microbial contamination and optimize caprine milk quality across smallholder field production systems. </w:t>
      </w:r>
    </w:p>
    <w:p w14:paraId="7021C9B1">
      <w:pPr>
        <w:pStyle w:val="style94"/>
        <w:spacing w:lineRule="auto" w:line="360"/>
        <w:jc w:val="both"/>
        <w:rPr>
          <w:color w:val="000000"/>
        </w:rPr>
      </w:pPr>
      <w:r>
        <w:rPr>
          <w:b/>
          <w:bCs/>
          <w:color w:val="000000"/>
        </w:rPr>
        <w:t>Keywords:</w:t>
      </w:r>
      <w:r>
        <w:rPr>
          <w:color w:val="000000"/>
        </w:rPr>
        <w:t xml:space="preserve"> Goat</w:t>
      </w:r>
      <w:r>
        <w:rPr>
          <w:color w:val="000000"/>
        </w:rPr>
        <w:t>, Somatic Cel</w:t>
      </w:r>
      <w:r>
        <w:rPr>
          <w:color w:val="000000"/>
        </w:rPr>
        <w:t xml:space="preserve">l Count (SCC), Milking hygiene, Field </w:t>
      </w:r>
      <w:r>
        <w:rPr>
          <w:color w:val="000000"/>
        </w:rPr>
        <w:t xml:space="preserve">vs. farm conditions, Udder health, Shed drainage </w:t>
      </w:r>
    </w:p>
    <w:p w14:paraId="5B438522">
      <w:pPr>
        <w:pStyle w:val="style157"/>
        <w:rPr>
          <w:rFonts w:ascii="Times New Roman" w:cs="Times New Roman" w:hAnsi="Times New Roman"/>
          <w:b/>
          <w:bCs/>
          <w:sz w:val="24"/>
          <w:szCs w:val="22"/>
        </w:rPr>
      </w:pPr>
      <w:r>
        <w:rPr>
          <w:rFonts w:ascii="Times New Roman" w:cs="Times New Roman" w:hAnsi="Times New Roman"/>
          <w:b/>
          <w:bCs/>
          <w:sz w:val="24"/>
          <w:szCs w:val="22"/>
        </w:rPr>
        <w:t xml:space="preserve">1. </w:t>
      </w:r>
      <w:r>
        <w:rPr>
          <w:rFonts w:ascii="Times New Roman" w:cs="Times New Roman" w:hAnsi="Times New Roman"/>
          <w:b/>
          <w:bCs/>
          <w:sz w:val="24"/>
          <w:szCs w:val="22"/>
        </w:rPr>
        <w:t>Introduction</w:t>
      </w:r>
      <w:r>
        <w:rPr>
          <w:rFonts w:ascii="Times New Roman" w:cs="Times New Roman" w:hAnsi="Times New Roman"/>
          <w:b/>
          <w:bCs/>
          <w:sz w:val="24"/>
          <w:szCs w:val="22"/>
        </w:rPr>
        <w:t xml:space="preserve"> </w:t>
      </w:r>
    </w:p>
    <w:p w14:paraId="485750AD">
      <w:pPr>
        <w:pStyle w:val="style94"/>
        <w:spacing w:lineRule="auto" w:line="360"/>
        <w:jc w:val="both"/>
        <w:rPr/>
      </w:pPr>
      <w:r>
        <w:t xml:space="preserve">Goat farming serves as a vital pillar for rural livelihoods, food security, and agricultural sustainability, particularly in arid and semi-arid regions across the globe (Devendra, 2012; </w:t>
      </w:r>
      <w:r>
        <w:t>Silanikove</w:t>
      </w:r>
      <w:r>
        <w:t xml:space="preserve">, 2000). According to the Food and Agriculture Organization (FAO), global dairy goat inventory and milk production have increased substantially over recent decades, with global goat milk output surpassing 18–20 million metric tons annually (FAO, 2022). Globally, dairy goats contribute significantly to total small ruminant milk production, with Asia leading production regions by producing over 10 million tons of goat milk per year (FAO, 2022; Devendra, 2012). </w:t>
      </w:r>
    </w:p>
    <w:p w14:paraId="58BEE931">
      <w:pPr>
        <w:pStyle w:val="style94"/>
        <w:spacing w:lineRule="auto" w:line="360"/>
        <w:jc w:val="both"/>
        <w:rPr/>
      </w:pPr>
      <w:r>
        <w:t>At the national level, India stands as one of the world's leading producers of goat milk, generating over 6 million tons annually (FAO, 2022; DAHD, 2019). As reported in the official 20th Livestock Census by the Ministry of Fisheries, Animal Husbandry and Dairying, Government of India, the country's total goat population reached 148.88 million heads, marking a 10.14% growth compared to the preceding 19th census period and accounting for over a quarter of the national livestock inventory (DAHD, 2019). This rapid expansion highlights the resilience of caprine species and their critical economic importance for smallholder farmers, landless laborers, and marginal agricultural households (</w:t>
      </w:r>
      <w:r>
        <w:t>Silanikove</w:t>
      </w:r>
      <w:r>
        <w:t xml:space="preserve">, 2000; DAHD, 2019). </w:t>
      </w:r>
    </w:p>
    <w:p w14:paraId="2F04EFAB">
      <w:pPr>
        <w:pStyle w:val="style94"/>
        <w:spacing w:lineRule="auto" w:line="360"/>
        <w:jc w:val="both"/>
        <w:rPr/>
      </w:pPr>
      <w:r>
        <w:t xml:space="preserve">Despite the sector's rapid growth and substantial contribution to global and regional dairy outputs, caprine milk quality and udder health remain highly vulnerable to housing conditions, management practices, and environmental pathogens (Devendra, 2012; </w:t>
      </w:r>
      <w:r>
        <w:t>Bergonier</w:t>
      </w:r>
      <w:r>
        <w:t xml:space="preserve"> </w:t>
      </w:r>
      <w:r>
        <w:rPr>
          <w:i/>
          <w:iCs/>
        </w:rPr>
        <w:t>et al</w:t>
      </w:r>
      <w:r>
        <w:t>., 2003). Intramammary infections and poor milking hygiene directly impact milk safety, shelf life, and yield, triggering inflammatory responses characterized by elevated Somatic Cell Counts (SCC) (Devendra, 2012; Raynal-</w:t>
      </w:r>
      <w:r>
        <w:t>Ljutovac</w:t>
      </w:r>
      <w:r>
        <w:t xml:space="preserve"> </w:t>
      </w:r>
      <w:r>
        <w:rPr>
          <w:i/>
          <w:iCs/>
        </w:rPr>
        <w:t>et al</w:t>
      </w:r>
      <w:r>
        <w:t>., 2007). High SCC levels serve as the standard biomarker and primary diagnostic indicator of subclinical mastitis and compromised milk quality (Devendra, 2012; Raynal-</w:t>
      </w:r>
      <w:r>
        <w:t>Ljutovac</w:t>
      </w:r>
      <w:r>
        <w:t xml:space="preserve"> </w:t>
      </w:r>
      <w:r>
        <w:rPr>
          <w:i/>
          <w:iCs/>
        </w:rPr>
        <w:t>et al</w:t>
      </w:r>
      <w:r>
        <w:t xml:space="preserve">., 2007). Variations in housing and management systems—such as semi-intensive farm housing versus traditional free-grazing field conditions—greatly influence animal exposure to environmental pathogens, physical activity, baseline immunity, and overall milking sanitation (Devendra, 2012; </w:t>
      </w:r>
      <w:r>
        <w:t>Bergonier</w:t>
      </w:r>
      <w:r>
        <w:t xml:space="preserve"> et al., 2003; Akbulut et al., 2021). Therefore, evaluating how localized milking hygiene routines and rearing environments affect somatic cell dynamics is critical to optimizing caprine milk production and safeguarding smallholder dairy economics (Devendra, 2012; </w:t>
      </w:r>
      <w:r>
        <w:t>Bergonier</w:t>
      </w:r>
      <w:r>
        <w:t xml:space="preserve"> </w:t>
      </w:r>
      <w:r>
        <w:rPr>
          <w:i/>
          <w:iCs/>
        </w:rPr>
        <w:t>et al</w:t>
      </w:r>
      <w:r>
        <w:t>., 2003)</w:t>
      </w:r>
    </w:p>
    <w:p w14:paraId="6B6B380E">
      <w:pPr>
        <w:pStyle w:val="style0"/>
        <w:spacing w:before="100" w:beforeAutospacing="true" w:after="100" w:afterAutospacing="true"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 xml:space="preserve">2. </w:t>
      </w:r>
      <w:r>
        <w:rPr>
          <w:rFonts w:ascii="Times New Roman" w:cs="Times New Roman" w:hAnsi="Times New Roman"/>
          <w:b/>
          <w:bCs/>
          <w:color w:val="000000"/>
          <w:sz w:val="24"/>
          <w:szCs w:val="24"/>
        </w:rPr>
        <w:t xml:space="preserve">Material </w:t>
      </w:r>
      <w:commentRangeStart w:id="2"/>
      <w:r>
        <w:rPr>
          <w:rFonts w:ascii="Times New Roman" w:cs="Times New Roman" w:hAnsi="Times New Roman"/>
          <w:b/>
          <w:bCs/>
          <w:color w:val="000000"/>
          <w:sz w:val="24"/>
          <w:szCs w:val="24"/>
        </w:rPr>
        <w:t>Method</w:t>
      </w:r>
      <w:commentRangeEnd w:id="2"/>
      <w:r>
        <w:rPr/>
        <w:commentReference w:id="2"/>
      </w:r>
    </w:p>
    <w:p w14:paraId="0B524F20">
      <w:pPr>
        <w:pStyle w:val="style157"/>
        <w:rPr>
          <w:rFonts w:ascii="Times New Roman" w:cs="Times New Roman" w:hAnsi="Times New Roman"/>
          <w:b/>
          <w:bCs/>
          <w:sz w:val="24"/>
          <w:szCs w:val="22"/>
        </w:rPr>
      </w:pPr>
      <w:r>
        <w:rPr>
          <w:rFonts w:ascii="Times New Roman" w:cs="Times New Roman" w:hAnsi="Times New Roman"/>
          <w:b/>
          <w:bCs/>
          <w:sz w:val="24"/>
          <w:szCs w:val="22"/>
        </w:rPr>
        <w:t>Study Location</w:t>
      </w:r>
    </w:p>
    <w:p w14:paraId="6FB23099">
      <w:pPr>
        <w:pStyle w:val="style0"/>
        <w:tabs>
          <w:tab w:val="left" w:leader="none" w:pos="720"/>
        </w:tabs>
        <w:autoSpaceDE w:val="false"/>
        <w:autoSpaceDN w:val="false"/>
        <w:adjustRightInd w:val="false"/>
        <w:spacing w:before="120" w:after="120"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The present study was conducted at ICAR-National Dairy Research Institute, Karnal; </w:t>
      </w:r>
      <w:r>
        <w:rPr>
          <w:rFonts w:ascii="Times New Roman" w:cs="Times New Roman" w:hAnsi="Times New Roman"/>
          <w:color w:val="000000"/>
          <w:sz w:val="24"/>
          <w:szCs w:val="24"/>
        </w:rPr>
        <w:t>Taraori</w:t>
      </w:r>
      <w:r>
        <w:rPr>
          <w:rFonts w:ascii="Times New Roman" w:cs="Times New Roman" w:hAnsi="Times New Roman"/>
          <w:color w:val="000000"/>
          <w:sz w:val="24"/>
          <w:szCs w:val="24"/>
        </w:rPr>
        <w:t xml:space="preserve"> near Karnal (Haryana) and </w:t>
      </w:r>
      <w:r>
        <w:rPr>
          <w:rFonts w:ascii="Times New Roman" w:cs="Times New Roman" w:hAnsi="Times New Roman"/>
          <w:color w:val="000000"/>
          <w:sz w:val="24"/>
          <w:szCs w:val="24"/>
        </w:rPr>
        <w:t>Uchana</w:t>
      </w:r>
      <w:r>
        <w:rPr>
          <w:rFonts w:ascii="Times New Roman" w:cs="Times New Roman" w:hAnsi="Times New Roman"/>
          <w:color w:val="000000"/>
          <w:sz w:val="24"/>
          <w:szCs w:val="24"/>
        </w:rPr>
        <w:t xml:space="preserve"> near Karnal (Haryana).</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The study on Murrah buffaloes was conducted at NDRI dairy farm and adjoining villages (</w:t>
      </w:r>
      <w:r>
        <w:rPr>
          <w:rFonts w:ascii="Times New Roman" w:cs="Times New Roman" w:hAnsi="Times New Roman"/>
          <w:color w:val="000000"/>
          <w:sz w:val="24"/>
          <w:szCs w:val="24"/>
        </w:rPr>
        <w:t>Taraori</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Uchana</w:t>
      </w:r>
      <w:r>
        <w:rPr>
          <w:rFonts w:ascii="Times New Roman" w:cs="Times New Roman" w:hAnsi="Times New Roman"/>
          <w:color w:val="000000"/>
          <w:sz w:val="24"/>
          <w:szCs w:val="24"/>
        </w:rPr>
        <w:t xml:space="preserve">) of Karnal Haryana. NDRI located on the northern outskirts of Karnal city in Haryana. The geographical parameters of the Karnal city are 29.43" N latitude; 77.2" E longitude; 250 m above msl. Minimum and maximum ambient temperature range from near freezing point in winter to 45°C in summer season. The annual rainfall is about 700 mm. </w:t>
      </w:r>
    </w:p>
    <w:p w14:paraId="21FF63B5">
      <w:pPr>
        <w:pStyle w:val="style94"/>
        <w:spacing w:lineRule="auto" w:line="360"/>
        <w:jc w:val="both"/>
        <w:rPr>
          <w:color w:val="000000"/>
        </w:rPr>
      </w:pPr>
      <w:r>
        <w:rPr>
          <w:color w:val="000000"/>
        </w:rPr>
        <w:t xml:space="preserve">Goats </w:t>
      </w:r>
      <w:r>
        <w:rPr>
          <w:color w:val="000000"/>
        </w:rPr>
        <w:t>were evaluated and categorized into two distinct management groups (</w:t>
      </w:r>
      <w:r>
        <w:rPr>
          <w:rStyle w:val="style4099"/>
          <w:rFonts w:eastAsia="Calibri"/>
          <w:color w:val="000000"/>
        </w:rPr>
        <w:t>n = 56</w:t>
      </w:r>
      <w:r>
        <w:rPr>
          <w:color w:val="000000"/>
        </w:rPr>
        <w:t xml:space="preserve"> per group): Farm Conditions (</w:t>
      </w:r>
      <w:r>
        <w:rPr>
          <w:rStyle w:val="style4099"/>
          <w:rFonts w:eastAsia="Calibri"/>
          <w:color w:val="000000"/>
        </w:rPr>
        <w:t xml:space="preserve">n = </w:t>
      </w:r>
      <w:r>
        <w:rPr>
          <w:rStyle w:val="style4099"/>
          <w:rFonts w:eastAsia="Calibri"/>
          <w:color w:val="000000"/>
        </w:rPr>
        <w:t>56</w:t>
      </w:r>
      <w:r>
        <w:rPr>
          <w:color w:val="000000"/>
        </w:rPr>
        <w:t>)</w:t>
      </w:r>
      <w:r>
        <w:rPr>
          <w:color w:val="000000"/>
        </w:rPr>
        <w:t>-</w:t>
      </w:r>
      <w:r>
        <w:rPr>
          <w:color w:val="000000"/>
        </w:rPr>
        <w:t xml:space="preserve"> </w:t>
      </w:r>
      <w:r>
        <w:rPr>
          <w:color w:val="000000"/>
        </w:rPr>
        <w:t xml:space="preserve">Goats reared under semi-intensive farm conditions </w:t>
      </w:r>
      <w:r>
        <w:rPr>
          <w:color w:val="000000"/>
        </w:rPr>
        <w:t xml:space="preserve">at NDRI, maintained under standardized feeding, housing, and machine/hand milking routines. </w:t>
      </w:r>
    </w:p>
    <w:p w14:paraId="5DA0CF9F">
      <w:pPr>
        <w:pStyle w:val="style94"/>
        <w:spacing w:lineRule="auto" w:line="360"/>
        <w:jc w:val="both"/>
        <w:rPr>
          <w:color w:val="000000"/>
        </w:rPr>
      </w:pPr>
      <w:r>
        <w:rPr>
          <w:color w:val="000000"/>
        </w:rPr>
        <w:t>Field Conditions (</w:t>
      </w:r>
      <w:r>
        <w:rPr>
          <w:rStyle w:val="style4099"/>
          <w:rFonts w:eastAsia="Calibri"/>
          <w:color w:val="000000"/>
        </w:rPr>
        <w:t xml:space="preserve">n = </w:t>
      </w:r>
      <w:r>
        <w:rPr>
          <w:rStyle w:val="style4099"/>
          <w:rFonts w:eastAsia="Calibri"/>
          <w:color w:val="000000"/>
        </w:rPr>
        <w:t>56</w:t>
      </w:r>
      <w:r>
        <w:rPr>
          <w:color w:val="000000"/>
        </w:rPr>
        <w:t>)</w:t>
      </w:r>
      <w:r>
        <w:rPr>
          <w:color w:val="000000"/>
        </w:rPr>
        <w:t>-</w:t>
      </w:r>
      <w:r>
        <w:rPr>
          <w:color w:val="000000"/>
        </w:rPr>
        <w:t xml:space="preserve"> </w:t>
      </w:r>
      <w:r>
        <w:rPr>
          <w:color w:val="000000"/>
        </w:rPr>
        <w:t xml:space="preserve">Goats reared under </w:t>
      </w:r>
      <w:r>
        <w:rPr>
          <w:color w:val="000000"/>
        </w:rPr>
        <w:t xml:space="preserve">conventional </w:t>
      </w:r>
      <w:r>
        <w:rPr>
          <w:color w:val="000000"/>
        </w:rPr>
        <w:t xml:space="preserve">free-grazing field </w:t>
      </w:r>
      <w:r>
        <w:rPr>
          <w:color w:val="000000"/>
        </w:rPr>
        <w:t>goats</w:t>
      </w:r>
      <w:r>
        <w:rPr>
          <w:color w:val="000000"/>
        </w:rPr>
        <w:t xml:space="preserve"> </w:t>
      </w:r>
      <w:r>
        <w:rPr>
          <w:color w:val="000000"/>
        </w:rPr>
        <w:t xml:space="preserve">systems in </w:t>
      </w:r>
      <w:r>
        <w:rPr>
          <w:color w:val="000000"/>
        </w:rPr>
        <w:t>nearby</w:t>
      </w:r>
      <w:r>
        <w:rPr>
          <w:color w:val="000000"/>
        </w:rPr>
        <w:t xml:space="preserve"> rural villages. </w:t>
      </w:r>
    </w:p>
    <w:p w14:paraId="7D4A01CA">
      <w:pPr>
        <w:pStyle w:val="style4"/>
        <w:spacing w:lineRule="auto" w:line="360"/>
        <w:jc w:val="both"/>
        <w:rPr>
          <w:rFonts w:ascii="Times New Roman" w:cs="Times New Roman" w:hAnsi="Times New Roman"/>
          <w:i w:val="false"/>
          <w:iCs w:val="false"/>
          <w:color w:val="000000"/>
          <w:sz w:val="24"/>
          <w:szCs w:val="24"/>
        </w:rPr>
      </w:pPr>
      <w:r>
        <w:rPr>
          <w:rFonts w:ascii="Times New Roman" w:cs="Times New Roman" w:hAnsi="Times New Roman"/>
          <w:i w:val="false"/>
          <w:iCs w:val="false"/>
          <w:color w:val="000000"/>
          <w:sz w:val="24"/>
          <w:szCs w:val="24"/>
        </w:rPr>
        <w:t>Field Survey and Hygiene Data Collection</w:t>
      </w:r>
    </w:p>
    <w:p w14:paraId="1B33AC54">
      <w:pPr>
        <w:pStyle w:val="style94"/>
        <w:spacing w:lineRule="auto" w:line="360"/>
        <w:jc w:val="both"/>
        <w:rPr>
          <w:color w:val="000000"/>
        </w:rPr>
      </w:pPr>
      <w:r>
        <w:rPr>
          <w:color w:val="000000"/>
        </w:rPr>
        <w:t xml:space="preserve">Field-reared goat </w:t>
      </w:r>
      <w:r>
        <w:rPr>
          <w:color w:val="000000"/>
        </w:rPr>
        <w:t>were</w:t>
      </w:r>
      <w:r>
        <w:rPr>
          <w:color w:val="000000"/>
        </w:rPr>
        <w:t xml:space="preserve"> housed under conventional or loose housing systems, stall-fed or grazed on limited green fodder, and limited concentrate mixtures. Milking was performed entirely by hand using knuckling or full-hand methods. </w:t>
      </w:r>
    </w:p>
    <w:p w14:paraId="2866D56E">
      <w:pPr>
        <w:pStyle w:val="style94"/>
        <w:spacing w:lineRule="auto" w:line="360"/>
        <w:jc w:val="both"/>
        <w:rPr>
          <w:color w:val="000000"/>
        </w:rPr>
      </w:pPr>
      <w:r>
        <w:rPr>
          <w:color w:val="000000"/>
        </w:rPr>
        <w:t>To evaluate field management and hygiene, a structured proforma was administered to animal owners across field units (</w:t>
      </w:r>
      <w:r>
        <w:rPr>
          <w:rStyle w:val="style4099"/>
          <w:color w:val="000000"/>
        </w:rPr>
        <w:t xml:space="preserve">n = </w:t>
      </w:r>
      <w:r>
        <w:rPr>
          <w:rStyle w:val="style4099"/>
          <w:color w:val="000000"/>
        </w:rPr>
        <w:t>56</w:t>
      </w:r>
      <w:r>
        <w:rPr>
          <w:color w:val="000000"/>
        </w:rPr>
        <w:t xml:space="preserve">). The questionnaire recorded key variables including: Washing of udder before </w:t>
      </w:r>
      <w:r>
        <w:rPr>
          <w:color w:val="000000"/>
        </w:rPr>
        <w:t>milking</w:t>
      </w:r>
      <w:r>
        <w:rPr>
          <w:b/>
          <w:bCs/>
          <w:color w:val="000000"/>
        </w:rPr>
        <w:t xml:space="preserve">, </w:t>
      </w:r>
      <w:r>
        <w:rPr>
          <w:color w:val="000000"/>
        </w:rPr>
        <w:t>Washing</w:t>
      </w:r>
      <w:r>
        <w:rPr>
          <w:color w:val="000000"/>
        </w:rPr>
        <w:t xml:space="preserve"> of </w:t>
      </w:r>
      <w:r>
        <w:rPr>
          <w:color w:val="000000"/>
        </w:rPr>
        <w:t>utensils, Cleanliness</w:t>
      </w:r>
      <w:r>
        <w:rPr>
          <w:color w:val="000000"/>
        </w:rPr>
        <w:t xml:space="preserve"> of handler/milker</w:t>
      </w:r>
      <w:r>
        <w:rPr>
          <w:b/>
          <w:bCs/>
          <w:color w:val="000000"/>
        </w:rPr>
        <w:t>,</w:t>
      </w:r>
      <w:r>
        <w:rPr>
          <w:b/>
          <w:bCs/>
          <w:color w:val="000000"/>
        </w:rPr>
        <w:t xml:space="preserve"> </w:t>
      </w:r>
      <w:r>
        <w:rPr>
          <w:color w:val="000000"/>
        </w:rPr>
        <w:t>Drainage system.</w:t>
      </w:r>
    </w:p>
    <w:p w14:paraId="0C16984F">
      <w:pPr>
        <w:pStyle w:val="style179"/>
        <w:tabs>
          <w:tab w:val="left" w:leader="none" w:pos="720"/>
        </w:tabs>
        <w:spacing w:before="120" w:after="120" w:lineRule="auto" w:line="360"/>
        <w:ind w:left="0"/>
        <w:jc w:val="both"/>
        <w:contextualSpacing w:val="false"/>
        <w:rPr>
          <w:rFonts w:ascii="Times New Roman" w:cs="Times New Roman" w:hAnsi="Times New Roman"/>
        </w:rPr>
      </w:pPr>
      <w:r>
        <w:rPr>
          <w:rFonts w:ascii="Times New Roman" w:cs="Times New Roman" w:hAnsi="Times New Roman"/>
          <w:b/>
          <w:bCs/>
        </w:rPr>
        <w:t>Collection of milk samples</w:t>
      </w:r>
    </w:p>
    <w:p w14:paraId="59DDBCC7">
      <w:pPr>
        <w:pStyle w:val="style0"/>
        <w:tabs>
          <w:tab w:val="left" w:leader="none" w:pos="720"/>
        </w:tabs>
        <w:autoSpaceDE w:val="false"/>
        <w:autoSpaceDN w:val="false"/>
        <w:adjustRightInd w:val="false"/>
        <w:spacing w:before="120" w:after="120" w:lineRule="auto" w:line="360"/>
        <w:jc w:val="both"/>
        <w:rPr>
          <w:rFonts w:ascii="Times New Roman" w:cs="Times New Roman" w:hAnsi="Times New Roman"/>
          <w:sz w:val="24"/>
          <w:szCs w:val="24"/>
        </w:rPr>
      </w:pPr>
      <w:r>
        <w:rPr>
          <w:rFonts w:ascii="Times New Roman" w:cs="Times New Roman" w:hAnsi="Times New Roman"/>
          <w:sz w:val="24"/>
          <w:szCs w:val="24"/>
        </w:rPr>
        <w:t xml:space="preserve">Milk samples (50 ml) were collected from the milk pooled from all quarters. Samples were collected aseptically in falcon tube measuring 50 ml for the estimation of SCC and other parameters from individual goat. The samples were brought to the laboratory immediately after collection and </w:t>
      </w:r>
      <w:r>
        <w:rPr>
          <w:rFonts w:ascii="Times New Roman" w:cs="Times New Roman" w:hAnsi="Times New Roman"/>
          <w:sz w:val="24"/>
          <w:szCs w:val="24"/>
        </w:rPr>
        <w:t>analysed</w:t>
      </w:r>
      <w:r>
        <w:rPr>
          <w:rFonts w:ascii="Times New Roman" w:cs="Times New Roman" w:hAnsi="Times New Roman"/>
          <w:sz w:val="24"/>
          <w:szCs w:val="24"/>
        </w:rPr>
        <w:t xml:space="preserve">. </w:t>
      </w:r>
    </w:p>
    <w:p w14:paraId="2AA01355">
      <w:pPr>
        <w:pStyle w:val="style0"/>
        <w:spacing w:before="100" w:beforeAutospacing="true" w:after="100" w:afterAutospacing="true" w:lineRule="auto" w:line="360"/>
        <w:jc w:val="both"/>
        <w:rPr>
          <w:rFonts w:ascii="Times New Roman" w:cs="Times New Roman" w:hAnsi="Times New Roman"/>
          <w:b/>
          <w:bCs/>
          <w:sz w:val="24"/>
          <w:szCs w:val="24"/>
        </w:rPr>
      </w:pPr>
      <w:r>
        <w:rPr>
          <w:rFonts w:ascii="Times New Roman" w:cs="Times New Roman" w:hAnsi="Times New Roman"/>
          <w:b/>
          <w:bCs/>
          <w:sz w:val="24"/>
          <w:szCs w:val="24"/>
        </w:rPr>
        <w:t>Test Performed in Laboratory</w:t>
      </w:r>
    </w:p>
    <w:p w14:paraId="5A127314">
      <w:pPr>
        <w:pStyle w:val="style0"/>
        <w:tabs>
          <w:tab w:val="left" w:leader="none" w:pos="720"/>
        </w:tabs>
        <w:spacing w:before="120" w:after="120" w:lineRule="auto" w:line="360"/>
        <w:jc w:val="both"/>
        <w:rPr>
          <w:rFonts w:ascii="Times New Roman" w:cs="Times New Roman" w:hAnsi="Times New Roman"/>
          <w:sz w:val="24"/>
          <w:szCs w:val="24"/>
          <w:lang w:eastAsia="en-IN"/>
        </w:rPr>
      </w:pPr>
      <w:r>
        <w:rPr>
          <w:rFonts w:ascii="Times New Roman" w:cs="Times New Roman" w:hAnsi="Times New Roman"/>
          <w:sz w:val="24"/>
          <w:szCs w:val="24"/>
          <w:lang w:eastAsia="en-IN"/>
        </w:rPr>
        <w:t>Somatic cell counts (SCC) of milk sample</w:t>
      </w:r>
      <w:r>
        <w:rPr>
          <w:rFonts w:ascii="Times New Roman" w:cs="Times New Roman" w:hAnsi="Times New Roman"/>
          <w:b/>
          <w:bCs/>
          <w:sz w:val="24"/>
          <w:szCs w:val="24"/>
          <w:lang w:eastAsia="en-IN"/>
        </w:rPr>
        <w:t>:</w:t>
      </w:r>
      <w:r>
        <w:rPr>
          <w:rFonts w:ascii="Times New Roman" w:cs="Times New Roman" w:hAnsi="Times New Roman"/>
          <w:sz w:val="24"/>
          <w:szCs w:val="24"/>
          <w:lang w:eastAsia="en-IN"/>
        </w:rPr>
        <w:t xml:space="preserve"> Milk SCC were estimated by </w:t>
      </w:r>
      <w:r>
        <w:rPr>
          <w:rFonts w:ascii="Times New Roman" w:cs="Times New Roman" w:hAnsi="Times New Roman"/>
          <w:sz w:val="24"/>
          <w:szCs w:val="24"/>
          <w:lang w:eastAsia="en-IN"/>
        </w:rPr>
        <w:t>Lactoscan</w:t>
      </w:r>
      <w:r>
        <w:rPr>
          <w:rFonts w:ascii="Times New Roman" w:cs="Times New Roman" w:hAnsi="Times New Roman"/>
          <w:sz w:val="24"/>
          <w:szCs w:val="24"/>
          <w:lang w:eastAsia="en-IN"/>
        </w:rPr>
        <w:t xml:space="preserve"> SCC kit 4 (manufactured by </w:t>
      </w:r>
      <w:r>
        <w:rPr>
          <w:rFonts w:ascii="Times New Roman" w:cs="Times New Roman" w:hAnsi="Times New Roman"/>
          <w:sz w:val="24"/>
          <w:szCs w:val="24"/>
          <w:lang w:eastAsia="en-IN"/>
        </w:rPr>
        <w:t>Milkotronic</w:t>
      </w:r>
      <w:r>
        <w:rPr>
          <w:rFonts w:ascii="Times New Roman" w:cs="Times New Roman" w:hAnsi="Times New Roman"/>
          <w:sz w:val="24"/>
          <w:szCs w:val="24"/>
          <w:lang w:eastAsia="en-IN"/>
        </w:rPr>
        <w:t xml:space="preserve"> Ltd.) consisting of, </w:t>
      </w:r>
      <w:r>
        <w:rPr>
          <w:rFonts w:ascii="Times New Roman" w:cs="Times New Roman" w:eastAsia="Times New Roman" w:hAnsi="Times New Roman"/>
          <w:sz w:val="24"/>
          <w:szCs w:val="24"/>
          <w:lang w:eastAsia="en-IN"/>
        </w:rPr>
        <w:t>Lactochip</w:t>
      </w:r>
      <w:r>
        <w:rPr>
          <w:rFonts w:ascii="Times New Roman" w:cs="Times New Roman" w:eastAsia="Times New Roman" w:hAnsi="Times New Roman"/>
          <w:sz w:val="24"/>
          <w:szCs w:val="24"/>
          <w:lang w:eastAsia="en-IN"/>
        </w:rPr>
        <w:t xml:space="preserve">, Sofia green </w:t>
      </w:r>
      <w:r>
        <w:rPr>
          <w:rFonts w:ascii="Times New Roman" w:cs="Times New Roman" w:eastAsia="Times New Roman" w:hAnsi="Times New Roman"/>
          <w:sz w:val="24"/>
          <w:szCs w:val="24"/>
          <w:lang w:eastAsia="en-IN"/>
        </w:rPr>
        <w:t>lypholized</w:t>
      </w:r>
      <w:r>
        <w:rPr>
          <w:rFonts w:ascii="Times New Roman" w:cs="Times New Roman" w:eastAsia="Times New Roman" w:hAnsi="Times New Roman"/>
          <w:sz w:val="24"/>
          <w:szCs w:val="24"/>
          <w:lang w:eastAsia="en-IN"/>
        </w:rPr>
        <w:t xml:space="preserve"> </w:t>
      </w:r>
      <w:r>
        <w:rPr>
          <w:rFonts w:ascii="Times New Roman" w:cs="Times New Roman" w:eastAsia="Times New Roman" w:hAnsi="Times New Roman"/>
          <w:sz w:val="24"/>
          <w:szCs w:val="24"/>
          <w:lang w:eastAsia="en-IN"/>
        </w:rPr>
        <w:t>dye,Automatic</w:t>
      </w:r>
      <w:r>
        <w:rPr>
          <w:rFonts w:ascii="Times New Roman" w:cs="Times New Roman" w:eastAsia="Times New Roman" w:hAnsi="Times New Roman"/>
          <w:sz w:val="24"/>
          <w:szCs w:val="24"/>
          <w:lang w:eastAsia="en-IN"/>
        </w:rPr>
        <w:t xml:space="preserve"> pipette tip.</w:t>
      </w:r>
    </w:p>
    <w:p w14:paraId="6E635DDE">
      <w:pPr>
        <w:pStyle w:val="style0"/>
        <w:tabs>
          <w:tab w:val="left" w:leader="none" w:pos="720"/>
        </w:tabs>
        <w:spacing w:before="120" w:after="120" w:lineRule="auto" w:line="360"/>
        <w:jc w:val="both"/>
        <w:rPr>
          <w:rFonts w:ascii="Times New Roman" w:cs="Times New Roman" w:hAnsi="Times New Roman"/>
          <w:sz w:val="24"/>
          <w:szCs w:val="24"/>
          <w:lang w:eastAsia="en-IN"/>
        </w:rPr>
      </w:pPr>
      <w:r>
        <w:rPr>
          <w:rFonts w:ascii="Times New Roman" w:cs="Times New Roman" w:hAnsi="Times New Roman"/>
          <w:sz w:val="24"/>
          <w:szCs w:val="24"/>
          <w:lang w:eastAsia="en-IN"/>
        </w:rPr>
        <w:t xml:space="preserve">100 µl of milk sample were taken in an Eppendorf tube (coated with Sofia green lyophilized dye) that was provided with the kit and vortexed for 10-15 times. Kept it for 2 minutes and again vortexed for 10-15 times. After that 8.5 µL of dyed sample was used for charging the </w:t>
      </w:r>
      <w:r>
        <w:rPr>
          <w:rFonts w:ascii="Times New Roman" w:cs="Times New Roman" w:hAnsi="Times New Roman"/>
          <w:sz w:val="24"/>
          <w:szCs w:val="24"/>
          <w:lang w:eastAsia="en-IN"/>
        </w:rPr>
        <w:t>lactochip</w:t>
      </w:r>
      <w:r>
        <w:rPr>
          <w:rFonts w:ascii="Times New Roman" w:cs="Times New Roman" w:hAnsi="Times New Roman"/>
          <w:sz w:val="24"/>
          <w:szCs w:val="24"/>
          <w:lang w:eastAsia="en-IN"/>
        </w:rPr>
        <w:t xml:space="preserve"> (cassette). Somatic cell counts (SCC) (×10</w:t>
      </w:r>
      <w:r>
        <w:rPr>
          <w:rFonts w:ascii="Times New Roman" w:cs="Times New Roman" w:hAnsi="Times New Roman"/>
          <w:sz w:val="24"/>
          <w:szCs w:val="24"/>
          <w:vertAlign w:val="superscript"/>
          <w:lang w:eastAsia="en-IN"/>
        </w:rPr>
        <w:t>3</w:t>
      </w:r>
      <w:r>
        <w:rPr>
          <w:rFonts w:ascii="Times New Roman" w:cs="Times New Roman" w:hAnsi="Times New Roman"/>
          <w:sz w:val="24"/>
          <w:szCs w:val="24"/>
          <w:lang w:eastAsia="en-IN"/>
        </w:rPr>
        <w:t xml:space="preserve"> cells/ml) displayed by the somatic cell counter machine was noted.</w:t>
      </w:r>
    </w:p>
    <w:p w14:paraId="7514F366">
      <w:pPr>
        <w:pStyle w:val="style31"/>
        <w:tabs>
          <w:tab w:val="left" w:leader="none" w:pos="720"/>
        </w:tabs>
        <w:spacing w:before="120" w:after="120"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 xml:space="preserve">Statistical analysis </w:t>
      </w:r>
    </w:p>
    <w:p w14:paraId="572A1B73">
      <w:pPr>
        <w:pStyle w:val="style31"/>
        <w:tabs>
          <w:tab w:val="left" w:leader="none" w:pos="720"/>
        </w:tabs>
        <w:spacing w:before="120" w:after="120" w:lineRule="auto" w:line="360"/>
        <w:ind w:firstLine="540"/>
        <w:jc w:val="both"/>
        <w:rPr>
          <w:rFonts w:ascii="Times New Roman" w:cs="Times New Roman" w:hAnsi="Times New Roman"/>
          <w:color w:val="000000"/>
          <w:sz w:val="24"/>
          <w:szCs w:val="24"/>
        </w:rPr>
      </w:pPr>
      <w:r>
        <w:rPr>
          <w:rFonts w:ascii="Times New Roman" w:cs="Times New Roman" w:hAnsi="Times New Roman"/>
          <w:color w:val="000000"/>
          <w:sz w:val="24"/>
          <w:szCs w:val="24"/>
        </w:rPr>
        <w:t>The data was analyzed for mean SE. one-way ANOVA (Tukey’s multiple comparison test) was used for data analysis and t-test. GraphPad Prism (version 9.4.1) and SPSS software (version 26.0) was used for statistical analysis.</w:t>
      </w:r>
    </w:p>
    <w:p w14:paraId="186D64B8">
      <w:pPr>
        <w:pStyle w:val="style0"/>
        <w:spacing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 xml:space="preserve">3. </w:t>
      </w:r>
      <w:r>
        <w:rPr>
          <w:rFonts w:ascii="Times New Roman" w:cs="Times New Roman" w:hAnsi="Times New Roman"/>
          <w:b/>
          <w:bCs/>
          <w:color w:val="000000"/>
          <w:sz w:val="24"/>
          <w:szCs w:val="24"/>
        </w:rPr>
        <w:t>Results</w:t>
      </w:r>
      <w:r>
        <w:rPr>
          <w:rFonts w:ascii="Times New Roman" w:cs="Times New Roman" w:hAnsi="Times New Roman"/>
          <w:b/>
          <w:bCs/>
          <w:color w:val="000000"/>
          <w:sz w:val="24"/>
          <w:szCs w:val="24"/>
        </w:rPr>
        <w:t xml:space="preserve"> &amp; </w:t>
      </w:r>
      <w:r>
        <w:rPr>
          <w:rFonts w:ascii="Times New Roman" w:cs="Times New Roman" w:hAnsi="Times New Roman"/>
          <w:b/>
          <w:bCs/>
          <w:color w:val="000000"/>
          <w:sz w:val="24"/>
          <w:szCs w:val="24"/>
        </w:rPr>
        <w:t>Discussion</w:t>
      </w:r>
    </w:p>
    <w:p w14:paraId="37BD9CCB">
      <w:pPr>
        <w:pStyle w:val="style0"/>
        <w:spacing w:before="120" w:after="120" w:lineRule="auto" w:line="360"/>
        <w:jc w:val="both"/>
        <w:rPr>
          <w:rFonts w:ascii="Times New Roman" w:cs="Times New Roman" w:eastAsia="Times New Roman" w:hAnsi="Times New Roman"/>
          <w:sz w:val="24"/>
          <w:szCs w:val="24"/>
          <w:lang w:eastAsia="en-IN"/>
        </w:rPr>
      </w:pPr>
      <w:r>
        <w:rPr>
          <w:rFonts w:ascii="Times New Roman" w:cs="Times New Roman" w:eastAsia="Times New Roman" w:hAnsi="Times New Roman"/>
          <w:b/>
          <w:bCs/>
          <w:sz w:val="24"/>
          <w:szCs w:val="24"/>
          <w:lang w:eastAsia="en-IN"/>
        </w:rPr>
        <w:t xml:space="preserve">Table </w:t>
      </w:r>
      <w:r>
        <w:rPr>
          <w:rFonts w:ascii="Times New Roman" w:cs="Times New Roman" w:hAnsi="Times New Roman"/>
          <w:b/>
          <w:bCs/>
          <w:sz w:val="24"/>
          <w:szCs w:val="24"/>
        </w:rPr>
        <w:t>1</w:t>
      </w:r>
      <w:r>
        <w:rPr>
          <w:rFonts w:ascii="Times New Roman" w:cs="Times New Roman" w:eastAsia="Times New Roman" w:hAnsi="Times New Roman"/>
          <w:b/>
          <w:bCs/>
          <w:sz w:val="24"/>
          <w:szCs w:val="24"/>
          <w:lang w:eastAsia="en-IN"/>
        </w:rPr>
        <w:t xml:space="preserve">: </w:t>
      </w:r>
      <w:r>
        <w:rPr>
          <w:rFonts w:ascii="Times New Roman" w:cs="Times New Roman" w:eastAsia="Times New Roman" w:hAnsi="Times New Roman"/>
          <w:sz w:val="24"/>
          <w:szCs w:val="24"/>
          <w:lang w:eastAsia="en-IN"/>
        </w:rPr>
        <w:t>Managemental practices recorded in Goats kept under field conditions</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3510"/>
        <w:gridCol w:w="1694"/>
        <w:gridCol w:w="1276"/>
        <w:gridCol w:w="990"/>
      </w:tblGrid>
      <w:tr w14:paraId="34071D22">
        <w:trPr>
          <w:trHeight w:val="935" w:hRule="atLeast"/>
        </w:trPr>
        <w:tc>
          <w:tcPr>
            <w:tcW w:w="918" w:type="dxa"/>
            <w:tcBorders/>
            <w:vAlign w:val="center"/>
          </w:tcPr>
          <w:p w14:paraId="0034E933">
            <w:pPr>
              <w:pStyle w:val="style179"/>
              <w:spacing w:before="120" w:after="120" w:lineRule="auto" w:line="360"/>
              <w:ind w:left="0"/>
              <w:jc w:val="both"/>
              <w:contextualSpacing w:val="false"/>
              <w:rPr>
                <w:rFonts w:ascii="Times New Roman" w:cs="Times New Roman" w:hAnsi="Times New Roman"/>
                <w:b/>
                <w:bCs/>
              </w:rPr>
            </w:pPr>
            <w:r>
              <w:rPr>
                <w:rFonts w:ascii="Times New Roman" w:cs="Times New Roman" w:hAnsi="Times New Roman"/>
                <w:b/>
                <w:bCs/>
              </w:rPr>
              <w:t>Sr. no.</w:t>
            </w:r>
          </w:p>
        </w:tc>
        <w:tc>
          <w:tcPr>
            <w:tcW w:w="3510" w:type="dxa"/>
            <w:tcBorders/>
            <w:vAlign w:val="center"/>
          </w:tcPr>
          <w:p w14:paraId="08E2E7A7">
            <w:pPr>
              <w:pStyle w:val="style179"/>
              <w:spacing w:before="120" w:after="120" w:lineRule="auto" w:line="360"/>
              <w:ind w:left="0"/>
              <w:jc w:val="both"/>
              <w:contextualSpacing w:val="false"/>
              <w:rPr>
                <w:rFonts w:ascii="Times New Roman" w:cs="Times New Roman" w:hAnsi="Times New Roman"/>
                <w:b/>
                <w:bCs/>
              </w:rPr>
            </w:pPr>
            <w:r>
              <w:rPr>
                <w:rFonts w:ascii="Times New Roman" w:cs="Times New Roman" w:hAnsi="Times New Roman"/>
                <w:b/>
                <w:bCs/>
              </w:rPr>
              <w:t>Management practices</w:t>
            </w:r>
          </w:p>
        </w:tc>
        <w:tc>
          <w:tcPr>
            <w:tcW w:w="1694" w:type="dxa"/>
            <w:tcBorders/>
            <w:vAlign w:val="center"/>
          </w:tcPr>
          <w:p w14:paraId="03DDA5E6">
            <w:pPr>
              <w:pStyle w:val="style179"/>
              <w:spacing w:before="120" w:after="120" w:lineRule="auto" w:line="360"/>
              <w:ind w:left="0"/>
              <w:jc w:val="both"/>
              <w:contextualSpacing w:val="false"/>
              <w:rPr>
                <w:rFonts w:ascii="Times New Roman" w:cs="Times New Roman" w:hAnsi="Times New Roman"/>
                <w:b/>
                <w:bCs/>
              </w:rPr>
            </w:pPr>
            <w:r>
              <w:rPr>
                <w:rFonts w:ascii="Times New Roman" w:cs="Times New Roman" w:hAnsi="Times New Roman"/>
                <w:b/>
                <w:bCs/>
              </w:rPr>
              <w:t>Observations (n)</w:t>
            </w:r>
          </w:p>
        </w:tc>
        <w:tc>
          <w:tcPr>
            <w:tcW w:w="1276" w:type="dxa"/>
            <w:tcBorders/>
            <w:vAlign w:val="center"/>
          </w:tcPr>
          <w:p w14:paraId="69321B32">
            <w:pPr>
              <w:pStyle w:val="style179"/>
              <w:spacing w:before="120" w:after="120" w:lineRule="auto" w:line="360"/>
              <w:ind w:left="0"/>
              <w:jc w:val="both"/>
              <w:contextualSpacing w:val="false"/>
              <w:rPr>
                <w:rFonts w:ascii="Times New Roman" w:cs="Times New Roman" w:hAnsi="Times New Roman"/>
                <w:b/>
                <w:bCs/>
              </w:rPr>
            </w:pPr>
            <w:r>
              <w:rPr>
                <w:rFonts w:ascii="Times New Roman" w:cs="Times New Roman" w:hAnsi="Times New Roman"/>
                <w:b/>
                <w:bCs/>
              </w:rPr>
              <w:t>Response</w:t>
            </w:r>
          </w:p>
        </w:tc>
        <w:tc>
          <w:tcPr>
            <w:tcW w:w="990" w:type="dxa"/>
            <w:tcBorders/>
            <w:vAlign w:val="center"/>
          </w:tcPr>
          <w:p w14:paraId="424A3604">
            <w:pPr>
              <w:pStyle w:val="style179"/>
              <w:spacing w:before="120" w:after="120" w:lineRule="auto" w:line="360"/>
              <w:ind w:left="0"/>
              <w:jc w:val="both"/>
              <w:contextualSpacing w:val="false"/>
              <w:rPr>
                <w:rFonts w:ascii="Times New Roman" w:cs="Times New Roman" w:hAnsi="Times New Roman"/>
                <w:b/>
                <w:bCs/>
              </w:rPr>
            </w:pPr>
            <w:r>
              <w:rPr>
                <w:rFonts w:ascii="Times New Roman" w:cs="Times New Roman" w:hAnsi="Times New Roman"/>
                <w:b/>
                <w:bCs/>
              </w:rPr>
              <w:t>%</w:t>
            </w:r>
          </w:p>
        </w:tc>
      </w:tr>
      <w:tr w14:paraId="355640FA">
        <w:tblPrEx/>
        <w:trPr>
          <w:trHeight w:val="470" w:hRule="atLeast"/>
        </w:trPr>
        <w:tc>
          <w:tcPr>
            <w:tcW w:w="918" w:type="dxa"/>
            <w:vMerge w:val="restart"/>
            <w:tcBorders/>
            <w:vAlign w:val="center"/>
          </w:tcPr>
          <w:p w14:paraId="0FF5677D">
            <w:pPr>
              <w:pStyle w:val="style179"/>
              <w:numPr>
                <w:ilvl w:val="0"/>
                <w:numId w:val="1"/>
              </w:numPr>
              <w:spacing w:before="120" w:after="120" w:lineRule="auto" w:line="360"/>
              <w:jc w:val="both"/>
              <w:contextualSpacing w:val="false"/>
              <w:rPr>
                <w:rFonts w:ascii="Times New Roman" w:cs="Times New Roman" w:hAnsi="Times New Roman"/>
              </w:rPr>
            </w:pPr>
          </w:p>
        </w:tc>
        <w:tc>
          <w:tcPr>
            <w:tcW w:w="3510" w:type="dxa"/>
            <w:vMerge w:val="restart"/>
            <w:tcBorders/>
            <w:vAlign w:val="center"/>
          </w:tcPr>
          <w:p w14:paraId="548FDA7C">
            <w:pPr>
              <w:pStyle w:val="style0"/>
              <w:spacing w:before="120" w:after="120" w:lineRule="auto" w:line="360"/>
              <w:jc w:val="both"/>
              <w:rPr>
                <w:rFonts w:ascii="Times New Roman" w:cs="Times New Roman" w:hAnsi="Times New Roman"/>
                <w:sz w:val="24"/>
                <w:szCs w:val="24"/>
              </w:rPr>
            </w:pPr>
            <w:r>
              <w:rPr>
                <w:rFonts w:ascii="Times New Roman" w:cs="Times New Roman" w:hAnsi="Times New Roman"/>
                <w:sz w:val="24"/>
                <w:szCs w:val="24"/>
              </w:rPr>
              <w:t>Washing of udder before milking</w:t>
            </w:r>
          </w:p>
        </w:tc>
        <w:tc>
          <w:tcPr>
            <w:tcW w:w="1694" w:type="dxa"/>
            <w:vMerge w:val="restart"/>
            <w:tcBorders/>
            <w:vAlign w:val="center"/>
          </w:tcPr>
          <w:p w14:paraId="2DBDAA1B">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56</w:t>
            </w:r>
          </w:p>
        </w:tc>
        <w:tc>
          <w:tcPr>
            <w:tcW w:w="1276" w:type="dxa"/>
            <w:tcBorders/>
            <w:vAlign w:val="center"/>
          </w:tcPr>
          <w:p w14:paraId="6033863A">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Yes-54</w:t>
            </w:r>
          </w:p>
        </w:tc>
        <w:tc>
          <w:tcPr>
            <w:tcW w:w="990" w:type="dxa"/>
            <w:tcBorders/>
            <w:vAlign w:val="center"/>
          </w:tcPr>
          <w:p w14:paraId="33B156A8">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96.42%</w:t>
            </w:r>
          </w:p>
        </w:tc>
      </w:tr>
      <w:tr w14:paraId="74D8EA23">
        <w:tblPrEx/>
        <w:trPr>
          <w:trHeight w:val="469" w:hRule="atLeast"/>
        </w:trPr>
        <w:tc>
          <w:tcPr>
            <w:tcW w:w="918" w:type="dxa"/>
            <w:vMerge w:val="continue"/>
            <w:tcBorders/>
            <w:vAlign w:val="center"/>
          </w:tcPr>
          <w:p w14:paraId="49077769">
            <w:pPr>
              <w:pStyle w:val="style179"/>
              <w:spacing w:before="120" w:after="120" w:lineRule="auto" w:line="360"/>
              <w:ind w:left="0"/>
              <w:jc w:val="both"/>
              <w:contextualSpacing w:val="false"/>
              <w:rPr>
                <w:rFonts w:ascii="Times New Roman" w:cs="Times New Roman" w:hAnsi="Times New Roman"/>
              </w:rPr>
            </w:pPr>
          </w:p>
        </w:tc>
        <w:tc>
          <w:tcPr>
            <w:tcW w:w="3510" w:type="dxa"/>
            <w:vMerge w:val="continue"/>
            <w:tcBorders/>
            <w:vAlign w:val="center"/>
          </w:tcPr>
          <w:p w14:paraId="3E7CC0A6">
            <w:pPr>
              <w:pStyle w:val="style0"/>
              <w:spacing w:before="120" w:after="120" w:lineRule="auto" w:line="360"/>
              <w:jc w:val="both"/>
              <w:rPr>
                <w:rFonts w:ascii="Times New Roman" w:cs="Times New Roman" w:hAnsi="Times New Roman"/>
                <w:sz w:val="24"/>
                <w:szCs w:val="24"/>
              </w:rPr>
            </w:pPr>
          </w:p>
        </w:tc>
        <w:tc>
          <w:tcPr>
            <w:tcW w:w="1694" w:type="dxa"/>
            <w:vMerge w:val="continue"/>
            <w:tcBorders/>
            <w:vAlign w:val="center"/>
          </w:tcPr>
          <w:p w14:paraId="52F78169">
            <w:pPr>
              <w:pStyle w:val="style179"/>
              <w:spacing w:before="120" w:after="120" w:lineRule="auto" w:line="360"/>
              <w:ind w:left="0"/>
              <w:jc w:val="both"/>
              <w:contextualSpacing w:val="false"/>
              <w:rPr>
                <w:rFonts w:ascii="Times New Roman" w:cs="Times New Roman" w:hAnsi="Times New Roman"/>
              </w:rPr>
            </w:pPr>
          </w:p>
        </w:tc>
        <w:tc>
          <w:tcPr>
            <w:tcW w:w="1276" w:type="dxa"/>
            <w:tcBorders/>
            <w:vAlign w:val="center"/>
          </w:tcPr>
          <w:p w14:paraId="7C2C8291">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No-2</w:t>
            </w:r>
          </w:p>
        </w:tc>
        <w:tc>
          <w:tcPr>
            <w:tcW w:w="990" w:type="dxa"/>
            <w:tcBorders/>
            <w:vAlign w:val="center"/>
          </w:tcPr>
          <w:p w14:paraId="5299E451">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3.57%</w:t>
            </w:r>
          </w:p>
        </w:tc>
      </w:tr>
      <w:tr w14:paraId="538879C6">
        <w:tblPrEx/>
        <w:trPr>
          <w:trHeight w:val="470" w:hRule="atLeast"/>
        </w:trPr>
        <w:tc>
          <w:tcPr>
            <w:tcW w:w="918" w:type="dxa"/>
            <w:vMerge w:val="restart"/>
            <w:tcBorders/>
            <w:vAlign w:val="center"/>
          </w:tcPr>
          <w:p w14:paraId="409B4470">
            <w:pPr>
              <w:pStyle w:val="style179"/>
              <w:numPr>
                <w:ilvl w:val="0"/>
                <w:numId w:val="1"/>
              </w:numPr>
              <w:spacing w:before="120" w:after="120" w:lineRule="auto" w:line="360"/>
              <w:jc w:val="both"/>
              <w:contextualSpacing w:val="false"/>
              <w:rPr>
                <w:rFonts w:ascii="Times New Roman" w:cs="Times New Roman" w:hAnsi="Times New Roman"/>
              </w:rPr>
            </w:pPr>
          </w:p>
        </w:tc>
        <w:tc>
          <w:tcPr>
            <w:tcW w:w="3510" w:type="dxa"/>
            <w:vMerge w:val="restart"/>
            <w:tcBorders/>
            <w:vAlign w:val="center"/>
          </w:tcPr>
          <w:p w14:paraId="1F9D631E">
            <w:pPr>
              <w:pStyle w:val="style0"/>
              <w:spacing w:before="120" w:after="120" w:lineRule="auto" w:line="360"/>
              <w:jc w:val="both"/>
              <w:rPr>
                <w:rFonts w:ascii="Times New Roman" w:cs="Times New Roman" w:hAnsi="Times New Roman"/>
                <w:sz w:val="24"/>
                <w:szCs w:val="24"/>
              </w:rPr>
            </w:pPr>
            <w:r>
              <w:rPr>
                <w:rFonts w:ascii="Times New Roman" w:cs="Times New Roman" w:hAnsi="Times New Roman"/>
                <w:sz w:val="24"/>
                <w:szCs w:val="24"/>
              </w:rPr>
              <w:t>Washing of utensils</w:t>
            </w:r>
          </w:p>
        </w:tc>
        <w:tc>
          <w:tcPr>
            <w:tcW w:w="1694" w:type="dxa"/>
            <w:vMerge w:val="restart"/>
            <w:tcBorders/>
            <w:vAlign w:val="center"/>
          </w:tcPr>
          <w:p w14:paraId="73F034FC">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56</w:t>
            </w:r>
          </w:p>
        </w:tc>
        <w:tc>
          <w:tcPr>
            <w:tcW w:w="1276" w:type="dxa"/>
            <w:tcBorders/>
            <w:vAlign w:val="center"/>
          </w:tcPr>
          <w:p w14:paraId="612DA580">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Yes-56</w:t>
            </w:r>
          </w:p>
        </w:tc>
        <w:tc>
          <w:tcPr>
            <w:tcW w:w="990" w:type="dxa"/>
            <w:tcBorders/>
            <w:vAlign w:val="center"/>
          </w:tcPr>
          <w:p w14:paraId="2F330661">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100%</w:t>
            </w:r>
          </w:p>
        </w:tc>
      </w:tr>
      <w:tr w14:paraId="1338032A">
        <w:tblPrEx/>
        <w:trPr>
          <w:trHeight w:val="469" w:hRule="atLeast"/>
        </w:trPr>
        <w:tc>
          <w:tcPr>
            <w:tcW w:w="918" w:type="dxa"/>
            <w:vMerge w:val="continue"/>
            <w:tcBorders/>
            <w:vAlign w:val="center"/>
          </w:tcPr>
          <w:p w14:paraId="35B48629">
            <w:pPr>
              <w:pStyle w:val="style179"/>
              <w:spacing w:before="120" w:after="120" w:lineRule="auto" w:line="360"/>
              <w:ind w:left="0"/>
              <w:jc w:val="both"/>
              <w:contextualSpacing w:val="false"/>
              <w:rPr>
                <w:rFonts w:ascii="Times New Roman" w:cs="Times New Roman" w:hAnsi="Times New Roman"/>
              </w:rPr>
            </w:pPr>
          </w:p>
        </w:tc>
        <w:tc>
          <w:tcPr>
            <w:tcW w:w="3510" w:type="dxa"/>
            <w:vMerge w:val="continue"/>
            <w:tcBorders/>
            <w:vAlign w:val="center"/>
          </w:tcPr>
          <w:p w14:paraId="698B9594">
            <w:pPr>
              <w:pStyle w:val="style0"/>
              <w:spacing w:before="120" w:after="120" w:lineRule="auto" w:line="360"/>
              <w:jc w:val="both"/>
              <w:rPr>
                <w:rFonts w:ascii="Times New Roman" w:cs="Times New Roman" w:hAnsi="Times New Roman"/>
                <w:sz w:val="24"/>
                <w:szCs w:val="24"/>
              </w:rPr>
            </w:pPr>
          </w:p>
        </w:tc>
        <w:tc>
          <w:tcPr>
            <w:tcW w:w="1694" w:type="dxa"/>
            <w:vMerge w:val="continue"/>
            <w:tcBorders/>
            <w:vAlign w:val="center"/>
          </w:tcPr>
          <w:p w14:paraId="2AF641EF">
            <w:pPr>
              <w:pStyle w:val="style179"/>
              <w:spacing w:before="120" w:after="120" w:lineRule="auto" w:line="360"/>
              <w:ind w:left="0"/>
              <w:jc w:val="both"/>
              <w:contextualSpacing w:val="false"/>
              <w:rPr>
                <w:rFonts w:ascii="Times New Roman" w:cs="Times New Roman" w:hAnsi="Times New Roman"/>
              </w:rPr>
            </w:pPr>
          </w:p>
        </w:tc>
        <w:tc>
          <w:tcPr>
            <w:tcW w:w="1276" w:type="dxa"/>
            <w:tcBorders/>
            <w:vAlign w:val="center"/>
          </w:tcPr>
          <w:p w14:paraId="444C2845">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No-0</w:t>
            </w:r>
          </w:p>
        </w:tc>
        <w:tc>
          <w:tcPr>
            <w:tcW w:w="990" w:type="dxa"/>
            <w:tcBorders/>
            <w:vAlign w:val="center"/>
          </w:tcPr>
          <w:p w14:paraId="38B1AC9E">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0%</w:t>
            </w:r>
          </w:p>
        </w:tc>
      </w:tr>
      <w:tr w14:paraId="4CD272CF">
        <w:tblPrEx/>
        <w:trPr>
          <w:trHeight w:val="470" w:hRule="atLeast"/>
        </w:trPr>
        <w:tc>
          <w:tcPr>
            <w:tcW w:w="918" w:type="dxa"/>
            <w:vMerge w:val="restart"/>
            <w:tcBorders/>
            <w:vAlign w:val="center"/>
          </w:tcPr>
          <w:p w14:paraId="66DE2CF6">
            <w:pPr>
              <w:pStyle w:val="style179"/>
              <w:numPr>
                <w:ilvl w:val="0"/>
                <w:numId w:val="1"/>
              </w:numPr>
              <w:spacing w:before="120" w:after="120" w:lineRule="auto" w:line="360"/>
              <w:jc w:val="both"/>
              <w:contextualSpacing w:val="false"/>
              <w:rPr>
                <w:rFonts w:ascii="Times New Roman" w:cs="Times New Roman" w:hAnsi="Times New Roman"/>
              </w:rPr>
            </w:pPr>
          </w:p>
        </w:tc>
        <w:tc>
          <w:tcPr>
            <w:tcW w:w="3510" w:type="dxa"/>
            <w:vMerge w:val="restart"/>
            <w:tcBorders/>
            <w:vAlign w:val="center"/>
          </w:tcPr>
          <w:p w14:paraId="746FB6E0">
            <w:pPr>
              <w:pStyle w:val="style0"/>
              <w:spacing w:before="120" w:after="120" w:lineRule="auto" w:line="360"/>
              <w:jc w:val="both"/>
              <w:rPr>
                <w:rFonts w:ascii="Times New Roman" w:cs="Times New Roman" w:hAnsi="Times New Roman"/>
                <w:sz w:val="24"/>
                <w:szCs w:val="24"/>
              </w:rPr>
            </w:pPr>
            <w:r>
              <w:rPr>
                <w:rFonts w:ascii="Times New Roman" w:cs="Times New Roman" w:hAnsi="Times New Roman"/>
                <w:sz w:val="24"/>
                <w:szCs w:val="24"/>
              </w:rPr>
              <w:t>Cleanliness of handler/milker</w:t>
            </w:r>
          </w:p>
        </w:tc>
        <w:tc>
          <w:tcPr>
            <w:tcW w:w="1694" w:type="dxa"/>
            <w:vMerge w:val="restart"/>
            <w:tcBorders/>
            <w:vAlign w:val="center"/>
          </w:tcPr>
          <w:p w14:paraId="7CC7A396">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56</w:t>
            </w:r>
          </w:p>
        </w:tc>
        <w:tc>
          <w:tcPr>
            <w:tcW w:w="1276" w:type="dxa"/>
            <w:tcBorders/>
            <w:vAlign w:val="center"/>
          </w:tcPr>
          <w:p w14:paraId="11DBA735">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Yes- 25</w:t>
            </w:r>
          </w:p>
        </w:tc>
        <w:tc>
          <w:tcPr>
            <w:tcW w:w="990" w:type="dxa"/>
            <w:tcBorders/>
            <w:vAlign w:val="center"/>
          </w:tcPr>
          <w:p w14:paraId="32AA5D85">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44.64</w:t>
            </w:r>
          </w:p>
        </w:tc>
      </w:tr>
      <w:tr w14:paraId="5447B699">
        <w:tblPrEx/>
        <w:trPr>
          <w:trHeight w:val="469" w:hRule="atLeast"/>
        </w:trPr>
        <w:tc>
          <w:tcPr>
            <w:tcW w:w="918" w:type="dxa"/>
            <w:vMerge w:val="continue"/>
            <w:tcBorders/>
            <w:vAlign w:val="center"/>
          </w:tcPr>
          <w:p w14:paraId="408B5195">
            <w:pPr>
              <w:pStyle w:val="style179"/>
              <w:spacing w:before="120" w:after="120" w:lineRule="auto" w:line="360"/>
              <w:ind w:left="0"/>
              <w:jc w:val="both"/>
              <w:contextualSpacing w:val="false"/>
              <w:rPr>
                <w:rFonts w:ascii="Times New Roman" w:cs="Times New Roman" w:hAnsi="Times New Roman"/>
              </w:rPr>
            </w:pPr>
          </w:p>
        </w:tc>
        <w:tc>
          <w:tcPr>
            <w:tcW w:w="3510" w:type="dxa"/>
            <w:vMerge w:val="continue"/>
            <w:tcBorders/>
            <w:vAlign w:val="center"/>
          </w:tcPr>
          <w:p w14:paraId="3BC58790">
            <w:pPr>
              <w:pStyle w:val="style0"/>
              <w:spacing w:before="120" w:after="120" w:lineRule="auto" w:line="360"/>
              <w:jc w:val="both"/>
              <w:rPr>
                <w:rFonts w:ascii="Times New Roman" w:cs="Times New Roman" w:hAnsi="Times New Roman"/>
                <w:sz w:val="24"/>
                <w:szCs w:val="24"/>
              </w:rPr>
            </w:pPr>
          </w:p>
        </w:tc>
        <w:tc>
          <w:tcPr>
            <w:tcW w:w="1694" w:type="dxa"/>
            <w:vMerge w:val="continue"/>
            <w:tcBorders/>
            <w:vAlign w:val="center"/>
          </w:tcPr>
          <w:p w14:paraId="23EE6F43">
            <w:pPr>
              <w:pStyle w:val="style179"/>
              <w:spacing w:before="120" w:after="120" w:lineRule="auto" w:line="360"/>
              <w:ind w:left="0"/>
              <w:jc w:val="both"/>
              <w:contextualSpacing w:val="false"/>
              <w:rPr>
                <w:rFonts w:ascii="Times New Roman" w:cs="Times New Roman" w:hAnsi="Times New Roman"/>
              </w:rPr>
            </w:pPr>
          </w:p>
        </w:tc>
        <w:tc>
          <w:tcPr>
            <w:tcW w:w="1276" w:type="dxa"/>
            <w:tcBorders/>
            <w:vAlign w:val="center"/>
          </w:tcPr>
          <w:p w14:paraId="0D2F2FEA">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No-31</w:t>
            </w:r>
          </w:p>
        </w:tc>
        <w:tc>
          <w:tcPr>
            <w:tcW w:w="990" w:type="dxa"/>
            <w:tcBorders/>
            <w:vAlign w:val="center"/>
          </w:tcPr>
          <w:p w14:paraId="664DDDED">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55.35</w:t>
            </w:r>
          </w:p>
        </w:tc>
      </w:tr>
      <w:tr w14:paraId="151635F8">
        <w:tblPrEx/>
        <w:trPr>
          <w:trHeight w:val="470" w:hRule="atLeast"/>
        </w:trPr>
        <w:tc>
          <w:tcPr>
            <w:tcW w:w="918" w:type="dxa"/>
            <w:vMerge w:val="restart"/>
            <w:tcBorders/>
            <w:vAlign w:val="center"/>
          </w:tcPr>
          <w:p w14:paraId="5E34DBD4">
            <w:pPr>
              <w:pStyle w:val="style179"/>
              <w:numPr>
                <w:ilvl w:val="0"/>
                <w:numId w:val="1"/>
              </w:numPr>
              <w:spacing w:before="120" w:after="120" w:lineRule="auto" w:line="360"/>
              <w:jc w:val="both"/>
              <w:contextualSpacing w:val="false"/>
              <w:rPr>
                <w:rFonts w:ascii="Times New Roman" w:cs="Times New Roman" w:hAnsi="Times New Roman"/>
              </w:rPr>
            </w:pPr>
          </w:p>
        </w:tc>
        <w:tc>
          <w:tcPr>
            <w:tcW w:w="3510" w:type="dxa"/>
            <w:vMerge w:val="restart"/>
            <w:tcBorders/>
            <w:vAlign w:val="center"/>
          </w:tcPr>
          <w:p w14:paraId="2CE24276">
            <w:pPr>
              <w:pStyle w:val="style0"/>
              <w:spacing w:before="120" w:after="120" w:lineRule="auto" w:line="360"/>
              <w:jc w:val="both"/>
              <w:rPr>
                <w:rFonts w:ascii="Times New Roman" w:cs="Times New Roman" w:hAnsi="Times New Roman"/>
                <w:sz w:val="24"/>
                <w:szCs w:val="24"/>
              </w:rPr>
            </w:pPr>
            <w:r>
              <w:rPr>
                <w:rFonts w:ascii="Times New Roman" w:cs="Times New Roman" w:hAnsi="Times New Roman"/>
                <w:sz w:val="24"/>
                <w:szCs w:val="24"/>
              </w:rPr>
              <w:t>Drainage system</w:t>
            </w:r>
          </w:p>
        </w:tc>
        <w:tc>
          <w:tcPr>
            <w:tcW w:w="1694" w:type="dxa"/>
            <w:vMerge w:val="restart"/>
            <w:tcBorders/>
            <w:vAlign w:val="center"/>
          </w:tcPr>
          <w:p w14:paraId="7F1C78AA">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56</w:t>
            </w:r>
          </w:p>
        </w:tc>
        <w:tc>
          <w:tcPr>
            <w:tcW w:w="1276" w:type="dxa"/>
            <w:tcBorders/>
            <w:vAlign w:val="center"/>
          </w:tcPr>
          <w:p w14:paraId="024DFCC2">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Present-6</w:t>
            </w:r>
          </w:p>
        </w:tc>
        <w:tc>
          <w:tcPr>
            <w:tcW w:w="990" w:type="dxa"/>
            <w:tcBorders/>
            <w:vAlign w:val="center"/>
          </w:tcPr>
          <w:p w14:paraId="04E660A4">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10.71</w:t>
            </w:r>
          </w:p>
        </w:tc>
      </w:tr>
      <w:tr w14:paraId="1BAC5B22">
        <w:tblPrEx/>
        <w:trPr>
          <w:trHeight w:val="469" w:hRule="atLeast"/>
        </w:trPr>
        <w:tc>
          <w:tcPr>
            <w:tcW w:w="918" w:type="dxa"/>
            <w:vMerge w:val="continue"/>
            <w:tcBorders/>
            <w:vAlign w:val="center"/>
          </w:tcPr>
          <w:p w14:paraId="10213305">
            <w:pPr>
              <w:pStyle w:val="style179"/>
              <w:spacing w:before="120" w:after="120" w:lineRule="auto" w:line="360"/>
              <w:ind w:left="0"/>
              <w:jc w:val="both"/>
              <w:contextualSpacing w:val="false"/>
              <w:rPr>
                <w:rFonts w:ascii="Times New Roman" w:cs="Times New Roman" w:hAnsi="Times New Roman"/>
              </w:rPr>
            </w:pPr>
          </w:p>
        </w:tc>
        <w:tc>
          <w:tcPr>
            <w:tcW w:w="3510" w:type="dxa"/>
            <w:vMerge w:val="continue"/>
            <w:tcBorders/>
            <w:vAlign w:val="center"/>
          </w:tcPr>
          <w:p w14:paraId="64AEF96E">
            <w:pPr>
              <w:pStyle w:val="style0"/>
              <w:spacing w:before="120" w:after="120" w:lineRule="auto" w:line="360"/>
              <w:jc w:val="both"/>
              <w:rPr>
                <w:rFonts w:ascii="Times New Roman" w:cs="Times New Roman" w:hAnsi="Times New Roman"/>
                <w:sz w:val="24"/>
                <w:szCs w:val="24"/>
              </w:rPr>
            </w:pPr>
          </w:p>
        </w:tc>
        <w:tc>
          <w:tcPr>
            <w:tcW w:w="1694" w:type="dxa"/>
            <w:vMerge w:val="continue"/>
            <w:tcBorders/>
            <w:vAlign w:val="center"/>
          </w:tcPr>
          <w:p w14:paraId="27A3D268">
            <w:pPr>
              <w:pStyle w:val="style179"/>
              <w:spacing w:before="120" w:after="120" w:lineRule="auto" w:line="360"/>
              <w:ind w:left="0"/>
              <w:jc w:val="both"/>
              <w:contextualSpacing w:val="false"/>
              <w:rPr>
                <w:rFonts w:ascii="Times New Roman" w:cs="Times New Roman" w:hAnsi="Times New Roman"/>
              </w:rPr>
            </w:pPr>
          </w:p>
        </w:tc>
        <w:tc>
          <w:tcPr>
            <w:tcW w:w="1276" w:type="dxa"/>
            <w:tcBorders/>
            <w:vAlign w:val="center"/>
          </w:tcPr>
          <w:p w14:paraId="52CBAF0E">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Absent-50</w:t>
            </w:r>
          </w:p>
        </w:tc>
        <w:tc>
          <w:tcPr>
            <w:tcW w:w="990" w:type="dxa"/>
            <w:tcBorders/>
            <w:vAlign w:val="center"/>
          </w:tcPr>
          <w:p w14:paraId="6B078CAB">
            <w:pPr>
              <w:pStyle w:val="style179"/>
              <w:spacing w:before="120" w:after="120" w:lineRule="auto" w:line="360"/>
              <w:ind w:left="0"/>
              <w:jc w:val="both"/>
              <w:contextualSpacing w:val="false"/>
              <w:rPr>
                <w:rFonts w:ascii="Times New Roman" w:cs="Times New Roman" w:hAnsi="Times New Roman"/>
              </w:rPr>
            </w:pPr>
            <w:r>
              <w:rPr>
                <w:rFonts w:ascii="Times New Roman" w:cs="Times New Roman" w:hAnsi="Times New Roman"/>
              </w:rPr>
              <w:t>89.28</w:t>
            </w:r>
          </w:p>
        </w:tc>
      </w:tr>
    </w:tbl>
    <w:p w14:paraId="3E30E71E">
      <w:pPr>
        <w:pStyle w:val="style0"/>
        <w:spacing w:before="120" w:after="120" w:lineRule="auto" w:line="360"/>
        <w:ind w:firstLine="567"/>
        <w:jc w:val="both"/>
        <w:rPr>
          <w:rFonts w:ascii="Times New Roman" w:cs="Times New Roman" w:hAnsi="Times New Roman"/>
          <w:sz w:val="24"/>
          <w:szCs w:val="24"/>
        </w:rPr>
      </w:pPr>
    </w:p>
    <w:p w14:paraId="751F337A">
      <w:pPr>
        <w:pStyle w:val="style0"/>
        <w:spacing w:before="120" w:after="120" w:lineRule="auto" w:line="360"/>
        <w:ind w:firstLine="567"/>
        <w:jc w:val="both"/>
        <w:rPr>
          <w:rFonts w:ascii="Times New Roman" w:cs="Times New Roman" w:hAnsi="Times New Roman"/>
          <w:sz w:val="24"/>
          <w:szCs w:val="24"/>
        </w:rPr>
      </w:pPr>
      <w:r>
        <w:rPr>
          <w:rFonts w:ascii="Times New Roman" w:cs="Times New Roman" w:hAnsi="Times New Roman"/>
          <w:sz w:val="24"/>
          <w:szCs w:val="24"/>
        </w:rPr>
        <w:t>The overall mean values for SCC in farm and field condition were 4.62±0.05 and 4.27±0.02 respectively. The overall mean values of SCC were higher in farm than in field condition (</w:t>
      </w:r>
      <w:r>
        <w:rPr>
          <w:rFonts w:ascii="Times New Roman" w:cs="Times New Roman" w:hAnsi="Times New Roman"/>
          <w:bCs/>
          <w:sz w:val="24"/>
          <w:szCs w:val="24"/>
        </w:rPr>
        <w:t>Table</w:t>
      </w:r>
      <w:r>
        <w:rPr>
          <w:rFonts w:ascii="Times New Roman" w:cs="Times New Roman" w:hAnsi="Times New Roman"/>
          <w:b/>
          <w:bCs/>
          <w:sz w:val="24"/>
          <w:szCs w:val="24"/>
        </w:rPr>
        <w:t xml:space="preserve"> </w:t>
      </w:r>
      <w:r>
        <w:rPr>
          <w:rFonts w:ascii="Times New Roman" w:cs="Times New Roman" w:hAnsi="Times New Roman"/>
          <w:sz w:val="24"/>
          <w:szCs w:val="24"/>
        </w:rPr>
        <w:t>4.2.5</w:t>
      </w:r>
      <w:r>
        <w:rPr>
          <w:rFonts w:ascii="Times New Roman" w:cs="Times New Roman" w:hAnsi="Times New Roman"/>
          <w:bCs/>
          <w:sz w:val="24"/>
          <w:szCs w:val="24"/>
        </w:rPr>
        <w:t>)</w:t>
      </w:r>
      <w:r>
        <w:rPr>
          <w:rFonts w:ascii="Times New Roman" w:cs="Times New Roman" w:hAnsi="Times New Roman"/>
          <w:sz w:val="24"/>
          <w:szCs w:val="24"/>
        </w:rPr>
        <w:t>.  Lower value of SCC in field can be explained by their good feeding managemental practices like on filed goats are allowed to graze freely and it is expected to have positive impact on their immunity. Other management practices like, 96.42% of respondents washed animal’s udder before milking and all farmers washed the utensils before milking. In case of hygiene of milker/handler all the respondents washed their hands before milking but 55.35% wore dusty, old unclean clothes. While 44.64% were properly hygienic.10.71% of farmers regularly cleaned their shed for urine and dung while 89.28% did not cleaned their shed. In farm all the goats were housed in semi-intensive system and were feed in shed.</w:t>
      </w:r>
    </w:p>
    <w:p w14:paraId="4906B765">
      <w:pPr>
        <w:pStyle w:val="style0"/>
        <w:spacing w:before="120" w:after="120" w:lineRule="auto" w:line="360"/>
        <w:ind w:firstLine="567"/>
        <w:jc w:val="both"/>
        <w:rPr>
          <w:rFonts w:ascii="Times New Roman" w:cs="Times New Roman" w:hAnsi="Times New Roman"/>
          <w:sz w:val="24"/>
          <w:szCs w:val="24"/>
        </w:rPr>
      </w:pPr>
      <w:r>
        <w:rPr>
          <w:rFonts w:ascii="Times New Roman" w:cs="Times New Roman" w:hAnsi="Times New Roman"/>
          <w:b/>
          <w:noProof/>
          <w:sz w:val="24"/>
          <w:szCs w:val="24"/>
        </w:rPr>
        <w:drawing>
          <wp:inline distL="0" distT="0" distB="0" distR="0">
            <wp:extent cx="2520315" cy="3061335"/>
            <wp:effectExtent l="38100" t="19050" r="13334" b="24765"/>
            <wp:docPr id="1026" name="Picture 4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4" cstate="print"/>
                    <a:srcRect l="0" t="0" r="0" b="0"/>
                    <a:stretch/>
                  </pic:blipFill>
                  <pic:spPr>
                    <a:xfrm rot="0">
                      <a:off x="0" y="0"/>
                      <a:ext cx="2520315" cy="3061335"/>
                    </a:xfrm>
                    <a:prstGeom prst="rect"/>
                    <a:ln cmpd="sng" cap="flat" w="9525">
                      <a:solidFill>
                        <a:srgbClr val="000000"/>
                      </a:solidFill>
                      <a:prstDash val="solid"/>
                      <a:miter/>
                      <a:headEnd len="med" w="med" type="none"/>
                      <a:tailEnd len="med" w="med" type="none"/>
                    </a:ln>
                  </pic:spPr>
                </pic:pic>
              </a:graphicData>
            </a:graphic>
          </wp:inline>
        </w:drawing>
      </w:r>
      <w:r>
        <w:rPr>
          <w:rFonts w:ascii="Times New Roman" w:cs="Times New Roman" w:hAnsi="Times New Roman"/>
          <w:noProof/>
          <w:sz w:val="24"/>
          <w:szCs w:val="24"/>
        </w:rPr>
        <w:drawing>
          <wp:inline distL="0" distT="0" distB="0" distR="0">
            <wp:extent cx="2536190" cy="3108960"/>
            <wp:effectExtent l="19050" t="19050" r="16510" b="15240"/>
            <wp:docPr id="1027" name="Picture 4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6"/>
                    <pic:cNvPicPr/>
                  </pic:nvPicPr>
                  <pic:blipFill>
                    <a:blip r:embed="rId5" cstate="print"/>
                    <a:srcRect l="0" t="0" r="0" b="0"/>
                    <a:stretch/>
                  </pic:blipFill>
                  <pic:spPr>
                    <a:xfrm rot="0">
                      <a:off x="0" y="0"/>
                      <a:ext cx="2536190" cy="3108960"/>
                    </a:xfrm>
                    <a:prstGeom prst="rect"/>
                    <a:ln cmpd="sng" cap="flat" w="9525">
                      <a:solidFill>
                        <a:srgbClr val="000000"/>
                      </a:solidFill>
                      <a:prstDash val="solid"/>
                      <a:miter/>
                      <a:headEnd len="med" w="med" type="none"/>
                      <a:tailEnd len="med" w="med" type="none"/>
                    </a:ln>
                  </pic:spPr>
                </pic:pic>
              </a:graphicData>
            </a:graphic>
          </wp:inline>
        </w:drawing>
      </w:r>
    </w:p>
    <w:p w14:paraId="21B68312">
      <w:pPr>
        <w:pStyle w:val="style0"/>
        <w:tabs>
          <w:tab w:val="left" w:leader="none" w:pos="5190"/>
        </w:tabs>
        <w:spacing w:before="120" w:after="120" w:lineRule="auto" w:line="360"/>
        <w:jc w:val="both"/>
        <w:rPr>
          <w:rFonts w:ascii="Times New Roman" w:cs="Times New Roman" w:hAnsi="Times New Roman"/>
          <w:sz w:val="24"/>
          <w:szCs w:val="24"/>
        </w:rPr>
      </w:pPr>
      <w:r>
        <w:rPr>
          <w:rFonts w:ascii="Times New Roman" w:cs="Times New Roman" w:eastAsia="Times New Roman" w:hAnsi="Times New Roman"/>
          <w:b/>
          <w:bCs/>
          <w:sz w:val="24"/>
          <w:szCs w:val="24"/>
          <w:lang w:eastAsia="en-IN"/>
        </w:rPr>
        <w:t xml:space="preserve">Fig </w:t>
      </w:r>
      <w:r>
        <w:rPr>
          <w:rFonts w:ascii="Times New Roman" w:cs="Times New Roman" w:hAnsi="Times New Roman"/>
          <w:b/>
          <w:bCs/>
          <w:sz w:val="24"/>
          <w:szCs w:val="24"/>
        </w:rPr>
        <w:t>1</w:t>
      </w:r>
      <w:r>
        <w:rPr>
          <w:rFonts w:ascii="Times New Roman" w:cs="Times New Roman" w:eastAsia="Times New Roman" w:hAnsi="Times New Roman"/>
          <w:b/>
          <w:bCs/>
          <w:sz w:val="24"/>
          <w:szCs w:val="24"/>
          <w:lang w:eastAsia="en-IN"/>
        </w:rPr>
        <w:t xml:space="preserve">: </w:t>
      </w:r>
      <w:r>
        <w:rPr>
          <w:rFonts w:ascii="Times New Roman" w:cs="Times New Roman" w:hAnsi="Times New Roman"/>
          <w:sz w:val="24"/>
          <w:szCs w:val="24"/>
        </w:rPr>
        <w:t>Washing of udder before milking</w:t>
      </w:r>
      <w:r>
        <w:rPr>
          <w:rFonts w:ascii="Times New Roman" w:cs="Times New Roman" w:eastAsia="Times New Roman" w:hAnsi="Times New Roman"/>
          <w:b/>
          <w:bCs/>
          <w:sz w:val="24"/>
          <w:szCs w:val="24"/>
          <w:lang w:eastAsia="en-IN"/>
        </w:rPr>
        <w:t xml:space="preserve">        </w:t>
      </w:r>
      <w:r>
        <w:rPr>
          <w:rFonts w:ascii="Times New Roman" w:cs="Times New Roman" w:eastAsia="Times New Roman" w:hAnsi="Times New Roman"/>
          <w:b/>
          <w:bCs/>
          <w:sz w:val="24"/>
          <w:szCs w:val="24"/>
          <w:lang w:eastAsia="en-IN"/>
        </w:rPr>
        <w:t xml:space="preserve">     </w:t>
      </w:r>
      <w:r>
        <w:rPr>
          <w:rFonts w:ascii="Times New Roman" w:cs="Times New Roman" w:eastAsia="Times New Roman" w:hAnsi="Times New Roman"/>
          <w:b/>
          <w:bCs/>
          <w:sz w:val="24"/>
          <w:szCs w:val="24"/>
          <w:lang w:eastAsia="en-IN"/>
        </w:rPr>
        <w:t xml:space="preserve">Fig </w:t>
      </w:r>
      <w:r>
        <w:rPr>
          <w:rFonts w:ascii="Times New Roman" w:cs="Times New Roman" w:hAnsi="Times New Roman"/>
          <w:b/>
          <w:bCs/>
          <w:sz w:val="24"/>
          <w:szCs w:val="24"/>
        </w:rPr>
        <w:t>2</w:t>
      </w:r>
      <w:r>
        <w:rPr>
          <w:rFonts w:ascii="Times New Roman" w:cs="Times New Roman" w:eastAsia="Times New Roman" w:hAnsi="Times New Roman"/>
          <w:b/>
          <w:bCs/>
          <w:sz w:val="24"/>
          <w:szCs w:val="24"/>
          <w:lang w:eastAsia="en-IN"/>
        </w:rPr>
        <w:t xml:space="preserve">: </w:t>
      </w:r>
      <w:r>
        <w:rPr>
          <w:rFonts w:ascii="Times New Roman" w:cs="Times New Roman" w:hAnsi="Times New Roman"/>
          <w:sz w:val="24"/>
          <w:szCs w:val="24"/>
        </w:rPr>
        <w:t>Washing of utensils</w:t>
      </w:r>
    </w:p>
    <w:p w14:paraId="71CF1A29">
      <w:pPr>
        <w:pStyle w:val="style0"/>
        <w:tabs>
          <w:tab w:val="left" w:leader="none" w:pos="5190"/>
        </w:tabs>
        <w:spacing w:before="120" w:after="120" w:lineRule="auto" w:line="360"/>
        <w:jc w:val="both"/>
        <w:rPr>
          <w:rFonts w:ascii="Times New Roman" w:cs="Times New Roman" w:hAnsi="Times New Roman"/>
          <w:sz w:val="24"/>
          <w:szCs w:val="24"/>
        </w:rPr>
      </w:pPr>
    </w:p>
    <w:p w14:paraId="312B81D2">
      <w:pPr>
        <w:pStyle w:val="style0"/>
        <w:spacing w:before="120" w:after="120" w:lineRule="auto" w:line="360"/>
        <w:jc w:val="both"/>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2433320" cy="2966085"/>
            <wp:effectExtent l="19050" t="19050" r="24130" b="24765"/>
            <wp:docPr id="1028" name="Picture 4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7"/>
                    <pic:cNvPicPr/>
                  </pic:nvPicPr>
                  <pic:blipFill>
                    <a:blip r:embed="rId6" cstate="print"/>
                    <a:srcRect l="0" t="0" r="0" b="0"/>
                    <a:stretch/>
                  </pic:blipFill>
                  <pic:spPr>
                    <a:xfrm rot="0">
                      <a:off x="0" y="0"/>
                      <a:ext cx="2433320" cy="2966085"/>
                    </a:xfrm>
                    <a:prstGeom prst="rect"/>
                    <a:ln cmpd="sng" cap="flat" w="9525">
                      <a:solidFill>
                        <a:srgbClr val="000000"/>
                      </a:solidFill>
                      <a:prstDash val="solid"/>
                      <a:miter/>
                      <a:headEnd len="med" w="med" type="none"/>
                      <a:tailEnd len="med" w="med" type="none"/>
                    </a:ln>
                  </pic:spPr>
                </pic:pic>
              </a:graphicData>
            </a:graphic>
          </wp:inline>
        </w:drawing>
      </w:r>
      <w:r>
        <w:rPr>
          <w:rFonts w:ascii="Times New Roman" w:cs="Times New Roman" w:hAnsi="Times New Roman"/>
          <w:noProof/>
          <w:sz w:val="24"/>
          <w:szCs w:val="24"/>
        </w:rPr>
        <w:drawing>
          <wp:inline distL="0" distT="0" distB="0" distR="0">
            <wp:extent cx="2512695" cy="2950210"/>
            <wp:effectExtent l="38100" t="19050" r="20955" b="21590"/>
            <wp:docPr id="1029" name="Picture 2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26"/>
                    <pic:cNvPicPr/>
                  </pic:nvPicPr>
                  <pic:blipFill>
                    <a:blip r:embed="rId7" cstate="print"/>
                    <a:srcRect l="0" t="0" r="0" b="0"/>
                    <a:stretch/>
                  </pic:blipFill>
                  <pic:spPr>
                    <a:xfrm rot="0">
                      <a:off x="0" y="0"/>
                      <a:ext cx="2512695" cy="2950210"/>
                    </a:xfrm>
                    <a:prstGeom prst="rect"/>
                    <a:ln cmpd="sng" cap="flat" w="9525">
                      <a:solidFill>
                        <a:srgbClr val="000000"/>
                      </a:solidFill>
                      <a:prstDash val="solid"/>
                      <a:miter/>
                      <a:headEnd len="med" w="med" type="none"/>
                      <a:tailEnd len="med" w="med" type="none"/>
                    </a:ln>
                  </pic:spPr>
                </pic:pic>
              </a:graphicData>
            </a:graphic>
          </wp:inline>
        </w:drawing>
      </w:r>
    </w:p>
    <w:p w14:paraId="6D6CC2E5">
      <w:pPr>
        <w:pStyle w:val="style0"/>
        <w:spacing w:before="120" w:after="120" w:lineRule="auto" w:line="360"/>
        <w:jc w:val="both"/>
        <w:rPr>
          <w:rFonts w:ascii="Times New Roman" w:cs="Times New Roman" w:hAnsi="Times New Roman"/>
          <w:sz w:val="24"/>
          <w:szCs w:val="24"/>
        </w:rPr>
      </w:pPr>
      <w:r>
        <w:rPr>
          <w:rFonts w:ascii="Times New Roman" w:cs="Times New Roman" w:eastAsia="Times New Roman" w:hAnsi="Times New Roman"/>
          <w:b/>
          <w:bCs/>
          <w:sz w:val="24"/>
          <w:szCs w:val="24"/>
          <w:lang w:eastAsia="en-IN"/>
        </w:rPr>
        <w:t xml:space="preserve">Fig </w:t>
      </w:r>
      <w:r>
        <w:rPr>
          <w:rFonts w:ascii="Times New Roman" w:cs="Times New Roman" w:hAnsi="Times New Roman"/>
          <w:b/>
          <w:bCs/>
          <w:sz w:val="24"/>
          <w:szCs w:val="24"/>
        </w:rPr>
        <w:t>3</w:t>
      </w:r>
      <w:r>
        <w:rPr>
          <w:rFonts w:ascii="Times New Roman" w:cs="Times New Roman" w:eastAsia="Times New Roman" w:hAnsi="Times New Roman"/>
          <w:b/>
          <w:bCs/>
          <w:sz w:val="24"/>
          <w:szCs w:val="24"/>
          <w:lang w:eastAsia="en-IN"/>
        </w:rPr>
        <w:t xml:space="preserve">: </w:t>
      </w:r>
      <w:r>
        <w:rPr>
          <w:rFonts w:ascii="Times New Roman" w:cs="Times New Roman" w:hAnsi="Times New Roman"/>
          <w:sz w:val="24"/>
          <w:szCs w:val="24"/>
        </w:rPr>
        <w:t xml:space="preserve">Cleanliness of handler/milker     </w:t>
      </w:r>
      <w:r>
        <w:rPr>
          <w:rFonts w:ascii="Times New Roman" w:cs="Times New Roman" w:eastAsia="Times New Roman" w:hAnsi="Times New Roman"/>
          <w:b/>
          <w:bCs/>
          <w:sz w:val="24"/>
          <w:szCs w:val="24"/>
          <w:lang w:eastAsia="en-IN"/>
        </w:rPr>
        <w:t xml:space="preserve">Fig </w:t>
      </w:r>
      <w:r>
        <w:rPr>
          <w:rFonts w:ascii="Times New Roman" w:cs="Times New Roman" w:hAnsi="Times New Roman"/>
          <w:b/>
          <w:bCs/>
          <w:sz w:val="24"/>
          <w:szCs w:val="24"/>
        </w:rPr>
        <w:t>4</w:t>
      </w:r>
      <w:r>
        <w:rPr>
          <w:rFonts w:ascii="Times New Roman" w:cs="Times New Roman" w:eastAsia="Times New Roman" w:hAnsi="Times New Roman"/>
          <w:b/>
          <w:bCs/>
          <w:sz w:val="24"/>
          <w:szCs w:val="24"/>
          <w:lang w:eastAsia="en-IN"/>
        </w:rPr>
        <w:t xml:space="preserve">: </w:t>
      </w:r>
      <w:r>
        <w:rPr>
          <w:rFonts w:ascii="Times New Roman" w:cs="Times New Roman" w:hAnsi="Times New Roman"/>
          <w:sz w:val="24"/>
          <w:szCs w:val="24"/>
        </w:rPr>
        <w:t>Drainage system</w:t>
      </w:r>
    </w:p>
    <w:p w14:paraId="554B278B">
      <w:pPr>
        <w:pStyle w:val="style0"/>
        <w:spacing w:before="120" w:after="120" w:lineRule="auto" w:line="360"/>
        <w:jc w:val="both"/>
        <w:rPr>
          <w:rFonts w:ascii="Times New Roman" w:cs="Times New Roman" w:hAnsi="Times New Roman"/>
          <w:sz w:val="24"/>
          <w:szCs w:val="24"/>
        </w:rPr>
      </w:pPr>
      <w:r>
        <w:rPr>
          <w:rFonts w:ascii="Times New Roman" w:cs="Times New Roman" w:hAnsi="Times New Roman"/>
          <w:b/>
          <w:sz w:val="24"/>
          <w:szCs w:val="24"/>
        </w:rPr>
        <w:t xml:space="preserve"> </w:t>
      </w:r>
    </w:p>
    <w:p w14:paraId="3F38DC43">
      <w:pPr>
        <w:pStyle w:val="style0"/>
        <w:spacing w:before="120" w:after="120" w:lineRule="auto" w:line="360"/>
        <w:jc w:val="both"/>
        <w:rPr>
          <w:rFonts w:ascii="Times New Roman" w:cs="Times New Roman" w:hAnsi="Times New Roman"/>
          <w:b/>
          <w:sz w:val="24"/>
          <w:szCs w:val="24"/>
        </w:rPr>
      </w:pPr>
      <w:r>
        <w:rPr>
          <w:rFonts w:ascii="Times New Roman" w:cs="Times New Roman" w:hAnsi="Times New Roman"/>
          <w:b/>
          <w:sz w:val="24"/>
          <w:szCs w:val="24"/>
        </w:rPr>
        <w:t>Table</w:t>
      </w:r>
      <w:r>
        <w:rPr>
          <w:rFonts w:ascii="Times New Roman" w:cs="Times New Roman" w:hAnsi="Times New Roman"/>
          <w:b/>
          <w:sz w:val="24"/>
          <w:szCs w:val="24"/>
        </w:rPr>
        <w:t xml:space="preserve"> 2</w:t>
      </w:r>
      <w:r>
        <w:rPr>
          <w:rFonts w:ascii="Times New Roman" w:cs="Times New Roman" w:hAnsi="Times New Roman"/>
          <w:b/>
          <w:sz w:val="24"/>
          <w:szCs w:val="24"/>
        </w:rPr>
        <w:t>: Comparison of SCC between Farm and Field Conditions in Goats</w:t>
      </w:r>
    </w:p>
    <w:tbl>
      <w:tblPr>
        <w:tblStyle w:val="style154"/>
        <w:tblpPr w:leftFromText="180" w:rightFromText="180" w:topFromText="0" w:bottomFromText="0" w:vertAnchor="text" w:tblpXSpec="left" w:tblpY="377"/>
        <w:tblW w:w="9577" w:type="dxa"/>
        <w:tblLook w:val="04A0" w:firstRow="1" w:lastRow="0" w:firstColumn="1" w:lastColumn="0" w:noHBand="0" w:noVBand="1"/>
      </w:tblPr>
      <w:tblGrid>
        <w:gridCol w:w="1484"/>
        <w:gridCol w:w="1234"/>
        <w:gridCol w:w="1234"/>
        <w:gridCol w:w="1234"/>
        <w:gridCol w:w="1234"/>
        <w:gridCol w:w="1234"/>
        <w:gridCol w:w="1923"/>
      </w:tblGrid>
      <w:tr w14:paraId="5B056504">
        <w:trPr/>
        <w:tc>
          <w:tcPr>
            <w:tcW w:w="1484" w:type="dxa"/>
            <w:tcBorders/>
            <w:vAlign w:val="center"/>
          </w:tcPr>
          <w:p w14:paraId="0366BBE1">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Parameter</w:t>
            </w:r>
          </w:p>
        </w:tc>
        <w:tc>
          <w:tcPr>
            <w:tcW w:w="1234" w:type="dxa"/>
            <w:tcBorders/>
            <w:vAlign w:val="center"/>
          </w:tcPr>
          <w:p w14:paraId="1742496F">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Farm condition</w:t>
            </w:r>
            <w:r>
              <w:rPr>
                <w:rFonts w:ascii="Times New Roman" w:cs="Times New Roman" w:hAnsi="Times New Roman"/>
                <w:b/>
                <w:sz w:val="24"/>
                <w:szCs w:val="24"/>
              </w:rPr>
              <w:br/>
            </w:r>
            <w:r>
              <w:rPr>
                <w:rFonts w:ascii="Times New Roman" w:cs="Times New Roman" w:hAnsi="Times New Roman"/>
                <w:b/>
                <w:sz w:val="24"/>
                <w:szCs w:val="24"/>
              </w:rPr>
              <w:t>(n=56)</w:t>
            </w:r>
          </w:p>
        </w:tc>
        <w:tc>
          <w:tcPr>
            <w:tcW w:w="1234" w:type="dxa"/>
            <w:tcBorders/>
            <w:vAlign w:val="center"/>
          </w:tcPr>
          <w:p w14:paraId="6507DE9F">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Field condition</w:t>
            </w:r>
            <w:r>
              <w:rPr>
                <w:rFonts w:ascii="Times New Roman" w:cs="Times New Roman" w:hAnsi="Times New Roman"/>
                <w:b/>
                <w:sz w:val="24"/>
                <w:szCs w:val="24"/>
              </w:rPr>
              <w:br/>
            </w:r>
            <w:r>
              <w:rPr>
                <w:rFonts w:ascii="Times New Roman" w:cs="Times New Roman" w:hAnsi="Times New Roman"/>
                <w:b/>
                <w:sz w:val="24"/>
                <w:szCs w:val="24"/>
              </w:rPr>
              <w:t>(n=56)</w:t>
            </w:r>
          </w:p>
        </w:tc>
        <w:tc>
          <w:tcPr>
            <w:tcW w:w="1234" w:type="dxa"/>
            <w:tcBorders/>
            <w:vAlign w:val="center"/>
          </w:tcPr>
          <w:p w14:paraId="79F4558C">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t-value</w:t>
            </w:r>
          </w:p>
        </w:tc>
        <w:tc>
          <w:tcPr>
            <w:tcW w:w="1234" w:type="dxa"/>
            <w:tcBorders/>
            <w:vAlign w:val="center"/>
          </w:tcPr>
          <w:p w14:paraId="2D82C942">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df</w:t>
            </w:r>
          </w:p>
        </w:tc>
        <w:tc>
          <w:tcPr>
            <w:tcW w:w="1234" w:type="dxa"/>
            <w:tcBorders/>
            <w:vAlign w:val="center"/>
          </w:tcPr>
          <w:p w14:paraId="0D6FA3F3">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P-value</w:t>
            </w:r>
          </w:p>
        </w:tc>
        <w:tc>
          <w:tcPr>
            <w:tcW w:w="1923" w:type="dxa"/>
            <w:tcBorders/>
            <w:vAlign w:val="center"/>
          </w:tcPr>
          <w:p w14:paraId="0EF152E2">
            <w:pPr>
              <w:pStyle w:val="style0"/>
              <w:spacing w:lineRule="auto" w:line="360"/>
              <w:jc w:val="both"/>
              <w:rPr>
                <w:rFonts w:ascii="Times New Roman" w:cs="Times New Roman" w:hAnsi="Times New Roman"/>
                <w:sz w:val="24"/>
                <w:szCs w:val="24"/>
              </w:rPr>
            </w:pPr>
            <w:r>
              <w:rPr>
                <w:rFonts w:ascii="Times New Roman" w:cs="Times New Roman" w:hAnsi="Times New Roman"/>
                <w:b/>
                <w:sz w:val="24"/>
                <w:szCs w:val="24"/>
              </w:rPr>
              <w:t>Significance</w:t>
            </w:r>
          </w:p>
        </w:tc>
      </w:tr>
      <w:tr w14:paraId="288AE3B3">
        <w:tblPrEx/>
        <w:trPr/>
        <w:tc>
          <w:tcPr>
            <w:tcW w:w="1484" w:type="dxa"/>
            <w:tcBorders/>
            <w:vAlign w:val="center"/>
          </w:tcPr>
          <w:p w14:paraId="79013E24">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SCC (×10</w:t>
            </w:r>
            <w:r>
              <w:rPr>
                <w:rFonts w:ascii="Times New Roman" w:cs="Times New Roman"/>
                <w:sz w:val="24"/>
                <w:szCs w:val="24"/>
              </w:rPr>
              <w:t>⁵</w:t>
            </w:r>
            <w:r>
              <w:rPr>
                <w:rFonts w:ascii="Times New Roman" w:cs="Times New Roman" w:hAnsi="Times New Roman"/>
                <w:sz w:val="24"/>
                <w:szCs w:val="24"/>
              </w:rPr>
              <w:t xml:space="preserve"> cells/mL)</w:t>
            </w:r>
          </w:p>
        </w:tc>
        <w:tc>
          <w:tcPr>
            <w:tcW w:w="1234" w:type="dxa"/>
            <w:tcBorders/>
            <w:vAlign w:val="center"/>
          </w:tcPr>
          <w:p w14:paraId="3FB9D64D">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4.62 ± 0.05</w:t>
            </w:r>
          </w:p>
        </w:tc>
        <w:tc>
          <w:tcPr>
            <w:tcW w:w="1234" w:type="dxa"/>
            <w:tcBorders/>
            <w:vAlign w:val="center"/>
          </w:tcPr>
          <w:p w14:paraId="575F1F1D">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4.27 ± 0.02</w:t>
            </w:r>
          </w:p>
        </w:tc>
        <w:tc>
          <w:tcPr>
            <w:tcW w:w="1234" w:type="dxa"/>
            <w:tcBorders/>
            <w:vAlign w:val="center"/>
          </w:tcPr>
          <w:p w14:paraId="77397EE3">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6.499</w:t>
            </w:r>
          </w:p>
        </w:tc>
        <w:tc>
          <w:tcPr>
            <w:tcW w:w="1234" w:type="dxa"/>
            <w:tcBorders/>
            <w:vAlign w:val="center"/>
          </w:tcPr>
          <w:p w14:paraId="73C5C51F">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110</w:t>
            </w:r>
          </w:p>
        </w:tc>
        <w:tc>
          <w:tcPr>
            <w:tcW w:w="1234" w:type="dxa"/>
            <w:tcBorders/>
            <w:vAlign w:val="center"/>
          </w:tcPr>
          <w:p w14:paraId="05281D71">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&lt;0.001</w:t>
            </w:r>
          </w:p>
        </w:tc>
        <w:tc>
          <w:tcPr>
            <w:tcW w:w="1923" w:type="dxa"/>
            <w:tcBorders/>
            <w:vAlign w:val="center"/>
          </w:tcPr>
          <w:p w14:paraId="6EFE302B">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Significant</w:t>
            </w:r>
          </w:p>
        </w:tc>
      </w:tr>
    </w:tbl>
    <w:p w14:paraId="78AD51F0">
      <w:pPr>
        <w:pStyle w:val="style0"/>
        <w:spacing w:lineRule="auto" w:line="360"/>
        <w:jc w:val="both"/>
        <w:rPr>
          <w:rFonts w:ascii="Times New Roman" w:cs="Times New Roman" w:hAnsi="Times New Roman"/>
          <w:sz w:val="24"/>
          <w:szCs w:val="24"/>
        </w:rPr>
      </w:pPr>
    </w:p>
    <w:p w14:paraId="3603C2BA">
      <w:pPr>
        <w:pStyle w:val="style0"/>
        <w:spacing w:lineRule="auto" w:line="360"/>
        <w:jc w:val="both"/>
        <w:rPr>
          <w:rFonts w:ascii="Times New Roman" w:cs="Times New Roman" w:hAnsi="Times New Roman"/>
          <w:b/>
          <w:color w:val="000000"/>
          <w:sz w:val="24"/>
          <w:szCs w:val="24"/>
        </w:rPr>
      </w:pPr>
    </w:p>
    <w:p w14:paraId="2C2D58ED">
      <w:pPr>
        <w:pStyle w:val="style0"/>
        <w:spacing w:after="0" w:lineRule="auto" w:line="360"/>
        <w:jc w:val="both"/>
        <w:rPr>
          <w:rFonts w:ascii="Times New Roman" w:cs="Times New Roman" w:hAnsi="Times New Roman"/>
          <w:b/>
          <w:color w:val="000000"/>
          <w:sz w:val="24"/>
          <w:szCs w:val="24"/>
        </w:rPr>
      </w:pPr>
    </w:p>
    <w:p w14:paraId="62B955EF">
      <w:pPr>
        <w:pStyle w:val="style94"/>
        <w:spacing w:after="0" w:afterAutospacing="false" w:lineRule="auto" w:line="360"/>
        <w:jc w:val="both"/>
        <w:rPr/>
      </w:pPr>
      <w:r>
        <w:t xml:space="preserve">The findings of this study provide critical insights into how managemental housing frameworks and milking hygiene practices shape somatic cell counts (SCC) and udder health dynamics in dairy goats. In field conditions, a surprisingly high level of adherence to fundamental sanitation routines was documented: </w:t>
      </w:r>
      <w:r>
        <w:rPr>
          <w:rStyle w:val="style4099"/>
        </w:rPr>
        <w:t>100.00%</w:t>
      </w:r>
      <w:r>
        <w:t xml:space="preserve"> of respondents washed milk collection utensils prior to use, and </w:t>
      </w:r>
      <w:r>
        <w:rPr>
          <w:rStyle w:val="style4099"/>
        </w:rPr>
        <w:t>96.42%</w:t>
      </w:r>
      <w:r>
        <w:t xml:space="preserve"> performed pre-milking </w:t>
      </w:r>
      <w:r>
        <w:t>udder washing</w:t>
      </w:r>
      <w:r>
        <w:t xml:space="preserve">. Pre-milking udder washing and utensil decontamination are widely recognized as primary preventative measures that reduce teat skin </w:t>
      </w:r>
      <w:r>
        <w:t xml:space="preserve">microbial loads, suppress bio-film formation on milking equipment, and block teat canal colonization (Paape </w:t>
      </w:r>
      <w:r>
        <w:rPr>
          <w:i/>
          <w:iCs/>
        </w:rPr>
        <w:t>et al</w:t>
      </w:r>
      <w:r>
        <w:t xml:space="preserve">., 2001; Contreras </w:t>
      </w:r>
      <w:r>
        <w:rPr>
          <w:i/>
          <w:iCs/>
        </w:rPr>
        <w:t>et al</w:t>
      </w:r>
      <w:r>
        <w:t xml:space="preserve">., 2007; McDougall </w:t>
      </w:r>
      <w:r>
        <w:rPr>
          <w:i/>
          <w:iCs/>
        </w:rPr>
        <w:t>et al</w:t>
      </w:r>
      <w:r>
        <w:t xml:space="preserve">., 2010; Salaberry </w:t>
      </w:r>
      <w:r>
        <w:rPr>
          <w:i/>
          <w:iCs/>
        </w:rPr>
        <w:t>et al</w:t>
      </w:r>
      <w:r>
        <w:t xml:space="preserve">., 2015; Gargano </w:t>
      </w:r>
      <w:r>
        <w:rPr>
          <w:i/>
          <w:iCs/>
        </w:rPr>
        <w:t>et al</w:t>
      </w:r>
      <w:r>
        <w:t xml:space="preserve">., 2020). By effectively stripping away environmental soil, dried manure, and transient skin flora before cup attachment or hand milking, these hygiene practices substantially lower the risk of ascending intramammary infections and prevent cross-contamination across animals (Contreras </w:t>
      </w:r>
      <w:r>
        <w:rPr>
          <w:i/>
          <w:iCs/>
        </w:rPr>
        <w:t>et al</w:t>
      </w:r>
      <w:r>
        <w:t xml:space="preserve">., 2007; Abed </w:t>
      </w:r>
      <w:r>
        <w:rPr>
          <w:i/>
          <w:iCs/>
        </w:rPr>
        <w:t>et al</w:t>
      </w:r>
      <w:r>
        <w:t xml:space="preserve">., 2021; </w:t>
      </w:r>
      <w:r>
        <w:t>Pazzola</w:t>
      </w:r>
      <w:r>
        <w:t xml:space="preserve"> </w:t>
      </w:r>
      <w:r>
        <w:rPr>
          <w:i/>
          <w:iCs/>
        </w:rPr>
        <w:t>et al</w:t>
      </w:r>
      <w:r>
        <w:t xml:space="preserve">., 2022; </w:t>
      </w:r>
      <w:r>
        <w:t>Taponen</w:t>
      </w:r>
      <w:r>
        <w:t xml:space="preserve"> </w:t>
      </w:r>
      <w:r>
        <w:rPr>
          <w:i/>
          <w:iCs/>
        </w:rPr>
        <w:t>et al</w:t>
      </w:r>
      <w:r>
        <w:t xml:space="preserve">., 2023). </w:t>
      </w:r>
    </w:p>
    <w:p w14:paraId="7B22A9DB">
      <w:pPr>
        <w:pStyle w:val="style94"/>
        <w:spacing w:lineRule="auto" w:line="360"/>
        <w:jc w:val="both"/>
        <w:rPr/>
      </w:pPr>
      <w:r>
        <w:t>Despite strong adherence to udder and utensil cleaning, significant deficiencies in handler hygiene and housing infrastructure were identified across field setups. More than half of field milkers (</w:t>
      </w:r>
      <w:r>
        <w:rPr>
          <w:rStyle w:val="style4099"/>
        </w:rPr>
        <w:t>55.35%</w:t>
      </w:r>
      <w:r>
        <w:t xml:space="preserve">) wore dusty, unwashed, or old clothing during milking, even though handwashing was performed. Furthermore, </w:t>
      </w:r>
      <w:r>
        <w:rPr>
          <w:rStyle w:val="style4099"/>
        </w:rPr>
        <w:t>89.28%</w:t>
      </w:r>
      <w:r>
        <w:t xml:space="preserve"> of field facilities completely lacked functional shed drainage systems for urine and dung disposal. Soiled clothing, inadequate milker hygiene, and unmanaged excretory accumulation create persistent environmental reservoirs for major environmental and contagious mastitis pathogens, including </w:t>
      </w:r>
      <w:r>
        <w:rPr>
          <w:i/>
          <w:iCs/>
        </w:rPr>
        <w:t>Staphylococcus aureus</w:t>
      </w:r>
      <w:r>
        <w:t xml:space="preserve">, </w:t>
      </w:r>
      <w:r>
        <w:rPr>
          <w:i/>
          <w:iCs/>
        </w:rPr>
        <w:t xml:space="preserve">Streptococcus </w:t>
      </w:r>
      <w:r>
        <w:rPr>
          <w:i/>
          <w:iCs/>
        </w:rPr>
        <w:t>uberis</w:t>
      </w:r>
      <w:r>
        <w:t xml:space="preserve">, </w:t>
      </w:r>
      <w:r>
        <w:rPr>
          <w:i/>
          <w:iCs/>
        </w:rPr>
        <w:t>Pseudomonas</w:t>
      </w:r>
      <w:r>
        <w:t xml:space="preserve"> spp., </w:t>
      </w:r>
      <w:r>
        <w:rPr>
          <w:i/>
          <w:iCs/>
        </w:rPr>
        <w:t>Klebsiella</w:t>
      </w:r>
      <w:r>
        <w:t xml:space="preserve"> spp., and </w:t>
      </w:r>
      <w:r>
        <w:rPr>
          <w:i/>
          <w:iCs/>
        </w:rPr>
        <w:t>Escherichia coli</w:t>
      </w:r>
      <w:r>
        <w:t xml:space="preserve"> (</w:t>
      </w:r>
      <w:r>
        <w:t>Bergonier</w:t>
      </w:r>
      <w:r>
        <w:t xml:space="preserve"> </w:t>
      </w:r>
      <w:r>
        <w:rPr>
          <w:i/>
          <w:iCs/>
        </w:rPr>
        <w:t>et al</w:t>
      </w:r>
      <w:r>
        <w:t xml:space="preserve">., 2003; Virdis </w:t>
      </w:r>
      <w:r>
        <w:rPr>
          <w:i/>
          <w:iCs/>
        </w:rPr>
        <w:t>et al</w:t>
      </w:r>
      <w:r>
        <w:t xml:space="preserve">., 2010; Abed </w:t>
      </w:r>
      <w:r>
        <w:rPr>
          <w:i/>
          <w:iCs/>
        </w:rPr>
        <w:t>et al</w:t>
      </w:r>
      <w:r>
        <w:t xml:space="preserve">., 2021; </w:t>
      </w:r>
      <w:r>
        <w:t>Curone</w:t>
      </w:r>
      <w:r>
        <w:t xml:space="preserve"> </w:t>
      </w:r>
      <w:r>
        <w:rPr>
          <w:i/>
          <w:iCs/>
        </w:rPr>
        <w:t>et al</w:t>
      </w:r>
      <w:r>
        <w:t xml:space="preserve">., 2023; Silva </w:t>
      </w:r>
      <w:r>
        <w:rPr>
          <w:i/>
          <w:iCs/>
        </w:rPr>
        <w:t>et al</w:t>
      </w:r>
      <w:r>
        <w:t>., 2024). During milking, contaminated clothing, airborne dust, and un-drained floor slush can readily transfer bacteria to the milker's hands, teat ends, or milking pails, neutralizing part of the benefits achieved by washing udders and utensils (</w:t>
      </w:r>
      <w:r>
        <w:t>Bergonier</w:t>
      </w:r>
      <w:r>
        <w:t xml:space="preserve"> et al., 2003; Zigo et al., 2021; </w:t>
      </w:r>
      <w:r>
        <w:t>Marogna</w:t>
      </w:r>
      <w:r>
        <w:t xml:space="preserve"> et al., 2022). </w:t>
      </w:r>
    </w:p>
    <w:p w14:paraId="7BDB364F">
      <w:pPr>
        <w:pStyle w:val="style94"/>
        <w:spacing w:lineRule="auto" w:line="360"/>
        <w:jc w:val="both"/>
        <w:rPr/>
      </w:pPr>
      <w:r>
        <w:t xml:space="preserve">Despite these infrastructural limitations, field-reared goats exhibited significantly lower mean SCC levels 4.27 ± </w:t>
      </w:r>
      <w:r>
        <w:t>0.02</w:t>
      </w:r>
      <w:r>
        <w:rPr>
          <w:rStyle w:val="style4099"/>
        </w:rPr>
        <w:t xml:space="preserve"> </w:t>
      </w:r>
      <w:r>
        <w:rPr>
          <w:rStyle w:val="style4099"/>
        </w:rPr>
        <w:t xml:space="preserve"> </w:t>
      </w:r>
      <w:r>
        <w:rPr>
          <w:rStyle w:val="style4099"/>
        </w:rPr>
        <w:t>lakhs</w:t>
      </w:r>
      <w:r>
        <w:rPr>
          <w:rStyle w:val="style4099"/>
        </w:rPr>
        <w:t xml:space="preserve"> cells/mL</w:t>
      </w:r>
      <w:r>
        <w:t xml:space="preserve"> than farm-reared goats 4.62 ± 0.05</w:t>
      </w:r>
      <w:r>
        <w:rPr>
          <w:rStyle w:val="style4099"/>
        </w:rPr>
        <w:t xml:space="preserve"> </w:t>
      </w:r>
      <w:r>
        <w:rPr>
          <w:rStyle w:val="style4099"/>
        </w:rPr>
        <w:t>lakhs cells/mL</w:t>
      </w:r>
      <w:r>
        <w:t xml:space="preserve"> </w:t>
      </w:r>
      <w:r>
        <w:t>(</w:t>
      </w:r>
      <w:r>
        <w:rPr>
          <w:rStyle w:val="style4099"/>
        </w:rPr>
        <w:t>t = 6.499</w:t>
      </w:r>
      <w:r>
        <w:t xml:space="preserve">, </w:t>
      </w:r>
      <w:r>
        <w:rPr>
          <w:rStyle w:val="style4099"/>
        </w:rPr>
        <w:t>df</w:t>
      </w:r>
      <w:r>
        <w:rPr>
          <w:rStyle w:val="style4099"/>
        </w:rPr>
        <w:t xml:space="preserve"> = 110</w:t>
      </w:r>
      <w:r>
        <w:t xml:space="preserve">, </w:t>
      </w:r>
      <w:r>
        <w:rPr>
          <w:rStyle w:val="style4099"/>
        </w:rPr>
        <w:t>P &lt; 0.001</w:t>
      </w:r>
      <w:r>
        <w:t>). This marked physiological variance is primarily driven by the fundamental nutritional, behavioral, and environmental differences between extensive free-grazing field systems and semi-intensive farm housing. Goats under field management are allowed to graze freely across open pastures and browse diverse natural vegetation. Open grazing encourages continuous physical movement, reduces social overcrowding, and lowers environmental pathogen build-up, all of which directly support immune homeostasis and neutrophil functionality (</w:t>
      </w:r>
      <w:r>
        <w:t>Silanikove</w:t>
      </w:r>
      <w:r>
        <w:t xml:space="preserve">, 2000; Zobel </w:t>
      </w:r>
      <w:r>
        <w:rPr>
          <w:i/>
          <w:iCs/>
        </w:rPr>
        <w:t>et al</w:t>
      </w:r>
      <w:r>
        <w:t xml:space="preserve">., 2020; </w:t>
      </w:r>
      <w:r>
        <w:t>Albenzio</w:t>
      </w:r>
      <w:r>
        <w:t xml:space="preserve"> </w:t>
      </w:r>
      <w:r>
        <w:rPr>
          <w:i/>
          <w:iCs/>
        </w:rPr>
        <w:t>et al</w:t>
      </w:r>
      <w:r>
        <w:t xml:space="preserve">., 2022). Additionally, foraging on diverse wild shrubs and herbs exposes goats to secondary plant metabolites and bioactive phytochemicals (e.g., polyphenols, tannins, essential oils, and flavonoids) that possess </w:t>
      </w:r>
      <w:r>
        <w:t xml:space="preserve">natural antimicrobial, antioxidant, and immunostimulatory properties (Hoste </w:t>
      </w:r>
      <w:r>
        <w:rPr>
          <w:i/>
          <w:iCs/>
        </w:rPr>
        <w:t>et al</w:t>
      </w:r>
      <w:r>
        <w:t xml:space="preserve">., 2008; Angles-Hernandez </w:t>
      </w:r>
      <w:r>
        <w:rPr>
          <w:i/>
          <w:iCs/>
        </w:rPr>
        <w:t>et al</w:t>
      </w:r>
      <w:r>
        <w:t xml:space="preserve">., 2020; Mavrommatis </w:t>
      </w:r>
      <w:r>
        <w:rPr>
          <w:i/>
          <w:iCs/>
        </w:rPr>
        <w:t>et al</w:t>
      </w:r>
      <w:r>
        <w:t xml:space="preserve">., 2021; </w:t>
      </w:r>
      <w:r>
        <w:t>Kholif</w:t>
      </w:r>
      <w:r>
        <w:t xml:space="preserve"> </w:t>
      </w:r>
      <w:r>
        <w:rPr>
          <w:i/>
          <w:iCs/>
        </w:rPr>
        <w:t>et al.</w:t>
      </w:r>
      <w:r>
        <w:t xml:space="preserve">, 2023). </w:t>
      </w:r>
    </w:p>
    <w:p w14:paraId="23BF695D">
      <w:pPr>
        <w:pStyle w:val="style94"/>
        <w:spacing w:lineRule="auto" w:line="360"/>
        <w:jc w:val="both"/>
        <w:rPr/>
      </w:pPr>
      <w:r>
        <w:t xml:space="preserve">Conversely, the elevated SCC recorded in semi-intensive farm goats </w:t>
      </w:r>
      <w:r>
        <w:t>4.62 ± 0.05</w:t>
      </w:r>
      <w:r>
        <w:rPr>
          <w:rStyle w:val="style4099"/>
        </w:rPr>
        <w:t xml:space="preserve"> lakhs cells/mL</w:t>
      </w:r>
      <w:r>
        <w:t xml:space="preserve"> </w:t>
      </w:r>
      <w:r>
        <w:t xml:space="preserve">illustrates the physiological strain associated with confined housing setups. Semi-intensive farm systems house goats at higher stocking densities and rely on stall-feeding within enclosed sheds. Enclosed confinement, coupled with deep bedding or continuous indoor manure accumulation, creates humid microclimates that foster rapid bacterial proliferation and increase environmental pathogen pressure (Ruiz </w:t>
      </w:r>
      <w:r>
        <w:rPr>
          <w:i/>
          <w:iCs/>
        </w:rPr>
        <w:t>et al</w:t>
      </w:r>
      <w:r>
        <w:t xml:space="preserve">., 2000; Moroni </w:t>
      </w:r>
      <w:r>
        <w:rPr>
          <w:i/>
          <w:iCs/>
        </w:rPr>
        <w:t>et al</w:t>
      </w:r>
      <w:r>
        <w:t xml:space="preserve">., 2005; </w:t>
      </w:r>
      <w:r>
        <w:t>Lollivier</w:t>
      </w:r>
      <w:r>
        <w:t xml:space="preserve"> </w:t>
      </w:r>
      <w:r>
        <w:rPr>
          <w:i/>
          <w:iCs/>
        </w:rPr>
        <w:t>et al</w:t>
      </w:r>
      <w:r>
        <w:t xml:space="preserve">., 2021; Lora </w:t>
      </w:r>
      <w:r>
        <w:rPr>
          <w:i/>
          <w:iCs/>
        </w:rPr>
        <w:t>et al</w:t>
      </w:r>
      <w:r>
        <w:t xml:space="preserve">., 2023). Even when routine shed cleaning is attempted, high housing density accelerates teat contact with bedding materials contaminated by fecal and environmental microorganisms (Moroni </w:t>
      </w:r>
      <w:r>
        <w:rPr>
          <w:i/>
          <w:iCs/>
        </w:rPr>
        <w:t>et al</w:t>
      </w:r>
      <w:r>
        <w:t xml:space="preserve">., 2005; Abed </w:t>
      </w:r>
      <w:r>
        <w:rPr>
          <w:i/>
          <w:iCs/>
        </w:rPr>
        <w:t>et al</w:t>
      </w:r>
      <w:r>
        <w:t xml:space="preserve">., 2021; Romero </w:t>
      </w:r>
      <w:r>
        <w:rPr>
          <w:i/>
          <w:iCs/>
        </w:rPr>
        <w:t>et al</w:t>
      </w:r>
      <w:r>
        <w:t xml:space="preserve">., 2022; Vasquez </w:t>
      </w:r>
      <w:r>
        <w:rPr>
          <w:i/>
          <w:iCs/>
        </w:rPr>
        <w:t>et al</w:t>
      </w:r>
      <w:r>
        <w:t>., 2024). Furthermore, restricted physical movement and confinement-induced stress can elevate systemic glucocorticoids (cortisol), subtly suppressing localized udder immunity and increasing baseline physiological cell shedding into milk (Raynal-</w:t>
      </w:r>
      <w:r>
        <w:t>Ljutovac</w:t>
      </w:r>
      <w:r>
        <w:t xml:space="preserve"> </w:t>
      </w:r>
      <w:r>
        <w:rPr>
          <w:i/>
          <w:iCs/>
        </w:rPr>
        <w:t>et al</w:t>
      </w:r>
      <w:r>
        <w:t xml:space="preserve">., 2007; Akbulut </w:t>
      </w:r>
      <w:r>
        <w:rPr>
          <w:i/>
          <w:iCs/>
        </w:rPr>
        <w:t>et al</w:t>
      </w:r>
      <w:r>
        <w:t xml:space="preserve">., 2021; Casey </w:t>
      </w:r>
      <w:r>
        <w:rPr>
          <w:i/>
          <w:iCs/>
        </w:rPr>
        <w:t>et al</w:t>
      </w:r>
      <w:r>
        <w:t xml:space="preserve">., 2023; </w:t>
      </w:r>
      <w:r>
        <w:t>Caroprese</w:t>
      </w:r>
      <w:r>
        <w:t xml:space="preserve"> </w:t>
      </w:r>
      <w:r>
        <w:rPr>
          <w:i/>
          <w:iCs/>
        </w:rPr>
        <w:t>et al</w:t>
      </w:r>
      <w:r>
        <w:t xml:space="preserve">., 2024). </w:t>
      </w:r>
    </w:p>
    <w:p w14:paraId="0139E796">
      <w:pPr>
        <w:pStyle w:val="style94"/>
        <w:spacing w:lineRule="auto" w:line="360"/>
        <w:jc w:val="both"/>
        <w:rPr/>
      </w:pPr>
      <w:r>
        <w:t xml:space="preserve">Taken together, these results demonstrate that while open grazing and rigorous pre-milking utensil and udder hygiene allow field farmers to maintain lower baseline SCC levels, the field production model is not without vulnerabilities. Targeted extension programs focusing on personal milker hygiene—such as wearing clean protective aprons or specialized milking attire—alongside simple shed drainage improvements could eliminate remaining bacterial reservoirs (Contreras </w:t>
      </w:r>
      <w:r>
        <w:rPr>
          <w:i/>
          <w:iCs/>
        </w:rPr>
        <w:t>et al</w:t>
      </w:r>
      <w:r>
        <w:t xml:space="preserve">., 2007; Zigo </w:t>
      </w:r>
      <w:r>
        <w:rPr>
          <w:i/>
          <w:iCs/>
        </w:rPr>
        <w:t>et al</w:t>
      </w:r>
      <w:r>
        <w:t xml:space="preserve">., 2021; </w:t>
      </w:r>
      <w:r>
        <w:t>Curone</w:t>
      </w:r>
      <w:r>
        <w:t xml:space="preserve"> </w:t>
      </w:r>
      <w:r>
        <w:rPr>
          <w:i/>
          <w:iCs/>
        </w:rPr>
        <w:t>et al</w:t>
      </w:r>
      <w:r>
        <w:t xml:space="preserve">., 2023; Santos </w:t>
      </w:r>
      <w:r>
        <w:rPr>
          <w:i/>
          <w:iCs/>
        </w:rPr>
        <w:t>et al</w:t>
      </w:r>
      <w:r>
        <w:t xml:space="preserve">., 2024). Implementing these low-cost infrastructural and behavioral adjustments will safeguard caprine udder health, prevent subclinical mastitis, and enhance raw milk quality in smallholder dairy ecosystems. </w:t>
      </w:r>
    </w:p>
    <w:p w14:paraId="25760DF5">
      <w:pPr>
        <w:pStyle w:val="style0"/>
        <w:spacing w:lineRule="auto" w:line="360"/>
        <w:jc w:val="both"/>
        <w:rPr>
          <w:rFonts w:ascii="Times New Roman" w:cs="Times New Roman" w:hAnsi="Times New Roman"/>
          <w:b/>
          <w:bCs/>
          <w:color w:val="000000"/>
          <w:sz w:val="24"/>
          <w:szCs w:val="24"/>
        </w:rPr>
      </w:pPr>
      <w:r>
        <w:rPr>
          <w:rFonts w:ascii="Times New Roman" w:cs="Times New Roman" w:hAnsi="Times New Roman"/>
          <w:b/>
          <w:bCs/>
          <w:color w:val="000000"/>
          <w:sz w:val="24"/>
          <w:szCs w:val="24"/>
        </w:rPr>
        <w:t xml:space="preserve">5.  </w:t>
      </w:r>
      <w:r>
        <w:rPr>
          <w:rFonts w:ascii="Times New Roman" w:cs="Times New Roman" w:hAnsi="Times New Roman"/>
          <w:b/>
          <w:bCs/>
          <w:color w:val="000000"/>
          <w:sz w:val="24"/>
          <w:szCs w:val="24"/>
        </w:rPr>
        <w:t xml:space="preserve">Conclusion </w:t>
      </w:r>
    </w:p>
    <w:p w14:paraId="3D0226C7">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his study demonstrates that management systems and milking hygiene practices significantly influence somatic cell count (SCC) and udder health status in goats. Goats managed under free-grazing field conditions exhibited significantly lower SCC 4.27 ± </w:t>
      </w:r>
      <w:r>
        <w:rPr>
          <w:rFonts w:ascii="Times New Roman" w:cs="Times New Roman" w:hAnsi="Times New Roman"/>
          <w:sz w:val="24"/>
          <w:szCs w:val="24"/>
        </w:rPr>
        <w:t>0.02</w:t>
      </w:r>
      <w:r>
        <w:rPr>
          <w:rStyle w:val="style4099"/>
          <w:rFonts w:ascii="Times New Roman" w:cs="Times New Roman" w:hAnsi="Times New Roman"/>
          <w:sz w:val="24"/>
          <w:szCs w:val="24"/>
        </w:rPr>
        <w:t xml:space="preserve">  lakhs</w:t>
      </w:r>
      <w:r>
        <w:rPr>
          <w:rStyle w:val="style4099"/>
          <w:rFonts w:ascii="Times New Roman" w:cs="Times New Roman" w:hAnsi="Times New Roman"/>
          <w:sz w:val="24"/>
          <w:szCs w:val="24"/>
        </w:rPr>
        <w:t xml:space="preserve"> cells/mL</w:t>
      </w:r>
      <w:r>
        <w:rPr>
          <w:rFonts w:ascii="Times New Roman" w:cs="Times New Roman" w:hAnsi="Times New Roman"/>
          <w:sz w:val="24"/>
          <w:szCs w:val="24"/>
        </w:rPr>
        <w:t xml:space="preserve"> compared to those housed in semi-intensive farm systems 4.62 ± 0.05</w:t>
      </w:r>
      <w:r>
        <w:rPr>
          <w:rStyle w:val="style4099"/>
          <w:rFonts w:ascii="Times New Roman" w:cs="Times New Roman" w:hAnsi="Times New Roman"/>
          <w:sz w:val="24"/>
          <w:szCs w:val="24"/>
        </w:rPr>
        <w:t xml:space="preserve"> lakhs cells/mL</w:t>
      </w:r>
      <w:r>
        <w:rPr>
          <w:rFonts w:ascii="Times New Roman" w:cs="Times New Roman" w:hAnsi="Times New Roman"/>
          <w:sz w:val="24"/>
          <w:szCs w:val="24"/>
        </w:rPr>
        <w:t xml:space="preserve"> (</w:t>
      </w:r>
      <w:r>
        <w:rPr>
          <w:rStyle w:val="style4099"/>
          <w:rFonts w:ascii="Times New Roman" w:cs="Times New Roman" w:hAnsi="Times New Roman"/>
          <w:sz w:val="24"/>
          <w:szCs w:val="24"/>
        </w:rPr>
        <w:t>P &lt; 0.001</w:t>
      </w:r>
      <w:r>
        <w:rPr>
          <w:rFonts w:ascii="Times New Roman" w:cs="Times New Roman" w:hAnsi="Times New Roman"/>
          <w:sz w:val="24"/>
          <w:szCs w:val="24"/>
        </w:rPr>
        <w:t xml:space="preserve">). The lower cell counts observed in field settings are primarily attributed to the beneficial effects of free </w:t>
      </w:r>
      <w:r>
        <w:rPr>
          <w:rFonts w:ascii="Times New Roman" w:cs="Times New Roman" w:hAnsi="Times New Roman"/>
          <w:sz w:val="24"/>
          <w:szCs w:val="24"/>
        </w:rPr>
        <w:t>grazing, which enhances physical exercise and natural immunity, combined with high compliance in pre-milking udder washing (</w:t>
      </w:r>
      <w:r>
        <w:rPr>
          <w:rStyle w:val="style4099"/>
          <w:rFonts w:ascii="Times New Roman" w:cs="Times New Roman" w:hAnsi="Times New Roman"/>
          <w:sz w:val="24"/>
          <w:szCs w:val="24"/>
        </w:rPr>
        <w:t>96.42%</w:t>
      </w:r>
      <w:r>
        <w:rPr>
          <w:rFonts w:ascii="Times New Roman" w:cs="Times New Roman" w:hAnsi="Times New Roman"/>
          <w:sz w:val="24"/>
          <w:szCs w:val="24"/>
        </w:rPr>
        <w:t>) and utensil sanitation (</w:t>
      </w:r>
      <w:r>
        <w:rPr>
          <w:rStyle w:val="style4099"/>
          <w:rFonts w:ascii="Times New Roman" w:cs="Times New Roman" w:hAnsi="Times New Roman"/>
          <w:sz w:val="24"/>
          <w:szCs w:val="24"/>
        </w:rPr>
        <w:t>100.00 %</w:t>
      </w:r>
      <w:r>
        <w:rPr>
          <w:rFonts w:ascii="Times New Roman" w:cs="Times New Roman" w:hAnsi="Times New Roman"/>
          <w:sz w:val="24"/>
          <w:szCs w:val="24"/>
        </w:rPr>
        <w:t>). Conversely, semi-intensive farm housing exposes goats to higher stocking densities and confined shed feeding, increasing localized pathogen exposure. Despite the overall lower SCC in field goats, key sanitation bottlenecks were identified, including poor handler attire (</w:t>
      </w:r>
      <w:r>
        <w:rPr>
          <w:rStyle w:val="style4099"/>
          <w:rFonts w:ascii="Times New Roman" w:cs="Times New Roman" w:hAnsi="Times New Roman"/>
          <w:sz w:val="24"/>
          <w:szCs w:val="24"/>
        </w:rPr>
        <w:t>55.35%</w:t>
      </w:r>
      <w:r>
        <w:rPr>
          <w:rFonts w:ascii="Times New Roman" w:cs="Times New Roman" w:hAnsi="Times New Roman"/>
          <w:sz w:val="24"/>
          <w:szCs w:val="24"/>
        </w:rPr>
        <w:t xml:space="preserve"> -unhygienic) and a widespread lack of shed drainage infrastructure (</w:t>
      </w:r>
      <w:r>
        <w:rPr>
          <w:rStyle w:val="style4099"/>
          <w:rFonts w:ascii="Times New Roman" w:cs="Times New Roman" w:hAnsi="Times New Roman"/>
          <w:sz w:val="24"/>
          <w:szCs w:val="24"/>
        </w:rPr>
        <w:t>89.28%</w:t>
      </w:r>
      <w:r>
        <w:rPr>
          <w:rFonts w:ascii="Times New Roman" w:cs="Times New Roman" w:hAnsi="Times New Roman"/>
          <w:sz w:val="24"/>
          <w:szCs w:val="24"/>
        </w:rPr>
        <w:t xml:space="preserve"> -absent). Implementing targeted extension programs focused on personal milker hygiene and proper drainage systems will further eliminate environmental contamination risks, optimizing milk quality and safeguarding udder health across smallholder caprine production systems.</w:t>
      </w:r>
    </w:p>
    <w:p w14:paraId="0C1F52F3">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7</w:t>
      </w:r>
      <w:r>
        <w:rPr>
          <w:rFonts w:ascii="Times New Roman" w:cs="Times New Roman" w:hAnsi="Times New Roman"/>
          <w:sz w:val="24"/>
          <w:szCs w:val="24"/>
        </w:rPr>
        <w:t>.</w:t>
      </w:r>
      <w:r>
        <w:rPr>
          <w:rFonts w:ascii="Times New Roman" w:cs="Times New Roman" w:hAnsi="Times New Roman"/>
          <w:sz w:val="24"/>
          <w:szCs w:val="24"/>
        </w:rPr>
        <w:tab/>
      </w:r>
      <w:r>
        <w:rPr>
          <w:rFonts w:ascii="Times New Roman" w:cs="Times New Roman" w:hAnsi="Times New Roman"/>
          <w:b/>
          <w:bCs/>
          <w:sz w:val="24"/>
          <w:szCs w:val="24"/>
        </w:rPr>
        <w:t>Ethics approval:</w:t>
      </w:r>
    </w:p>
    <w:p w14:paraId="28BDF026">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 Experimental approval for conducting the present investigations was obtained from the Institutional Animal Ethics Committee according to the Committee for Control and Supervision of Experiments on Animals rules, laid down by the Government of India No. 50-IAEC-23-09 dated: 28.11.2023. </w:t>
      </w:r>
    </w:p>
    <w:p w14:paraId="22B9DCC9">
      <w:pPr>
        <w:pStyle w:val="style0"/>
        <w:spacing w:after="0" w:lineRule="auto" w:line="240"/>
        <w:rPr>
          <w:rFonts w:ascii="Arial" w:cs="Arial" w:eastAsia="Calibri" w:hAnsi="Arial"/>
          <w:b/>
          <w:sz w:val="20"/>
          <w:lang w:bidi="ar-SA"/>
        </w:rPr>
      </w:pPr>
      <w:r>
        <w:rPr>
          <w:rFonts w:ascii="Arial" w:cs="Arial" w:eastAsia="Calibri" w:hAnsi="Arial"/>
          <w:b/>
          <w:sz w:val="20"/>
          <w:lang w:bidi="ar-SA"/>
        </w:rPr>
        <w:t>Declaration of AI Use</w:t>
      </w:r>
    </w:p>
    <w:p w14:paraId="4F57D293">
      <w:pPr>
        <w:pStyle w:val="style0"/>
        <w:spacing w:after="0" w:lineRule="auto" w:line="240"/>
        <w:rPr>
          <w:rFonts w:ascii="Arial" w:cs="Arial" w:eastAsia="Calibri" w:hAnsi="Arial"/>
          <w:sz w:val="20"/>
          <w:lang w:bidi="ar-SA"/>
        </w:rPr>
      </w:pPr>
    </w:p>
    <w:p w14:paraId="77363D25">
      <w:pPr>
        <w:pStyle w:val="style0"/>
        <w:spacing w:after="0" w:lineRule="auto" w:line="240"/>
        <w:rPr>
          <w:rFonts w:ascii="Arial" w:cs="Arial" w:eastAsia="Calibri" w:hAnsi="Arial"/>
          <w:sz w:val="20"/>
          <w:lang w:bidi="ar-SA"/>
        </w:rPr>
      </w:pPr>
      <w:r>
        <w:rPr>
          <w:rFonts w:ascii="Arial" w:cs="Arial" w:eastAsia="Calibri" w:hAnsi="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6D4BC49">
      <w:pPr>
        <w:pStyle w:val="style0"/>
        <w:spacing w:after="0" w:lineRule="auto" w:line="240"/>
        <w:jc w:val="both"/>
        <w:rPr>
          <w:rFonts w:ascii="Times New Roman" w:cs="Times New Roman" w:eastAsia="Calibri" w:hAnsi="Times New Roman"/>
          <w:szCs w:val="22"/>
          <w:lang w:bidi="ar-SA"/>
        </w:rPr>
      </w:pPr>
    </w:p>
    <w:p w14:paraId="5A48227F">
      <w:pPr>
        <w:pStyle w:val="style0"/>
        <w:spacing w:after="0" w:lineRule="auto" w:line="240"/>
        <w:jc w:val="both"/>
        <w:rPr>
          <w:rFonts w:ascii="Times New Roman" w:cs="Times New Roman" w:eastAsia="Calibri" w:hAnsi="Times New Roman"/>
          <w:szCs w:val="22"/>
          <w:lang w:bidi="ar-SA"/>
        </w:rPr>
      </w:pPr>
    </w:p>
    <w:p w14:paraId="1C604438">
      <w:pPr>
        <w:pStyle w:val="style0"/>
        <w:rPr>
          <w:rFonts w:ascii="Cambria" w:cs="Arial" w:eastAsia="Times New Roman" w:hAnsi="Cambria"/>
          <w:b/>
          <w:bCs/>
          <w:szCs w:val="22"/>
          <w:lang w:val="en-GB" w:bidi="ar-SA" w:eastAsia="en-GB"/>
        </w:rPr>
      </w:pPr>
      <w:r>
        <w:rPr>
          <w:rFonts w:ascii="Cambria" w:cs="Arial" w:eastAsia="Times New Roman" w:hAnsi="Cambria"/>
          <w:b/>
          <w:bCs/>
          <w:szCs w:val="22"/>
          <w:lang w:val="en-GB" w:bidi="ar-SA" w:eastAsia="en-GB"/>
        </w:rPr>
        <w:t>COMPETING INTERESTS DISCLAIMER:</w:t>
      </w:r>
    </w:p>
    <w:p w14:paraId="3425E944">
      <w:pPr>
        <w:pStyle w:val="style0"/>
        <w:rPr>
          <w:rFonts w:ascii="Cambria" w:cs="Times New Roman" w:eastAsia="Times New Roman" w:hAnsi="Cambria"/>
          <w:szCs w:val="22"/>
          <w:lang w:val="en-GB" w:bidi="ar-SA" w:eastAsia="en-GB"/>
        </w:rPr>
      </w:pPr>
      <w:r>
        <w:rPr>
          <w:rFonts w:ascii="Cambria" w:cs="Arial" w:eastAsia="Times New Roman" w:hAnsi="Cambria"/>
          <w:szCs w:val="22"/>
          <w:lang w:val="en-GB" w:bidi="ar-SA" w:eastAsia="en-GB"/>
        </w:rPr>
        <w:t>Authors have declared that they have no known competing financial interests OR non-financial interests OR personal relationships that could have appeared to influence the work reported in this paper.</w:t>
      </w:r>
    </w:p>
    <w:p w14:paraId="16967D2B">
      <w:pPr>
        <w:pStyle w:val="style0"/>
        <w:spacing w:lineRule="auto" w:line="360"/>
        <w:jc w:val="both"/>
        <w:rPr>
          <w:rFonts w:ascii="Times New Roman" w:cs="Times New Roman" w:hAnsi="Times New Roman"/>
          <w:b/>
          <w:bCs/>
          <w:color w:val="000000"/>
          <w:sz w:val="24"/>
          <w:szCs w:val="24"/>
        </w:rPr>
      </w:pPr>
    </w:p>
    <w:p w14:paraId="264CA6C0">
      <w:pPr>
        <w:pStyle w:val="style3"/>
        <w:spacing w:lineRule="auto" w:line="360"/>
        <w:jc w:val="both"/>
        <w:rPr>
          <w:sz w:val="24"/>
          <w:szCs w:val="24"/>
        </w:rPr>
      </w:pPr>
      <w:r>
        <w:rPr>
          <w:sz w:val="24"/>
          <w:szCs w:val="24"/>
        </w:rPr>
        <w:t>References</w:t>
      </w:r>
    </w:p>
    <w:p w14:paraId="65A5DC34">
      <w:pPr>
        <w:pStyle w:val="style94"/>
        <w:spacing w:lineRule="auto" w:line="360"/>
        <w:jc w:val="both"/>
        <w:rPr/>
      </w:pPr>
      <w:r>
        <w:t xml:space="preserve">Abed, A. H., Sagar, O. A., and Hussein, M. A. (2021). Prevalence and risk factors associated with subclinical mastitis in dairy goats. </w:t>
      </w:r>
      <w:r>
        <w:rPr>
          <w:i/>
          <w:iCs/>
        </w:rPr>
        <w:t>Journal of Advanced Veterinary Research</w:t>
      </w:r>
      <w:r>
        <w:t>, 11(3), 142–149.</w:t>
      </w:r>
    </w:p>
    <w:p w14:paraId="26FDA988">
      <w:pPr>
        <w:pStyle w:val="style94"/>
        <w:spacing w:lineRule="auto" w:line="360"/>
        <w:jc w:val="both"/>
        <w:rPr/>
      </w:pPr>
      <w:r>
        <w:t xml:space="preserve">Akbulut, C., Bayram, B., and Akdag, F. (2021). Effects of different housing systems on welfare, somatic cell count, and stress parameters in dairy goats. </w:t>
      </w:r>
      <w:r>
        <w:rPr>
          <w:i/>
          <w:iCs/>
        </w:rPr>
        <w:t>Journal of Applied Animal Research</w:t>
      </w:r>
      <w:r>
        <w:t>, 49(1), 215–222.</w:t>
      </w:r>
    </w:p>
    <w:p w14:paraId="6C5D9CCC">
      <w:pPr>
        <w:pStyle w:val="style94"/>
        <w:spacing w:lineRule="auto" w:line="360"/>
        <w:jc w:val="both"/>
        <w:rPr/>
      </w:pPr>
      <w:r>
        <w:t xml:space="preserve">Albenzio, M., Santillo, A., and </w:t>
      </w:r>
      <w:r>
        <w:t>Caroprese</w:t>
      </w:r>
      <w:r>
        <w:t xml:space="preserve">, M. (2022). Grazing management and goat immune status: Implications for milk quality and mastitis resistance. </w:t>
      </w:r>
      <w:r>
        <w:rPr>
          <w:i/>
          <w:iCs/>
        </w:rPr>
        <w:t>Small Ruminant Research</w:t>
      </w:r>
      <w:r>
        <w:t>, 208, 106621.</w:t>
      </w:r>
    </w:p>
    <w:p w14:paraId="5E552882">
      <w:pPr>
        <w:pStyle w:val="style94"/>
        <w:spacing w:lineRule="auto" w:line="360"/>
        <w:jc w:val="both"/>
        <w:rPr/>
      </w:pPr>
      <w:r>
        <w:t xml:space="preserve">Angles-Hernandez, L., Garcia-Lope, M., and Perez-Ruiz, J. (2020). Grazing versus indoor feeding systems: Impact on goat milk composition, somatic cell count, and bioactive compound profile. </w:t>
      </w:r>
      <w:r>
        <w:rPr>
          <w:i/>
          <w:iCs/>
        </w:rPr>
        <w:t>Livestock Science</w:t>
      </w:r>
      <w:r>
        <w:t>, 239, 104112.</w:t>
      </w:r>
    </w:p>
    <w:p w14:paraId="03FFDA5F">
      <w:pPr>
        <w:pStyle w:val="style94"/>
        <w:spacing w:lineRule="auto" w:line="360"/>
        <w:jc w:val="both"/>
        <w:rPr/>
      </w:pPr>
      <w:r>
        <w:t>Bergonier</w:t>
      </w:r>
      <w:r>
        <w:t xml:space="preserve">, D., de </w:t>
      </w:r>
      <w:r>
        <w:t>Crémoux</w:t>
      </w:r>
      <w:r>
        <w:t xml:space="preserve">, R., Rupp, R., </w:t>
      </w:r>
      <w:r>
        <w:t>Lagriffoul</w:t>
      </w:r>
      <w:r>
        <w:t xml:space="preserve">, G., and Berthelot, X. (2003). Mastitis of dairy small ruminants. </w:t>
      </w:r>
      <w:r>
        <w:rPr>
          <w:i/>
          <w:iCs/>
        </w:rPr>
        <w:t>Veterinary Research</w:t>
      </w:r>
      <w:r>
        <w:t>, 34(5), 689–716.</w:t>
      </w:r>
    </w:p>
    <w:p w14:paraId="09692B82">
      <w:pPr>
        <w:pStyle w:val="style94"/>
        <w:spacing w:lineRule="auto" w:line="360"/>
        <w:jc w:val="both"/>
        <w:rPr/>
      </w:pPr>
      <w:r>
        <w:t>Caroprese</w:t>
      </w:r>
      <w:r>
        <w:t xml:space="preserve">, M., Ciliberti, M. G., and Albenzio, M. (2024). Stress biomarkers, immunity, and somatic cell dynamics in housed versus pasture-raised small ruminants. </w:t>
      </w:r>
      <w:r>
        <w:rPr>
          <w:i/>
          <w:iCs/>
        </w:rPr>
        <w:t>Journal of Dairy Research</w:t>
      </w:r>
      <w:r>
        <w:t>, 91(1), 45–53.</w:t>
      </w:r>
    </w:p>
    <w:p w14:paraId="22B6C829">
      <w:pPr>
        <w:pStyle w:val="style94"/>
        <w:spacing w:lineRule="auto" w:line="360"/>
        <w:jc w:val="both"/>
        <w:rPr/>
      </w:pPr>
      <w:r>
        <w:t xml:space="preserve">Casey, R., O'Brien, B., and Gleeson, D. (2023). Influence of housing environment and stress pathways on somatic cell count dynamics in dairy goats. </w:t>
      </w:r>
      <w:r>
        <w:rPr>
          <w:i/>
          <w:iCs/>
        </w:rPr>
        <w:t>Tropical Animal Health and Production</w:t>
      </w:r>
      <w:r>
        <w:t>, 55(2), 108.</w:t>
      </w:r>
    </w:p>
    <w:p w14:paraId="59298DA2">
      <w:pPr>
        <w:pStyle w:val="style94"/>
        <w:spacing w:lineRule="auto" w:line="360"/>
        <w:jc w:val="both"/>
        <w:rPr/>
      </w:pPr>
      <w:r>
        <w:t xml:space="preserve">Contreras, A., Sierra, D., Sánchez, A., Corrales, J. C., Morales, J. C., Paape, M. J., and Gonzalo, C. (2007). Mastitis in small ruminants. </w:t>
      </w:r>
      <w:r>
        <w:rPr>
          <w:i/>
          <w:iCs/>
        </w:rPr>
        <w:t>Small Ruminant Research</w:t>
      </w:r>
      <w:r>
        <w:t>, 68(1-2), 145–153.</w:t>
      </w:r>
    </w:p>
    <w:p w14:paraId="2A2B574B">
      <w:pPr>
        <w:pStyle w:val="style94"/>
        <w:spacing w:lineRule="auto" w:line="360"/>
        <w:jc w:val="both"/>
        <w:rPr/>
      </w:pPr>
      <w:r>
        <w:t>Curone</w:t>
      </w:r>
      <w:r>
        <w:t xml:space="preserve">, G., Filipe, J. F. S., and Cremonesi, P. (2023). Microbial communities, hygiene control points, and subclinical mastitis in dairy caprine herds. </w:t>
      </w:r>
      <w:r>
        <w:rPr>
          <w:i/>
          <w:iCs/>
        </w:rPr>
        <w:t>Research in Veterinary Science</w:t>
      </w:r>
      <w:r>
        <w:t>, 156, 32–41.</w:t>
      </w:r>
    </w:p>
    <w:p w14:paraId="5BC0B11C">
      <w:pPr>
        <w:pStyle w:val="style94"/>
        <w:spacing w:lineRule="auto" w:line="360"/>
        <w:jc w:val="both"/>
        <w:rPr/>
      </w:pPr>
      <w:r>
        <w:t xml:space="preserve">Department of Animal Husbandry and Dairying (DAHD). (2019). </w:t>
      </w:r>
      <w:r>
        <w:rPr>
          <w:i/>
          <w:iCs/>
        </w:rPr>
        <w:t>20th Livestock Census: Key Results</w:t>
      </w:r>
      <w:r>
        <w:t>. Ministry of Fisheries, Animal Husbandry and Dairying, Government of India, New Delhi.</w:t>
      </w:r>
    </w:p>
    <w:p w14:paraId="0A576959">
      <w:pPr>
        <w:pStyle w:val="style94"/>
        <w:spacing w:lineRule="auto" w:line="360"/>
        <w:jc w:val="both"/>
        <w:rPr/>
      </w:pPr>
      <w:r>
        <w:t xml:space="preserve">Devendra, C. (2012). Investments in goats: </w:t>
      </w:r>
      <w:r>
        <w:t>Small</w:t>
      </w:r>
      <w:r>
        <w:t xml:space="preserve"> ruminants, direct impact on food security and sustainable livelihoods. </w:t>
      </w:r>
      <w:r>
        <w:rPr>
          <w:i/>
          <w:iCs/>
        </w:rPr>
        <w:t>Indian Journal of Animal Sciences</w:t>
      </w:r>
      <w:r>
        <w:t>, 82(8), 779–788.</w:t>
      </w:r>
    </w:p>
    <w:p w14:paraId="56713D91">
      <w:pPr>
        <w:pStyle w:val="style94"/>
        <w:spacing w:lineRule="auto" w:line="360"/>
        <w:jc w:val="both"/>
        <w:rPr/>
      </w:pPr>
      <w:r>
        <w:t xml:space="preserve">Food and Agriculture Organization (FAO). (2022). </w:t>
      </w:r>
      <w:r>
        <w:rPr>
          <w:i/>
          <w:iCs/>
        </w:rPr>
        <w:t>FAOSTAT Statistical Database: Livestock Primary Milk Production</w:t>
      </w:r>
      <w:r>
        <w:t>. Rome: FAO.</w:t>
      </w:r>
    </w:p>
    <w:p w14:paraId="5153D365">
      <w:pPr>
        <w:pStyle w:val="style94"/>
        <w:spacing w:lineRule="auto" w:line="360"/>
        <w:jc w:val="both"/>
        <w:rPr/>
      </w:pPr>
      <w:r>
        <w:t xml:space="preserve">Gargano, V., Gambino, D., and Vicari, D. (2020). Sanitation routines, milk container hygiene, and somatic cell counts in smallholder dairy goat farms. </w:t>
      </w:r>
      <w:r>
        <w:rPr>
          <w:i/>
          <w:iCs/>
        </w:rPr>
        <w:t>Food Control</w:t>
      </w:r>
      <w:r>
        <w:t>, 112, 107140.</w:t>
      </w:r>
    </w:p>
    <w:p w14:paraId="17E19CDD">
      <w:pPr>
        <w:pStyle w:val="style94"/>
        <w:spacing w:lineRule="auto" w:line="360"/>
        <w:jc w:val="both"/>
        <w:rPr/>
      </w:pPr>
      <w:r>
        <w:t xml:space="preserve">Hoste, H., Torres-Acosta, J. F. J., Alonso-Diaz, M. A., Sandoval-Castro, C. A., and Jackson, F. (2008). Identification and validation of bioactive plants for the control of gastrointestinal nematodes in small ruminants. </w:t>
      </w:r>
      <w:r>
        <w:rPr>
          <w:i/>
          <w:iCs/>
        </w:rPr>
        <w:t>Tropical Biomedicine</w:t>
      </w:r>
      <w:r>
        <w:t>, 25(1 Suppl), 56–72.</w:t>
      </w:r>
    </w:p>
    <w:p w14:paraId="454B9597">
      <w:pPr>
        <w:pStyle w:val="style94"/>
        <w:spacing w:lineRule="auto" w:line="360"/>
        <w:jc w:val="both"/>
        <w:rPr/>
      </w:pPr>
      <w:r>
        <w:t>Kholif</w:t>
      </w:r>
      <w:r>
        <w:t xml:space="preserve">, A. E., Gouda, G. A., and Morsy, T. A. (2023). Bioactive secondary plant metabolites in goat nutrition: Effects on immunity, udder health, and milk quality. </w:t>
      </w:r>
      <w:r>
        <w:rPr>
          <w:i/>
          <w:iCs/>
        </w:rPr>
        <w:t>Animal Feed Science and Technology</w:t>
      </w:r>
      <w:r>
        <w:t>, 296, 115548.</w:t>
      </w:r>
    </w:p>
    <w:p w14:paraId="7FB68A62">
      <w:pPr>
        <w:pStyle w:val="style94"/>
        <w:spacing w:lineRule="auto" w:line="360"/>
        <w:jc w:val="both"/>
        <w:rPr/>
      </w:pPr>
      <w:r>
        <w:t>Lollivier</w:t>
      </w:r>
      <w:r>
        <w:t xml:space="preserve">, V., Boutinaud, M., and de </w:t>
      </w:r>
      <w:r>
        <w:t>Crémoux</w:t>
      </w:r>
      <w:r>
        <w:t xml:space="preserve">, R. (2021). Confinement stress and housing density as risk factors for elevated somatic cell counts in dairy goats. </w:t>
      </w:r>
      <w:r>
        <w:rPr>
          <w:i/>
          <w:iCs/>
        </w:rPr>
        <w:t>Journal of Dairy Science</w:t>
      </w:r>
      <w:r>
        <w:t>, 104(6), 7120–7132.</w:t>
      </w:r>
    </w:p>
    <w:p w14:paraId="18E7CB37">
      <w:pPr>
        <w:pStyle w:val="style94"/>
        <w:spacing w:lineRule="auto" w:line="360"/>
        <w:jc w:val="both"/>
        <w:rPr/>
      </w:pPr>
      <w:r>
        <w:t xml:space="preserve">Lora, I., Gottardo, F., and Cozzi, G. (2023). Indoor microclimate, bedding moisture, and environmental pathogen exposure in caprine housing systems. </w:t>
      </w:r>
      <w:r>
        <w:rPr>
          <w:i/>
          <w:iCs/>
        </w:rPr>
        <w:t>Animals</w:t>
      </w:r>
      <w:r>
        <w:t>, 13(4), 682.</w:t>
      </w:r>
    </w:p>
    <w:p w14:paraId="0F6BA8F7">
      <w:pPr>
        <w:pStyle w:val="style94"/>
        <w:spacing w:lineRule="auto" w:line="360"/>
        <w:jc w:val="both"/>
        <w:rPr/>
      </w:pPr>
      <w:r>
        <w:t>Marogna</w:t>
      </w:r>
      <w:r>
        <w:t xml:space="preserve">, G., Pilo, C., and Passino, G. S. (2022). Environmental microbial contamination in goat housing and its relation to milker hygiene and raw milk quality. </w:t>
      </w:r>
      <w:r>
        <w:rPr>
          <w:i/>
          <w:iCs/>
        </w:rPr>
        <w:t>Journal of Applied Microbiology</w:t>
      </w:r>
      <w:r>
        <w:t>, 133(2), 890–901.</w:t>
      </w:r>
    </w:p>
    <w:p w14:paraId="303DD71C">
      <w:pPr>
        <w:pStyle w:val="style94"/>
        <w:spacing w:lineRule="auto" w:line="360"/>
        <w:jc w:val="both"/>
        <w:rPr/>
      </w:pPr>
      <w:r>
        <w:t xml:space="preserve">Mavrommatis, A., </w:t>
      </w:r>
      <w:r>
        <w:t>Skliros</w:t>
      </w:r>
      <w:r>
        <w:t xml:space="preserve">, D., and </w:t>
      </w:r>
      <w:r>
        <w:t>Tsiplakou</w:t>
      </w:r>
      <w:r>
        <w:t xml:space="preserve">, E. (2021). Foraging diversity, dietary polyphenols, and their role in modulating milk somatic cell counts and oxidative status in goats. </w:t>
      </w:r>
      <w:r>
        <w:rPr>
          <w:i/>
          <w:iCs/>
        </w:rPr>
        <w:t>Frontiers in Veterinary Science</w:t>
      </w:r>
      <w:r>
        <w:t>, 8, 649852.</w:t>
      </w:r>
    </w:p>
    <w:p w14:paraId="4F721CAC">
      <w:pPr>
        <w:pStyle w:val="style94"/>
        <w:spacing w:lineRule="auto" w:line="360"/>
        <w:jc w:val="both"/>
        <w:rPr/>
      </w:pPr>
      <w:r>
        <w:t xml:space="preserve">McDougall, S., Parker, K. I., and Heuer, C. (2010). Udder health, milking hygiene, and somatic cell count in dairy goats. </w:t>
      </w:r>
      <w:r>
        <w:rPr>
          <w:i/>
          <w:iCs/>
        </w:rPr>
        <w:t>New Zealand Veterinary Journal</w:t>
      </w:r>
      <w:r>
        <w:t>, 58(6), 293–302.</w:t>
      </w:r>
    </w:p>
    <w:p w14:paraId="67C2C19B">
      <w:pPr>
        <w:pStyle w:val="style94"/>
        <w:spacing w:lineRule="auto" w:line="360"/>
        <w:jc w:val="both"/>
        <w:rPr/>
      </w:pPr>
      <w:r>
        <w:t xml:space="preserve">Moroni, P., Pisoni, G., Ruffo, G., and Boettcher, P. J. (2005). Risk factors for intramammary infections and somatic cell counts in dairy goats. </w:t>
      </w:r>
      <w:r>
        <w:rPr>
          <w:i/>
          <w:iCs/>
        </w:rPr>
        <w:t>Journal of Dairy Research</w:t>
      </w:r>
      <w:r>
        <w:t>, 72(4), 421–428.</w:t>
      </w:r>
    </w:p>
    <w:p w14:paraId="358A5052">
      <w:pPr>
        <w:pStyle w:val="style94"/>
        <w:spacing w:lineRule="auto" w:line="360"/>
        <w:jc w:val="both"/>
        <w:rPr/>
      </w:pPr>
      <w:r>
        <w:t xml:space="preserve">Paape, M. J., </w:t>
      </w:r>
      <w:r>
        <w:t>Poutrel</w:t>
      </w:r>
      <w:r>
        <w:t xml:space="preserve">, B., Contreras, A., Marco, J. C., and </w:t>
      </w:r>
      <w:r>
        <w:t>Capuco</w:t>
      </w:r>
      <w:r>
        <w:t xml:space="preserve">, A. V. (2001). Milk somatic cells and lactation in small ruminants. </w:t>
      </w:r>
      <w:r>
        <w:rPr>
          <w:i/>
          <w:iCs/>
        </w:rPr>
        <w:t>Journal of Dairy Science</w:t>
      </w:r>
      <w:r>
        <w:t>, 84, E237–E244.</w:t>
      </w:r>
    </w:p>
    <w:p w14:paraId="16381AAE">
      <w:pPr>
        <w:pStyle w:val="style94"/>
        <w:spacing w:lineRule="auto" w:line="360"/>
        <w:jc w:val="both"/>
        <w:rPr/>
      </w:pPr>
      <w:r>
        <w:t>Pazzola</w:t>
      </w:r>
      <w:r>
        <w:t xml:space="preserve">, M., Vacca, G. M., and Dettori, M. L. (2022). Evaluation of udder health indicators and milking management in dairy caprine farms. </w:t>
      </w:r>
      <w:r>
        <w:rPr>
          <w:i/>
          <w:iCs/>
        </w:rPr>
        <w:t>Italian Journal of Animal Science</w:t>
      </w:r>
      <w:r>
        <w:t>, 21(1), 415–426.</w:t>
      </w:r>
    </w:p>
    <w:p w14:paraId="0164443B">
      <w:pPr>
        <w:pStyle w:val="style94"/>
        <w:spacing w:lineRule="auto" w:line="360"/>
        <w:jc w:val="both"/>
        <w:rPr/>
      </w:pPr>
      <w:r>
        <w:t>Raynal-</w:t>
      </w:r>
      <w:r>
        <w:t>Ljutovac</w:t>
      </w:r>
      <w:r>
        <w:t xml:space="preserve">, K., </w:t>
      </w:r>
      <w:r>
        <w:t>Pirisi</w:t>
      </w:r>
      <w:r>
        <w:t xml:space="preserve">, A., de </w:t>
      </w:r>
      <w:r>
        <w:t>Crémoux</w:t>
      </w:r>
      <w:r>
        <w:t xml:space="preserve">, R., and Gonzalo, C. (2007). Somatic cells of goat and sheep milk: Analytical, sanitary, productive and technological aspects. </w:t>
      </w:r>
      <w:r>
        <w:rPr>
          <w:i/>
          <w:iCs/>
        </w:rPr>
        <w:t>Small Ruminant Research</w:t>
      </w:r>
      <w:r>
        <w:t>, 68(1-2), 126–144.</w:t>
      </w:r>
    </w:p>
    <w:p w14:paraId="7E9A35B1">
      <w:pPr>
        <w:pStyle w:val="style94"/>
        <w:spacing w:lineRule="auto" w:line="360"/>
        <w:jc w:val="both"/>
        <w:rPr/>
      </w:pPr>
      <w:r>
        <w:t xml:space="preserve">Romero, J., Martinez, A., and Sanchez, M. (2022). Deep bedding management and its association with environmental mastitis in housed dairy goats. </w:t>
      </w:r>
      <w:r>
        <w:rPr>
          <w:i/>
          <w:iCs/>
        </w:rPr>
        <w:t>Veterinary Microbiology</w:t>
      </w:r>
      <w:r>
        <w:t>, 268, 109410.</w:t>
      </w:r>
    </w:p>
    <w:p w14:paraId="7D0AB239">
      <w:pPr>
        <w:pStyle w:val="style94"/>
        <w:spacing w:lineRule="auto" w:line="360"/>
        <w:jc w:val="both"/>
        <w:rPr/>
      </w:pPr>
      <w:r>
        <w:t xml:space="preserve">Ruiz, R., </w:t>
      </w:r>
      <w:r>
        <w:t>Oregui</w:t>
      </w:r>
      <w:r>
        <w:t xml:space="preserve">, L. M., and Herrero, M. (2000). The role of housing and management practices in caprine milk quality and intramammary infection risk. </w:t>
      </w:r>
      <w:r>
        <w:rPr>
          <w:i/>
          <w:iCs/>
        </w:rPr>
        <w:t>Livestock Production Science</w:t>
      </w:r>
      <w:r>
        <w:t>, 65(1-2), 113–124.</w:t>
      </w:r>
    </w:p>
    <w:p w14:paraId="1E6421E1">
      <w:pPr>
        <w:pStyle w:val="style94"/>
        <w:spacing w:lineRule="auto" w:line="360"/>
        <w:jc w:val="both"/>
        <w:rPr/>
      </w:pPr>
      <w:r>
        <w:t xml:space="preserve">Salaberry, S. R., </w:t>
      </w:r>
      <w:r>
        <w:t>Saidenberg</w:t>
      </w:r>
      <w:r>
        <w:t xml:space="preserve">, A. B., and Melville, P. A. (2015). Milking practices and equipment sanitation as determinants of somatic cell count in goat milk. </w:t>
      </w:r>
      <w:r>
        <w:rPr>
          <w:i/>
          <w:iCs/>
        </w:rPr>
        <w:t>Tropical Animal Health and Production</w:t>
      </w:r>
      <w:r>
        <w:t>, 47(7), 1381–1387.</w:t>
      </w:r>
    </w:p>
    <w:p w14:paraId="0274813F">
      <w:pPr>
        <w:pStyle w:val="style94"/>
        <w:spacing w:lineRule="auto" w:line="360"/>
        <w:jc w:val="both"/>
        <w:rPr/>
      </w:pPr>
      <w:r>
        <w:t xml:space="preserve">Santos, R. M., Silva, E. R., and Oliveira, M. C. (2024). Extension interventions in milker personal hygiene and shed drainage: Impacts on caprine milk quality in rural smallholdings. </w:t>
      </w:r>
      <w:r>
        <w:rPr>
          <w:i/>
          <w:iCs/>
        </w:rPr>
        <w:t>Preventive Veterinary Medicine</w:t>
      </w:r>
      <w:r>
        <w:t>, 222, 106085.</w:t>
      </w:r>
    </w:p>
    <w:p w14:paraId="4A8EEC75">
      <w:pPr>
        <w:pStyle w:val="style94"/>
        <w:spacing w:lineRule="auto" w:line="360"/>
        <w:jc w:val="both"/>
        <w:rPr/>
      </w:pPr>
      <w:r>
        <w:t>Silanikove</w:t>
      </w:r>
      <w:r>
        <w:t xml:space="preserve">, N. (2000). The physiological basis of adaptation in goats to harsh environments. </w:t>
      </w:r>
      <w:r>
        <w:rPr>
          <w:i/>
          <w:iCs/>
        </w:rPr>
        <w:t>Small Ruminant Research</w:t>
      </w:r>
      <w:r>
        <w:t>, 35(3), 181–193.</w:t>
      </w:r>
    </w:p>
    <w:p w14:paraId="6812228A">
      <w:pPr>
        <w:pStyle w:val="style94"/>
        <w:spacing w:lineRule="auto" w:line="360"/>
        <w:jc w:val="both"/>
        <w:rPr/>
      </w:pPr>
      <w:r>
        <w:t xml:space="preserve">Silva, A. L., Lima, F. S., and Souza, H. M. (2024). Identification of environmental mastitis pathogens on milker attire and shed surfaces in small ruminant farms. </w:t>
      </w:r>
      <w:r>
        <w:rPr>
          <w:i/>
          <w:iCs/>
        </w:rPr>
        <w:t>Microbial Pathogenesis</w:t>
      </w:r>
      <w:r>
        <w:t>, 186, 106450.</w:t>
      </w:r>
    </w:p>
    <w:p w14:paraId="1AC3F767">
      <w:pPr>
        <w:pStyle w:val="style94"/>
        <w:spacing w:lineRule="auto" w:line="360"/>
        <w:jc w:val="both"/>
        <w:rPr/>
      </w:pPr>
      <w:r>
        <w:t>Taponen</w:t>
      </w:r>
      <w:r>
        <w:t xml:space="preserve">, S., Liski, E., and </w:t>
      </w:r>
      <w:r>
        <w:t>Pyörälä</w:t>
      </w:r>
      <w:r>
        <w:t xml:space="preserve">, S. (2023). Teat canal colonization and intramammary infection dynamics under different milking hygiene regimes in small ruminants. </w:t>
      </w:r>
      <w:r>
        <w:rPr>
          <w:i/>
          <w:iCs/>
        </w:rPr>
        <w:t>Journal of Dairy Science</w:t>
      </w:r>
      <w:r>
        <w:t>, 106(4), 2845–2858.</w:t>
      </w:r>
    </w:p>
    <w:p w14:paraId="6AF6FA24">
      <w:pPr>
        <w:pStyle w:val="style94"/>
        <w:spacing w:lineRule="auto" w:line="360"/>
        <w:jc w:val="both"/>
        <w:rPr/>
      </w:pPr>
      <w:r>
        <w:t xml:space="preserve">Vasquez, C., Morales, G., and Fernandez, P. (2024). Stocking density, shed ventilation, and environmental bacterial loads in semi-intensive caprine production. </w:t>
      </w:r>
      <w:r>
        <w:rPr>
          <w:i/>
          <w:iCs/>
        </w:rPr>
        <w:t xml:space="preserve">Applied Animal </w:t>
      </w:r>
      <w:r>
        <w:rPr>
          <w:i/>
          <w:iCs/>
        </w:rPr>
        <w:t>Behaviour</w:t>
      </w:r>
      <w:r>
        <w:rPr>
          <w:i/>
          <w:iCs/>
        </w:rPr>
        <w:t xml:space="preserve"> Science</w:t>
      </w:r>
      <w:r>
        <w:t>, 270, 106140.</w:t>
      </w:r>
    </w:p>
    <w:p w14:paraId="1FE71B1C">
      <w:pPr>
        <w:pStyle w:val="style94"/>
        <w:spacing w:lineRule="auto" w:line="360"/>
        <w:jc w:val="both"/>
        <w:rPr/>
      </w:pPr>
      <w:r>
        <w:t xml:space="preserve">Virdis, S., Scarano, C., Cossu, F., </w:t>
      </w:r>
      <w:r>
        <w:t>Spanu</w:t>
      </w:r>
      <w:r>
        <w:t xml:space="preserve">, V., Spanu, C., and De Santis, E. P. L. (2010). Occurrence, </w:t>
      </w:r>
      <w:r>
        <w:t>enterotoxigenicity</w:t>
      </w:r>
      <w:r>
        <w:t xml:space="preserve">, and antimicrobial resistance of </w:t>
      </w:r>
      <w:r>
        <w:rPr>
          <w:i/>
          <w:iCs/>
        </w:rPr>
        <w:t>Staphylococcus aureus</w:t>
      </w:r>
      <w:r>
        <w:t xml:space="preserve"> isolated from sheep and goat raw milk. </w:t>
      </w:r>
      <w:r>
        <w:rPr>
          <w:i/>
          <w:iCs/>
        </w:rPr>
        <w:t>International Journal of Food Microbiology</w:t>
      </w:r>
      <w:r>
        <w:t>, 144(1), 73–77.</w:t>
      </w:r>
    </w:p>
    <w:p w14:paraId="0007C789">
      <w:pPr>
        <w:pStyle w:val="style94"/>
        <w:spacing w:lineRule="auto" w:line="360"/>
        <w:jc w:val="both"/>
        <w:rPr/>
      </w:pPr>
      <w:r>
        <w:t xml:space="preserve">Zigo, F., </w:t>
      </w:r>
      <w:r>
        <w:t>Eleko</w:t>
      </w:r>
      <w:r>
        <w:t>, J., and Vasil</w:t>
      </w:r>
      <w:r>
        <w:t xml:space="preserve">, M. (2021). Importance of milking hygiene and handler sanitation in the control of subclinical mastitis in dairy goats. </w:t>
      </w:r>
      <w:r>
        <w:rPr>
          <w:i/>
          <w:iCs/>
        </w:rPr>
        <w:t>Veterinary Medicine International</w:t>
      </w:r>
      <w:r>
        <w:t>, 2021, 6645892.</w:t>
      </w:r>
    </w:p>
    <w:p w14:paraId="457E7563">
      <w:pPr>
        <w:pStyle w:val="style94"/>
        <w:spacing w:lineRule="auto" w:line="360"/>
        <w:jc w:val="both"/>
        <w:rPr/>
      </w:pPr>
      <w:r>
        <w:t xml:space="preserve">Zobel, G., Neave, H. W., and Webster, J. (2020). Understanding goat behavior and welfare in extensive grazing vs. intensive housing environments. </w:t>
      </w:r>
      <w:r>
        <w:rPr>
          <w:i/>
          <w:iCs/>
        </w:rPr>
        <w:t xml:space="preserve">Applied Animal </w:t>
      </w:r>
      <w:r>
        <w:rPr>
          <w:i/>
          <w:iCs/>
        </w:rPr>
        <w:t>Behaviour</w:t>
      </w:r>
      <w:r>
        <w:rPr>
          <w:i/>
          <w:iCs/>
        </w:rPr>
        <w:t xml:space="preserve"> Science</w:t>
      </w:r>
      <w:r>
        <w:t>, 231, 105099.</w:t>
      </w:r>
    </w:p>
    <w:p w14:paraId="1F6A2DA9">
      <w:pPr>
        <w:pStyle w:val="style94"/>
        <w:spacing w:lineRule="auto" w:line="360"/>
        <w:ind w:left="-180"/>
        <w:jc w:val="both"/>
        <w:rPr/>
      </w:pPr>
    </w:p>
    <w:sectPr>
      <w:headerReference w:type="even" r:id="rId8"/>
      <w:headerReference w:type="default" r:id="rId9"/>
      <w:footerReference w:type="even" r:id="rId10"/>
      <w:footerReference w:type="default" r:id="rId11"/>
      <w:headerReference w:type="first" r:id="rId12"/>
      <w:pgSz w:w="12240" w:h="15840" w:orient="portrait"/>
      <w:pgMar w:top="1440" w:right="1440" w:bottom="1440" w:left="1440" w:header="720" w:footer="720" w:gutter="0"/>
      <w:cols w:space="720"/>
      <w:docGrid w:linePitch="360"/>
    </w:sectPr>
  </w:body>
</w:document>
</file>

<file path=word/comments.xml><?xml version="1.0" encoding="utf-8"?>
<w:comment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comment w:id="1" w:author="SM-A066B" w:date="2026-09-25T09:05:00Z" w:initials="SM-A066B">
    <w:p w14:paraId="E953D4ED">
      <w:pPr>
        <w:rPr/>
      </w:pPr>
      <w:r>
        <w:rPr/>
        <w:annotationRef/>
      </w:r>
      <w:r>
        <w:t>Study duration of this research was not mentioned.</w:t>
      </w:r>
    </w:p>
  </w:comment>
  <w:comment w:id="2" w:author="SM-A066B" w:date="2026-09-25T09:06:00Z" w:initials="SM-A066B">
    <w:p w14:paraId="A528C72F">
      <w:pPr>
        <w:rPr/>
      </w:pPr>
      <w:r>
        <w:rPr/>
        <w:annotationRef/>
      </w:r>
      <w:r>
        <w:t>How sample size was determined??</w:t>
      </w:r>
    </w:p>
  </w:comment>
</w:comments>
</file>

<file path=word/commentsExtended.xml><?xml version="1.0" encoding="utf-8"?>
<w15:commentsEx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w15="http://schemas.microsoft.com/office/word/2012/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ne="http://schemas.microsoft.com/office/word/2006/wordml" mc:Ignorable="w15 w14 wp14">
  <w15:commentEx w15:paraId="E953D4ED"/>
  <w15:commentEx w15:paraId="A528C72F"/>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Arial">
    <w:altName w:val="Arial"/>
    <w:panose1 w:val="020b0604020002020204"/>
    <w:charset w:val="00"/>
    <w:family w:val="swiss"/>
    <w:pitch w:val="variable"/>
    <w:sig w:usb0="E0002EFF" w:usb1="C000785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BB4D70D">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41CB09A">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30701B1">
    <w:pPr>
      <w:pStyle w:val="style31"/>
      <w:rPr/>
    </w:pPr>
    <w:r>
      <w:rPr>
        <w:noProof/>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098" type="#_x0000_t136" fillcolor="silver" stroked="f" style="position:absolute;margin-left:0.0pt;margin-top:0.0pt;width:555.6pt;height:104.15pt;z-index:-2147483644;mso-position-horizontal:center;mso-position-vertical:center;mso-position-horizontal-relative:margin;mso-position-vertical-relative:margin;mso-width-relative:page;mso-height-relative:page;mso-wrap-distance-left:0.0pt;mso-wrap-distance-right:0.0pt;visibility:visible;rotation:-2949120fd;" o:allowincell="false">
          <v:stroke on="f"/>
          <o:lock text="true" v:ext="view"/>
          <v:fill opacity="50%"/>
          <v:textpath string="UNDER PEER REVIEW" fitshape="t" on="t" style="font-size:1.0pt;font-family:&quot;Calibri&quot;;"/>
        </v:shape>
      </w:pic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D49EF53">
    <w:pPr>
      <w:pStyle w:val="style31"/>
      <w:rPr/>
    </w:pPr>
    <w:r>
      <w:rPr>
        <w:noProof/>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099" type="#_x0000_t136" fillcolor="silver" stroked="f" style="position:absolute;margin-left:0.0pt;margin-top:0.0pt;width:555.6pt;height:104.15pt;z-index:-2147483643;mso-position-horizontal:center;mso-position-vertical:center;mso-position-horizontal-relative:margin;mso-position-vertical-relative:margin;mso-width-relative:page;mso-height-relative:page;mso-wrap-distance-left:0.0pt;mso-wrap-distance-right:0.0pt;visibility:visible;rotation:-2949120fd;" o:allowincell="false">
          <v:stroke on="f"/>
          <o:lock text="true" v:ext="view"/>
          <v:fill opacity="50%"/>
          <v:textpath string="UNDER PEER REVIEW" fitshape="t" on="t" style="font-size:1.0pt;font-family:&quot;Calibri&quot;;"/>
        </v:shape>
      </w:pic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3696A60">
    <w:pPr>
      <w:pStyle w:val="style31"/>
      <w:rPr/>
    </w:pPr>
    <w:r>
      <w:rPr>
        <w:noProof/>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100" type="#_x0000_t136" fillcolor="silver" stroked="f" style="position:absolute;margin-left:0.0pt;margin-top:0.0pt;width:555.6pt;height:104.15pt;z-index:-2147483645;mso-position-horizontal:center;mso-position-vertical:center;mso-position-horizontal-relative:margin;mso-position-vertical-relative:margin;mso-width-relative:page;mso-height-relative:page;mso-wrap-distance-left:0.0pt;mso-wrap-distance-right:0.0pt;visibility:visible;rotation:-2949120fd;" o:allowincell="false">
          <v:stroke on="f"/>
          <o:lock text="true" v:ext="view"/>
          <v:fill opacity="50%"/>
          <v:textpath string="UNDER PEER REVIEW" fitshape="t" on="t" style="font-size:1.0pt;font-family:&quot;Calibri&qu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7D9414E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DD0A75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000002"/>
    <w:multiLevelType w:val="multilevel"/>
    <w:tmpl w:val="6674F4D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0E9CE4A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C8BEB5C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F8764D1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Mangal" w:eastAsia="Calibri" w:hAnsi="Calibri"/>
        <w:sz w:val="22"/>
        <w:lang w:val="en-US" w:bidi="hi-IN"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0"/>
    <w:link w:val="style4106"/>
    <w:qFormat/>
    <w:uiPriority w:val="9"/>
    <w:pPr>
      <w:keepNext/>
      <w:keepLines/>
      <w:spacing w:before="200" w:after="0"/>
      <w:outlineLvl w:val="1"/>
    </w:pPr>
    <w:rPr>
      <w:rFonts w:ascii="Cambria" w:cs="Mangal" w:eastAsia="宋体" w:hAnsi="Cambria"/>
      <w:b/>
      <w:bCs/>
      <w:color w:val="4f81bd"/>
      <w:sz w:val="26"/>
      <w:szCs w:val="23"/>
    </w:rPr>
  </w:style>
  <w:style w:type="paragraph" w:styleId="style3">
    <w:name w:val="heading 3"/>
    <w:basedOn w:val="style0"/>
    <w:next w:val="style3"/>
    <w:link w:val="style4105"/>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paragraph" w:styleId="style4">
    <w:name w:val="heading 4"/>
    <w:basedOn w:val="style0"/>
    <w:next w:val="style0"/>
    <w:link w:val="style4107"/>
    <w:qFormat/>
    <w:uiPriority w:val="9"/>
    <w:pPr>
      <w:keepNext/>
      <w:keepLines/>
      <w:spacing w:before="200" w:after="0"/>
      <w:outlineLvl w:val="3"/>
    </w:pPr>
    <w:rPr>
      <w:rFonts w:ascii="Cambria" w:cs="Mangal"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rFonts w:ascii="Calibri" w:cs="Mangal" w:eastAsia="Calibri" w:hAnsi="Calibri"/>
    </w:rPr>
  </w:style>
  <w:style w:type="character" w:customStyle="1" w:styleId="style4097">
    <w:name w:val="Header Char_46b941ce-370c-4200-a00b-94146af7be7b"/>
    <w:basedOn w:val="style65"/>
    <w:next w:val="style4097"/>
    <w:link w:val="style31"/>
    <w:uiPriority w:val="99"/>
    <w:rPr>
      <w:rFonts w:ascii="Calibri" w:cs="Mangal" w:eastAsia="Calibri" w:hAnsi="Calibri"/>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179">
    <w:name w:val="List Paragraph"/>
    <w:basedOn w:val="style0"/>
    <w:next w:val="style179"/>
    <w:qFormat/>
    <w:uiPriority w:val="34"/>
    <w:pPr>
      <w:spacing w:after="0" w:lineRule="auto" w:line="240"/>
      <w:ind w:left="720"/>
      <w:contextualSpacing/>
    </w:pPr>
    <w:rPr>
      <w:rFonts w:ascii="Calibri" w:cs="Mangal" w:eastAsia="Calibri" w:hAnsi="Calibri"/>
      <w:sz w:val="24"/>
      <w:szCs w:val="24"/>
      <w:lang w:bidi="ar-SA"/>
    </w:rPr>
  </w:style>
  <w:style w:type="paragraph" w:styleId="style153">
    <w:name w:val="Balloon Text"/>
    <w:basedOn w:val="style0"/>
    <w:next w:val="style153"/>
    <w:link w:val="style4098"/>
    <w:uiPriority w:val="99"/>
    <w:pPr>
      <w:spacing w:after="0" w:lineRule="auto" w:line="240"/>
    </w:pPr>
    <w:rPr>
      <w:rFonts w:ascii="Tahoma" w:cs="Mangal" w:hAnsi="Tahoma"/>
      <w:sz w:val="16"/>
      <w:szCs w:val="14"/>
    </w:rPr>
  </w:style>
  <w:style w:type="character" w:customStyle="1" w:styleId="style4098">
    <w:name w:val="Balloon Text Char"/>
    <w:basedOn w:val="style65"/>
    <w:next w:val="style4098"/>
    <w:link w:val="style153"/>
    <w:uiPriority w:val="99"/>
    <w:rPr>
      <w:rFonts w:ascii="Tahoma" w:cs="Mangal" w:hAnsi="Tahoma"/>
      <w:sz w:val="16"/>
      <w:szCs w:val="14"/>
    </w:rPr>
  </w:style>
  <w:style w:type="table" w:styleId="style154">
    <w:name w:val="Table Grid"/>
    <w:basedOn w:val="style105"/>
    <w:next w:val="style154"/>
    <w:uiPriority w:val="59"/>
    <w:pPr>
      <w:spacing w:after="0" w:lineRule="auto" w:line="240"/>
    </w:pPr>
    <w:rPr>
      <w:rFonts w:eastAsia="宋体"/>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099">
    <w:name w:val="math-inline"/>
    <w:basedOn w:val="style65"/>
    <w:next w:val="style4099"/>
  </w:style>
  <w:style w:type="character" w:customStyle="1" w:styleId="style4100">
    <w:name w:val="mord"/>
    <w:basedOn w:val="style65"/>
    <w:next w:val="style4100"/>
  </w:style>
  <w:style w:type="character" w:customStyle="1" w:styleId="style4101">
    <w:name w:val="mrel"/>
    <w:basedOn w:val="style65"/>
    <w:next w:val="style4101"/>
  </w:style>
  <w:style w:type="character" w:customStyle="1" w:styleId="style4102">
    <w:name w:val="mbin"/>
    <w:basedOn w:val="style65"/>
    <w:next w:val="style4102"/>
  </w:style>
  <w:style w:type="character" w:customStyle="1" w:styleId="style4103">
    <w:name w:val="source-title"/>
    <w:basedOn w:val="style65"/>
    <w:next w:val="style4103"/>
  </w:style>
  <w:style w:type="character" w:customStyle="1" w:styleId="style4104">
    <w:name w:val="source-count"/>
    <w:basedOn w:val="style65"/>
    <w:next w:val="style4104"/>
  </w:style>
  <w:style w:type="character" w:customStyle="1" w:styleId="style4105">
    <w:name w:val="Heading 3 Char_8eb15eaa-ad3b-4e13-a942-77a230c5f9a6"/>
    <w:basedOn w:val="style65"/>
    <w:next w:val="style4105"/>
    <w:link w:val="style3"/>
    <w:uiPriority w:val="9"/>
    <w:rPr>
      <w:rFonts w:ascii="Times New Roman" w:cs="Times New Roman" w:eastAsia="Times New Roman" w:hAnsi="Times New Roman"/>
      <w:b/>
      <w:bCs/>
      <w:sz w:val="27"/>
      <w:szCs w:val="27"/>
    </w:rPr>
  </w:style>
  <w:style w:type="character" w:customStyle="1" w:styleId="style4106">
    <w:name w:val="Heading 2 Char_38e38bec-4d9f-4b6e-b9e1-2603075e016f"/>
    <w:basedOn w:val="style65"/>
    <w:next w:val="style4106"/>
    <w:link w:val="style2"/>
    <w:uiPriority w:val="9"/>
    <w:rPr>
      <w:rFonts w:ascii="Cambria" w:cs="Mangal" w:eastAsia="宋体" w:hAnsi="Cambria"/>
      <w:b/>
      <w:bCs/>
      <w:color w:val="4f81bd"/>
      <w:sz w:val="26"/>
      <w:szCs w:val="23"/>
    </w:rPr>
  </w:style>
  <w:style w:type="character" w:customStyle="1" w:styleId="style4107">
    <w:name w:val="Heading 4 Char_bdc53f93-90f1-4138-9ecc-15c2b050a89e"/>
    <w:basedOn w:val="style65"/>
    <w:next w:val="style4107"/>
    <w:link w:val="style4"/>
    <w:uiPriority w:val="9"/>
    <w:rPr>
      <w:rFonts w:ascii="Cambria" w:cs="Mangal" w:eastAsia="宋体" w:hAnsi="Cambria"/>
      <w:b/>
      <w:bCs/>
      <w:i/>
      <w:iCs/>
      <w:color w:val="4f81bd"/>
    </w:rPr>
  </w:style>
  <w:style w:type="paragraph" w:styleId="style157">
    <w:name w:val="No Spacing"/>
    <w:next w:val="style157"/>
    <w:qFormat/>
    <w:uiPriority w:val="1"/>
    <w:pPr>
      <w:spacing w:after="0" w:lineRule="auto" w:line="240"/>
    </w:pPr>
    <w:rPr/>
  </w:style>
  <w:style w:type="character" w:styleId="style85">
    <w:name w:val="Hyperlink"/>
    <w:basedOn w:val="style65"/>
    <w:next w:val="style85"/>
    <w:uiPriority w:val="99"/>
    <w:rPr>
      <w:color w:val="0000ff"/>
      <w:u w:val="single"/>
    </w:rPr>
  </w:style>
  <w:style w:type="character" w:customStyle="1" w:styleId="style4108">
    <w:name w:val="Unresolved Mention"/>
    <w:basedOn w:val="style65"/>
    <w:next w:val="style4108"/>
    <w:uiPriority w:val="99"/>
    <w:rPr>
      <w:color w:val="605e5c"/>
      <w:shd w:val="clear" w:color="auto" w:fill="e1dfdd"/>
    </w:rPr>
  </w:style>
  <w:style w:type="paragraph" w:styleId="style32">
    <w:name w:val="footer"/>
    <w:basedOn w:val="style0"/>
    <w:next w:val="style32"/>
    <w:link w:val="style4109"/>
    <w:uiPriority w:val="99"/>
    <w:pPr>
      <w:tabs>
        <w:tab w:val="center" w:leader="none" w:pos="4513"/>
        <w:tab w:val="right" w:leader="none" w:pos="9026"/>
      </w:tabs>
      <w:spacing w:after="0" w:lineRule="auto" w:line="240"/>
    </w:pPr>
    <w:rPr/>
  </w:style>
  <w:style w:type="character" w:customStyle="1" w:styleId="style4109">
    <w:name w:val="Footer Char_6f2992d3-66d3-4943-9ba7-9aafcd19bc9d"/>
    <w:basedOn w:val="style65"/>
    <w:next w:val="style4109"/>
    <w:link w:val="style32"/>
    <w:uiPriority w:val="99"/>
  </w:style>
</w:styles>
</file>

<file path=word/_rels/document.xml.rels><?xml version="1.0" encoding="UTF-8"?>
<Relationships xmlns="http://schemas.openxmlformats.org/package/2006/relationships"><Relationship Id="rId11" Type="http://schemas.openxmlformats.org/officeDocument/2006/relationships/footer" Target="footer4.xml"/><Relationship Id="rId10" Type="http://schemas.openxmlformats.org/officeDocument/2006/relationships/footer" Target="footer3.xml"/><Relationship Id="rId13" Type="http://schemas.openxmlformats.org/officeDocument/2006/relationships/styles" Target="styles.xml"/><Relationship Id="rId12" Type="http://schemas.openxmlformats.org/officeDocument/2006/relationships/header" Target="header5.xml"/><Relationship Id="rId1" Type="http://schemas.openxmlformats.org/officeDocument/2006/relationships/numbering" Target="numbering.xml"/><Relationship Id="rId2" Type="http://schemas.microsoft.com/office/2011/relationships/commentsExtended" Target="commentsExtended.xml"/><Relationship Id="rId3" Type="http://schemas.openxmlformats.org/officeDocument/2006/relationships/comments" Target="comments.xml"/><Relationship Id="rId4" Type="http://schemas.openxmlformats.org/officeDocument/2006/relationships/image" Target="media/image1.png"/><Relationship Id="rId9" Type="http://schemas.openxmlformats.org/officeDocument/2006/relationships/header" Target="header2.xml"/><Relationship Id="rId15" Type="http://schemas.openxmlformats.org/officeDocument/2006/relationships/settings" Target="settings.xml"/><Relationship Id="rId14"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theme" Target="theme/theme1.xml"/><Relationship Id="rId5" Type="http://schemas.openxmlformats.org/officeDocument/2006/relationships/image" Target="media/image2.png"/><Relationship Id="rId19" Type="http://schemas.openxmlformats.org/officeDocument/2006/relationships/customXml" Target="../customXml/item3.xml"/><Relationship Id="rId6" Type="http://schemas.openxmlformats.org/officeDocument/2006/relationships/image" Target="media/image3.png"/><Relationship Id="rId18" Type="http://schemas.openxmlformats.org/officeDocument/2006/relationships/customXml" Target="../customXml/item2.xml"/><Relationship Id="rId7" Type="http://schemas.openxmlformats.org/officeDocument/2006/relationships/image" Target="media/image4.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_rels/item3.xml.rels><?xml version="1.0" encoding="UTF-8"?>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mcd:customData xmlns="http://www.wps.cn/android/officeDocument/2013/mofficeCustomData" xmlns:mcd="http://www.wps.cn/android/officeDocument/2013/mofficeCustomData" version="2">
  <mcd:comments/>
</mcd:customData>
</file>

<file path=customXml/itemProps1.xml>
</file>

<file path=customXml/itemProps2.xml>
</file>

<file path=customXml/itemProps3.xml><?xml version="1.0" encoding="utf-8"?>
<ds:datastoreItem xmlns:ds="http://schemas.openxmlformats.org/officeDocument/2006/customXml" ds:itemID="{e7e496d8-e130-488b-887c-587e0b4e739b}">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3304</Words>
  <Pages>13</Pages>
  <Characters>20162</Characters>
  <Application>WPS Office</Application>
  <DocSecurity>0</DocSecurity>
  <Paragraphs>177</Paragraphs>
  <ScaleCrop>false</ScaleCrop>
  <LinksUpToDate>false</LinksUpToDate>
  <CharactersWithSpaces>23380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2026-09-25T06:05:42Z</dcterms:created>
  <dc:creator>win 8</dc:creator>
  <lastModifiedBy>SM-A066B</lastModifiedBy>
  <dcterms:modified xsi:type="dcterms:W3CDTF">2026-09-25T06:06:38Z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92ddf451464d4b7298a4d35b73e18a09_22</vt:lpwstr>
  </property>
</Properties>
</file>