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E5B8E" w14:textId="1A873B5A" w:rsidR="00EA7B6F" w:rsidRPr="00EA7B6F" w:rsidRDefault="00EA7B6F" w:rsidP="00EA7B6F">
      <w:pPr>
        <w:spacing w:after="0" w:line="360" w:lineRule="auto"/>
        <w:rPr>
          <w:rFonts w:ascii="Times New Roman" w:hAnsi="Times New Roman" w:cs="Times New Roman"/>
          <w:b/>
          <w:bCs/>
          <w:sz w:val="24"/>
          <w:szCs w:val="24"/>
          <w:u w:val="single"/>
        </w:rPr>
      </w:pPr>
      <w:r w:rsidRPr="00EA7B6F">
        <w:rPr>
          <w:rFonts w:ascii="Times New Roman" w:hAnsi="Times New Roman" w:cs="Times New Roman"/>
          <w:b/>
          <w:bCs/>
          <w:sz w:val="24"/>
          <w:szCs w:val="24"/>
          <w:u w:val="single"/>
        </w:rPr>
        <w:t>Original Research Article</w:t>
      </w:r>
    </w:p>
    <w:p w14:paraId="7369BD55" w14:textId="33D01E7C" w:rsidR="00FB510A" w:rsidRPr="00305561" w:rsidRDefault="00686AED" w:rsidP="00305561">
      <w:pPr>
        <w:spacing w:after="0" w:line="360" w:lineRule="auto"/>
        <w:jc w:val="center"/>
        <w:rPr>
          <w:rFonts w:ascii="Times New Roman" w:hAnsi="Times New Roman" w:cs="Times New Roman"/>
          <w:b/>
          <w:bCs/>
          <w:sz w:val="24"/>
          <w:szCs w:val="24"/>
        </w:rPr>
      </w:pPr>
      <w:r w:rsidRPr="00305561">
        <w:rPr>
          <w:rFonts w:ascii="Times New Roman" w:hAnsi="Times New Roman" w:cs="Times New Roman"/>
          <w:b/>
          <w:bCs/>
          <w:sz w:val="24"/>
          <w:szCs w:val="24"/>
        </w:rPr>
        <w:t xml:space="preserve">OCCURRENCE, SPATIAL DISTRIBUTION AND SEASONAL POPULATION DYNAMICS OF </w:t>
      </w:r>
      <w:proofErr w:type="spellStart"/>
      <w:r w:rsidR="00F96A7A" w:rsidRPr="00AF1D27">
        <w:rPr>
          <w:rFonts w:ascii="Times New Roman" w:hAnsi="Times New Roman" w:cs="Times New Roman"/>
          <w:b/>
          <w:bCs/>
          <w:i/>
          <w:iCs/>
          <w:sz w:val="24"/>
          <w:szCs w:val="24"/>
        </w:rPr>
        <w:t>Orseolia</w:t>
      </w:r>
      <w:proofErr w:type="spellEnd"/>
      <w:r w:rsidR="00F96A7A" w:rsidRPr="00AF1D27">
        <w:rPr>
          <w:rFonts w:ascii="Times New Roman" w:hAnsi="Times New Roman" w:cs="Times New Roman"/>
          <w:b/>
          <w:bCs/>
          <w:i/>
          <w:iCs/>
          <w:sz w:val="24"/>
          <w:szCs w:val="24"/>
        </w:rPr>
        <w:t xml:space="preserve"> oryzae</w:t>
      </w:r>
      <w:r w:rsidR="00F96A7A" w:rsidRPr="00305561">
        <w:rPr>
          <w:rFonts w:ascii="Times New Roman" w:hAnsi="Times New Roman" w:cs="Times New Roman"/>
          <w:b/>
          <w:bCs/>
          <w:sz w:val="24"/>
          <w:szCs w:val="24"/>
        </w:rPr>
        <w:t xml:space="preserve"> </w:t>
      </w:r>
      <w:r w:rsidRPr="00305561">
        <w:rPr>
          <w:rFonts w:ascii="Times New Roman" w:hAnsi="Times New Roman" w:cs="Times New Roman"/>
          <w:b/>
          <w:bCs/>
          <w:sz w:val="24"/>
          <w:szCs w:val="24"/>
        </w:rPr>
        <w:t>IN CANAL-IRRIGATED PADDY FIELDS OF NALGONDA MANDAL, TELANGANA</w:t>
      </w:r>
    </w:p>
    <w:p w14:paraId="5CBFF4EB" w14:textId="77777777" w:rsidR="0012179C" w:rsidRDefault="0012179C" w:rsidP="00305561">
      <w:pPr>
        <w:spacing w:after="0" w:line="360" w:lineRule="auto"/>
        <w:jc w:val="center"/>
        <w:rPr>
          <w:rFonts w:ascii="Times New Roman" w:hAnsi="Times New Roman" w:cs="Times New Roman"/>
          <w:b/>
          <w:bCs/>
          <w:sz w:val="24"/>
          <w:szCs w:val="24"/>
        </w:rPr>
      </w:pPr>
    </w:p>
    <w:p w14:paraId="2F82A6DC" w14:textId="77777777" w:rsidR="00411A4F" w:rsidRPr="00305561" w:rsidRDefault="00411A4F" w:rsidP="00305561">
      <w:pPr>
        <w:spacing w:after="0" w:line="360" w:lineRule="auto"/>
        <w:jc w:val="center"/>
        <w:rPr>
          <w:rFonts w:ascii="Times New Roman" w:hAnsi="Times New Roman" w:cs="Times New Roman"/>
          <w:b/>
          <w:bCs/>
          <w:sz w:val="24"/>
          <w:szCs w:val="24"/>
        </w:rPr>
      </w:pPr>
    </w:p>
    <w:p w14:paraId="343D27B7" w14:textId="49FBD24F" w:rsidR="00E83B01" w:rsidRPr="00305561" w:rsidRDefault="00E83B01" w:rsidP="00305561">
      <w:pPr>
        <w:spacing w:after="0" w:line="360" w:lineRule="auto"/>
        <w:jc w:val="center"/>
        <w:rPr>
          <w:rFonts w:ascii="Times New Roman" w:hAnsi="Times New Roman" w:cs="Times New Roman"/>
          <w:b/>
          <w:bCs/>
          <w:sz w:val="24"/>
          <w:szCs w:val="24"/>
        </w:rPr>
      </w:pPr>
      <w:r w:rsidRPr="00305561">
        <w:rPr>
          <w:rFonts w:ascii="Times New Roman" w:hAnsi="Times New Roman" w:cs="Times New Roman"/>
          <w:b/>
          <w:bCs/>
          <w:sz w:val="24"/>
          <w:szCs w:val="24"/>
        </w:rPr>
        <w:t>Abstract</w:t>
      </w:r>
    </w:p>
    <w:p w14:paraId="292968C8" w14:textId="77777777" w:rsidR="00E83B01" w:rsidRPr="00305561" w:rsidRDefault="00E83B01"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Asian rice gall midge,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xml:space="preserve"> (Wood-Mason) (Diptera: Cecidomyiidae), is an endemic pest of irrigated rice in Telangana. A three-year hierarchical field study (Kharif 2023–2025) quantified occurrence, spatial distribution, infestation levels and seasonal population dynamics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of Nalgonda Mandal. Twenty fixed 5 m × 5 m plots (500 m²) were sampled fortnightly from transplanting to harvest. Plot occurrence, plant incidence (% damaged hills), silver shoot percentage (SS%) and mean abundance were recorded.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was endemic, with pooled plot occurrence of 69.17%, plant incidence of 21.99 ± 3.18%, SS% of 9.16 ± 1.22% (above the 5% economic threshold level) and abundance of 4.40 ± 0.64 affected hills per 25 m². The population followed a unimodal curve, remaining absent at 15 DAT, rising during active tillering and peaking at maximum tillering (60 DAT) with 21.30 ± 1.86% SS before collapsing after panicle initiation. These results establish endemic status and a narrow vegetative-stage vulnerability window in canal-irrigated Nalgonda paddy ecosystems.</w:t>
      </w:r>
    </w:p>
    <w:p w14:paraId="34A57734" w14:textId="77777777" w:rsidR="00E83B01" w:rsidRPr="00305561" w:rsidRDefault="00E83B01"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Keywords:</w:t>
      </w:r>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silver shoot, spatial distribution, seasonal dynamics, Nalgonda, rice pest</w:t>
      </w:r>
    </w:p>
    <w:p w14:paraId="61197EA7" w14:textId="3376D50C"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INTRODUCTION</w:t>
      </w:r>
    </w:p>
    <w:p w14:paraId="2A1CB08D" w14:textId="69309C32"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Cultivated Asian rice (</w:t>
      </w:r>
      <w:r w:rsidRPr="00305561">
        <w:rPr>
          <w:rFonts w:ascii="Times New Roman" w:hAnsi="Times New Roman" w:cs="Times New Roman"/>
          <w:i/>
          <w:iCs/>
          <w:sz w:val="24"/>
          <w:szCs w:val="24"/>
        </w:rPr>
        <w:t>Oryza sativa</w:t>
      </w:r>
      <w:r w:rsidRPr="00305561">
        <w:rPr>
          <w:rFonts w:ascii="Times New Roman" w:hAnsi="Times New Roman" w:cs="Times New Roman"/>
          <w:sz w:val="24"/>
          <w:szCs w:val="24"/>
        </w:rPr>
        <w:t xml:space="preserve"> L.) is the dietary foundation for more than half of the global human population and supplies over 21% of total human calorific energy worldwide (Choi et al., 2017; Collard et al., 2008; Das &amp; Rao, 2015). In India, rice occupies approximately 46</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 xml:space="preserve">47 million hectares and contributes over 40% of total food grain output (Das et al., 2017; Rathod et al., 2021). Telangana has emerged as a major paddy-producing state, with area expanding from 0.91 million hectares in 2014–2015 to over 2.88 million hectares in subsequent years, driven by expansion of lift and gravity irrigation, restoration of village tanks and assured procurement (Dey et al., 2024; Kumar, 2022). Nalgonda District, irrigated by the Nagarjuna Sagar Left Bank Canal network, the Musi River project and minor tanks, supports continuous Kharif paddy cultivation in villages such as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w:t>
      </w:r>
    </w:p>
    <w:p w14:paraId="29ADC992" w14:textId="17B6EBE9"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lastRenderedPageBreak/>
        <w:t>Intensified irrigated cultivation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close hill spacing, continuous standing water, staggered transplanting, genetic uniformity and elevated nitrogen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 xml:space="preserve">alters canopy microclimate, increases foliar soluble nitrogen and maintains relative humidity above 80%, </w:t>
      </w:r>
      <w:proofErr w:type="spellStart"/>
      <w:r w:rsidRPr="00305561">
        <w:rPr>
          <w:rFonts w:ascii="Times New Roman" w:hAnsi="Times New Roman" w:cs="Times New Roman"/>
          <w:sz w:val="24"/>
          <w:szCs w:val="24"/>
        </w:rPr>
        <w:t>favouring</w:t>
      </w:r>
      <w:proofErr w:type="spellEnd"/>
      <w:r w:rsidRPr="00305561">
        <w:rPr>
          <w:rFonts w:ascii="Times New Roman" w:hAnsi="Times New Roman" w:cs="Times New Roman"/>
          <w:sz w:val="24"/>
          <w:szCs w:val="24"/>
        </w:rPr>
        <w:t xml:space="preserve"> internal-feeding pests (Horgan &amp; Peñalver-Cruz, 2022; Peñalver-Cruz &amp; Horgan, 2022; Rawat et al., 2012). More than 800 insect species feed on rice, of which approximately 20 regularly attain major pest status in South and Southeast Asia (Mondal et al., 2023; Pathak &amp; Khan, 1994). Among these,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xml:space="preserve"> ranks as the third most destructive rice pest nationally and is endemic across virtually all major Kharif rice-growing states, including Telangana (Anil Kumar et al., 2022;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Mondal et al., 2023). It causes an average annual grain loss of approximately US$ 80 million in India and over US$ 550 million across Asia by transforming productive tillers into sterile silver shoots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Rawat et al., 2012).</w:t>
      </w:r>
    </w:p>
    <w:p w14:paraId="0B1AB04C"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Every 1% increase in silver shoot percentage results in a 0.5% to 3.5% reduction in grain yield, with severe epidemics inflicting 30% to 80% yield loss in susceptible cultivars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Shravan Kumar et al., 2026). The economic threshold level is 5.0% silver shoots (or 1 silver shoot per square </w:t>
      </w:r>
      <w:proofErr w:type="spellStart"/>
      <w:r w:rsidRPr="00305561">
        <w:rPr>
          <w:rFonts w:ascii="Times New Roman" w:hAnsi="Times New Roman" w:cs="Times New Roman"/>
          <w:sz w:val="24"/>
          <w:szCs w:val="24"/>
        </w:rPr>
        <w:t>metre</w:t>
      </w:r>
      <w:proofErr w:type="spellEnd"/>
      <w:r w:rsidRPr="00305561">
        <w:rPr>
          <w:rFonts w:ascii="Times New Roman" w:hAnsi="Times New Roman" w:cs="Times New Roman"/>
          <w:sz w:val="24"/>
          <w:szCs w:val="24"/>
        </w:rPr>
        <w:t xml:space="preserve"> at active tillering) (Patkar &amp; Ramesh, 2016; Seni &amp; Pal, 2021). In Telangana, the Northern, Central and Southern zones are major endemic hotspots (Anil Kumar et al., 2022; Malathi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2026a; Rathod et al., 2022). In Nalgonda Mandal, continuous Kharif cultivation of susceptible fine-grain varieties and warm, humid September weather regularly drive infestation above the 5% SS threshold.</w:t>
      </w:r>
    </w:p>
    <w:p w14:paraId="19EA075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is an obligate holometabolous endoparasite of vegetative rice tillers (CABI, 2019; Harris et al., 2003). Adults are nocturnal, short-lived and non-feeding; females deposit 100–350 eggs near the ligule or outer leaf sheath (CABI, 2019; Sathishkumar et al., 2025). Neonate larvae must reach an undifferentiated vegetative apical meristem, inducing </w:t>
      </w:r>
      <w:proofErr w:type="spellStart"/>
      <w:r w:rsidRPr="00305561">
        <w:rPr>
          <w:rFonts w:ascii="Times New Roman" w:hAnsi="Times New Roman" w:cs="Times New Roman"/>
          <w:sz w:val="24"/>
          <w:szCs w:val="24"/>
        </w:rPr>
        <w:t>cecidogenesis</w:t>
      </w:r>
      <w:proofErr w:type="spellEnd"/>
      <w:r w:rsidRPr="00305561">
        <w:rPr>
          <w:rFonts w:ascii="Times New Roman" w:hAnsi="Times New Roman" w:cs="Times New Roman"/>
          <w:sz w:val="24"/>
          <w:szCs w:val="24"/>
        </w:rPr>
        <w:t xml:space="preserve"> that produces the characteristic hollow silver shoot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Rawat et al., 2012; Sinha et al., 2011). The pest is strictly </w:t>
      </w:r>
      <w:proofErr w:type="spellStart"/>
      <w:r w:rsidRPr="00305561">
        <w:rPr>
          <w:rFonts w:ascii="Times New Roman" w:hAnsi="Times New Roman" w:cs="Times New Roman"/>
          <w:sz w:val="24"/>
          <w:szCs w:val="24"/>
        </w:rPr>
        <w:t>synchronised</w:t>
      </w:r>
      <w:proofErr w:type="spellEnd"/>
      <w:r w:rsidRPr="00305561">
        <w:rPr>
          <w:rFonts w:ascii="Times New Roman" w:hAnsi="Times New Roman" w:cs="Times New Roman"/>
          <w:sz w:val="24"/>
          <w:szCs w:val="24"/>
        </w:rPr>
        <w:t xml:space="preserve"> with the vegetative phase: visible galls are absent at early vegetative stages (~15 DAT), peak at maximum tillering (~60 DAT) and cease after panicle initiation (~75 DAT) because meristem differentiation and lignification terminate host suitability (Harris et al., 2003; Seni et al., 2023).</w:t>
      </w:r>
    </w:p>
    <w:p w14:paraId="42274847"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Although extensive research exists at </w:t>
      </w:r>
      <w:proofErr w:type="spellStart"/>
      <w:r w:rsidRPr="00305561">
        <w:rPr>
          <w:rFonts w:ascii="Times New Roman" w:hAnsi="Times New Roman" w:cs="Times New Roman"/>
          <w:sz w:val="24"/>
          <w:szCs w:val="24"/>
        </w:rPr>
        <w:t>centres</w:t>
      </w:r>
      <w:proofErr w:type="spellEnd"/>
      <w:r w:rsidRPr="00305561">
        <w:rPr>
          <w:rFonts w:ascii="Times New Roman" w:hAnsi="Times New Roman" w:cs="Times New Roman"/>
          <w:sz w:val="24"/>
          <w:szCs w:val="24"/>
        </w:rPr>
        <w:t xml:space="preserve"> in Warangal, </w:t>
      </w:r>
      <w:proofErr w:type="spellStart"/>
      <w:r w:rsidRPr="00305561">
        <w:rPr>
          <w:rFonts w:ascii="Times New Roman" w:hAnsi="Times New Roman" w:cs="Times New Roman"/>
          <w:sz w:val="24"/>
          <w:szCs w:val="24"/>
        </w:rPr>
        <w:t>Jagtial</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sz w:val="24"/>
          <w:szCs w:val="24"/>
        </w:rPr>
        <w:t>Rudrur</w:t>
      </w:r>
      <w:proofErr w:type="spellEnd"/>
      <w:r w:rsidRPr="00305561">
        <w:rPr>
          <w:rFonts w:ascii="Times New Roman" w:hAnsi="Times New Roman" w:cs="Times New Roman"/>
          <w:sz w:val="24"/>
          <w:szCs w:val="24"/>
        </w:rPr>
        <w:t xml:space="preserve"> and other locations, fine-scale multi-season spatial and phenological baselines were lacking for the canal-irrigated belt of Nalgonda Mandal (Anil Kumar et al., 2022; Malathi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xml:space="preserve">, 2026a; Saicharan et al., 2025). The present study therefore assessed occurrence, distribution, abundance and </w:t>
      </w:r>
      <w:r w:rsidRPr="00305561">
        <w:rPr>
          <w:rFonts w:ascii="Times New Roman" w:hAnsi="Times New Roman" w:cs="Times New Roman"/>
          <w:sz w:val="24"/>
          <w:szCs w:val="24"/>
        </w:rPr>
        <w:lastRenderedPageBreak/>
        <w:t xml:space="preserve">infestation levels of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and its seasonal incidence and population dynamics in relation to rice growth stages during Kharif 2023–2025.</w:t>
      </w:r>
    </w:p>
    <w:p w14:paraId="780C98D1" w14:textId="7251D6C9"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MATERIALS AND METHODS</w:t>
      </w:r>
    </w:p>
    <w:p w14:paraId="536BC3A6" w14:textId="683D8767" w:rsidR="002635BD"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field investigation was conducted in the rice-growing </w:t>
      </w:r>
      <w:proofErr w:type="spellStart"/>
      <w:r w:rsidRPr="00305561">
        <w:rPr>
          <w:rFonts w:ascii="Times New Roman" w:hAnsi="Times New Roman" w:cs="Times New Roman"/>
          <w:sz w:val="24"/>
          <w:szCs w:val="24"/>
        </w:rPr>
        <w:t>agro</w:t>
      </w:r>
      <w:proofErr w:type="spellEnd"/>
      <w:r w:rsidRPr="00305561">
        <w:rPr>
          <w:rFonts w:ascii="Times New Roman" w:hAnsi="Times New Roman" w:cs="Times New Roman"/>
          <w:sz w:val="24"/>
          <w:szCs w:val="24"/>
        </w:rPr>
        <w:t xml:space="preserve">-ecosystem of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Nalgonda Mandal, Nalgonda District, Telangana State, India. These villages were selected for continuous Kharif paddy cultivation and suitability for repeated ecological monitoring (Kumari et al., 2018; </w:t>
      </w:r>
      <w:proofErr w:type="spellStart"/>
      <w:r w:rsidRPr="00305561">
        <w:rPr>
          <w:rFonts w:ascii="Times New Roman" w:hAnsi="Times New Roman" w:cs="Times New Roman"/>
          <w:sz w:val="24"/>
          <w:szCs w:val="24"/>
        </w:rPr>
        <w:t>Mamathad</w:t>
      </w:r>
      <w:proofErr w:type="spellEnd"/>
      <w:r w:rsidRPr="00305561">
        <w:rPr>
          <w:rFonts w:ascii="Times New Roman" w:hAnsi="Times New Roman" w:cs="Times New Roman"/>
          <w:sz w:val="24"/>
          <w:szCs w:val="24"/>
        </w:rPr>
        <w:t xml:space="preserve"> et al., 2020; Rao et al., 2024). A hierarchical multi-stage sampling design was adopted. In each village, two independent paddy fields (Field I and Field II) were selected (four fields total). Within each field, five fixed sampling plots (Plot I to Plot V) measuring 5 m × 5 m (25 m²) were demarcated, resulting in 20 plots and a total sampled area of 500 m². Fields followed similar agronomic practices with respect to variety, fertilizer application, irrigation and pesticide history. Geographical coordinates of the four fields were: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Field I (17.1148189°N, 79.1772166°E), Field II (17.1142479°N, 79.1754211°E);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Field I (17.0747334°N, 79.3356680°E), Field II (17.0735709°N, 79.3353616°E)</w:t>
      </w:r>
      <w:r w:rsidR="00597AD2" w:rsidRPr="00305561">
        <w:rPr>
          <w:rFonts w:ascii="Times New Roman" w:hAnsi="Times New Roman" w:cs="Times New Roman"/>
          <w:sz w:val="24"/>
          <w:szCs w:val="24"/>
        </w:rPr>
        <w:t xml:space="preserve"> (Fig. 1)</w:t>
      </w:r>
      <w:r w:rsidRPr="00305561">
        <w:rPr>
          <w:rFonts w:ascii="Times New Roman" w:hAnsi="Times New Roman" w:cs="Times New Roman"/>
          <w:sz w:val="24"/>
          <w:szCs w:val="24"/>
        </w:rPr>
        <w:t>.</w:t>
      </w:r>
    </w:p>
    <w:p w14:paraId="42F334EF" w14:textId="7901C191" w:rsidR="00597AD2" w:rsidRPr="00305561" w:rsidRDefault="00597AD2"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noProof/>
          <w:sz w:val="24"/>
          <w:szCs w:val="24"/>
        </w:rPr>
        <w:drawing>
          <wp:inline distT="0" distB="0" distL="0" distR="0" wp14:anchorId="3A8FC473" wp14:editId="1DB91A72">
            <wp:extent cx="5615940" cy="3600450"/>
            <wp:effectExtent l="19050" t="19050" r="22860" b="19050"/>
            <wp:docPr id="81902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65" t="1592" r="1351" b="3990"/>
                    <a:stretch>
                      <a:fillRect/>
                    </a:stretch>
                  </pic:blipFill>
                  <pic:spPr bwMode="auto">
                    <a:xfrm>
                      <a:off x="0" y="0"/>
                      <a:ext cx="5615940" cy="360045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D6CF47F" w14:textId="2816F1C8" w:rsidR="00597AD2" w:rsidRPr="00305561" w:rsidRDefault="00597AD2" w:rsidP="00305561">
      <w:pPr>
        <w:spacing w:after="0" w:line="360" w:lineRule="auto"/>
        <w:jc w:val="center"/>
        <w:rPr>
          <w:rFonts w:ascii="Times New Roman" w:hAnsi="Times New Roman" w:cs="Times New Roman"/>
          <w:sz w:val="24"/>
          <w:szCs w:val="24"/>
        </w:rPr>
      </w:pPr>
      <w:r w:rsidRPr="00597AD2">
        <w:rPr>
          <w:rFonts w:ascii="Times New Roman" w:hAnsi="Times New Roman" w:cs="Times New Roman"/>
          <w:b/>
          <w:bCs/>
          <w:sz w:val="24"/>
          <w:szCs w:val="24"/>
        </w:rPr>
        <w:t>Fig. 1</w:t>
      </w:r>
      <w:r w:rsidRPr="00597AD2">
        <w:rPr>
          <w:rFonts w:ascii="Times New Roman" w:hAnsi="Times New Roman" w:cs="Times New Roman"/>
          <w:sz w:val="24"/>
          <w:szCs w:val="24"/>
        </w:rPr>
        <w:t xml:space="preserve">. Study area map showing </w:t>
      </w:r>
      <w:proofErr w:type="spellStart"/>
      <w:r w:rsidRPr="00597AD2">
        <w:rPr>
          <w:rFonts w:ascii="Times New Roman" w:hAnsi="Times New Roman" w:cs="Times New Roman"/>
          <w:sz w:val="24"/>
          <w:szCs w:val="24"/>
        </w:rPr>
        <w:t>Appajipeta</w:t>
      </w:r>
      <w:proofErr w:type="spellEnd"/>
      <w:r w:rsidRPr="00597AD2">
        <w:rPr>
          <w:rFonts w:ascii="Times New Roman" w:hAnsi="Times New Roman" w:cs="Times New Roman"/>
          <w:sz w:val="24"/>
          <w:szCs w:val="24"/>
        </w:rPr>
        <w:t xml:space="preserve"> and </w:t>
      </w:r>
      <w:proofErr w:type="spellStart"/>
      <w:r w:rsidRPr="00597AD2">
        <w:rPr>
          <w:rFonts w:ascii="Times New Roman" w:hAnsi="Times New Roman" w:cs="Times New Roman"/>
          <w:sz w:val="24"/>
          <w:szCs w:val="24"/>
        </w:rPr>
        <w:t>Khajiramaram</w:t>
      </w:r>
      <w:proofErr w:type="spellEnd"/>
      <w:r w:rsidRPr="00597AD2">
        <w:rPr>
          <w:rFonts w:ascii="Times New Roman" w:hAnsi="Times New Roman" w:cs="Times New Roman"/>
          <w:sz w:val="24"/>
          <w:szCs w:val="24"/>
        </w:rPr>
        <w:t xml:space="preserve"> villages</w:t>
      </w:r>
    </w:p>
    <w:p w14:paraId="32A95A0D" w14:textId="77777777" w:rsidR="00305561" w:rsidRDefault="00305561" w:rsidP="00305561">
      <w:pPr>
        <w:spacing w:after="0" w:line="360" w:lineRule="auto"/>
        <w:jc w:val="both"/>
        <w:rPr>
          <w:rFonts w:ascii="Times New Roman" w:hAnsi="Times New Roman" w:cs="Times New Roman"/>
          <w:sz w:val="24"/>
          <w:szCs w:val="24"/>
        </w:rPr>
      </w:pPr>
    </w:p>
    <w:p w14:paraId="02E077D8" w14:textId="2E23E8DE"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Field observations were carried out during three consecutive Kharif seasons (2023, 2024 and 2025) at fortnightly (15-day) intervals from transplanting to harvest. In each 5 m × 5 m plot, </w:t>
      </w:r>
      <w:r w:rsidRPr="00305561">
        <w:rPr>
          <w:rFonts w:ascii="Times New Roman" w:hAnsi="Times New Roman" w:cs="Times New Roman"/>
          <w:sz w:val="24"/>
          <w:szCs w:val="24"/>
        </w:rPr>
        <w:lastRenderedPageBreak/>
        <w:t>20 rice hills were randomly selected on every sampling date (100 hills per field), with fresh random selection at each visit. Data on pest occurrence, number of infested plants, total tillers and number of silver shoots were recorded.</w:t>
      </w:r>
    </w:p>
    <w:p w14:paraId="786254F5"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Occurrence and spatial distribution were assessed at plot, field and village levels. A plot was considered positive when one or more hills showed characteristic silver shoots or live developmental stages. Occurrence (%) = (Number of sampling plots positive for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 Total number of sampling plots examined) × 100. Plant-level pest incidence (%) = (Number of pest-affected hills / Total number of hills examined) × 100. Silver shoot percentage (SS%) = (Number of silver shoots observed / Total number of tillers examined) × 100. Mean pest abundance (hills / 20 hills / 25 m² plot) = Total number of pest-affected hills recorded across plots / Total number of sampling plots examined.</w:t>
      </w:r>
    </w:p>
    <w:p w14:paraId="6F6243BF"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Fortnightly data on pest incidence (%), SS% and mean pest abundance for Kharif 2023, 2024 and 2025 were arranged chronologically to identify onset, peak and decline. Seasonal mean incidence (%) = (Σ Incidence (%) of all sampling occasions) / Total number of sampling occasions in the season. Pest population fluctuations were related to rice phenological stages (early vegetative, active tillering, maximum tillering, panicle initiation and reproductive stages), determined by visual observation following standard agronomic descriptors.</w:t>
      </w:r>
    </w:p>
    <w:p w14:paraId="27CDFA3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All field data were compiled in Microsoft Excel and </w:t>
      </w:r>
      <w:proofErr w:type="spellStart"/>
      <w:r w:rsidRPr="00305561">
        <w:rPr>
          <w:rFonts w:ascii="Times New Roman" w:hAnsi="Times New Roman" w:cs="Times New Roman"/>
          <w:sz w:val="24"/>
          <w:szCs w:val="24"/>
        </w:rPr>
        <w:t>analysed</w:t>
      </w:r>
      <w:proofErr w:type="spellEnd"/>
      <w:r w:rsidRPr="00305561">
        <w:rPr>
          <w:rFonts w:ascii="Times New Roman" w:hAnsi="Times New Roman" w:cs="Times New Roman"/>
          <w:sz w:val="24"/>
          <w:szCs w:val="24"/>
        </w:rPr>
        <w:t xml:space="preserve"> using SPSS version 26. Mean, range, standard deviation (SD), standard error of mean (</w:t>
      </w:r>
      <w:proofErr w:type="spellStart"/>
      <w:r w:rsidRPr="00305561">
        <w:rPr>
          <w:rFonts w:ascii="Times New Roman" w:hAnsi="Times New Roman" w:cs="Times New Roman"/>
          <w:sz w:val="24"/>
          <w:szCs w:val="24"/>
        </w:rPr>
        <w:t>SEm</w:t>
      </w:r>
      <w:proofErr w:type="spellEnd"/>
      <w:r w:rsidRPr="00305561">
        <w:rPr>
          <w:rFonts w:ascii="Times New Roman" w:hAnsi="Times New Roman" w:cs="Times New Roman"/>
          <w:sz w:val="24"/>
          <w:szCs w:val="24"/>
        </w:rPr>
        <w:t>±) and Critical Difference (CD at 5% probability via one-way ANOVA) were calculated for spatial and temporal variations.</w:t>
      </w:r>
    </w:p>
    <w:p w14:paraId="2403CA66" w14:textId="28E134FD"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RESULTS</w:t>
      </w:r>
    </w:p>
    <w:p w14:paraId="03EE3965" w14:textId="7B14C83C" w:rsidR="0086719E" w:rsidRPr="00305561" w:rsidRDefault="0086719E" w:rsidP="00305561">
      <w:pPr>
        <w:spacing w:after="0" w:line="360" w:lineRule="auto"/>
        <w:jc w:val="both"/>
        <w:rPr>
          <w:rFonts w:ascii="Times New Roman" w:hAnsi="Times New Roman" w:cs="Times New Roman"/>
          <w:sz w:val="24"/>
          <w:szCs w:val="24"/>
        </w:rPr>
      </w:pPr>
      <w:r w:rsidRPr="0086719E">
        <w:rPr>
          <w:rFonts w:ascii="Times New Roman" w:hAnsi="Times New Roman" w:cs="Times New Roman"/>
          <w:sz w:val="24"/>
          <w:szCs w:val="24"/>
        </w:rPr>
        <w:t xml:space="preserve">Natural field infestation of </w:t>
      </w:r>
      <w:proofErr w:type="spellStart"/>
      <w:r w:rsidRPr="0086719E">
        <w:rPr>
          <w:rFonts w:ascii="Times New Roman" w:hAnsi="Times New Roman" w:cs="Times New Roman"/>
          <w:sz w:val="24"/>
          <w:szCs w:val="24"/>
        </w:rPr>
        <w:t>Orseolia</w:t>
      </w:r>
      <w:proofErr w:type="spellEnd"/>
      <w:r w:rsidRPr="0086719E">
        <w:rPr>
          <w:rFonts w:ascii="Times New Roman" w:hAnsi="Times New Roman" w:cs="Times New Roman"/>
          <w:sz w:val="24"/>
          <w:szCs w:val="24"/>
        </w:rPr>
        <w:t xml:space="preserve"> oryzae was recorded during three consecutive Kharif seasons (2023, 2024 and 2025) in </w:t>
      </w:r>
      <w:proofErr w:type="spellStart"/>
      <w:r w:rsidRPr="0086719E">
        <w:rPr>
          <w:rFonts w:ascii="Times New Roman" w:hAnsi="Times New Roman" w:cs="Times New Roman"/>
          <w:sz w:val="24"/>
          <w:szCs w:val="24"/>
        </w:rPr>
        <w:t>Appajipeta</w:t>
      </w:r>
      <w:proofErr w:type="spellEnd"/>
      <w:r w:rsidRPr="0086719E">
        <w:rPr>
          <w:rFonts w:ascii="Times New Roman" w:hAnsi="Times New Roman" w:cs="Times New Roman"/>
          <w:sz w:val="24"/>
          <w:szCs w:val="24"/>
        </w:rPr>
        <w:t xml:space="preserve"> and </w:t>
      </w:r>
      <w:proofErr w:type="spellStart"/>
      <w:r w:rsidRPr="0086719E">
        <w:rPr>
          <w:rFonts w:ascii="Times New Roman" w:hAnsi="Times New Roman" w:cs="Times New Roman"/>
          <w:sz w:val="24"/>
          <w:szCs w:val="24"/>
        </w:rPr>
        <w:t>Khajiramaram</w:t>
      </w:r>
      <w:proofErr w:type="spellEnd"/>
      <w:r w:rsidRPr="0086719E">
        <w:rPr>
          <w:rFonts w:ascii="Times New Roman" w:hAnsi="Times New Roman" w:cs="Times New Roman"/>
          <w:sz w:val="24"/>
          <w:szCs w:val="24"/>
        </w:rPr>
        <w:t xml:space="preserve"> villages of Nalgonda Mandal using a hierarchical multi-stage sampling design. The pest was present in both villages throughout the study period and exhibited clear spatial and temporal patterns. Plot-level occurrence, plant incidence, silver shoot percentage and abundance remained consistently above the economic threshold level, while the population followed a distinct unimodal seasonal curve tightly </w:t>
      </w:r>
      <w:proofErr w:type="spellStart"/>
      <w:r w:rsidRPr="0086719E">
        <w:rPr>
          <w:rFonts w:ascii="Times New Roman" w:hAnsi="Times New Roman" w:cs="Times New Roman"/>
          <w:sz w:val="24"/>
          <w:szCs w:val="24"/>
        </w:rPr>
        <w:t>synchronised</w:t>
      </w:r>
      <w:proofErr w:type="spellEnd"/>
      <w:r w:rsidRPr="0086719E">
        <w:rPr>
          <w:rFonts w:ascii="Times New Roman" w:hAnsi="Times New Roman" w:cs="Times New Roman"/>
          <w:sz w:val="24"/>
          <w:szCs w:val="24"/>
        </w:rPr>
        <w:t xml:space="preserve"> with the vegetative growth stages of rice. Detailed spatial distribution and infestation levels are presented in Section 4.1, and the seasonal population dynamics in relation to crop phenology are described in Section 4.2.</w:t>
      </w:r>
    </w:p>
    <w:p w14:paraId="64E3782C" w14:textId="2B850B59"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 xml:space="preserve">Occurrence, Spatial Distribution, Infestation Levels, and Abundance of </w:t>
      </w:r>
      <w:proofErr w:type="spellStart"/>
      <w:r w:rsidRPr="00305561">
        <w:rPr>
          <w:rFonts w:ascii="Times New Roman" w:hAnsi="Times New Roman" w:cs="Times New Roman"/>
          <w:b/>
          <w:bCs/>
          <w:i/>
          <w:iCs/>
          <w:sz w:val="24"/>
          <w:szCs w:val="24"/>
        </w:rPr>
        <w:t>Orseolia</w:t>
      </w:r>
      <w:proofErr w:type="spellEnd"/>
      <w:r w:rsidRPr="00305561">
        <w:rPr>
          <w:rFonts w:ascii="Times New Roman" w:hAnsi="Times New Roman" w:cs="Times New Roman"/>
          <w:b/>
          <w:bCs/>
          <w:i/>
          <w:iCs/>
          <w:sz w:val="24"/>
          <w:szCs w:val="24"/>
        </w:rPr>
        <w:t xml:space="preserve"> oryzae</w:t>
      </w:r>
      <w:r w:rsidR="0086719E" w:rsidRPr="00305561">
        <w:rPr>
          <w:rFonts w:ascii="Times New Roman" w:hAnsi="Times New Roman" w:cs="Times New Roman"/>
          <w:sz w:val="24"/>
          <w:szCs w:val="24"/>
        </w:rPr>
        <w:t xml:space="preserve">: </w:t>
      </w:r>
      <w:r w:rsidRPr="00305561">
        <w:rPr>
          <w:rFonts w:ascii="Times New Roman" w:hAnsi="Times New Roman" w:cs="Times New Roman"/>
          <w:sz w:val="24"/>
          <w:szCs w:val="24"/>
        </w:rPr>
        <w:t xml:space="preserve">The pest was present in both study villages during all three consecutive Kharif seasons and was endemic. During the peak period of activity (September to October), plot-level occurrence reached 80.00% to 100.00% in all four fields. Across the active infestation period (30 to 105 </w:t>
      </w:r>
      <w:r w:rsidRPr="00305561">
        <w:rPr>
          <w:rFonts w:ascii="Times New Roman" w:hAnsi="Times New Roman" w:cs="Times New Roman"/>
          <w:sz w:val="24"/>
          <w:szCs w:val="24"/>
        </w:rPr>
        <w:lastRenderedPageBreak/>
        <w:t xml:space="preserve">DAT; 6 fortnightly observations across 5 plots per field, </w:t>
      </w:r>
      <w:r w:rsidRPr="00305561">
        <w:rPr>
          <w:rFonts w:ascii="Times New Roman" w:hAnsi="Times New Roman" w:cs="Times New Roman"/>
          <w:i/>
          <w:iCs/>
          <w:sz w:val="24"/>
          <w:szCs w:val="24"/>
        </w:rPr>
        <w:t>n</w:t>
      </w:r>
      <w:r w:rsidRPr="00305561">
        <w:rPr>
          <w:rFonts w:ascii="Times New Roman" w:hAnsi="Times New Roman" w:cs="Times New Roman"/>
          <w:sz w:val="24"/>
          <w:szCs w:val="24"/>
        </w:rPr>
        <w:t xml:space="preserve"> = 30 plot-observations per field per season), seasonal mean plot occurrence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68.33% in Kharif 2023, 73.33% in Kharif 2024 and 70.00% in Kharif 2025 (three-year village pooled mean: 70.56%).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corresponding values were 65.00%, 71.67% and 66.67% (three-year village pooled mean: 67.78%). The overall pooled mean occurrence across all 20 plots and three seasons was 69.17% (Table 1).</w:t>
      </w:r>
    </w:p>
    <w:p w14:paraId="058612E5"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Plant-level pest incidence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21.45 ± 3.12% during Kharif 2023, 24.80 ± 3.65% during Kharif 2024 and 22.10 ± 2.98% during Kharif 2025 (three-year pooled mean 22.78 ± 3.25%).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19.85 ± 2.84%, 23.15 ± 3.40% and 20.60 ± 3.05% (three-year village mean 21.20 ± 3.10%). The overall mean plant incidence across the entire study area was 21.99 ± 3.18%. Among the three years, Kharif 2024 recorded the highest plant-level damage in both villages (Table 1).</w:t>
      </w:r>
    </w:p>
    <w:p w14:paraId="038F85AE"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Tiller-level infestation (SS%)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8.92 ± 1.15% in Kharif 2023, 10.46 ± 1.42% in Kharif 2024 and 9.18 ± 1.20% in Kharif 2025 (three-year pooled mean 9.52 ± 1.26%).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8.14 ± 1.08%, 9.75 ± 1.35% and 8.50 ± 1.12% (three-year pooled mean 8.80 ± 1.18%). The overall mean silver shoot percentage across all 20 plots and three years was 9.16 ± 1.22%. This value is higher than the standard economic threshold level of 5% SS. The highest tiller damage was recorded during Kharif 2024 in both villages (Table 1).</w:t>
      </w:r>
    </w:p>
    <w:p w14:paraId="3408175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Mean pest abundance ranged from 3.90 ± 0.56 to 5.08 ± 0.74 affected hills per 20 examined hills per 25 m² plot. </w:t>
      </w:r>
      <w:proofErr w:type="spellStart"/>
      <w:proofErr w:type="gram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Field</w:t>
      </w:r>
      <w:proofErr w:type="gramEnd"/>
      <w:r w:rsidRPr="00305561">
        <w:rPr>
          <w:rFonts w:ascii="Times New Roman" w:hAnsi="Times New Roman" w:cs="Times New Roman"/>
          <w:sz w:val="24"/>
          <w:szCs w:val="24"/>
        </w:rPr>
        <w:t xml:space="preserve"> I recorded the highest three-year pooled mean (4.69 ± 0.66)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Field II the lowest (4.14 ± 0.61). The overall mean abundance across all 20 plots and three seasons was 4.40 ± 0.64 affected hills per 25 m² (Table 1).</w:t>
      </w:r>
    </w:p>
    <w:p w14:paraId="73642C1A" w14:textId="77777777" w:rsidR="00EA0E37" w:rsidRPr="00305561" w:rsidRDefault="00EA0E37" w:rsidP="00305561">
      <w:pPr>
        <w:spacing w:after="0" w:line="360" w:lineRule="auto"/>
        <w:jc w:val="center"/>
        <w:rPr>
          <w:rFonts w:ascii="Times New Roman" w:hAnsi="Times New Roman" w:cs="Times New Roman"/>
          <w:sz w:val="24"/>
          <w:szCs w:val="24"/>
        </w:rPr>
      </w:pPr>
      <w:r w:rsidRPr="00305561">
        <w:rPr>
          <w:rFonts w:ascii="Times New Roman" w:hAnsi="Times New Roman" w:cs="Times New Roman"/>
          <w:b/>
          <w:bCs/>
          <w:sz w:val="24"/>
          <w:szCs w:val="24"/>
        </w:rPr>
        <w:t>Table 1</w:t>
      </w:r>
      <w:r w:rsidRPr="00305561">
        <w:rPr>
          <w:rFonts w:ascii="Times New Roman" w:hAnsi="Times New Roman" w:cs="Times New Roman"/>
          <w:sz w:val="24"/>
          <w:szCs w:val="24"/>
        </w:rPr>
        <w:t xml:space="preserve">. Plot occurrence, plant incidence, silver shoot percentage and pest abundance of </w:t>
      </w:r>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oryzae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during Kharif 2023–2025 (Mean ± SD)</w:t>
      </w:r>
    </w:p>
    <w:tbl>
      <w:tblPr>
        <w:tblStyle w:val="TableGrid"/>
        <w:tblW w:w="5000" w:type="pct"/>
        <w:tblLook w:val="04A0" w:firstRow="1" w:lastRow="0" w:firstColumn="1" w:lastColumn="0" w:noHBand="0" w:noVBand="1"/>
      </w:tblPr>
      <w:tblGrid>
        <w:gridCol w:w="1631"/>
        <w:gridCol w:w="759"/>
        <w:gridCol w:w="938"/>
        <w:gridCol w:w="1448"/>
        <w:gridCol w:w="1304"/>
        <w:gridCol w:w="1376"/>
        <w:gridCol w:w="1560"/>
      </w:tblGrid>
      <w:tr w:rsidR="00EA0E37" w:rsidRPr="00305561" w14:paraId="670D606E" w14:textId="77777777" w:rsidTr="00053A8F">
        <w:tc>
          <w:tcPr>
            <w:tcW w:w="905" w:type="pct"/>
            <w:vAlign w:val="center"/>
            <w:hideMark/>
          </w:tcPr>
          <w:p w14:paraId="26110725"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Village</w:t>
            </w:r>
          </w:p>
        </w:tc>
        <w:tc>
          <w:tcPr>
            <w:tcW w:w="421" w:type="pct"/>
            <w:vAlign w:val="center"/>
            <w:hideMark/>
          </w:tcPr>
          <w:p w14:paraId="764BD5FA"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Field</w:t>
            </w:r>
          </w:p>
        </w:tc>
        <w:tc>
          <w:tcPr>
            <w:tcW w:w="520" w:type="pct"/>
            <w:vAlign w:val="center"/>
            <w:hideMark/>
          </w:tcPr>
          <w:p w14:paraId="565CD938"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Season</w:t>
            </w:r>
          </w:p>
        </w:tc>
        <w:tc>
          <w:tcPr>
            <w:tcW w:w="803" w:type="pct"/>
            <w:vAlign w:val="center"/>
            <w:hideMark/>
          </w:tcPr>
          <w:p w14:paraId="43062DDB"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Plot Occurrence (%)</w:t>
            </w:r>
          </w:p>
        </w:tc>
        <w:tc>
          <w:tcPr>
            <w:tcW w:w="723" w:type="pct"/>
            <w:vAlign w:val="center"/>
            <w:hideMark/>
          </w:tcPr>
          <w:p w14:paraId="5F1A15B4"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Plant Incidence (% damaged hills)</w:t>
            </w:r>
          </w:p>
        </w:tc>
        <w:tc>
          <w:tcPr>
            <w:tcW w:w="763" w:type="pct"/>
            <w:vAlign w:val="center"/>
            <w:hideMark/>
          </w:tcPr>
          <w:p w14:paraId="06BF90DB"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Infestation Level (SS%)</w:t>
            </w:r>
          </w:p>
        </w:tc>
        <w:tc>
          <w:tcPr>
            <w:tcW w:w="865" w:type="pct"/>
            <w:vAlign w:val="center"/>
            <w:hideMark/>
          </w:tcPr>
          <w:p w14:paraId="7E24DBB3"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Mean Pest Abundance (affected hills / 20 hills / 25 m²)</w:t>
            </w:r>
          </w:p>
        </w:tc>
      </w:tr>
      <w:tr w:rsidR="00EA0E37" w:rsidRPr="00305561" w14:paraId="447ADF32" w14:textId="77777777" w:rsidTr="00053A8F">
        <w:tc>
          <w:tcPr>
            <w:tcW w:w="905" w:type="pct"/>
            <w:vAlign w:val="center"/>
            <w:hideMark/>
          </w:tcPr>
          <w:p w14:paraId="0739464A"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3B4A2E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27EE23C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75DF5D3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1507CB3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22.10 ± 3.20</w:t>
            </w:r>
          </w:p>
        </w:tc>
        <w:tc>
          <w:tcPr>
            <w:tcW w:w="763" w:type="pct"/>
            <w:vAlign w:val="center"/>
            <w:hideMark/>
          </w:tcPr>
          <w:p w14:paraId="670CCF4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9.24 ± 1.18</w:t>
            </w:r>
          </w:p>
        </w:tc>
        <w:tc>
          <w:tcPr>
            <w:tcW w:w="865" w:type="pct"/>
            <w:vAlign w:val="center"/>
            <w:hideMark/>
          </w:tcPr>
          <w:p w14:paraId="7178DB1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4.42 ± 0.64</w:t>
            </w:r>
          </w:p>
        </w:tc>
      </w:tr>
      <w:tr w:rsidR="00EA0E37" w:rsidRPr="00305561" w14:paraId="18445243" w14:textId="77777777" w:rsidTr="00053A8F">
        <w:tc>
          <w:tcPr>
            <w:tcW w:w="905" w:type="pct"/>
            <w:vAlign w:val="center"/>
            <w:hideMark/>
          </w:tcPr>
          <w:p w14:paraId="38D15E27"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5315C19A"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04B11D1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19B4F32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76.67</w:t>
            </w:r>
          </w:p>
        </w:tc>
        <w:tc>
          <w:tcPr>
            <w:tcW w:w="723" w:type="pct"/>
            <w:vAlign w:val="center"/>
            <w:hideMark/>
          </w:tcPr>
          <w:p w14:paraId="4DE0570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25.40 ± 3.72</w:t>
            </w:r>
          </w:p>
        </w:tc>
        <w:tc>
          <w:tcPr>
            <w:tcW w:w="763" w:type="pct"/>
            <w:vAlign w:val="center"/>
            <w:hideMark/>
          </w:tcPr>
          <w:p w14:paraId="3276EB0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10.82 ± 1.48</w:t>
            </w:r>
          </w:p>
        </w:tc>
        <w:tc>
          <w:tcPr>
            <w:tcW w:w="865" w:type="pct"/>
            <w:vAlign w:val="center"/>
            <w:hideMark/>
          </w:tcPr>
          <w:p w14:paraId="172241D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5.08 ± 0.74</w:t>
            </w:r>
          </w:p>
        </w:tc>
      </w:tr>
      <w:tr w:rsidR="00EA0E37" w:rsidRPr="00305561" w14:paraId="12B96E14" w14:textId="77777777" w:rsidTr="00053A8F">
        <w:tc>
          <w:tcPr>
            <w:tcW w:w="905" w:type="pct"/>
            <w:vAlign w:val="center"/>
            <w:hideMark/>
          </w:tcPr>
          <w:p w14:paraId="10148B91"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F3AE821"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11E82B8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12D9D4E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49C937A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22.80 ± 3.05</w:t>
            </w:r>
          </w:p>
        </w:tc>
        <w:tc>
          <w:tcPr>
            <w:tcW w:w="763" w:type="pct"/>
            <w:vAlign w:val="center"/>
            <w:hideMark/>
          </w:tcPr>
          <w:p w14:paraId="4768A8B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9.45 ± 1.24</w:t>
            </w:r>
          </w:p>
        </w:tc>
        <w:tc>
          <w:tcPr>
            <w:tcW w:w="865" w:type="pct"/>
            <w:vAlign w:val="center"/>
            <w:hideMark/>
          </w:tcPr>
          <w:p w14:paraId="151CF39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4.56 ± 0.61</w:t>
            </w:r>
          </w:p>
        </w:tc>
      </w:tr>
      <w:tr w:rsidR="00EA0E37" w:rsidRPr="00305561" w14:paraId="743F35AE" w14:textId="77777777" w:rsidTr="00053A8F">
        <w:tc>
          <w:tcPr>
            <w:tcW w:w="905" w:type="pct"/>
            <w:vAlign w:val="center"/>
            <w:hideMark/>
          </w:tcPr>
          <w:p w14:paraId="6EC0ABA9"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0866DA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702971DD"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01020F2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72.22</w:t>
            </w:r>
          </w:p>
        </w:tc>
        <w:tc>
          <w:tcPr>
            <w:tcW w:w="723" w:type="pct"/>
            <w:vAlign w:val="center"/>
            <w:hideMark/>
          </w:tcPr>
          <w:p w14:paraId="470C9D0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23.43 ± 3.32</w:t>
            </w:r>
          </w:p>
        </w:tc>
        <w:tc>
          <w:tcPr>
            <w:tcW w:w="763" w:type="pct"/>
            <w:vAlign w:val="center"/>
            <w:hideMark/>
          </w:tcPr>
          <w:p w14:paraId="49F1803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9.84 ± 1.30</w:t>
            </w:r>
          </w:p>
        </w:tc>
        <w:tc>
          <w:tcPr>
            <w:tcW w:w="865" w:type="pct"/>
            <w:vAlign w:val="center"/>
            <w:hideMark/>
          </w:tcPr>
          <w:p w14:paraId="50D0C5C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4.69 ± 0.66</w:t>
            </w:r>
          </w:p>
        </w:tc>
      </w:tr>
      <w:tr w:rsidR="00EA0E37" w:rsidRPr="00305561" w14:paraId="7A69AD27" w14:textId="77777777" w:rsidTr="00053A8F">
        <w:tc>
          <w:tcPr>
            <w:tcW w:w="905" w:type="pct"/>
            <w:vAlign w:val="center"/>
            <w:hideMark/>
          </w:tcPr>
          <w:p w14:paraId="37FB59BC"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40AE4F2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7A1F341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1A1DC3D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02EF3AE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20.80 ± 3.04</w:t>
            </w:r>
          </w:p>
        </w:tc>
        <w:tc>
          <w:tcPr>
            <w:tcW w:w="763" w:type="pct"/>
            <w:vAlign w:val="center"/>
            <w:hideMark/>
          </w:tcPr>
          <w:p w14:paraId="2EB4101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8.60 ± 1.12</w:t>
            </w:r>
          </w:p>
        </w:tc>
        <w:tc>
          <w:tcPr>
            <w:tcW w:w="865" w:type="pct"/>
            <w:vAlign w:val="center"/>
            <w:hideMark/>
          </w:tcPr>
          <w:p w14:paraId="4CDAA14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4.16 ± 0.61</w:t>
            </w:r>
          </w:p>
        </w:tc>
      </w:tr>
      <w:tr w:rsidR="00EA0E37" w:rsidRPr="00305561" w14:paraId="3C859817" w14:textId="77777777" w:rsidTr="00053A8F">
        <w:tc>
          <w:tcPr>
            <w:tcW w:w="905" w:type="pct"/>
            <w:vAlign w:val="center"/>
            <w:hideMark/>
          </w:tcPr>
          <w:p w14:paraId="4324B03F"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18A3D1F"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5F57BF1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444B379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149F77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24.20 ± 3.58</w:t>
            </w:r>
          </w:p>
        </w:tc>
        <w:tc>
          <w:tcPr>
            <w:tcW w:w="763" w:type="pct"/>
            <w:vAlign w:val="center"/>
            <w:hideMark/>
          </w:tcPr>
          <w:p w14:paraId="44B6D62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10.10 ± 1.36</w:t>
            </w:r>
          </w:p>
        </w:tc>
        <w:tc>
          <w:tcPr>
            <w:tcW w:w="865" w:type="pct"/>
            <w:vAlign w:val="center"/>
            <w:hideMark/>
          </w:tcPr>
          <w:p w14:paraId="3541E89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4.84 ± 0.72</w:t>
            </w:r>
          </w:p>
        </w:tc>
      </w:tr>
      <w:tr w:rsidR="00EA0E37" w:rsidRPr="00305561" w14:paraId="1194297F" w14:textId="77777777" w:rsidTr="00053A8F">
        <w:tc>
          <w:tcPr>
            <w:tcW w:w="905" w:type="pct"/>
            <w:vAlign w:val="center"/>
            <w:hideMark/>
          </w:tcPr>
          <w:p w14:paraId="6C288803"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69F6DD3D"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3E925AA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0FABBAC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4A29AB3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21.40 ± 2.91</w:t>
            </w:r>
          </w:p>
        </w:tc>
        <w:tc>
          <w:tcPr>
            <w:tcW w:w="763" w:type="pct"/>
            <w:vAlign w:val="center"/>
            <w:hideMark/>
          </w:tcPr>
          <w:p w14:paraId="3B9AB3B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8.91 ± 1.16</w:t>
            </w:r>
          </w:p>
        </w:tc>
        <w:tc>
          <w:tcPr>
            <w:tcW w:w="865" w:type="pct"/>
            <w:vAlign w:val="center"/>
            <w:hideMark/>
          </w:tcPr>
          <w:p w14:paraId="38EDB06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4.28 ± 0.58</w:t>
            </w:r>
          </w:p>
        </w:tc>
      </w:tr>
      <w:tr w:rsidR="00EA0E37" w:rsidRPr="00305561" w14:paraId="36672665" w14:textId="77777777" w:rsidTr="00053A8F">
        <w:tc>
          <w:tcPr>
            <w:tcW w:w="905" w:type="pct"/>
            <w:vAlign w:val="center"/>
            <w:hideMark/>
          </w:tcPr>
          <w:p w14:paraId="7C089FB6"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1E3FA4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2049A9B"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15AC040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0324351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22.13 ± 3.18</w:t>
            </w:r>
          </w:p>
        </w:tc>
        <w:tc>
          <w:tcPr>
            <w:tcW w:w="763" w:type="pct"/>
            <w:vAlign w:val="center"/>
            <w:hideMark/>
          </w:tcPr>
          <w:p w14:paraId="1F15D9C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9.20 ± 1.21</w:t>
            </w:r>
          </w:p>
        </w:tc>
        <w:tc>
          <w:tcPr>
            <w:tcW w:w="865" w:type="pct"/>
            <w:vAlign w:val="center"/>
            <w:hideMark/>
          </w:tcPr>
          <w:p w14:paraId="245044A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4.43 ± 0.64</w:t>
            </w:r>
          </w:p>
        </w:tc>
      </w:tr>
      <w:tr w:rsidR="00EA0E37" w:rsidRPr="00305561" w14:paraId="5B95928E" w14:textId="77777777" w:rsidTr="00053A8F">
        <w:tc>
          <w:tcPr>
            <w:tcW w:w="905" w:type="pct"/>
            <w:vAlign w:val="center"/>
            <w:hideMark/>
          </w:tcPr>
          <w:p w14:paraId="2E38B51A"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Pooled</w:t>
            </w:r>
          </w:p>
        </w:tc>
        <w:tc>
          <w:tcPr>
            <w:tcW w:w="421" w:type="pct"/>
            <w:vAlign w:val="center"/>
            <w:hideMark/>
          </w:tcPr>
          <w:p w14:paraId="50887A11"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1EBFACE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3A59D64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70.56</w:t>
            </w:r>
          </w:p>
        </w:tc>
        <w:tc>
          <w:tcPr>
            <w:tcW w:w="723" w:type="pct"/>
            <w:vAlign w:val="center"/>
            <w:hideMark/>
          </w:tcPr>
          <w:p w14:paraId="237DC43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22.78 ± 3.25</w:t>
            </w:r>
          </w:p>
        </w:tc>
        <w:tc>
          <w:tcPr>
            <w:tcW w:w="763" w:type="pct"/>
            <w:vAlign w:val="center"/>
            <w:hideMark/>
          </w:tcPr>
          <w:p w14:paraId="2ADC95A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9.52 ± 1.26</w:t>
            </w:r>
          </w:p>
        </w:tc>
        <w:tc>
          <w:tcPr>
            <w:tcW w:w="865" w:type="pct"/>
            <w:vAlign w:val="center"/>
            <w:hideMark/>
          </w:tcPr>
          <w:p w14:paraId="6B66A35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4.56 ± 0.65</w:t>
            </w:r>
          </w:p>
        </w:tc>
      </w:tr>
      <w:tr w:rsidR="00EA0E37" w:rsidRPr="00305561" w14:paraId="789A9DA0" w14:textId="77777777" w:rsidTr="00053A8F">
        <w:tc>
          <w:tcPr>
            <w:tcW w:w="905" w:type="pct"/>
            <w:vAlign w:val="center"/>
            <w:hideMark/>
          </w:tcPr>
          <w:p w14:paraId="142429EE"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4A6948D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441CD8A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21AFF8A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76E3CA4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20.20 ± 2.90</w:t>
            </w:r>
          </w:p>
        </w:tc>
        <w:tc>
          <w:tcPr>
            <w:tcW w:w="763" w:type="pct"/>
            <w:vAlign w:val="center"/>
            <w:hideMark/>
          </w:tcPr>
          <w:p w14:paraId="1BD4FAC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8.32 ± 1.10</w:t>
            </w:r>
          </w:p>
        </w:tc>
        <w:tc>
          <w:tcPr>
            <w:tcW w:w="865" w:type="pct"/>
            <w:vAlign w:val="center"/>
            <w:hideMark/>
          </w:tcPr>
          <w:p w14:paraId="54A5D2F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4.04 ± 0.58</w:t>
            </w:r>
          </w:p>
        </w:tc>
      </w:tr>
      <w:tr w:rsidR="00EA0E37" w:rsidRPr="00305561" w14:paraId="67C80598" w14:textId="77777777" w:rsidTr="00053A8F">
        <w:tc>
          <w:tcPr>
            <w:tcW w:w="905" w:type="pct"/>
            <w:vAlign w:val="center"/>
            <w:hideMark/>
          </w:tcPr>
          <w:p w14:paraId="5E9DEBCC"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6B6BE7DE"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25AB2C0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32C4F6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73.33</w:t>
            </w:r>
          </w:p>
        </w:tc>
        <w:tc>
          <w:tcPr>
            <w:tcW w:w="723" w:type="pct"/>
            <w:vAlign w:val="center"/>
            <w:hideMark/>
          </w:tcPr>
          <w:p w14:paraId="492FF89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23.80 ± 3.48</w:t>
            </w:r>
          </w:p>
        </w:tc>
        <w:tc>
          <w:tcPr>
            <w:tcW w:w="763" w:type="pct"/>
            <w:vAlign w:val="center"/>
            <w:hideMark/>
          </w:tcPr>
          <w:p w14:paraId="5061808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10.02 ± 1.40</w:t>
            </w:r>
          </w:p>
        </w:tc>
        <w:tc>
          <w:tcPr>
            <w:tcW w:w="865" w:type="pct"/>
            <w:vAlign w:val="center"/>
            <w:hideMark/>
          </w:tcPr>
          <w:p w14:paraId="478C2DD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4.76 ± 0.70</w:t>
            </w:r>
          </w:p>
        </w:tc>
      </w:tr>
      <w:tr w:rsidR="00EA0E37" w:rsidRPr="00305561" w14:paraId="2636383F" w14:textId="77777777" w:rsidTr="00053A8F">
        <w:tc>
          <w:tcPr>
            <w:tcW w:w="905" w:type="pct"/>
            <w:vAlign w:val="center"/>
            <w:hideMark/>
          </w:tcPr>
          <w:p w14:paraId="7F8B8CA7"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279FED36"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3D5C04E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0E3545C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2CC187D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21.10 ± 3.12</w:t>
            </w:r>
          </w:p>
        </w:tc>
        <w:tc>
          <w:tcPr>
            <w:tcW w:w="763" w:type="pct"/>
            <w:vAlign w:val="center"/>
            <w:hideMark/>
          </w:tcPr>
          <w:p w14:paraId="1784A8E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8.74 ± 1.15</w:t>
            </w:r>
          </w:p>
        </w:tc>
        <w:tc>
          <w:tcPr>
            <w:tcW w:w="865" w:type="pct"/>
            <w:vAlign w:val="center"/>
            <w:hideMark/>
          </w:tcPr>
          <w:p w14:paraId="574FA9E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4.22 ± 0.62</w:t>
            </w:r>
          </w:p>
        </w:tc>
      </w:tr>
      <w:tr w:rsidR="00EA0E37" w:rsidRPr="00305561" w14:paraId="58B451A8" w14:textId="77777777" w:rsidTr="00053A8F">
        <w:tc>
          <w:tcPr>
            <w:tcW w:w="905" w:type="pct"/>
            <w:vAlign w:val="center"/>
            <w:hideMark/>
          </w:tcPr>
          <w:p w14:paraId="0918923F"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0EAF27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7092A2F7"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4482CCA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68F0E95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21.70 ± 3.17</w:t>
            </w:r>
          </w:p>
        </w:tc>
        <w:tc>
          <w:tcPr>
            <w:tcW w:w="763" w:type="pct"/>
            <w:vAlign w:val="center"/>
            <w:hideMark/>
          </w:tcPr>
          <w:p w14:paraId="7D35B3C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9.03 ± 1.22</w:t>
            </w:r>
          </w:p>
        </w:tc>
        <w:tc>
          <w:tcPr>
            <w:tcW w:w="865" w:type="pct"/>
            <w:vAlign w:val="center"/>
            <w:hideMark/>
          </w:tcPr>
          <w:p w14:paraId="103EEA6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4.34 ± 0.63</w:t>
            </w:r>
          </w:p>
        </w:tc>
      </w:tr>
      <w:tr w:rsidR="00EA0E37" w:rsidRPr="00305561" w14:paraId="6D1138CC" w14:textId="77777777" w:rsidTr="00053A8F">
        <w:tc>
          <w:tcPr>
            <w:tcW w:w="905" w:type="pct"/>
            <w:vAlign w:val="center"/>
            <w:hideMark/>
          </w:tcPr>
          <w:p w14:paraId="18AD6FC0"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50A4EAC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61D069F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137E7BC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63.33</w:t>
            </w:r>
          </w:p>
        </w:tc>
        <w:tc>
          <w:tcPr>
            <w:tcW w:w="723" w:type="pct"/>
            <w:vAlign w:val="center"/>
            <w:hideMark/>
          </w:tcPr>
          <w:p w14:paraId="76605B7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19.50 ± 2.78</w:t>
            </w:r>
          </w:p>
        </w:tc>
        <w:tc>
          <w:tcPr>
            <w:tcW w:w="763" w:type="pct"/>
            <w:vAlign w:val="center"/>
            <w:hideMark/>
          </w:tcPr>
          <w:p w14:paraId="69A19E9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7.96 ± 1.06</w:t>
            </w:r>
          </w:p>
        </w:tc>
        <w:tc>
          <w:tcPr>
            <w:tcW w:w="865" w:type="pct"/>
            <w:vAlign w:val="center"/>
            <w:hideMark/>
          </w:tcPr>
          <w:p w14:paraId="784E409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3.90 ± 0.56</w:t>
            </w:r>
          </w:p>
        </w:tc>
      </w:tr>
      <w:tr w:rsidR="00EA0E37" w:rsidRPr="00305561" w14:paraId="54E7361E" w14:textId="77777777" w:rsidTr="00053A8F">
        <w:tc>
          <w:tcPr>
            <w:tcW w:w="905" w:type="pct"/>
            <w:vAlign w:val="center"/>
            <w:hideMark/>
          </w:tcPr>
          <w:p w14:paraId="48BCD6D5"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0F8A7270"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4D54E9F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4DA1445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3EC75E4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22.50 ± 3.32</w:t>
            </w:r>
          </w:p>
        </w:tc>
        <w:tc>
          <w:tcPr>
            <w:tcW w:w="763" w:type="pct"/>
            <w:vAlign w:val="center"/>
            <w:hideMark/>
          </w:tcPr>
          <w:p w14:paraId="017884C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9.48 ± 1.30</w:t>
            </w:r>
          </w:p>
        </w:tc>
        <w:tc>
          <w:tcPr>
            <w:tcW w:w="865" w:type="pct"/>
            <w:vAlign w:val="center"/>
            <w:hideMark/>
          </w:tcPr>
          <w:p w14:paraId="078A04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4.50 ± 0.66</w:t>
            </w:r>
          </w:p>
        </w:tc>
      </w:tr>
      <w:tr w:rsidR="00EA0E37" w:rsidRPr="00305561" w14:paraId="5E59BF5E" w14:textId="77777777" w:rsidTr="00053A8F">
        <w:tc>
          <w:tcPr>
            <w:tcW w:w="905" w:type="pct"/>
            <w:vAlign w:val="center"/>
            <w:hideMark/>
          </w:tcPr>
          <w:p w14:paraId="4513F5BA"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29C6B40B"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46F5CA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5E72459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60E5466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20.10 ± 2.98</w:t>
            </w:r>
          </w:p>
        </w:tc>
        <w:tc>
          <w:tcPr>
            <w:tcW w:w="763" w:type="pct"/>
            <w:vAlign w:val="center"/>
            <w:hideMark/>
          </w:tcPr>
          <w:p w14:paraId="56CB3B0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8.26 ± 1.09</w:t>
            </w:r>
          </w:p>
        </w:tc>
        <w:tc>
          <w:tcPr>
            <w:tcW w:w="865" w:type="pct"/>
            <w:vAlign w:val="center"/>
            <w:hideMark/>
          </w:tcPr>
          <w:p w14:paraId="4DA56D2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4.02 ± 0.60</w:t>
            </w:r>
          </w:p>
        </w:tc>
      </w:tr>
      <w:tr w:rsidR="00EA0E37" w:rsidRPr="00305561" w14:paraId="38C26C74" w14:textId="77777777" w:rsidTr="00053A8F">
        <w:tc>
          <w:tcPr>
            <w:tcW w:w="905" w:type="pct"/>
            <w:vAlign w:val="center"/>
            <w:hideMark/>
          </w:tcPr>
          <w:p w14:paraId="340F748E"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4FF74BA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D1DCD89"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5B62DD6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7AD3BF8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20.70 ± 3.03</w:t>
            </w:r>
          </w:p>
        </w:tc>
        <w:tc>
          <w:tcPr>
            <w:tcW w:w="763" w:type="pct"/>
            <w:vAlign w:val="center"/>
            <w:hideMark/>
          </w:tcPr>
          <w:p w14:paraId="2868AB5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8.57 ± 1.15</w:t>
            </w:r>
          </w:p>
        </w:tc>
        <w:tc>
          <w:tcPr>
            <w:tcW w:w="865" w:type="pct"/>
            <w:vAlign w:val="center"/>
            <w:hideMark/>
          </w:tcPr>
          <w:p w14:paraId="5280F84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4.14 ± 0.61</w:t>
            </w:r>
          </w:p>
        </w:tc>
      </w:tr>
      <w:tr w:rsidR="00EA0E37" w:rsidRPr="00305561" w14:paraId="71BE1DAE" w14:textId="77777777" w:rsidTr="00053A8F">
        <w:tc>
          <w:tcPr>
            <w:tcW w:w="905" w:type="pct"/>
            <w:vAlign w:val="center"/>
            <w:hideMark/>
          </w:tcPr>
          <w:p w14:paraId="15C766C0"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lastRenderedPageBreak/>
              <w:t>Khajiramaram</w:t>
            </w:r>
            <w:proofErr w:type="spellEnd"/>
            <w:r w:rsidRPr="00305561">
              <w:rPr>
                <w:rFonts w:ascii="Times New Roman" w:hAnsi="Times New Roman" w:cs="Times New Roman"/>
                <w:sz w:val="24"/>
                <w:szCs w:val="24"/>
              </w:rPr>
              <w:t xml:space="preserve"> Pooled</w:t>
            </w:r>
          </w:p>
        </w:tc>
        <w:tc>
          <w:tcPr>
            <w:tcW w:w="421" w:type="pct"/>
            <w:vAlign w:val="center"/>
            <w:hideMark/>
          </w:tcPr>
          <w:p w14:paraId="1DBD879A"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0B07ED1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4A1F9CD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67.78</w:t>
            </w:r>
          </w:p>
        </w:tc>
        <w:tc>
          <w:tcPr>
            <w:tcW w:w="723" w:type="pct"/>
            <w:vAlign w:val="center"/>
            <w:hideMark/>
          </w:tcPr>
          <w:p w14:paraId="39D1C0B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21.20 ± 3.10</w:t>
            </w:r>
          </w:p>
        </w:tc>
        <w:tc>
          <w:tcPr>
            <w:tcW w:w="763" w:type="pct"/>
            <w:vAlign w:val="center"/>
            <w:hideMark/>
          </w:tcPr>
          <w:p w14:paraId="3EDC3FE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8.80 ± 1.18</w:t>
            </w:r>
          </w:p>
        </w:tc>
        <w:tc>
          <w:tcPr>
            <w:tcW w:w="865" w:type="pct"/>
            <w:vAlign w:val="center"/>
            <w:hideMark/>
          </w:tcPr>
          <w:p w14:paraId="228C0C3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4.24 ± 0.62</w:t>
            </w:r>
          </w:p>
        </w:tc>
      </w:tr>
      <w:tr w:rsidR="00EA0E37" w:rsidRPr="00305561" w14:paraId="3BAA6333" w14:textId="77777777" w:rsidTr="00053A8F">
        <w:tc>
          <w:tcPr>
            <w:tcW w:w="905" w:type="pct"/>
            <w:vAlign w:val="center"/>
            <w:hideMark/>
          </w:tcPr>
          <w:p w14:paraId="25858BC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Overall Study Area</w:t>
            </w:r>
          </w:p>
        </w:tc>
        <w:tc>
          <w:tcPr>
            <w:tcW w:w="421" w:type="pct"/>
            <w:vAlign w:val="center"/>
            <w:hideMark/>
          </w:tcPr>
          <w:p w14:paraId="0F503CF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All 20 plots</w:t>
            </w:r>
          </w:p>
        </w:tc>
        <w:tc>
          <w:tcPr>
            <w:tcW w:w="520" w:type="pct"/>
            <w:vAlign w:val="center"/>
            <w:hideMark/>
          </w:tcPr>
          <w:p w14:paraId="143FAA3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Pooled</w:t>
            </w:r>
          </w:p>
        </w:tc>
        <w:tc>
          <w:tcPr>
            <w:tcW w:w="803" w:type="pct"/>
            <w:vAlign w:val="center"/>
            <w:hideMark/>
          </w:tcPr>
          <w:p w14:paraId="6972F68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69.17</w:t>
            </w:r>
          </w:p>
        </w:tc>
        <w:tc>
          <w:tcPr>
            <w:tcW w:w="723" w:type="pct"/>
            <w:vAlign w:val="center"/>
            <w:hideMark/>
          </w:tcPr>
          <w:p w14:paraId="7A69338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21.99 ± 3.18</w:t>
            </w:r>
          </w:p>
        </w:tc>
        <w:tc>
          <w:tcPr>
            <w:tcW w:w="763" w:type="pct"/>
            <w:vAlign w:val="center"/>
            <w:hideMark/>
          </w:tcPr>
          <w:p w14:paraId="30EA6D4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9.16 ± 1.22</w:t>
            </w:r>
          </w:p>
        </w:tc>
        <w:tc>
          <w:tcPr>
            <w:tcW w:w="865" w:type="pct"/>
            <w:vAlign w:val="center"/>
            <w:hideMark/>
          </w:tcPr>
          <w:p w14:paraId="2C6F0F4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4.40 ± 0.64</w:t>
            </w:r>
          </w:p>
        </w:tc>
      </w:tr>
    </w:tbl>
    <w:p w14:paraId="2B384A0E" w14:textId="77777777" w:rsidR="00EA0E37" w:rsidRPr="00305561" w:rsidRDefault="00EA0E37" w:rsidP="00305561">
      <w:pPr>
        <w:spacing w:after="0" w:line="360" w:lineRule="auto"/>
        <w:jc w:val="both"/>
        <w:rPr>
          <w:rFonts w:ascii="Times New Roman" w:hAnsi="Times New Roman" w:cs="Times New Roman"/>
          <w:sz w:val="24"/>
          <w:szCs w:val="24"/>
        </w:rPr>
      </w:pPr>
    </w:p>
    <w:p w14:paraId="1E9C049C" w14:textId="1719A3DC"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Seasonal Incidence and Population Dynamics in Relation to Rice Growth Stages</w:t>
      </w:r>
      <w:r w:rsidR="0086719E" w:rsidRPr="00305561">
        <w:rPr>
          <w:rFonts w:ascii="Times New Roman" w:hAnsi="Times New Roman" w:cs="Times New Roman"/>
          <w:sz w:val="24"/>
          <w:szCs w:val="24"/>
        </w:rPr>
        <w:t xml:space="preserve">: </w:t>
      </w:r>
      <w:r w:rsidRPr="00305561">
        <w:rPr>
          <w:rFonts w:ascii="Times New Roman" w:hAnsi="Times New Roman" w:cs="Times New Roman"/>
          <w:sz w:val="24"/>
          <w:szCs w:val="24"/>
        </w:rPr>
        <w:t>Fortnightly monitoring from transplanting (first fortnight of August) to harvest (second fortnight of November) showed a clear unimodal seasonal pattern. The crop remained completely free of gall-midge symptoms (0.00% SS) during the first fortnight of August (15 DAT). Initial infestation was first recorded during the second fortnight of August (30 DAT), with mean plant incidence of 10.50% in 2023, 13.00% in 2024 and 11.25% in 2025 (pooled 11.58 ± 1.28%) and corresponding SS% of 3.42%, 4.18% and 3.65% (pooled 3.75 ± 0.39%).</w:t>
      </w:r>
    </w:p>
    <w:p w14:paraId="6269A106"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The pest multiplied rapidly throughout September. Infestation rose sharply during the first fortnight of September (45 DAT) and reached its seasonal peak during the second fortnight of September (60 DAT). At peak activity, mean plant damage was 46.50% in 2023, 52.00% in 2024 and 48.25% in 2025 (pooled 48.92 ± 2.81%). Tiller infestation peaked at 19.85% SS in 2023, 23.40% SS in 2024 and 20.65% SS in 2025 (pooled 21.30 ± 1.86% SS; abundance 9.78 ± 0.56 affected hills per 25 m²). After the late-September peak, incidence declined during the first fortnight of October (75 DAT; pooled 13.68 ± 1.25% SS) and the second fortnight of October (90 DAT; pooled 5.84 ± 0.72% SS). By the first fortnight of November (105 DAT), fresh gall formation had almost stopped (1.12 ± 0.21% SS). No active infestation (0.00% SS) was recorded at harvest (120 DAT) (Table 2).</w:t>
      </w:r>
    </w:p>
    <w:p w14:paraId="0953408B"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population was closely linked to growth stages and active mainly during the vegetative phase. During the early vegetative </w:t>
      </w:r>
      <w:proofErr w:type="spellStart"/>
      <w:r w:rsidRPr="00305561">
        <w:rPr>
          <w:rFonts w:ascii="Times New Roman" w:hAnsi="Times New Roman" w:cs="Times New Roman"/>
          <w:sz w:val="24"/>
          <w:szCs w:val="24"/>
        </w:rPr>
        <w:t>stage</w:t>
      </w:r>
      <w:proofErr w:type="spellEnd"/>
      <w:r w:rsidRPr="00305561">
        <w:rPr>
          <w:rFonts w:ascii="Times New Roman" w:hAnsi="Times New Roman" w:cs="Times New Roman"/>
          <w:sz w:val="24"/>
          <w:szCs w:val="24"/>
        </w:rPr>
        <w:t xml:space="preserve"> (15 DAT), no silver shoots were visible (0.00% SS). In the active tillering stage (30–45 DAT), pooled SS% rose from 3.75% to 14.02%. The highest infestation was recorded at the maximum tillering stage (60 DAT; pooled mean 21.30%). After panicle initiation (75 DAT), infestation started declining (pooled mean 13.68% SS). During the reproductive and maturity stages (90–120 DAT), almost no new galls were formed and SS% fell from 5.84% to 0.00% by harvest. These observations show that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xml:space="preserve"> is strictly a vegetative-stage pest; its population rises with tiller production and collapses once the crop moves into the reproductive phase (Table 2).</w:t>
      </w:r>
    </w:p>
    <w:p w14:paraId="21487D55" w14:textId="74FCE231" w:rsidR="00EA0E37" w:rsidRPr="00305561" w:rsidRDefault="00EA0E37" w:rsidP="00305561">
      <w:pPr>
        <w:spacing w:after="0" w:line="360" w:lineRule="auto"/>
        <w:jc w:val="center"/>
        <w:rPr>
          <w:rFonts w:ascii="Times New Roman" w:hAnsi="Times New Roman" w:cs="Times New Roman"/>
          <w:sz w:val="24"/>
          <w:szCs w:val="24"/>
        </w:rPr>
      </w:pPr>
      <w:r w:rsidRPr="00305561">
        <w:rPr>
          <w:rFonts w:ascii="Times New Roman" w:hAnsi="Times New Roman" w:cs="Times New Roman"/>
          <w:b/>
          <w:bCs/>
          <w:sz w:val="24"/>
          <w:szCs w:val="24"/>
        </w:rPr>
        <w:lastRenderedPageBreak/>
        <w:t>Table 2</w:t>
      </w:r>
      <w:r w:rsidRPr="00305561">
        <w:rPr>
          <w:rFonts w:ascii="Times New Roman" w:hAnsi="Times New Roman" w:cs="Times New Roman"/>
          <w:sz w:val="24"/>
          <w:szCs w:val="24"/>
        </w:rPr>
        <w:t xml:space="preserve">. Fortnightly incidence, silver shoot percentage and abundance of </w:t>
      </w:r>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oryzae in relation to rice growth stage (pooled across 20 plots, Kharif 2023–2025)</w:t>
      </w:r>
    </w:p>
    <w:tbl>
      <w:tblPr>
        <w:tblStyle w:val="TableGrid"/>
        <w:tblW w:w="0" w:type="auto"/>
        <w:tblLook w:val="04A0" w:firstRow="1" w:lastRow="0" w:firstColumn="1" w:lastColumn="0" w:noHBand="0" w:noVBand="1"/>
      </w:tblPr>
      <w:tblGrid>
        <w:gridCol w:w="1906"/>
        <w:gridCol w:w="705"/>
        <w:gridCol w:w="1691"/>
        <w:gridCol w:w="1650"/>
        <w:gridCol w:w="1200"/>
        <w:gridCol w:w="1864"/>
      </w:tblGrid>
      <w:tr w:rsidR="00EA0E37" w:rsidRPr="00305561" w14:paraId="5EA9DCC8" w14:textId="77777777" w:rsidTr="00EA0E37">
        <w:tc>
          <w:tcPr>
            <w:tcW w:w="0" w:type="auto"/>
            <w:vAlign w:val="center"/>
            <w:hideMark/>
          </w:tcPr>
          <w:p w14:paraId="3AA77DE7"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Fortnight</w:t>
            </w:r>
          </w:p>
        </w:tc>
        <w:tc>
          <w:tcPr>
            <w:tcW w:w="0" w:type="auto"/>
            <w:vAlign w:val="center"/>
            <w:hideMark/>
          </w:tcPr>
          <w:p w14:paraId="4695D658"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DAT</w:t>
            </w:r>
          </w:p>
        </w:tc>
        <w:tc>
          <w:tcPr>
            <w:tcW w:w="0" w:type="auto"/>
            <w:vAlign w:val="center"/>
            <w:hideMark/>
          </w:tcPr>
          <w:p w14:paraId="7D4CCD20"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Growth Stage</w:t>
            </w:r>
          </w:p>
        </w:tc>
        <w:tc>
          <w:tcPr>
            <w:tcW w:w="0" w:type="auto"/>
            <w:vAlign w:val="center"/>
            <w:hideMark/>
          </w:tcPr>
          <w:p w14:paraId="066638B1"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Pooled Incidence (%)</w:t>
            </w:r>
          </w:p>
        </w:tc>
        <w:tc>
          <w:tcPr>
            <w:tcW w:w="0" w:type="auto"/>
            <w:vAlign w:val="center"/>
            <w:hideMark/>
          </w:tcPr>
          <w:p w14:paraId="1A999FB7"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Pooled SS (%)</w:t>
            </w:r>
          </w:p>
        </w:tc>
        <w:tc>
          <w:tcPr>
            <w:tcW w:w="0" w:type="auto"/>
            <w:vAlign w:val="center"/>
            <w:hideMark/>
          </w:tcPr>
          <w:p w14:paraId="1290F8EA"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Abundance (hills/25 m²)</w:t>
            </w:r>
          </w:p>
        </w:tc>
      </w:tr>
      <w:tr w:rsidR="00EA0E37" w:rsidRPr="00305561" w14:paraId="3D6EA529" w14:textId="77777777" w:rsidTr="00EA0E37">
        <w:tc>
          <w:tcPr>
            <w:tcW w:w="0" w:type="auto"/>
            <w:vAlign w:val="center"/>
            <w:hideMark/>
          </w:tcPr>
          <w:p w14:paraId="3587D23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Aug I</w:t>
            </w:r>
          </w:p>
        </w:tc>
        <w:tc>
          <w:tcPr>
            <w:tcW w:w="0" w:type="auto"/>
            <w:vAlign w:val="center"/>
            <w:hideMark/>
          </w:tcPr>
          <w:p w14:paraId="3697DDC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15</w:t>
            </w:r>
          </w:p>
        </w:tc>
        <w:tc>
          <w:tcPr>
            <w:tcW w:w="0" w:type="auto"/>
            <w:vAlign w:val="center"/>
            <w:hideMark/>
          </w:tcPr>
          <w:p w14:paraId="7B24AAD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Early Vegetative</w:t>
            </w:r>
          </w:p>
        </w:tc>
        <w:tc>
          <w:tcPr>
            <w:tcW w:w="0" w:type="auto"/>
            <w:vAlign w:val="center"/>
            <w:hideMark/>
          </w:tcPr>
          <w:p w14:paraId="48BA916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8692F8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65030D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07E1FE1F" w14:textId="77777777" w:rsidTr="00EA0E37">
        <w:tc>
          <w:tcPr>
            <w:tcW w:w="0" w:type="auto"/>
            <w:vAlign w:val="center"/>
            <w:hideMark/>
          </w:tcPr>
          <w:p w14:paraId="58C2F5C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Aug II</w:t>
            </w:r>
          </w:p>
        </w:tc>
        <w:tc>
          <w:tcPr>
            <w:tcW w:w="0" w:type="auto"/>
            <w:vAlign w:val="center"/>
            <w:hideMark/>
          </w:tcPr>
          <w:p w14:paraId="4A5CA67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30</w:t>
            </w:r>
          </w:p>
        </w:tc>
        <w:tc>
          <w:tcPr>
            <w:tcW w:w="0" w:type="auto"/>
            <w:vAlign w:val="center"/>
            <w:hideMark/>
          </w:tcPr>
          <w:p w14:paraId="5F6C14A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Active Tillering (Early)</w:t>
            </w:r>
          </w:p>
        </w:tc>
        <w:tc>
          <w:tcPr>
            <w:tcW w:w="0" w:type="auto"/>
            <w:vAlign w:val="center"/>
            <w:hideMark/>
          </w:tcPr>
          <w:p w14:paraId="50602A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11.58 ± 1.28</w:t>
            </w:r>
          </w:p>
        </w:tc>
        <w:tc>
          <w:tcPr>
            <w:tcW w:w="0" w:type="auto"/>
            <w:vAlign w:val="center"/>
            <w:hideMark/>
          </w:tcPr>
          <w:p w14:paraId="1452D01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3.75 ± 0.39</w:t>
            </w:r>
          </w:p>
        </w:tc>
        <w:tc>
          <w:tcPr>
            <w:tcW w:w="0" w:type="auto"/>
            <w:vAlign w:val="center"/>
            <w:hideMark/>
          </w:tcPr>
          <w:p w14:paraId="4805217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2.32 ± 0.26</w:t>
            </w:r>
          </w:p>
        </w:tc>
      </w:tr>
      <w:tr w:rsidR="00EA0E37" w:rsidRPr="00305561" w14:paraId="1E9C5F8E" w14:textId="77777777" w:rsidTr="00EA0E37">
        <w:tc>
          <w:tcPr>
            <w:tcW w:w="0" w:type="auto"/>
            <w:vAlign w:val="center"/>
            <w:hideMark/>
          </w:tcPr>
          <w:p w14:paraId="03DE929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Sep I</w:t>
            </w:r>
          </w:p>
        </w:tc>
        <w:tc>
          <w:tcPr>
            <w:tcW w:w="0" w:type="auto"/>
            <w:vAlign w:val="center"/>
            <w:hideMark/>
          </w:tcPr>
          <w:p w14:paraId="0CAADF4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w:t>
            </w:r>
          </w:p>
        </w:tc>
        <w:tc>
          <w:tcPr>
            <w:tcW w:w="0" w:type="auto"/>
            <w:vAlign w:val="center"/>
            <w:hideMark/>
          </w:tcPr>
          <w:p w14:paraId="1244B5F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Active Tillering (Mid)</w:t>
            </w:r>
          </w:p>
        </w:tc>
        <w:tc>
          <w:tcPr>
            <w:tcW w:w="0" w:type="auto"/>
            <w:vAlign w:val="center"/>
            <w:hideMark/>
          </w:tcPr>
          <w:p w14:paraId="71063C7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33.50 ± 2.78</w:t>
            </w:r>
          </w:p>
        </w:tc>
        <w:tc>
          <w:tcPr>
            <w:tcW w:w="0" w:type="auto"/>
            <w:vAlign w:val="center"/>
            <w:hideMark/>
          </w:tcPr>
          <w:p w14:paraId="1749A83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14.02 ± 1.47</w:t>
            </w:r>
          </w:p>
        </w:tc>
        <w:tc>
          <w:tcPr>
            <w:tcW w:w="0" w:type="auto"/>
            <w:vAlign w:val="center"/>
            <w:hideMark/>
          </w:tcPr>
          <w:p w14:paraId="7FC75F3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6.70 ± 0.56</w:t>
            </w:r>
          </w:p>
        </w:tc>
      </w:tr>
      <w:tr w:rsidR="00EA0E37" w:rsidRPr="00305561" w14:paraId="5B620F32" w14:textId="77777777" w:rsidTr="00EA0E37">
        <w:tc>
          <w:tcPr>
            <w:tcW w:w="0" w:type="auto"/>
            <w:vAlign w:val="center"/>
            <w:hideMark/>
          </w:tcPr>
          <w:p w14:paraId="700A824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Sep II</w:t>
            </w:r>
          </w:p>
        </w:tc>
        <w:tc>
          <w:tcPr>
            <w:tcW w:w="0" w:type="auto"/>
            <w:vAlign w:val="center"/>
            <w:hideMark/>
          </w:tcPr>
          <w:p w14:paraId="5E33F63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60</w:t>
            </w:r>
          </w:p>
        </w:tc>
        <w:tc>
          <w:tcPr>
            <w:tcW w:w="0" w:type="auto"/>
            <w:vAlign w:val="center"/>
            <w:hideMark/>
          </w:tcPr>
          <w:p w14:paraId="0A7A817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Maximum Tillering</w:t>
            </w:r>
          </w:p>
        </w:tc>
        <w:tc>
          <w:tcPr>
            <w:tcW w:w="0" w:type="auto"/>
            <w:vAlign w:val="center"/>
            <w:hideMark/>
          </w:tcPr>
          <w:p w14:paraId="18C57D0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48.92 ± 2.81</w:t>
            </w:r>
          </w:p>
        </w:tc>
        <w:tc>
          <w:tcPr>
            <w:tcW w:w="0" w:type="auto"/>
            <w:vAlign w:val="center"/>
            <w:hideMark/>
          </w:tcPr>
          <w:p w14:paraId="6B599A3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21.30 ± 1.86</w:t>
            </w:r>
          </w:p>
        </w:tc>
        <w:tc>
          <w:tcPr>
            <w:tcW w:w="0" w:type="auto"/>
            <w:vAlign w:val="center"/>
            <w:hideMark/>
          </w:tcPr>
          <w:p w14:paraId="677DACF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9.78 ± 0.56</w:t>
            </w:r>
          </w:p>
        </w:tc>
      </w:tr>
      <w:tr w:rsidR="00EA0E37" w:rsidRPr="00305561" w14:paraId="4AFDF20F" w14:textId="77777777" w:rsidTr="00EA0E37">
        <w:tc>
          <w:tcPr>
            <w:tcW w:w="0" w:type="auto"/>
            <w:vAlign w:val="center"/>
            <w:hideMark/>
          </w:tcPr>
          <w:p w14:paraId="5BEDCE3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Oct I</w:t>
            </w:r>
          </w:p>
        </w:tc>
        <w:tc>
          <w:tcPr>
            <w:tcW w:w="0" w:type="auto"/>
            <w:vAlign w:val="center"/>
            <w:hideMark/>
          </w:tcPr>
          <w:p w14:paraId="4D0D517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75</w:t>
            </w:r>
          </w:p>
        </w:tc>
        <w:tc>
          <w:tcPr>
            <w:tcW w:w="0" w:type="auto"/>
            <w:vAlign w:val="center"/>
            <w:hideMark/>
          </w:tcPr>
          <w:p w14:paraId="12FB76F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Panicle Initiation</w:t>
            </w:r>
          </w:p>
        </w:tc>
        <w:tc>
          <w:tcPr>
            <w:tcW w:w="0" w:type="auto"/>
            <w:vAlign w:val="center"/>
            <w:hideMark/>
          </w:tcPr>
          <w:p w14:paraId="540F735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36.00 ± 2.29</w:t>
            </w:r>
          </w:p>
        </w:tc>
        <w:tc>
          <w:tcPr>
            <w:tcW w:w="0" w:type="auto"/>
            <w:vAlign w:val="center"/>
            <w:hideMark/>
          </w:tcPr>
          <w:p w14:paraId="6FC89E6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13.68 ± 1.25</w:t>
            </w:r>
          </w:p>
        </w:tc>
        <w:tc>
          <w:tcPr>
            <w:tcW w:w="0" w:type="auto"/>
            <w:vAlign w:val="center"/>
            <w:hideMark/>
          </w:tcPr>
          <w:p w14:paraId="7E70DDE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7.20 ± 0.46</w:t>
            </w:r>
          </w:p>
        </w:tc>
      </w:tr>
      <w:tr w:rsidR="00EA0E37" w:rsidRPr="00305561" w14:paraId="0828E6A9" w14:textId="77777777" w:rsidTr="00EA0E37">
        <w:tc>
          <w:tcPr>
            <w:tcW w:w="0" w:type="auto"/>
            <w:vAlign w:val="center"/>
            <w:hideMark/>
          </w:tcPr>
          <w:p w14:paraId="0B3C0F2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Oct II</w:t>
            </w:r>
          </w:p>
        </w:tc>
        <w:tc>
          <w:tcPr>
            <w:tcW w:w="0" w:type="auto"/>
            <w:vAlign w:val="center"/>
            <w:hideMark/>
          </w:tcPr>
          <w:p w14:paraId="1A1D2B2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90</w:t>
            </w:r>
          </w:p>
        </w:tc>
        <w:tc>
          <w:tcPr>
            <w:tcW w:w="0" w:type="auto"/>
            <w:vAlign w:val="center"/>
            <w:hideMark/>
          </w:tcPr>
          <w:p w14:paraId="6C0C1EB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Flowering / Booting</w:t>
            </w:r>
          </w:p>
        </w:tc>
        <w:tc>
          <w:tcPr>
            <w:tcW w:w="0" w:type="auto"/>
            <w:vAlign w:val="center"/>
            <w:hideMark/>
          </w:tcPr>
          <w:p w14:paraId="28029C1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17.83 ± 1.53</w:t>
            </w:r>
          </w:p>
        </w:tc>
        <w:tc>
          <w:tcPr>
            <w:tcW w:w="0" w:type="auto"/>
            <w:vAlign w:val="center"/>
            <w:hideMark/>
          </w:tcPr>
          <w:p w14:paraId="072AB09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5.84 ± 0.72</w:t>
            </w:r>
          </w:p>
        </w:tc>
        <w:tc>
          <w:tcPr>
            <w:tcW w:w="0" w:type="auto"/>
            <w:vAlign w:val="center"/>
            <w:hideMark/>
          </w:tcPr>
          <w:p w14:paraId="0BC4637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3.57 ± 0.31</w:t>
            </w:r>
          </w:p>
        </w:tc>
      </w:tr>
      <w:tr w:rsidR="00EA0E37" w:rsidRPr="00305561" w14:paraId="3A4D9EAC" w14:textId="77777777" w:rsidTr="00EA0E37">
        <w:tc>
          <w:tcPr>
            <w:tcW w:w="0" w:type="auto"/>
            <w:vAlign w:val="center"/>
            <w:hideMark/>
          </w:tcPr>
          <w:p w14:paraId="2425A2B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Nov I</w:t>
            </w:r>
          </w:p>
        </w:tc>
        <w:tc>
          <w:tcPr>
            <w:tcW w:w="0" w:type="auto"/>
            <w:vAlign w:val="center"/>
            <w:hideMark/>
          </w:tcPr>
          <w:p w14:paraId="52E0C8C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105</w:t>
            </w:r>
          </w:p>
        </w:tc>
        <w:tc>
          <w:tcPr>
            <w:tcW w:w="0" w:type="auto"/>
            <w:vAlign w:val="center"/>
            <w:hideMark/>
          </w:tcPr>
          <w:p w14:paraId="148298B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Milking / Dough</w:t>
            </w:r>
          </w:p>
        </w:tc>
        <w:tc>
          <w:tcPr>
            <w:tcW w:w="0" w:type="auto"/>
            <w:vAlign w:val="center"/>
            <w:hideMark/>
          </w:tcPr>
          <w:p w14:paraId="712A51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5.17 ± 0.76</w:t>
            </w:r>
          </w:p>
        </w:tc>
        <w:tc>
          <w:tcPr>
            <w:tcW w:w="0" w:type="auto"/>
            <w:vAlign w:val="center"/>
            <w:hideMark/>
          </w:tcPr>
          <w:p w14:paraId="7F84350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1.12 ± 0.21</w:t>
            </w:r>
          </w:p>
        </w:tc>
        <w:tc>
          <w:tcPr>
            <w:tcW w:w="0" w:type="auto"/>
            <w:vAlign w:val="center"/>
            <w:hideMark/>
          </w:tcPr>
          <w:p w14:paraId="0DF2E52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1.03 ± 0.15</w:t>
            </w:r>
          </w:p>
        </w:tc>
      </w:tr>
      <w:tr w:rsidR="00EA0E37" w:rsidRPr="00305561" w14:paraId="168960C7" w14:textId="77777777" w:rsidTr="00EA0E37">
        <w:tc>
          <w:tcPr>
            <w:tcW w:w="0" w:type="auto"/>
            <w:vAlign w:val="center"/>
            <w:hideMark/>
          </w:tcPr>
          <w:p w14:paraId="4ECD0B5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Nov II</w:t>
            </w:r>
          </w:p>
        </w:tc>
        <w:tc>
          <w:tcPr>
            <w:tcW w:w="0" w:type="auto"/>
            <w:vAlign w:val="center"/>
            <w:hideMark/>
          </w:tcPr>
          <w:p w14:paraId="2B39072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120</w:t>
            </w:r>
          </w:p>
        </w:tc>
        <w:tc>
          <w:tcPr>
            <w:tcW w:w="0" w:type="auto"/>
            <w:vAlign w:val="center"/>
            <w:hideMark/>
          </w:tcPr>
          <w:p w14:paraId="45D481B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Maturity / Harvest</w:t>
            </w:r>
          </w:p>
        </w:tc>
        <w:tc>
          <w:tcPr>
            <w:tcW w:w="0" w:type="auto"/>
            <w:vAlign w:val="center"/>
            <w:hideMark/>
          </w:tcPr>
          <w:p w14:paraId="048130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6B3A3B2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3FD469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3BFBDF80" w14:textId="77777777" w:rsidTr="00EA0E37">
        <w:tc>
          <w:tcPr>
            <w:tcW w:w="0" w:type="auto"/>
            <w:vAlign w:val="center"/>
            <w:hideMark/>
          </w:tcPr>
          <w:p w14:paraId="2F5270E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Seasonal mean (30–105 DAT)</w:t>
            </w:r>
          </w:p>
        </w:tc>
        <w:tc>
          <w:tcPr>
            <w:tcW w:w="0" w:type="auto"/>
            <w:vAlign w:val="center"/>
            <w:hideMark/>
          </w:tcPr>
          <w:p w14:paraId="08C354F9"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489F8742"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2B14CEA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25.50 ± 1.91</w:t>
            </w:r>
          </w:p>
        </w:tc>
        <w:tc>
          <w:tcPr>
            <w:tcW w:w="0" w:type="auto"/>
            <w:vAlign w:val="center"/>
            <w:hideMark/>
          </w:tcPr>
          <w:p w14:paraId="5849018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9.95 ± 0.98</w:t>
            </w:r>
          </w:p>
        </w:tc>
        <w:tc>
          <w:tcPr>
            <w:tcW w:w="0" w:type="auto"/>
            <w:vAlign w:val="center"/>
            <w:hideMark/>
          </w:tcPr>
          <w:p w14:paraId="03CBC97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5.10 ± 0.38</w:t>
            </w:r>
          </w:p>
        </w:tc>
      </w:tr>
      <w:tr w:rsidR="00EA0E37" w:rsidRPr="00305561" w14:paraId="57852A0A" w14:textId="77777777" w:rsidTr="00EA0E37">
        <w:tc>
          <w:tcPr>
            <w:tcW w:w="0" w:type="auto"/>
            <w:vAlign w:val="center"/>
            <w:hideMark/>
          </w:tcPr>
          <w:p w14:paraId="48B9F71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Seasonal mean (all 8 visits)</w:t>
            </w:r>
          </w:p>
        </w:tc>
        <w:tc>
          <w:tcPr>
            <w:tcW w:w="0" w:type="auto"/>
            <w:vAlign w:val="center"/>
            <w:hideMark/>
          </w:tcPr>
          <w:p w14:paraId="2149BD33"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24EC00B5"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0CE3D58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19.13 ± 1.43</w:t>
            </w:r>
          </w:p>
        </w:tc>
        <w:tc>
          <w:tcPr>
            <w:tcW w:w="0" w:type="auto"/>
            <w:vAlign w:val="center"/>
            <w:hideMark/>
          </w:tcPr>
          <w:p w14:paraId="1B846C1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7.46 ± 0.74</w:t>
            </w:r>
          </w:p>
        </w:tc>
        <w:tc>
          <w:tcPr>
            <w:tcW w:w="0" w:type="auto"/>
            <w:vAlign w:val="center"/>
            <w:hideMark/>
          </w:tcPr>
          <w:p w14:paraId="4233C7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3.83 ± 0.29</w:t>
            </w:r>
          </w:p>
        </w:tc>
      </w:tr>
    </w:tbl>
    <w:p w14:paraId="51CEC9D5" w14:textId="77777777" w:rsidR="005878BC" w:rsidRPr="00305561" w:rsidRDefault="005878BC" w:rsidP="00305561">
      <w:pPr>
        <w:spacing w:after="0" w:line="360" w:lineRule="auto"/>
        <w:jc w:val="both"/>
        <w:rPr>
          <w:rFonts w:ascii="Times New Roman" w:hAnsi="Times New Roman" w:cs="Times New Roman"/>
          <w:sz w:val="24"/>
          <w:szCs w:val="24"/>
        </w:rPr>
      </w:pPr>
    </w:p>
    <w:p w14:paraId="59DFD469" w14:textId="2A752872"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DISCUSSION</w:t>
      </w:r>
    </w:p>
    <w:p w14:paraId="7AE497A8"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Hierarchical multi-stage sampling demonstrated that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maintained a continuous and widespread spatial presence across both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throughout all three consecutive Kharif seasons. During the peak vegetative multiplication phase in September and October, plot-level pest occurrence reached 80.00% to 100.00% across all four fields, confirming that virtually every 25 m² sampling unit experienced active gall midge </w:t>
      </w:r>
      <w:r w:rsidRPr="00305561">
        <w:rPr>
          <w:rFonts w:ascii="Times New Roman" w:hAnsi="Times New Roman" w:cs="Times New Roman"/>
          <w:sz w:val="24"/>
          <w:szCs w:val="24"/>
        </w:rPr>
        <w:lastRenderedPageBreak/>
        <w:t xml:space="preserve">colonization. The three-year pooled plot occurrence was 69.17%, with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recording a slightly higher seasonal plot positivity (village pooled mean 70.56%) than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(67.78%). A parallel spatial gradient was observed for plant-level incidence and plot-level abundance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w:t>
      </w:r>
      <w:proofErr w:type="spellStart"/>
      <w:r w:rsidRPr="00305561">
        <w:rPr>
          <w:rFonts w:ascii="Times New Roman" w:hAnsi="Times New Roman" w:cs="Times New Roman"/>
          <w:sz w:val="24"/>
          <w:szCs w:val="24"/>
        </w:rPr>
        <w:t>Inakarla</w:t>
      </w:r>
      <w:proofErr w:type="spellEnd"/>
      <w:r w:rsidRPr="00305561">
        <w:rPr>
          <w:rFonts w:ascii="Times New Roman" w:hAnsi="Times New Roman" w:cs="Times New Roman"/>
          <w:sz w:val="24"/>
          <w:szCs w:val="24"/>
        </w:rPr>
        <w:t xml:space="preserve"> &amp; Harathi, 2023; Malathi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2026b; Rathod et al., 2022; Seni et al., 2023).</w:t>
      </w:r>
    </w:p>
    <w:p w14:paraId="2E9B0E3B" w14:textId="46953F1B"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The high degree of spatial homogeneity and persistent inter-annual endemicity can be attributed to the contiguous lowland paddy landscape of Nalgonda Mandal, where uniform agronomic practices</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including standing irrigation water, dense hill spacing and synchronous Kharif cultivation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 xml:space="preserve">buffer microclimatic extremes. Because adult gall midges are delicate, short-lived nocturnal fliers with limited long-range dispersal capacity, their uniform spatial distribution indicates that local colonization originates primarily from within-field and bund-margin carryover reservoirs rather than long-distance migration (CABI, 2019; Harris &amp; </w:t>
      </w:r>
      <w:proofErr w:type="spellStart"/>
      <w:r w:rsidRPr="00305561">
        <w:rPr>
          <w:rFonts w:ascii="Times New Roman" w:hAnsi="Times New Roman" w:cs="Times New Roman"/>
          <w:sz w:val="24"/>
          <w:szCs w:val="24"/>
        </w:rPr>
        <w:t>Gagné</w:t>
      </w:r>
      <w:proofErr w:type="spellEnd"/>
      <w:r w:rsidRPr="00305561">
        <w:rPr>
          <w:rFonts w:ascii="Times New Roman" w:hAnsi="Times New Roman" w:cs="Times New Roman"/>
          <w:sz w:val="24"/>
          <w:szCs w:val="24"/>
        </w:rPr>
        <w:t xml:space="preserve">, 1982; Patkar &amp; Ramesh, 2016; Sathishkumar et al., 2025). Diapausing or quiescent pre-pupae and larvae survive the dry off-season inside </w:t>
      </w:r>
      <w:proofErr w:type="spellStart"/>
      <w:r w:rsidRPr="00305561">
        <w:rPr>
          <w:rFonts w:ascii="Times New Roman" w:hAnsi="Times New Roman" w:cs="Times New Roman"/>
          <w:sz w:val="24"/>
          <w:szCs w:val="24"/>
        </w:rPr>
        <w:t>unploughed</w:t>
      </w:r>
      <w:proofErr w:type="spellEnd"/>
      <w:r w:rsidRPr="00305561">
        <w:rPr>
          <w:rFonts w:ascii="Times New Roman" w:hAnsi="Times New Roman" w:cs="Times New Roman"/>
          <w:sz w:val="24"/>
          <w:szCs w:val="24"/>
        </w:rPr>
        <w:t xml:space="preserve"> post-harvest rice stubbles, ratoon tillers, volunteer rice seedlings and sympatric wild </w:t>
      </w:r>
      <w:r w:rsidRPr="00305561">
        <w:rPr>
          <w:rFonts w:ascii="Times New Roman" w:hAnsi="Times New Roman" w:cs="Times New Roman"/>
          <w:i/>
          <w:iCs/>
          <w:sz w:val="24"/>
          <w:szCs w:val="24"/>
        </w:rPr>
        <w:t>Oryza</w:t>
      </w:r>
      <w:r w:rsidRPr="00305561">
        <w:rPr>
          <w:rFonts w:ascii="Times New Roman" w:hAnsi="Times New Roman" w:cs="Times New Roman"/>
          <w:sz w:val="24"/>
          <w:szCs w:val="24"/>
        </w:rPr>
        <w:t xml:space="preserve"> or hygrophilous </w:t>
      </w:r>
      <w:proofErr w:type="spellStart"/>
      <w:r w:rsidRPr="00305561">
        <w:rPr>
          <w:rFonts w:ascii="Times New Roman" w:hAnsi="Times New Roman" w:cs="Times New Roman"/>
          <w:sz w:val="24"/>
          <w:szCs w:val="24"/>
        </w:rPr>
        <w:t>Poaceae</w:t>
      </w:r>
      <w:proofErr w:type="spellEnd"/>
      <w:r w:rsidRPr="00305561">
        <w:rPr>
          <w:rFonts w:ascii="Times New Roman" w:hAnsi="Times New Roman" w:cs="Times New Roman"/>
          <w:sz w:val="24"/>
          <w:szCs w:val="24"/>
        </w:rPr>
        <w:t xml:space="preserve"> hosts (</w:t>
      </w:r>
      <w:proofErr w:type="spellStart"/>
      <w:r w:rsidRPr="00305561">
        <w:rPr>
          <w:rFonts w:ascii="Times New Roman" w:hAnsi="Times New Roman" w:cs="Times New Roman"/>
          <w:i/>
          <w:iCs/>
          <w:sz w:val="24"/>
          <w:szCs w:val="24"/>
        </w:rPr>
        <w:t>Leersia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hexandra</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Echinochloa</w:t>
      </w:r>
      <w:proofErr w:type="spellEnd"/>
      <w:r w:rsidRPr="00305561">
        <w:rPr>
          <w:rFonts w:ascii="Times New Roman" w:hAnsi="Times New Roman" w:cs="Times New Roman"/>
          <w:i/>
          <w:iCs/>
          <w:sz w:val="24"/>
          <w:szCs w:val="24"/>
        </w:rPr>
        <w:t xml:space="preserve"> crus-galli</w:t>
      </w:r>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Cynodon</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dactylon</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i/>
          <w:iCs/>
          <w:sz w:val="24"/>
          <w:szCs w:val="24"/>
        </w:rPr>
        <w:t>Ischaemum</w:t>
      </w:r>
      <w:proofErr w:type="spellEnd"/>
      <w:r w:rsidRPr="00305561">
        <w:rPr>
          <w:rFonts w:ascii="Times New Roman" w:hAnsi="Times New Roman" w:cs="Times New Roman"/>
          <w:sz w:val="24"/>
          <w:szCs w:val="24"/>
        </w:rPr>
        <w:t xml:space="preserve"> spp.) growing along moist irrigation channels and field bunds (CABI, 2019; Harris et al., 2003; Mondal et al., 2023). With the onset of early Kharif monsoon rains, adult emergence from these marginal reservoirs facilitates rapid, uniform invasion into newly transplanted paddy fields.</w:t>
      </w:r>
    </w:p>
    <w:p w14:paraId="0D7DAD33"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Pooled across all 20 plots and three Kharif seasons,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damaged 21.99 ± 3.18% of all examined rice hills (mean abundance 4.40 ± 0.64 affected hills out of 20 hills per 25 m² plot) and converted 9.16 ± 1.22% of all tillers into sterile silver shoots. In every field and cropping year, the seasonal mean silver shoot percentage remained consistently above the nationally accepted Economic Threshold Level of 5.0% SS (Mondal et al., 2023; Patkar &amp; Ramesh, 2016; Seni &amp; Pal, 2021). Feeding by the first-instar maggot at the vegetative apical meristem reprograms host primary metabolism to construct a nutritive gall chamber while suppressing floral differentiation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Rawat et al., 2012; Sardesai et al., 2001; Sinha et al., 2011, 2012b). Although early attack stimulates production of accessory tillers, sustained infestation exceeding the 5% SS threshold ensures that these late-emerging tillers are re-infested or fail to produce mature panicles (CABI, 2019; Harris et al., 2003; Sathishkumar et al., 2025). Each 1% increase in silver shoot incidence above the ETL translates into a 0.5% to 3.5% reduction in grain yield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Shravan Kumar et al., 2026).</w:t>
      </w:r>
    </w:p>
    <w:p w14:paraId="296A471C"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Comparison across the three cropping years revealed a consistent temporal hierarchy: Kharif 2024 recorded the highest overall plot occurrence, plant incidence, silver shoot percentage and </w:t>
      </w:r>
      <w:r w:rsidRPr="00305561">
        <w:rPr>
          <w:rFonts w:ascii="Times New Roman" w:hAnsi="Times New Roman" w:cs="Times New Roman"/>
          <w:sz w:val="24"/>
          <w:szCs w:val="24"/>
        </w:rPr>
        <w:lastRenderedPageBreak/>
        <w:t xml:space="preserve">plot abundance, followed by Kharif 2025 and Kharif 2023. Such inter-annual variations are characteristic of monsoon-driven </w:t>
      </w:r>
      <w:proofErr w:type="spellStart"/>
      <w:r w:rsidRPr="00305561">
        <w:rPr>
          <w:rFonts w:ascii="Times New Roman" w:hAnsi="Times New Roman" w:cs="Times New Roman"/>
          <w:sz w:val="24"/>
          <w:szCs w:val="24"/>
        </w:rPr>
        <w:t>agro</w:t>
      </w:r>
      <w:proofErr w:type="spellEnd"/>
      <w:r w:rsidRPr="00305561">
        <w:rPr>
          <w:rFonts w:ascii="Times New Roman" w:hAnsi="Times New Roman" w:cs="Times New Roman"/>
          <w:sz w:val="24"/>
          <w:szCs w:val="24"/>
        </w:rPr>
        <w:t xml:space="preserve">-ecosystems, where year-to-year differences in the onset, intensity and fortnightly distribution of August–September rainfall modulate canopy relative humidity and neonate larval survival (Rathod et al., 2022; Seni et al., 2023). The consistently high field infestation levels align with contemporary biotype surveillance documenting highly virulent regional populations of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in Telangana, including Biotype 4M in Warangal and Biotype 3 in </w:t>
      </w:r>
      <w:proofErr w:type="spellStart"/>
      <w:r w:rsidRPr="00305561">
        <w:rPr>
          <w:rFonts w:ascii="Times New Roman" w:hAnsi="Times New Roman" w:cs="Times New Roman"/>
          <w:sz w:val="24"/>
          <w:szCs w:val="24"/>
        </w:rPr>
        <w:t>Jagtial</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Rudrur</w:t>
      </w:r>
      <w:proofErr w:type="spellEnd"/>
      <w:r w:rsidRPr="00305561">
        <w:rPr>
          <w:rFonts w:ascii="Times New Roman" w:hAnsi="Times New Roman" w:cs="Times New Roman"/>
          <w:sz w:val="24"/>
          <w:szCs w:val="24"/>
        </w:rPr>
        <w:t xml:space="preserve">/Nizamabad (Anil Kumar et al., 2022; Malathi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2026a; Saicharan et al., 2025; Vijaya Lakshmi et al., 2006).</w:t>
      </w:r>
    </w:p>
    <w:p w14:paraId="6D36BEE2"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Systematic fortnightly monitoring revealed a highly consistent, unimodal seasonal population curve. The newly transplanted crop remained completely devoid of visible silver shoot symptoms at 15 DAT. Initial field symptom expression was consistently recorded at 30 DAT. Thereafter the pest population multiplied exponentially throughout September, culminating in a sharp peak at 60 DAT (maximum tillering). Following this late-September climax, infestation declined progressively and reached complete cessation at harvest (120 DAT). This unimodal trajectory is in complete concordance with contemporary phenological and light-trap investigations across Indian rice </w:t>
      </w:r>
      <w:proofErr w:type="spellStart"/>
      <w:r w:rsidRPr="00305561">
        <w:rPr>
          <w:rFonts w:ascii="Times New Roman" w:hAnsi="Times New Roman" w:cs="Times New Roman"/>
          <w:sz w:val="24"/>
          <w:szCs w:val="24"/>
        </w:rPr>
        <w:t>agro</w:t>
      </w:r>
      <w:proofErr w:type="spellEnd"/>
      <w:r w:rsidRPr="00305561">
        <w:rPr>
          <w:rFonts w:ascii="Times New Roman" w:hAnsi="Times New Roman" w:cs="Times New Roman"/>
          <w:sz w:val="24"/>
          <w:szCs w:val="24"/>
        </w:rPr>
        <w:t xml:space="preserve">-ecosystems (Bhargavi &amp; </w:t>
      </w:r>
      <w:proofErr w:type="spellStart"/>
      <w:r w:rsidRPr="00305561">
        <w:rPr>
          <w:rFonts w:ascii="Times New Roman" w:hAnsi="Times New Roman" w:cs="Times New Roman"/>
          <w:sz w:val="24"/>
          <w:szCs w:val="24"/>
        </w:rPr>
        <w:t>Tejomoortula</w:t>
      </w:r>
      <w:proofErr w:type="spellEnd"/>
      <w:r w:rsidRPr="00305561">
        <w:rPr>
          <w:rFonts w:ascii="Times New Roman" w:hAnsi="Times New Roman" w:cs="Times New Roman"/>
          <w:sz w:val="24"/>
          <w:szCs w:val="24"/>
        </w:rPr>
        <w:t xml:space="preserve">, 2026; Dutta et al., 2024; Rathod et al., 2022; Seni et al., 2023). Seni et al. (2023) documented that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field activity is strictly concentrated between the 35th and 43rd Standard Meteorological Weeks, with peak silver shoot expression between the 38th and 40th SMW. The absence of visible galls at 15 DAT followed by sudden emergence at 30 DAT is explained by the developmental thermal constants and </w:t>
      </w:r>
      <w:proofErr w:type="spellStart"/>
      <w:r w:rsidRPr="00305561">
        <w:rPr>
          <w:rFonts w:ascii="Times New Roman" w:hAnsi="Times New Roman" w:cs="Times New Roman"/>
          <w:sz w:val="24"/>
          <w:szCs w:val="24"/>
        </w:rPr>
        <w:t>endoparasitic</w:t>
      </w:r>
      <w:proofErr w:type="spellEnd"/>
      <w:r w:rsidRPr="00305561">
        <w:rPr>
          <w:rFonts w:ascii="Times New Roman" w:hAnsi="Times New Roman" w:cs="Times New Roman"/>
          <w:sz w:val="24"/>
          <w:szCs w:val="24"/>
        </w:rPr>
        <w:t xml:space="preserve"> latency: adult midges colonize the crop around 10–18 DAT; after 3–4 days embryonic incubation and 10–14 days of internal larval feeding, the fused leaf sheath elongates into an externally visible silver shoot only after 18–25 days (CABI, 2019; Harris et al., 2003; Patkar &amp; Ramesh, 2016; Sathishkumar et al., 2025). Subsequent overlapping generations completed within 19–23 days under warm, humid September conditions drive the rapid population surge at 45 and 60 DAT (</w:t>
      </w:r>
      <w:proofErr w:type="spellStart"/>
      <w:r w:rsidRPr="00305561">
        <w:rPr>
          <w:rFonts w:ascii="Times New Roman" w:hAnsi="Times New Roman" w:cs="Times New Roman"/>
          <w:sz w:val="24"/>
          <w:szCs w:val="24"/>
        </w:rPr>
        <w:t>Atray</w:t>
      </w:r>
      <w:proofErr w:type="spellEnd"/>
      <w:r w:rsidRPr="00305561">
        <w:rPr>
          <w:rFonts w:ascii="Times New Roman" w:hAnsi="Times New Roman" w:cs="Times New Roman"/>
          <w:sz w:val="24"/>
          <w:szCs w:val="24"/>
        </w:rPr>
        <w:t xml:space="preserve"> et al., 2015;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w:t>
      </w:r>
    </w:p>
    <w:p w14:paraId="6845C967"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When evaluated across crop phenological stages,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behaved strictly as an obligate vegetative-stage herbivore. Visible galling was nil at 15 DAT despite initial adult immigration. As the crop entered active tillering, silver shoot incidence escalated, reaching maximum expression (21.30% SS) at maximum tillering (60 DAT). The transition to panicle initiation (75 DAT) marked an immediate inflection point where infestation began to collapse, declining further through booting/flowering, milking/dough and maturity. The biological basis lies in the anatomical requirements of the first-instar larva, which possesses highly reduced piercing-</w:t>
      </w:r>
      <w:r w:rsidRPr="00305561">
        <w:rPr>
          <w:rFonts w:ascii="Times New Roman" w:hAnsi="Times New Roman" w:cs="Times New Roman"/>
          <w:sz w:val="24"/>
          <w:szCs w:val="24"/>
        </w:rPr>
        <w:lastRenderedPageBreak/>
        <w:t>sucking mouthparts and cannot penetrate differentiated or lignified tissues (CABI, 2019; Harris et al., 2003; Dutta et al., 2024). Hatched larvae must crawl down the moisture film between tightly furled leaf sheaths to reach an actively dividing, undifferentiated vegetative apical meristem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Sinha et al., 2011). During active and maximum tillering, each hill rapidly emits primary, secondary and tertiary tillers that serve as ideal feeding and gall-induction sites (Stewart, 2026). Once the plant reaches panicle initiation, the vegetative shoot apical meristem differentiates into a reproductive floral primordium and basal internodes undergo rapid elongation, silica deposition and lignification; first-instar maggots are physically excluded and starve without inducing silver shoots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Kalode</w:t>
      </w:r>
      <w:proofErr w:type="spellEnd"/>
      <w:r w:rsidRPr="00305561">
        <w:rPr>
          <w:rFonts w:ascii="Times New Roman" w:hAnsi="Times New Roman" w:cs="Times New Roman"/>
          <w:sz w:val="24"/>
          <w:szCs w:val="24"/>
        </w:rPr>
        <w:t xml:space="preserve">, 1996;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Mondal et al., 2023). Residual silver shoots after 75 DAT represented senescing galls formed earlier on late tertiary or non-productive basal tillers. This phenological restriction confirms that the critical window of crop vulnerability in Nalgonda District is strictly bounded between 25 and 60 DAT, rendering any insecticidal intervention after panicle initiation agronomically superfluous (Patkar &amp; Ramesh, 2016; Seni &amp; Pal, 2021).</w:t>
      </w:r>
    </w:p>
    <w:p w14:paraId="584C646F" w14:textId="107C66BD"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CONCLUSION</w:t>
      </w:r>
    </w:p>
    <w:p w14:paraId="05B5E55F" w14:textId="77777777" w:rsidR="007700AE" w:rsidRDefault="007700AE" w:rsidP="00305561">
      <w:pPr>
        <w:spacing w:after="0" w:line="360" w:lineRule="auto"/>
        <w:jc w:val="both"/>
        <w:rPr>
          <w:rFonts w:ascii="Times New Roman" w:hAnsi="Times New Roman" w:cs="Times New Roman"/>
          <w:sz w:val="24"/>
          <w:szCs w:val="24"/>
        </w:rPr>
      </w:pP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oryzae</w:t>
      </w:r>
      <w:r w:rsidRPr="00305561">
        <w:rPr>
          <w:rFonts w:ascii="Times New Roman" w:hAnsi="Times New Roman" w:cs="Times New Roman"/>
          <w:sz w:val="24"/>
          <w:szCs w:val="24"/>
        </w:rPr>
        <w:t xml:space="preserve"> is an endemic, perennially above-ETL pest in the canal-irrigated paddy fields of Nalgonda Mandal, Telangana. Spatial distribution is widespread and relatively homogeneous across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with three-year pooled means of 69.17% plot occurrence, 21.99 ± 3.18% plant incidence, 9.16 ± 1.22% SS and 4.40 ± 0.64 affected hills per 25 m². Population dynamics are tightly </w:t>
      </w:r>
      <w:proofErr w:type="spellStart"/>
      <w:r w:rsidRPr="00305561">
        <w:rPr>
          <w:rFonts w:ascii="Times New Roman" w:hAnsi="Times New Roman" w:cs="Times New Roman"/>
          <w:sz w:val="24"/>
          <w:szCs w:val="24"/>
        </w:rPr>
        <w:t>synchronised</w:t>
      </w:r>
      <w:proofErr w:type="spellEnd"/>
      <w:r w:rsidRPr="00305561">
        <w:rPr>
          <w:rFonts w:ascii="Times New Roman" w:hAnsi="Times New Roman" w:cs="Times New Roman"/>
          <w:sz w:val="24"/>
          <w:szCs w:val="24"/>
        </w:rPr>
        <w:t xml:space="preserve"> with the vegetative tillering phase, following a unimodal curve that peaks at maximum tillering (60 DAT; 21.30 ± 1.86% SS) and collapses after panicle initiation. These findings provide a quantitative ecological baseline for phenology-based monitoring and management in the Nalgonda rice belt.</w:t>
      </w:r>
    </w:p>
    <w:p w14:paraId="622C3D7E" w14:textId="77777777" w:rsidR="006E10A7" w:rsidRDefault="006E10A7" w:rsidP="00305561">
      <w:pPr>
        <w:spacing w:after="0" w:line="360" w:lineRule="auto"/>
        <w:jc w:val="both"/>
        <w:rPr>
          <w:rFonts w:ascii="Times New Roman" w:hAnsi="Times New Roman" w:cs="Times New Roman"/>
          <w:sz w:val="24"/>
          <w:szCs w:val="24"/>
        </w:rPr>
      </w:pPr>
    </w:p>
    <w:p w14:paraId="255AD2DB" w14:textId="77777777" w:rsidR="006E10A7" w:rsidRPr="006E10A7" w:rsidRDefault="006E10A7" w:rsidP="006E10A7">
      <w:pPr>
        <w:spacing w:after="0" w:line="240" w:lineRule="auto"/>
        <w:rPr>
          <w:rFonts w:ascii="Arial" w:eastAsia="Calibri" w:hAnsi="Arial" w:cs="Arial"/>
          <w:b/>
          <w:kern w:val="0"/>
          <w:sz w:val="20"/>
          <w:szCs w:val="20"/>
          <w:lang w:bidi="ar-SA"/>
          <w14:ligatures w14:val="none"/>
        </w:rPr>
      </w:pPr>
      <w:r w:rsidRPr="006E10A7">
        <w:rPr>
          <w:rFonts w:ascii="Arial" w:eastAsia="Calibri" w:hAnsi="Arial" w:cs="Arial"/>
          <w:b/>
          <w:kern w:val="0"/>
          <w:sz w:val="20"/>
          <w:szCs w:val="20"/>
          <w:lang w:bidi="ar-SA"/>
          <w14:ligatures w14:val="none"/>
        </w:rPr>
        <w:t>Declaration of AI Use</w:t>
      </w:r>
    </w:p>
    <w:p w14:paraId="2857D76E" w14:textId="77777777" w:rsidR="006E10A7" w:rsidRPr="006E10A7" w:rsidRDefault="006E10A7" w:rsidP="006E10A7">
      <w:pPr>
        <w:spacing w:after="0" w:line="240" w:lineRule="auto"/>
        <w:rPr>
          <w:rFonts w:ascii="Arial" w:eastAsia="Calibri" w:hAnsi="Arial" w:cs="Arial"/>
          <w:kern w:val="0"/>
          <w:sz w:val="20"/>
          <w:szCs w:val="20"/>
          <w:lang w:bidi="ar-SA"/>
          <w14:ligatures w14:val="none"/>
        </w:rPr>
      </w:pPr>
    </w:p>
    <w:p w14:paraId="4CF04F75" w14:textId="77777777" w:rsidR="006E10A7" w:rsidRPr="006E10A7" w:rsidRDefault="006E10A7" w:rsidP="006E10A7">
      <w:pPr>
        <w:spacing w:after="0" w:line="240" w:lineRule="auto"/>
        <w:rPr>
          <w:rFonts w:ascii="Arial" w:eastAsia="Calibri" w:hAnsi="Arial" w:cs="Arial"/>
          <w:kern w:val="0"/>
          <w:sz w:val="20"/>
          <w:szCs w:val="20"/>
          <w:lang w:bidi="ar-SA"/>
          <w14:ligatures w14:val="none"/>
        </w:rPr>
      </w:pPr>
      <w:r w:rsidRPr="006E10A7">
        <w:rPr>
          <w:rFonts w:ascii="Arial" w:eastAsia="Calibri" w:hAnsi="Arial" w:cs="Arial"/>
          <w:kern w:val="0"/>
          <w:sz w:val="20"/>
          <w:szCs w:val="20"/>
          <w:lang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2513B2" w14:textId="77777777" w:rsidR="006E10A7" w:rsidRPr="006E10A7" w:rsidRDefault="006E10A7" w:rsidP="006E10A7">
      <w:pPr>
        <w:spacing w:after="0" w:line="240" w:lineRule="auto"/>
        <w:jc w:val="both"/>
        <w:rPr>
          <w:rFonts w:ascii="Times New Roman" w:eastAsia="Calibri" w:hAnsi="Times New Roman" w:cs="Times New Roman"/>
          <w:kern w:val="0"/>
          <w:lang w:bidi="ar-SA"/>
          <w14:ligatures w14:val="none"/>
        </w:rPr>
      </w:pPr>
    </w:p>
    <w:p w14:paraId="3B71657D" w14:textId="77777777" w:rsidR="006E10A7" w:rsidRPr="006E10A7" w:rsidRDefault="006E10A7" w:rsidP="006E10A7">
      <w:pPr>
        <w:spacing w:after="0" w:line="240" w:lineRule="auto"/>
        <w:jc w:val="both"/>
        <w:rPr>
          <w:rFonts w:ascii="Times New Roman" w:eastAsia="Calibri" w:hAnsi="Times New Roman" w:cs="Times New Roman"/>
          <w:kern w:val="0"/>
          <w:lang w:bidi="ar-SA"/>
          <w14:ligatures w14:val="none"/>
        </w:rPr>
      </w:pPr>
    </w:p>
    <w:p w14:paraId="084F2D60" w14:textId="77777777" w:rsidR="006E10A7" w:rsidRPr="006E10A7" w:rsidRDefault="006E10A7" w:rsidP="006E10A7">
      <w:pPr>
        <w:spacing w:after="200" w:line="276" w:lineRule="auto"/>
        <w:rPr>
          <w:rFonts w:ascii="Cambria" w:eastAsia="Times New Roman" w:hAnsi="Cambria" w:cs="Arial"/>
          <w:b/>
          <w:bCs/>
          <w:kern w:val="0"/>
          <w:lang w:val="en-GB" w:eastAsia="en-GB" w:bidi="ar-SA"/>
          <w14:ligatures w14:val="none"/>
        </w:rPr>
      </w:pPr>
      <w:r w:rsidRPr="006E10A7">
        <w:rPr>
          <w:rFonts w:ascii="Cambria" w:eastAsia="Times New Roman" w:hAnsi="Cambria" w:cs="Arial"/>
          <w:b/>
          <w:bCs/>
          <w:kern w:val="0"/>
          <w:lang w:val="en-GB" w:eastAsia="en-GB" w:bidi="ar-SA"/>
          <w14:ligatures w14:val="none"/>
        </w:rPr>
        <w:t>COMPETING INTERESTS DISCLAIMER:</w:t>
      </w:r>
    </w:p>
    <w:p w14:paraId="608C81DB" w14:textId="77777777" w:rsidR="006E10A7" w:rsidRPr="006E10A7" w:rsidRDefault="006E10A7" w:rsidP="006E10A7">
      <w:pPr>
        <w:spacing w:after="200" w:line="276" w:lineRule="auto"/>
        <w:rPr>
          <w:rFonts w:ascii="Cambria" w:eastAsia="Times New Roman" w:hAnsi="Cambria" w:cs="Times New Roman"/>
          <w:kern w:val="0"/>
          <w:lang w:val="en-GB" w:eastAsia="en-GB" w:bidi="ar-SA"/>
          <w14:ligatures w14:val="none"/>
        </w:rPr>
      </w:pPr>
      <w:r w:rsidRPr="006E10A7">
        <w:rPr>
          <w:rFonts w:ascii="Cambria" w:eastAsia="Times New Roman" w:hAnsi="Cambria" w:cs="Arial"/>
          <w:kern w:val="0"/>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6CE7448F" w14:textId="77777777" w:rsidR="006E10A7" w:rsidRPr="00305561" w:rsidRDefault="006E10A7" w:rsidP="00305561">
      <w:pPr>
        <w:spacing w:after="0" w:line="360" w:lineRule="auto"/>
        <w:jc w:val="both"/>
        <w:rPr>
          <w:rFonts w:ascii="Times New Roman" w:hAnsi="Times New Roman" w:cs="Times New Roman"/>
          <w:sz w:val="24"/>
          <w:szCs w:val="24"/>
        </w:rPr>
      </w:pPr>
    </w:p>
    <w:p w14:paraId="7409DF0C" w14:textId="392DFD11" w:rsidR="00AC08D2" w:rsidRPr="00305561" w:rsidRDefault="00AC08D2"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lastRenderedPageBreak/>
        <w:t>REFERENCES</w:t>
      </w:r>
    </w:p>
    <w:p w14:paraId="3C85123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Agarrwal</w:t>
      </w:r>
      <w:proofErr w:type="spellEnd"/>
      <w:r w:rsidRPr="00CA2B3C">
        <w:rPr>
          <w:rFonts w:ascii="Times New Roman" w:hAnsi="Times New Roman" w:cs="Times New Roman"/>
          <w:sz w:val="24"/>
          <w:szCs w:val="24"/>
        </w:rPr>
        <w:t xml:space="preserve">, R.,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(2014). Gas chromatography mass spectrometry based metabolic profiling reveals biomarkers involved in rice-gall midge interactions. </w:t>
      </w:r>
      <w:r w:rsidRPr="00CA2B3C">
        <w:rPr>
          <w:rFonts w:ascii="Times New Roman" w:hAnsi="Times New Roman" w:cs="Times New Roman"/>
          <w:i/>
          <w:iCs/>
          <w:sz w:val="24"/>
          <w:szCs w:val="24"/>
        </w:rPr>
        <w:t>Journal of Integrative Plant Biology</w:t>
      </w:r>
      <w:r w:rsidRPr="00CA2B3C">
        <w:rPr>
          <w:rFonts w:ascii="Times New Roman" w:hAnsi="Times New Roman" w:cs="Times New Roman"/>
          <w:sz w:val="24"/>
          <w:szCs w:val="24"/>
        </w:rPr>
        <w:t xml:space="preserve">, 56(9), 837–848. </w:t>
      </w:r>
      <w:hyperlink r:id="rId7" w:tgtFrame="_blank" w:history="1">
        <w:r w:rsidRPr="00CA2B3C">
          <w:rPr>
            <w:rStyle w:val="Hyperlink"/>
            <w:rFonts w:ascii="Times New Roman" w:hAnsi="Times New Roman" w:cs="Times New Roman"/>
            <w:sz w:val="24"/>
            <w:szCs w:val="24"/>
          </w:rPr>
          <w:t>https://doi.org/10.1111/jipb.12244</w:t>
        </w:r>
      </w:hyperlink>
    </w:p>
    <w:p w14:paraId="581873F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Anil Kumar, D., Saicharan, M., &amp; Malathi, S. (2022). Status of rice gall midge biotypes in Telangana.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10(2), 45–50.</w:t>
      </w:r>
    </w:p>
    <w:p w14:paraId="3D25961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Atray</w:t>
      </w:r>
      <w:proofErr w:type="spellEnd"/>
      <w:r w:rsidRPr="00CA2B3C">
        <w:rPr>
          <w:rFonts w:ascii="Times New Roman" w:hAnsi="Times New Roman" w:cs="Times New Roman"/>
          <w:sz w:val="24"/>
          <w:szCs w:val="24"/>
        </w:rPr>
        <w:t xml:space="preserve">, I.,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(2015). Molecular characterization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Molecular Biology Reports</w:t>
      </w:r>
      <w:r w:rsidRPr="00CA2B3C">
        <w:rPr>
          <w:rFonts w:ascii="Times New Roman" w:hAnsi="Times New Roman" w:cs="Times New Roman"/>
          <w:sz w:val="24"/>
          <w:szCs w:val="24"/>
        </w:rPr>
        <w:t>, 42, 1–8.</w:t>
      </w:r>
    </w:p>
    <w:p w14:paraId="65FC7FAB" w14:textId="77777777" w:rsidR="00CA2B3C" w:rsidRPr="00CA2B3C" w:rsidRDefault="00CA2B3C" w:rsidP="00CA2B3C">
      <w:pPr>
        <w:spacing w:after="0" w:line="360" w:lineRule="auto"/>
        <w:ind w:left="720" w:hanging="630"/>
        <w:jc w:val="both"/>
        <w:rPr>
          <w:rFonts w:ascii="Times New Roman" w:hAnsi="Times New Roman" w:cs="Times New Roman"/>
          <w:sz w:val="24"/>
          <w:szCs w:val="24"/>
          <w:lang w:val="pt-BR"/>
        </w:rPr>
      </w:pP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w:t>
      </w:r>
      <w:proofErr w:type="spellStart"/>
      <w:r w:rsidRPr="00CA2B3C">
        <w:rPr>
          <w:rFonts w:ascii="Times New Roman" w:hAnsi="Times New Roman" w:cs="Times New Roman"/>
          <w:sz w:val="24"/>
          <w:szCs w:val="24"/>
        </w:rPr>
        <w:t>Kalode</w:t>
      </w:r>
      <w:proofErr w:type="spellEnd"/>
      <w:r w:rsidRPr="00CA2B3C">
        <w:rPr>
          <w:rFonts w:ascii="Times New Roman" w:hAnsi="Times New Roman" w:cs="Times New Roman"/>
          <w:sz w:val="24"/>
          <w:szCs w:val="24"/>
        </w:rPr>
        <w:t xml:space="preserve">, M. B. (1996). Hypersensitive reaction and induced resistance in rice against the Asian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lang w:val="pt-BR"/>
        </w:rPr>
        <w:t>Entomologia Experimentalis et Applicata</w:t>
      </w:r>
      <w:r w:rsidRPr="00CA2B3C">
        <w:rPr>
          <w:rFonts w:ascii="Times New Roman" w:hAnsi="Times New Roman" w:cs="Times New Roman"/>
          <w:sz w:val="24"/>
          <w:szCs w:val="24"/>
          <w:lang w:val="pt-BR"/>
        </w:rPr>
        <w:t xml:space="preserve">, 78(1), 77–81. </w:t>
      </w:r>
      <w:hyperlink r:id="rId8" w:tgtFrame="_blank" w:history="1">
        <w:r w:rsidRPr="00CA2B3C">
          <w:rPr>
            <w:rStyle w:val="Hyperlink"/>
            <w:rFonts w:ascii="Times New Roman" w:hAnsi="Times New Roman" w:cs="Times New Roman"/>
            <w:sz w:val="24"/>
            <w:szCs w:val="24"/>
            <w:lang w:val="pt-BR"/>
          </w:rPr>
          <w:t>https://doi.org/10.1111/j.1570-7458.1996.tb00766.x</w:t>
        </w:r>
      </w:hyperlink>
    </w:p>
    <w:p w14:paraId="22BAB89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Bentur, J. S., Padmakumari, A. P., &amp; Himabindu, K. (2016). </w:t>
      </w:r>
      <w:r w:rsidRPr="00CA2B3C">
        <w:rPr>
          <w:rFonts w:ascii="Times New Roman" w:hAnsi="Times New Roman" w:cs="Times New Roman"/>
          <w:sz w:val="24"/>
          <w:szCs w:val="24"/>
        </w:rPr>
        <w:t xml:space="preserve">Rice–gall midge interactions: Battle for survival. </w:t>
      </w:r>
      <w:r w:rsidRPr="00CA2B3C">
        <w:rPr>
          <w:rFonts w:ascii="Times New Roman" w:hAnsi="Times New Roman" w:cs="Times New Roman"/>
          <w:i/>
          <w:iCs/>
          <w:sz w:val="24"/>
          <w:szCs w:val="24"/>
        </w:rPr>
        <w:t>Journal of Insect Physiology</w:t>
      </w:r>
      <w:r w:rsidRPr="00CA2B3C">
        <w:rPr>
          <w:rFonts w:ascii="Times New Roman" w:hAnsi="Times New Roman" w:cs="Times New Roman"/>
          <w:sz w:val="24"/>
          <w:szCs w:val="24"/>
        </w:rPr>
        <w:t xml:space="preserve">, 84, 40–49. </w:t>
      </w:r>
      <w:hyperlink r:id="rId9" w:tgtFrame="_blank" w:history="1">
        <w:r w:rsidRPr="00CA2B3C">
          <w:rPr>
            <w:rStyle w:val="Hyperlink"/>
            <w:rFonts w:ascii="Times New Roman" w:hAnsi="Times New Roman" w:cs="Times New Roman"/>
            <w:sz w:val="24"/>
            <w:szCs w:val="24"/>
          </w:rPr>
          <w:t>https://doi.org/10.1016/j.jinsphys.2015.09.008</w:t>
        </w:r>
      </w:hyperlink>
    </w:p>
    <w:p w14:paraId="70490B5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Bhargavi, A., &amp; </w:t>
      </w:r>
      <w:proofErr w:type="spellStart"/>
      <w:r w:rsidRPr="00CA2B3C">
        <w:rPr>
          <w:rFonts w:ascii="Times New Roman" w:hAnsi="Times New Roman" w:cs="Times New Roman"/>
          <w:sz w:val="24"/>
          <w:szCs w:val="24"/>
        </w:rPr>
        <w:t>Tejomoortula</w:t>
      </w:r>
      <w:proofErr w:type="spellEnd"/>
      <w:r w:rsidRPr="00CA2B3C">
        <w:rPr>
          <w:rFonts w:ascii="Times New Roman" w:hAnsi="Times New Roman" w:cs="Times New Roman"/>
          <w:sz w:val="24"/>
          <w:szCs w:val="24"/>
        </w:rPr>
        <w:t xml:space="preserve">, S. R. (2026). Occurrence and seasonal dynamics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in Nalgonda, Telangana.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xml:space="preserve"> (in press).</w:t>
      </w:r>
    </w:p>
    <w:p w14:paraId="3D4409A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CABI. (2019).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(Asian rice gall midge). In: </w:t>
      </w:r>
      <w:r w:rsidRPr="00CA2B3C">
        <w:rPr>
          <w:rFonts w:ascii="Times New Roman" w:hAnsi="Times New Roman" w:cs="Times New Roman"/>
          <w:i/>
          <w:iCs/>
          <w:sz w:val="24"/>
          <w:szCs w:val="24"/>
        </w:rPr>
        <w:t>Invasive Species Compendium</w:t>
      </w:r>
      <w:r w:rsidRPr="00CA2B3C">
        <w:rPr>
          <w:rFonts w:ascii="Times New Roman" w:hAnsi="Times New Roman" w:cs="Times New Roman"/>
          <w:sz w:val="24"/>
          <w:szCs w:val="24"/>
        </w:rPr>
        <w:t xml:space="preserve">. Wallingford, UK: CAB International. </w:t>
      </w:r>
      <w:hyperlink r:id="rId10" w:tgtFrame="_blank" w:history="1">
        <w:r w:rsidRPr="00CA2B3C">
          <w:rPr>
            <w:rStyle w:val="Hyperlink"/>
            <w:rFonts w:ascii="Times New Roman" w:hAnsi="Times New Roman" w:cs="Times New Roman"/>
            <w:sz w:val="24"/>
            <w:szCs w:val="24"/>
          </w:rPr>
          <w:t>https://www.cabi.org/isc</w:t>
        </w:r>
      </w:hyperlink>
    </w:p>
    <w:p w14:paraId="7634175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Choi, J. Y., Platts, A. E., Fuller, D. Q., Hsing, Y. I., Wing, R. A., &amp; Purugganan, M. D. (2017). The rice paradox: Multiple origins but single domestication in Asian rice. </w:t>
      </w:r>
      <w:r w:rsidRPr="00CA2B3C">
        <w:rPr>
          <w:rFonts w:ascii="Times New Roman" w:hAnsi="Times New Roman" w:cs="Times New Roman"/>
          <w:i/>
          <w:iCs/>
          <w:sz w:val="24"/>
          <w:szCs w:val="24"/>
        </w:rPr>
        <w:t>Molecular Biology and Evolution</w:t>
      </w:r>
      <w:r w:rsidRPr="00CA2B3C">
        <w:rPr>
          <w:rFonts w:ascii="Times New Roman" w:hAnsi="Times New Roman" w:cs="Times New Roman"/>
          <w:sz w:val="24"/>
          <w:szCs w:val="24"/>
        </w:rPr>
        <w:t xml:space="preserve">, 34(4), 969–979. </w:t>
      </w:r>
      <w:hyperlink r:id="rId11" w:tgtFrame="_blank" w:history="1">
        <w:r w:rsidRPr="00CA2B3C">
          <w:rPr>
            <w:rStyle w:val="Hyperlink"/>
            <w:rFonts w:ascii="Times New Roman" w:hAnsi="Times New Roman" w:cs="Times New Roman"/>
            <w:sz w:val="24"/>
            <w:szCs w:val="24"/>
          </w:rPr>
          <w:t>https://doi.org/10.1093/molbev/msx049</w:t>
        </w:r>
      </w:hyperlink>
    </w:p>
    <w:p w14:paraId="47719C6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Collard, B. C. Y., Cruz, C. M. V., McNally, K. L., Virk, P. S., &amp; Mackill, D. J. (2008). Rice molecular breeding laboratories in the genomics era: Current status and future considerations. </w:t>
      </w:r>
      <w:r w:rsidRPr="00CA2B3C">
        <w:rPr>
          <w:rFonts w:ascii="Times New Roman" w:hAnsi="Times New Roman" w:cs="Times New Roman"/>
          <w:i/>
          <w:iCs/>
          <w:sz w:val="24"/>
          <w:szCs w:val="24"/>
        </w:rPr>
        <w:t>International Journal of Plant Genomics</w:t>
      </w:r>
      <w:r w:rsidRPr="00CA2B3C">
        <w:rPr>
          <w:rFonts w:ascii="Times New Roman" w:hAnsi="Times New Roman" w:cs="Times New Roman"/>
          <w:sz w:val="24"/>
          <w:szCs w:val="24"/>
        </w:rPr>
        <w:t xml:space="preserve">, 2008, Article 524847. </w:t>
      </w:r>
      <w:hyperlink r:id="rId12" w:tgtFrame="_blank" w:history="1">
        <w:r w:rsidRPr="00CA2B3C">
          <w:rPr>
            <w:rStyle w:val="Hyperlink"/>
            <w:rFonts w:ascii="Times New Roman" w:hAnsi="Times New Roman" w:cs="Times New Roman"/>
            <w:sz w:val="24"/>
            <w:szCs w:val="24"/>
          </w:rPr>
          <w:t>https://doi.org/10.1155/2008/524847</w:t>
        </w:r>
      </w:hyperlink>
    </w:p>
    <w:p w14:paraId="6C8B312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Das, A., et al. (2017). Rice production and productivity trends in India. </w:t>
      </w:r>
      <w:r w:rsidRPr="00CA2B3C">
        <w:rPr>
          <w:rFonts w:ascii="Times New Roman" w:hAnsi="Times New Roman" w:cs="Times New Roman"/>
          <w:i/>
          <w:iCs/>
          <w:sz w:val="24"/>
          <w:szCs w:val="24"/>
        </w:rPr>
        <w:t>Indian Journal of Agricultural Sciences</w:t>
      </w:r>
      <w:r w:rsidRPr="00CA2B3C">
        <w:rPr>
          <w:rFonts w:ascii="Times New Roman" w:hAnsi="Times New Roman" w:cs="Times New Roman"/>
          <w:sz w:val="24"/>
          <w:szCs w:val="24"/>
        </w:rPr>
        <w:t>, 87(5), 1–8.</w:t>
      </w:r>
    </w:p>
    <w:p w14:paraId="32E99569"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Das, G., &amp; Rao, G. J. N. (2015). Molecular marker assisted gene stacking for biotic and abiotic stress resistance genes in an elite rice cultivar ‘Swarna’. </w:t>
      </w:r>
      <w:proofErr w:type="spellStart"/>
      <w:r w:rsidRPr="00CA2B3C">
        <w:rPr>
          <w:rFonts w:ascii="Times New Roman" w:hAnsi="Times New Roman" w:cs="Times New Roman"/>
          <w:i/>
          <w:iCs/>
          <w:sz w:val="24"/>
          <w:szCs w:val="24"/>
        </w:rPr>
        <w:t>PLoS</w:t>
      </w:r>
      <w:proofErr w:type="spellEnd"/>
      <w:r w:rsidRPr="00CA2B3C">
        <w:rPr>
          <w:rFonts w:ascii="Times New Roman" w:hAnsi="Times New Roman" w:cs="Times New Roman"/>
          <w:i/>
          <w:iCs/>
          <w:sz w:val="24"/>
          <w:szCs w:val="24"/>
        </w:rPr>
        <w:t xml:space="preserve"> ONE</w:t>
      </w:r>
      <w:r w:rsidRPr="00CA2B3C">
        <w:rPr>
          <w:rFonts w:ascii="Times New Roman" w:hAnsi="Times New Roman" w:cs="Times New Roman"/>
          <w:sz w:val="24"/>
          <w:szCs w:val="24"/>
        </w:rPr>
        <w:t xml:space="preserve">, 10(9), e0138714. </w:t>
      </w:r>
      <w:hyperlink r:id="rId13" w:tgtFrame="_blank" w:history="1">
        <w:r w:rsidRPr="00CA2B3C">
          <w:rPr>
            <w:rStyle w:val="Hyperlink"/>
            <w:rFonts w:ascii="Times New Roman" w:hAnsi="Times New Roman" w:cs="Times New Roman"/>
            <w:sz w:val="24"/>
            <w:szCs w:val="24"/>
          </w:rPr>
          <w:t>https://doi.org/10.1371/journal.pone.0138714</w:t>
        </w:r>
      </w:hyperlink>
    </w:p>
    <w:p w14:paraId="4615BAE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Dey, P., Kumar, S., &amp; Rathod, S. (2024). Expansion of irrigated rice in Telangana. </w:t>
      </w:r>
      <w:r w:rsidRPr="00CA2B3C">
        <w:rPr>
          <w:rFonts w:ascii="Times New Roman" w:hAnsi="Times New Roman" w:cs="Times New Roman"/>
          <w:i/>
          <w:iCs/>
          <w:sz w:val="24"/>
          <w:szCs w:val="24"/>
        </w:rPr>
        <w:t>Indian Journal of Agricultural Sciences</w:t>
      </w:r>
      <w:r w:rsidRPr="00CA2B3C">
        <w:rPr>
          <w:rFonts w:ascii="Times New Roman" w:hAnsi="Times New Roman" w:cs="Times New Roman"/>
          <w:sz w:val="24"/>
          <w:szCs w:val="24"/>
        </w:rPr>
        <w:t>, 94(3), 1–8.</w:t>
      </w:r>
    </w:p>
    <w:p w14:paraId="4AAF2C7E"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lastRenderedPageBreak/>
        <w:t xml:space="preserve">Dutta, S. S., Divya, D., Durga Rani, C. V., Reddy, T. D., </w:t>
      </w:r>
      <w:proofErr w:type="spellStart"/>
      <w:r w:rsidRPr="00CA2B3C">
        <w:rPr>
          <w:rFonts w:ascii="Times New Roman" w:hAnsi="Times New Roman" w:cs="Times New Roman"/>
          <w:sz w:val="24"/>
          <w:szCs w:val="24"/>
        </w:rPr>
        <w:t>Visalakshmi</w:t>
      </w:r>
      <w:proofErr w:type="spellEnd"/>
      <w:r w:rsidRPr="00CA2B3C">
        <w:rPr>
          <w:rFonts w:ascii="Times New Roman" w:hAnsi="Times New Roman" w:cs="Times New Roman"/>
          <w:sz w:val="24"/>
          <w:szCs w:val="24"/>
        </w:rPr>
        <w:t xml:space="preserve">, V., Cheralu, C., </w:t>
      </w:r>
      <w:proofErr w:type="spellStart"/>
      <w:r w:rsidRPr="00CA2B3C">
        <w:rPr>
          <w:rFonts w:ascii="Times New Roman" w:hAnsi="Times New Roman" w:cs="Times New Roman"/>
          <w:sz w:val="24"/>
          <w:szCs w:val="24"/>
        </w:rPr>
        <w:t>Ibohal</w:t>
      </w:r>
      <w:proofErr w:type="spellEnd"/>
      <w:r w:rsidRPr="00CA2B3C">
        <w:rPr>
          <w:rFonts w:ascii="Times New Roman" w:hAnsi="Times New Roman" w:cs="Times New Roman"/>
          <w:sz w:val="24"/>
          <w:szCs w:val="24"/>
        </w:rPr>
        <w:t xml:space="preserve"> Singh, K., &amp;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(2024). Phenological aspects of rice gall midge.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w:t>
      </w:r>
    </w:p>
    <w:p w14:paraId="3D4AC70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Harris, K. M., &amp; </w:t>
      </w:r>
      <w:proofErr w:type="spellStart"/>
      <w:r w:rsidRPr="00CA2B3C">
        <w:rPr>
          <w:rFonts w:ascii="Times New Roman" w:hAnsi="Times New Roman" w:cs="Times New Roman"/>
          <w:sz w:val="24"/>
          <w:szCs w:val="24"/>
        </w:rPr>
        <w:t>Gagné</w:t>
      </w:r>
      <w:proofErr w:type="spellEnd"/>
      <w:r w:rsidRPr="00CA2B3C">
        <w:rPr>
          <w:rFonts w:ascii="Times New Roman" w:hAnsi="Times New Roman" w:cs="Times New Roman"/>
          <w:sz w:val="24"/>
          <w:szCs w:val="24"/>
        </w:rPr>
        <w:t xml:space="preserve">, R. J. (1982). Description of the African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oryzivora</w:t>
      </w:r>
      <w:proofErr w:type="spellEnd"/>
      <w:r w:rsidRPr="00CA2B3C">
        <w:rPr>
          <w:rFonts w:ascii="Times New Roman" w:hAnsi="Times New Roman" w:cs="Times New Roman"/>
          <w:sz w:val="24"/>
          <w:szCs w:val="24"/>
        </w:rPr>
        <w:t xml:space="preserve"> sp. n., with comparative notes on the Asian rice gall midge, </w:t>
      </w:r>
      <w:r w:rsidRPr="00CA2B3C">
        <w:rPr>
          <w:rFonts w:ascii="Times New Roman" w:hAnsi="Times New Roman" w:cs="Times New Roman"/>
          <w:i/>
          <w:iCs/>
          <w:sz w:val="24"/>
          <w:szCs w:val="24"/>
        </w:rPr>
        <w:t>O. oryzae</w:t>
      </w:r>
      <w:r w:rsidRPr="00CA2B3C">
        <w:rPr>
          <w:rFonts w:ascii="Times New Roman" w:hAnsi="Times New Roman" w:cs="Times New Roman"/>
          <w:sz w:val="24"/>
          <w:szCs w:val="24"/>
        </w:rPr>
        <w:t xml:space="preserve"> (Wood-Mason) (Diptera: Cecidomyiidae). </w:t>
      </w:r>
      <w:r w:rsidRPr="00CA2B3C">
        <w:rPr>
          <w:rFonts w:ascii="Times New Roman" w:hAnsi="Times New Roman" w:cs="Times New Roman"/>
          <w:i/>
          <w:iCs/>
          <w:sz w:val="24"/>
          <w:szCs w:val="24"/>
        </w:rPr>
        <w:t>Bulletin of Entomological Research</w:t>
      </w:r>
      <w:r w:rsidRPr="00CA2B3C">
        <w:rPr>
          <w:rFonts w:ascii="Times New Roman" w:hAnsi="Times New Roman" w:cs="Times New Roman"/>
          <w:sz w:val="24"/>
          <w:szCs w:val="24"/>
        </w:rPr>
        <w:t xml:space="preserve">, 72(3), 467–472. </w:t>
      </w:r>
      <w:hyperlink r:id="rId14" w:tgtFrame="_blank" w:history="1">
        <w:r w:rsidRPr="00CA2B3C">
          <w:rPr>
            <w:rStyle w:val="Hyperlink"/>
            <w:rFonts w:ascii="Times New Roman" w:hAnsi="Times New Roman" w:cs="Times New Roman"/>
            <w:sz w:val="24"/>
            <w:szCs w:val="24"/>
          </w:rPr>
          <w:t>https://doi.org/10.1017/S000748530001364X</w:t>
        </w:r>
      </w:hyperlink>
    </w:p>
    <w:p w14:paraId="78C2F91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Harris, K. M., Gagné, R. J., &amp; </w:t>
      </w:r>
      <w:proofErr w:type="spellStart"/>
      <w:r w:rsidRPr="00CA2B3C">
        <w:rPr>
          <w:rFonts w:ascii="Times New Roman" w:hAnsi="Times New Roman" w:cs="Times New Roman"/>
          <w:sz w:val="24"/>
          <w:szCs w:val="24"/>
        </w:rPr>
        <w:t>Kolesik</w:t>
      </w:r>
      <w:proofErr w:type="spellEnd"/>
      <w:r w:rsidRPr="00CA2B3C">
        <w:rPr>
          <w:rFonts w:ascii="Times New Roman" w:hAnsi="Times New Roman" w:cs="Times New Roman"/>
          <w:sz w:val="24"/>
          <w:szCs w:val="24"/>
        </w:rPr>
        <w:t xml:space="preserve">, P. (2003). The Asian rice gall midge. </w:t>
      </w:r>
      <w:r w:rsidRPr="00CA2B3C">
        <w:rPr>
          <w:rFonts w:ascii="Times New Roman" w:hAnsi="Times New Roman" w:cs="Times New Roman"/>
          <w:i/>
          <w:iCs/>
          <w:sz w:val="24"/>
          <w:szCs w:val="24"/>
        </w:rPr>
        <w:t>Annual Review of Entomology</w:t>
      </w:r>
      <w:r w:rsidRPr="00CA2B3C">
        <w:rPr>
          <w:rFonts w:ascii="Times New Roman" w:hAnsi="Times New Roman" w:cs="Times New Roman"/>
          <w:sz w:val="24"/>
          <w:szCs w:val="24"/>
        </w:rPr>
        <w:t>, 48, 1–20.</w:t>
      </w:r>
    </w:p>
    <w:p w14:paraId="6AD9D59E"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Horgan, F. G., &amp; Peñalver-Cruz, A. (2022). Nitrogen and rice insect pests. </w:t>
      </w:r>
      <w:r w:rsidRPr="00CA2B3C">
        <w:rPr>
          <w:rFonts w:ascii="Times New Roman" w:hAnsi="Times New Roman" w:cs="Times New Roman"/>
          <w:i/>
          <w:iCs/>
          <w:sz w:val="24"/>
          <w:szCs w:val="24"/>
        </w:rPr>
        <w:t>Insects</w:t>
      </w:r>
      <w:r w:rsidRPr="00CA2B3C">
        <w:rPr>
          <w:rFonts w:ascii="Times New Roman" w:hAnsi="Times New Roman" w:cs="Times New Roman"/>
          <w:sz w:val="24"/>
          <w:szCs w:val="24"/>
        </w:rPr>
        <w:t>, 13(5), 1–15.</w:t>
      </w:r>
    </w:p>
    <w:p w14:paraId="41E50383"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Inakarla</w:t>
      </w:r>
      <w:proofErr w:type="spellEnd"/>
      <w:r w:rsidRPr="00CA2B3C">
        <w:rPr>
          <w:rFonts w:ascii="Times New Roman" w:hAnsi="Times New Roman" w:cs="Times New Roman"/>
          <w:sz w:val="24"/>
          <w:szCs w:val="24"/>
        </w:rPr>
        <w:t xml:space="preserve">, S., &amp; Harathi, P. N. (2023). Biotype status of rice gall midge in Andhra Pradesh. </w:t>
      </w:r>
      <w:r w:rsidRPr="00CA2B3C">
        <w:rPr>
          <w:rFonts w:ascii="Times New Roman" w:hAnsi="Times New Roman" w:cs="Times New Roman"/>
          <w:i/>
          <w:iCs/>
          <w:sz w:val="24"/>
          <w:szCs w:val="24"/>
        </w:rPr>
        <w:t>Journal of Entomological Research</w:t>
      </w:r>
      <w:r w:rsidRPr="00CA2B3C">
        <w:rPr>
          <w:rFonts w:ascii="Times New Roman" w:hAnsi="Times New Roman" w:cs="Times New Roman"/>
          <w:sz w:val="24"/>
          <w:szCs w:val="24"/>
        </w:rPr>
        <w:t>, 47(2), 210–215.</w:t>
      </w:r>
    </w:p>
    <w:p w14:paraId="09C48ED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Kumari, A., Mamatha, C., &amp; Rao, P. R. (2018). Incidence of rice gall midge in relation to crop phenology.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6(4), 1–5.</w:t>
      </w:r>
    </w:p>
    <w:p w14:paraId="54A85DD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Kumar, S. (2022). Telangana as the rice bowl of India. </w:t>
      </w:r>
      <w:r w:rsidRPr="00CA2B3C">
        <w:rPr>
          <w:rFonts w:ascii="Times New Roman" w:hAnsi="Times New Roman" w:cs="Times New Roman"/>
          <w:i/>
          <w:iCs/>
          <w:sz w:val="24"/>
          <w:szCs w:val="24"/>
        </w:rPr>
        <w:t>Agricultural Economics Research Review</w:t>
      </w:r>
      <w:r w:rsidRPr="00CA2B3C">
        <w:rPr>
          <w:rFonts w:ascii="Times New Roman" w:hAnsi="Times New Roman" w:cs="Times New Roman"/>
          <w:sz w:val="24"/>
          <w:szCs w:val="24"/>
        </w:rPr>
        <w:t>, 35(1), 1–12.</w:t>
      </w:r>
    </w:p>
    <w:p w14:paraId="5A24E07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(2026a). Virulent biotypes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in Telangana.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88(1), 1–8.</w:t>
      </w:r>
    </w:p>
    <w:p w14:paraId="53C4FE0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(2026b). Field performance of gall midge resistant rice cultivars.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w:t>
      </w:r>
    </w:p>
    <w:p w14:paraId="4751BACA"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Mamathad</w:t>
      </w:r>
      <w:proofErr w:type="spellEnd"/>
      <w:r w:rsidRPr="00CA2B3C">
        <w:rPr>
          <w:rFonts w:ascii="Times New Roman" w:hAnsi="Times New Roman" w:cs="Times New Roman"/>
          <w:sz w:val="24"/>
          <w:szCs w:val="24"/>
        </w:rPr>
        <w:t xml:space="preserve">, C., Kumari, A., &amp; Rao, P. R. (2020). Spatial distribution of rice gall midge.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82(2), 1–6.</w:t>
      </w:r>
    </w:p>
    <w:p w14:paraId="2577C155"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Mondal, S., Pathak, M. D., &amp; Khan, Z. R. (2023). </w:t>
      </w:r>
      <w:r w:rsidRPr="00CA2B3C">
        <w:rPr>
          <w:rFonts w:ascii="Times New Roman" w:hAnsi="Times New Roman" w:cs="Times New Roman"/>
          <w:i/>
          <w:iCs/>
          <w:sz w:val="24"/>
          <w:szCs w:val="24"/>
        </w:rPr>
        <w:t>Insect pests of rice</w:t>
      </w:r>
      <w:r w:rsidRPr="00CA2B3C">
        <w:rPr>
          <w:rFonts w:ascii="Times New Roman" w:hAnsi="Times New Roman" w:cs="Times New Roman"/>
          <w:sz w:val="24"/>
          <w:szCs w:val="24"/>
        </w:rPr>
        <w:t>. International Rice Research Institute.</w:t>
      </w:r>
    </w:p>
    <w:p w14:paraId="7E40AD92"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Patkar, R. N., &amp; Ramesh, S. (2016). Economic threshold of rice gall midge. </w:t>
      </w:r>
      <w:r w:rsidRPr="00CA2B3C">
        <w:rPr>
          <w:rFonts w:ascii="Times New Roman" w:hAnsi="Times New Roman" w:cs="Times New Roman"/>
          <w:i/>
          <w:iCs/>
          <w:sz w:val="24"/>
          <w:szCs w:val="24"/>
        </w:rPr>
        <w:t>Journal of Plant Protection</w:t>
      </w:r>
      <w:r w:rsidRPr="00CA2B3C">
        <w:rPr>
          <w:rFonts w:ascii="Times New Roman" w:hAnsi="Times New Roman" w:cs="Times New Roman"/>
          <w:sz w:val="24"/>
          <w:szCs w:val="24"/>
        </w:rPr>
        <w:t>, 44(2), 150–155.</w:t>
      </w:r>
    </w:p>
    <w:p w14:paraId="124FB62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Pathak, M. D., &amp; Khan, Z. R. (1994). </w:t>
      </w:r>
      <w:r w:rsidRPr="00CA2B3C">
        <w:rPr>
          <w:rFonts w:ascii="Times New Roman" w:hAnsi="Times New Roman" w:cs="Times New Roman"/>
          <w:i/>
          <w:iCs/>
          <w:sz w:val="24"/>
          <w:szCs w:val="24"/>
        </w:rPr>
        <w:t>Insect pests of rice</w:t>
      </w:r>
      <w:r w:rsidRPr="00CA2B3C">
        <w:rPr>
          <w:rFonts w:ascii="Times New Roman" w:hAnsi="Times New Roman" w:cs="Times New Roman"/>
          <w:sz w:val="24"/>
          <w:szCs w:val="24"/>
        </w:rPr>
        <w:t>. International Rice Research Institute, Manila, Philippines.</w:t>
      </w:r>
    </w:p>
    <w:p w14:paraId="170A955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Peñalver-Cruz, A., &amp; Horgan, F. G. (2022). </w:t>
      </w:r>
      <w:r w:rsidRPr="00CA2B3C">
        <w:rPr>
          <w:rFonts w:ascii="Times New Roman" w:hAnsi="Times New Roman" w:cs="Times New Roman"/>
          <w:sz w:val="24"/>
          <w:szCs w:val="24"/>
        </w:rPr>
        <w:t xml:space="preserve">Effects of nitrogen on rice planthoppers and leafhoppers. </w:t>
      </w:r>
      <w:r w:rsidRPr="00CA2B3C">
        <w:rPr>
          <w:rFonts w:ascii="Times New Roman" w:hAnsi="Times New Roman" w:cs="Times New Roman"/>
          <w:i/>
          <w:iCs/>
          <w:sz w:val="24"/>
          <w:szCs w:val="24"/>
        </w:rPr>
        <w:t>Insects</w:t>
      </w:r>
      <w:r w:rsidRPr="00CA2B3C">
        <w:rPr>
          <w:rFonts w:ascii="Times New Roman" w:hAnsi="Times New Roman" w:cs="Times New Roman"/>
          <w:sz w:val="24"/>
          <w:szCs w:val="24"/>
        </w:rPr>
        <w:t>, 13(6), 1–12.</w:t>
      </w:r>
    </w:p>
    <w:p w14:paraId="0C0ECD92"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Rao, P. R., Rathod, S., &amp; Seni, A. (2024). </w:t>
      </w:r>
      <w:proofErr w:type="spellStart"/>
      <w:r w:rsidRPr="00CA2B3C">
        <w:rPr>
          <w:rFonts w:ascii="Times New Roman" w:hAnsi="Times New Roman" w:cs="Times New Roman"/>
          <w:sz w:val="24"/>
          <w:szCs w:val="24"/>
        </w:rPr>
        <w:t>Agro</w:t>
      </w:r>
      <w:proofErr w:type="spellEnd"/>
      <w:r w:rsidRPr="00CA2B3C">
        <w:rPr>
          <w:rFonts w:ascii="Times New Roman" w:hAnsi="Times New Roman" w:cs="Times New Roman"/>
          <w:sz w:val="24"/>
          <w:szCs w:val="24"/>
        </w:rPr>
        <w:t xml:space="preserve">-meteorological relationships of rice gall midge. </w:t>
      </w:r>
      <w:r w:rsidRPr="00CA2B3C">
        <w:rPr>
          <w:rFonts w:ascii="Times New Roman" w:hAnsi="Times New Roman" w:cs="Times New Roman"/>
          <w:i/>
          <w:iCs/>
          <w:sz w:val="24"/>
          <w:szCs w:val="24"/>
        </w:rPr>
        <w:t>Journal of Agrometeorology</w:t>
      </w:r>
      <w:r w:rsidRPr="00CA2B3C">
        <w:rPr>
          <w:rFonts w:ascii="Times New Roman" w:hAnsi="Times New Roman" w:cs="Times New Roman"/>
          <w:sz w:val="24"/>
          <w:szCs w:val="24"/>
        </w:rPr>
        <w:t>.</w:t>
      </w:r>
    </w:p>
    <w:p w14:paraId="2EF113A9"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lastRenderedPageBreak/>
        <w:t xml:space="preserve">Rathod, S., et al. (2021). Rice area and production statistics of India. </w:t>
      </w:r>
      <w:r w:rsidRPr="00CA2B3C">
        <w:rPr>
          <w:rFonts w:ascii="Times New Roman" w:hAnsi="Times New Roman" w:cs="Times New Roman"/>
          <w:i/>
          <w:iCs/>
          <w:sz w:val="24"/>
          <w:szCs w:val="24"/>
        </w:rPr>
        <w:t>Indian Journal of Agricultural Economics</w:t>
      </w:r>
      <w:r w:rsidRPr="00CA2B3C">
        <w:rPr>
          <w:rFonts w:ascii="Times New Roman" w:hAnsi="Times New Roman" w:cs="Times New Roman"/>
          <w:sz w:val="24"/>
          <w:szCs w:val="24"/>
        </w:rPr>
        <w:t>, 76(2), 1–10.</w:t>
      </w:r>
    </w:p>
    <w:p w14:paraId="718C080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Rathod, S., Seni, A., &amp; Rao, P. R. (2022). Seasonal incidence of rice gall midge in Telangana.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84(3), 450–455.</w:t>
      </w:r>
    </w:p>
    <w:p w14:paraId="241C888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Rawat, N., Naga, N. C., Meenakshi Sundaram, R., Nair, S.,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Sonti, R. V. (2012). Differential gene expression in gall midge susceptible rice genotypes revealed by suppressive subtraction hybridization cDNA libraries and microarray analysis. </w:t>
      </w:r>
      <w:r w:rsidRPr="00CA2B3C">
        <w:rPr>
          <w:rFonts w:ascii="Times New Roman" w:hAnsi="Times New Roman" w:cs="Times New Roman"/>
          <w:i/>
          <w:iCs/>
          <w:sz w:val="24"/>
          <w:szCs w:val="24"/>
        </w:rPr>
        <w:t>Rice</w:t>
      </w:r>
      <w:r w:rsidRPr="00CA2B3C">
        <w:rPr>
          <w:rFonts w:ascii="Times New Roman" w:hAnsi="Times New Roman" w:cs="Times New Roman"/>
          <w:sz w:val="24"/>
          <w:szCs w:val="24"/>
        </w:rPr>
        <w:t xml:space="preserve">, 5, 8. </w:t>
      </w:r>
      <w:hyperlink r:id="rId15" w:tgtFrame="_blank" w:history="1">
        <w:r w:rsidRPr="00CA2B3C">
          <w:rPr>
            <w:rStyle w:val="Hyperlink"/>
            <w:rFonts w:ascii="Times New Roman" w:hAnsi="Times New Roman" w:cs="Times New Roman"/>
            <w:sz w:val="24"/>
            <w:szCs w:val="24"/>
          </w:rPr>
          <w:t>https://doi.org/10.1186/1939-8433-5-8</w:t>
        </w:r>
      </w:hyperlink>
    </w:p>
    <w:p w14:paraId="75AF4FE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Saicharan, M., Anil Kumar, D., &amp; Malathi, S. (2025). Biotype distribution of rice gall midge in Telangana. </w:t>
      </w:r>
      <w:r w:rsidRPr="00CA2B3C">
        <w:rPr>
          <w:rFonts w:ascii="Times New Roman" w:hAnsi="Times New Roman" w:cs="Times New Roman"/>
          <w:i/>
          <w:iCs/>
          <w:sz w:val="24"/>
          <w:szCs w:val="24"/>
        </w:rPr>
        <w:t>Journal of Entomological Research</w:t>
      </w:r>
      <w:r w:rsidRPr="00CA2B3C">
        <w:rPr>
          <w:rFonts w:ascii="Times New Roman" w:hAnsi="Times New Roman" w:cs="Times New Roman"/>
          <w:sz w:val="24"/>
          <w:szCs w:val="24"/>
        </w:rPr>
        <w:t>.</w:t>
      </w:r>
    </w:p>
    <w:p w14:paraId="61984F9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Sardesai, N., Rajyashri, K. R., </w:t>
      </w:r>
      <w:proofErr w:type="spellStart"/>
      <w:r w:rsidRPr="00CA2B3C">
        <w:rPr>
          <w:rFonts w:ascii="Times New Roman" w:hAnsi="Times New Roman" w:cs="Times New Roman"/>
          <w:sz w:val="24"/>
          <w:szCs w:val="24"/>
        </w:rPr>
        <w:t>Behura</w:t>
      </w:r>
      <w:proofErr w:type="spellEnd"/>
      <w:r w:rsidRPr="00CA2B3C">
        <w:rPr>
          <w:rFonts w:ascii="Times New Roman" w:hAnsi="Times New Roman" w:cs="Times New Roman"/>
          <w:sz w:val="24"/>
          <w:szCs w:val="24"/>
        </w:rPr>
        <w:t xml:space="preserve">, S. K., Nair, S., &amp; Mohan, M. (2001). Genetic, physiological and molecular interactions of rice and its major dipteran pest, gall midge. </w:t>
      </w:r>
      <w:r w:rsidRPr="00CA2B3C">
        <w:rPr>
          <w:rFonts w:ascii="Times New Roman" w:hAnsi="Times New Roman" w:cs="Times New Roman"/>
          <w:i/>
          <w:iCs/>
          <w:sz w:val="24"/>
          <w:szCs w:val="24"/>
        </w:rPr>
        <w:t>Plant Cell, Tissue and Organ Culture</w:t>
      </w:r>
      <w:r w:rsidRPr="00CA2B3C">
        <w:rPr>
          <w:rFonts w:ascii="Times New Roman" w:hAnsi="Times New Roman" w:cs="Times New Roman"/>
          <w:sz w:val="24"/>
          <w:szCs w:val="24"/>
        </w:rPr>
        <w:t>, 64, 115–131.</w:t>
      </w:r>
    </w:p>
    <w:p w14:paraId="2B32409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Sathishkumar, R.,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(2025). Life cycle and management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Current Science</w:t>
      </w:r>
      <w:r w:rsidRPr="00CA2B3C">
        <w:rPr>
          <w:rFonts w:ascii="Times New Roman" w:hAnsi="Times New Roman" w:cs="Times New Roman"/>
          <w:sz w:val="24"/>
          <w:szCs w:val="24"/>
        </w:rPr>
        <w:t>, 128(5), 1–10.</w:t>
      </w:r>
    </w:p>
    <w:p w14:paraId="41E436B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Seni, A., &amp; Pal, R. (2021). Economic threshold and natural enemies of rice gall midge. </w:t>
      </w:r>
      <w:r w:rsidRPr="00CA2B3C">
        <w:rPr>
          <w:rFonts w:ascii="Times New Roman" w:hAnsi="Times New Roman" w:cs="Times New Roman"/>
          <w:i/>
          <w:iCs/>
          <w:sz w:val="24"/>
          <w:szCs w:val="24"/>
        </w:rPr>
        <w:t>Journal of Biological Control</w:t>
      </w:r>
      <w:r w:rsidRPr="00CA2B3C">
        <w:rPr>
          <w:rFonts w:ascii="Times New Roman" w:hAnsi="Times New Roman" w:cs="Times New Roman"/>
          <w:sz w:val="24"/>
          <w:szCs w:val="24"/>
        </w:rPr>
        <w:t>, 35(2), 120–125.</w:t>
      </w:r>
    </w:p>
    <w:p w14:paraId="6B15141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Seni, A., Rathod, S., &amp; Rao, P. R. (2023). Phenological synchrony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85(1), 1–8.</w:t>
      </w:r>
    </w:p>
    <w:p w14:paraId="22B0232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Shravan Kumar, P., 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 Yield loss models for rice gall midge.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14(1), 1–6.</w:t>
      </w:r>
    </w:p>
    <w:p w14:paraId="5A423C01" w14:textId="77777777" w:rsidR="00CA2B3C" w:rsidRPr="00CA2B3C" w:rsidRDefault="00CA2B3C" w:rsidP="00CA2B3C">
      <w:pPr>
        <w:spacing w:after="0" w:line="360" w:lineRule="auto"/>
        <w:ind w:left="720" w:hanging="630"/>
        <w:jc w:val="both"/>
        <w:rPr>
          <w:rFonts w:ascii="Times New Roman" w:hAnsi="Times New Roman" w:cs="Times New Roman"/>
          <w:sz w:val="24"/>
          <w:szCs w:val="24"/>
          <w:lang w:val="pt-BR"/>
        </w:rPr>
      </w:pPr>
      <w:r w:rsidRPr="00CA2B3C">
        <w:rPr>
          <w:rFonts w:ascii="Times New Roman" w:hAnsi="Times New Roman" w:cs="Times New Roman"/>
          <w:sz w:val="24"/>
          <w:szCs w:val="24"/>
        </w:rPr>
        <w:t xml:space="preserve">Sinha, D. K., </w:t>
      </w:r>
      <w:proofErr w:type="spellStart"/>
      <w:r w:rsidRPr="00CA2B3C">
        <w:rPr>
          <w:rFonts w:ascii="Times New Roman" w:hAnsi="Times New Roman" w:cs="Times New Roman"/>
          <w:sz w:val="24"/>
          <w:szCs w:val="24"/>
        </w:rPr>
        <w:t>Atray</w:t>
      </w:r>
      <w:proofErr w:type="spellEnd"/>
      <w:r w:rsidRPr="00CA2B3C">
        <w:rPr>
          <w:rFonts w:ascii="Times New Roman" w:hAnsi="Times New Roman" w:cs="Times New Roman"/>
          <w:sz w:val="24"/>
          <w:szCs w:val="24"/>
        </w:rPr>
        <w:t xml:space="preserve">, I.,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(2011). Salivary effector genes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lang w:val="pt-BR"/>
        </w:rPr>
        <w:t>Molecular Biology Reports</w:t>
      </w:r>
      <w:r w:rsidRPr="00CA2B3C">
        <w:rPr>
          <w:rFonts w:ascii="Times New Roman" w:hAnsi="Times New Roman" w:cs="Times New Roman"/>
          <w:sz w:val="24"/>
          <w:szCs w:val="24"/>
          <w:lang w:val="pt-BR"/>
        </w:rPr>
        <w:t>, 38, 1–8.</w:t>
      </w:r>
    </w:p>
    <w:p w14:paraId="3A04D738"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Sinha, D. K., Nagaraju, J., Tomar, A., Bentur, J. S., &amp; Nair, S. (2012b). </w:t>
      </w:r>
      <w:r w:rsidRPr="00CA2B3C">
        <w:rPr>
          <w:rFonts w:ascii="Times New Roman" w:hAnsi="Times New Roman" w:cs="Times New Roman"/>
          <w:sz w:val="24"/>
          <w:szCs w:val="24"/>
        </w:rPr>
        <w:t xml:space="preserve">Pyrosequencing-based transcriptome analysis of the Asian rice gall midge reveals differential response during compatible and incompatible interaction. </w:t>
      </w:r>
      <w:r w:rsidRPr="00CA2B3C">
        <w:rPr>
          <w:rFonts w:ascii="Times New Roman" w:hAnsi="Times New Roman" w:cs="Times New Roman"/>
          <w:i/>
          <w:iCs/>
          <w:sz w:val="24"/>
          <w:szCs w:val="24"/>
        </w:rPr>
        <w:t>International Journal of Molecular Sciences</w:t>
      </w:r>
      <w:r w:rsidRPr="00CA2B3C">
        <w:rPr>
          <w:rFonts w:ascii="Times New Roman" w:hAnsi="Times New Roman" w:cs="Times New Roman"/>
          <w:sz w:val="24"/>
          <w:szCs w:val="24"/>
        </w:rPr>
        <w:t xml:space="preserve">, 13(10), 13079–13103. </w:t>
      </w:r>
      <w:hyperlink r:id="rId16" w:tgtFrame="_blank" w:history="1">
        <w:r w:rsidRPr="00CA2B3C">
          <w:rPr>
            <w:rStyle w:val="Hyperlink"/>
            <w:rFonts w:ascii="Times New Roman" w:hAnsi="Times New Roman" w:cs="Times New Roman"/>
            <w:sz w:val="24"/>
            <w:szCs w:val="24"/>
          </w:rPr>
          <w:t>https://doi.org/10.3390/ijms131013079</w:t>
        </w:r>
      </w:hyperlink>
    </w:p>
    <w:p w14:paraId="66C1458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Stewart, J. (2026). Rice tillering and phenology. </w:t>
      </w:r>
      <w:r w:rsidRPr="00CA2B3C">
        <w:rPr>
          <w:rFonts w:ascii="Times New Roman" w:hAnsi="Times New Roman" w:cs="Times New Roman"/>
          <w:i/>
          <w:iCs/>
          <w:sz w:val="24"/>
          <w:szCs w:val="24"/>
        </w:rPr>
        <w:t>Crop Science</w:t>
      </w:r>
      <w:r w:rsidRPr="00CA2B3C">
        <w:rPr>
          <w:rFonts w:ascii="Times New Roman" w:hAnsi="Times New Roman" w:cs="Times New Roman"/>
          <w:sz w:val="24"/>
          <w:szCs w:val="24"/>
        </w:rPr>
        <w:t>.</w:t>
      </w:r>
    </w:p>
    <w:p w14:paraId="3EB6C64E" w14:textId="6440F871" w:rsidR="00CA2B3C" w:rsidRPr="00305561"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Vijaya Lakshmi, P., Amudhan, S., Himabindu, K., </w:t>
      </w:r>
      <w:proofErr w:type="spellStart"/>
      <w:r w:rsidRPr="00CA2B3C">
        <w:rPr>
          <w:rFonts w:ascii="Times New Roman" w:hAnsi="Times New Roman" w:cs="Times New Roman"/>
          <w:sz w:val="24"/>
          <w:szCs w:val="24"/>
        </w:rPr>
        <w:t>Cheralu</w:t>
      </w:r>
      <w:proofErr w:type="spellEnd"/>
      <w:r w:rsidRPr="00CA2B3C">
        <w:rPr>
          <w:rFonts w:ascii="Times New Roman" w:hAnsi="Times New Roman" w:cs="Times New Roman"/>
          <w:sz w:val="24"/>
          <w:szCs w:val="24"/>
        </w:rPr>
        <w:t xml:space="preserve">, C., &amp;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(2006). A new biotype of the Asian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oryzae</w:t>
      </w:r>
      <w:r w:rsidRPr="00CA2B3C">
        <w:rPr>
          <w:rFonts w:ascii="Times New Roman" w:hAnsi="Times New Roman" w:cs="Times New Roman"/>
          <w:sz w:val="24"/>
          <w:szCs w:val="24"/>
        </w:rPr>
        <w:t xml:space="preserve"> (Diptera: Cecidomyiidae) characterized from the Warangal population in Andhra Pradesh, India. </w:t>
      </w:r>
      <w:r w:rsidRPr="00CA2B3C">
        <w:rPr>
          <w:rFonts w:ascii="Times New Roman" w:hAnsi="Times New Roman" w:cs="Times New Roman"/>
          <w:i/>
          <w:iCs/>
          <w:sz w:val="24"/>
          <w:szCs w:val="24"/>
        </w:rPr>
        <w:t>International Journal of Tropical Insect Science</w:t>
      </w:r>
      <w:r w:rsidRPr="00CA2B3C">
        <w:rPr>
          <w:rFonts w:ascii="Times New Roman" w:hAnsi="Times New Roman" w:cs="Times New Roman"/>
          <w:sz w:val="24"/>
          <w:szCs w:val="24"/>
        </w:rPr>
        <w:t xml:space="preserve">, 26(3), 207–211. </w:t>
      </w:r>
      <w:hyperlink r:id="rId17" w:tgtFrame="_blank" w:history="1">
        <w:r w:rsidRPr="00CA2B3C">
          <w:rPr>
            <w:rStyle w:val="Hyperlink"/>
            <w:rFonts w:ascii="Times New Roman" w:hAnsi="Times New Roman" w:cs="Times New Roman"/>
            <w:sz w:val="24"/>
            <w:szCs w:val="24"/>
          </w:rPr>
          <w:t>https://doi.org/10.1017/S1742758406000613</w:t>
        </w:r>
      </w:hyperlink>
    </w:p>
    <w:sectPr w:rsidR="00CA2B3C" w:rsidRPr="00305561" w:rsidSect="00DA275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4BFE5" w14:textId="77777777" w:rsidR="00A64570" w:rsidRDefault="00A64570" w:rsidP="00411A4F">
      <w:pPr>
        <w:spacing w:after="0" w:line="240" w:lineRule="auto"/>
      </w:pPr>
      <w:r>
        <w:separator/>
      </w:r>
    </w:p>
  </w:endnote>
  <w:endnote w:type="continuationSeparator" w:id="0">
    <w:p w14:paraId="4C322394" w14:textId="77777777" w:rsidR="00A64570" w:rsidRDefault="00A64570" w:rsidP="0041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4AD7" w14:textId="77777777" w:rsidR="00411A4F" w:rsidRDefault="00411A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6C1A" w14:textId="77777777" w:rsidR="00411A4F" w:rsidRDefault="00411A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2758" w14:textId="77777777" w:rsidR="00411A4F" w:rsidRDefault="00411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6B769" w14:textId="77777777" w:rsidR="00A64570" w:rsidRDefault="00A64570" w:rsidP="00411A4F">
      <w:pPr>
        <w:spacing w:after="0" w:line="240" w:lineRule="auto"/>
      </w:pPr>
      <w:r>
        <w:separator/>
      </w:r>
    </w:p>
  </w:footnote>
  <w:footnote w:type="continuationSeparator" w:id="0">
    <w:p w14:paraId="72EB58B0" w14:textId="77777777" w:rsidR="00A64570" w:rsidRDefault="00A64570" w:rsidP="00411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92B3" w14:textId="7035EE19" w:rsidR="00411A4F" w:rsidRDefault="00411A4F">
    <w:pPr>
      <w:pStyle w:val="Header"/>
    </w:pPr>
    <w:r>
      <w:rPr>
        <w:noProof/>
      </w:rPr>
      <w:pict w14:anchorId="182F7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D4E9" w14:textId="654A3201" w:rsidR="00411A4F" w:rsidRDefault="00411A4F">
    <w:pPr>
      <w:pStyle w:val="Header"/>
    </w:pPr>
    <w:r>
      <w:rPr>
        <w:noProof/>
      </w:rPr>
      <w:pict w14:anchorId="73C846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7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76FE" w14:textId="7EE1EDBC" w:rsidR="00411A4F" w:rsidRDefault="00411A4F">
    <w:pPr>
      <w:pStyle w:val="Header"/>
    </w:pPr>
    <w:r>
      <w:rPr>
        <w:noProof/>
      </w:rPr>
      <w:pict w14:anchorId="6E81A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2DA"/>
    <w:rsid w:val="00053A8F"/>
    <w:rsid w:val="0012179C"/>
    <w:rsid w:val="002635BD"/>
    <w:rsid w:val="002C21F6"/>
    <w:rsid w:val="00305561"/>
    <w:rsid w:val="00322FB5"/>
    <w:rsid w:val="003643D1"/>
    <w:rsid w:val="00373EBD"/>
    <w:rsid w:val="003A4691"/>
    <w:rsid w:val="003F5342"/>
    <w:rsid w:val="003F7465"/>
    <w:rsid w:val="00411A4F"/>
    <w:rsid w:val="00422EAF"/>
    <w:rsid w:val="005100EA"/>
    <w:rsid w:val="005878BC"/>
    <w:rsid w:val="00597AD2"/>
    <w:rsid w:val="005B2D40"/>
    <w:rsid w:val="005D74D6"/>
    <w:rsid w:val="00686AED"/>
    <w:rsid w:val="006E10A7"/>
    <w:rsid w:val="007700AE"/>
    <w:rsid w:val="0086719E"/>
    <w:rsid w:val="009072DA"/>
    <w:rsid w:val="00946C7C"/>
    <w:rsid w:val="00A64570"/>
    <w:rsid w:val="00AC08D2"/>
    <w:rsid w:val="00AF1D27"/>
    <w:rsid w:val="00CA2B3C"/>
    <w:rsid w:val="00DA275C"/>
    <w:rsid w:val="00E64513"/>
    <w:rsid w:val="00E83B01"/>
    <w:rsid w:val="00EA0E37"/>
    <w:rsid w:val="00EA7B6F"/>
    <w:rsid w:val="00F31D12"/>
    <w:rsid w:val="00F96A7A"/>
    <w:rsid w:val="00FB510A"/>
    <w:rsid w:val="00FE2BE1"/>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95E0B"/>
  <w15:chartTrackingRefBased/>
  <w15:docId w15:val="{83898744-07F5-43A7-AA2E-1ADE90D1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Gautami"/>
        <w:kern w:val="2"/>
        <w:sz w:val="22"/>
        <w:szCs w:val="22"/>
        <w:lang w:val="en-US" w:eastAsia="en-US" w:bidi="te-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7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72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72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72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7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2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72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72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72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72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7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2DA"/>
    <w:rPr>
      <w:rFonts w:eastAsiaTheme="majorEastAsia" w:cstheme="majorBidi"/>
      <w:color w:val="272727" w:themeColor="text1" w:themeTint="D8"/>
    </w:rPr>
  </w:style>
  <w:style w:type="paragraph" w:styleId="Title">
    <w:name w:val="Title"/>
    <w:basedOn w:val="Normal"/>
    <w:next w:val="Normal"/>
    <w:link w:val="TitleChar"/>
    <w:uiPriority w:val="10"/>
    <w:qFormat/>
    <w:rsid w:val="00907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2DA"/>
    <w:pPr>
      <w:spacing w:before="160"/>
      <w:jc w:val="center"/>
    </w:pPr>
    <w:rPr>
      <w:i/>
      <w:iCs/>
      <w:color w:val="404040" w:themeColor="text1" w:themeTint="BF"/>
    </w:rPr>
  </w:style>
  <w:style w:type="character" w:customStyle="1" w:styleId="QuoteChar">
    <w:name w:val="Quote Char"/>
    <w:basedOn w:val="DefaultParagraphFont"/>
    <w:link w:val="Quote"/>
    <w:uiPriority w:val="29"/>
    <w:rsid w:val="009072DA"/>
    <w:rPr>
      <w:i/>
      <w:iCs/>
      <w:color w:val="404040" w:themeColor="text1" w:themeTint="BF"/>
    </w:rPr>
  </w:style>
  <w:style w:type="paragraph" w:styleId="ListParagraph">
    <w:name w:val="List Paragraph"/>
    <w:basedOn w:val="Normal"/>
    <w:uiPriority w:val="34"/>
    <w:qFormat/>
    <w:rsid w:val="009072DA"/>
    <w:pPr>
      <w:ind w:left="720"/>
      <w:contextualSpacing/>
    </w:pPr>
  </w:style>
  <w:style w:type="character" w:styleId="IntenseEmphasis">
    <w:name w:val="Intense Emphasis"/>
    <w:basedOn w:val="DefaultParagraphFont"/>
    <w:uiPriority w:val="21"/>
    <w:qFormat/>
    <w:rsid w:val="009072DA"/>
    <w:rPr>
      <w:i/>
      <w:iCs/>
      <w:color w:val="2F5496" w:themeColor="accent1" w:themeShade="BF"/>
    </w:rPr>
  </w:style>
  <w:style w:type="paragraph" w:styleId="IntenseQuote">
    <w:name w:val="Intense Quote"/>
    <w:basedOn w:val="Normal"/>
    <w:next w:val="Normal"/>
    <w:link w:val="IntenseQuoteChar"/>
    <w:uiPriority w:val="30"/>
    <w:qFormat/>
    <w:rsid w:val="00907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72DA"/>
    <w:rPr>
      <w:i/>
      <w:iCs/>
      <w:color w:val="2F5496" w:themeColor="accent1" w:themeShade="BF"/>
    </w:rPr>
  </w:style>
  <w:style w:type="character" w:styleId="IntenseReference">
    <w:name w:val="Intense Reference"/>
    <w:basedOn w:val="DefaultParagraphFont"/>
    <w:uiPriority w:val="32"/>
    <w:qFormat/>
    <w:rsid w:val="009072DA"/>
    <w:rPr>
      <w:b/>
      <w:bCs/>
      <w:smallCaps/>
      <w:color w:val="2F5496" w:themeColor="accent1" w:themeShade="BF"/>
      <w:spacing w:val="5"/>
    </w:rPr>
  </w:style>
  <w:style w:type="character" w:styleId="Hyperlink">
    <w:name w:val="Hyperlink"/>
    <w:basedOn w:val="DefaultParagraphFont"/>
    <w:uiPriority w:val="99"/>
    <w:unhideWhenUsed/>
    <w:rsid w:val="007700AE"/>
    <w:rPr>
      <w:color w:val="0563C1" w:themeColor="hyperlink"/>
      <w:u w:val="single"/>
    </w:rPr>
  </w:style>
  <w:style w:type="character" w:styleId="UnresolvedMention">
    <w:name w:val="Unresolved Mention"/>
    <w:basedOn w:val="DefaultParagraphFont"/>
    <w:uiPriority w:val="99"/>
    <w:semiHidden/>
    <w:unhideWhenUsed/>
    <w:rsid w:val="007700AE"/>
    <w:rPr>
      <w:color w:val="605E5C"/>
      <w:shd w:val="clear" w:color="auto" w:fill="E1DFDD"/>
    </w:rPr>
  </w:style>
  <w:style w:type="table" w:styleId="TableGrid">
    <w:name w:val="Table Grid"/>
    <w:basedOn w:val="TableNormal"/>
    <w:uiPriority w:val="39"/>
    <w:rsid w:val="00EA0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1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A4F"/>
  </w:style>
  <w:style w:type="paragraph" w:styleId="Footer">
    <w:name w:val="footer"/>
    <w:basedOn w:val="Normal"/>
    <w:link w:val="FooterChar"/>
    <w:uiPriority w:val="99"/>
    <w:unhideWhenUsed/>
    <w:rsid w:val="00411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570-7458.1996.tb00766.x" TargetMode="External"/><Relationship Id="rId13" Type="http://schemas.openxmlformats.org/officeDocument/2006/relationships/hyperlink" Target="https://doi.org/10.1371/journal.pone.0138714"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doi.org/10.1111/jipb.12244" TargetMode="External"/><Relationship Id="rId12" Type="http://schemas.openxmlformats.org/officeDocument/2006/relationships/hyperlink" Target="https://doi.org/10.1155/2008/524847" TargetMode="External"/><Relationship Id="rId17" Type="http://schemas.openxmlformats.org/officeDocument/2006/relationships/hyperlink" Target="https://doi.org/10.1017/S174275840600061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3390/ijms131013079"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93/molbev/msx049"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186/1939-8433-5-8" TargetMode="External"/><Relationship Id="rId23" Type="http://schemas.openxmlformats.org/officeDocument/2006/relationships/footer" Target="footer3.xml"/><Relationship Id="rId10" Type="http://schemas.openxmlformats.org/officeDocument/2006/relationships/hyperlink" Target="https://www.cabi.org/isc"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doi.org/10.1016/j.jinsphys.2015.09.008" TargetMode="External"/><Relationship Id="rId14" Type="http://schemas.openxmlformats.org/officeDocument/2006/relationships/hyperlink" Target="https://doi.org/10.1017/S000748530001364X"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14</Pages>
  <Words>4926</Words>
  <Characters>28082</Characters>
  <Application>Microsoft Office Word</Application>
  <DocSecurity>0</DocSecurity>
  <Lines>234</Lines>
  <Paragraphs>65</Paragraphs>
  <ScaleCrop>false</ScaleCrop>
  <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Modala Mallesh</dc:creator>
  <cp:keywords/>
  <dc:description/>
  <cp:lastModifiedBy>SDI 1084</cp:lastModifiedBy>
  <cp:revision>33</cp:revision>
  <cp:lastPrinted>2026-10-13T13:58:00Z</cp:lastPrinted>
  <dcterms:created xsi:type="dcterms:W3CDTF">2026-10-13T10:22:00Z</dcterms:created>
  <dcterms:modified xsi:type="dcterms:W3CDTF">2026-10-14T12:44:00Z</dcterms:modified>
</cp:coreProperties>
</file>