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D3D13" w14:textId="77777777" w:rsidR="002818EF" w:rsidRDefault="00000000">
      <w:pPr>
        <w:jc w:val="left"/>
        <w:rPr>
          <w:rFonts w:ascii="Times New Roman" w:eastAsia="Times New Roman" w:hAnsi="Times New Roman"/>
          <w:b/>
          <w:sz w:val="24"/>
          <w:szCs w:val="24"/>
        </w:rPr>
      </w:pPr>
      <w:r>
        <w:rPr>
          <w:rFonts w:ascii="Times New Roman" w:eastAsia="Times New Roman" w:hAnsi="Times New Roman"/>
          <w:b/>
          <w:sz w:val="24"/>
          <w:szCs w:val="24"/>
        </w:rPr>
        <w:t>Impact of oil refinery spillage on heavy metal contamination and pollution indices in biotic and abiotic components in Ennore Creek, India</w:t>
      </w:r>
    </w:p>
    <w:p w14:paraId="59E1349D" w14:textId="77777777" w:rsidR="00BE1B01" w:rsidRDefault="00BE1B01">
      <w:pPr>
        <w:rPr>
          <w:rFonts w:ascii="Times New Roman" w:eastAsia="Times New Roman" w:hAnsi="Times New Roman"/>
          <w:b/>
          <w:sz w:val="24"/>
          <w:szCs w:val="24"/>
        </w:rPr>
      </w:pPr>
    </w:p>
    <w:p w14:paraId="00B84195" w14:textId="77777777" w:rsidR="00BE1B01" w:rsidRDefault="00BE1B01">
      <w:pPr>
        <w:rPr>
          <w:rFonts w:ascii="Times New Roman" w:eastAsia="Times New Roman" w:hAnsi="Times New Roman"/>
          <w:b/>
          <w:sz w:val="24"/>
          <w:szCs w:val="24"/>
        </w:rPr>
      </w:pPr>
    </w:p>
    <w:p w14:paraId="43169135" w14:textId="2FAC5150" w:rsidR="002818EF" w:rsidRDefault="00000000">
      <w:pPr>
        <w:rPr>
          <w:rFonts w:ascii="Times New Roman" w:eastAsia="Times New Roman" w:hAnsi="Times New Roman"/>
          <w:b/>
          <w:sz w:val="24"/>
          <w:szCs w:val="24"/>
        </w:rPr>
      </w:pPr>
      <w:r>
        <w:rPr>
          <w:rFonts w:ascii="Times New Roman" w:eastAsia="Times New Roman" w:hAnsi="Times New Roman"/>
          <w:b/>
          <w:sz w:val="24"/>
          <w:szCs w:val="24"/>
        </w:rPr>
        <w:t xml:space="preserve">Abstract </w:t>
      </w:r>
    </w:p>
    <w:p w14:paraId="53CD6E93"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t xml:space="preserve">Heavy metal contamination has rapidly increased in recent decades, posing a significant effect on the aquatic environment and the organisms inhabiting it. The chief objective of the study is to ascertain concentrations of Cadmium (Cd), Chromium (Cr), Lead (Pb) and Mercury (Hg) in collected water, sediment and biological samples before and after the oil spill at Ennore. The commercially consumed fish </w:t>
      </w:r>
      <w:proofErr w:type="spellStart"/>
      <w:r>
        <w:rPr>
          <w:rFonts w:ascii="Times New Roman" w:eastAsia="Times New Roman" w:hAnsi="Times New Roman"/>
          <w:i/>
          <w:iCs/>
          <w:sz w:val="24"/>
          <w:szCs w:val="24"/>
        </w:rPr>
        <w:t>Elops</w:t>
      </w:r>
      <w:proofErr w:type="spellEnd"/>
      <w:r>
        <w:rPr>
          <w:rFonts w:ascii="Times New Roman" w:eastAsia="Times New Roman" w:hAnsi="Times New Roman"/>
          <w:i/>
          <w:iCs/>
          <w:sz w:val="24"/>
          <w:szCs w:val="24"/>
        </w:rPr>
        <w:t xml:space="preserve"> saurus</w:t>
      </w:r>
      <w:r>
        <w:rPr>
          <w:rFonts w:ascii="Times New Roman" w:eastAsia="Times New Roman" w:hAnsi="Times New Roman"/>
          <w:sz w:val="24"/>
          <w:szCs w:val="24"/>
        </w:rPr>
        <w:t xml:space="preserve"> and </w:t>
      </w:r>
      <w:r>
        <w:rPr>
          <w:rFonts w:ascii="Times New Roman" w:eastAsia="Times New Roman" w:hAnsi="Times New Roman"/>
          <w:i/>
          <w:iCs/>
          <w:sz w:val="24"/>
          <w:szCs w:val="24"/>
        </w:rPr>
        <w:t>Gerres filamentous</w:t>
      </w:r>
      <w:r>
        <w:rPr>
          <w:rFonts w:ascii="Times New Roman" w:eastAsia="Times New Roman" w:hAnsi="Times New Roman"/>
          <w:sz w:val="24"/>
          <w:szCs w:val="24"/>
        </w:rPr>
        <w:t xml:space="preserve"> were identified using morphometric characteristics by a benchmark protocol. Heavy metal concentrations showed marked variation among stations, with Pb recording the highest levels in water and sediment (75.8 </w:t>
      </w:r>
      <w:proofErr w:type="spellStart"/>
      <w:r>
        <w:rPr>
          <w:rFonts w:ascii="Times New Roman" w:eastAsia="Times New Roman" w:hAnsi="Times New Roman"/>
          <w:sz w:val="24"/>
          <w:szCs w:val="24"/>
        </w:rPr>
        <w:t>μg</w:t>
      </w:r>
      <w:proofErr w:type="spellEnd"/>
      <w:r>
        <w:rPr>
          <w:rFonts w:ascii="Times New Roman" w:eastAsia="Times New Roman" w:hAnsi="Times New Roman"/>
          <w:sz w:val="24"/>
          <w:szCs w:val="24"/>
        </w:rPr>
        <w:t xml:space="preserve">/L and 856 mg/kg, respectively), followed by Cr (4.06 </w:t>
      </w:r>
      <w:proofErr w:type="spellStart"/>
      <w:r>
        <w:rPr>
          <w:rFonts w:ascii="Times New Roman" w:eastAsia="Times New Roman" w:hAnsi="Times New Roman"/>
          <w:sz w:val="24"/>
          <w:szCs w:val="24"/>
        </w:rPr>
        <w:t>μg</w:t>
      </w:r>
      <w:proofErr w:type="spellEnd"/>
      <w:r>
        <w:rPr>
          <w:rFonts w:ascii="Times New Roman" w:eastAsia="Times New Roman" w:hAnsi="Times New Roman"/>
          <w:sz w:val="24"/>
          <w:szCs w:val="24"/>
        </w:rPr>
        <w:t xml:space="preserve">/L and 164.2 mg/kg), respectively. Among the biological matrices, after the oil spill, </w:t>
      </w:r>
      <w:proofErr w:type="spellStart"/>
      <w:r>
        <w:rPr>
          <w:rFonts w:ascii="Times New Roman" w:eastAsia="Times New Roman" w:hAnsi="Times New Roman"/>
          <w:i/>
          <w:iCs/>
          <w:sz w:val="24"/>
          <w:szCs w:val="24"/>
        </w:rPr>
        <w:t>Elops</w:t>
      </w:r>
      <w:proofErr w:type="spellEnd"/>
      <w:r>
        <w:rPr>
          <w:rFonts w:ascii="Times New Roman" w:eastAsia="Times New Roman" w:hAnsi="Times New Roman"/>
          <w:i/>
          <w:iCs/>
          <w:sz w:val="24"/>
          <w:szCs w:val="24"/>
        </w:rPr>
        <w:t xml:space="preserve"> saurus</w:t>
      </w:r>
      <w:r>
        <w:rPr>
          <w:rFonts w:ascii="Times New Roman" w:eastAsia="Times New Roman" w:hAnsi="Times New Roman"/>
          <w:sz w:val="24"/>
          <w:szCs w:val="24"/>
        </w:rPr>
        <w:t xml:space="preserve"> showed higher Cr accumulation (5.57 mg/kg), while polychaetes exhibited comparatively elevated Pb levels (1.60 mg/kg). Overall, the elevated metal concentrations, particularly in sediment and biota, indicate potential bioaccumulation and ecological concern in the study area. Pollution indices, including the </w:t>
      </w:r>
      <w:proofErr w:type="spellStart"/>
      <w:r>
        <w:rPr>
          <w:rFonts w:ascii="Times New Roman" w:eastAsia="Times New Roman" w:hAnsi="Times New Roman"/>
          <w:sz w:val="24"/>
          <w:szCs w:val="24"/>
        </w:rPr>
        <w:t>geoaccumulation</w:t>
      </w:r>
      <w:proofErr w:type="spellEnd"/>
      <w:r>
        <w:rPr>
          <w:rFonts w:ascii="Times New Roman" w:eastAsia="Times New Roman" w:hAnsi="Times New Roman"/>
          <w:sz w:val="24"/>
          <w:szCs w:val="24"/>
        </w:rPr>
        <w:t xml:space="preserve"> index, pollution load index and bioaccumulation factor, indicated escalating pollution after the oil spill. This alerts to the urgent need to improve and protect the aquatic ecosystem health for future generations.</w:t>
      </w:r>
    </w:p>
    <w:p w14:paraId="0B17F2D2"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t>Keywords: Aquatic environment</w:t>
      </w:r>
      <w:r>
        <w:rPr>
          <w:rFonts w:ascii="Times New Roman" w:eastAsia="Times New Roman" w:hAnsi="Times New Roman"/>
          <w:i/>
          <w:iCs/>
          <w:sz w:val="24"/>
          <w:szCs w:val="24"/>
        </w:rPr>
        <w:t xml:space="preserve">, </w:t>
      </w:r>
      <w:proofErr w:type="spellStart"/>
      <w:r>
        <w:rPr>
          <w:rFonts w:ascii="Times New Roman" w:eastAsia="Times New Roman" w:hAnsi="Times New Roman"/>
          <w:i/>
          <w:iCs/>
          <w:sz w:val="24"/>
          <w:szCs w:val="24"/>
        </w:rPr>
        <w:t>Elops</w:t>
      </w:r>
      <w:proofErr w:type="spellEnd"/>
      <w:r>
        <w:rPr>
          <w:rFonts w:ascii="Times New Roman" w:eastAsia="Times New Roman" w:hAnsi="Times New Roman"/>
          <w:i/>
          <w:iCs/>
          <w:sz w:val="24"/>
          <w:szCs w:val="24"/>
        </w:rPr>
        <w:t xml:space="preserve"> saurus, </w:t>
      </w:r>
      <w:r>
        <w:rPr>
          <w:rFonts w:ascii="Times New Roman" w:eastAsia="Times New Roman" w:hAnsi="Times New Roman"/>
          <w:sz w:val="24"/>
          <w:szCs w:val="24"/>
        </w:rPr>
        <w:t>accumulation,</w:t>
      </w:r>
      <w:r>
        <w:rPr>
          <w:rFonts w:ascii="Times New Roman" w:eastAsia="Times New Roman" w:hAnsi="Times New Roman"/>
          <w:i/>
          <w:iCs/>
          <w:sz w:val="24"/>
          <w:szCs w:val="24"/>
        </w:rPr>
        <w:t xml:space="preserve"> Gerres filamentous, </w:t>
      </w:r>
      <w:r>
        <w:rPr>
          <w:rFonts w:ascii="Times New Roman" w:eastAsia="Times New Roman" w:hAnsi="Times New Roman"/>
          <w:sz w:val="24"/>
          <w:szCs w:val="24"/>
        </w:rPr>
        <w:t xml:space="preserve">Pollution indices, Ecological concern. </w:t>
      </w:r>
    </w:p>
    <w:p w14:paraId="427595A3" w14:textId="77777777" w:rsidR="00BE1B01" w:rsidRDefault="00BE1B01">
      <w:pPr>
        <w:rPr>
          <w:rFonts w:ascii="Times New Roman" w:eastAsia="Times New Roman" w:hAnsi="Times New Roman"/>
          <w:sz w:val="24"/>
          <w:szCs w:val="24"/>
        </w:rPr>
      </w:pPr>
    </w:p>
    <w:p w14:paraId="26B36710" w14:textId="77777777" w:rsidR="00BE1B01" w:rsidRDefault="00BE1B01"/>
    <w:p w14:paraId="30CB079B" w14:textId="77777777" w:rsidR="002818EF" w:rsidRDefault="002818EF"/>
    <w:p w14:paraId="77EF8A51" w14:textId="77777777" w:rsidR="002818EF" w:rsidRDefault="00000000">
      <w:pPr>
        <w:numPr>
          <w:ilvl w:val="0"/>
          <w:numId w:val="1"/>
        </w:numPr>
        <w:rPr>
          <w:rFonts w:ascii="Times New Roman" w:eastAsia="Times New Roman" w:hAnsi="Times New Roman"/>
          <w:color w:val="000000"/>
          <w:sz w:val="24"/>
          <w:szCs w:val="24"/>
        </w:rPr>
      </w:pPr>
      <w:r>
        <w:rPr>
          <w:rFonts w:ascii="Times New Roman" w:eastAsia="Times New Roman" w:hAnsi="Times New Roman"/>
          <w:b/>
          <w:color w:val="000000"/>
          <w:sz w:val="24"/>
          <w:szCs w:val="24"/>
        </w:rPr>
        <w:lastRenderedPageBreak/>
        <w:t>Introduction</w:t>
      </w:r>
    </w:p>
    <w:p w14:paraId="3B9A2A6E" w14:textId="77777777" w:rsidR="002818EF" w:rsidRDefault="00000000">
      <w:pPr>
        <w:rPr>
          <w:rFonts w:ascii="Times New Roman" w:eastAsia="Times New Roman" w:hAnsi="Times New Roman"/>
          <w:sz w:val="24"/>
          <w:szCs w:val="24"/>
        </w:rPr>
      </w:pPr>
      <w:bookmarkStart w:id="0" w:name="_heading=h.gasjo1c5gfh5" w:colFirst="0" w:colLast="0"/>
      <w:bookmarkEnd w:id="0"/>
      <w:r>
        <w:rPr>
          <w:rFonts w:ascii="Times New Roman" w:eastAsia="Times New Roman" w:hAnsi="Times New Roman"/>
          <w:sz w:val="24"/>
          <w:szCs w:val="24"/>
        </w:rPr>
        <w:t xml:space="preserve">Heavy metals (HMs) are elements with dense metallic properties and are toxic even at very low levels. Metal elements are pervasively found in waste released from industrial sludge, fertiliser, paints, ash and oil refineries (Wang &amp; Yang, 2016; </w:t>
      </w:r>
      <w:proofErr w:type="spellStart"/>
      <w:r>
        <w:rPr>
          <w:rFonts w:ascii="Times New Roman" w:eastAsia="Times New Roman" w:hAnsi="Times New Roman"/>
          <w:sz w:val="24"/>
          <w:szCs w:val="24"/>
        </w:rPr>
        <w:t>Panseriya</w:t>
      </w:r>
      <w:proofErr w:type="spellEnd"/>
      <w:r>
        <w:rPr>
          <w:rFonts w:ascii="Times New Roman" w:eastAsia="Times New Roman" w:hAnsi="Times New Roman"/>
          <w:sz w:val="24"/>
          <w:szCs w:val="24"/>
        </w:rPr>
        <w:t xml:space="preserve"> </w:t>
      </w:r>
      <w:r>
        <w:rPr>
          <w:rFonts w:ascii="Times New Roman" w:eastAsia="Times New Roman" w:hAnsi="Times New Roman"/>
          <w:i/>
          <w:iCs/>
          <w:sz w:val="24"/>
          <w:szCs w:val="24"/>
        </w:rPr>
        <w:t>et al</w:t>
      </w:r>
      <w:r>
        <w:rPr>
          <w:rFonts w:ascii="Times New Roman" w:eastAsia="Times New Roman" w:hAnsi="Times New Roman"/>
          <w:sz w:val="24"/>
          <w:szCs w:val="24"/>
        </w:rPr>
        <w:t xml:space="preserve">., 2020). HMs are present in fractional amounts known as trace elements.  Chromium (Cr), Cobalt (Co), Copper (Cu), Nickel (Ni), Selenium (Se), Zinc (Zn), Molybdenum (Mo) and Iron (Fe), have a vital role in the maintenance of biochemical and physiological function (Prashanth </w:t>
      </w:r>
      <w:r>
        <w:rPr>
          <w:rFonts w:ascii="Times New Roman" w:eastAsia="Times New Roman" w:hAnsi="Times New Roman"/>
          <w:i/>
          <w:iCs/>
          <w:sz w:val="24"/>
          <w:szCs w:val="24"/>
        </w:rPr>
        <w:t>et al</w:t>
      </w:r>
      <w:r>
        <w:rPr>
          <w:rFonts w:ascii="Times New Roman" w:eastAsia="Times New Roman" w:hAnsi="Times New Roman"/>
          <w:sz w:val="24"/>
          <w:szCs w:val="24"/>
        </w:rPr>
        <w:t xml:space="preserve">., 2015). </w:t>
      </w:r>
      <w:r>
        <w:rPr>
          <w:rFonts w:ascii="Times New Roman" w:eastAsia="Times New Roman" w:hAnsi="Times New Roman"/>
          <w:bCs/>
          <w:sz w:val="24"/>
          <w:szCs w:val="24"/>
        </w:rPr>
        <w:t xml:space="preserve">Essential elements have deleterious effects when taken excessively, as they disturb the absorption of other nutrients and damage the organs (Canli &amp; Atli, 2003). </w:t>
      </w:r>
      <w:r>
        <w:rPr>
          <w:rFonts w:ascii="Times New Roman" w:eastAsia="Times New Roman" w:hAnsi="Times New Roman"/>
          <w:sz w:val="24"/>
          <w:szCs w:val="24"/>
        </w:rPr>
        <w:t xml:space="preserve">Non-essential elements, for instance, Cadmium (Cd), Mercury (Hg) and Lead (Pb) are not requisite for biological activities; hence, they are considered perilous to humans and also to the aquatic environment as they lead to poor reproduction and growth, causing tissue damage (Otchere, 2019; Liang </w:t>
      </w:r>
      <w:r>
        <w:rPr>
          <w:rFonts w:ascii="Times New Roman" w:eastAsia="Times New Roman" w:hAnsi="Times New Roman"/>
          <w:i/>
          <w:iCs/>
          <w:sz w:val="24"/>
          <w:szCs w:val="24"/>
        </w:rPr>
        <w:t>et al</w:t>
      </w:r>
      <w:r>
        <w:rPr>
          <w:rFonts w:ascii="Times New Roman" w:eastAsia="Times New Roman" w:hAnsi="Times New Roman"/>
          <w:sz w:val="24"/>
          <w:szCs w:val="24"/>
        </w:rPr>
        <w:t xml:space="preserve">., 2023). </w:t>
      </w:r>
    </w:p>
    <w:p w14:paraId="245A921C" w14:textId="77777777" w:rsidR="002818EF" w:rsidRDefault="00000000">
      <w:pPr>
        <w:rPr>
          <w:rFonts w:ascii="Times New Roman" w:eastAsia="Times New Roman" w:hAnsi="Times New Roman"/>
          <w:bCs/>
          <w:sz w:val="24"/>
          <w:szCs w:val="24"/>
        </w:rPr>
      </w:pPr>
      <w:r>
        <w:rPr>
          <w:rFonts w:ascii="Times New Roman" w:eastAsia="Times New Roman" w:hAnsi="Times New Roman"/>
          <w:sz w:val="24"/>
          <w:szCs w:val="24"/>
        </w:rPr>
        <w:t xml:space="preserve">In the recent decade, coastal ecosystems have been tainted by the pollutants of anthropocentric activities, particularly agricultural leachate, industrial expansion, urbanisation and economic activities. Trace toxic elements are eminent pollutants discharged into the ocean and can accumulate in the sediments and marine ecosystems (Liu </w:t>
      </w:r>
      <w:r>
        <w:rPr>
          <w:rFonts w:ascii="Times New Roman" w:eastAsia="Times New Roman" w:hAnsi="Times New Roman"/>
          <w:i/>
          <w:iCs/>
          <w:sz w:val="24"/>
          <w:szCs w:val="24"/>
        </w:rPr>
        <w:t>et al</w:t>
      </w:r>
      <w:r>
        <w:rPr>
          <w:rFonts w:ascii="Times New Roman" w:eastAsia="Times New Roman" w:hAnsi="Times New Roman"/>
          <w:sz w:val="24"/>
          <w:szCs w:val="24"/>
        </w:rPr>
        <w:t xml:space="preserve">., 2007; Velusamy </w:t>
      </w:r>
      <w:r>
        <w:rPr>
          <w:rFonts w:ascii="Times New Roman" w:eastAsia="Times New Roman" w:hAnsi="Times New Roman"/>
          <w:i/>
          <w:iCs/>
          <w:sz w:val="24"/>
          <w:szCs w:val="24"/>
        </w:rPr>
        <w:t>et al</w:t>
      </w:r>
      <w:r>
        <w:rPr>
          <w:rFonts w:ascii="Times New Roman" w:eastAsia="Times New Roman" w:hAnsi="Times New Roman"/>
          <w:sz w:val="24"/>
          <w:szCs w:val="24"/>
        </w:rPr>
        <w:t>., 2014</w:t>
      </w:r>
      <w:r>
        <w:rPr>
          <w:rFonts w:ascii="Times New Roman" w:eastAsia="Times New Roman" w:hAnsi="Times New Roman"/>
        </w:rPr>
        <w:t xml:space="preserve">; </w:t>
      </w:r>
      <w:r>
        <w:rPr>
          <w:rFonts w:ascii="Times New Roman" w:eastAsia="Times New Roman" w:hAnsi="Times New Roman"/>
          <w:sz w:val="24"/>
          <w:szCs w:val="24"/>
        </w:rPr>
        <w:t xml:space="preserve">Stark </w:t>
      </w:r>
      <w:r>
        <w:rPr>
          <w:rFonts w:ascii="Times New Roman" w:eastAsia="Times New Roman" w:hAnsi="Times New Roman"/>
          <w:i/>
          <w:iCs/>
          <w:sz w:val="24"/>
          <w:szCs w:val="24"/>
        </w:rPr>
        <w:t>et al</w:t>
      </w:r>
      <w:r>
        <w:rPr>
          <w:rFonts w:ascii="Times New Roman" w:eastAsia="Times New Roman" w:hAnsi="Times New Roman"/>
          <w:sz w:val="24"/>
          <w:szCs w:val="24"/>
        </w:rPr>
        <w:t xml:space="preserve">., 2014; </w:t>
      </w:r>
      <w:proofErr w:type="spellStart"/>
      <w:r>
        <w:rPr>
          <w:rFonts w:ascii="Times New Roman" w:hAnsi="Times New Roman"/>
          <w:color w:val="222222"/>
          <w:sz w:val="24"/>
          <w:szCs w:val="24"/>
          <w:shd w:val="clear" w:color="auto" w:fill="FFFFFF"/>
        </w:rPr>
        <w:t>Vetrimurugan</w:t>
      </w:r>
      <w:proofErr w:type="spellEnd"/>
      <w:r>
        <w:rPr>
          <w:rFonts w:ascii="Times New Roman" w:eastAsia="Times New Roman" w:hAnsi="Times New Roman"/>
          <w:sz w:val="24"/>
          <w:szCs w:val="24"/>
        </w:rPr>
        <w:t xml:space="preserve"> </w:t>
      </w:r>
      <w:r>
        <w:rPr>
          <w:rFonts w:ascii="Times New Roman" w:eastAsia="Times New Roman" w:hAnsi="Times New Roman"/>
          <w:i/>
          <w:iCs/>
          <w:sz w:val="24"/>
          <w:szCs w:val="24"/>
        </w:rPr>
        <w:t>et al</w:t>
      </w:r>
      <w:r>
        <w:rPr>
          <w:rFonts w:ascii="Times New Roman" w:eastAsia="Times New Roman" w:hAnsi="Times New Roman"/>
          <w:sz w:val="24"/>
          <w:szCs w:val="24"/>
        </w:rPr>
        <w:t xml:space="preserve">., 2019). </w:t>
      </w:r>
      <w:r>
        <w:rPr>
          <w:rFonts w:ascii="Times New Roman" w:eastAsia="Times New Roman" w:hAnsi="Times New Roman"/>
          <w:bCs/>
          <w:sz w:val="24"/>
          <w:szCs w:val="24"/>
        </w:rPr>
        <w:t xml:space="preserve">Sediment contamination by heavy metals may influence aquatic ecosystem quality, biosorption and bioaccumulation. </w:t>
      </w:r>
      <w:r>
        <w:rPr>
          <w:rFonts w:ascii="Times New Roman" w:eastAsia="Times New Roman" w:hAnsi="Times New Roman"/>
          <w:sz w:val="24"/>
          <w:szCs w:val="24"/>
        </w:rPr>
        <w:t>Moreover, these metals become immobilised in sediments and may therefore be involved in co-precipitation, absorption and the formation of complexes (</w:t>
      </w:r>
      <w:r>
        <w:rPr>
          <w:rFonts w:ascii="Times New Roman" w:hAnsi="Times New Roman"/>
          <w:sz w:val="24"/>
          <w:szCs w:val="24"/>
        </w:rPr>
        <w:t>Chandrasekaran</w:t>
      </w:r>
      <w:r>
        <w:rPr>
          <w:rFonts w:ascii="Times New Roman" w:eastAsia="Times New Roman" w:hAnsi="Times New Roman"/>
          <w:sz w:val="24"/>
          <w:szCs w:val="24"/>
        </w:rPr>
        <w:t xml:space="preserve"> </w:t>
      </w:r>
      <w:r>
        <w:rPr>
          <w:rFonts w:ascii="Times New Roman" w:eastAsia="Times New Roman" w:hAnsi="Times New Roman"/>
          <w:i/>
          <w:iCs/>
          <w:sz w:val="24"/>
          <w:szCs w:val="24"/>
        </w:rPr>
        <w:t>et al</w:t>
      </w:r>
      <w:r>
        <w:rPr>
          <w:rFonts w:ascii="Times New Roman" w:eastAsia="Times New Roman" w:hAnsi="Times New Roman"/>
          <w:sz w:val="24"/>
          <w:szCs w:val="24"/>
        </w:rPr>
        <w:t xml:space="preserve">., 2015). </w:t>
      </w:r>
      <w:r>
        <w:rPr>
          <w:rFonts w:ascii="Times New Roman" w:eastAsia="Times New Roman" w:hAnsi="Times New Roman"/>
          <w:bCs/>
          <w:sz w:val="24"/>
          <w:szCs w:val="24"/>
        </w:rPr>
        <w:t xml:space="preserve">When exposed to human-induced activity, sediment absorbs contaminants from various sources like mines, agricultural fields, industries, etc. (da Silva </w:t>
      </w:r>
      <w:r>
        <w:rPr>
          <w:rFonts w:ascii="Times New Roman" w:eastAsia="Times New Roman" w:hAnsi="Times New Roman"/>
          <w:bCs/>
          <w:i/>
          <w:iCs/>
          <w:sz w:val="24"/>
          <w:szCs w:val="24"/>
        </w:rPr>
        <w:t>et al</w:t>
      </w:r>
      <w:r>
        <w:rPr>
          <w:rFonts w:ascii="Times New Roman" w:eastAsia="Times New Roman" w:hAnsi="Times New Roman"/>
          <w:bCs/>
          <w:sz w:val="24"/>
          <w:szCs w:val="24"/>
        </w:rPr>
        <w:t>., 2025).</w:t>
      </w:r>
    </w:p>
    <w:p w14:paraId="41A3EEF9"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t xml:space="preserve">Bioaccumulation indicates the accumulation of metal pollution within the environment. Elevated quantities of non-essential elements have been detected in marine animals, including </w:t>
      </w:r>
      <w:r>
        <w:rPr>
          <w:rFonts w:ascii="Times New Roman" w:eastAsia="Times New Roman" w:hAnsi="Times New Roman"/>
          <w:sz w:val="24"/>
          <w:szCs w:val="24"/>
        </w:rPr>
        <w:lastRenderedPageBreak/>
        <w:t xml:space="preserve">polychaetes, edible mussels, sea stars, clams and fish. This bioaccumulation may cause cellular harm (Singh </w:t>
      </w:r>
      <w:r>
        <w:rPr>
          <w:rFonts w:ascii="Times New Roman" w:eastAsia="Times New Roman" w:hAnsi="Times New Roman"/>
          <w:i/>
          <w:iCs/>
          <w:sz w:val="24"/>
          <w:szCs w:val="24"/>
        </w:rPr>
        <w:t>et al</w:t>
      </w:r>
      <w:r>
        <w:rPr>
          <w:rFonts w:ascii="Times New Roman" w:eastAsia="Times New Roman" w:hAnsi="Times New Roman"/>
          <w:sz w:val="24"/>
          <w:szCs w:val="24"/>
        </w:rPr>
        <w:t xml:space="preserve">., 2017). </w:t>
      </w:r>
      <w:bookmarkStart w:id="1" w:name="_heading=h.prtysit1nujz" w:colFirst="0" w:colLast="0"/>
      <w:bookmarkEnd w:id="1"/>
      <w:r>
        <w:rPr>
          <w:rFonts w:ascii="Times New Roman" w:eastAsia="Times New Roman" w:hAnsi="Times New Roman"/>
          <w:bCs/>
          <w:sz w:val="24"/>
          <w:szCs w:val="24"/>
        </w:rPr>
        <w:t xml:space="preserve">Fish are largely employed in metal accumulation experiments since they are a vital species and are regularly consumed by humans </w:t>
      </w:r>
      <w:r>
        <w:rPr>
          <w:rFonts w:ascii="Times New Roman" w:eastAsia="Times New Roman" w:hAnsi="Times New Roman"/>
          <w:sz w:val="24"/>
          <w:szCs w:val="24"/>
        </w:rPr>
        <w:t xml:space="preserve">(Krishnamurti, 1999; Rashed, 2001) </w:t>
      </w:r>
    </w:p>
    <w:p w14:paraId="4913A624"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t xml:space="preserve">Fish are known as bioindicators of metal accumulation (de Carvalho </w:t>
      </w:r>
      <w:r>
        <w:rPr>
          <w:rFonts w:ascii="Times New Roman" w:eastAsia="Times New Roman" w:hAnsi="Times New Roman"/>
          <w:i/>
          <w:iCs/>
          <w:sz w:val="24"/>
          <w:szCs w:val="24"/>
        </w:rPr>
        <w:t>et al</w:t>
      </w:r>
      <w:r>
        <w:rPr>
          <w:rFonts w:ascii="Times New Roman" w:eastAsia="Times New Roman" w:hAnsi="Times New Roman"/>
          <w:sz w:val="24"/>
          <w:szCs w:val="24"/>
        </w:rPr>
        <w:t xml:space="preserve">., 2025). When fish accumulate a large </w:t>
      </w:r>
      <w:proofErr w:type="gramStart"/>
      <w:r>
        <w:rPr>
          <w:rFonts w:ascii="Times New Roman" w:eastAsia="Times New Roman" w:hAnsi="Times New Roman"/>
          <w:sz w:val="24"/>
          <w:szCs w:val="24"/>
        </w:rPr>
        <w:t>amount</w:t>
      </w:r>
      <w:proofErr w:type="gramEnd"/>
      <w:r>
        <w:rPr>
          <w:rFonts w:ascii="Times New Roman" w:eastAsia="Times New Roman" w:hAnsi="Times New Roman"/>
          <w:sz w:val="24"/>
          <w:szCs w:val="24"/>
        </w:rPr>
        <w:t xml:space="preserve"> of metals, it poses a potential risk of transferring metals to humans (Gu </w:t>
      </w:r>
      <w:r>
        <w:rPr>
          <w:rFonts w:ascii="Times New Roman" w:eastAsia="Times New Roman" w:hAnsi="Times New Roman"/>
          <w:i/>
          <w:iCs/>
          <w:sz w:val="24"/>
          <w:szCs w:val="24"/>
        </w:rPr>
        <w:t>et al</w:t>
      </w:r>
      <w:r>
        <w:rPr>
          <w:rFonts w:ascii="Times New Roman" w:eastAsia="Times New Roman" w:hAnsi="Times New Roman"/>
          <w:sz w:val="24"/>
          <w:szCs w:val="24"/>
        </w:rPr>
        <w:t xml:space="preserve">., 2015).  Therefore, it is crucial to determine the levels of heavy metals in the organisms to evaluate if the concentration does not fall within acceptable limits or poses health threats to the consumer (Krishnamurti, 1999).  </w:t>
      </w:r>
    </w:p>
    <w:p w14:paraId="11D98B32" w14:textId="77777777" w:rsidR="002818EF" w:rsidRDefault="00000000">
      <w:pPr>
        <w:rPr>
          <w:rFonts w:ascii="Times New Roman" w:hAnsi="Times New Roman"/>
          <w:sz w:val="24"/>
          <w:szCs w:val="24"/>
        </w:rPr>
      </w:pPr>
      <w:r>
        <w:rPr>
          <w:rFonts w:ascii="Times New Roman" w:hAnsi="Times New Roman"/>
          <w:b/>
          <w:bCs/>
          <w:sz w:val="24"/>
          <w:szCs w:val="24"/>
        </w:rPr>
        <w:t>Research gap:</w:t>
      </w:r>
      <w:r>
        <w:rPr>
          <w:rFonts w:ascii="Times New Roman" w:hAnsi="Times New Roman"/>
          <w:sz w:val="24"/>
          <w:szCs w:val="24"/>
        </w:rPr>
        <w:t xml:space="preserve"> Even though some heavy metals research has reported contamination at Ennore, there is limited comparison of heavy metal accumulation in biotic as well as edible fish and their ecological risk before and after the spill. </w:t>
      </w:r>
    </w:p>
    <w:p w14:paraId="61BDC804" w14:textId="77777777" w:rsidR="002818EF" w:rsidRDefault="00000000">
      <w:pPr>
        <w:rPr>
          <w:rFonts w:ascii="Times New Roman" w:eastAsia="Times New Roman" w:hAnsi="Times New Roman"/>
          <w:b/>
          <w:bCs/>
          <w:sz w:val="24"/>
          <w:szCs w:val="24"/>
        </w:rPr>
      </w:pPr>
      <w:r>
        <w:t xml:space="preserve"> </w:t>
      </w:r>
      <w:r>
        <w:rPr>
          <w:rFonts w:ascii="Times New Roman" w:eastAsia="Times New Roman" w:hAnsi="Times New Roman"/>
          <w:b/>
          <w:bCs/>
          <w:sz w:val="24"/>
          <w:szCs w:val="24"/>
        </w:rPr>
        <w:t>1.1 Objective</w:t>
      </w:r>
    </w:p>
    <w:p w14:paraId="48AF2CE6"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t xml:space="preserve">The importance of the present study is to demonstrate the potential risk of heavy metal contamination in water, sediment, polychaetes and </w:t>
      </w:r>
      <w:proofErr w:type="spellStart"/>
      <w:r>
        <w:rPr>
          <w:rFonts w:ascii="Times New Roman" w:eastAsia="Times New Roman" w:hAnsi="Times New Roman"/>
          <w:i/>
          <w:sz w:val="24"/>
          <w:szCs w:val="24"/>
        </w:rPr>
        <w:t>Elops</w:t>
      </w:r>
      <w:proofErr w:type="spellEnd"/>
      <w:r>
        <w:rPr>
          <w:rFonts w:ascii="Times New Roman" w:eastAsia="Times New Roman" w:hAnsi="Times New Roman"/>
          <w:i/>
          <w:sz w:val="24"/>
          <w:szCs w:val="24"/>
        </w:rPr>
        <w:t xml:space="preserve"> saurus </w:t>
      </w:r>
      <w:r>
        <w:rPr>
          <w:rFonts w:ascii="Times New Roman" w:eastAsia="Times New Roman" w:hAnsi="Times New Roman"/>
          <w:sz w:val="24"/>
          <w:szCs w:val="24"/>
        </w:rPr>
        <w:t xml:space="preserve">and </w:t>
      </w:r>
      <w:r>
        <w:rPr>
          <w:rFonts w:ascii="Times New Roman" w:eastAsia="Times New Roman" w:hAnsi="Times New Roman"/>
          <w:i/>
          <w:sz w:val="24"/>
          <w:szCs w:val="24"/>
        </w:rPr>
        <w:t>Gerres filamentous</w:t>
      </w:r>
      <w:r>
        <w:rPr>
          <w:rFonts w:ascii="Times New Roman" w:eastAsia="Times New Roman" w:hAnsi="Times New Roman"/>
          <w:sz w:val="24"/>
          <w:szCs w:val="24"/>
        </w:rPr>
        <w:t xml:space="preserve"> fish muscles and its impact on Ennore Creek before and after the oil spill.</w:t>
      </w:r>
    </w:p>
    <w:p w14:paraId="035A5F88" w14:textId="77777777" w:rsidR="002818EF" w:rsidRDefault="00000000">
      <w:pPr>
        <w:numPr>
          <w:ilvl w:val="0"/>
          <w:numId w:val="1"/>
        </w:numPr>
        <w:ind w:left="284"/>
        <w:rPr>
          <w:rFonts w:ascii="Times New Roman" w:eastAsia="Times New Roman" w:hAnsi="Times New Roman"/>
          <w:b/>
          <w:color w:val="000000"/>
          <w:sz w:val="24"/>
          <w:szCs w:val="24"/>
        </w:rPr>
      </w:pPr>
      <w:bookmarkStart w:id="2" w:name="_heading=h.b084c33honfs" w:colFirst="0" w:colLast="0"/>
      <w:bookmarkEnd w:id="2"/>
      <w:r>
        <w:rPr>
          <w:rFonts w:ascii="Times New Roman" w:eastAsia="Times New Roman" w:hAnsi="Times New Roman"/>
          <w:b/>
          <w:color w:val="000000"/>
          <w:sz w:val="24"/>
          <w:szCs w:val="24"/>
        </w:rPr>
        <w:t>Materials and methods</w:t>
      </w:r>
    </w:p>
    <w:p w14:paraId="3D0F8E11" w14:textId="77777777" w:rsidR="002818EF" w:rsidRDefault="00000000">
      <w:pPr>
        <w:ind w:left="0"/>
        <w:rPr>
          <w:rFonts w:ascii="Times New Roman" w:eastAsia="Times New Roman" w:hAnsi="Times New Roman"/>
          <w:b/>
          <w:iCs/>
          <w:sz w:val="24"/>
          <w:szCs w:val="24"/>
        </w:rPr>
      </w:pPr>
      <w:r>
        <w:rPr>
          <w:rFonts w:ascii="Times New Roman" w:eastAsia="Times New Roman" w:hAnsi="Times New Roman"/>
          <w:b/>
          <w:iCs/>
          <w:sz w:val="24"/>
          <w:szCs w:val="24"/>
        </w:rPr>
        <w:t>2.1 Study area location description</w:t>
      </w:r>
    </w:p>
    <w:p w14:paraId="18C9FBB8" w14:textId="77777777" w:rsidR="002818EF" w:rsidRDefault="00000000">
      <w:pPr>
        <w:rPr>
          <w:rFonts w:ascii="Times New Roman" w:eastAsia="Times New Roman" w:hAnsi="Times New Roman"/>
          <w:color w:val="000000"/>
          <w:sz w:val="24"/>
          <w:szCs w:val="24"/>
        </w:rPr>
      </w:pPr>
      <w:r>
        <w:rPr>
          <w:rFonts w:ascii="Times New Roman" w:eastAsia="Times New Roman" w:hAnsi="Times New Roman"/>
          <w:bCs/>
          <w:sz w:val="24"/>
          <w:szCs w:val="24"/>
        </w:rPr>
        <w:t>The geographical location of the present study area was depicted using QGIS 3.44.</w:t>
      </w:r>
      <w:r>
        <w:rPr>
          <w:rFonts w:ascii="Times New Roman" w:eastAsia="Times New Roman" w:hAnsi="Times New Roman"/>
          <w:b/>
          <w:i/>
          <w:sz w:val="24"/>
          <w:szCs w:val="24"/>
        </w:rPr>
        <w:t xml:space="preserve"> </w:t>
      </w:r>
      <w:r>
        <w:rPr>
          <w:rFonts w:ascii="Times New Roman" w:eastAsia="Times New Roman" w:hAnsi="Times New Roman"/>
          <w:bCs/>
          <w:color w:val="000000"/>
          <w:sz w:val="24"/>
          <w:szCs w:val="24"/>
        </w:rPr>
        <w:t>Five</w:t>
      </w:r>
      <w:r>
        <w:rPr>
          <w:rFonts w:ascii="Times New Roman" w:eastAsia="Times New Roman" w:hAnsi="Times New Roman"/>
          <w:b/>
          <w:color w:val="000000"/>
          <w:sz w:val="24"/>
          <w:szCs w:val="24"/>
        </w:rPr>
        <w:t xml:space="preserve"> s</w:t>
      </w:r>
      <w:r>
        <w:rPr>
          <w:rFonts w:ascii="Times New Roman" w:eastAsia="Times New Roman" w:hAnsi="Times New Roman"/>
          <w:color w:val="000000"/>
          <w:sz w:val="24"/>
          <w:szCs w:val="24"/>
        </w:rPr>
        <w:t xml:space="preserve">ampling sites were chosen for analysing heavy metal contamination representation of the geographical location at Ennore Fig. 1. Ennore Creek at 13˚13’52.85’’N, 80˚19’40.51’’E, </w:t>
      </w:r>
      <w:proofErr w:type="spellStart"/>
      <w:r>
        <w:rPr>
          <w:rFonts w:ascii="Times New Roman" w:eastAsia="Times New Roman" w:hAnsi="Times New Roman"/>
          <w:color w:val="000000"/>
          <w:sz w:val="24"/>
          <w:szCs w:val="24"/>
        </w:rPr>
        <w:t>Nettukuppam</w:t>
      </w:r>
      <w:proofErr w:type="spellEnd"/>
      <w:r>
        <w:rPr>
          <w:rFonts w:ascii="Times New Roman" w:eastAsia="Times New Roman" w:hAnsi="Times New Roman"/>
          <w:color w:val="000000"/>
          <w:sz w:val="24"/>
          <w:szCs w:val="24"/>
        </w:rPr>
        <w:t xml:space="preserve"> at 13˚13’56.79’’N, 80˚19’52.44’’E, </w:t>
      </w:r>
      <w:proofErr w:type="spellStart"/>
      <w:r>
        <w:rPr>
          <w:rFonts w:ascii="Times New Roman" w:eastAsia="Times New Roman" w:hAnsi="Times New Roman"/>
          <w:color w:val="000000"/>
          <w:sz w:val="24"/>
          <w:szCs w:val="24"/>
        </w:rPr>
        <w:t>Thazhankuppam</w:t>
      </w:r>
      <w:proofErr w:type="spellEnd"/>
      <w:r>
        <w:rPr>
          <w:rFonts w:ascii="Times New Roman" w:eastAsia="Times New Roman" w:hAnsi="Times New Roman"/>
          <w:color w:val="000000"/>
          <w:sz w:val="24"/>
          <w:szCs w:val="24"/>
        </w:rPr>
        <w:t xml:space="preserve"> at 13˚13’38.90’’N, 80˚19’48.92’’E, </w:t>
      </w:r>
      <w:proofErr w:type="spellStart"/>
      <w:r>
        <w:rPr>
          <w:rFonts w:ascii="Times New Roman" w:eastAsia="Times New Roman" w:hAnsi="Times New Roman"/>
          <w:color w:val="000000"/>
          <w:sz w:val="24"/>
          <w:szCs w:val="24"/>
        </w:rPr>
        <w:t>Periyakuppam</w:t>
      </w:r>
      <w:proofErr w:type="spellEnd"/>
      <w:r>
        <w:rPr>
          <w:rFonts w:ascii="Times New Roman" w:eastAsia="Times New Roman" w:hAnsi="Times New Roman"/>
          <w:color w:val="000000"/>
          <w:sz w:val="24"/>
          <w:szCs w:val="24"/>
        </w:rPr>
        <w:t xml:space="preserve"> at 13˚12’43.15’’N, 80˚19’29.14’’E and </w:t>
      </w:r>
      <w:proofErr w:type="spellStart"/>
      <w:r>
        <w:rPr>
          <w:rFonts w:ascii="Times New Roman" w:eastAsia="Times New Roman" w:hAnsi="Times New Roman"/>
          <w:color w:val="000000"/>
          <w:sz w:val="24"/>
          <w:szCs w:val="24"/>
        </w:rPr>
        <w:t>Chinnakuppam</w:t>
      </w:r>
      <w:proofErr w:type="spellEnd"/>
      <w:r>
        <w:rPr>
          <w:rFonts w:ascii="Times New Roman" w:eastAsia="Times New Roman" w:hAnsi="Times New Roman"/>
          <w:color w:val="000000"/>
          <w:sz w:val="24"/>
          <w:szCs w:val="24"/>
        </w:rPr>
        <w:t xml:space="preserve"> at 13˚12’26.71’’N, 80˚19’22.19’’E. </w:t>
      </w:r>
    </w:p>
    <w:p w14:paraId="17CA77A5" w14:textId="77777777" w:rsidR="002818EF" w:rsidRDefault="002818EF"/>
    <w:p w14:paraId="4D5CB874" w14:textId="77777777" w:rsidR="002818EF" w:rsidRDefault="00000000">
      <w:r>
        <w:rPr>
          <w:noProof/>
        </w:rPr>
        <w:lastRenderedPageBreak/>
        <w:drawing>
          <wp:inline distT="0" distB="0" distL="0" distR="0" wp14:anchorId="58314604" wp14:editId="7557FB37">
            <wp:extent cx="5728970" cy="7412355"/>
            <wp:effectExtent l="0" t="0" r="11430" b="4445"/>
            <wp:docPr id="505555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55517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728970" cy="7412355"/>
                    </a:xfrm>
                    <a:prstGeom prst="rect">
                      <a:avLst/>
                    </a:prstGeom>
                    <a:noFill/>
                    <a:ln>
                      <a:noFill/>
                    </a:ln>
                  </pic:spPr>
                </pic:pic>
              </a:graphicData>
            </a:graphic>
          </wp:inline>
        </w:drawing>
      </w:r>
    </w:p>
    <w:p w14:paraId="791D06DD" w14:textId="77777777" w:rsidR="002818EF" w:rsidRDefault="00000000">
      <w:pPr>
        <w:ind w:firstLine="720"/>
        <w:rPr>
          <w:rFonts w:ascii="Times New Roman" w:eastAsia="Times New Roman" w:hAnsi="Times New Roman"/>
          <w:sz w:val="24"/>
          <w:szCs w:val="24"/>
        </w:rPr>
      </w:pPr>
      <w:r>
        <w:rPr>
          <w:rFonts w:ascii="Times New Roman" w:eastAsia="Times New Roman" w:hAnsi="Times New Roman"/>
          <w:b/>
          <w:bCs/>
          <w:sz w:val="24"/>
          <w:szCs w:val="24"/>
        </w:rPr>
        <w:t>Fig. 1.</w:t>
      </w:r>
      <w:r>
        <w:rPr>
          <w:rFonts w:ascii="Times New Roman" w:eastAsia="Times New Roman" w:hAnsi="Times New Roman"/>
          <w:sz w:val="24"/>
          <w:szCs w:val="24"/>
        </w:rPr>
        <w:t xml:space="preserve"> Representation of the geographical location of the five sampling sites </w:t>
      </w:r>
    </w:p>
    <w:p w14:paraId="699D4C7C" w14:textId="77777777" w:rsidR="002818EF" w:rsidRDefault="002818EF">
      <w:pPr>
        <w:rPr>
          <w:rFonts w:ascii="Times New Roman" w:eastAsia="Times New Roman" w:hAnsi="Times New Roman"/>
          <w:color w:val="000000"/>
          <w:sz w:val="24"/>
          <w:szCs w:val="24"/>
        </w:rPr>
      </w:pPr>
    </w:p>
    <w:p w14:paraId="528C2928" w14:textId="77777777" w:rsidR="002818EF" w:rsidRDefault="002818EF">
      <w:pPr>
        <w:rPr>
          <w:rFonts w:ascii="Times New Roman" w:eastAsia="Times New Roman" w:hAnsi="Times New Roman"/>
          <w:color w:val="000000"/>
          <w:sz w:val="24"/>
          <w:szCs w:val="24"/>
        </w:rPr>
      </w:pPr>
    </w:p>
    <w:p w14:paraId="6613C3E3" w14:textId="77777777" w:rsidR="002818EF" w:rsidRDefault="00000000">
      <w:pPr>
        <w:rPr>
          <w:rFonts w:ascii="Times New Roman" w:hAnsi="Times New Roman"/>
          <w:sz w:val="24"/>
          <w:szCs w:val="24"/>
        </w:rPr>
      </w:pPr>
      <w:r>
        <w:rPr>
          <w:rFonts w:ascii="Times New Roman" w:eastAsia="Times New Roman" w:hAnsi="Times New Roman"/>
          <w:color w:val="000000"/>
          <w:sz w:val="24"/>
          <w:szCs w:val="24"/>
        </w:rPr>
        <w:lastRenderedPageBreak/>
        <w:t xml:space="preserve">The Ennore region is also considered an industrial hub and this region is also a habitat for aquatic organisms as well as for fishermen and local communities. </w:t>
      </w:r>
      <w:r>
        <w:rPr>
          <w:rFonts w:ascii="Times New Roman" w:hAnsi="Times New Roman"/>
          <w:sz w:val="24"/>
          <w:szCs w:val="24"/>
        </w:rPr>
        <w:t xml:space="preserve">The tragic oil leakage occurred at the Chennai Petroleum Corporation Limited (CPCL) on December 3, 2023.  Along with the </w:t>
      </w:r>
      <w:proofErr w:type="spellStart"/>
      <w:r>
        <w:rPr>
          <w:rFonts w:ascii="Times New Roman" w:hAnsi="Times New Roman"/>
          <w:sz w:val="24"/>
          <w:szCs w:val="24"/>
        </w:rPr>
        <w:t>Michaung</w:t>
      </w:r>
      <w:proofErr w:type="spellEnd"/>
      <w:r>
        <w:rPr>
          <w:rFonts w:ascii="Times New Roman" w:hAnsi="Times New Roman"/>
          <w:sz w:val="24"/>
          <w:szCs w:val="24"/>
        </w:rPr>
        <w:t xml:space="preserve"> Cyclone, the heavy downpour flooded the refinery, causing oil to mix with water.  </w:t>
      </w:r>
    </w:p>
    <w:p w14:paraId="1F4ECBEF" w14:textId="77777777" w:rsidR="002818EF" w:rsidRDefault="00000000">
      <w:pPr>
        <w:rPr>
          <w:rFonts w:ascii="Times New Roman" w:eastAsia="Times New Roman" w:hAnsi="Times New Roman"/>
          <w:b/>
          <w:iCs/>
          <w:sz w:val="24"/>
          <w:szCs w:val="24"/>
        </w:rPr>
      </w:pPr>
      <w:r>
        <w:rPr>
          <w:rFonts w:ascii="Times New Roman" w:eastAsia="Times New Roman" w:hAnsi="Times New Roman"/>
          <w:b/>
          <w:iCs/>
          <w:sz w:val="24"/>
          <w:szCs w:val="24"/>
        </w:rPr>
        <w:t>2.2 Sample collection and analysis</w:t>
      </w:r>
    </w:p>
    <w:p w14:paraId="2CF25BF4" w14:textId="77777777" w:rsidR="002818EF" w:rsidRDefault="00000000">
      <w:pPr>
        <w:rPr>
          <w:rFonts w:ascii="Times New Roman" w:eastAsia="Times New Roman" w:hAnsi="Times New Roman"/>
          <w:b/>
          <w:iCs/>
          <w:sz w:val="24"/>
          <w:szCs w:val="24"/>
        </w:rPr>
      </w:pPr>
      <w:r>
        <w:rPr>
          <w:rFonts w:ascii="Times New Roman" w:eastAsia="Times New Roman" w:hAnsi="Times New Roman"/>
          <w:color w:val="000000"/>
          <w:sz w:val="24"/>
          <w:szCs w:val="24"/>
        </w:rPr>
        <w:t xml:space="preserve">Water, sediment, polychaetes and two edible fish samples were collected from five preselected sampling points </w:t>
      </w:r>
      <w:r>
        <w:rPr>
          <w:rFonts w:ascii="Times New Roman" w:eastAsia="Times New Roman" w:hAnsi="Times New Roman"/>
          <w:bCs/>
          <w:color w:val="000000"/>
          <w:sz w:val="24"/>
          <w:szCs w:val="24"/>
        </w:rPr>
        <w:t>over an extended period from October 2023 to February 2024, ranging before and after the oil spillage. About 1 litre of w</w:t>
      </w:r>
      <w:r>
        <w:rPr>
          <w:rFonts w:ascii="Times New Roman" w:eastAsia="Times New Roman" w:hAnsi="Times New Roman"/>
          <w:bCs/>
          <w:sz w:val="24"/>
          <w:szCs w:val="24"/>
        </w:rPr>
        <w:t xml:space="preserve">ater samples (water column and interstitial water) were collected and stored in a sterilised container.  Sediments were randomly collected from 500 m along the coastal regions at a depth of 15 cm in an aluminium box. A bulk of about 50 polychaetes were handpicked arbitrarily, and 10 specimens of 2 different edible fish were collected from station 1 to station 5 and stored separately on dry ice and carried to the Aquatic Sciences and Biotechnology Laboratory (ASBL), Ethiraj College for Women, Chennai, for future analysis. The polychaete and fish samples were rinsed with distilled water to remove dust and debris. Using Days Volume 1878, </w:t>
      </w:r>
      <w:r>
        <w:rPr>
          <w:rFonts w:ascii="Times New Roman" w:eastAsia="Times New Roman" w:hAnsi="Times New Roman"/>
          <w:sz w:val="24"/>
          <w:szCs w:val="24"/>
        </w:rPr>
        <w:t xml:space="preserve">the collected edible fish species were identified morphometrically as </w:t>
      </w:r>
      <w:proofErr w:type="spellStart"/>
      <w:r>
        <w:rPr>
          <w:rFonts w:ascii="Times New Roman" w:eastAsia="Times New Roman" w:hAnsi="Times New Roman"/>
          <w:i/>
          <w:sz w:val="24"/>
          <w:szCs w:val="24"/>
        </w:rPr>
        <w:t>Elops</w:t>
      </w:r>
      <w:proofErr w:type="spellEnd"/>
      <w:r>
        <w:rPr>
          <w:rFonts w:ascii="Times New Roman" w:eastAsia="Times New Roman" w:hAnsi="Times New Roman"/>
          <w:i/>
          <w:sz w:val="24"/>
          <w:szCs w:val="24"/>
        </w:rPr>
        <w:t xml:space="preserve"> saurus </w:t>
      </w:r>
      <w:r>
        <w:rPr>
          <w:rFonts w:ascii="Times New Roman" w:eastAsia="Times New Roman" w:hAnsi="Times New Roman"/>
          <w:sz w:val="24"/>
          <w:szCs w:val="24"/>
        </w:rPr>
        <w:t xml:space="preserve">and </w:t>
      </w:r>
      <w:r>
        <w:rPr>
          <w:rFonts w:ascii="Times New Roman" w:eastAsia="Times New Roman" w:hAnsi="Times New Roman"/>
          <w:i/>
          <w:sz w:val="24"/>
          <w:szCs w:val="24"/>
        </w:rPr>
        <w:t>Gerres filamentous;</w:t>
      </w:r>
      <w:r>
        <w:rPr>
          <w:rFonts w:ascii="Times New Roman" w:eastAsia="Times New Roman" w:hAnsi="Times New Roman"/>
          <w:sz w:val="24"/>
          <w:szCs w:val="24"/>
        </w:rPr>
        <w:t xml:space="preserve"> then, authorised confirmation was done by an expert from the Central Institute of Brackish water Aquaculture, ICAR-CIBA.</w:t>
      </w:r>
    </w:p>
    <w:p w14:paraId="68BE6818" w14:textId="77777777" w:rsidR="002818EF" w:rsidRDefault="00000000">
      <w:pPr>
        <w:rPr>
          <w:rFonts w:ascii="Times New Roman" w:eastAsia="Times New Roman" w:hAnsi="Times New Roman"/>
          <w:b/>
          <w:iCs/>
          <w:sz w:val="24"/>
          <w:szCs w:val="24"/>
        </w:rPr>
      </w:pPr>
      <w:r>
        <w:rPr>
          <w:rFonts w:ascii="Times New Roman" w:eastAsia="Times New Roman" w:hAnsi="Times New Roman"/>
          <w:b/>
          <w:iCs/>
          <w:sz w:val="24"/>
          <w:szCs w:val="24"/>
        </w:rPr>
        <w:t>2.3 Acid digestion method</w:t>
      </w:r>
    </w:p>
    <w:p w14:paraId="6BAC535B"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t>100 ml water samples were supplemented with 5 ml of concentrated Nitric acid (HNO</w:t>
      </w:r>
      <w:r>
        <w:rPr>
          <w:rFonts w:ascii="Times New Roman" w:eastAsia="Times New Roman" w:hAnsi="Times New Roman"/>
          <w:sz w:val="24"/>
          <w:szCs w:val="24"/>
          <w:vertAlign w:val="subscript"/>
        </w:rPr>
        <w:t>3</w:t>
      </w:r>
      <w:r>
        <w:rPr>
          <w:rFonts w:ascii="Times New Roman" w:eastAsia="Times New Roman" w:hAnsi="Times New Roman"/>
          <w:sz w:val="24"/>
          <w:szCs w:val="24"/>
        </w:rPr>
        <w:t xml:space="preserve">), </w:t>
      </w:r>
      <w:r>
        <w:rPr>
          <w:rFonts w:ascii="Times New Roman" w:eastAsia="Times New Roman" w:hAnsi="Times New Roman"/>
          <w:bCs/>
          <w:sz w:val="24"/>
          <w:szCs w:val="24"/>
        </w:rPr>
        <w:t xml:space="preserve">to which 100 ml of ultrapure water was added to the filtered sample to estimate the concentration </w:t>
      </w:r>
      <w:r>
        <w:rPr>
          <w:rFonts w:ascii="Times New Roman" w:eastAsia="Times New Roman" w:hAnsi="Times New Roman"/>
          <w:sz w:val="24"/>
          <w:szCs w:val="24"/>
        </w:rPr>
        <w:t xml:space="preserve">of heavy metals (Pandiyan </w:t>
      </w:r>
      <w:r>
        <w:rPr>
          <w:rFonts w:ascii="Times New Roman" w:eastAsia="Times New Roman" w:hAnsi="Times New Roman"/>
          <w:i/>
          <w:iCs/>
          <w:sz w:val="24"/>
          <w:szCs w:val="24"/>
        </w:rPr>
        <w:t>et al</w:t>
      </w:r>
      <w:r>
        <w:rPr>
          <w:rFonts w:ascii="Times New Roman" w:eastAsia="Times New Roman" w:hAnsi="Times New Roman"/>
          <w:sz w:val="24"/>
          <w:szCs w:val="24"/>
        </w:rPr>
        <w:t>., 2020). The soil samples were rinsed with HNO</w:t>
      </w:r>
      <w:r>
        <w:rPr>
          <w:rFonts w:ascii="Times New Roman" w:eastAsia="Times New Roman" w:hAnsi="Times New Roman"/>
          <w:sz w:val="24"/>
          <w:szCs w:val="24"/>
          <w:vertAlign w:val="subscript"/>
        </w:rPr>
        <w:t>3</w:t>
      </w:r>
      <w:r>
        <w:rPr>
          <w:rFonts w:ascii="Times New Roman" w:eastAsia="Times New Roman" w:hAnsi="Times New Roman"/>
          <w:sz w:val="24"/>
          <w:szCs w:val="24"/>
        </w:rPr>
        <w:t xml:space="preserve"> (10%), air-dried for 3 days and crushed to a fine powder. About 9 ml of HNO</w:t>
      </w:r>
      <w:r>
        <w:rPr>
          <w:rFonts w:ascii="Times New Roman" w:eastAsia="Times New Roman" w:hAnsi="Times New Roman"/>
          <w:sz w:val="24"/>
          <w:szCs w:val="24"/>
          <w:vertAlign w:val="subscript"/>
        </w:rPr>
        <w:t>3,</w:t>
      </w:r>
      <w:r>
        <w:rPr>
          <w:rFonts w:ascii="Times New Roman" w:eastAsia="Times New Roman" w:hAnsi="Times New Roman"/>
          <w:sz w:val="24"/>
          <w:szCs w:val="24"/>
        </w:rPr>
        <w:t xml:space="preserve"> along with 3ml of HCl, was added to 0.500 g of the powdered samples.  Tissue samples collected from the </w:t>
      </w:r>
      <w:r>
        <w:rPr>
          <w:rFonts w:ascii="Times New Roman" w:eastAsia="Times New Roman" w:hAnsi="Times New Roman"/>
          <w:sz w:val="24"/>
          <w:szCs w:val="24"/>
        </w:rPr>
        <w:lastRenderedPageBreak/>
        <w:t xml:space="preserve">polychaetes and fish were analysed according to the AOAC method (2016). Following digestion, the samples were analysed using Inductively Coupled Plasma Optical Emission Spectroscopy (ICP-OES </w:t>
      </w:r>
      <w:proofErr w:type="spellStart"/>
      <w:r>
        <w:rPr>
          <w:rFonts w:ascii="Times New Roman" w:eastAsia="Times New Roman" w:hAnsi="Times New Roman"/>
          <w:sz w:val="24"/>
          <w:szCs w:val="24"/>
        </w:rPr>
        <w:t>AvioTM</w:t>
      </w:r>
      <w:proofErr w:type="spellEnd"/>
      <w:r>
        <w:rPr>
          <w:rFonts w:ascii="Times New Roman" w:eastAsia="Times New Roman" w:hAnsi="Times New Roman"/>
          <w:sz w:val="24"/>
          <w:szCs w:val="24"/>
        </w:rPr>
        <w:t xml:space="preserve"> 220 Max).</w:t>
      </w:r>
    </w:p>
    <w:p w14:paraId="4D06C6D0" w14:textId="77777777" w:rsidR="002818EF" w:rsidRDefault="002818EF">
      <w:pPr>
        <w:rPr>
          <w:rFonts w:ascii="Times New Roman" w:eastAsia="Times New Roman" w:hAnsi="Times New Roman"/>
          <w:sz w:val="24"/>
          <w:szCs w:val="24"/>
        </w:rPr>
      </w:pPr>
    </w:p>
    <w:p w14:paraId="1806040A" w14:textId="77777777" w:rsidR="002818EF" w:rsidRDefault="00000000">
      <w:pPr>
        <w:tabs>
          <w:tab w:val="left" w:pos="6117"/>
        </w:tabs>
        <w:rPr>
          <w:rFonts w:ascii="Times New Roman" w:eastAsia="Times New Roman" w:hAnsi="Times New Roman"/>
          <w:b/>
          <w:iCs/>
          <w:sz w:val="24"/>
          <w:szCs w:val="24"/>
        </w:rPr>
      </w:pPr>
      <w:r>
        <w:rPr>
          <w:rFonts w:ascii="Times New Roman" w:eastAsia="Times New Roman" w:hAnsi="Times New Roman"/>
          <w:b/>
          <w:iCs/>
          <w:sz w:val="24"/>
          <w:szCs w:val="24"/>
        </w:rPr>
        <w:t>2.4 Heavy metal pollution index (HPI)</w:t>
      </w:r>
      <w:r>
        <w:rPr>
          <w:rFonts w:ascii="Times New Roman" w:eastAsia="Times New Roman" w:hAnsi="Times New Roman"/>
          <w:b/>
          <w:iCs/>
          <w:sz w:val="24"/>
          <w:szCs w:val="24"/>
        </w:rPr>
        <w:tab/>
      </w:r>
    </w:p>
    <w:p w14:paraId="39D5AB61"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t xml:space="preserve">HPI was calculated using the following formula (Mohan </w:t>
      </w:r>
      <w:r>
        <w:rPr>
          <w:rFonts w:ascii="Times New Roman" w:eastAsia="Times New Roman" w:hAnsi="Times New Roman"/>
          <w:i/>
          <w:iCs/>
          <w:sz w:val="24"/>
          <w:szCs w:val="24"/>
        </w:rPr>
        <w:t>et al</w:t>
      </w:r>
      <w:r>
        <w:rPr>
          <w:rFonts w:ascii="Times New Roman" w:eastAsia="Times New Roman" w:hAnsi="Times New Roman"/>
          <w:sz w:val="24"/>
          <w:szCs w:val="24"/>
        </w:rPr>
        <w:t>., 1996),</w:t>
      </w:r>
    </w:p>
    <w:p w14:paraId="551C8779" w14:textId="77777777" w:rsidR="002818EF" w:rsidRDefault="00000000">
      <w:pPr>
        <w:rPr>
          <w:rFonts w:ascii="Times New Roman" w:eastAsia="Times New Roman" w:hAnsi="Times New Roman"/>
          <w:sz w:val="24"/>
          <w:szCs w:val="24"/>
        </w:rPr>
      </w:pPr>
      <m:oMathPara>
        <m:oMath>
          <m:r>
            <w:rPr>
              <w:rFonts w:ascii="Cambria Math" w:hAnsi="Cambria Math"/>
              <w:sz w:val="24"/>
              <w:szCs w:val="24"/>
            </w:rPr>
            <m:t xml:space="preserve">HPI= </m:t>
          </m:r>
          <m:f>
            <m:fPr>
              <m:ctrlPr>
                <w:rPr>
                  <w:rFonts w:ascii="Cambria Math" w:eastAsiaTheme="minorHAnsi" w:hAnsi="Cambria Math"/>
                  <w:i/>
                  <w:kern w:val="0"/>
                  <w:sz w:val="24"/>
                  <w:szCs w:val="24"/>
                  <w:lang w:val="en-US"/>
                </w:rPr>
              </m:ctrlPr>
            </m:fPr>
            <m:num>
              <m:nary>
                <m:naryPr>
                  <m:chr m:val="∑"/>
                  <m:limLoc m:val="subSup"/>
                  <m:ctrlPr>
                    <w:rPr>
                      <w:rFonts w:ascii="Cambria Math" w:eastAsiaTheme="minorHAnsi" w:hAnsi="Cambria Math"/>
                      <w:i/>
                      <w:kern w:val="0"/>
                      <w:sz w:val="24"/>
                      <w:szCs w:val="24"/>
                      <w:lang w:val="en-US"/>
                    </w:rPr>
                  </m:ctrlPr>
                </m:naryPr>
                <m:sub>
                  <m:r>
                    <w:rPr>
                      <w:rFonts w:ascii="Cambria Math" w:hAnsi="Cambria Math"/>
                      <w:sz w:val="24"/>
                      <w:szCs w:val="24"/>
                    </w:rPr>
                    <m:t>i=1</m:t>
                  </m:r>
                </m:sub>
                <m:sup>
                  <m:r>
                    <w:rPr>
                      <w:rFonts w:ascii="Cambria Math" w:hAnsi="Cambria Math"/>
                      <w:sz w:val="24"/>
                      <w:szCs w:val="24"/>
                    </w:rPr>
                    <m:t>n</m:t>
                  </m:r>
                </m:sup>
                <m:e>
                  <m:r>
                    <w:rPr>
                      <w:rFonts w:ascii="Cambria Math" w:hAnsi="Cambria Math"/>
                      <w:sz w:val="24"/>
                      <w:szCs w:val="24"/>
                    </w:rPr>
                    <m:t>QiWi</m:t>
                  </m:r>
                </m:e>
              </m:nary>
            </m:num>
            <m:den>
              <m:nary>
                <m:naryPr>
                  <m:chr m:val="∑"/>
                  <m:limLoc m:val="subSup"/>
                  <m:ctrlPr>
                    <w:rPr>
                      <w:rFonts w:ascii="Cambria Math" w:eastAsiaTheme="minorHAnsi" w:hAnsi="Cambria Math"/>
                      <w:i/>
                      <w:kern w:val="0"/>
                      <w:sz w:val="24"/>
                      <w:szCs w:val="24"/>
                      <w:lang w:val="en-US"/>
                    </w:rPr>
                  </m:ctrlPr>
                </m:naryPr>
                <m:sub>
                  <m:r>
                    <w:rPr>
                      <w:rFonts w:ascii="Cambria Math" w:hAnsi="Cambria Math"/>
                      <w:sz w:val="24"/>
                      <w:szCs w:val="24"/>
                    </w:rPr>
                    <m:t>i=1</m:t>
                  </m:r>
                </m:sub>
                <m:sup>
                  <m:r>
                    <w:rPr>
                      <w:rFonts w:ascii="Cambria Math" w:hAnsi="Cambria Math"/>
                      <w:sz w:val="24"/>
                      <w:szCs w:val="24"/>
                    </w:rPr>
                    <m:t>n</m:t>
                  </m:r>
                </m:sup>
                <m:e>
                  <m:r>
                    <w:rPr>
                      <w:rFonts w:ascii="Cambria Math" w:hAnsi="Cambria Math"/>
                      <w:sz w:val="24"/>
                      <w:szCs w:val="24"/>
                    </w:rPr>
                    <m:t>Wi</m:t>
                  </m:r>
                </m:e>
              </m:nary>
            </m:den>
          </m:f>
        </m:oMath>
      </m:oMathPara>
    </w:p>
    <w:p w14:paraId="428601A0" w14:textId="77777777" w:rsidR="002818EF" w:rsidRDefault="00000000">
      <w:pPr>
        <w:rPr>
          <w:rFonts w:ascii="Times New Roman" w:eastAsia="Times New Roman" w:hAnsi="Times New Roman"/>
          <w:sz w:val="24"/>
          <w:szCs w:val="24"/>
        </w:rPr>
      </w:pPr>
      <w:proofErr w:type="gramStart"/>
      <w:r>
        <w:rPr>
          <w:rFonts w:ascii="Times New Roman" w:eastAsia="Times New Roman" w:hAnsi="Times New Roman"/>
          <w:sz w:val="24"/>
          <w:szCs w:val="24"/>
        </w:rPr>
        <w:t>Where</w:t>
      </w:r>
      <w:proofErr w:type="gramEnd"/>
      <w:r>
        <w:rPr>
          <w:rFonts w:ascii="Times New Roman" w:eastAsia="Times New Roman" w:hAnsi="Times New Roman"/>
          <w:sz w:val="24"/>
          <w:szCs w:val="24"/>
        </w:rPr>
        <w:t xml:space="preserve">, </w:t>
      </w:r>
    </w:p>
    <w:p w14:paraId="29F93AB5"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t>W</w:t>
      </w:r>
      <w:r>
        <w:rPr>
          <w:rFonts w:ascii="Times New Roman" w:eastAsia="Times New Roman" w:hAnsi="Times New Roman"/>
          <w:sz w:val="24"/>
          <w:szCs w:val="24"/>
          <w:vertAlign w:val="subscript"/>
        </w:rPr>
        <w:t>i</w:t>
      </w:r>
      <w:r>
        <w:rPr>
          <w:rFonts w:ascii="Times New Roman" w:eastAsia="Times New Roman" w:hAnsi="Times New Roman"/>
          <w:sz w:val="24"/>
          <w:szCs w:val="24"/>
        </w:rPr>
        <w:t xml:space="preserve"> = unit weight of the </w:t>
      </w:r>
      <w:proofErr w:type="spellStart"/>
      <w:r>
        <w:rPr>
          <w:rFonts w:ascii="Times New Roman" w:eastAsia="Times New Roman" w:hAnsi="Times New Roman"/>
          <w:sz w:val="24"/>
          <w:szCs w:val="24"/>
        </w:rPr>
        <w:t>i</w:t>
      </w:r>
      <w:r>
        <w:rPr>
          <w:rFonts w:ascii="Times New Roman" w:eastAsia="Times New Roman" w:hAnsi="Times New Roman"/>
          <w:sz w:val="24"/>
          <w:szCs w:val="24"/>
          <w:vertAlign w:val="superscript"/>
        </w:rPr>
        <w:t>th</w:t>
      </w:r>
      <w:proofErr w:type="spellEnd"/>
      <w:r>
        <w:rPr>
          <w:rFonts w:ascii="Times New Roman" w:eastAsia="Times New Roman" w:hAnsi="Times New Roman"/>
          <w:sz w:val="24"/>
          <w:szCs w:val="24"/>
          <w:vertAlign w:val="superscript"/>
        </w:rPr>
        <w:t xml:space="preserve"> </w:t>
      </w:r>
      <w:r>
        <w:rPr>
          <w:rFonts w:ascii="Times New Roman" w:eastAsia="Times New Roman" w:hAnsi="Times New Roman"/>
          <w:sz w:val="24"/>
          <w:szCs w:val="24"/>
        </w:rPr>
        <w:t>parameter</w:t>
      </w:r>
    </w:p>
    <w:p w14:paraId="594DF497"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t>Q</w:t>
      </w:r>
      <w:r>
        <w:rPr>
          <w:rFonts w:ascii="Times New Roman" w:eastAsia="Times New Roman" w:hAnsi="Times New Roman"/>
          <w:sz w:val="24"/>
          <w:szCs w:val="24"/>
          <w:vertAlign w:val="subscript"/>
        </w:rPr>
        <w:t>i</w:t>
      </w:r>
      <w:r>
        <w:rPr>
          <w:rFonts w:ascii="Times New Roman" w:eastAsia="Times New Roman" w:hAnsi="Times New Roman"/>
          <w:sz w:val="24"/>
          <w:szCs w:val="24"/>
        </w:rPr>
        <w:t xml:space="preserve"> = sub-index value of the </w:t>
      </w:r>
      <w:proofErr w:type="spellStart"/>
      <w:r>
        <w:rPr>
          <w:rFonts w:ascii="Times New Roman" w:eastAsia="Times New Roman" w:hAnsi="Times New Roman"/>
          <w:sz w:val="24"/>
          <w:szCs w:val="24"/>
        </w:rPr>
        <w:t>i</w:t>
      </w:r>
      <w:r>
        <w:rPr>
          <w:rFonts w:ascii="Times New Roman" w:eastAsia="Times New Roman" w:hAnsi="Times New Roman"/>
          <w:sz w:val="24"/>
          <w:szCs w:val="24"/>
          <w:vertAlign w:val="superscript"/>
        </w:rPr>
        <w:t>th</w:t>
      </w:r>
      <w:proofErr w:type="spellEnd"/>
      <w:r>
        <w:rPr>
          <w:rFonts w:ascii="Times New Roman" w:eastAsia="Times New Roman" w:hAnsi="Times New Roman"/>
          <w:sz w:val="24"/>
          <w:szCs w:val="24"/>
          <w:vertAlign w:val="superscript"/>
        </w:rPr>
        <w:t xml:space="preserve"> </w:t>
      </w:r>
      <w:r>
        <w:rPr>
          <w:rFonts w:ascii="Times New Roman" w:eastAsia="Times New Roman" w:hAnsi="Times New Roman"/>
          <w:sz w:val="24"/>
          <w:szCs w:val="24"/>
        </w:rPr>
        <w:t xml:space="preserve">parameter. </w:t>
      </w:r>
    </w:p>
    <w:p w14:paraId="1EAD1F99" w14:textId="77777777" w:rsidR="002818EF" w:rsidRDefault="00000000">
      <w:pPr>
        <w:rPr>
          <w:rFonts w:ascii="Times New Roman" w:eastAsia="Times New Roman" w:hAnsi="Times New Roman"/>
          <w:b/>
          <w:iCs/>
          <w:sz w:val="24"/>
          <w:szCs w:val="24"/>
        </w:rPr>
      </w:pPr>
      <w:r>
        <w:rPr>
          <w:rFonts w:ascii="Times New Roman" w:eastAsia="Times New Roman" w:hAnsi="Times New Roman"/>
          <w:b/>
          <w:iCs/>
          <w:sz w:val="24"/>
          <w:szCs w:val="24"/>
        </w:rPr>
        <w:t xml:space="preserve">2.5 </w:t>
      </w:r>
      <w:proofErr w:type="spellStart"/>
      <w:r>
        <w:rPr>
          <w:rFonts w:ascii="Times New Roman" w:eastAsia="Times New Roman" w:hAnsi="Times New Roman"/>
          <w:b/>
          <w:iCs/>
          <w:sz w:val="24"/>
          <w:szCs w:val="24"/>
        </w:rPr>
        <w:t>Geoaccumulation</w:t>
      </w:r>
      <w:proofErr w:type="spellEnd"/>
      <w:r>
        <w:rPr>
          <w:rFonts w:ascii="Times New Roman" w:eastAsia="Times New Roman" w:hAnsi="Times New Roman"/>
          <w:b/>
          <w:iCs/>
          <w:sz w:val="24"/>
          <w:szCs w:val="24"/>
        </w:rPr>
        <w:t xml:space="preserve"> index</w:t>
      </w:r>
    </w:p>
    <w:p w14:paraId="72A1E2C8"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t xml:space="preserve">The </w:t>
      </w:r>
      <w:proofErr w:type="spellStart"/>
      <w:r>
        <w:rPr>
          <w:rFonts w:ascii="Times New Roman" w:eastAsia="Times New Roman" w:hAnsi="Times New Roman"/>
          <w:sz w:val="24"/>
          <w:szCs w:val="24"/>
        </w:rPr>
        <w:t>geoaccumulation</w:t>
      </w:r>
      <w:proofErr w:type="spellEnd"/>
      <w:r>
        <w:rPr>
          <w:rFonts w:ascii="Times New Roman" w:eastAsia="Times New Roman" w:hAnsi="Times New Roman"/>
          <w:sz w:val="24"/>
          <w:szCs w:val="24"/>
        </w:rPr>
        <w:t xml:space="preserve"> index (</w:t>
      </w:r>
      <w:proofErr w:type="spellStart"/>
      <w:r>
        <w:rPr>
          <w:rFonts w:ascii="Times New Roman" w:eastAsia="Times New Roman" w:hAnsi="Times New Roman"/>
          <w:sz w:val="24"/>
          <w:szCs w:val="24"/>
        </w:rPr>
        <w:t>Igeo</w:t>
      </w:r>
      <w:proofErr w:type="spellEnd"/>
      <w:r>
        <w:rPr>
          <w:rFonts w:ascii="Times New Roman" w:eastAsia="Times New Roman" w:hAnsi="Times New Roman"/>
          <w:sz w:val="24"/>
          <w:szCs w:val="24"/>
        </w:rPr>
        <w:t xml:space="preserve">) is a comprehensive method to assess heavy metal pollution within the environment. </w:t>
      </w:r>
      <w:proofErr w:type="spellStart"/>
      <w:r>
        <w:rPr>
          <w:rFonts w:ascii="Times New Roman" w:eastAsia="Times New Roman" w:hAnsi="Times New Roman"/>
          <w:sz w:val="24"/>
          <w:szCs w:val="24"/>
        </w:rPr>
        <w:t>Igeo</w:t>
      </w:r>
      <w:proofErr w:type="spellEnd"/>
      <w:r>
        <w:rPr>
          <w:rFonts w:ascii="Times New Roman" w:eastAsia="Times New Roman" w:hAnsi="Times New Roman"/>
          <w:sz w:val="24"/>
          <w:szCs w:val="24"/>
        </w:rPr>
        <w:t xml:space="preserve"> can be determined by a specific formula that enables the systematic assessment of the contamination rate.</w:t>
      </w:r>
    </w:p>
    <w:p w14:paraId="47860752"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t xml:space="preserve">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proofErr w:type="spellStart"/>
      <w:r>
        <w:rPr>
          <w:rFonts w:ascii="Times New Roman" w:eastAsia="Times New Roman" w:hAnsi="Times New Roman"/>
          <w:sz w:val="24"/>
          <w:szCs w:val="24"/>
        </w:rPr>
        <w:t>I</w:t>
      </w:r>
      <w:r>
        <w:rPr>
          <w:rFonts w:ascii="Times New Roman" w:eastAsia="Times New Roman" w:hAnsi="Times New Roman"/>
          <w:sz w:val="24"/>
          <w:szCs w:val="24"/>
          <w:vertAlign w:val="subscript"/>
        </w:rPr>
        <w:t>geo</w:t>
      </w:r>
      <w:proofErr w:type="spellEnd"/>
      <w:r>
        <w:rPr>
          <w:rFonts w:ascii="Times New Roman" w:eastAsia="Times New Roman" w:hAnsi="Times New Roman"/>
          <w:sz w:val="24"/>
          <w:szCs w:val="24"/>
        </w:rPr>
        <w:t xml:space="preserve"> = log</w:t>
      </w:r>
      <w:r>
        <w:rPr>
          <w:rFonts w:ascii="Times New Roman" w:eastAsia="Times New Roman" w:hAnsi="Times New Roman"/>
          <w:sz w:val="24"/>
          <w:szCs w:val="24"/>
          <w:vertAlign w:val="subscript"/>
        </w:rPr>
        <w:t>2</w:t>
      </w:r>
      <w:r>
        <w:rPr>
          <w:rFonts w:ascii="Times New Roman" w:eastAsia="Times New Roman" w:hAnsi="Times New Roman"/>
          <w:sz w:val="24"/>
          <w:szCs w:val="24"/>
        </w:rPr>
        <w:t>[C</w:t>
      </w:r>
      <w:r>
        <w:rPr>
          <w:rFonts w:ascii="Times New Roman" w:eastAsia="Times New Roman" w:hAnsi="Times New Roman"/>
          <w:sz w:val="24"/>
          <w:szCs w:val="24"/>
          <w:vertAlign w:val="subscript"/>
        </w:rPr>
        <w:t>n</w:t>
      </w:r>
      <w:r>
        <w:rPr>
          <w:rFonts w:ascii="Times New Roman" w:eastAsia="Times New Roman" w:hAnsi="Times New Roman"/>
          <w:sz w:val="24"/>
          <w:szCs w:val="24"/>
        </w:rPr>
        <w:t>/1.5 x B</w:t>
      </w:r>
      <w:r>
        <w:rPr>
          <w:rFonts w:ascii="Times New Roman" w:eastAsia="Times New Roman" w:hAnsi="Times New Roman"/>
          <w:sz w:val="24"/>
          <w:szCs w:val="24"/>
          <w:vertAlign w:val="subscript"/>
        </w:rPr>
        <w:t>n</w:t>
      </w:r>
      <w:r>
        <w:rPr>
          <w:rFonts w:ascii="Times New Roman" w:eastAsia="Times New Roman" w:hAnsi="Times New Roman"/>
          <w:sz w:val="24"/>
          <w:szCs w:val="24"/>
        </w:rPr>
        <w:t>]</w:t>
      </w:r>
      <w:r>
        <w:rPr>
          <w:rFonts w:ascii="Times New Roman" w:eastAsia="Times New Roman" w:hAnsi="Times New Roman"/>
          <w:sz w:val="24"/>
          <w:szCs w:val="24"/>
        </w:rPr>
        <w:tab/>
      </w:r>
    </w:p>
    <w:p w14:paraId="7BD3A795"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t>Where C</w:t>
      </w:r>
      <w:r>
        <w:rPr>
          <w:rFonts w:ascii="Times New Roman" w:eastAsia="Times New Roman" w:hAnsi="Times New Roman"/>
          <w:sz w:val="24"/>
          <w:szCs w:val="24"/>
          <w:vertAlign w:val="subscript"/>
        </w:rPr>
        <w:t xml:space="preserve">n </w:t>
      </w:r>
      <w:r>
        <w:rPr>
          <w:rFonts w:ascii="Times New Roman" w:eastAsia="Times New Roman" w:hAnsi="Times New Roman"/>
          <w:sz w:val="24"/>
          <w:szCs w:val="24"/>
        </w:rPr>
        <w:t>denotes metal content, B</w:t>
      </w:r>
      <w:r>
        <w:rPr>
          <w:rFonts w:ascii="Times New Roman" w:eastAsia="Times New Roman" w:hAnsi="Times New Roman"/>
          <w:sz w:val="24"/>
          <w:szCs w:val="24"/>
          <w:vertAlign w:val="subscript"/>
        </w:rPr>
        <w:t xml:space="preserve">n </w:t>
      </w:r>
      <w:r>
        <w:rPr>
          <w:rFonts w:ascii="Times New Roman" w:eastAsia="Times New Roman" w:hAnsi="Times New Roman"/>
          <w:sz w:val="24"/>
          <w:szCs w:val="24"/>
        </w:rPr>
        <w:t xml:space="preserve">is the shale background content of the metal as stated by </w:t>
      </w:r>
      <w:proofErr w:type="spellStart"/>
      <w:r>
        <w:rPr>
          <w:rFonts w:ascii="Times New Roman" w:eastAsia="Times New Roman" w:hAnsi="Times New Roman"/>
          <w:sz w:val="24"/>
          <w:szCs w:val="24"/>
        </w:rPr>
        <w:t>Turekian</w:t>
      </w:r>
      <w:proofErr w:type="spellEnd"/>
      <w:r>
        <w:rPr>
          <w:rFonts w:ascii="Times New Roman" w:eastAsia="Times New Roman" w:hAnsi="Times New Roman"/>
          <w:sz w:val="24"/>
          <w:szCs w:val="24"/>
        </w:rPr>
        <w:t xml:space="preserve"> &amp; </w:t>
      </w:r>
      <w:proofErr w:type="spellStart"/>
      <w:r>
        <w:rPr>
          <w:rFonts w:ascii="Times New Roman" w:eastAsia="Times New Roman" w:hAnsi="Times New Roman"/>
          <w:sz w:val="24"/>
          <w:szCs w:val="24"/>
        </w:rPr>
        <w:t>Wedepohl</w:t>
      </w:r>
      <w:proofErr w:type="spellEnd"/>
      <w:r>
        <w:rPr>
          <w:rFonts w:ascii="Times New Roman" w:eastAsia="Times New Roman" w:hAnsi="Times New Roman"/>
          <w:sz w:val="24"/>
          <w:szCs w:val="24"/>
        </w:rPr>
        <w:t xml:space="preserve">. (1961), and 1.5 is the constant initiation to minimise change of background value because of lithogenic origins. Furthermore, the </w:t>
      </w:r>
      <w:proofErr w:type="spellStart"/>
      <w:r>
        <w:rPr>
          <w:rFonts w:ascii="Times New Roman" w:eastAsia="Times New Roman" w:hAnsi="Times New Roman"/>
          <w:sz w:val="24"/>
          <w:szCs w:val="24"/>
        </w:rPr>
        <w:t>Igeo</w:t>
      </w:r>
      <w:proofErr w:type="spellEnd"/>
      <w:r>
        <w:rPr>
          <w:rFonts w:ascii="Times New Roman" w:eastAsia="Times New Roman" w:hAnsi="Times New Roman"/>
          <w:sz w:val="24"/>
          <w:szCs w:val="24"/>
        </w:rPr>
        <w:t xml:space="preserve"> value is prorated into seven level classifications according to Muller (1969).  </w:t>
      </w:r>
    </w:p>
    <w:p w14:paraId="01D0F452" w14:textId="77777777" w:rsidR="002818EF" w:rsidRDefault="00000000">
      <w:pPr>
        <w:rPr>
          <w:rFonts w:ascii="Times New Roman" w:eastAsia="Times New Roman" w:hAnsi="Times New Roman"/>
          <w:b/>
          <w:iCs/>
          <w:sz w:val="24"/>
          <w:szCs w:val="24"/>
        </w:rPr>
      </w:pPr>
      <w:r>
        <w:rPr>
          <w:rFonts w:ascii="Times New Roman" w:eastAsia="Times New Roman" w:hAnsi="Times New Roman"/>
          <w:b/>
          <w:iCs/>
          <w:color w:val="000000"/>
          <w:sz w:val="24"/>
          <w:szCs w:val="24"/>
        </w:rPr>
        <w:t xml:space="preserve">2.6 </w:t>
      </w:r>
      <w:r>
        <w:rPr>
          <w:rFonts w:ascii="Times New Roman" w:eastAsia="Times New Roman" w:hAnsi="Times New Roman"/>
          <w:b/>
          <w:iCs/>
          <w:sz w:val="24"/>
          <w:szCs w:val="24"/>
        </w:rPr>
        <w:t>Pollution Load Index (PLI)</w:t>
      </w:r>
    </w:p>
    <w:p w14:paraId="4839A490" w14:textId="77777777" w:rsidR="002818EF" w:rsidRDefault="00000000">
      <w:pPr>
        <w:rPr>
          <w:rFonts w:ascii="Times New Roman" w:eastAsia="Times New Roman" w:hAnsi="Times New Roman"/>
          <w:b/>
          <w:iCs/>
          <w:sz w:val="24"/>
          <w:szCs w:val="24"/>
        </w:rPr>
      </w:pPr>
      <w:r>
        <w:rPr>
          <w:rFonts w:ascii="Times New Roman" w:eastAsia="Times New Roman" w:hAnsi="Times New Roman"/>
          <w:sz w:val="24"/>
          <w:szCs w:val="24"/>
        </w:rPr>
        <w:t>The pollution load index (PLI) was evaluated using the following formula (Tomlinson et al., 1980),</w:t>
      </w:r>
    </w:p>
    <w:p w14:paraId="666AF9AF" w14:textId="77777777" w:rsidR="002818EF" w:rsidRDefault="00000000">
      <w:pPr>
        <w:jc w:val="center"/>
        <w:rPr>
          <w:rFonts w:ascii="Times New Roman" w:eastAsia="Times New Roman" w:hAnsi="Times New Roman"/>
          <w:sz w:val="24"/>
          <w:szCs w:val="24"/>
        </w:rPr>
      </w:pPr>
      <w:r>
        <w:rPr>
          <w:rFonts w:ascii="Times New Roman" w:eastAsia="Times New Roman" w:hAnsi="Times New Roman"/>
          <w:sz w:val="24"/>
          <w:szCs w:val="24"/>
        </w:rPr>
        <w:t xml:space="preserve">CF = </w:t>
      </w:r>
      <w:proofErr w:type="spellStart"/>
      <w:r>
        <w:rPr>
          <w:rFonts w:ascii="Times New Roman" w:eastAsia="Times New Roman" w:hAnsi="Times New Roman"/>
          <w:sz w:val="24"/>
          <w:szCs w:val="24"/>
        </w:rPr>
        <w:t>C</w:t>
      </w:r>
      <w:r>
        <w:rPr>
          <w:rFonts w:ascii="Times New Roman" w:eastAsia="Times New Roman" w:hAnsi="Times New Roman"/>
          <w:sz w:val="24"/>
          <w:szCs w:val="24"/>
          <w:vertAlign w:val="subscript"/>
        </w:rPr>
        <w:t>metal</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C</w:t>
      </w:r>
      <w:r>
        <w:rPr>
          <w:rFonts w:ascii="Times New Roman" w:eastAsia="Times New Roman" w:hAnsi="Times New Roman"/>
          <w:sz w:val="24"/>
          <w:szCs w:val="24"/>
          <w:vertAlign w:val="subscript"/>
        </w:rPr>
        <w:t>background</w:t>
      </w:r>
      <w:proofErr w:type="spellEnd"/>
    </w:p>
    <w:p w14:paraId="30F9A975" w14:textId="77777777" w:rsidR="002818EF" w:rsidRDefault="00000000">
      <w:pPr>
        <w:jc w:val="center"/>
        <w:rPr>
          <w:rFonts w:ascii="Times New Roman" w:eastAsia="Times New Roman" w:hAnsi="Times New Roman"/>
          <w:sz w:val="24"/>
          <w:szCs w:val="24"/>
          <w:vertAlign w:val="superscript"/>
        </w:rPr>
      </w:pPr>
      <w:r>
        <w:rPr>
          <w:rFonts w:ascii="Times New Roman" w:eastAsia="Times New Roman" w:hAnsi="Times New Roman"/>
          <w:sz w:val="24"/>
          <w:szCs w:val="24"/>
        </w:rPr>
        <w:t>PLI= (CF</w:t>
      </w:r>
      <w:r>
        <w:rPr>
          <w:rFonts w:ascii="Times New Roman" w:eastAsia="Times New Roman" w:hAnsi="Times New Roman"/>
          <w:sz w:val="24"/>
          <w:szCs w:val="24"/>
          <w:vertAlign w:val="subscript"/>
        </w:rPr>
        <w:t>1</w:t>
      </w:r>
      <w:r>
        <w:rPr>
          <w:rFonts w:ascii="Times New Roman" w:eastAsia="Times New Roman" w:hAnsi="Times New Roman"/>
          <w:sz w:val="24"/>
          <w:szCs w:val="24"/>
        </w:rPr>
        <w:t xml:space="preserve"> x CF</w:t>
      </w:r>
      <w:r>
        <w:rPr>
          <w:rFonts w:ascii="Times New Roman" w:eastAsia="Times New Roman" w:hAnsi="Times New Roman"/>
          <w:sz w:val="24"/>
          <w:szCs w:val="24"/>
          <w:vertAlign w:val="subscript"/>
        </w:rPr>
        <w:t>2</w:t>
      </w:r>
      <w:r>
        <w:rPr>
          <w:rFonts w:ascii="Times New Roman" w:eastAsia="Times New Roman" w:hAnsi="Times New Roman"/>
          <w:sz w:val="24"/>
          <w:szCs w:val="24"/>
        </w:rPr>
        <w:t xml:space="preserve"> x ….  x </w:t>
      </w:r>
      <w:proofErr w:type="spellStart"/>
      <w:r>
        <w:rPr>
          <w:rFonts w:ascii="Times New Roman" w:eastAsia="Times New Roman" w:hAnsi="Times New Roman"/>
          <w:sz w:val="24"/>
          <w:szCs w:val="24"/>
        </w:rPr>
        <w:t>CF</w:t>
      </w:r>
      <w:r>
        <w:rPr>
          <w:rFonts w:ascii="Times New Roman" w:eastAsia="Times New Roman" w:hAnsi="Times New Roman"/>
          <w:sz w:val="24"/>
          <w:szCs w:val="24"/>
          <w:vertAlign w:val="subscript"/>
        </w:rPr>
        <w:t>n</w:t>
      </w:r>
      <w:proofErr w:type="spellEnd"/>
      <w:r>
        <w:rPr>
          <w:rFonts w:ascii="Times New Roman" w:eastAsia="Times New Roman" w:hAnsi="Times New Roman"/>
          <w:sz w:val="24"/>
          <w:szCs w:val="24"/>
        </w:rPr>
        <w:t>)</w:t>
      </w:r>
      <w:r>
        <w:rPr>
          <w:rFonts w:ascii="Times New Roman" w:eastAsia="Times New Roman" w:hAnsi="Times New Roman"/>
          <w:sz w:val="24"/>
          <w:szCs w:val="24"/>
          <w:vertAlign w:val="superscript"/>
        </w:rPr>
        <w:t>1/n</w:t>
      </w:r>
    </w:p>
    <w:p w14:paraId="74E6C325"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lastRenderedPageBreak/>
        <w:t xml:space="preserve">where ‘n’ represents the number of metals present, CF specifies the pollution factor, </w:t>
      </w:r>
      <w:proofErr w:type="spellStart"/>
      <w:r>
        <w:rPr>
          <w:rFonts w:ascii="Times New Roman" w:eastAsia="Times New Roman" w:hAnsi="Times New Roman"/>
          <w:sz w:val="24"/>
          <w:szCs w:val="24"/>
        </w:rPr>
        <w:t>C</w:t>
      </w:r>
      <w:r>
        <w:rPr>
          <w:rFonts w:ascii="Times New Roman" w:eastAsia="Times New Roman" w:hAnsi="Times New Roman"/>
          <w:sz w:val="24"/>
          <w:szCs w:val="24"/>
          <w:vertAlign w:val="subscript"/>
        </w:rPr>
        <w:t>metal</w:t>
      </w:r>
      <w:proofErr w:type="spellEnd"/>
      <w:r>
        <w:rPr>
          <w:rFonts w:ascii="Times New Roman" w:eastAsia="Times New Roman" w:hAnsi="Times New Roman"/>
          <w:sz w:val="24"/>
          <w:szCs w:val="24"/>
        </w:rPr>
        <w:t xml:space="preserve"> represents the sample metal concentration, and </w:t>
      </w:r>
      <w:proofErr w:type="spellStart"/>
      <w:r>
        <w:rPr>
          <w:rFonts w:ascii="Times New Roman" w:eastAsia="Times New Roman" w:hAnsi="Times New Roman"/>
          <w:sz w:val="24"/>
          <w:szCs w:val="24"/>
        </w:rPr>
        <w:t>C</w:t>
      </w:r>
      <w:r>
        <w:rPr>
          <w:rFonts w:ascii="Times New Roman" w:eastAsia="Times New Roman" w:hAnsi="Times New Roman"/>
          <w:sz w:val="24"/>
          <w:szCs w:val="24"/>
          <w:vertAlign w:val="subscript"/>
        </w:rPr>
        <w:t>background</w:t>
      </w:r>
      <w:proofErr w:type="spellEnd"/>
      <w:r>
        <w:rPr>
          <w:rFonts w:ascii="Times New Roman" w:eastAsia="Times New Roman" w:hAnsi="Times New Roman"/>
          <w:sz w:val="24"/>
          <w:szCs w:val="24"/>
        </w:rPr>
        <w:t xml:space="preserve"> indicates the metal concentration of the background. PLI &gt;1 recommends sediment pollution, and PLI &lt; 1 absolutely no pollution.</w:t>
      </w:r>
    </w:p>
    <w:p w14:paraId="53D953E2" w14:textId="77777777" w:rsidR="002818EF" w:rsidRDefault="00000000">
      <w:pPr>
        <w:rPr>
          <w:rFonts w:ascii="Times New Roman" w:eastAsia="Times New Roman" w:hAnsi="Times New Roman"/>
          <w:iCs/>
          <w:sz w:val="24"/>
          <w:szCs w:val="24"/>
        </w:rPr>
      </w:pPr>
      <w:r>
        <w:rPr>
          <w:rFonts w:ascii="Times New Roman" w:eastAsia="Times New Roman" w:hAnsi="Times New Roman"/>
          <w:b/>
          <w:iCs/>
          <w:sz w:val="24"/>
          <w:szCs w:val="24"/>
        </w:rPr>
        <w:t>2.7 Bioaccumulation factor (BAF)</w:t>
      </w:r>
    </w:p>
    <w:p w14:paraId="5373DF3D"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t xml:space="preserve">BAF abides by Wang </w:t>
      </w:r>
      <w:r>
        <w:rPr>
          <w:rFonts w:ascii="Times New Roman" w:eastAsia="Times New Roman" w:hAnsi="Times New Roman"/>
          <w:i/>
          <w:iCs/>
          <w:sz w:val="24"/>
          <w:szCs w:val="24"/>
        </w:rPr>
        <w:t>et al</w:t>
      </w:r>
      <w:r>
        <w:rPr>
          <w:rFonts w:ascii="Times New Roman" w:eastAsia="Times New Roman" w:hAnsi="Times New Roman"/>
          <w:sz w:val="24"/>
          <w:szCs w:val="24"/>
        </w:rPr>
        <w:t xml:space="preserve">. (2017) to find the heavy metal concentration in fish relative to that in water.  </w:t>
      </w:r>
    </w:p>
    <w:p w14:paraId="1F4814B5" w14:textId="77777777" w:rsidR="002818EF" w:rsidRDefault="00000000">
      <w:pPr>
        <w:ind w:left="3600" w:firstLine="720"/>
        <w:rPr>
          <w:rFonts w:ascii="Times New Roman" w:eastAsia="Times New Roman" w:hAnsi="Times New Roman"/>
          <w:sz w:val="24"/>
          <w:szCs w:val="24"/>
        </w:rPr>
      </w:pPr>
      <w:r>
        <w:rPr>
          <w:rFonts w:ascii="Times New Roman" w:eastAsia="Times New Roman" w:hAnsi="Times New Roman"/>
          <w:sz w:val="24"/>
          <w:szCs w:val="24"/>
        </w:rPr>
        <w:t>BAF = C</w:t>
      </w:r>
      <w:r>
        <w:rPr>
          <w:rFonts w:ascii="Times New Roman" w:eastAsia="Times New Roman" w:hAnsi="Times New Roman"/>
          <w:sz w:val="24"/>
          <w:szCs w:val="24"/>
          <w:vertAlign w:val="subscript"/>
        </w:rPr>
        <w:t>i</w:t>
      </w:r>
      <w:r>
        <w:rPr>
          <w:rFonts w:ascii="Times New Roman" w:eastAsia="Times New Roman" w:hAnsi="Times New Roman"/>
          <w:sz w:val="24"/>
          <w:szCs w:val="24"/>
        </w:rPr>
        <w:t>/</w:t>
      </w:r>
      <w:proofErr w:type="spellStart"/>
      <w:r>
        <w:rPr>
          <w:rFonts w:ascii="Times New Roman" w:eastAsia="Times New Roman" w:hAnsi="Times New Roman"/>
          <w:sz w:val="24"/>
          <w:szCs w:val="24"/>
        </w:rPr>
        <w:t>C</w:t>
      </w:r>
      <w:r>
        <w:rPr>
          <w:rFonts w:ascii="Times New Roman" w:eastAsia="Times New Roman" w:hAnsi="Times New Roman"/>
          <w:sz w:val="24"/>
          <w:szCs w:val="24"/>
          <w:vertAlign w:val="subscript"/>
        </w:rPr>
        <w:t>w</w:t>
      </w:r>
      <w:proofErr w:type="spellEnd"/>
    </w:p>
    <w:p w14:paraId="2B4F2CA9"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t>Where C</w:t>
      </w:r>
      <w:r>
        <w:rPr>
          <w:rFonts w:ascii="Times New Roman" w:eastAsia="Times New Roman" w:hAnsi="Times New Roman"/>
          <w:sz w:val="24"/>
          <w:szCs w:val="24"/>
          <w:vertAlign w:val="subscript"/>
        </w:rPr>
        <w:t>i</w:t>
      </w:r>
      <w:r>
        <w:rPr>
          <w:rFonts w:ascii="Times New Roman" w:eastAsia="Times New Roman" w:hAnsi="Times New Roman"/>
          <w:sz w:val="24"/>
          <w:szCs w:val="24"/>
        </w:rPr>
        <w:t xml:space="preserve"> signifies the mean concentration of pelagic organisms, whereas </w:t>
      </w:r>
      <w:proofErr w:type="spellStart"/>
      <w:r>
        <w:rPr>
          <w:rFonts w:ascii="Times New Roman" w:eastAsia="Times New Roman" w:hAnsi="Times New Roman"/>
          <w:sz w:val="24"/>
          <w:szCs w:val="24"/>
        </w:rPr>
        <w:t>C</w:t>
      </w:r>
      <w:r>
        <w:rPr>
          <w:rFonts w:ascii="Times New Roman" w:eastAsia="Times New Roman" w:hAnsi="Times New Roman"/>
          <w:sz w:val="24"/>
          <w:szCs w:val="24"/>
          <w:vertAlign w:val="subscript"/>
        </w:rPr>
        <w:t>w</w:t>
      </w:r>
      <w:proofErr w:type="spellEnd"/>
      <w:r>
        <w:rPr>
          <w:rFonts w:ascii="Times New Roman" w:eastAsia="Times New Roman" w:hAnsi="Times New Roman"/>
          <w:sz w:val="24"/>
          <w:szCs w:val="24"/>
        </w:rPr>
        <w:t xml:space="preserve"> signifies the mean water concentration.</w:t>
      </w:r>
    </w:p>
    <w:p w14:paraId="17711F1F" w14:textId="77777777" w:rsidR="002818EF" w:rsidRDefault="00000000">
      <w:pPr>
        <w:rPr>
          <w:rFonts w:ascii="Times New Roman" w:eastAsia="Times New Roman" w:hAnsi="Times New Roman"/>
          <w:b/>
          <w:bCs/>
          <w:iCs/>
          <w:sz w:val="24"/>
          <w:szCs w:val="24"/>
        </w:rPr>
      </w:pPr>
      <w:r>
        <w:rPr>
          <w:rFonts w:ascii="Times New Roman" w:eastAsia="Times New Roman" w:hAnsi="Times New Roman"/>
          <w:b/>
          <w:iCs/>
          <w:sz w:val="24"/>
          <w:szCs w:val="24"/>
        </w:rPr>
        <w:t xml:space="preserve">2.8 </w:t>
      </w:r>
      <w:r>
        <w:rPr>
          <w:rFonts w:ascii="Times New Roman" w:eastAsia="Times New Roman" w:hAnsi="Times New Roman"/>
          <w:b/>
          <w:bCs/>
          <w:iCs/>
          <w:sz w:val="24"/>
          <w:szCs w:val="24"/>
        </w:rPr>
        <w:t>Statistical analysis</w:t>
      </w:r>
    </w:p>
    <w:p w14:paraId="69C3A5ED" w14:textId="77777777" w:rsidR="002818EF" w:rsidRDefault="00000000">
      <w:pPr>
        <w:rPr>
          <w:rFonts w:ascii="Times New Roman" w:eastAsia="Times New Roman" w:hAnsi="Times New Roman"/>
          <w:bCs/>
          <w:sz w:val="24"/>
          <w:szCs w:val="24"/>
        </w:rPr>
      </w:pPr>
      <w:r>
        <w:rPr>
          <w:rFonts w:ascii="Times New Roman" w:eastAsia="Times New Roman" w:hAnsi="Times New Roman"/>
          <w:bCs/>
          <w:sz w:val="24"/>
          <w:szCs w:val="24"/>
        </w:rPr>
        <w:t>In order to determine the relationship of heavy metals among water, soil, polychaete and fish species, Pearson correlation was calculated using SPSS version 20.0.  The analysis of variance (ANOVA) was conducted using the JAMOVI version 2.6.44 software.</w:t>
      </w:r>
    </w:p>
    <w:p w14:paraId="11C161BF" w14:textId="77777777" w:rsidR="002818EF" w:rsidRDefault="00000000">
      <w:pPr>
        <w:pStyle w:val="ListParagraph"/>
        <w:numPr>
          <w:ilvl w:val="0"/>
          <w:numId w:val="1"/>
        </w:numPr>
        <w:rPr>
          <w:rFonts w:ascii="Times New Roman" w:eastAsia="Times New Roman" w:hAnsi="Times New Roman"/>
          <w:b/>
          <w:sz w:val="24"/>
          <w:szCs w:val="24"/>
        </w:rPr>
      </w:pPr>
      <w:r>
        <w:rPr>
          <w:rFonts w:ascii="Times New Roman" w:eastAsia="Times New Roman" w:hAnsi="Times New Roman"/>
          <w:b/>
          <w:sz w:val="24"/>
          <w:szCs w:val="24"/>
        </w:rPr>
        <w:t>Results and Discussion</w:t>
      </w:r>
    </w:p>
    <w:p w14:paraId="42CF9E66" w14:textId="77777777" w:rsidR="002818EF" w:rsidRDefault="00000000">
      <w:pPr>
        <w:ind w:left="360"/>
        <w:rPr>
          <w:rFonts w:ascii="Times New Roman" w:eastAsia="Times New Roman" w:hAnsi="Times New Roman"/>
          <w:b/>
          <w:iCs/>
          <w:sz w:val="24"/>
          <w:szCs w:val="24"/>
        </w:rPr>
      </w:pPr>
      <w:r>
        <w:rPr>
          <w:rFonts w:ascii="Times New Roman" w:eastAsia="Times New Roman" w:hAnsi="Times New Roman"/>
          <w:b/>
          <w:iCs/>
          <w:sz w:val="24"/>
          <w:szCs w:val="24"/>
        </w:rPr>
        <w:t>3.1 Physicochemical parameter</w:t>
      </w:r>
    </w:p>
    <w:p w14:paraId="31FC89DE" w14:textId="77777777" w:rsidR="002818EF" w:rsidRDefault="00000000">
      <w:pPr>
        <w:rPr>
          <w:rFonts w:ascii="Times New Roman" w:hAnsi="Times New Roman"/>
          <w:sz w:val="24"/>
          <w:szCs w:val="24"/>
        </w:rPr>
      </w:pPr>
      <w:r>
        <w:rPr>
          <w:rFonts w:ascii="Times New Roman" w:hAnsi="Times New Roman"/>
          <w:sz w:val="24"/>
          <w:szCs w:val="24"/>
          <w:lang w:val="en-US"/>
        </w:rPr>
        <w:t>Water is considered to be essential for aquatic organisms, but it gets contaminated due to anthropogenic activities (</w:t>
      </w:r>
      <w:r>
        <w:rPr>
          <w:rFonts w:ascii="Times New Roman" w:hAnsi="Times New Roman"/>
          <w:sz w:val="24"/>
          <w:szCs w:val="24"/>
        </w:rPr>
        <w:t xml:space="preserve">Sharma </w:t>
      </w:r>
      <w:r>
        <w:rPr>
          <w:rFonts w:ascii="Times New Roman" w:hAnsi="Times New Roman"/>
          <w:i/>
          <w:iCs/>
          <w:sz w:val="24"/>
          <w:szCs w:val="24"/>
        </w:rPr>
        <w:t>et al</w:t>
      </w:r>
      <w:r>
        <w:rPr>
          <w:rFonts w:ascii="Times New Roman" w:hAnsi="Times New Roman"/>
          <w:sz w:val="24"/>
          <w:szCs w:val="24"/>
        </w:rPr>
        <w:t>., 2025)</w:t>
      </w:r>
      <w:r>
        <w:rPr>
          <w:rFonts w:ascii="Times New Roman" w:hAnsi="Times New Roman"/>
          <w:sz w:val="24"/>
          <w:szCs w:val="24"/>
          <w:lang w:val="en-US"/>
        </w:rPr>
        <w:t xml:space="preserve">. </w:t>
      </w:r>
      <w:bookmarkStart w:id="3" w:name="_heading=h.y4zif8h4hagw" w:colFirst="0" w:colLast="0"/>
      <w:bookmarkEnd w:id="3"/>
      <w:r>
        <w:rPr>
          <w:rFonts w:ascii="Times New Roman" w:eastAsia="Times New Roman" w:hAnsi="Times New Roman"/>
          <w:sz w:val="24"/>
          <w:szCs w:val="24"/>
        </w:rPr>
        <w:t xml:space="preserve">Industrialisation is progressively expanding, which in turn becomes the foundation for pollution and releases toxic elements into the environment. </w:t>
      </w:r>
      <w:r>
        <w:rPr>
          <w:rFonts w:ascii="Times New Roman" w:hAnsi="Times New Roman"/>
          <w:sz w:val="24"/>
          <w:szCs w:val="24"/>
        </w:rPr>
        <w:t xml:space="preserve">The temperature before and after the oil spill was within the acceptable range of 27.7 ± 0.52 ºC to 33.4 ± 0.55 ºC and 25.08 ± 0.65 to 32.8 ± 0.70ºC, respectively. </w:t>
      </w:r>
      <w:r>
        <w:rPr>
          <w:rFonts w:ascii="Times New Roman" w:eastAsia="Times New Roman" w:hAnsi="Times New Roman"/>
          <w:sz w:val="24"/>
          <w:szCs w:val="24"/>
        </w:rPr>
        <w:t xml:space="preserve">The water quality before and after the oil spill at 5 different geographical locations was analysed and presented in Table 1. </w:t>
      </w:r>
      <w:r>
        <w:rPr>
          <w:rFonts w:ascii="Times New Roman" w:hAnsi="Times New Roman"/>
          <w:sz w:val="24"/>
          <w:szCs w:val="24"/>
        </w:rPr>
        <w:t xml:space="preserve"> Normally, </w:t>
      </w:r>
      <w:r>
        <w:rPr>
          <w:rFonts w:ascii="Times New Roman" w:eastAsia="Times New Roman" w:hAnsi="Times New Roman"/>
          <w:sz w:val="24"/>
          <w:szCs w:val="24"/>
        </w:rPr>
        <w:t xml:space="preserve">the temperature varies depending on the period, seasons and salt concentration of the water (Vincy </w:t>
      </w:r>
      <w:r>
        <w:rPr>
          <w:rFonts w:ascii="Times New Roman" w:eastAsia="Times New Roman" w:hAnsi="Times New Roman"/>
          <w:i/>
          <w:iCs/>
          <w:sz w:val="24"/>
          <w:szCs w:val="24"/>
        </w:rPr>
        <w:t>et al</w:t>
      </w:r>
      <w:r>
        <w:rPr>
          <w:rFonts w:ascii="Times New Roman" w:eastAsia="Times New Roman" w:hAnsi="Times New Roman"/>
          <w:sz w:val="24"/>
          <w:szCs w:val="24"/>
        </w:rPr>
        <w:t xml:space="preserve">., 2012). Water temperature before and after the oil slick varies by approximately 2 °C in the present study. The oil on the water surface inhibits sunlight penetration causing the temperature to drop at the point of the spill area (Xing </w:t>
      </w:r>
      <w:r>
        <w:rPr>
          <w:rFonts w:ascii="Times New Roman" w:eastAsia="Times New Roman" w:hAnsi="Times New Roman"/>
          <w:i/>
          <w:iCs/>
          <w:sz w:val="24"/>
          <w:szCs w:val="24"/>
        </w:rPr>
        <w:t>et al</w:t>
      </w:r>
      <w:r>
        <w:rPr>
          <w:rFonts w:ascii="Times New Roman" w:eastAsia="Times New Roman" w:hAnsi="Times New Roman"/>
          <w:sz w:val="24"/>
          <w:szCs w:val="24"/>
        </w:rPr>
        <w:t xml:space="preserve">., </w:t>
      </w:r>
      <w:r>
        <w:rPr>
          <w:rFonts w:ascii="Times New Roman" w:eastAsia="Times New Roman" w:hAnsi="Times New Roman"/>
          <w:sz w:val="24"/>
          <w:szCs w:val="24"/>
        </w:rPr>
        <w:lastRenderedPageBreak/>
        <w:t xml:space="preserve">2015). The pH before the oil leak ranged from </w:t>
      </w:r>
      <w:r>
        <w:rPr>
          <w:rFonts w:ascii="Times New Roman" w:hAnsi="Times New Roman"/>
          <w:sz w:val="24"/>
          <w:szCs w:val="24"/>
        </w:rPr>
        <w:t xml:space="preserve">8.2 ± 0.26 to 7.3 ± 0.50, but after the spill 8 ± 0.52 to 7.1 ± 0.60. </w:t>
      </w:r>
      <w:r>
        <w:rPr>
          <w:rFonts w:ascii="Times New Roman" w:eastAsia="Times New Roman" w:hAnsi="Times New Roman"/>
          <w:sz w:val="24"/>
          <w:szCs w:val="24"/>
        </w:rPr>
        <w:t xml:space="preserve">The pH level of water exhibits slight fluctuations following the spillage in the present investigation, which indicates that the pH remains marginally alkaline. Slightly similar change in pH was observed by Chen </w:t>
      </w:r>
      <w:r>
        <w:rPr>
          <w:rFonts w:ascii="Times New Roman" w:eastAsia="Times New Roman" w:hAnsi="Times New Roman"/>
          <w:i/>
          <w:iCs/>
          <w:sz w:val="24"/>
          <w:szCs w:val="24"/>
        </w:rPr>
        <w:t>et al</w:t>
      </w:r>
      <w:r>
        <w:rPr>
          <w:rFonts w:ascii="Times New Roman" w:eastAsia="Times New Roman" w:hAnsi="Times New Roman"/>
          <w:sz w:val="24"/>
          <w:szCs w:val="24"/>
        </w:rPr>
        <w:t>. (2017) in Taiwan after the oil spillage was within the range of 7.95 to 8.07. The salinity before the spill was between 22.12</w:t>
      </w:r>
      <w:r>
        <w:rPr>
          <w:rFonts w:ascii="Times New Roman" w:hAnsi="Times New Roman"/>
          <w:sz w:val="24"/>
          <w:szCs w:val="24"/>
        </w:rPr>
        <w:t xml:space="preserve"> ± 0.63 </w:t>
      </w:r>
      <w:r>
        <w:rPr>
          <w:rFonts w:ascii="Times New Roman" w:eastAsia="Times New Roman" w:hAnsi="Times New Roman"/>
          <w:sz w:val="24"/>
          <w:szCs w:val="24"/>
        </w:rPr>
        <w:t>to 31.6</w:t>
      </w:r>
      <w:r>
        <w:rPr>
          <w:rFonts w:ascii="Times New Roman" w:hAnsi="Times New Roman"/>
          <w:sz w:val="24"/>
          <w:szCs w:val="24"/>
        </w:rPr>
        <w:t xml:space="preserve"> ± 0.85</w:t>
      </w:r>
      <w:r>
        <w:rPr>
          <w:rFonts w:ascii="Times New Roman" w:eastAsia="Times New Roman" w:hAnsi="Times New Roman"/>
          <w:sz w:val="24"/>
          <w:szCs w:val="24"/>
        </w:rPr>
        <w:t xml:space="preserve"> ppt, whereas after the spill, the observed salinity was between 18.1</w:t>
      </w:r>
      <w:r>
        <w:rPr>
          <w:rFonts w:ascii="Times New Roman" w:hAnsi="Times New Roman"/>
          <w:sz w:val="24"/>
          <w:szCs w:val="24"/>
        </w:rPr>
        <w:t xml:space="preserve"> ± 0.91</w:t>
      </w:r>
      <w:r>
        <w:rPr>
          <w:rFonts w:ascii="Times New Roman" w:eastAsia="Times New Roman" w:hAnsi="Times New Roman"/>
          <w:sz w:val="24"/>
          <w:szCs w:val="24"/>
        </w:rPr>
        <w:t xml:space="preserve"> to 25.9</w:t>
      </w:r>
      <w:r>
        <w:rPr>
          <w:rFonts w:ascii="Times New Roman" w:hAnsi="Times New Roman"/>
          <w:sz w:val="24"/>
          <w:szCs w:val="24"/>
        </w:rPr>
        <w:t xml:space="preserve"> ± 0.77</w:t>
      </w:r>
      <w:r>
        <w:rPr>
          <w:rFonts w:ascii="Times New Roman" w:eastAsia="Times New Roman" w:hAnsi="Times New Roman"/>
          <w:sz w:val="24"/>
          <w:szCs w:val="24"/>
        </w:rPr>
        <w:t xml:space="preserve"> ppt. Hence, salinity after the spillage reduced to 4 to 6 ppt. The water salinity relies on tidal variation and on the ratio of marine and river water (Cheng </w:t>
      </w:r>
      <w:r>
        <w:rPr>
          <w:rFonts w:ascii="Times New Roman" w:eastAsia="Times New Roman" w:hAnsi="Times New Roman"/>
          <w:i/>
          <w:iCs/>
          <w:sz w:val="24"/>
          <w:szCs w:val="24"/>
        </w:rPr>
        <w:t>et al</w:t>
      </w:r>
      <w:r>
        <w:rPr>
          <w:rFonts w:ascii="Times New Roman" w:eastAsia="Times New Roman" w:hAnsi="Times New Roman"/>
          <w:sz w:val="24"/>
          <w:szCs w:val="24"/>
        </w:rPr>
        <w:t>.,</w:t>
      </w:r>
      <w:r>
        <w:rPr>
          <w:rFonts w:ascii="Times New Roman" w:eastAsia="Times New Roman" w:hAnsi="Times New Roman"/>
          <w:i/>
          <w:sz w:val="24"/>
          <w:szCs w:val="24"/>
        </w:rPr>
        <w:t xml:space="preserve"> </w:t>
      </w:r>
      <w:r>
        <w:rPr>
          <w:rFonts w:ascii="Times New Roman" w:eastAsia="Times New Roman" w:hAnsi="Times New Roman"/>
          <w:sz w:val="24"/>
          <w:szCs w:val="24"/>
        </w:rPr>
        <w:t xml:space="preserve">2005). The dissolved oxygen (DO) in the present study was &lt;5 mg/l; i.e., the range was from 0.8 </w:t>
      </w:r>
      <w:r>
        <w:rPr>
          <w:rFonts w:ascii="Times New Roman" w:hAnsi="Times New Roman"/>
          <w:sz w:val="24"/>
          <w:szCs w:val="24"/>
        </w:rPr>
        <w:t xml:space="preserve">± 0.26 </w:t>
      </w:r>
      <w:r>
        <w:rPr>
          <w:rFonts w:ascii="Times New Roman" w:eastAsia="Times New Roman" w:hAnsi="Times New Roman"/>
          <w:sz w:val="24"/>
          <w:szCs w:val="24"/>
        </w:rPr>
        <w:t>mg/l</w:t>
      </w:r>
      <w:r>
        <w:rPr>
          <w:rFonts w:ascii="Times New Roman" w:hAnsi="Times New Roman"/>
          <w:sz w:val="24"/>
          <w:szCs w:val="24"/>
        </w:rPr>
        <w:t xml:space="preserve"> to 4.7 ± 0.81</w:t>
      </w:r>
      <w:r>
        <w:rPr>
          <w:rFonts w:ascii="Times New Roman" w:eastAsia="Times New Roman" w:hAnsi="Times New Roman"/>
          <w:sz w:val="24"/>
          <w:szCs w:val="24"/>
        </w:rPr>
        <w:t xml:space="preserve">mg/l whereas after the oil spill it was 0.71 </w:t>
      </w:r>
      <w:r>
        <w:rPr>
          <w:rFonts w:ascii="Times New Roman" w:hAnsi="Times New Roman"/>
          <w:sz w:val="24"/>
          <w:szCs w:val="24"/>
        </w:rPr>
        <w:t xml:space="preserve">± 0.12 mg/l to 3.97 ± 0.56 mg/l. The DO levels are reduced slightly after the slick as compared to before the spill. The slight decrease in DO is due to the oil presence, which disturbs the exchange of oxygen in the water bodies and provides less oxygen to the fish (Bulbul &amp; Mishra, 2022). </w:t>
      </w:r>
    </w:p>
    <w:p w14:paraId="4041E92F" w14:textId="77777777" w:rsidR="002818EF" w:rsidRDefault="00000000">
      <w:pPr>
        <w:rPr>
          <w:rFonts w:ascii="Times New Roman" w:eastAsia="Times New Roman" w:hAnsi="Times New Roman"/>
          <w:b/>
          <w:sz w:val="24"/>
          <w:szCs w:val="24"/>
        </w:rPr>
      </w:pPr>
      <w:r>
        <w:rPr>
          <w:rFonts w:ascii="Times New Roman" w:hAnsi="Times New Roman"/>
          <w:b/>
          <w:bCs/>
          <w:sz w:val="24"/>
          <w:szCs w:val="24"/>
          <w:lang w:val="en-US"/>
        </w:rPr>
        <w:t xml:space="preserve">Table 1. </w:t>
      </w:r>
      <w:r>
        <w:rPr>
          <w:rFonts w:ascii="Times New Roman" w:eastAsia="Times New Roman" w:hAnsi="Times New Roman"/>
          <w:b/>
          <w:sz w:val="24"/>
          <w:szCs w:val="24"/>
        </w:rPr>
        <w:t xml:space="preserve">The average, mean and standard deviation of physicochemical parameters of water before and after the oil slick. </w:t>
      </w:r>
    </w:p>
    <w:tbl>
      <w:tblPr>
        <w:tblW w:w="8921" w:type="dxa"/>
        <w:tblLook w:val="04A0" w:firstRow="1" w:lastRow="0" w:firstColumn="1" w:lastColumn="0" w:noHBand="0" w:noVBand="1"/>
      </w:tblPr>
      <w:tblGrid>
        <w:gridCol w:w="1631"/>
        <w:gridCol w:w="1352"/>
        <w:gridCol w:w="1484"/>
        <w:gridCol w:w="1484"/>
        <w:gridCol w:w="1484"/>
        <w:gridCol w:w="1486"/>
      </w:tblGrid>
      <w:tr w:rsidR="002818EF" w14:paraId="00B87F90" w14:textId="77777777">
        <w:trPr>
          <w:trHeight w:val="298"/>
        </w:trPr>
        <w:tc>
          <w:tcPr>
            <w:tcW w:w="1631" w:type="dxa"/>
            <w:tcBorders>
              <w:top w:val="single" w:sz="4" w:space="0" w:color="auto"/>
              <w:left w:val="nil"/>
              <w:bottom w:val="single" w:sz="4" w:space="0" w:color="auto"/>
              <w:right w:val="nil"/>
            </w:tcBorders>
            <w:vAlign w:val="center"/>
          </w:tcPr>
          <w:p w14:paraId="3B9B7A41" w14:textId="77777777" w:rsidR="002818EF" w:rsidRDefault="00000000">
            <w:pPr>
              <w:spacing w:line="240" w:lineRule="auto"/>
              <w:ind w:left="0"/>
              <w:jc w:val="center"/>
              <w:rPr>
                <w:rFonts w:ascii="Times New Roman" w:eastAsia="Times New Roman" w:hAnsi="Times New Roman"/>
                <w:b/>
                <w:bCs/>
                <w:color w:val="000000"/>
                <w:kern w:val="0"/>
                <w:sz w:val="20"/>
                <w:szCs w:val="20"/>
                <w:lang w:eastAsia="en-IN"/>
              </w:rPr>
            </w:pPr>
            <w:r>
              <w:rPr>
                <w:rFonts w:ascii="Times New Roman" w:eastAsia="Times New Roman" w:hAnsi="Times New Roman"/>
                <w:b/>
                <w:bCs/>
                <w:color w:val="000000"/>
                <w:kern w:val="0"/>
                <w:sz w:val="20"/>
                <w:szCs w:val="20"/>
                <w:lang w:val="en-US" w:eastAsia="en-IN"/>
              </w:rPr>
              <w:t>Parameters</w:t>
            </w:r>
          </w:p>
        </w:tc>
        <w:tc>
          <w:tcPr>
            <w:tcW w:w="1352" w:type="dxa"/>
            <w:tcBorders>
              <w:top w:val="single" w:sz="4" w:space="0" w:color="auto"/>
              <w:left w:val="nil"/>
              <w:bottom w:val="single" w:sz="4" w:space="0" w:color="auto"/>
              <w:right w:val="nil"/>
            </w:tcBorders>
            <w:vAlign w:val="center"/>
          </w:tcPr>
          <w:p w14:paraId="56ADE2B5" w14:textId="77777777" w:rsidR="002818EF" w:rsidRDefault="00000000">
            <w:pPr>
              <w:spacing w:line="240" w:lineRule="auto"/>
              <w:ind w:left="0"/>
              <w:jc w:val="center"/>
              <w:rPr>
                <w:rFonts w:ascii="Times New Roman" w:eastAsia="Times New Roman" w:hAnsi="Times New Roman"/>
                <w:b/>
                <w:bCs/>
                <w:color w:val="000000"/>
                <w:kern w:val="0"/>
                <w:sz w:val="20"/>
                <w:szCs w:val="20"/>
                <w:lang w:eastAsia="en-IN"/>
              </w:rPr>
            </w:pPr>
            <w:r>
              <w:rPr>
                <w:rFonts w:ascii="Times New Roman" w:eastAsia="Times New Roman" w:hAnsi="Times New Roman"/>
                <w:b/>
                <w:bCs/>
                <w:color w:val="000000"/>
                <w:kern w:val="0"/>
                <w:sz w:val="20"/>
                <w:szCs w:val="20"/>
                <w:lang w:val="en-US" w:eastAsia="en-IN"/>
              </w:rPr>
              <w:t>ST-1</w:t>
            </w:r>
          </w:p>
        </w:tc>
        <w:tc>
          <w:tcPr>
            <w:tcW w:w="1484" w:type="dxa"/>
            <w:tcBorders>
              <w:top w:val="single" w:sz="4" w:space="0" w:color="auto"/>
              <w:left w:val="nil"/>
              <w:bottom w:val="single" w:sz="4" w:space="0" w:color="auto"/>
              <w:right w:val="nil"/>
            </w:tcBorders>
            <w:vAlign w:val="center"/>
          </w:tcPr>
          <w:p w14:paraId="67DF2473" w14:textId="77777777" w:rsidR="002818EF" w:rsidRDefault="00000000">
            <w:pPr>
              <w:spacing w:line="240" w:lineRule="auto"/>
              <w:ind w:left="0"/>
              <w:jc w:val="center"/>
              <w:rPr>
                <w:rFonts w:ascii="Times New Roman" w:eastAsia="Times New Roman" w:hAnsi="Times New Roman"/>
                <w:b/>
                <w:bCs/>
                <w:color w:val="000000"/>
                <w:kern w:val="0"/>
                <w:sz w:val="20"/>
                <w:szCs w:val="20"/>
                <w:lang w:eastAsia="en-IN"/>
              </w:rPr>
            </w:pPr>
            <w:r>
              <w:rPr>
                <w:rFonts w:ascii="Times New Roman" w:eastAsia="Times New Roman" w:hAnsi="Times New Roman"/>
                <w:b/>
                <w:bCs/>
                <w:color w:val="000000"/>
                <w:kern w:val="0"/>
                <w:sz w:val="20"/>
                <w:szCs w:val="20"/>
                <w:lang w:val="en-US" w:eastAsia="en-IN"/>
              </w:rPr>
              <w:t>ST-2</w:t>
            </w:r>
          </w:p>
        </w:tc>
        <w:tc>
          <w:tcPr>
            <w:tcW w:w="1484" w:type="dxa"/>
            <w:tcBorders>
              <w:top w:val="single" w:sz="4" w:space="0" w:color="auto"/>
              <w:left w:val="nil"/>
              <w:bottom w:val="single" w:sz="4" w:space="0" w:color="auto"/>
              <w:right w:val="nil"/>
            </w:tcBorders>
            <w:vAlign w:val="center"/>
          </w:tcPr>
          <w:p w14:paraId="768642CA" w14:textId="77777777" w:rsidR="002818EF" w:rsidRDefault="00000000">
            <w:pPr>
              <w:spacing w:line="240" w:lineRule="auto"/>
              <w:ind w:left="0"/>
              <w:jc w:val="center"/>
              <w:rPr>
                <w:rFonts w:ascii="Times New Roman" w:eastAsia="Times New Roman" w:hAnsi="Times New Roman"/>
                <w:b/>
                <w:bCs/>
                <w:color w:val="000000"/>
                <w:kern w:val="0"/>
                <w:sz w:val="20"/>
                <w:szCs w:val="20"/>
                <w:lang w:eastAsia="en-IN"/>
              </w:rPr>
            </w:pPr>
            <w:r>
              <w:rPr>
                <w:rFonts w:ascii="Times New Roman" w:eastAsia="Times New Roman" w:hAnsi="Times New Roman"/>
                <w:b/>
                <w:bCs/>
                <w:color w:val="000000"/>
                <w:kern w:val="0"/>
                <w:sz w:val="20"/>
                <w:szCs w:val="20"/>
                <w:lang w:val="en-US" w:eastAsia="en-IN"/>
              </w:rPr>
              <w:t>ST-3</w:t>
            </w:r>
          </w:p>
        </w:tc>
        <w:tc>
          <w:tcPr>
            <w:tcW w:w="1484" w:type="dxa"/>
            <w:tcBorders>
              <w:top w:val="single" w:sz="4" w:space="0" w:color="auto"/>
              <w:left w:val="nil"/>
              <w:bottom w:val="single" w:sz="4" w:space="0" w:color="auto"/>
              <w:right w:val="nil"/>
            </w:tcBorders>
            <w:vAlign w:val="center"/>
          </w:tcPr>
          <w:p w14:paraId="17BD389F" w14:textId="77777777" w:rsidR="002818EF" w:rsidRDefault="00000000">
            <w:pPr>
              <w:spacing w:line="240" w:lineRule="auto"/>
              <w:ind w:left="0"/>
              <w:jc w:val="center"/>
              <w:rPr>
                <w:rFonts w:ascii="Times New Roman" w:eastAsia="Times New Roman" w:hAnsi="Times New Roman"/>
                <w:b/>
                <w:bCs/>
                <w:color w:val="000000"/>
                <w:kern w:val="0"/>
                <w:sz w:val="20"/>
                <w:szCs w:val="20"/>
                <w:lang w:eastAsia="en-IN"/>
              </w:rPr>
            </w:pPr>
            <w:r>
              <w:rPr>
                <w:rFonts w:ascii="Times New Roman" w:eastAsia="Times New Roman" w:hAnsi="Times New Roman"/>
                <w:b/>
                <w:bCs/>
                <w:color w:val="000000"/>
                <w:kern w:val="0"/>
                <w:sz w:val="20"/>
                <w:szCs w:val="20"/>
                <w:lang w:val="en-US" w:eastAsia="en-IN"/>
              </w:rPr>
              <w:t>ST-4</w:t>
            </w:r>
          </w:p>
        </w:tc>
        <w:tc>
          <w:tcPr>
            <w:tcW w:w="1484" w:type="dxa"/>
            <w:tcBorders>
              <w:top w:val="single" w:sz="4" w:space="0" w:color="auto"/>
              <w:left w:val="nil"/>
              <w:bottom w:val="single" w:sz="4" w:space="0" w:color="auto"/>
              <w:right w:val="nil"/>
            </w:tcBorders>
            <w:vAlign w:val="center"/>
          </w:tcPr>
          <w:p w14:paraId="5131DB57" w14:textId="77777777" w:rsidR="002818EF" w:rsidRDefault="00000000">
            <w:pPr>
              <w:spacing w:line="240" w:lineRule="auto"/>
              <w:ind w:left="0"/>
              <w:jc w:val="center"/>
              <w:rPr>
                <w:rFonts w:ascii="Times New Roman" w:eastAsia="Times New Roman" w:hAnsi="Times New Roman"/>
                <w:b/>
                <w:bCs/>
                <w:color w:val="000000"/>
                <w:kern w:val="0"/>
                <w:sz w:val="20"/>
                <w:szCs w:val="20"/>
                <w:lang w:eastAsia="en-IN"/>
              </w:rPr>
            </w:pPr>
            <w:r>
              <w:rPr>
                <w:rFonts w:ascii="Times New Roman" w:eastAsia="Times New Roman" w:hAnsi="Times New Roman"/>
                <w:b/>
                <w:bCs/>
                <w:color w:val="000000"/>
                <w:kern w:val="0"/>
                <w:sz w:val="20"/>
                <w:szCs w:val="20"/>
                <w:lang w:val="en-US" w:eastAsia="en-IN"/>
              </w:rPr>
              <w:t>ST-5</w:t>
            </w:r>
          </w:p>
        </w:tc>
      </w:tr>
      <w:tr w:rsidR="002818EF" w14:paraId="1254F541" w14:textId="77777777">
        <w:trPr>
          <w:trHeight w:val="547"/>
        </w:trPr>
        <w:tc>
          <w:tcPr>
            <w:tcW w:w="8921" w:type="dxa"/>
            <w:gridSpan w:val="6"/>
            <w:tcBorders>
              <w:top w:val="single" w:sz="4" w:space="0" w:color="auto"/>
              <w:left w:val="nil"/>
              <w:bottom w:val="single" w:sz="4" w:space="0" w:color="auto"/>
              <w:right w:val="nil"/>
            </w:tcBorders>
            <w:vAlign w:val="center"/>
          </w:tcPr>
          <w:p w14:paraId="41025A74" w14:textId="77777777" w:rsidR="002818EF" w:rsidRDefault="00000000">
            <w:pPr>
              <w:spacing w:line="240" w:lineRule="auto"/>
              <w:ind w:left="0"/>
              <w:jc w:val="center"/>
              <w:rPr>
                <w:rFonts w:ascii="Times New Roman" w:eastAsia="Times New Roman" w:hAnsi="Times New Roman"/>
                <w:color w:val="000000"/>
                <w:kern w:val="0"/>
                <w:sz w:val="20"/>
                <w:szCs w:val="20"/>
                <w:lang w:eastAsia="en-IN"/>
              </w:rPr>
            </w:pPr>
            <w:r>
              <w:rPr>
                <w:rFonts w:ascii="Times New Roman" w:eastAsia="Times New Roman" w:hAnsi="Times New Roman"/>
                <w:b/>
                <w:bCs/>
                <w:color w:val="000000"/>
                <w:kern w:val="0"/>
                <w:sz w:val="20"/>
                <w:szCs w:val="20"/>
                <w:lang w:val="en-US" w:eastAsia="en-IN"/>
              </w:rPr>
              <w:t>Before oil slick</w:t>
            </w:r>
          </w:p>
        </w:tc>
      </w:tr>
      <w:tr w:rsidR="002818EF" w14:paraId="412F852B" w14:textId="77777777">
        <w:trPr>
          <w:trHeight w:val="547"/>
        </w:trPr>
        <w:tc>
          <w:tcPr>
            <w:tcW w:w="1631" w:type="dxa"/>
            <w:tcBorders>
              <w:top w:val="nil"/>
              <w:left w:val="nil"/>
              <w:bottom w:val="nil"/>
              <w:right w:val="nil"/>
            </w:tcBorders>
            <w:vAlign w:val="center"/>
          </w:tcPr>
          <w:p w14:paraId="605166C6"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Temperature (˚C)</w:t>
            </w:r>
          </w:p>
        </w:tc>
        <w:tc>
          <w:tcPr>
            <w:tcW w:w="1352" w:type="dxa"/>
            <w:tcBorders>
              <w:top w:val="nil"/>
              <w:left w:val="nil"/>
              <w:bottom w:val="nil"/>
              <w:right w:val="nil"/>
            </w:tcBorders>
            <w:vAlign w:val="center"/>
          </w:tcPr>
          <w:p w14:paraId="2DE0A18F"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33.4±0.55</w:t>
            </w:r>
          </w:p>
        </w:tc>
        <w:tc>
          <w:tcPr>
            <w:tcW w:w="1484" w:type="dxa"/>
            <w:tcBorders>
              <w:top w:val="nil"/>
              <w:left w:val="nil"/>
              <w:bottom w:val="nil"/>
              <w:right w:val="nil"/>
            </w:tcBorders>
            <w:vAlign w:val="center"/>
          </w:tcPr>
          <w:p w14:paraId="1DA2A672"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31.08±0.45</w:t>
            </w:r>
          </w:p>
        </w:tc>
        <w:tc>
          <w:tcPr>
            <w:tcW w:w="1484" w:type="dxa"/>
            <w:tcBorders>
              <w:top w:val="nil"/>
              <w:left w:val="nil"/>
              <w:bottom w:val="nil"/>
              <w:right w:val="nil"/>
            </w:tcBorders>
            <w:vAlign w:val="center"/>
          </w:tcPr>
          <w:p w14:paraId="03D81F70"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29.7±0.80</w:t>
            </w:r>
          </w:p>
        </w:tc>
        <w:tc>
          <w:tcPr>
            <w:tcW w:w="1484" w:type="dxa"/>
            <w:tcBorders>
              <w:top w:val="nil"/>
              <w:left w:val="nil"/>
              <w:bottom w:val="nil"/>
              <w:right w:val="nil"/>
            </w:tcBorders>
            <w:vAlign w:val="center"/>
          </w:tcPr>
          <w:p w14:paraId="153AABC2"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 xml:space="preserve">28.5±0.88 </w:t>
            </w:r>
          </w:p>
        </w:tc>
        <w:tc>
          <w:tcPr>
            <w:tcW w:w="1484" w:type="dxa"/>
            <w:tcBorders>
              <w:top w:val="nil"/>
              <w:left w:val="nil"/>
              <w:bottom w:val="nil"/>
              <w:right w:val="nil"/>
            </w:tcBorders>
            <w:vAlign w:val="center"/>
          </w:tcPr>
          <w:p w14:paraId="06DC016E"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27.7±0.52</w:t>
            </w:r>
          </w:p>
        </w:tc>
      </w:tr>
      <w:tr w:rsidR="002818EF" w14:paraId="19AF355A" w14:textId="77777777">
        <w:trPr>
          <w:trHeight w:val="547"/>
        </w:trPr>
        <w:tc>
          <w:tcPr>
            <w:tcW w:w="1631" w:type="dxa"/>
            <w:tcBorders>
              <w:top w:val="nil"/>
              <w:left w:val="nil"/>
              <w:bottom w:val="nil"/>
              <w:right w:val="nil"/>
            </w:tcBorders>
            <w:vAlign w:val="center"/>
          </w:tcPr>
          <w:p w14:paraId="5714A2E7"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pH</w:t>
            </w:r>
          </w:p>
        </w:tc>
        <w:tc>
          <w:tcPr>
            <w:tcW w:w="1352" w:type="dxa"/>
            <w:tcBorders>
              <w:top w:val="nil"/>
              <w:left w:val="nil"/>
              <w:bottom w:val="nil"/>
              <w:right w:val="nil"/>
            </w:tcBorders>
            <w:vAlign w:val="center"/>
          </w:tcPr>
          <w:p w14:paraId="4DBA616B"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8.2±0.26</w:t>
            </w:r>
          </w:p>
        </w:tc>
        <w:tc>
          <w:tcPr>
            <w:tcW w:w="1484" w:type="dxa"/>
            <w:tcBorders>
              <w:top w:val="nil"/>
              <w:left w:val="nil"/>
              <w:bottom w:val="nil"/>
              <w:right w:val="nil"/>
            </w:tcBorders>
            <w:vAlign w:val="center"/>
          </w:tcPr>
          <w:p w14:paraId="02381620"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8±0.26</w:t>
            </w:r>
          </w:p>
        </w:tc>
        <w:tc>
          <w:tcPr>
            <w:tcW w:w="1484" w:type="dxa"/>
            <w:tcBorders>
              <w:top w:val="nil"/>
              <w:left w:val="nil"/>
              <w:bottom w:val="nil"/>
              <w:right w:val="nil"/>
            </w:tcBorders>
            <w:vAlign w:val="center"/>
          </w:tcPr>
          <w:p w14:paraId="3CB56B58"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7.8±0.36</w:t>
            </w:r>
          </w:p>
        </w:tc>
        <w:tc>
          <w:tcPr>
            <w:tcW w:w="1484" w:type="dxa"/>
            <w:tcBorders>
              <w:top w:val="nil"/>
              <w:left w:val="nil"/>
              <w:bottom w:val="nil"/>
              <w:right w:val="nil"/>
            </w:tcBorders>
            <w:vAlign w:val="center"/>
          </w:tcPr>
          <w:p w14:paraId="16E3DEC6"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7.5±0.43</w:t>
            </w:r>
          </w:p>
        </w:tc>
        <w:tc>
          <w:tcPr>
            <w:tcW w:w="1484" w:type="dxa"/>
            <w:tcBorders>
              <w:top w:val="nil"/>
              <w:left w:val="nil"/>
              <w:bottom w:val="nil"/>
              <w:right w:val="nil"/>
            </w:tcBorders>
            <w:vAlign w:val="center"/>
          </w:tcPr>
          <w:p w14:paraId="3EE60734"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7.3±0.50</w:t>
            </w:r>
          </w:p>
        </w:tc>
      </w:tr>
      <w:tr w:rsidR="002818EF" w14:paraId="532175FA" w14:textId="77777777">
        <w:trPr>
          <w:trHeight w:val="560"/>
        </w:trPr>
        <w:tc>
          <w:tcPr>
            <w:tcW w:w="1631" w:type="dxa"/>
            <w:tcBorders>
              <w:top w:val="nil"/>
              <w:left w:val="nil"/>
              <w:bottom w:val="nil"/>
              <w:right w:val="nil"/>
            </w:tcBorders>
            <w:vAlign w:val="center"/>
          </w:tcPr>
          <w:p w14:paraId="719E80E7"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Salinity (ppt)</w:t>
            </w:r>
          </w:p>
        </w:tc>
        <w:tc>
          <w:tcPr>
            <w:tcW w:w="1352" w:type="dxa"/>
            <w:tcBorders>
              <w:top w:val="nil"/>
              <w:left w:val="nil"/>
              <w:bottom w:val="nil"/>
              <w:right w:val="nil"/>
            </w:tcBorders>
            <w:vAlign w:val="center"/>
          </w:tcPr>
          <w:p w14:paraId="68C41B7F"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31.6±0.85</w:t>
            </w:r>
          </w:p>
        </w:tc>
        <w:tc>
          <w:tcPr>
            <w:tcW w:w="1484" w:type="dxa"/>
            <w:tcBorders>
              <w:top w:val="nil"/>
              <w:left w:val="nil"/>
              <w:bottom w:val="nil"/>
              <w:right w:val="nil"/>
            </w:tcBorders>
            <w:vAlign w:val="center"/>
          </w:tcPr>
          <w:p w14:paraId="465FC176"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29.1±0.72</w:t>
            </w:r>
          </w:p>
        </w:tc>
        <w:tc>
          <w:tcPr>
            <w:tcW w:w="1484" w:type="dxa"/>
            <w:tcBorders>
              <w:top w:val="nil"/>
              <w:left w:val="nil"/>
              <w:bottom w:val="nil"/>
              <w:right w:val="nil"/>
            </w:tcBorders>
            <w:vAlign w:val="center"/>
          </w:tcPr>
          <w:p w14:paraId="628D9C0A"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27.01±0.70</w:t>
            </w:r>
          </w:p>
        </w:tc>
        <w:tc>
          <w:tcPr>
            <w:tcW w:w="1484" w:type="dxa"/>
            <w:tcBorders>
              <w:top w:val="nil"/>
              <w:left w:val="nil"/>
              <w:bottom w:val="nil"/>
              <w:right w:val="nil"/>
            </w:tcBorders>
            <w:vAlign w:val="center"/>
          </w:tcPr>
          <w:p w14:paraId="6DA8131B"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24.04±0.21</w:t>
            </w:r>
          </w:p>
        </w:tc>
        <w:tc>
          <w:tcPr>
            <w:tcW w:w="1484" w:type="dxa"/>
            <w:tcBorders>
              <w:top w:val="nil"/>
              <w:left w:val="nil"/>
              <w:bottom w:val="nil"/>
              <w:right w:val="nil"/>
            </w:tcBorders>
            <w:vAlign w:val="center"/>
          </w:tcPr>
          <w:p w14:paraId="63F1ED17"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22.12±0.63</w:t>
            </w:r>
          </w:p>
        </w:tc>
      </w:tr>
      <w:tr w:rsidR="002818EF" w14:paraId="429F3748" w14:textId="77777777">
        <w:trPr>
          <w:trHeight w:val="311"/>
        </w:trPr>
        <w:tc>
          <w:tcPr>
            <w:tcW w:w="1631" w:type="dxa"/>
            <w:tcBorders>
              <w:top w:val="nil"/>
              <w:left w:val="nil"/>
              <w:bottom w:val="single" w:sz="8" w:space="0" w:color="auto"/>
              <w:right w:val="nil"/>
            </w:tcBorders>
            <w:vAlign w:val="center"/>
          </w:tcPr>
          <w:p w14:paraId="45B7E3DE"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DO (mg/l)</w:t>
            </w:r>
          </w:p>
        </w:tc>
        <w:tc>
          <w:tcPr>
            <w:tcW w:w="1352" w:type="dxa"/>
            <w:tcBorders>
              <w:top w:val="nil"/>
              <w:left w:val="nil"/>
              <w:bottom w:val="single" w:sz="8" w:space="0" w:color="auto"/>
              <w:right w:val="nil"/>
            </w:tcBorders>
            <w:vAlign w:val="center"/>
          </w:tcPr>
          <w:p w14:paraId="3AAD92A4"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4.7±0.81</w:t>
            </w:r>
          </w:p>
        </w:tc>
        <w:tc>
          <w:tcPr>
            <w:tcW w:w="1484" w:type="dxa"/>
            <w:tcBorders>
              <w:top w:val="nil"/>
              <w:left w:val="nil"/>
              <w:bottom w:val="single" w:sz="8" w:space="0" w:color="auto"/>
              <w:right w:val="nil"/>
            </w:tcBorders>
            <w:vAlign w:val="center"/>
          </w:tcPr>
          <w:p w14:paraId="2FDF72FF"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3.89±0.08</w:t>
            </w:r>
          </w:p>
        </w:tc>
        <w:tc>
          <w:tcPr>
            <w:tcW w:w="1484" w:type="dxa"/>
            <w:tcBorders>
              <w:top w:val="nil"/>
              <w:left w:val="nil"/>
              <w:bottom w:val="single" w:sz="8" w:space="0" w:color="auto"/>
              <w:right w:val="nil"/>
            </w:tcBorders>
            <w:vAlign w:val="center"/>
          </w:tcPr>
          <w:p w14:paraId="2A4B7D2D"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3.24±0.13</w:t>
            </w:r>
          </w:p>
        </w:tc>
        <w:tc>
          <w:tcPr>
            <w:tcW w:w="1484" w:type="dxa"/>
            <w:tcBorders>
              <w:top w:val="nil"/>
              <w:left w:val="nil"/>
              <w:bottom w:val="single" w:sz="8" w:space="0" w:color="auto"/>
              <w:right w:val="nil"/>
            </w:tcBorders>
            <w:vAlign w:val="center"/>
          </w:tcPr>
          <w:p w14:paraId="2D0DE757"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2.41±0.31</w:t>
            </w:r>
          </w:p>
        </w:tc>
        <w:tc>
          <w:tcPr>
            <w:tcW w:w="1484" w:type="dxa"/>
            <w:tcBorders>
              <w:top w:val="nil"/>
              <w:left w:val="nil"/>
              <w:bottom w:val="single" w:sz="8" w:space="0" w:color="auto"/>
              <w:right w:val="nil"/>
            </w:tcBorders>
            <w:vAlign w:val="center"/>
          </w:tcPr>
          <w:p w14:paraId="0970ACBB"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0.8±0.26</w:t>
            </w:r>
          </w:p>
        </w:tc>
      </w:tr>
      <w:tr w:rsidR="002818EF" w14:paraId="5A7B5895" w14:textId="77777777">
        <w:trPr>
          <w:trHeight w:val="560"/>
        </w:trPr>
        <w:tc>
          <w:tcPr>
            <w:tcW w:w="8921" w:type="dxa"/>
            <w:gridSpan w:val="6"/>
            <w:tcBorders>
              <w:top w:val="single" w:sz="8" w:space="0" w:color="auto"/>
              <w:left w:val="nil"/>
              <w:bottom w:val="single" w:sz="8" w:space="0" w:color="auto"/>
              <w:right w:val="nil"/>
            </w:tcBorders>
            <w:vAlign w:val="center"/>
          </w:tcPr>
          <w:p w14:paraId="7118AB95" w14:textId="77777777" w:rsidR="002818EF" w:rsidRDefault="00000000">
            <w:pPr>
              <w:spacing w:line="240" w:lineRule="auto"/>
              <w:ind w:left="0"/>
              <w:jc w:val="center"/>
              <w:rPr>
                <w:rFonts w:ascii="Times New Roman" w:eastAsia="Times New Roman" w:hAnsi="Times New Roman"/>
                <w:color w:val="000000"/>
                <w:kern w:val="0"/>
                <w:sz w:val="20"/>
                <w:szCs w:val="20"/>
                <w:lang w:eastAsia="en-IN"/>
              </w:rPr>
            </w:pPr>
            <w:r>
              <w:rPr>
                <w:rFonts w:ascii="Times New Roman" w:eastAsia="Times New Roman" w:hAnsi="Times New Roman"/>
                <w:b/>
                <w:bCs/>
                <w:color w:val="000000"/>
                <w:kern w:val="0"/>
                <w:sz w:val="20"/>
                <w:szCs w:val="20"/>
                <w:lang w:val="en-US" w:eastAsia="en-IN"/>
              </w:rPr>
              <w:t>After oil slick</w:t>
            </w:r>
          </w:p>
        </w:tc>
      </w:tr>
      <w:tr w:rsidR="002818EF" w14:paraId="72C18957" w14:textId="77777777">
        <w:trPr>
          <w:trHeight w:val="547"/>
        </w:trPr>
        <w:tc>
          <w:tcPr>
            <w:tcW w:w="1631" w:type="dxa"/>
            <w:tcBorders>
              <w:top w:val="nil"/>
              <w:left w:val="nil"/>
              <w:bottom w:val="nil"/>
              <w:right w:val="nil"/>
            </w:tcBorders>
            <w:vAlign w:val="center"/>
          </w:tcPr>
          <w:p w14:paraId="490223DF"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Temperature (˚C)</w:t>
            </w:r>
          </w:p>
        </w:tc>
        <w:tc>
          <w:tcPr>
            <w:tcW w:w="1352" w:type="dxa"/>
            <w:tcBorders>
              <w:top w:val="nil"/>
              <w:left w:val="nil"/>
              <w:bottom w:val="nil"/>
              <w:right w:val="nil"/>
            </w:tcBorders>
            <w:vAlign w:val="center"/>
          </w:tcPr>
          <w:p w14:paraId="7226F062"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32.8±0.70</w:t>
            </w:r>
          </w:p>
        </w:tc>
        <w:tc>
          <w:tcPr>
            <w:tcW w:w="1484" w:type="dxa"/>
            <w:tcBorders>
              <w:top w:val="nil"/>
              <w:left w:val="nil"/>
              <w:bottom w:val="nil"/>
              <w:right w:val="nil"/>
            </w:tcBorders>
            <w:vAlign w:val="center"/>
          </w:tcPr>
          <w:p w14:paraId="5AE0DFA7"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29.6±0.10</w:t>
            </w:r>
          </w:p>
        </w:tc>
        <w:tc>
          <w:tcPr>
            <w:tcW w:w="1484" w:type="dxa"/>
            <w:tcBorders>
              <w:top w:val="nil"/>
              <w:left w:val="nil"/>
              <w:bottom w:val="nil"/>
              <w:right w:val="nil"/>
            </w:tcBorders>
            <w:vAlign w:val="center"/>
          </w:tcPr>
          <w:p w14:paraId="7FF0F3D6"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27.9±0.70</w:t>
            </w:r>
          </w:p>
        </w:tc>
        <w:tc>
          <w:tcPr>
            <w:tcW w:w="1484" w:type="dxa"/>
            <w:tcBorders>
              <w:top w:val="nil"/>
              <w:left w:val="nil"/>
              <w:bottom w:val="nil"/>
              <w:right w:val="nil"/>
            </w:tcBorders>
            <w:vAlign w:val="center"/>
          </w:tcPr>
          <w:p w14:paraId="59C767B4"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26.4±0.70</w:t>
            </w:r>
          </w:p>
        </w:tc>
        <w:tc>
          <w:tcPr>
            <w:tcW w:w="1484" w:type="dxa"/>
            <w:tcBorders>
              <w:top w:val="nil"/>
              <w:left w:val="nil"/>
              <w:bottom w:val="nil"/>
              <w:right w:val="nil"/>
            </w:tcBorders>
            <w:vAlign w:val="center"/>
          </w:tcPr>
          <w:p w14:paraId="51E2541C"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25.08±0.65</w:t>
            </w:r>
          </w:p>
        </w:tc>
      </w:tr>
      <w:tr w:rsidR="002818EF" w14:paraId="6A260BD5" w14:textId="77777777">
        <w:trPr>
          <w:trHeight w:val="547"/>
        </w:trPr>
        <w:tc>
          <w:tcPr>
            <w:tcW w:w="1631" w:type="dxa"/>
            <w:tcBorders>
              <w:top w:val="nil"/>
              <w:left w:val="nil"/>
              <w:bottom w:val="nil"/>
              <w:right w:val="nil"/>
            </w:tcBorders>
            <w:vAlign w:val="center"/>
          </w:tcPr>
          <w:p w14:paraId="05BEC047"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pH</w:t>
            </w:r>
          </w:p>
        </w:tc>
        <w:tc>
          <w:tcPr>
            <w:tcW w:w="1352" w:type="dxa"/>
            <w:tcBorders>
              <w:top w:val="nil"/>
              <w:left w:val="nil"/>
              <w:bottom w:val="nil"/>
              <w:right w:val="nil"/>
            </w:tcBorders>
            <w:vAlign w:val="center"/>
          </w:tcPr>
          <w:p w14:paraId="01E3060A"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8±0.52</w:t>
            </w:r>
          </w:p>
        </w:tc>
        <w:tc>
          <w:tcPr>
            <w:tcW w:w="1484" w:type="dxa"/>
            <w:tcBorders>
              <w:top w:val="nil"/>
              <w:left w:val="nil"/>
              <w:bottom w:val="nil"/>
              <w:right w:val="nil"/>
            </w:tcBorders>
            <w:vAlign w:val="center"/>
          </w:tcPr>
          <w:p w14:paraId="7D6B617B"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7.7±0.36</w:t>
            </w:r>
          </w:p>
        </w:tc>
        <w:tc>
          <w:tcPr>
            <w:tcW w:w="1484" w:type="dxa"/>
            <w:tcBorders>
              <w:top w:val="nil"/>
              <w:left w:val="nil"/>
              <w:bottom w:val="nil"/>
              <w:right w:val="nil"/>
            </w:tcBorders>
            <w:vAlign w:val="center"/>
          </w:tcPr>
          <w:p w14:paraId="1B87A034"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7.5±0.52</w:t>
            </w:r>
          </w:p>
        </w:tc>
        <w:tc>
          <w:tcPr>
            <w:tcW w:w="1484" w:type="dxa"/>
            <w:tcBorders>
              <w:top w:val="nil"/>
              <w:left w:val="nil"/>
              <w:bottom w:val="nil"/>
              <w:right w:val="nil"/>
            </w:tcBorders>
            <w:vAlign w:val="center"/>
          </w:tcPr>
          <w:p w14:paraId="3D19A051"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7.2±0.43</w:t>
            </w:r>
          </w:p>
        </w:tc>
        <w:tc>
          <w:tcPr>
            <w:tcW w:w="1484" w:type="dxa"/>
            <w:tcBorders>
              <w:top w:val="nil"/>
              <w:left w:val="nil"/>
              <w:bottom w:val="nil"/>
              <w:right w:val="nil"/>
            </w:tcBorders>
            <w:vAlign w:val="center"/>
          </w:tcPr>
          <w:p w14:paraId="1B280A76"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7.1±0.60</w:t>
            </w:r>
          </w:p>
        </w:tc>
      </w:tr>
      <w:tr w:rsidR="002818EF" w14:paraId="60853CEF" w14:textId="77777777">
        <w:trPr>
          <w:trHeight w:val="560"/>
        </w:trPr>
        <w:tc>
          <w:tcPr>
            <w:tcW w:w="1631" w:type="dxa"/>
            <w:tcBorders>
              <w:top w:val="nil"/>
              <w:left w:val="nil"/>
              <w:bottom w:val="nil"/>
              <w:right w:val="nil"/>
            </w:tcBorders>
            <w:vAlign w:val="center"/>
          </w:tcPr>
          <w:p w14:paraId="50A0E8B5"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Salinity (ppt)</w:t>
            </w:r>
          </w:p>
        </w:tc>
        <w:tc>
          <w:tcPr>
            <w:tcW w:w="1352" w:type="dxa"/>
            <w:tcBorders>
              <w:top w:val="nil"/>
              <w:left w:val="nil"/>
              <w:bottom w:val="nil"/>
              <w:right w:val="nil"/>
            </w:tcBorders>
            <w:vAlign w:val="center"/>
          </w:tcPr>
          <w:p w14:paraId="480C4B09"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25.9±0.77</w:t>
            </w:r>
          </w:p>
        </w:tc>
        <w:tc>
          <w:tcPr>
            <w:tcW w:w="1484" w:type="dxa"/>
            <w:tcBorders>
              <w:top w:val="nil"/>
              <w:left w:val="nil"/>
              <w:bottom w:val="nil"/>
              <w:right w:val="nil"/>
            </w:tcBorders>
            <w:vAlign w:val="center"/>
          </w:tcPr>
          <w:p w14:paraId="1AA76599"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25.7±1.02</w:t>
            </w:r>
          </w:p>
        </w:tc>
        <w:tc>
          <w:tcPr>
            <w:tcW w:w="1484" w:type="dxa"/>
            <w:tcBorders>
              <w:top w:val="nil"/>
              <w:left w:val="nil"/>
              <w:bottom w:val="nil"/>
              <w:right w:val="nil"/>
            </w:tcBorders>
            <w:vAlign w:val="center"/>
          </w:tcPr>
          <w:p w14:paraId="22F16371"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22.4±1.21</w:t>
            </w:r>
          </w:p>
        </w:tc>
        <w:tc>
          <w:tcPr>
            <w:tcW w:w="1484" w:type="dxa"/>
            <w:tcBorders>
              <w:top w:val="nil"/>
              <w:left w:val="nil"/>
              <w:bottom w:val="nil"/>
              <w:right w:val="nil"/>
            </w:tcBorders>
            <w:vAlign w:val="center"/>
          </w:tcPr>
          <w:p w14:paraId="2180BD1F"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20.6±0.45</w:t>
            </w:r>
          </w:p>
        </w:tc>
        <w:tc>
          <w:tcPr>
            <w:tcW w:w="1484" w:type="dxa"/>
            <w:tcBorders>
              <w:top w:val="nil"/>
              <w:left w:val="nil"/>
              <w:bottom w:val="nil"/>
              <w:right w:val="nil"/>
            </w:tcBorders>
            <w:vAlign w:val="center"/>
          </w:tcPr>
          <w:p w14:paraId="62E40449"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18.1±0.91</w:t>
            </w:r>
          </w:p>
        </w:tc>
      </w:tr>
      <w:tr w:rsidR="002818EF" w14:paraId="48348827" w14:textId="77777777">
        <w:trPr>
          <w:trHeight w:val="311"/>
        </w:trPr>
        <w:tc>
          <w:tcPr>
            <w:tcW w:w="1631" w:type="dxa"/>
            <w:tcBorders>
              <w:top w:val="nil"/>
              <w:left w:val="nil"/>
              <w:bottom w:val="single" w:sz="8" w:space="0" w:color="auto"/>
              <w:right w:val="nil"/>
            </w:tcBorders>
            <w:vAlign w:val="center"/>
          </w:tcPr>
          <w:p w14:paraId="727F838C"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DO (mg/l)</w:t>
            </w:r>
          </w:p>
        </w:tc>
        <w:tc>
          <w:tcPr>
            <w:tcW w:w="1352" w:type="dxa"/>
            <w:tcBorders>
              <w:top w:val="nil"/>
              <w:left w:val="nil"/>
              <w:bottom w:val="single" w:sz="8" w:space="0" w:color="auto"/>
              <w:right w:val="nil"/>
            </w:tcBorders>
            <w:vAlign w:val="center"/>
          </w:tcPr>
          <w:p w14:paraId="20E69330"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3.97±0.56</w:t>
            </w:r>
          </w:p>
        </w:tc>
        <w:tc>
          <w:tcPr>
            <w:tcW w:w="1484" w:type="dxa"/>
            <w:tcBorders>
              <w:top w:val="nil"/>
              <w:left w:val="nil"/>
              <w:bottom w:val="single" w:sz="8" w:space="0" w:color="auto"/>
              <w:right w:val="nil"/>
            </w:tcBorders>
            <w:vAlign w:val="center"/>
          </w:tcPr>
          <w:p w14:paraId="48A95FB2"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3.42±0.56</w:t>
            </w:r>
          </w:p>
        </w:tc>
        <w:tc>
          <w:tcPr>
            <w:tcW w:w="1484" w:type="dxa"/>
            <w:tcBorders>
              <w:top w:val="nil"/>
              <w:left w:val="nil"/>
              <w:bottom w:val="single" w:sz="8" w:space="0" w:color="auto"/>
              <w:right w:val="nil"/>
            </w:tcBorders>
            <w:vAlign w:val="center"/>
          </w:tcPr>
          <w:p w14:paraId="24C8FF8A"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3.1±0.55</w:t>
            </w:r>
          </w:p>
        </w:tc>
        <w:tc>
          <w:tcPr>
            <w:tcW w:w="1484" w:type="dxa"/>
            <w:tcBorders>
              <w:top w:val="nil"/>
              <w:left w:val="nil"/>
              <w:bottom w:val="single" w:sz="8" w:space="0" w:color="auto"/>
              <w:right w:val="nil"/>
            </w:tcBorders>
            <w:vAlign w:val="center"/>
          </w:tcPr>
          <w:p w14:paraId="4E001CBC"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2.49±0.36</w:t>
            </w:r>
          </w:p>
        </w:tc>
        <w:tc>
          <w:tcPr>
            <w:tcW w:w="1484" w:type="dxa"/>
            <w:tcBorders>
              <w:top w:val="nil"/>
              <w:left w:val="nil"/>
              <w:bottom w:val="single" w:sz="8" w:space="0" w:color="auto"/>
              <w:right w:val="nil"/>
            </w:tcBorders>
            <w:vAlign w:val="center"/>
          </w:tcPr>
          <w:p w14:paraId="755B3CB3" w14:textId="77777777" w:rsidR="002818EF" w:rsidRDefault="00000000">
            <w:pPr>
              <w:spacing w:line="240" w:lineRule="auto"/>
              <w:ind w:left="0"/>
              <w:jc w:val="left"/>
              <w:rPr>
                <w:rFonts w:ascii="Times New Roman" w:eastAsia="Times New Roman" w:hAnsi="Times New Roman"/>
                <w:color w:val="000000"/>
                <w:kern w:val="0"/>
                <w:sz w:val="20"/>
                <w:szCs w:val="20"/>
                <w:lang w:eastAsia="en-IN"/>
              </w:rPr>
            </w:pPr>
            <w:r>
              <w:rPr>
                <w:rFonts w:ascii="Times New Roman" w:eastAsia="Times New Roman" w:hAnsi="Times New Roman"/>
                <w:color w:val="000000"/>
                <w:kern w:val="0"/>
                <w:sz w:val="20"/>
                <w:szCs w:val="20"/>
                <w:lang w:val="en-US" w:eastAsia="en-IN"/>
              </w:rPr>
              <w:t>0.71±0.12</w:t>
            </w:r>
          </w:p>
        </w:tc>
      </w:tr>
    </w:tbl>
    <w:p w14:paraId="22581404" w14:textId="77777777" w:rsidR="002818EF" w:rsidRDefault="002818EF"/>
    <w:p w14:paraId="28049ABF" w14:textId="77777777" w:rsidR="002818EF" w:rsidRDefault="00000000">
      <w:pPr>
        <w:rPr>
          <w:rFonts w:ascii="Times New Roman" w:hAnsi="Times New Roman"/>
          <w:b/>
          <w:bCs/>
          <w:sz w:val="24"/>
          <w:szCs w:val="24"/>
        </w:rPr>
      </w:pPr>
      <w:r>
        <w:rPr>
          <w:rFonts w:ascii="Times New Roman" w:hAnsi="Times New Roman"/>
          <w:b/>
          <w:bCs/>
          <w:sz w:val="24"/>
          <w:szCs w:val="24"/>
        </w:rPr>
        <w:t xml:space="preserve">3.2 </w:t>
      </w:r>
      <w:proofErr w:type="gramStart"/>
      <w:r>
        <w:rPr>
          <w:rFonts w:ascii="Times New Roman" w:hAnsi="Times New Roman"/>
          <w:b/>
          <w:bCs/>
          <w:sz w:val="24"/>
          <w:szCs w:val="24"/>
        </w:rPr>
        <w:t>Multi-matrix</w:t>
      </w:r>
      <w:proofErr w:type="gramEnd"/>
      <w:r>
        <w:rPr>
          <w:rFonts w:ascii="Times New Roman" w:hAnsi="Times New Roman"/>
          <w:b/>
          <w:bCs/>
          <w:sz w:val="24"/>
          <w:szCs w:val="24"/>
        </w:rPr>
        <w:t xml:space="preserve"> metal assessment</w:t>
      </w:r>
    </w:p>
    <w:p w14:paraId="53B15B31" w14:textId="77777777" w:rsidR="002818EF" w:rsidRDefault="00000000">
      <w:pPr>
        <w:rPr>
          <w:rFonts w:ascii="Times New Roman" w:hAnsi="Times New Roman"/>
          <w:sz w:val="24"/>
          <w:szCs w:val="24"/>
        </w:rPr>
      </w:pPr>
      <w:r>
        <w:rPr>
          <w:rFonts w:ascii="Times New Roman" w:hAnsi="Times New Roman"/>
          <w:sz w:val="24"/>
          <w:szCs w:val="24"/>
          <w:lang w:val="en-US"/>
        </w:rPr>
        <w:t xml:space="preserve">Many studies on heavy metals in the aquatic environment have been conducted by researchers worldwide. </w:t>
      </w:r>
      <w:r>
        <w:rPr>
          <w:rFonts w:ascii="Times New Roman" w:eastAsia="Times New Roman" w:hAnsi="Times New Roman"/>
          <w:sz w:val="24"/>
          <w:szCs w:val="24"/>
        </w:rPr>
        <w:t>The predominant Cd, Cr, Pb and Hg trace metals in the water bodies prominently enter into the living organisms present within the aquatic environment, in turn causing bioaccumulation of trace elements in the food chain (</w:t>
      </w:r>
      <w:proofErr w:type="spellStart"/>
      <w:r>
        <w:rPr>
          <w:rFonts w:ascii="Times New Roman" w:eastAsia="Times New Roman" w:hAnsi="Times New Roman"/>
          <w:sz w:val="24"/>
          <w:szCs w:val="24"/>
        </w:rPr>
        <w:t>Loska</w:t>
      </w:r>
      <w:proofErr w:type="spellEnd"/>
      <w:r>
        <w:rPr>
          <w:rFonts w:ascii="Times New Roman" w:eastAsia="Times New Roman" w:hAnsi="Times New Roman"/>
          <w:sz w:val="24"/>
          <w:szCs w:val="24"/>
        </w:rPr>
        <w:t xml:space="preserve"> &amp; </w:t>
      </w:r>
      <w:proofErr w:type="spellStart"/>
      <w:r>
        <w:rPr>
          <w:rFonts w:ascii="Times New Roman" w:eastAsia="Times New Roman" w:hAnsi="Times New Roman"/>
          <w:sz w:val="24"/>
          <w:szCs w:val="24"/>
        </w:rPr>
        <w:t>Wiechuła</w:t>
      </w:r>
      <w:proofErr w:type="spellEnd"/>
      <w:r>
        <w:rPr>
          <w:rFonts w:ascii="Times New Roman" w:eastAsia="Times New Roman" w:hAnsi="Times New Roman"/>
          <w:sz w:val="24"/>
          <w:szCs w:val="24"/>
        </w:rPr>
        <w:t>, 2003;</w:t>
      </w:r>
      <w:r>
        <w:rPr>
          <w:rFonts w:ascii="Times New Roman" w:eastAsia="Times New Roman" w:hAnsi="Times New Roman"/>
        </w:rPr>
        <w:t xml:space="preserve"> </w:t>
      </w:r>
      <w:proofErr w:type="spellStart"/>
      <w:r>
        <w:rPr>
          <w:rFonts w:ascii="Times New Roman" w:eastAsia="Times New Roman" w:hAnsi="Times New Roman"/>
          <w:sz w:val="24"/>
          <w:szCs w:val="24"/>
        </w:rPr>
        <w:t>Ekperusi</w:t>
      </w:r>
      <w:proofErr w:type="spellEnd"/>
      <w:r>
        <w:rPr>
          <w:rFonts w:ascii="Times New Roman" w:eastAsia="Times New Roman" w:hAnsi="Times New Roman"/>
          <w:sz w:val="24"/>
          <w:szCs w:val="24"/>
        </w:rPr>
        <w:t xml:space="preserve"> </w:t>
      </w:r>
      <w:r>
        <w:rPr>
          <w:rFonts w:ascii="Times New Roman" w:eastAsia="Times New Roman" w:hAnsi="Times New Roman"/>
          <w:i/>
          <w:iCs/>
          <w:sz w:val="24"/>
          <w:szCs w:val="24"/>
        </w:rPr>
        <w:t>et al</w:t>
      </w:r>
      <w:r>
        <w:rPr>
          <w:rFonts w:ascii="Times New Roman" w:eastAsia="Times New Roman" w:hAnsi="Times New Roman"/>
          <w:sz w:val="24"/>
          <w:szCs w:val="24"/>
        </w:rPr>
        <w:t>., 2024</w:t>
      </w:r>
      <w:r>
        <w:rPr>
          <w:rFonts w:ascii="Times New Roman" w:eastAsia="Times New Roman" w:hAnsi="Times New Roman"/>
        </w:rPr>
        <w:t xml:space="preserve">). </w:t>
      </w:r>
      <w:r>
        <w:rPr>
          <w:rFonts w:ascii="Times New Roman" w:hAnsi="Times New Roman"/>
          <w:sz w:val="24"/>
          <w:szCs w:val="24"/>
        </w:rPr>
        <w:t>The overall mean values of heavy metals in the water in 5 different regions have been evaluated. The Cd (0.02±0.01</w:t>
      </w:r>
      <w:r>
        <w:rPr>
          <w:rFonts w:ascii="Times New Roman" w:eastAsia="Times New Roman" w:hAnsi="Times New Roman"/>
          <w:color w:val="000000"/>
          <w:sz w:val="24"/>
          <w:szCs w:val="24"/>
        </w:rPr>
        <w:t xml:space="preserve"> </w:t>
      </w:r>
      <w:r>
        <w:rPr>
          <w:rFonts w:ascii="Times New Roman" w:hAnsi="Times New Roman"/>
          <w:sz w:val="24"/>
          <w:szCs w:val="24"/>
        </w:rPr>
        <w:t xml:space="preserve">to 0.21±0.02 </w:t>
      </w:r>
      <w:proofErr w:type="spellStart"/>
      <w:r>
        <w:rPr>
          <w:rFonts w:ascii="Times New Roman" w:eastAsia="Times New Roman" w:hAnsi="Times New Roman"/>
          <w:color w:val="000000"/>
          <w:sz w:val="24"/>
          <w:szCs w:val="24"/>
        </w:rPr>
        <w:t>μg</w:t>
      </w:r>
      <w:proofErr w:type="spellEnd"/>
      <w:r>
        <w:rPr>
          <w:rFonts w:ascii="Times New Roman" w:eastAsia="Times New Roman" w:hAnsi="Times New Roman"/>
          <w:color w:val="000000"/>
          <w:sz w:val="24"/>
          <w:szCs w:val="24"/>
        </w:rPr>
        <w:t>/L)</w:t>
      </w:r>
      <w:r>
        <w:rPr>
          <w:rFonts w:ascii="Times New Roman" w:hAnsi="Times New Roman"/>
          <w:sz w:val="24"/>
          <w:szCs w:val="24"/>
        </w:rPr>
        <w:t xml:space="preserve">, Cr (0.15±0.02 to 2.30±0.26 </w:t>
      </w:r>
      <w:proofErr w:type="spellStart"/>
      <w:r>
        <w:rPr>
          <w:rFonts w:ascii="Times New Roman" w:hAnsi="Times New Roman"/>
          <w:sz w:val="24"/>
          <w:szCs w:val="24"/>
        </w:rPr>
        <w:t>μg</w:t>
      </w:r>
      <w:proofErr w:type="spellEnd"/>
      <w:r>
        <w:rPr>
          <w:rFonts w:ascii="Times New Roman" w:hAnsi="Times New Roman"/>
          <w:sz w:val="24"/>
          <w:szCs w:val="24"/>
        </w:rPr>
        <w:t xml:space="preserve">/L) and Hg (0.01±0 to 0.12±0.04 </w:t>
      </w:r>
      <w:proofErr w:type="spellStart"/>
      <w:r>
        <w:rPr>
          <w:rFonts w:ascii="Times New Roman" w:eastAsia="Times New Roman" w:hAnsi="Times New Roman"/>
          <w:color w:val="000000"/>
          <w:sz w:val="24"/>
          <w:szCs w:val="24"/>
        </w:rPr>
        <w:t>μg</w:t>
      </w:r>
      <w:proofErr w:type="spellEnd"/>
      <w:r>
        <w:rPr>
          <w:rFonts w:ascii="Times New Roman" w:eastAsia="Times New Roman" w:hAnsi="Times New Roman"/>
          <w:color w:val="000000"/>
          <w:sz w:val="24"/>
          <w:szCs w:val="24"/>
        </w:rPr>
        <w:t>/L</w:t>
      </w:r>
      <w:r>
        <w:rPr>
          <w:rFonts w:ascii="Times New Roman" w:hAnsi="Times New Roman"/>
          <w:sz w:val="24"/>
          <w:szCs w:val="24"/>
        </w:rPr>
        <w:t xml:space="preserve">) in the water samples from all the stations were below the permissible limit. But after the spill, the level eventually increased and was above the permissible level; among all the stations, the highest value of Cd, 2.89±0.31 </w:t>
      </w:r>
      <w:proofErr w:type="spellStart"/>
      <w:r>
        <w:rPr>
          <w:rFonts w:ascii="Times New Roman" w:eastAsia="Times New Roman" w:hAnsi="Times New Roman"/>
          <w:color w:val="000000"/>
          <w:sz w:val="24"/>
          <w:szCs w:val="24"/>
        </w:rPr>
        <w:t>μg</w:t>
      </w:r>
      <w:proofErr w:type="spellEnd"/>
      <w:r>
        <w:rPr>
          <w:rFonts w:ascii="Times New Roman" w:eastAsia="Times New Roman" w:hAnsi="Times New Roman"/>
          <w:color w:val="000000"/>
          <w:sz w:val="24"/>
          <w:szCs w:val="24"/>
        </w:rPr>
        <w:t xml:space="preserve">/L, </w:t>
      </w:r>
      <w:r>
        <w:rPr>
          <w:rFonts w:ascii="Times New Roman" w:hAnsi="Times New Roman"/>
          <w:sz w:val="24"/>
          <w:szCs w:val="24"/>
        </w:rPr>
        <w:t xml:space="preserve">was recorded at station 4. For Cr, the highest value was at station 1, which was 100±4 </w:t>
      </w:r>
      <w:proofErr w:type="spellStart"/>
      <w:r>
        <w:rPr>
          <w:rFonts w:ascii="Times New Roman" w:eastAsia="Times New Roman" w:hAnsi="Times New Roman"/>
          <w:color w:val="000000"/>
          <w:sz w:val="24"/>
          <w:szCs w:val="24"/>
        </w:rPr>
        <w:t>μg</w:t>
      </w:r>
      <w:proofErr w:type="spellEnd"/>
      <w:r>
        <w:rPr>
          <w:rFonts w:ascii="Times New Roman" w:eastAsia="Times New Roman" w:hAnsi="Times New Roman"/>
          <w:color w:val="000000"/>
          <w:sz w:val="24"/>
          <w:szCs w:val="24"/>
        </w:rPr>
        <w:t xml:space="preserve">/L and for Hg it was at station 3 with 1.13±0.11 </w:t>
      </w:r>
      <w:proofErr w:type="spellStart"/>
      <w:r>
        <w:rPr>
          <w:rFonts w:ascii="Times New Roman" w:eastAsia="Times New Roman" w:hAnsi="Times New Roman"/>
          <w:color w:val="000000"/>
          <w:sz w:val="24"/>
          <w:szCs w:val="24"/>
        </w:rPr>
        <w:t>μg</w:t>
      </w:r>
      <w:proofErr w:type="spellEnd"/>
      <w:r>
        <w:rPr>
          <w:rFonts w:ascii="Times New Roman" w:eastAsia="Times New Roman" w:hAnsi="Times New Roman"/>
          <w:color w:val="000000"/>
          <w:sz w:val="24"/>
          <w:szCs w:val="24"/>
        </w:rPr>
        <w:t xml:space="preserve">/L, as represented in Table 2.  </w:t>
      </w:r>
      <w:r>
        <w:rPr>
          <w:rFonts w:ascii="Times New Roman" w:hAnsi="Times New Roman"/>
          <w:sz w:val="24"/>
          <w:szCs w:val="24"/>
        </w:rPr>
        <w:t xml:space="preserve">Crude oil released into the water bodies contains heavy metals; this eventually gets spread, leading to an elevation in metal concentration (Sharma </w:t>
      </w:r>
      <w:r>
        <w:rPr>
          <w:rFonts w:ascii="Times New Roman" w:hAnsi="Times New Roman"/>
          <w:i/>
          <w:iCs/>
          <w:sz w:val="24"/>
          <w:szCs w:val="24"/>
        </w:rPr>
        <w:t>et al</w:t>
      </w:r>
      <w:r>
        <w:rPr>
          <w:rFonts w:ascii="Times New Roman" w:hAnsi="Times New Roman"/>
          <w:sz w:val="24"/>
          <w:szCs w:val="24"/>
        </w:rPr>
        <w:t>., 2024).</w:t>
      </w:r>
      <w:r>
        <w:rPr>
          <w:rFonts w:ascii="Times New Roman" w:eastAsia="Times New Roman" w:hAnsi="Times New Roman"/>
          <w:color w:val="000000"/>
          <w:sz w:val="24"/>
          <w:szCs w:val="24"/>
        </w:rPr>
        <w:t xml:space="preserve"> On the other hand, Pb before (51.49±2.03 </w:t>
      </w:r>
      <w:proofErr w:type="spellStart"/>
      <w:r>
        <w:rPr>
          <w:rFonts w:ascii="Times New Roman" w:eastAsia="Times New Roman" w:hAnsi="Times New Roman"/>
          <w:color w:val="000000"/>
          <w:sz w:val="24"/>
          <w:szCs w:val="24"/>
        </w:rPr>
        <w:t>μg</w:t>
      </w:r>
      <w:proofErr w:type="spellEnd"/>
      <w:r>
        <w:rPr>
          <w:rFonts w:ascii="Times New Roman" w:eastAsia="Times New Roman" w:hAnsi="Times New Roman"/>
          <w:color w:val="000000"/>
          <w:sz w:val="24"/>
          <w:szCs w:val="24"/>
        </w:rPr>
        <w:t>/L</w:t>
      </w:r>
      <w:r>
        <w:rPr>
          <w:rFonts w:ascii="Times New Roman" w:hAnsi="Times New Roman"/>
          <w:sz w:val="24"/>
          <w:szCs w:val="24"/>
        </w:rPr>
        <w:t xml:space="preserve">) </w:t>
      </w:r>
      <w:r>
        <w:rPr>
          <w:rFonts w:ascii="Times New Roman" w:eastAsia="Times New Roman" w:hAnsi="Times New Roman"/>
          <w:color w:val="000000"/>
          <w:sz w:val="24"/>
          <w:szCs w:val="24"/>
        </w:rPr>
        <w:t xml:space="preserve">and after (320.31±10.49 </w:t>
      </w:r>
      <w:proofErr w:type="spellStart"/>
      <w:r>
        <w:rPr>
          <w:rFonts w:ascii="Times New Roman" w:eastAsia="Times New Roman" w:hAnsi="Times New Roman"/>
          <w:color w:val="000000"/>
          <w:sz w:val="24"/>
          <w:szCs w:val="24"/>
        </w:rPr>
        <w:t>μg</w:t>
      </w:r>
      <w:proofErr w:type="spellEnd"/>
      <w:r>
        <w:rPr>
          <w:rFonts w:ascii="Times New Roman" w:eastAsia="Times New Roman" w:hAnsi="Times New Roman"/>
          <w:color w:val="000000"/>
          <w:sz w:val="24"/>
          <w:szCs w:val="24"/>
        </w:rPr>
        <w:t>/L</w:t>
      </w:r>
      <w:r>
        <w:rPr>
          <w:rFonts w:ascii="Times New Roman" w:hAnsi="Times New Roman"/>
          <w:sz w:val="24"/>
          <w:szCs w:val="24"/>
        </w:rPr>
        <w:t xml:space="preserve">) </w:t>
      </w:r>
      <w:r>
        <w:rPr>
          <w:rFonts w:ascii="Times New Roman" w:eastAsia="Times New Roman" w:hAnsi="Times New Roman"/>
          <w:color w:val="000000"/>
          <w:sz w:val="24"/>
          <w:szCs w:val="24"/>
        </w:rPr>
        <w:t xml:space="preserve">the spill exceeded the permissible range. Chen </w:t>
      </w:r>
      <w:r>
        <w:rPr>
          <w:rFonts w:ascii="Times New Roman" w:eastAsia="Times New Roman" w:hAnsi="Times New Roman"/>
          <w:i/>
          <w:iCs/>
          <w:color w:val="000000"/>
          <w:sz w:val="24"/>
          <w:szCs w:val="24"/>
        </w:rPr>
        <w:t>et al</w:t>
      </w:r>
      <w:r>
        <w:rPr>
          <w:rFonts w:ascii="Times New Roman" w:eastAsia="Times New Roman" w:hAnsi="Times New Roman"/>
          <w:color w:val="000000"/>
          <w:sz w:val="24"/>
          <w:szCs w:val="24"/>
        </w:rPr>
        <w:t>. (2022)</w:t>
      </w:r>
      <w:r>
        <w:rPr>
          <w:rFonts w:ascii="Times New Roman" w:eastAsia="Times New Roman" w:hAnsi="Times New Roman"/>
          <w:i/>
          <w:iCs/>
          <w:color w:val="000000"/>
          <w:sz w:val="24"/>
          <w:szCs w:val="24"/>
        </w:rPr>
        <w:t xml:space="preserve"> </w:t>
      </w:r>
      <w:r>
        <w:rPr>
          <w:rFonts w:ascii="Times New Roman" w:eastAsia="Times New Roman" w:hAnsi="Times New Roman"/>
          <w:color w:val="000000"/>
          <w:sz w:val="24"/>
          <w:szCs w:val="24"/>
        </w:rPr>
        <w:t xml:space="preserve">reported that lead concentration in the global ocean was high mainly because of anthropogenic activity, which includes industrial emissions. </w:t>
      </w:r>
      <w:r>
        <w:rPr>
          <w:rFonts w:ascii="Times New Roman" w:hAnsi="Times New Roman"/>
          <w:sz w:val="24"/>
          <w:szCs w:val="24"/>
          <w:lang w:val="en-US"/>
        </w:rPr>
        <w:t xml:space="preserve">Kibria </w:t>
      </w:r>
      <w:r>
        <w:rPr>
          <w:rFonts w:ascii="Times New Roman" w:hAnsi="Times New Roman"/>
          <w:i/>
          <w:iCs/>
          <w:sz w:val="24"/>
          <w:szCs w:val="24"/>
          <w:lang w:val="en-US"/>
        </w:rPr>
        <w:t>et al</w:t>
      </w:r>
      <w:r>
        <w:rPr>
          <w:rFonts w:ascii="Times New Roman" w:hAnsi="Times New Roman"/>
          <w:sz w:val="24"/>
          <w:szCs w:val="24"/>
          <w:lang w:val="en-US"/>
        </w:rPr>
        <w:t xml:space="preserve">. (2016) investigated 11 heavy metals in the Bangladesh Coastal and </w:t>
      </w:r>
      <w:proofErr w:type="spellStart"/>
      <w:r>
        <w:rPr>
          <w:rFonts w:ascii="Times New Roman" w:hAnsi="Times New Roman"/>
          <w:sz w:val="24"/>
          <w:szCs w:val="24"/>
        </w:rPr>
        <w:t>Karnafuli</w:t>
      </w:r>
      <w:proofErr w:type="spellEnd"/>
      <w:r>
        <w:rPr>
          <w:rFonts w:ascii="Times New Roman" w:hAnsi="Times New Roman"/>
          <w:sz w:val="24"/>
          <w:szCs w:val="24"/>
        </w:rPr>
        <w:t xml:space="preserve"> River estuary</w:t>
      </w:r>
      <w:r>
        <w:t xml:space="preserve">. </w:t>
      </w:r>
      <w:r>
        <w:rPr>
          <w:rFonts w:ascii="Times New Roman" w:hAnsi="Times New Roman"/>
          <w:sz w:val="24"/>
          <w:szCs w:val="24"/>
        </w:rPr>
        <w:t xml:space="preserve">The study results showed that Hg, Cr, Cd, Ni and Cu were found to be high, thereby impacting the water quality and in turn, affecting the ecology.  </w:t>
      </w:r>
    </w:p>
    <w:p w14:paraId="56043D6B" w14:textId="77777777" w:rsidR="002818EF" w:rsidRDefault="002818EF"/>
    <w:p w14:paraId="7BB50ACF" w14:textId="77777777" w:rsidR="002818EF" w:rsidRDefault="00000000">
      <w:pPr>
        <w:rPr>
          <w:rFonts w:ascii="Times New Roman" w:hAnsi="Times New Roman"/>
          <w:b/>
          <w:bCs/>
          <w:sz w:val="24"/>
          <w:szCs w:val="24"/>
        </w:rPr>
      </w:pPr>
      <w:r>
        <w:rPr>
          <w:rFonts w:ascii="Times New Roman" w:hAnsi="Times New Roman"/>
          <w:b/>
          <w:bCs/>
          <w:sz w:val="24"/>
          <w:szCs w:val="24"/>
        </w:rPr>
        <w:t xml:space="preserve">Table 2. </w:t>
      </w:r>
      <w:r>
        <w:rPr>
          <w:rFonts w:ascii="Times New Roman" w:eastAsia="Times New Roman" w:hAnsi="Times New Roman"/>
          <w:b/>
          <w:bCs/>
          <w:sz w:val="24"/>
          <w:szCs w:val="24"/>
        </w:rPr>
        <w:t>Mean and standard deviation of heavy metals before and after the oil slick from the five different stations</w:t>
      </w:r>
    </w:p>
    <w:tbl>
      <w:tblPr>
        <w:tblStyle w:val="TableGrid"/>
        <w:tblW w:w="0" w:type="auto"/>
        <w:tblInd w:w="-6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
        <w:gridCol w:w="860"/>
        <w:gridCol w:w="836"/>
        <w:gridCol w:w="974"/>
        <w:gridCol w:w="767"/>
        <w:gridCol w:w="974"/>
        <w:gridCol w:w="767"/>
        <w:gridCol w:w="767"/>
        <w:gridCol w:w="767"/>
        <w:gridCol w:w="767"/>
        <w:gridCol w:w="767"/>
        <w:gridCol w:w="767"/>
      </w:tblGrid>
      <w:tr w:rsidR="002818EF" w14:paraId="3343AF87" w14:textId="77777777">
        <w:trPr>
          <w:trHeight w:val="324"/>
        </w:trPr>
        <w:tc>
          <w:tcPr>
            <w:tcW w:w="796" w:type="dxa"/>
            <w:vMerge w:val="restart"/>
            <w:tcBorders>
              <w:top w:val="single" w:sz="4" w:space="0" w:color="auto"/>
              <w:bottom w:val="nil"/>
            </w:tcBorders>
          </w:tcPr>
          <w:p w14:paraId="6B6C9857" w14:textId="77777777" w:rsidR="002818EF" w:rsidRDefault="00000000">
            <w:pPr>
              <w:spacing w:line="240" w:lineRule="auto"/>
              <w:ind w:left="0"/>
              <w:jc w:val="left"/>
              <w:rPr>
                <w:rFonts w:asciiTheme="minorHAnsi" w:eastAsiaTheme="minorHAnsi" w:hAnsiTheme="minorHAnsi" w:cstheme="minorBidi"/>
                <w:b/>
                <w:bCs/>
                <w14:ligatures w14:val="standardContextual"/>
              </w:rPr>
            </w:pPr>
            <w:r>
              <w:rPr>
                <w:rFonts w:asciiTheme="minorHAnsi" w:eastAsiaTheme="minorHAnsi" w:hAnsiTheme="minorHAnsi" w:cstheme="minorBidi"/>
                <w:b/>
                <w:bCs/>
                <w14:ligatures w14:val="standardContextual"/>
              </w:rPr>
              <w:lastRenderedPageBreak/>
              <w:t>Stations</w:t>
            </w:r>
          </w:p>
        </w:tc>
        <w:tc>
          <w:tcPr>
            <w:tcW w:w="783" w:type="dxa"/>
            <w:vMerge w:val="restart"/>
            <w:tcBorders>
              <w:top w:val="single" w:sz="4" w:space="0" w:color="auto"/>
              <w:bottom w:val="nil"/>
            </w:tcBorders>
          </w:tcPr>
          <w:p w14:paraId="401D263C" w14:textId="77777777" w:rsidR="002818EF" w:rsidRDefault="00000000">
            <w:pPr>
              <w:spacing w:line="240" w:lineRule="auto"/>
              <w:ind w:left="0"/>
              <w:jc w:val="left"/>
              <w:rPr>
                <w:rFonts w:asciiTheme="minorHAnsi" w:eastAsiaTheme="minorHAnsi" w:hAnsiTheme="minorHAnsi" w:cstheme="minorBidi"/>
                <w:b/>
                <w:bCs/>
                <w14:ligatures w14:val="standardContextual"/>
              </w:rPr>
            </w:pPr>
            <w:r>
              <w:rPr>
                <w:rFonts w:asciiTheme="minorHAnsi" w:eastAsiaTheme="minorHAnsi" w:hAnsiTheme="minorHAnsi" w:cstheme="minorBidi"/>
                <w:b/>
                <w:bCs/>
                <w14:ligatures w14:val="standardContextual"/>
              </w:rPr>
              <w:t>Parameters</w:t>
            </w:r>
          </w:p>
        </w:tc>
        <w:tc>
          <w:tcPr>
            <w:tcW w:w="1646" w:type="dxa"/>
            <w:gridSpan w:val="2"/>
            <w:tcBorders>
              <w:top w:val="single" w:sz="4" w:space="0" w:color="auto"/>
              <w:bottom w:val="single" w:sz="4" w:space="0" w:color="auto"/>
            </w:tcBorders>
          </w:tcPr>
          <w:p w14:paraId="3950A38A" w14:textId="77777777" w:rsidR="002818EF" w:rsidRDefault="00000000">
            <w:pPr>
              <w:spacing w:line="240" w:lineRule="auto"/>
              <w:ind w:left="0"/>
              <w:jc w:val="left"/>
              <w:rPr>
                <w:rFonts w:asciiTheme="minorHAnsi" w:eastAsiaTheme="minorHAnsi" w:hAnsiTheme="minorHAnsi" w:cstheme="minorBidi"/>
                <w:b/>
                <w:bCs/>
                <w14:ligatures w14:val="standardContextual"/>
              </w:rPr>
            </w:pPr>
            <w:r>
              <w:rPr>
                <w:rFonts w:asciiTheme="minorHAnsi" w:eastAsiaTheme="minorHAnsi" w:hAnsiTheme="minorHAnsi" w:cstheme="minorBidi"/>
                <w:b/>
                <w:bCs/>
                <w14:ligatures w14:val="standardContextual"/>
              </w:rPr>
              <w:t>Water (</w:t>
            </w:r>
            <w:proofErr w:type="spellStart"/>
            <w:r>
              <w:rPr>
                <w:rFonts w:asciiTheme="minorHAnsi" w:eastAsiaTheme="minorHAnsi" w:hAnsiTheme="minorHAnsi" w:cstheme="minorBidi"/>
                <w:b/>
                <w:bCs/>
                <w14:ligatures w14:val="standardContextual"/>
              </w:rPr>
              <w:t>μg</w:t>
            </w:r>
            <w:proofErr w:type="spellEnd"/>
            <w:r>
              <w:rPr>
                <w:rFonts w:asciiTheme="minorHAnsi" w:eastAsiaTheme="minorHAnsi" w:hAnsiTheme="minorHAnsi" w:cstheme="minorBidi"/>
                <w:b/>
                <w:bCs/>
                <w14:ligatures w14:val="standardContextual"/>
              </w:rPr>
              <w:t>/L)</w:t>
            </w:r>
          </w:p>
        </w:tc>
        <w:tc>
          <w:tcPr>
            <w:tcW w:w="1585" w:type="dxa"/>
            <w:gridSpan w:val="2"/>
            <w:tcBorders>
              <w:top w:val="single" w:sz="4" w:space="0" w:color="auto"/>
              <w:bottom w:val="single" w:sz="4" w:space="0" w:color="auto"/>
            </w:tcBorders>
          </w:tcPr>
          <w:p w14:paraId="659EB381" w14:textId="77777777" w:rsidR="002818EF" w:rsidRDefault="00000000">
            <w:pPr>
              <w:spacing w:line="240" w:lineRule="auto"/>
              <w:ind w:left="0"/>
              <w:jc w:val="left"/>
              <w:rPr>
                <w:rFonts w:asciiTheme="minorHAnsi" w:eastAsiaTheme="minorHAnsi" w:hAnsiTheme="minorHAnsi" w:cstheme="minorBidi"/>
                <w:b/>
                <w:bCs/>
                <w14:ligatures w14:val="standardContextual"/>
              </w:rPr>
            </w:pPr>
            <w:r>
              <w:rPr>
                <w:rFonts w:asciiTheme="minorHAnsi" w:eastAsiaTheme="minorHAnsi" w:hAnsiTheme="minorHAnsi" w:cstheme="minorBidi"/>
                <w:b/>
                <w:bCs/>
                <w14:ligatures w14:val="standardContextual"/>
              </w:rPr>
              <w:t>Sediment (mg/kg)</w:t>
            </w:r>
          </w:p>
        </w:tc>
        <w:tc>
          <w:tcPr>
            <w:tcW w:w="1402" w:type="dxa"/>
            <w:gridSpan w:val="2"/>
            <w:tcBorders>
              <w:top w:val="single" w:sz="4" w:space="0" w:color="auto"/>
              <w:bottom w:val="single" w:sz="4" w:space="0" w:color="auto"/>
            </w:tcBorders>
          </w:tcPr>
          <w:p w14:paraId="14595BEB" w14:textId="77777777" w:rsidR="002818EF" w:rsidRDefault="00000000">
            <w:pPr>
              <w:spacing w:line="240" w:lineRule="auto"/>
              <w:ind w:left="0"/>
              <w:jc w:val="left"/>
              <w:rPr>
                <w:rFonts w:asciiTheme="minorHAnsi" w:eastAsiaTheme="minorHAnsi" w:hAnsiTheme="minorHAnsi" w:cstheme="minorBidi"/>
                <w:b/>
                <w:bCs/>
                <w14:ligatures w14:val="standardContextual"/>
              </w:rPr>
            </w:pPr>
            <w:r>
              <w:rPr>
                <w:rFonts w:asciiTheme="minorHAnsi" w:eastAsiaTheme="minorHAnsi" w:hAnsiTheme="minorHAnsi" w:cstheme="minorBidi"/>
                <w:b/>
                <w:bCs/>
                <w14:ligatures w14:val="standardContextual"/>
              </w:rPr>
              <w:t>Polychaete (mg/kg)</w:t>
            </w:r>
          </w:p>
        </w:tc>
        <w:tc>
          <w:tcPr>
            <w:tcW w:w="1402" w:type="dxa"/>
            <w:gridSpan w:val="2"/>
            <w:tcBorders>
              <w:top w:val="single" w:sz="4" w:space="0" w:color="auto"/>
              <w:bottom w:val="single" w:sz="4" w:space="0" w:color="auto"/>
            </w:tcBorders>
          </w:tcPr>
          <w:p w14:paraId="43280A1B" w14:textId="77777777" w:rsidR="002818EF" w:rsidRDefault="00000000">
            <w:pPr>
              <w:spacing w:line="240" w:lineRule="auto"/>
              <w:ind w:left="0"/>
              <w:jc w:val="left"/>
              <w:rPr>
                <w:rFonts w:asciiTheme="minorHAnsi" w:eastAsiaTheme="minorHAnsi" w:hAnsiTheme="minorHAnsi" w:cstheme="minorBidi"/>
                <w:b/>
                <w:bCs/>
                <w:i/>
                <w:iCs/>
                <w14:ligatures w14:val="standardContextual"/>
              </w:rPr>
            </w:pPr>
            <w:proofErr w:type="spellStart"/>
            <w:r>
              <w:rPr>
                <w:rFonts w:asciiTheme="minorHAnsi" w:eastAsiaTheme="minorHAnsi" w:hAnsiTheme="minorHAnsi" w:cstheme="minorBidi"/>
                <w:b/>
                <w:bCs/>
                <w:i/>
                <w:iCs/>
                <w14:ligatures w14:val="standardContextual"/>
              </w:rPr>
              <w:t>Elops</w:t>
            </w:r>
            <w:proofErr w:type="spellEnd"/>
            <w:r>
              <w:rPr>
                <w:rFonts w:asciiTheme="minorHAnsi" w:eastAsiaTheme="minorHAnsi" w:hAnsiTheme="minorHAnsi" w:cstheme="minorBidi"/>
                <w:b/>
                <w:bCs/>
                <w:i/>
                <w:iCs/>
                <w14:ligatures w14:val="standardContextual"/>
              </w:rPr>
              <w:t xml:space="preserve"> saurus </w:t>
            </w:r>
            <w:r>
              <w:rPr>
                <w:rFonts w:asciiTheme="minorHAnsi" w:eastAsiaTheme="minorHAnsi" w:hAnsiTheme="minorHAnsi" w:cstheme="minorBidi"/>
                <w:b/>
                <w:bCs/>
                <w14:ligatures w14:val="standardContextual"/>
              </w:rPr>
              <w:t>(mg/kg)</w:t>
            </w:r>
          </w:p>
        </w:tc>
        <w:tc>
          <w:tcPr>
            <w:tcW w:w="1402" w:type="dxa"/>
            <w:gridSpan w:val="2"/>
            <w:tcBorders>
              <w:top w:val="single" w:sz="4" w:space="0" w:color="auto"/>
              <w:bottom w:val="single" w:sz="4" w:space="0" w:color="auto"/>
            </w:tcBorders>
          </w:tcPr>
          <w:p w14:paraId="72188F70" w14:textId="77777777" w:rsidR="002818EF" w:rsidRDefault="00000000">
            <w:pPr>
              <w:spacing w:line="240" w:lineRule="auto"/>
              <w:ind w:left="0"/>
              <w:jc w:val="left"/>
              <w:rPr>
                <w:rFonts w:asciiTheme="minorHAnsi" w:eastAsiaTheme="minorHAnsi" w:hAnsiTheme="minorHAnsi" w:cstheme="minorBidi"/>
                <w:b/>
                <w:bCs/>
                <w:i/>
                <w:iCs/>
                <w14:ligatures w14:val="standardContextual"/>
              </w:rPr>
            </w:pPr>
            <w:r>
              <w:rPr>
                <w:rFonts w:asciiTheme="minorHAnsi" w:eastAsiaTheme="minorHAnsi" w:hAnsiTheme="minorHAnsi" w:cstheme="minorBidi"/>
                <w:b/>
                <w:bCs/>
                <w:i/>
                <w:iCs/>
                <w14:ligatures w14:val="standardContextual"/>
              </w:rPr>
              <w:t xml:space="preserve">Gerres filamentous </w:t>
            </w:r>
            <w:r>
              <w:rPr>
                <w:rFonts w:asciiTheme="minorHAnsi" w:eastAsiaTheme="minorHAnsi" w:hAnsiTheme="minorHAnsi" w:cstheme="minorBidi"/>
                <w:b/>
                <w:bCs/>
                <w14:ligatures w14:val="standardContextual"/>
              </w:rPr>
              <w:t>(mg/kg)</w:t>
            </w:r>
          </w:p>
        </w:tc>
      </w:tr>
      <w:tr w:rsidR="002818EF" w14:paraId="262403A8" w14:textId="77777777">
        <w:trPr>
          <w:trHeight w:val="312"/>
        </w:trPr>
        <w:tc>
          <w:tcPr>
            <w:tcW w:w="796" w:type="dxa"/>
            <w:vMerge/>
            <w:tcBorders>
              <w:top w:val="nil"/>
              <w:bottom w:val="single" w:sz="4" w:space="0" w:color="auto"/>
            </w:tcBorders>
          </w:tcPr>
          <w:p w14:paraId="46B1A0FD" w14:textId="77777777" w:rsidR="002818EF" w:rsidRDefault="002818EF">
            <w:pPr>
              <w:spacing w:line="240" w:lineRule="auto"/>
              <w:ind w:left="0"/>
              <w:jc w:val="left"/>
              <w:rPr>
                <w:rFonts w:asciiTheme="minorHAnsi" w:eastAsiaTheme="minorHAnsi" w:hAnsiTheme="minorHAnsi" w:cstheme="minorBidi"/>
                <w:b/>
                <w:bCs/>
                <w14:ligatures w14:val="standardContextual"/>
              </w:rPr>
            </w:pPr>
          </w:p>
        </w:tc>
        <w:tc>
          <w:tcPr>
            <w:tcW w:w="783" w:type="dxa"/>
            <w:vMerge/>
            <w:tcBorders>
              <w:top w:val="nil"/>
              <w:bottom w:val="single" w:sz="4" w:space="0" w:color="auto"/>
            </w:tcBorders>
          </w:tcPr>
          <w:p w14:paraId="2779E6AC" w14:textId="77777777" w:rsidR="002818EF" w:rsidRDefault="002818EF">
            <w:pPr>
              <w:spacing w:line="240" w:lineRule="auto"/>
              <w:ind w:left="0"/>
              <w:jc w:val="left"/>
              <w:rPr>
                <w:rFonts w:asciiTheme="minorHAnsi" w:eastAsiaTheme="minorHAnsi" w:hAnsiTheme="minorHAnsi" w:cstheme="minorBidi"/>
                <w:b/>
                <w:bCs/>
                <w14:ligatures w14:val="standardContextual"/>
              </w:rPr>
            </w:pPr>
          </w:p>
        </w:tc>
        <w:tc>
          <w:tcPr>
            <w:tcW w:w="762" w:type="dxa"/>
            <w:tcBorders>
              <w:top w:val="single" w:sz="4" w:space="0" w:color="auto"/>
              <w:bottom w:val="single" w:sz="4" w:space="0" w:color="auto"/>
            </w:tcBorders>
          </w:tcPr>
          <w:p w14:paraId="0A932962" w14:textId="77777777" w:rsidR="002818EF" w:rsidRDefault="00000000">
            <w:pPr>
              <w:spacing w:line="240" w:lineRule="auto"/>
              <w:ind w:left="0"/>
              <w:jc w:val="left"/>
              <w:rPr>
                <w:rFonts w:asciiTheme="minorHAnsi" w:eastAsiaTheme="minorHAnsi" w:hAnsiTheme="minorHAnsi" w:cstheme="minorBidi"/>
                <w:b/>
                <w:bCs/>
                <w14:ligatures w14:val="standardContextual"/>
              </w:rPr>
            </w:pPr>
            <w:r>
              <w:rPr>
                <w:rFonts w:asciiTheme="minorHAnsi" w:eastAsiaTheme="minorHAnsi" w:hAnsiTheme="minorHAnsi" w:cstheme="minorBidi"/>
                <w:b/>
                <w:bCs/>
                <w14:ligatures w14:val="standardContextual"/>
              </w:rPr>
              <w:t>BOS</w:t>
            </w:r>
          </w:p>
        </w:tc>
        <w:tc>
          <w:tcPr>
            <w:tcW w:w="884" w:type="dxa"/>
            <w:tcBorders>
              <w:top w:val="single" w:sz="4" w:space="0" w:color="auto"/>
              <w:bottom w:val="single" w:sz="4" w:space="0" w:color="auto"/>
            </w:tcBorders>
          </w:tcPr>
          <w:p w14:paraId="4AA7405C" w14:textId="77777777" w:rsidR="002818EF" w:rsidRDefault="00000000">
            <w:pPr>
              <w:spacing w:line="240" w:lineRule="auto"/>
              <w:ind w:left="0"/>
              <w:jc w:val="left"/>
              <w:rPr>
                <w:rFonts w:asciiTheme="minorHAnsi" w:eastAsiaTheme="minorHAnsi" w:hAnsiTheme="minorHAnsi" w:cstheme="minorBidi"/>
                <w:b/>
                <w:bCs/>
                <w14:ligatures w14:val="standardContextual"/>
              </w:rPr>
            </w:pPr>
            <w:r>
              <w:rPr>
                <w:rFonts w:asciiTheme="minorHAnsi" w:eastAsiaTheme="minorHAnsi" w:hAnsiTheme="minorHAnsi" w:cstheme="minorBidi"/>
                <w:b/>
                <w:bCs/>
                <w14:ligatures w14:val="standardContextual"/>
              </w:rPr>
              <w:t>AOS</w:t>
            </w:r>
          </w:p>
        </w:tc>
        <w:tc>
          <w:tcPr>
            <w:tcW w:w="701" w:type="dxa"/>
            <w:tcBorders>
              <w:top w:val="single" w:sz="4" w:space="0" w:color="auto"/>
              <w:bottom w:val="single" w:sz="4" w:space="0" w:color="auto"/>
            </w:tcBorders>
          </w:tcPr>
          <w:p w14:paraId="0D5CE643" w14:textId="77777777" w:rsidR="002818EF" w:rsidRDefault="00000000">
            <w:pPr>
              <w:spacing w:line="240" w:lineRule="auto"/>
              <w:ind w:left="0"/>
              <w:jc w:val="left"/>
              <w:rPr>
                <w:rFonts w:asciiTheme="minorHAnsi" w:eastAsiaTheme="minorHAnsi" w:hAnsiTheme="minorHAnsi" w:cstheme="minorBidi"/>
                <w:b/>
                <w:bCs/>
                <w14:ligatures w14:val="standardContextual"/>
              </w:rPr>
            </w:pPr>
            <w:r>
              <w:rPr>
                <w:rFonts w:asciiTheme="minorHAnsi" w:eastAsiaTheme="minorHAnsi" w:hAnsiTheme="minorHAnsi" w:cstheme="minorBidi"/>
                <w:b/>
                <w:bCs/>
                <w14:ligatures w14:val="standardContextual"/>
              </w:rPr>
              <w:t>BOS</w:t>
            </w:r>
          </w:p>
        </w:tc>
        <w:tc>
          <w:tcPr>
            <w:tcW w:w="884" w:type="dxa"/>
            <w:tcBorders>
              <w:top w:val="single" w:sz="4" w:space="0" w:color="auto"/>
              <w:bottom w:val="single" w:sz="4" w:space="0" w:color="auto"/>
            </w:tcBorders>
          </w:tcPr>
          <w:p w14:paraId="3FFA4DD7" w14:textId="77777777" w:rsidR="002818EF" w:rsidRDefault="00000000">
            <w:pPr>
              <w:spacing w:line="240" w:lineRule="auto"/>
              <w:ind w:left="0"/>
              <w:jc w:val="left"/>
              <w:rPr>
                <w:rFonts w:asciiTheme="minorHAnsi" w:eastAsiaTheme="minorHAnsi" w:hAnsiTheme="minorHAnsi" w:cstheme="minorBidi"/>
                <w:b/>
                <w:bCs/>
                <w14:ligatures w14:val="standardContextual"/>
              </w:rPr>
            </w:pPr>
            <w:r>
              <w:rPr>
                <w:rFonts w:asciiTheme="minorHAnsi" w:eastAsiaTheme="minorHAnsi" w:hAnsiTheme="minorHAnsi" w:cstheme="minorBidi"/>
                <w:b/>
                <w:bCs/>
                <w14:ligatures w14:val="standardContextual"/>
              </w:rPr>
              <w:t>AOS</w:t>
            </w:r>
          </w:p>
        </w:tc>
        <w:tc>
          <w:tcPr>
            <w:tcW w:w="701" w:type="dxa"/>
            <w:tcBorders>
              <w:top w:val="single" w:sz="4" w:space="0" w:color="auto"/>
              <w:bottom w:val="single" w:sz="4" w:space="0" w:color="auto"/>
            </w:tcBorders>
          </w:tcPr>
          <w:p w14:paraId="0088FF1C" w14:textId="77777777" w:rsidR="002818EF" w:rsidRDefault="00000000">
            <w:pPr>
              <w:spacing w:line="240" w:lineRule="auto"/>
              <w:ind w:left="0"/>
              <w:jc w:val="left"/>
              <w:rPr>
                <w:rFonts w:asciiTheme="minorHAnsi" w:eastAsiaTheme="minorHAnsi" w:hAnsiTheme="minorHAnsi" w:cstheme="minorBidi"/>
                <w:b/>
                <w:bCs/>
                <w14:ligatures w14:val="standardContextual"/>
              </w:rPr>
            </w:pPr>
            <w:r>
              <w:rPr>
                <w:rFonts w:asciiTheme="minorHAnsi" w:eastAsiaTheme="minorHAnsi" w:hAnsiTheme="minorHAnsi" w:cstheme="minorBidi"/>
                <w:b/>
                <w:bCs/>
                <w14:ligatures w14:val="standardContextual"/>
              </w:rPr>
              <w:t>BOS</w:t>
            </w:r>
          </w:p>
        </w:tc>
        <w:tc>
          <w:tcPr>
            <w:tcW w:w="701" w:type="dxa"/>
            <w:tcBorders>
              <w:top w:val="single" w:sz="4" w:space="0" w:color="auto"/>
              <w:bottom w:val="single" w:sz="4" w:space="0" w:color="auto"/>
            </w:tcBorders>
          </w:tcPr>
          <w:p w14:paraId="22AF8C06" w14:textId="77777777" w:rsidR="002818EF" w:rsidRDefault="00000000">
            <w:pPr>
              <w:spacing w:line="240" w:lineRule="auto"/>
              <w:ind w:left="0"/>
              <w:jc w:val="left"/>
              <w:rPr>
                <w:rFonts w:asciiTheme="minorHAnsi" w:eastAsiaTheme="minorHAnsi" w:hAnsiTheme="minorHAnsi" w:cstheme="minorBidi"/>
                <w:b/>
                <w:bCs/>
                <w14:ligatures w14:val="standardContextual"/>
              </w:rPr>
            </w:pPr>
            <w:r>
              <w:rPr>
                <w:rFonts w:asciiTheme="minorHAnsi" w:eastAsiaTheme="minorHAnsi" w:hAnsiTheme="minorHAnsi" w:cstheme="minorBidi"/>
                <w:b/>
                <w:bCs/>
                <w14:ligatures w14:val="standardContextual"/>
              </w:rPr>
              <w:t>AOS</w:t>
            </w:r>
          </w:p>
        </w:tc>
        <w:tc>
          <w:tcPr>
            <w:tcW w:w="701" w:type="dxa"/>
            <w:tcBorders>
              <w:top w:val="single" w:sz="4" w:space="0" w:color="auto"/>
              <w:bottom w:val="single" w:sz="4" w:space="0" w:color="auto"/>
            </w:tcBorders>
          </w:tcPr>
          <w:p w14:paraId="439B7428" w14:textId="77777777" w:rsidR="002818EF" w:rsidRDefault="00000000">
            <w:pPr>
              <w:spacing w:line="240" w:lineRule="auto"/>
              <w:ind w:left="0"/>
              <w:jc w:val="left"/>
              <w:rPr>
                <w:rFonts w:asciiTheme="minorHAnsi" w:eastAsiaTheme="minorHAnsi" w:hAnsiTheme="minorHAnsi" w:cstheme="minorBidi"/>
                <w:b/>
                <w:bCs/>
                <w14:ligatures w14:val="standardContextual"/>
              </w:rPr>
            </w:pPr>
            <w:r>
              <w:rPr>
                <w:rFonts w:asciiTheme="minorHAnsi" w:eastAsiaTheme="minorHAnsi" w:hAnsiTheme="minorHAnsi" w:cstheme="minorBidi"/>
                <w:b/>
                <w:bCs/>
                <w14:ligatures w14:val="standardContextual"/>
              </w:rPr>
              <w:t>BOS</w:t>
            </w:r>
          </w:p>
        </w:tc>
        <w:tc>
          <w:tcPr>
            <w:tcW w:w="701" w:type="dxa"/>
            <w:tcBorders>
              <w:top w:val="single" w:sz="4" w:space="0" w:color="auto"/>
              <w:bottom w:val="single" w:sz="4" w:space="0" w:color="auto"/>
            </w:tcBorders>
          </w:tcPr>
          <w:p w14:paraId="3DC40DCB" w14:textId="77777777" w:rsidR="002818EF" w:rsidRDefault="00000000">
            <w:pPr>
              <w:spacing w:line="240" w:lineRule="auto"/>
              <w:ind w:left="0"/>
              <w:jc w:val="left"/>
              <w:rPr>
                <w:rFonts w:asciiTheme="minorHAnsi" w:eastAsiaTheme="minorHAnsi" w:hAnsiTheme="minorHAnsi" w:cstheme="minorBidi"/>
                <w:b/>
                <w:bCs/>
                <w14:ligatures w14:val="standardContextual"/>
              </w:rPr>
            </w:pPr>
            <w:r>
              <w:rPr>
                <w:rFonts w:asciiTheme="minorHAnsi" w:eastAsiaTheme="minorHAnsi" w:hAnsiTheme="minorHAnsi" w:cstheme="minorBidi"/>
                <w:b/>
                <w:bCs/>
                <w14:ligatures w14:val="standardContextual"/>
              </w:rPr>
              <w:t>AOS</w:t>
            </w:r>
          </w:p>
        </w:tc>
        <w:tc>
          <w:tcPr>
            <w:tcW w:w="701" w:type="dxa"/>
            <w:tcBorders>
              <w:top w:val="single" w:sz="4" w:space="0" w:color="auto"/>
              <w:bottom w:val="single" w:sz="4" w:space="0" w:color="auto"/>
            </w:tcBorders>
          </w:tcPr>
          <w:p w14:paraId="2551EC14" w14:textId="77777777" w:rsidR="002818EF" w:rsidRDefault="00000000">
            <w:pPr>
              <w:spacing w:line="240" w:lineRule="auto"/>
              <w:ind w:left="0"/>
              <w:jc w:val="left"/>
              <w:rPr>
                <w:rFonts w:asciiTheme="minorHAnsi" w:eastAsiaTheme="minorHAnsi" w:hAnsiTheme="minorHAnsi" w:cstheme="minorBidi"/>
                <w:b/>
                <w:bCs/>
                <w14:ligatures w14:val="standardContextual"/>
              </w:rPr>
            </w:pPr>
            <w:r>
              <w:rPr>
                <w:rFonts w:asciiTheme="minorHAnsi" w:eastAsiaTheme="minorHAnsi" w:hAnsiTheme="minorHAnsi" w:cstheme="minorBidi"/>
                <w:b/>
                <w:bCs/>
                <w14:ligatures w14:val="standardContextual"/>
              </w:rPr>
              <w:t>BOS</w:t>
            </w:r>
          </w:p>
        </w:tc>
        <w:tc>
          <w:tcPr>
            <w:tcW w:w="701" w:type="dxa"/>
            <w:tcBorders>
              <w:top w:val="single" w:sz="4" w:space="0" w:color="auto"/>
              <w:bottom w:val="single" w:sz="4" w:space="0" w:color="auto"/>
            </w:tcBorders>
          </w:tcPr>
          <w:p w14:paraId="52DA921B" w14:textId="77777777" w:rsidR="002818EF" w:rsidRDefault="00000000">
            <w:pPr>
              <w:spacing w:line="240" w:lineRule="auto"/>
              <w:ind w:left="0"/>
              <w:jc w:val="left"/>
              <w:rPr>
                <w:rFonts w:asciiTheme="minorHAnsi" w:eastAsiaTheme="minorHAnsi" w:hAnsiTheme="minorHAnsi" w:cstheme="minorBidi"/>
                <w:b/>
                <w:bCs/>
                <w14:ligatures w14:val="standardContextual"/>
              </w:rPr>
            </w:pPr>
            <w:r>
              <w:rPr>
                <w:rFonts w:asciiTheme="minorHAnsi" w:eastAsiaTheme="minorHAnsi" w:hAnsiTheme="minorHAnsi" w:cstheme="minorBidi"/>
                <w:b/>
                <w:bCs/>
                <w14:ligatures w14:val="standardContextual"/>
              </w:rPr>
              <w:t>AOS</w:t>
            </w:r>
          </w:p>
        </w:tc>
      </w:tr>
      <w:tr w:rsidR="002818EF" w14:paraId="450038A0" w14:textId="77777777">
        <w:trPr>
          <w:trHeight w:val="312"/>
        </w:trPr>
        <w:tc>
          <w:tcPr>
            <w:tcW w:w="796" w:type="dxa"/>
            <w:vMerge w:val="restart"/>
            <w:tcBorders>
              <w:top w:val="single" w:sz="4" w:space="0" w:color="auto"/>
              <w:bottom w:val="nil"/>
            </w:tcBorders>
            <w:noWrap/>
          </w:tcPr>
          <w:p w14:paraId="4EAD0272"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 xml:space="preserve">ST 1 </w:t>
            </w:r>
          </w:p>
        </w:tc>
        <w:tc>
          <w:tcPr>
            <w:tcW w:w="783" w:type="dxa"/>
            <w:tcBorders>
              <w:top w:val="single" w:sz="4" w:space="0" w:color="auto"/>
              <w:bottom w:val="nil"/>
            </w:tcBorders>
          </w:tcPr>
          <w:p w14:paraId="5E43B504"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Cd</w:t>
            </w:r>
          </w:p>
        </w:tc>
        <w:tc>
          <w:tcPr>
            <w:tcW w:w="762" w:type="dxa"/>
            <w:tcBorders>
              <w:top w:val="single" w:sz="4" w:space="0" w:color="auto"/>
              <w:bottom w:val="nil"/>
            </w:tcBorders>
          </w:tcPr>
          <w:p w14:paraId="66843FFB"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0.13±0.02</w:t>
            </w:r>
          </w:p>
        </w:tc>
        <w:tc>
          <w:tcPr>
            <w:tcW w:w="884" w:type="dxa"/>
            <w:tcBorders>
              <w:top w:val="single" w:sz="4" w:space="0" w:color="auto"/>
              <w:bottom w:val="nil"/>
            </w:tcBorders>
          </w:tcPr>
          <w:p w14:paraId="7A975EBD"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2.00±0.47</w:t>
            </w:r>
          </w:p>
        </w:tc>
        <w:tc>
          <w:tcPr>
            <w:tcW w:w="701" w:type="dxa"/>
            <w:tcBorders>
              <w:top w:val="single" w:sz="4" w:space="0" w:color="auto"/>
              <w:bottom w:val="nil"/>
            </w:tcBorders>
          </w:tcPr>
          <w:p w14:paraId="1C1A81B5"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0.24±0.06</w:t>
            </w:r>
          </w:p>
        </w:tc>
        <w:tc>
          <w:tcPr>
            <w:tcW w:w="884" w:type="dxa"/>
            <w:tcBorders>
              <w:top w:val="single" w:sz="4" w:space="0" w:color="auto"/>
              <w:bottom w:val="nil"/>
            </w:tcBorders>
          </w:tcPr>
          <w:p w14:paraId="3FEEB8C6"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6.20±0.22</w:t>
            </w:r>
          </w:p>
        </w:tc>
        <w:tc>
          <w:tcPr>
            <w:tcW w:w="701" w:type="dxa"/>
            <w:tcBorders>
              <w:top w:val="single" w:sz="4" w:space="0" w:color="auto"/>
              <w:bottom w:val="nil"/>
            </w:tcBorders>
          </w:tcPr>
          <w:p w14:paraId="44334A5D"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0.01±0</w:t>
            </w:r>
          </w:p>
        </w:tc>
        <w:tc>
          <w:tcPr>
            <w:tcW w:w="701" w:type="dxa"/>
            <w:tcBorders>
              <w:top w:val="single" w:sz="4" w:space="0" w:color="auto"/>
              <w:bottom w:val="nil"/>
            </w:tcBorders>
          </w:tcPr>
          <w:p w14:paraId="7EB8A1BB"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0.10±0.06</w:t>
            </w:r>
          </w:p>
        </w:tc>
        <w:tc>
          <w:tcPr>
            <w:tcW w:w="701" w:type="dxa"/>
            <w:tcBorders>
              <w:top w:val="single" w:sz="4" w:space="0" w:color="auto"/>
              <w:bottom w:val="nil"/>
            </w:tcBorders>
          </w:tcPr>
          <w:p w14:paraId="0C217BDF"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single" w:sz="4" w:space="0" w:color="auto"/>
              <w:bottom w:val="nil"/>
            </w:tcBorders>
          </w:tcPr>
          <w:p w14:paraId="7B99D414"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0.11±0.01</w:t>
            </w:r>
          </w:p>
        </w:tc>
        <w:tc>
          <w:tcPr>
            <w:tcW w:w="701" w:type="dxa"/>
            <w:tcBorders>
              <w:top w:val="single" w:sz="4" w:space="0" w:color="auto"/>
              <w:bottom w:val="nil"/>
            </w:tcBorders>
          </w:tcPr>
          <w:p w14:paraId="5769FAB3"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single" w:sz="4" w:space="0" w:color="auto"/>
              <w:bottom w:val="nil"/>
            </w:tcBorders>
          </w:tcPr>
          <w:p w14:paraId="17C3938D"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0.19±0.01</w:t>
            </w:r>
          </w:p>
        </w:tc>
      </w:tr>
      <w:tr w:rsidR="002818EF" w14:paraId="63B6E1CA" w14:textId="77777777">
        <w:trPr>
          <w:trHeight w:val="312"/>
        </w:trPr>
        <w:tc>
          <w:tcPr>
            <w:tcW w:w="796" w:type="dxa"/>
            <w:vMerge/>
            <w:tcBorders>
              <w:top w:val="nil"/>
              <w:bottom w:val="nil"/>
            </w:tcBorders>
          </w:tcPr>
          <w:p w14:paraId="34893901" w14:textId="77777777" w:rsidR="002818EF" w:rsidRDefault="002818EF">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nil"/>
            </w:tcBorders>
          </w:tcPr>
          <w:p w14:paraId="0F5C9DE7"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Cr</w:t>
            </w:r>
          </w:p>
        </w:tc>
        <w:tc>
          <w:tcPr>
            <w:tcW w:w="762" w:type="dxa"/>
            <w:tcBorders>
              <w:top w:val="nil"/>
              <w:bottom w:val="nil"/>
            </w:tcBorders>
          </w:tcPr>
          <w:p w14:paraId="6F2265C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2.30±0.26</w:t>
            </w:r>
          </w:p>
        </w:tc>
        <w:tc>
          <w:tcPr>
            <w:tcW w:w="884" w:type="dxa"/>
            <w:tcBorders>
              <w:top w:val="nil"/>
              <w:bottom w:val="nil"/>
            </w:tcBorders>
          </w:tcPr>
          <w:p w14:paraId="15A792B5"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100±4</w:t>
            </w:r>
          </w:p>
        </w:tc>
        <w:tc>
          <w:tcPr>
            <w:tcW w:w="701" w:type="dxa"/>
            <w:tcBorders>
              <w:top w:val="nil"/>
              <w:bottom w:val="nil"/>
            </w:tcBorders>
          </w:tcPr>
          <w:p w14:paraId="58B3F6B4"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1.13±0.83</w:t>
            </w:r>
          </w:p>
        </w:tc>
        <w:tc>
          <w:tcPr>
            <w:tcW w:w="884" w:type="dxa"/>
            <w:tcBorders>
              <w:top w:val="nil"/>
              <w:bottom w:val="nil"/>
            </w:tcBorders>
          </w:tcPr>
          <w:p w14:paraId="0B0C4623"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164.20±6.01</w:t>
            </w:r>
          </w:p>
        </w:tc>
        <w:tc>
          <w:tcPr>
            <w:tcW w:w="701" w:type="dxa"/>
            <w:tcBorders>
              <w:top w:val="nil"/>
              <w:bottom w:val="nil"/>
            </w:tcBorders>
          </w:tcPr>
          <w:p w14:paraId="70EB7205"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0.20±0.17</w:t>
            </w:r>
          </w:p>
        </w:tc>
        <w:tc>
          <w:tcPr>
            <w:tcW w:w="701" w:type="dxa"/>
            <w:tcBorders>
              <w:top w:val="nil"/>
              <w:bottom w:val="nil"/>
            </w:tcBorders>
          </w:tcPr>
          <w:p w14:paraId="13822AB2"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5.50±0.06</w:t>
            </w:r>
          </w:p>
        </w:tc>
        <w:tc>
          <w:tcPr>
            <w:tcW w:w="701" w:type="dxa"/>
            <w:tcBorders>
              <w:top w:val="nil"/>
              <w:bottom w:val="nil"/>
            </w:tcBorders>
          </w:tcPr>
          <w:p w14:paraId="03ACB254"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nil"/>
              <w:bottom w:val="nil"/>
            </w:tcBorders>
          </w:tcPr>
          <w:p w14:paraId="1341F4D2"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0.41±0.02</w:t>
            </w:r>
          </w:p>
        </w:tc>
        <w:tc>
          <w:tcPr>
            <w:tcW w:w="701" w:type="dxa"/>
            <w:tcBorders>
              <w:top w:val="nil"/>
              <w:bottom w:val="nil"/>
            </w:tcBorders>
          </w:tcPr>
          <w:p w14:paraId="6459C785"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nil"/>
              <w:bottom w:val="nil"/>
            </w:tcBorders>
          </w:tcPr>
          <w:p w14:paraId="6348321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1.20±0.27</w:t>
            </w:r>
          </w:p>
        </w:tc>
      </w:tr>
      <w:tr w:rsidR="002818EF" w14:paraId="094CD9C7" w14:textId="77777777">
        <w:trPr>
          <w:trHeight w:val="312"/>
        </w:trPr>
        <w:tc>
          <w:tcPr>
            <w:tcW w:w="796" w:type="dxa"/>
            <w:vMerge/>
            <w:tcBorders>
              <w:top w:val="nil"/>
              <w:bottom w:val="nil"/>
            </w:tcBorders>
          </w:tcPr>
          <w:p w14:paraId="7A00F41F" w14:textId="77777777" w:rsidR="002818EF" w:rsidRDefault="002818EF">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nil"/>
            </w:tcBorders>
          </w:tcPr>
          <w:p w14:paraId="11A23F2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Pb</w:t>
            </w:r>
          </w:p>
        </w:tc>
        <w:tc>
          <w:tcPr>
            <w:tcW w:w="762" w:type="dxa"/>
            <w:tcBorders>
              <w:top w:val="nil"/>
              <w:bottom w:val="nil"/>
            </w:tcBorders>
          </w:tcPr>
          <w:p w14:paraId="185C7DD4"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75.80±2</w:t>
            </w:r>
          </w:p>
        </w:tc>
        <w:tc>
          <w:tcPr>
            <w:tcW w:w="884" w:type="dxa"/>
            <w:tcBorders>
              <w:top w:val="nil"/>
              <w:bottom w:val="nil"/>
            </w:tcBorders>
          </w:tcPr>
          <w:p w14:paraId="2F53E145"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320.31±10.49</w:t>
            </w:r>
          </w:p>
        </w:tc>
        <w:tc>
          <w:tcPr>
            <w:tcW w:w="701" w:type="dxa"/>
            <w:tcBorders>
              <w:top w:val="nil"/>
              <w:bottom w:val="nil"/>
            </w:tcBorders>
          </w:tcPr>
          <w:p w14:paraId="3FF5D0D5"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3.56±0.59</w:t>
            </w:r>
          </w:p>
        </w:tc>
        <w:tc>
          <w:tcPr>
            <w:tcW w:w="884" w:type="dxa"/>
            <w:tcBorders>
              <w:top w:val="nil"/>
              <w:bottom w:val="nil"/>
            </w:tcBorders>
          </w:tcPr>
          <w:p w14:paraId="5459612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856±17.74</w:t>
            </w:r>
          </w:p>
        </w:tc>
        <w:tc>
          <w:tcPr>
            <w:tcW w:w="701" w:type="dxa"/>
            <w:tcBorders>
              <w:top w:val="nil"/>
              <w:bottom w:val="nil"/>
            </w:tcBorders>
          </w:tcPr>
          <w:p w14:paraId="03F02275"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nil"/>
              <w:bottom w:val="nil"/>
            </w:tcBorders>
          </w:tcPr>
          <w:p w14:paraId="2E669276"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1.60±0.05</w:t>
            </w:r>
          </w:p>
        </w:tc>
        <w:tc>
          <w:tcPr>
            <w:tcW w:w="701" w:type="dxa"/>
            <w:tcBorders>
              <w:top w:val="nil"/>
              <w:bottom w:val="nil"/>
            </w:tcBorders>
          </w:tcPr>
          <w:p w14:paraId="300D75EF"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nil"/>
              <w:bottom w:val="nil"/>
            </w:tcBorders>
          </w:tcPr>
          <w:p w14:paraId="0F722D17"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0.21±0.02</w:t>
            </w:r>
          </w:p>
        </w:tc>
        <w:tc>
          <w:tcPr>
            <w:tcW w:w="701" w:type="dxa"/>
            <w:tcBorders>
              <w:top w:val="nil"/>
              <w:bottom w:val="nil"/>
            </w:tcBorders>
          </w:tcPr>
          <w:p w14:paraId="2A3887F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nil"/>
              <w:bottom w:val="nil"/>
            </w:tcBorders>
          </w:tcPr>
          <w:p w14:paraId="55C53346"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0.23±0.01</w:t>
            </w:r>
          </w:p>
        </w:tc>
      </w:tr>
      <w:tr w:rsidR="002818EF" w14:paraId="09219623" w14:textId="77777777">
        <w:trPr>
          <w:trHeight w:val="312"/>
        </w:trPr>
        <w:tc>
          <w:tcPr>
            <w:tcW w:w="796" w:type="dxa"/>
            <w:vMerge/>
            <w:tcBorders>
              <w:top w:val="nil"/>
              <w:bottom w:val="single" w:sz="4" w:space="0" w:color="auto"/>
            </w:tcBorders>
          </w:tcPr>
          <w:p w14:paraId="644B567F" w14:textId="77777777" w:rsidR="002818EF" w:rsidRDefault="002818EF">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single" w:sz="4" w:space="0" w:color="auto"/>
            </w:tcBorders>
          </w:tcPr>
          <w:p w14:paraId="3942309C"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Hg</w:t>
            </w:r>
          </w:p>
        </w:tc>
        <w:tc>
          <w:tcPr>
            <w:tcW w:w="762" w:type="dxa"/>
            <w:tcBorders>
              <w:top w:val="nil"/>
              <w:bottom w:val="single" w:sz="4" w:space="0" w:color="auto"/>
            </w:tcBorders>
          </w:tcPr>
          <w:p w14:paraId="3B4FAEC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0.12±0.04</w:t>
            </w:r>
          </w:p>
        </w:tc>
        <w:tc>
          <w:tcPr>
            <w:tcW w:w="884" w:type="dxa"/>
            <w:tcBorders>
              <w:top w:val="nil"/>
              <w:bottom w:val="single" w:sz="4" w:space="0" w:color="auto"/>
            </w:tcBorders>
          </w:tcPr>
          <w:p w14:paraId="7AF10DE3"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1±0.17</w:t>
            </w:r>
          </w:p>
        </w:tc>
        <w:tc>
          <w:tcPr>
            <w:tcW w:w="701" w:type="dxa"/>
            <w:tcBorders>
              <w:top w:val="nil"/>
              <w:bottom w:val="single" w:sz="4" w:space="0" w:color="auto"/>
            </w:tcBorders>
          </w:tcPr>
          <w:p w14:paraId="0CAEB880"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0.13±0.02</w:t>
            </w:r>
          </w:p>
        </w:tc>
        <w:tc>
          <w:tcPr>
            <w:tcW w:w="884" w:type="dxa"/>
            <w:tcBorders>
              <w:top w:val="nil"/>
              <w:bottom w:val="single" w:sz="4" w:space="0" w:color="auto"/>
            </w:tcBorders>
          </w:tcPr>
          <w:p w14:paraId="25E8C3DE"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1.30±0.02</w:t>
            </w:r>
          </w:p>
        </w:tc>
        <w:tc>
          <w:tcPr>
            <w:tcW w:w="701" w:type="dxa"/>
            <w:tcBorders>
              <w:top w:val="nil"/>
              <w:bottom w:val="single" w:sz="4" w:space="0" w:color="auto"/>
            </w:tcBorders>
          </w:tcPr>
          <w:p w14:paraId="6DAEEC6B"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nil"/>
              <w:bottom w:val="single" w:sz="4" w:space="0" w:color="auto"/>
            </w:tcBorders>
          </w:tcPr>
          <w:p w14:paraId="6AB0BDB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0.10±0.09</w:t>
            </w:r>
          </w:p>
        </w:tc>
        <w:tc>
          <w:tcPr>
            <w:tcW w:w="701" w:type="dxa"/>
            <w:tcBorders>
              <w:top w:val="nil"/>
              <w:bottom w:val="single" w:sz="4" w:space="0" w:color="auto"/>
            </w:tcBorders>
          </w:tcPr>
          <w:p w14:paraId="196B8853"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nil"/>
              <w:bottom w:val="single" w:sz="4" w:space="0" w:color="auto"/>
            </w:tcBorders>
          </w:tcPr>
          <w:p w14:paraId="4D59A66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0.06±0.06</w:t>
            </w:r>
          </w:p>
        </w:tc>
        <w:tc>
          <w:tcPr>
            <w:tcW w:w="701" w:type="dxa"/>
            <w:tcBorders>
              <w:top w:val="nil"/>
              <w:bottom w:val="single" w:sz="4" w:space="0" w:color="auto"/>
            </w:tcBorders>
          </w:tcPr>
          <w:p w14:paraId="0350A2FF"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nil"/>
              <w:bottom w:val="single" w:sz="4" w:space="0" w:color="auto"/>
            </w:tcBorders>
          </w:tcPr>
          <w:p w14:paraId="4789B640"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0.10±0.01</w:t>
            </w:r>
          </w:p>
        </w:tc>
      </w:tr>
      <w:tr w:rsidR="002818EF" w14:paraId="20900AB5" w14:textId="77777777">
        <w:trPr>
          <w:trHeight w:val="312"/>
        </w:trPr>
        <w:tc>
          <w:tcPr>
            <w:tcW w:w="796" w:type="dxa"/>
            <w:vMerge w:val="restart"/>
            <w:tcBorders>
              <w:top w:val="single" w:sz="4" w:space="0" w:color="auto"/>
              <w:bottom w:val="nil"/>
            </w:tcBorders>
            <w:noWrap/>
          </w:tcPr>
          <w:p w14:paraId="688981DF"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 xml:space="preserve">ST 2 </w:t>
            </w:r>
          </w:p>
        </w:tc>
        <w:tc>
          <w:tcPr>
            <w:tcW w:w="783" w:type="dxa"/>
            <w:tcBorders>
              <w:top w:val="single" w:sz="4" w:space="0" w:color="auto"/>
              <w:bottom w:val="nil"/>
            </w:tcBorders>
          </w:tcPr>
          <w:p w14:paraId="7E483AF3"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Cd</w:t>
            </w:r>
          </w:p>
        </w:tc>
        <w:tc>
          <w:tcPr>
            <w:tcW w:w="762" w:type="dxa"/>
            <w:tcBorders>
              <w:top w:val="single" w:sz="4" w:space="0" w:color="auto"/>
              <w:bottom w:val="nil"/>
            </w:tcBorders>
          </w:tcPr>
          <w:p w14:paraId="340A6E8B"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0.06±0.03</w:t>
            </w:r>
          </w:p>
        </w:tc>
        <w:tc>
          <w:tcPr>
            <w:tcW w:w="884" w:type="dxa"/>
            <w:tcBorders>
              <w:top w:val="single" w:sz="4" w:space="0" w:color="auto"/>
              <w:bottom w:val="nil"/>
            </w:tcBorders>
          </w:tcPr>
          <w:p w14:paraId="0F3FA47D"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1.75±0.35</w:t>
            </w:r>
          </w:p>
        </w:tc>
        <w:tc>
          <w:tcPr>
            <w:tcW w:w="701" w:type="dxa"/>
            <w:tcBorders>
              <w:top w:val="single" w:sz="4" w:space="0" w:color="auto"/>
              <w:bottom w:val="nil"/>
            </w:tcBorders>
          </w:tcPr>
          <w:p w14:paraId="179608A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0.60±0.06</w:t>
            </w:r>
          </w:p>
        </w:tc>
        <w:tc>
          <w:tcPr>
            <w:tcW w:w="884" w:type="dxa"/>
            <w:tcBorders>
              <w:top w:val="single" w:sz="4" w:space="0" w:color="auto"/>
              <w:bottom w:val="nil"/>
            </w:tcBorders>
          </w:tcPr>
          <w:p w14:paraId="71D6E62D"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4.35±0.19</w:t>
            </w:r>
          </w:p>
        </w:tc>
        <w:tc>
          <w:tcPr>
            <w:tcW w:w="701" w:type="dxa"/>
            <w:tcBorders>
              <w:top w:val="single" w:sz="4" w:space="0" w:color="auto"/>
              <w:bottom w:val="nil"/>
            </w:tcBorders>
          </w:tcPr>
          <w:p w14:paraId="5C4941AF"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0.03±0.02</w:t>
            </w:r>
          </w:p>
        </w:tc>
        <w:tc>
          <w:tcPr>
            <w:tcW w:w="701" w:type="dxa"/>
            <w:tcBorders>
              <w:top w:val="single" w:sz="4" w:space="0" w:color="auto"/>
              <w:bottom w:val="nil"/>
            </w:tcBorders>
          </w:tcPr>
          <w:p w14:paraId="0169C1CD"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0.13±0.07</w:t>
            </w:r>
          </w:p>
        </w:tc>
        <w:tc>
          <w:tcPr>
            <w:tcW w:w="701" w:type="dxa"/>
            <w:tcBorders>
              <w:top w:val="single" w:sz="4" w:space="0" w:color="auto"/>
              <w:bottom w:val="nil"/>
            </w:tcBorders>
          </w:tcPr>
          <w:p w14:paraId="513C862D"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single" w:sz="4" w:space="0" w:color="auto"/>
              <w:bottom w:val="nil"/>
            </w:tcBorders>
          </w:tcPr>
          <w:p w14:paraId="19F448BD"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0.18±0.03</w:t>
            </w:r>
          </w:p>
        </w:tc>
        <w:tc>
          <w:tcPr>
            <w:tcW w:w="701" w:type="dxa"/>
            <w:tcBorders>
              <w:top w:val="single" w:sz="4" w:space="0" w:color="auto"/>
              <w:bottom w:val="nil"/>
            </w:tcBorders>
          </w:tcPr>
          <w:p w14:paraId="4B97382D"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single" w:sz="4" w:space="0" w:color="auto"/>
              <w:bottom w:val="nil"/>
            </w:tcBorders>
          </w:tcPr>
          <w:p w14:paraId="0352F510"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0.24±0.06</w:t>
            </w:r>
          </w:p>
        </w:tc>
      </w:tr>
      <w:tr w:rsidR="002818EF" w14:paraId="57121F52" w14:textId="77777777">
        <w:trPr>
          <w:trHeight w:val="312"/>
        </w:trPr>
        <w:tc>
          <w:tcPr>
            <w:tcW w:w="796" w:type="dxa"/>
            <w:vMerge/>
            <w:tcBorders>
              <w:top w:val="nil"/>
              <w:bottom w:val="nil"/>
            </w:tcBorders>
          </w:tcPr>
          <w:p w14:paraId="50F77575" w14:textId="77777777" w:rsidR="002818EF" w:rsidRDefault="002818EF">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nil"/>
            </w:tcBorders>
          </w:tcPr>
          <w:p w14:paraId="4061E0B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Cr</w:t>
            </w:r>
          </w:p>
        </w:tc>
        <w:tc>
          <w:tcPr>
            <w:tcW w:w="762" w:type="dxa"/>
            <w:tcBorders>
              <w:top w:val="nil"/>
              <w:bottom w:val="nil"/>
            </w:tcBorders>
          </w:tcPr>
          <w:p w14:paraId="05F6DD2C"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1.13±0.10</w:t>
            </w:r>
          </w:p>
        </w:tc>
        <w:tc>
          <w:tcPr>
            <w:tcW w:w="884" w:type="dxa"/>
            <w:tcBorders>
              <w:top w:val="nil"/>
              <w:bottom w:val="nil"/>
            </w:tcBorders>
          </w:tcPr>
          <w:p w14:paraId="6A8F8ACB"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64.62±3.71</w:t>
            </w:r>
          </w:p>
        </w:tc>
        <w:tc>
          <w:tcPr>
            <w:tcW w:w="701" w:type="dxa"/>
            <w:tcBorders>
              <w:top w:val="nil"/>
              <w:bottom w:val="nil"/>
            </w:tcBorders>
          </w:tcPr>
          <w:p w14:paraId="1FCC753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4.06±1.00</w:t>
            </w:r>
          </w:p>
        </w:tc>
        <w:tc>
          <w:tcPr>
            <w:tcW w:w="884" w:type="dxa"/>
            <w:tcBorders>
              <w:top w:val="nil"/>
              <w:bottom w:val="nil"/>
            </w:tcBorders>
          </w:tcPr>
          <w:p w14:paraId="01B9DFA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127.98±5.47</w:t>
            </w:r>
          </w:p>
        </w:tc>
        <w:tc>
          <w:tcPr>
            <w:tcW w:w="701" w:type="dxa"/>
            <w:tcBorders>
              <w:top w:val="nil"/>
              <w:bottom w:val="nil"/>
            </w:tcBorders>
          </w:tcPr>
          <w:p w14:paraId="52C4E7BF"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0.49±0.13</w:t>
            </w:r>
          </w:p>
        </w:tc>
        <w:tc>
          <w:tcPr>
            <w:tcW w:w="701" w:type="dxa"/>
            <w:tcBorders>
              <w:top w:val="nil"/>
              <w:bottom w:val="nil"/>
            </w:tcBorders>
          </w:tcPr>
          <w:p w14:paraId="66FB766F"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3.57±0.49</w:t>
            </w:r>
          </w:p>
        </w:tc>
        <w:tc>
          <w:tcPr>
            <w:tcW w:w="701" w:type="dxa"/>
            <w:tcBorders>
              <w:top w:val="nil"/>
              <w:bottom w:val="nil"/>
            </w:tcBorders>
          </w:tcPr>
          <w:p w14:paraId="57FB6E5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0.01±0</w:t>
            </w:r>
          </w:p>
        </w:tc>
        <w:tc>
          <w:tcPr>
            <w:tcW w:w="701" w:type="dxa"/>
            <w:tcBorders>
              <w:top w:val="nil"/>
              <w:bottom w:val="nil"/>
            </w:tcBorders>
          </w:tcPr>
          <w:p w14:paraId="63C40C24"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0.61±0.07</w:t>
            </w:r>
          </w:p>
        </w:tc>
        <w:tc>
          <w:tcPr>
            <w:tcW w:w="701" w:type="dxa"/>
            <w:tcBorders>
              <w:top w:val="nil"/>
              <w:bottom w:val="nil"/>
            </w:tcBorders>
          </w:tcPr>
          <w:p w14:paraId="73129E70"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nil"/>
              <w:bottom w:val="nil"/>
            </w:tcBorders>
          </w:tcPr>
          <w:p w14:paraId="2C5514F7"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1.03±0.12</w:t>
            </w:r>
          </w:p>
        </w:tc>
      </w:tr>
      <w:tr w:rsidR="002818EF" w14:paraId="4F7EBE16" w14:textId="77777777">
        <w:trPr>
          <w:trHeight w:val="312"/>
        </w:trPr>
        <w:tc>
          <w:tcPr>
            <w:tcW w:w="796" w:type="dxa"/>
            <w:vMerge/>
            <w:tcBorders>
              <w:top w:val="nil"/>
              <w:bottom w:val="nil"/>
            </w:tcBorders>
          </w:tcPr>
          <w:p w14:paraId="6D487397" w14:textId="77777777" w:rsidR="002818EF" w:rsidRDefault="002818EF">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nil"/>
            </w:tcBorders>
          </w:tcPr>
          <w:p w14:paraId="0F8749C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Pb</w:t>
            </w:r>
          </w:p>
        </w:tc>
        <w:tc>
          <w:tcPr>
            <w:tcW w:w="762" w:type="dxa"/>
            <w:tcBorders>
              <w:top w:val="nil"/>
              <w:bottom w:val="nil"/>
            </w:tcBorders>
          </w:tcPr>
          <w:p w14:paraId="54268D7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47.01±2.53</w:t>
            </w:r>
          </w:p>
        </w:tc>
        <w:tc>
          <w:tcPr>
            <w:tcW w:w="884" w:type="dxa"/>
            <w:tcBorders>
              <w:top w:val="nil"/>
              <w:bottom w:val="nil"/>
            </w:tcBorders>
          </w:tcPr>
          <w:p w14:paraId="660D17B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157.64±6.26</w:t>
            </w:r>
          </w:p>
        </w:tc>
        <w:tc>
          <w:tcPr>
            <w:tcW w:w="701" w:type="dxa"/>
            <w:tcBorders>
              <w:top w:val="nil"/>
              <w:bottom w:val="nil"/>
            </w:tcBorders>
          </w:tcPr>
          <w:p w14:paraId="1F52D3DE"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7.62±0.51</w:t>
            </w:r>
          </w:p>
        </w:tc>
        <w:tc>
          <w:tcPr>
            <w:tcW w:w="884" w:type="dxa"/>
            <w:tcBorders>
              <w:top w:val="nil"/>
              <w:bottom w:val="nil"/>
            </w:tcBorders>
          </w:tcPr>
          <w:p w14:paraId="4796BB13"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657.81±15.11</w:t>
            </w:r>
          </w:p>
        </w:tc>
        <w:tc>
          <w:tcPr>
            <w:tcW w:w="701" w:type="dxa"/>
            <w:tcBorders>
              <w:top w:val="nil"/>
              <w:bottom w:val="nil"/>
            </w:tcBorders>
          </w:tcPr>
          <w:p w14:paraId="7C93900E"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0.07±0.05</w:t>
            </w:r>
          </w:p>
        </w:tc>
        <w:tc>
          <w:tcPr>
            <w:tcW w:w="701" w:type="dxa"/>
            <w:tcBorders>
              <w:top w:val="nil"/>
              <w:bottom w:val="nil"/>
            </w:tcBorders>
          </w:tcPr>
          <w:p w14:paraId="440A6637"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1.15±0.07</w:t>
            </w:r>
          </w:p>
        </w:tc>
        <w:tc>
          <w:tcPr>
            <w:tcW w:w="701" w:type="dxa"/>
            <w:tcBorders>
              <w:top w:val="nil"/>
              <w:bottom w:val="nil"/>
            </w:tcBorders>
          </w:tcPr>
          <w:p w14:paraId="5E00330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0.03±0.02</w:t>
            </w:r>
          </w:p>
        </w:tc>
        <w:tc>
          <w:tcPr>
            <w:tcW w:w="701" w:type="dxa"/>
            <w:tcBorders>
              <w:top w:val="nil"/>
              <w:bottom w:val="nil"/>
            </w:tcBorders>
          </w:tcPr>
          <w:p w14:paraId="48B1A433"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0.62±0.15</w:t>
            </w:r>
          </w:p>
        </w:tc>
        <w:tc>
          <w:tcPr>
            <w:tcW w:w="701" w:type="dxa"/>
            <w:tcBorders>
              <w:top w:val="nil"/>
              <w:bottom w:val="nil"/>
            </w:tcBorders>
          </w:tcPr>
          <w:p w14:paraId="61F51583"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0.01±0</w:t>
            </w:r>
          </w:p>
        </w:tc>
        <w:tc>
          <w:tcPr>
            <w:tcW w:w="701" w:type="dxa"/>
            <w:tcBorders>
              <w:top w:val="nil"/>
              <w:bottom w:val="nil"/>
            </w:tcBorders>
          </w:tcPr>
          <w:p w14:paraId="12472C64"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0.52±0.15</w:t>
            </w:r>
          </w:p>
        </w:tc>
      </w:tr>
      <w:tr w:rsidR="002818EF" w14:paraId="518B0ACE" w14:textId="77777777">
        <w:trPr>
          <w:trHeight w:val="312"/>
        </w:trPr>
        <w:tc>
          <w:tcPr>
            <w:tcW w:w="796" w:type="dxa"/>
            <w:vMerge/>
            <w:tcBorders>
              <w:top w:val="nil"/>
              <w:bottom w:val="single" w:sz="4" w:space="0" w:color="auto"/>
            </w:tcBorders>
          </w:tcPr>
          <w:p w14:paraId="4C4F2FF4" w14:textId="77777777" w:rsidR="002818EF" w:rsidRDefault="002818EF">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single" w:sz="4" w:space="0" w:color="auto"/>
            </w:tcBorders>
          </w:tcPr>
          <w:p w14:paraId="14EF74F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Hg</w:t>
            </w:r>
          </w:p>
        </w:tc>
        <w:tc>
          <w:tcPr>
            <w:tcW w:w="762" w:type="dxa"/>
            <w:tcBorders>
              <w:top w:val="nil"/>
              <w:bottom w:val="single" w:sz="4" w:space="0" w:color="auto"/>
            </w:tcBorders>
          </w:tcPr>
          <w:p w14:paraId="4165F81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0.01±0</w:t>
            </w:r>
          </w:p>
        </w:tc>
        <w:tc>
          <w:tcPr>
            <w:tcW w:w="884" w:type="dxa"/>
            <w:tcBorders>
              <w:top w:val="nil"/>
              <w:bottom w:val="single" w:sz="4" w:space="0" w:color="auto"/>
            </w:tcBorders>
          </w:tcPr>
          <w:p w14:paraId="7FEBB9E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0.84±0.35</w:t>
            </w:r>
          </w:p>
        </w:tc>
        <w:tc>
          <w:tcPr>
            <w:tcW w:w="701" w:type="dxa"/>
            <w:tcBorders>
              <w:top w:val="nil"/>
              <w:bottom w:val="single" w:sz="4" w:space="0" w:color="auto"/>
            </w:tcBorders>
          </w:tcPr>
          <w:p w14:paraId="11480FE4"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0.08±0.01</w:t>
            </w:r>
          </w:p>
        </w:tc>
        <w:tc>
          <w:tcPr>
            <w:tcW w:w="884" w:type="dxa"/>
            <w:tcBorders>
              <w:top w:val="nil"/>
              <w:bottom w:val="single" w:sz="4" w:space="0" w:color="auto"/>
            </w:tcBorders>
          </w:tcPr>
          <w:p w14:paraId="14965534"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1.49±0.08</w:t>
            </w:r>
          </w:p>
        </w:tc>
        <w:tc>
          <w:tcPr>
            <w:tcW w:w="701" w:type="dxa"/>
            <w:tcBorders>
              <w:top w:val="nil"/>
              <w:bottom w:val="single" w:sz="4" w:space="0" w:color="auto"/>
            </w:tcBorders>
          </w:tcPr>
          <w:p w14:paraId="664F684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0.01±0</w:t>
            </w:r>
          </w:p>
        </w:tc>
        <w:tc>
          <w:tcPr>
            <w:tcW w:w="701" w:type="dxa"/>
            <w:tcBorders>
              <w:top w:val="nil"/>
              <w:bottom w:val="single" w:sz="4" w:space="0" w:color="auto"/>
            </w:tcBorders>
          </w:tcPr>
          <w:p w14:paraId="0F607B6F"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1.13±0.10</w:t>
            </w:r>
          </w:p>
        </w:tc>
        <w:tc>
          <w:tcPr>
            <w:tcW w:w="701" w:type="dxa"/>
            <w:tcBorders>
              <w:top w:val="nil"/>
              <w:bottom w:val="single" w:sz="4" w:space="0" w:color="auto"/>
            </w:tcBorders>
          </w:tcPr>
          <w:p w14:paraId="036C0CAC"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0.01±0</w:t>
            </w:r>
          </w:p>
        </w:tc>
        <w:tc>
          <w:tcPr>
            <w:tcW w:w="701" w:type="dxa"/>
            <w:tcBorders>
              <w:top w:val="nil"/>
              <w:bottom w:val="single" w:sz="4" w:space="0" w:color="auto"/>
            </w:tcBorders>
          </w:tcPr>
          <w:p w14:paraId="632ED090"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1.10±0.01</w:t>
            </w:r>
          </w:p>
        </w:tc>
        <w:tc>
          <w:tcPr>
            <w:tcW w:w="701" w:type="dxa"/>
            <w:tcBorders>
              <w:top w:val="nil"/>
              <w:bottom w:val="single" w:sz="4" w:space="0" w:color="auto"/>
            </w:tcBorders>
          </w:tcPr>
          <w:p w14:paraId="1604195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nil"/>
              <w:bottom w:val="single" w:sz="4" w:space="0" w:color="auto"/>
            </w:tcBorders>
          </w:tcPr>
          <w:p w14:paraId="364D60E5"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1.05±0.03</w:t>
            </w:r>
          </w:p>
        </w:tc>
      </w:tr>
      <w:tr w:rsidR="002818EF" w14:paraId="75C583E5" w14:textId="77777777">
        <w:trPr>
          <w:trHeight w:val="312"/>
        </w:trPr>
        <w:tc>
          <w:tcPr>
            <w:tcW w:w="796" w:type="dxa"/>
            <w:vMerge w:val="restart"/>
            <w:tcBorders>
              <w:top w:val="single" w:sz="4" w:space="0" w:color="auto"/>
              <w:bottom w:val="nil"/>
            </w:tcBorders>
            <w:noWrap/>
          </w:tcPr>
          <w:p w14:paraId="5E2A63F7"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 xml:space="preserve">ST 3 </w:t>
            </w:r>
          </w:p>
        </w:tc>
        <w:tc>
          <w:tcPr>
            <w:tcW w:w="783" w:type="dxa"/>
            <w:tcBorders>
              <w:top w:val="single" w:sz="4" w:space="0" w:color="auto"/>
              <w:bottom w:val="nil"/>
            </w:tcBorders>
          </w:tcPr>
          <w:p w14:paraId="1B49E07C"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Cd</w:t>
            </w:r>
          </w:p>
        </w:tc>
        <w:tc>
          <w:tcPr>
            <w:tcW w:w="762" w:type="dxa"/>
            <w:tcBorders>
              <w:top w:val="single" w:sz="4" w:space="0" w:color="auto"/>
              <w:bottom w:val="nil"/>
            </w:tcBorders>
          </w:tcPr>
          <w:p w14:paraId="7C35C225"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0.21±0.02</w:t>
            </w:r>
          </w:p>
        </w:tc>
        <w:tc>
          <w:tcPr>
            <w:tcW w:w="884" w:type="dxa"/>
            <w:tcBorders>
              <w:top w:val="single" w:sz="4" w:space="0" w:color="auto"/>
              <w:bottom w:val="nil"/>
            </w:tcBorders>
          </w:tcPr>
          <w:p w14:paraId="35660220"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2.41±0.14</w:t>
            </w:r>
          </w:p>
        </w:tc>
        <w:tc>
          <w:tcPr>
            <w:tcW w:w="701" w:type="dxa"/>
            <w:tcBorders>
              <w:top w:val="single" w:sz="4" w:space="0" w:color="auto"/>
              <w:bottom w:val="nil"/>
            </w:tcBorders>
          </w:tcPr>
          <w:p w14:paraId="256C42B2"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0.82±0.03</w:t>
            </w:r>
          </w:p>
        </w:tc>
        <w:tc>
          <w:tcPr>
            <w:tcW w:w="884" w:type="dxa"/>
            <w:tcBorders>
              <w:top w:val="single" w:sz="4" w:space="0" w:color="auto"/>
              <w:bottom w:val="nil"/>
            </w:tcBorders>
          </w:tcPr>
          <w:p w14:paraId="45475B90"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5.11±0.18</w:t>
            </w:r>
          </w:p>
        </w:tc>
        <w:tc>
          <w:tcPr>
            <w:tcW w:w="701" w:type="dxa"/>
            <w:tcBorders>
              <w:top w:val="single" w:sz="4" w:space="0" w:color="auto"/>
              <w:bottom w:val="nil"/>
            </w:tcBorders>
          </w:tcPr>
          <w:p w14:paraId="5D90864B"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0.07±0</w:t>
            </w:r>
          </w:p>
        </w:tc>
        <w:tc>
          <w:tcPr>
            <w:tcW w:w="701" w:type="dxa"/>
            <w:tcBorders>
              <w:top w:val="single" w:sz="4" w:space="0" w:color="auto"/>
              <w:bottom w:val="nil"/>
            </w:tcBorders>
          </w:tcPr>
          <w:p w14:paraId="0C7CC31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0.11±0.02</w:t>
            </w:r>
          </w:p>
        </w:tc>
        <w:tc>
          <w:tcPr>
            <w:tcW w:w="701" w:type="dxa"/>
            <w:tcBorders>
              <w:top w:val="single" w:sz="4" w:space="0" w:color="auto"/>
              <w:bottom w:val="nil"/>
            </w:tcBorders>
          </w:tcPr>
          <w:p w14:paraId="2954122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0.01±0.01</w:t>
            </w:r>
          </w:p>
        </w:tc>
        <w:tc>
          <w:tcPr>
            <w:tcW w:w="701" w:type="dxa"/>
            <w:tcBorders>
              <w:top w:val="single" w:sz="4" w:space="0" w:color="auto"/>
              <w:bottom w:val="nil"/>
            </w:tcBorders>
          </w:tcPr>
          <w:p w14:paraId="19495E1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0.11±0.01</w:t>
            </w:r>
          </w:p>
        </w:tc>
        <w:tc>
          <w:tcPr>
            <w:tcW w:w="701" w:type="dxa"/>
            <w:tcBorders>
              <w:top w:val="single" w:sz="4" w:space="0" w:color="auto"/>
              <w:bottom w:val="nil"/>
            </w:tcBorders>
          </w:tcPr>
          <w:p w14:paraId="2EABCF8E"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single" w:sz="4" w:space="0" w:color="auto"/>
              <w:bottom w:val="nil"/>
            </w:tcBorders>
          </w:tcPr>
          <w:p w14:paraId="104658B3"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0.10±0</w:t>
            </w:r>
          </w:p>
        </w:tc>
      </w:tr>
      <w:tr w:rsidR="002818EF" w14:paraId="65322076" w14:textId="77777777">
        <w:trPr>
          <w:trHeight w:val="312"/>
        </w:trPr>
        <w:tc>
          <w:tcPr>
            <w:tcW w:w="796" w:type="dxa"/>
            <w:vMerge/>
            <w:tcBorders>
              <w:top w:val="nil"/>
              <w:bottom w:val="nil"/>
            </w:tcBorders>
          </w:tcPr>
          <w:p w14:paraId="3561E33A" w14:textId="77777777" w:rsidR="002818EF" w:rsidRDefault="002818EF">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nil"/>
            </w:tcBorders>
          </w:tcPr>
          <w:p w14:paraId="0756E57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Cr</w:t>
            </w:r>
          </w:p>
        </w:tc>
        <w:tc>
          <w:tcPr>
            <w:tcW w:w="762" w:type="dxa"/>
            <w:tcBorders>
              <w:top w:val="nil"/>
              <w:bottom w:val="nil"/>
            </w:tcBorders>
          </w:tcPr>
          <w:p w14:paraId="2BACCA76"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1.35±0.02</w:t>
            </w:r>
          </w:p>
        </w:tc>
        <w:tc>
          <w:tcPr>
            <w:tcW w:w="884" w:type="dxa"/>
            <w:tcBorders>
              <w:top w:val="nil"/>
              <w:bottom w:val="nil"/>
            </w:tcBorders>
          </w:tcPr>
          <w:p w14:paraId="1EDFE35E"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52.74±2.73</w:t>
            </w:r>
          </w:p>
        </w:tc>
        <w:tc>
          <w:tcPr>
            <w:tcW w:w="701" w:type="dxa"/>
            <w:tcBorders>
              <w:top w:val="nil"/>
              <w:bottom w:val="nil"/>
            </w:tcBorders>
          </w:tcPr>
          <w:p w14:paraId="0E22401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1.13±0.03</w:t>
            </w:r>
          </w:p>
        </w:tc>
        <w:tc>
          <w:tcPr>
            <w:tcW w:w="884" w:type="dxa"/>
            <w:tcBorders>
              <w:top w:val="nil"/>
              <w:bottom w:val="nil"/>
            </w:tcBorders>
          </w:tcPr>
          <w:p w14:paraId="5301ECB4"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120.67±5.21</w:t>
            </w:r>
          </w:p>
        </w:tc>
        <w:tc>
          <w:tcPr>
            <w:tcW w:w="701" w:type="dxa"/>
            <w:tcBorders>
              <w:top w:val="nil"/>
              <w:bottom w:val="nil"/>
            </w:tcBorders>
          </w:tcPr>
          <w:p w14:paraId="0BE28545"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0.42±0.02</w:t>
            </w:r>
          </w:p>
        </w:tc>
        <w:tc>
          <w:tcPr>
            <w:tcW w:w="701" w:type="dxa"/>
            <w:tcBorders>
              <w:top w:val="nil"/>
              <w:bottom w:val="nil"/>
            </w:tcBorders>
          </w:tcPr>
          <w:p w14:paraId="0C1F4D4F"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5.25±0.13</w:t>
            </w:r>
          </w:p>
        </w:tc>
        <w:tc>
          <w:tcPr>
            <w:tcW w:w="701" w:type="dxa"/>
            <w:tcBorders>
              <w:top w:val="nil"/>
              <w:bottom w:val="nil"/>
            </w:tcBorders>
          </w:tcPr>
          <w:p w14:paraId="27E58DBE"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0.18±0.02</w:t>
            </w:r>
          </w:p>
        </w:tc>
        <w:tc>
          <w:tcPr>
            <w:tcW w:w="701" w:type="dxa"/>
            <w:tcBorders>
              <w:top w:val="nil"/>
              <w:bottom w:val="nil"/>
            </w:tcBorders>
          </w:tcPr>
          <w:p w14:paraId="2C7B74C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1.12±0.03</w:t>
            </w:r>
          </w:p>
        </w:tc>
        <w:tc>
          <w:tcPr>
            <w:tcW w:w="701" w:type="dxa"/>
            <w:tcBorders>
              <w:top w:val="nil"/>
              <w:bottom w:val="nil"/>
            </w:tcBorders>
          </w:tcPr>
          <w:p w14:paraId="173C16CB"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0.13±0.02</w:t>
            </w:r>
          </w:p>
        </w:tc>
        <w:tc>
          <w:tcPr>
            <w:tcW w:w="701" w:type="dxa"/>
            <w:tcBorders>
              <w:top w:val="nil"/>
              <w:bottom w:val="nil"/>
            </w:tcBorders>
          </w:tcPr>
          <w:p w14:paraId="7743201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1.15±0.04</w:t>
            </w:r>
          </w:p>
        </w:tc>
      </w:tr>
      <w:tr w:rsidR="002818EF" w14:paraId="0EC2E525" w14:textId="77777777">
        <w:trPr>
          <w:trHeight w:val="312"/>
        </w:trPr>
        <w:tc>
          <w:tcPr>
            <w:tcW w:w="796" w:type="dxa"/>
            <w:vMerge/>
            <w:tcBorders>
              <w:top w:val="nil"/>
              <w:bottom w:val="nil"/>
            </w:tcBorders>
          </w:tcPr>
          <w:p w14:paraId="4F144B79" w14:textId="77777777" w:rsidR="002818EF" w:rsidRDefault="002818EF">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nil"/>
            </w:tcBorders>
          </w:tcPr>
          <w:p w14:paraId="58A03D6B"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Pb</w:t>
            </w:r>
          </w:p>
        </w:tc>
        <w:tc>
          <w:tcPr>
            <w:tcW w:w="762" w:type="dxa"/>
            <w:tcBorders>
              <w:top w:val="nil"/>
              <w:bottom w:val="nil"/>
            </w:tcBorders>
          </w:tcPr>
          <w:p w14:paraId="16611142"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51.49±2.03</w:t>
            </w:r>
          </w:p>
        </w:tc>
        <w:tc>
          <w:tcPr>
            <w:tcW w:w="884" w:type="dxa"/>
            <w:tcBorders>
              <w:top w:val="nil"/>
              <w:bottom w:val="nil"/>
            </w:tcBorders>
          </w:tcPr>
          <w:p w14:paraId="24DFCD3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262.66±7.09</w:t>
            </w:r>
          </w:p>
        </w:tc>
        <w:tc>
          <w:tcPr>
            <w:tcW w:w="701" w:type="dxa"/>
            <w:tcBorders>
              <w:top w:val="nil"/>
              <w:bottom w:val="nil"/>
            </w:tcBorders>
          </w:tcPr>
          <w:p w14:paraId="38D0B8AF"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3.19±0.16</w:t>
            </w:r>
          </w:p>
        </w:tc>
        <w:tc>
          <w:tcPr>
            <w:tcW w:w="884" w:type="dxa"/>
            <w:tcBorders>
              <w:top w:val="nil"/>
              <w:bottom w:val="nil"/>
            </w:tcBorders>
          </w:tcPr>
          <w:p w14:paraId="3A49D52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600.57±14.63</w:t>
            </w:r>
          </w:p>
        </w:tc>
        <w:tc>
          <w:tcPr>
            <w:tcW w:w="701" w:type="dxa"/>
            <w:tcBorders>
              <w:top w:val="nil"/>
              <w:bottom w:val="nil"/>
            </w:tcBorders>
          </w:tcPr>
          <w:p w14:paraId="3D835997"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0.39±0.01</w:t>
            </w:r>
          </w:p>
        </w:tc>
        <w:tc>
          <w:tcPr>
            <w:tcW w:w="701" w:type="dxa"/>
            <w:tcBorders>
              <w:top w:val="nil"/>
              <w:bottom w:val="nil"/>
            </w:tcBorders>
          </w:tcPr>
          <w:p w14:paraId="7310CB92"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1.60±0.05</w:t>
            </w:r>
          </w:p>
        </w:tc>
        <w:tc>
          <w:tcPr>
            <w:tcW w:w="701" w:type="dxa"/>
            <w:tcBorders>
              <w:top w:val="nil"/>
              <w:bottom w:val="nil"/>
            </w:tcBorders>
          </w:tcPr>
          <w:p w14:paraId="665E9872"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0.10±0</w:t>
            </w:r>
          </w:p>
        </w:tc>
        <w:tc>
          <w:tcPr>
            <w:tcW w:w="701" w:type="dxa"/>
            <w:tcBorders>
              <w:top w:val="nil"/>
              <w:bottom w:val="nil"/>
            </w:tcBorders>
          </w:tcPr>
          <w:p w14:paraId="560B49B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0.21±0.02</w:t>
            </w:r>
          </w:p>
        </w:tc>
        <w:tc>
          <w:tcPr>
            <w:tcW w:w="701" w:type="dxa"/>
            <w:tcBorders>
              <w:top w:val="nil"/>
              <w:bottom w:val="nil"/>
            </w:tcBorders>
          </w:tcPr>
          <w:p w14:paraId="0A17FECD"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0.08±0</w:t>
            </w:r>
          </w:p>
        </w:tc>
        <w:tc>
          <w:tcPr>
            <w:tcW w:w="701" w:type="dxa"/>
            <w:tcBorders>
              <w:top w:val="nil"/>
              <w:bottom w:val="nil"/>
            </w:tcBorders>
          </w:tcPr>
          <w:p w14:paraId="5596A19D"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0.22±0.03</w:t>
            </w:r>
          </w:p>
        </w:tc>
      </w:tr>
      <w:tr w:rsidR="002818EF" w14:paraId="0CEAFD87" w14:textId="77777777">
        <w:trPr>
          <w:trHeight w:val="312"/>
        </w:trPr>
        <w:tc>
          <w:tcPr>
            <w:tcW w:w="796" w:type="dxa"/>
            <w:vMerge/>
            <w:tcBorders>
              <w:top w:val="nil"/>
              <w:bottom w:val="single" w:sz="4" w:space="0" w:color="auto"/>
            </w:tcBorders>
          </w:tcPr>
          <w:p w14:paraId="65DD7F80" w14:textId="77777777" w:rsidR="002818EF" w:rsidRDefault="002818EF">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single" w:sz="4" w:space="0" w:color="auto"/>
            </w:tcBorders>
          </w:tcPr>
          <w:p w14:paraId="7D714124"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Hg</w:t>
            </w:r>
          </w:p>
        </w:tc>
        <w:tc>
          <w:tcPr>
            <w:tcW w:w="762" w:type="dxa"/>
            <w:tcBorders>
              <w:top w:val="nil"/>
              <w:bottom w:val="single" w:sz="4" w:space="0" w:color="auto"/>
            </w:tcBorders>
          </w:tcPr>
          <w:p w14:paraId="7CDCF4A4"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0.06±0.01</w:t>
            </w:r>
          </w:p>
        </w:tc>
        <w:tc>
          <w:tcPr>
            <w:tcW w:w="884" w:type="dxa"/>
            <w:tcBorders>
              <w:top w:val="nil"/>
              <w:bottom w:val="single" w:sz="4" w:space="0" w:color="auto"/>
            </w:tcBorders>
          </w:tcPr>
          <w:p w14:paraId="43A22D7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1.13±0.11</w:t>
            </w:r>
          </w:p>
        </w:tc>
        <w:tc>
          <w:tcPr>
            <w:tcW w:w="701" w:type="dxa"/>
            <w:tcBorders>
              <w:top w:val="nil"/>
              <w:bottom w:val="single" w:sz="4" w:space="0" w:color="auto"/>
            </w:tcBorders>
          </w:tcPr>
          <w:p w14:paraId="3FB61740"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0.17±0.02</w:t>
            </w:r>
          </w:p>
        </w:tc>
        <w:tc>
          <w:tcPr>
            <w:tcW w:w="884" w:type="dxa"/>
            <w:tcBorders>
              <w:top w:val="nil"/>
              <w:bottom w:val="single" w:sz="4" w:space="0" w:color="auto"/>
            </w:tcBorders>
          </w:tcPr>
          <w:p w14:paraId="47A6CBDD"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1.28±0.04</w:t>
            </w:r>
          </w:p>
        </w:tc>
        <w:tc>
          <w:tcPr>
            <w:tcW w:w="701" w:type="dxa"/>
            <w:tcBorders>
              <w:top w:val="nil"/>
              <w:bottom w:val="single" w:sz="4" w:space="0" w:color="auto"/>
            </w:tcBorders>
          </w:tcPr>
          <w:p w14:paraId="64E7C06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0.40±0.02</w:t>
            </w:r>
          </w:p>
        </w:tc>
        <w:tc>
          <w:tcPr>
            <w:tcW w:w="701" w:type="dxa"/>
            <w:tcBorders>
              <w:top w:val="nil"/>
              <w:bottom w:val="single" w:sz="4" w:space="0" w:color="auto"/>
            </w:tcBorders>
          </w:tcPr>
          <w:p w14:paraId="29CD8843"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1.11±0.01</w:t>
            </w:r>
          </w:p>
        </w:tc>
        <w:tc>
          <w:tcPr>
            <w:tcW w:w="701" w:type="dxa"/>
            <w:tcBorders>
              <w:top w:val="nil"/>
              <w:bottom w:val="single" w:sz="4" w:space="0" w:color="auto"/>
            </w:tcBorders>
          </w:tcPr>
          <w:p w14:paraId="4CF13F7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nil"/>
              <w:bottom w:val="single" w:sz="4" w:space="0" w:color="auto"/>
            </w:tcBorders>
          </w:tcPr>
          <w:p w14:paraId="5E1BA85E"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0.05±0</w:t>
            </w:r>
          </w:p>
        </w:tc>
        <w:tc>
          <w:tcPr>
            <w:tcW w:w="701" w:type="dxa"/>
            <w:tcBorders>
              <w:top w:val="nil"/>
              <w:bottom w:val="single" w:sz="4" w:space="0" w:color="auto"/>
            </w:tcBorders>
          </w:tcPr>
          <w:p w14:paraId="66170194"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nil"/>
              <w:bottom w:val="single" w:sz="4" w:space="0" w:color="auto"/>
            </w:tcBorders>
          </w:tcPr>
          <w:p w14:paraId="1BA4660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0.08±0.01</w:t>
            </w:r>
          </w:p>
        </w:tc>
      </w:tr>
      <w:tr w:rsidR="002818EF" w14:paraId="7F166072" w14:textId="77777777">
        <w:trPr>
          <w:trHeight w:val="312"/>
        </w:trPr>
        <w:tc>
          <w:tcPr>
            <w:tcW w:w="796" w:type="dxa"/>
            <w:vMerge w:val="restart"/>
            <w:tcBorders>
              <w:top w:val="single" w:sz="4" w:space="0" w:color="auto"/>
              <w:bottom w:val="nil"/>
            </w:tcBorders>
            <w:noWrap/>
          </w:tcPr>
          <w:p w14:paraId="2E0CD57F"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 xml:space="preserve">ST 4 </w:t>
            </w:r>
          </w:p>
        </w:tc>
        <w:tc>
          <w:tcPr>
            <w:tcW w:w="783" w:type="dxa"/>
            <w:tcBorders>
              <w:top w:val="single" w:sz="4" w:space="0" w:color="auto"/>
              <w:bottom w:val="nil"/>
            </w:tcBorders>
          </w:tcPr>
          <w:p w14:paraId="3D673E7B"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Cd</w:t>
            </w:r>
          </w:p>
        </w:tc>
        <w:tc>
          <w:tcPr>
            <w:tcW w:w="762" w:type="dxa"/>
            <w:tcBorders>
              <w:top w:val="single" w:sz="4" w:space="0" w:color="auto"/>
              <w:bottom w:val="nil"/>
            </w:tcBorders>
          </w:tcPr>
          <w:p w14:paraId="3CD4CA4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0.04±0.01</w:t>
            </w:r>
          </w:p>
        </w:tc>
        <w:tc>
          <w:tcPr>
            <w:tcW w:w="884" w:type="dxa"/>
            <w:tcBorders>
              <w:top w:val="single" w:sz="4" w:space="0" w:color="auto"/>
              <w:bottom w:val="nil"/>
            </w:tcBorders>
          </w:tcPr>
          <w:p w14:paraId="4A5FE3B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2.89±0.31</w:t>
            </w:r>
          </w:p>
        </w:tc>
        <w:tc>
          <w:tcPr>
            <w:tcW w:w="701" w:type="dxa"/>
            <w:tcBorders>
              <w:top w:val="single" w:sz="4" w:space="0" w:color="auto"/>
              <w:bottom w:val="nil"/>
            </w:tcBorders>
          </w:tcPr>
          <w:p w14:paraId="5BB00E5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0.68±0.03</w:t>
            </w:r>
          </w:p>
        </w:tc>
        <w:tc>
          <w:tcPr>
            <w:tcW w:w="884" w:type="dxa"/>
            <w:tcBorders>
              <w:top w:val="single" w:sz="4" w:space="0" w:color="auto"/>
              <w:bottom w:val="nil"/>
            </w:tcBorders>
          </w:tcPr>
          <w:p w14:paraId="0C2218A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2.69±0.83</w:t>
            </w:r>
          </w:p>
        </w:tc>
        <w:tc>
          <w:tcPr>
            <w:tcW w:w="701" w:type="dxa"/>
            <w:tcBorders>
              <w:top w:val="single" w:sz="4" w:space="0" w:color="auto"/>
              <w:bottom w:val="nil"/>
            </w:tcBorders>
          </w:tcPr>
          <w:p w14:paraId="1318E01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0.04±0.01</w:t>
            </w:r>
          </w:p>
        </w:tc>
        <w:tc>
          <w:tcPr>
            <w:tcW w:w="701" w:type="dxa"/>
            <w:tcBorders>
              <w:top w:val="single" w:sz="4" w:space="0" w:color="auto"/>
              <w:bottom w:val="nil"/>
            </w:tcBorders>
          </w:tcPr>
          <w:p w14:paraId="3C58A965"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0.17±0.01</w:t>
            </w:r>
          </w:p>
        </w:tc>
        <w:tc>
          <w:tcPr>
            <w:tcW w:w="701" w:type="dxa"/>
            <w:tcBorders>
              <w:top w:val="single" w:sz="4" w:space="0" w:color="auto"/>
              <w:bottom w:val="nil"/>
            </w:tcBorders>
          </w:tcPr>
          <w:p w14:paraId="30674A87"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single" w:sz="4" w:space="0" w:color="auto"/>
              <w:bottom w:val="nil"/>
            </w:tcBorders>
          </w:tcPr>
          <w:p w14:paraId="05A2F7C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0.10±0.01</w:t>
            </w:r>
          </w:p>
        </w:tc>
        <w:tc>
          <w:tcPr>
            <w:tcW w:w="701" w:type="dxa"/>
            <w:tcBorders>
              <w:top w:val="single" w:sz="4" w:space="0" w:color="auto"/>
              <w:bottom w:val="nil"/>
            </w:tcBorders>
          </w:tcPr>
          <w:p w14:paraId="58088C3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single" w:sz="4" w:space="0" w:color="auto"/>
              <w:bottom w:val="nil"/>
            </w:tcBorders>
          </w:tcPr>
          <w:p w14:paraId="5AF8350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0.13±0.01</w:t>
            </w:r>
          </w:p>
        </w:tc>
      </w:tr>
      <w:tr w:rsidR="002818EF" w14:paraId="2394865D" w14:textId="77777777">
        <w:trPr>
          <w:trHeight w:val="312"/>
        </w:trPr>
        <w:tc>
          <w:tcPr>
            <w:tcW w:w="796" w:type="dxa"/>
            <w:vMerge/>
            <w:tcBorders>
              <w:top w:val="nil"/>
              <w:bottom w:val="nil"/>
            </w:tcBorders>
          </w:tcPr>
          <w:p w14:paraId="187EE3A3" w14:textId="77777777" w:rsidR="002818EF" w:rsidRDefault="002818EF">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nil"/>
            </w:tcBorders>
          </w:tcPr>
          <w:p w14:paraId="56EF9F2F"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Cr</w:t>
            </w:r>
          </w:p>
        </w:tc>
        <w:tc>
          <w:tcPr>
            <w:tcW w:w="762" w:type="dxa"/>
            <w:tcBorders>
              <w:top w:val="nil"/>
              <w:bottom w:val="nil"/>
            </w:tcBorders>
          </w:tcPr>
          <w:p w14:paraId="41BAA60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2.24±0.12</w:t>
            </w:r>
          </w:p>
        </w:tc>
        <w:tc>
          <w:tcPr>
            <w:tcW w:w="884" w:type="dxa"/>
            <w:tcBorders>
              <w:top w:val="nil"/>
              <w:bottom w:val="nil"/>
            </w:tcBorders>
          </w:tcPr>
          <w:p w14:paraId="3080B0E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67.81±3.15</w:t>
            </w:r>
          </w:p>
        </w:tc>
        <w:tc>
          <w:tcPr>
            <w:tcW w:w="701" w:type="dxa"/>
            <w:tcBorders>
              <w:top w:val="nil"/>
              <w:bottom w:val="nil"/>
            </w:tcBorders>
          </w:tcPr>
          <w:p w14:paraId="540FCE55"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3.06±0.20</w:t>
            </w:r>
          </w:p>
        </w:tc>
        <w:tc>
          <w:tcPr>
            <w:tcW w:w="884" w:type="dxa"/>
            <w:tcBorders>
              <w:top w:val="nil"/>
              <w:bottom w:val="nil"/>
            </w:tcBorders>
          </w:tcPr>
          <w:p w14:paraId="7D6B7E1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136.09±6.01</w:t>
            </w:r>
          </w:p>
        </w:tc>
        <w:tc>
          <w:tcPr>
            <w:tcW w:w="701" w:type="dxa"/>
            <w:tcBorders>
              <w:top w:val="nil"/>
              <w:bottom w:val="nil"/>
            </w:tcBorders>
          </w:tcPr>
          <w:p w14:paraId="1FD18284"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0.52±0.05</w:t>
            </w:r>
          </w:p>
        </w:tc>
        <w:tc>
          <w:tcPr>
            <w:tcW w:w="701" w:type="dxa"/>
            <w:tcBorders>
              <w:top w:val="nil"/>
              <w:bottom w:val="nil"/>
            </w:tcBorders>
          </w:tcPr>
          <w:p w14:paraId="4388B820"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1.69±0.15</w:t>
            </w:r>
          </w:p>
        </w:tc>
        <w:tc>
          <w:tcPr>
            <w:tcW w:w="701" w:type="dxa"/>
            <w:tcBorders>
              <w:top w:val="nil"/>
              <w:bottom w:val="nil"/>
            </w:tcBorders>
          </w:tcPr>
          <w:p w14:paraId="6F0C89F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0.16±0.06</w:t>
            </w:r>
          </w:p>
        </w:tc>
        <w:tc>
          <w:tcPr>
            <w:tcW w:w="701" w:type="dxa"/>
            <w:tcBorders>
              <w:top w:val="nil"/>
              <w:bottom w:val="nil"/>
            </w:tcBorders>
          </w:tcPr>
          <w:p w14:paraId="4F161A4E"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1.16±0.05</w:t>
            </w:r>
          </w:p>
        </w:tc>
        <w:tc>
          <w:tcPr>
            <w:tcW w:w="701" w:type="dxa"/>
            <w:tcBorders>
              <w:top w:val="nil"/>
              <w:bottom w:val="nil"/>
            </w:tcBorders>
          </w:tcPr>
          <w:p w14:paraId="1DFBFE20"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0.24±0.03</w:t>
            </w:r>
          </w:p>
        </w:tc>
        <w:tc>
          <w:tcPr>
            <w:tcW w:w="701" w:type="dxa"/>
            <w:tcBorders>
              <w:top w:val="nil"/>
              <w:bottom w:val="nil"/>
            </w:tcBorders>
          </w:tcPr>
          <w:p w14:paraId="6750D8A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1.13±0.03</w:t>
            </w:r>
          </w:p>
        </w:tc>
      </w:tr>
      <w:tr w:rsidR="002818EF" w14:paraId="59AB411A" w14:textId="77777777">
        <w:trPr>
          <w:trHeight w:val="312"/>
        </w:trPr>
        <w:tc>
          <w:tcPr>
            <w:tcW w:w="796" w:type="dxa"/>
            <w:vMerge/>
            <w:tcBorders>
              <w:top w:val="nil"/>
              <w:bottom w:val="nil"/>
            </w:tcBorders>
          </w:tcPr>
          <w:p w14:paraId="13F375C1" w14:textId="77777777" w:rsidR="002818EF" w:rsidRDefault="002818EF">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nil"/>
            </w:tcBorders>
          </w:tcPr>
          <w:p w14:paraId="7DF92A07"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Pb</w:t>
            </w:r>
          </w:p>
        </w:tc>
        <w:tc>
          <w:tcPr>
            <w:tcW w:w="762" w:type="dxa"/>
            <w:tcBorders>
              <w:top w:val="nil"/>
              <w:bottom w:val="nil"/>
            </w:tcBorders>
          </w:tcPr>
          <w:p w14:paraId="5ACE423B"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32.52±1.56</w:t>
            </w:r>
          </w:p>
        </w:tc>
        <w:tc>
          <w:tcPr>
            <w:tcW w:w="884" w:type="dxa"/>
            <w:tcBorders>
              <w:top w:val="nil"/>
              <w:bottom w:val="nil"/>
            </w:tcBorders>
          </w:tcPr>
          <w:p w14:paraId="35CFBCA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124.05±5.66</w:t>
            </w:r>
          </w:p>
        </w:tc>
        <w:tc>
          <w:tcPr>
            <w:tcW w:w="701" w:type="dxa"/>
            <w:tcBorders>
              <w:top w:val="nil"/>
              <w:bottom w:val="nil"/>
            </w:tcBorders>
          </w:tcPr>
          <w:p w14:paraId="7D85501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2.59±0.15</w:t>
            </w:r>
          </w:p>
        </w:tc>
        <w:tc>
          <w:tcPr>
            <w:tcW w:w="884" w:type="dxa"/>
            <w:tcBorders>
              <w:top w:val="nil"/>
              <w:bottom w:val="nil"/>
            </w:tcBorders>
          </w:tcPr>
          <w:p w14:paraId="7E5EAB77"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587.20±13.58</w:t>
            </w:r>
          </w:p>
        </w:tc>
        <w:tc>
          <w:tcPr>
            <w:tcW w:w="701" w:type="dxa"/>
            <w:tcBorders>
              <w:top w:val="nil"/>
              <w:bottom w:val="nil"/>
            </w:tcBorders>
          </w:tcPr>
          <w:p w14:paraId="10E4F316"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0.25±0.02</w:t>
            </w:r>
          </w:p>
        </w:tc>
        <w:tc>
          <w:tcPr>
            <w:tcW w:w="701" w:type="dxa"/>
            <w:tcBorders>
              <w:top w:val="nil"/>
              <w:bottom w:val="nil"/>
            </w:tcBorders>
          </w:tcPr>
          <w:p w14:paraId="3A4E5A66"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1.40±0.04</w:t>
            </w:r>
          </w:p>
        </w:tc>
        <w:tc>
          <w:tcPr>
            <w:tcW w:w="701" w:type="dxa"/>
            <w:tcBorders>
              <w:top w:val="nil"/>
              <w:bottom w:val="nil"/>
            </w:tcBorders>
          </w:tcPr>
          <w:p w14:paraId="6AEED8DD"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0.02±0.01</w:t>
            </w:r>
          </w:p>
        </w:tc>
        <w:tc>
          <w:tcPr>
            <w:tcW w:w="701" w:type="dxa"/>
            <w:tcBorders>
              <w:top w:val="nil"/>
              <w:bottom w:val="nil"/>
            </w:tcBorders>
          </w:tcPr>
          <w:p w14:paraId="68028002"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0.46±0.11</w:t>
            </w:r>
          </w:p>
        </w:tc>
        <w:tc>
          <w:tcPr>
            <w:tcW w:w="701" w:type="dxa"/>
            <w:tcBorders>
              <w:top w:val="nil"/>
              <w:bottom w:val="nil"/>
            </w:tcBorders>
          </w:tcPr>
          <w:p w14:paraId="42F5B1F4"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0.07±0.05</w:t>
            </w:r>
          </w:p>
        </w:tc>
        <w:tc>
          <w:tcPr>
            <w:tcW w:w="701" w:type="dxa"/>
            <w:tcBorders>
              <w:top w:val="nil"/>
              <w:bottom w:val="nil"/>
            </w:tcBorders>
          </w:tcPr>
          <w:p w14:paraId="66B8C6B0"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0.24±0.04</w:t>
            </w:r>
          </w:p>
        </w:tc>
      </w:tr>
      <w:tr w:rsidR="002818EF" w14:paraId="06AAAE17" w14:textId="77777777">
        <w:trPr>
          <w:trHeight w:val="312"/>
        </w:trPr>
        <w:tc>
          <w:tcPr>
            <w:tcW w:w="796" w:type="dxa"/>
            <w:vMerge/>
            <w:tcBorders>
              <w:top w:val="nil"/>
              <w:bottom w:val="single" w:sz="4" w:space="0" w:color="auto"/>
            </w:tcBorders>
          </w:tcPr>
          <w:p w14:paraId="19ED6341" w14:textId="77777777" w:rsidR="002818EF" w:rsidRDefault="002818EF">
            <w:pPr>
              <w:spacing w:line="240" w:lineRule="auto"/>
              <w:ind w:left="0"/>
              <w:jc w:val="left"/>
              <w:rPr>
                <w:rFonts w:asciiTheme="minorHAnsi" w:eastAsiaTheme="minorHAnsi" w:hAnsiTheme="minorHAnsi" w:cstheme="minorBidi"/>
                <w14:ligatures w14:val="standardContextual"/>
              </w:rPr>
            </w:pPr>
          </w:p>
        </w:tc>
        <w:tc>
          <w:tcPr>
            <w:tcW w:w="783" w:type="dxa"/>
            <w:tcBorders>
              <w:top w:val="nil"/>
              <w:bottom w:val="single" w:sz="4" w:space="0" w:color="auto"/>
            </w:tcBorders>
          </w:tcPr>
          <w:p w14:paraId="4305822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Hg</w:t>
            </w:r>
          </w:p>
        </w:tc>
        <w:tc>
          <w:tcPr>
            <w:tcW w:w="762" w:type="dxa"/>
            <w:tcBorders>
              <w:top w:val="nil"/>
              <w:bottom w:val="single" w:sz="4" w:space="0" w:color="auto"/>
            </w:tcBorders>
          </w:tcPr>
          <w:p w14:paraId="455F5F06"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0.07±0.02</w:t>
            </w:r>
          </w:p>
        </w:tc>
        <w:tc>
          <w:tcPr>
            <w:tcW w:w="884" w:type="dxa"/>
            <w:tcBorders>
              <w:top w:val="nil"/>
              <w:bottom w:val="single" w:sz="4" w:space="0" w:color="auto"/>
            </w:tcBorders>
          </w:tcPr>
          <w:p w14:paraId="76CD33E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1.07±0.02</w:t>
            </w:r>
          </w:p>
        </w:tc>
        <w:tc>
          <w:tcPr>
            <w:tcW w:w="701" w:type="dxa"/>
            <w:tcBorders>
              <w:top w:val="nil"/>
              <w:bottom w:val="single" w:sz="4" w:space="0" w:color="auto"/>
            </w:tcBorders>
          </w:tcPr>
          <w:p w14:paraId="394C429D"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0.10±0.01</w:t>
            </w:r>
          </w:p>
        </w:tc>
        <w:tc>
          <w:tcPr>
            <w:tcW w:w="884" w:type="dxa"/>
            <w:tcBorders>
              <w:top w:val="nil"/>
              <w:bottom w:val="single" w:sz="4" w:space="0" w:color="auto"/>
            </w:tcBorders>
          </w:tcPr>
          <w:p w14:paraId="3DA44EE3"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1.38±0.10</w:t>
            </w:r>
          </w:p>
        </w:tc>
        <w:tc>
          <w:tcPr>
            <w:tcW w:w="701" w:type="dxa"/>
            <w:tcBorders>
              <w:top w:val="nil"/>
              <w:bottom w:val="single" w:sz="4" w:space="0" w:color="auto"/>
            </w:tcBorders>
          </w:tcPr>
          <w:p w14:paraId="637329BD"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0.06±0.01</w:t>
            </w:r>
          </w:p>
        </w:tc>
        <w:tc>
          <w:tcPr>
            <w:tcW w:w="701" w:type="dxa"/>
            <w:tcBorders>
              <w:top w:val="nil"/>
              <w:bottom w:val="single" w:sz="4" w:space="0" w:color="auto"/>
            </w:tcBorders>
          </w:tcPr>
          <w:p w14:paraId="5415183E"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0.20±0.02</w:t>
            </w:r>
          </w:p>
        </w:tc>
        <w:tc>
          <w:tcPr>
            <w:tcW w:w="701" w:type="dxa"/>
            <w:tcBorders>
              <w:top w:val="nil"/>
              <w:bottom w:val="single" w:sz="4" w:space="0" w:color="auto"/>
            </w:tcBorders>
          </w:tcPr>
          <w:p w14:paraId="484FE18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0.03±.01</w:t>
            </w:r>
          </w:p>
        </w:tc>
        <w:tc>
          <w:tcPr>
            <w:tcW w:w="701" w:type="dxa"/>
            <w:tcBorders>
              <w:top w:val="nil"/>
              <w:bottom w:val="single" w:sz="4" w:space="0" w:color="auto"/>
            </w:tcBorders>
          </w:tcPr>
          <w:p w14:paraId="3B8C048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1.13±0.11</w:t>
            </w:r>
          </w:p>
        </w:tc>
        <w:tc>
          <w:tcPr>
            <w:tcW w:w="701" w:type="dxa"/>
            <w:tcBorders>
              <w:top w:val="nil"/>
              <w:bottom w:val="single" w:sz="4" w:space="0" w:color="auto"/>
            </w:tcBorders>
          </w:tcPr>
          <w:p w14:paraId="0596C55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0.02±.01</w:t>
            </w:r>
          </w:p>
        </w:tc>
        <w:tc>
          <w:tcPr>
            <w:tcW w:w="701" w:type="dxa"/>
            <w:tcBorders>
              <w:top w:val="nil"/>
              <w:bottom w:val="single" w:sz="4" w:space="0" w:color="auto"/>
            </w:tcBorders>
          </w:tcPr>
          <w:p w14:paraId="041DCF6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1.09±.04</w:t>
            </w:r>
          </w:p>
        </w:tc>
      </w:tr>
      <w:tr w:rsidR="002818EF" w14:paraId="0A9C9740" w14:textId="77777777">
        <w:trPr>
          <w:trHeight w:val="312"/>
        </w:trPr>
        <w:tc>
          <w:tcPr>
            <w:tcW w:w="796" w:type="dxa"/>
            <w:vMerge w:val="restart"/>
            <w:tcBorders>
              <w:top w:val="single" w:sz="4" w:space="0" w:color="auto"/>
            </w:tcBorders>
            <w:noWrap/>
          </w:tcPr>
          <w:p w14:paraId="5CE54BA5"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 xml:space="preserve">ST 5 </w:t>
            </w:r>
          </w:p>
        </w:tc>
        <w:tc>
          <w:tcPr>
            <w:tcW w:w="783" w:type="dxa"/>
            <w:tcBorders>
              <w:top w:val="single" w:sz="4" w:space="0" w:color="auto"/>
            </w:tcBorders>
          </w:tcPr>
          <w:p w14:paraId="6393E7FC"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Cd</w:t>
            </w:r>
          </w:p>
        </w:tc>
        <w:tc>
          <w:tcPr>
            <w:tcW w:w="762" w:type="dxa"/>
            <w:tcBorders>
              <w:top w:val="single" w:sz="4" w:space="0" w:color="auto"/>
            </w:tcBorders>
          </w:tcPr>
          <w:p w14:paraId="3C378FBB"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0.02±0.01</w:t>
            </w:r>
          </w:p>
        </w:tc>
        <w:tc>
          <w:tcPr>
            <w:tcW w:w="884" w:type="dxa"/>
            <w:tcBorders>
              <w:top w:val="single" w:sz="4" w:space="0" w:color="auto"/>
            </w:tcBorders>
          </w:tcPr>
          <w:p w14:paraId="3A91C2F7"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1.55±0.02</w:t>
            </w:r>
          </w:p>
        </w:tc>
        <w:tc>
          <w:tcPr>
            <w:tcW w:w="701" w:type="dxa"/>
            <w:tcBorders>
              <w:top w:val="single" w:sz="4" w:space="0" w:color="auto"/>
            </w:tcBorders>
          </w:tcPr>
          <w:p w14:paraId="04F142E5"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0.18±0.01</w:t>
            </w:r>
          </w:p>
        </w:tc>
        <w:tc>
          <w:tcPr>
            <w:tcW w:w="884" w:type="dxa"/>
            <w:tcBorders>
              <w:top w:val="single" w:sz="4" w:space="0" w:color="auto"/>
            </w:tcBorders>
          </w:tcPr>
          <w:p w14:paraId="369FF16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1.39±0.04</w:t>
            </w:r>
          </w:p>
        </w:tc>
        <w:tc>
          <w:tcPr>
            <w:tcW w:w="701" w:type="dxa"/>
            <w:tcBorders>
              <w:top w:val="single" w:sz="4" w:space="0" w:color="auto"/>
            </w:tcBorders>
          </w:tcPr>
          <w:p w14:paraId="30FCEEAF"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w:t>
            </w:r>
          </w:p>
        </w:tc>
        <w:tc>
          <w:tcPr>
            <w:tcW w:w="701" w:type="dxa"/>
            <w:tcBorders>
              <w:top w:val="single" w:sz="4" w:space="0" w:color="auto"/>
            </w:tcBorders>
          </w:tcPr>
          <w:p w14:paraId="725D897C"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0.10±0.2</w:t>
            </w:r>
          </w:p>
        </w:tc>
        <w:tc>
          <w:tcPr>
            <w:tcW w:w="701" w:type="dxa"/>
            <w:tcBorders>
              <w:top w:val="single" w:sz="4" w:space="0" w:color="auto"/>
            </w:tcBorders>
          </w:tcPr>
          <w:p w14:paraId="0970590E"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0.01±0</w:t>
            </w:r>
          </w:p>
        </w:tc>
        <w:tc>
          <w:tcPr>
            <w:tcW w:w="701" w:type="dxa"/>
            <w:tcBorders>
              <w:top w:val="single" w:sz="4" w:space="0" w:color="auto"/>
            </w:tcBorders>
          </w:tcPr>
          <w:p w14:paraId="36151D1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0.10±0.01</w:t>
            </w:r>
          </w:p>
        </w:tc>
        <w:tc>
          <w:tcPr>
            <w:tcW w:w="701" w:type="dxa"/>
            <w:tcBorders>
              <w:top w:val="single" w:sz="4" w:space="0" w:color="auto"/>
            </w:tcBorders>
          </w:tcPr>
          <w:p w14:paraId="6308EABE"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Borders>
              <w:top w:val="single" w:sz="4" w:space="0" w:color="auto"/>
            </w:tcBorders>
          </w:tcPr>
          <w:p w14:paraId="6822657F"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0.09±0.01</w:t>
            </w:r>
          </w:p>
        </w:tc>
      </w:tr>
      <w:tr w:rsidR="002818EF" w14:paraId="197F7F6D" w14:textId="77777777">
        <w:trPr>
          <w:trHeight w:val="312"/>
        </w:trPr>
        <w:tc>
          <w:tcPr>
            <w:tcW w:w="796" w:type="dxa"/>
            <w:vMerge/>
          </w:tcPr>
          <w:p w14:paraId="34632B1F" w14:textId="77777777" w:rsidR="002818EF" w:rsidRDefault="002818EF">
            <w:pPr>
              <w:spacing w:line="240" w:lineRule="auto"/>
              <w:ind w:left="0"/>
              <w:jc w:val="left"/>
              <w:rPr>
                <w:rFonts w:asciiTheme="minorHAnsi" w:eastAsiaTheme="minorHAnsi" w:hAnsiTheme="minorHAnsi" w:cstheme="minorBidi"/>
                <w14:ligatures w14:val="standardContextual"/>
              </w:rPr>
            </w:pPr>
          </w:p>
        </w:tc>
        <w:tc>
          <w:tcPr>
            <w:tcW w:w="783" w:type="dxa"/>
          </w:tcPr>
          <w:p w14:paraId="5B7A18EE"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Cr</w:t>
            </w:r>
          </w:p>
        </w:tc>
        <w:tc>
          <w:tcPr>
            <w:tcW w:w="762" w:type="dxa"/>
          </w:tcPr>
          <w:p w14:paraId="761B460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0.15±0.02</w:t>
            </w:r>
          </w:p>
        </w:tc>
        <w:tc>
          <w:tcPr>
            <w:tcW w:w="884" w:type="dxa"/>
          </w:tcPr>
          <w:p w14:paraId="0F5AD6D6"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49.41±2.53</w:t>
            </w:r>
          </w:p>
        </w:tc>
        <w:tc>
          <w:tcPr>
            <w:tcW w:w="701" w:type="dxa"/>
          </w:tcPr>
          <w:p w14:paraId="2AF0841E"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1.08±0.02</w:t>
            </w:r>
          </w:p>
        </w:tc>
        <w:tc>
          <w:tcPr>
            <w:tcW w:w="884" w:type="dxa"/>
          </w:tcPr>
          <w:p w14:paraId="68094B76"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109.96±4.41</w:t>
            </w:r>
          </w:p>
        </w:tc>
        <w:tc>
          <w:tcPr>
            <w:tcW w:w="701" w:type="dxa"/>
          </w:tcPr>
          <w:p w14:paraId="47A0E28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0.33±0.02</w:t>
            </w:r>
          </w:p>
        </w:tc>
        <w:tc>
          <w:tcPr>
            <w:tcW w:w="701" w:type="dxa"/>
          </w:tcPr>
          <w:p w14:paraId="021F4E22"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2.17±0.04</w:t>
            </w:r>
          </w:p>
        </w:tc>
        <w:tc>
          <w:tcPr>
            <w:tcW w:w="701" w:type="dxa"/>
          </w:tcPr>
          <w:p w14:paraId="06050FD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BDL</w:t>
            </w:r>
          </w:p>
        </w:tc>
        <w:tc>
          <w:tcPr>
            <w:tcW w:w="701" w:type="dxa"/>
          </w:tcPr>
          <w:p w14:paraId="0B3DB2BB"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2.09±0.03</w:t>
            </w:r>
          </w:p>
        </w:tc>
        <w:tc>
          <w:tcPr>
            <w:tcW w:w="701" w:type="dxa"/>
          </w:tcPr>
          <w:p w14:paraId="58FE718F"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0.08±0</w:t>
            </w:r>
          </w:p>
        </w:tc>
        <w:tc>
          <w:tcPr>
            <w:tcW w:w="701" w:type="dxa"/>
          </w:tcPr>
          <w:p w14:paraId="34577064"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1.83±0.07</w:t>
            </w:r>
          </w:p>
        </w:tc>
      </w:tr>
      <w:tr w:rsidR="002818EF" w14:paraId="070A95F9" w14:textId="77777777">
        <w:trPr>
          <w:trHeight w:val="312"/>
        </w:trPr>
        <w:tc>
          <w:tcPr>
            <w:tcW w:w="796" w:type="dxa"/>
            <w:vMerge/>
          </w:tcPr>
          <w:p w14:paraId="4B483CEF" w14:textId="77777777" w:rsidR="002818EF" w:rsidRDefault="002818EF">
            <w:pPr>
              <w:spacing w:line="240" w:lineRule="auto"/>
              <w:ind w:left="0"/>
              <w:jc w:val="left"/>
              <w:rPr>
                <w:rFonts w:asciiTheme="minorHAnsi" w:eastAsiaTheme="minorHAnsi" w:hAnsiTheme="minorHAnsi" w:cstheme="minorBidi"/>
                <w14:ligatures w14:val="standardContextual"/>
              </w:rPr>
            </w:pPr>
          </w:p>
        </w:tc>
        <w:tc>
          <w:tcPr>
            <w:tcW w:w="783" w:type="dxa"/>
          </w:tcPr>
          <w:p w14:paraId="2D56697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Pb</w:t>
            </w:r>
          </w:p>
        </w:tc>
        <w:tc>
          <w:tcPr>
            <w:tcW w:w="762" w:type="dxa"/>
          </w:tcPr>
          <w:p w14:paraId="67194030"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22.99±1.53</w:t>
            </w:r>
          </w:p>
        </w:tc>
        <w:tc>
          <w:tcPr>
            <w:tcW w:w="884" w:type="dxa"/>
          </w:tcPr>
          <w:p w14:paraId="4EC06D9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123.55±5.21</w:t>
            </w:r>
          </w:p>
        </w:tc>
        <w:tc>
          <w:tcPr>
            <w:tcW w:w="701" w:type="dxa"/>
          </w:tcPr>
          <w:p w14:paraId="4739393C"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1.42±0.03</w:t>
            </w:r>
          </w:p>
        </w:tc>
        <w:tc>
          <w:tcPr>
            <w:tcW w:w="884" w:type="dxa"/>
          </w:tcPr>
          <w:p w14:paraId="7955848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540.00±12.46</w:t>
            </w:r>
          </w:p>
        </w:tc>
        <w:tc>
          <w:tcPr>
            <w:tcW w:w="701" w:type="dxa"/>
          </w:tcPr>
          <w:p w14:paraId="60CAA8D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0.23±0</w:t>
            </w:r>
          </w:p>
        </w:tc>
        <w:tc>
          <w:tcPr>
            <w:tcW w:w="701" w:type="dxa"/>
          </w:tcPr>
          <w:p w14:paraId="59BCA3D0"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0.42±0.01</w:t>
            </w:r>
          </w:p>
        </w:tc>
        <w:tc>
          <w:tcPr>
            <w:tcW w:w="701" w:type="dxa"/>
          </w:tcPr>
          <w:p w14:paraId="34E53CA1"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0.09±0</w:t>
            </w:r>
          </w:p>
        </w:tc>
        <w:tc>
          <w:tcPr>
            <w:tcW w:w="701" w:type="dxa"/>
          </w:tcPr>
          <w:p w14:paraId="5953ACB3"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0.36±0.02</w:t>
            </w:r>
          </w:p>
        </w:tc>
        <w:tc>
          <w:tcPr>
            <w:tcW w:w="701" w:type="dxa"/>
          </w:tcPr>
          <w:p w14:paraId="7A15426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0.07±0</w:t>
            </w:r>
          </w:p>
        </w:tc>
        <w:tc>
          <w:tcPr>
            <w:tcW w:w="701" w:type="dxa"/>
          </w:tcPr>
          <w:p w14:paraId="1CA1D239"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0.39±0.01</w:t>
            </w:r>
          </w:p>
        </w:tc>
      </w:tr>
      <w:tr w:rsidR="002818EF" w14:paraId="7E8027DA" w14:textId="77777777">
        <w:trPr>
          <w:trHeight w:val="312"/>
        </w:trPr>
        <w:tc>
          <w:tcPr>
            <w:tcW w:w="796" w:type="dxa"/>
            <w:vMerge/>
          </w:tcPr>
          <w:p w14:paraId="3C282CF3" w14:textId="77777777" w:rsidR="002818EF" w:rsidRDefault="002818EF">
            <w:pPr>
              <w:spacing w:line="240" w:lineRule="auto"/>
              <w:ind w:left="0"/>
              <w:jc w:val="left"/>
              <w:rPr>
                <w:rFonts w:asciiTheme="minorHAnsi" w:eastAsiaTheme="minorHAnsi" w:hAnsiTheme="minorHAnsi" w:cstheme="minorBidi"/>
                <w14:ligatures w14:val="standardContextual"/>
              </w:rPr>
            </w:pPr>
          </w:p>
        </w:tc>
        <w:tc>
          <w:tcPr>
            <w:tcW w:w="783" w:type="dxa"/>
          </w:tcPr>
          <w:p w14:paraId="6C5148A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Hg</w:t>
            </w:r>
          </w:p>
        </w:tc>
        <w:tc>
          <w:tcPr>
            <w:tcW w:w="762" w:type="dxa"/>
          </w:tcPr>
          <w:p w14:paraId="055D41D5"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0.02±0</w:t>
            </w:r>
          </w:p>
        </w:tc>
        <w:tc>
          <w:tcPr>
            <w:tcW w:w="884" w:type="dxa"/>
          </w:tcPr>
          <w:p w14:paraId="65B331F6"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0.44±0.02</w:t>
            </w:r>
          </w:p>
        </w:tc>
        <w:tc>
          <w:tcPr>
            <w:tcW w:w="701" w:type="dxa"/>
          </w:tcPr>
          <w:p w14:paraId="2690A34E"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0.06±0.02</w:t>
            </w:r>
          </w:p>
        </w:tc>
        <w:tc>
          <w:tcPr>
            <w:tcW w:w="884" w:type="dxa"/>
          </w:tcPr>
          <w:p w14:paraId="15D5A142"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1.15±0.02</w:t>
            </w:r>
          </w:p>
        </w:tc>
        <w:tc>
          <w:tcPr>
            <w:tcW w:w="701" w:type="dxa"/>
          </w:tcPr>
          <w:p w14:paraId="3F98241D"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0.39±0.01</w:t>
            </w:r>
          </w:p>
        </w:tc>
        <w:tc>
          <w:tcPr>
            <w:tcW w:w="701" w:type="dxa"/>
          </w:tcPr>
          <w:p w14:paraId="4AAE3CC8"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1.14±0.02</w:t>
            </w:r>
          </w:p>
        </w:tc>
        <w:tc>
          <w:tcPr>
            <w:tcW w:w="701" w:type="dxa"/>
          </w:tcPr>
          <w:p w14:paraId="195EB31A"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0.00±0</w:t>
            </w:r>
          </w:p>
        </w:tc>
        <w:tc>
          <w:tcPr>
            <w:tcW w:w="701" w:type="dxa"/>
          </w:tcPr>
          <w:p w14:paraId="6109BC3E"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1.10±0.02</w:t>
            </w:r>
          </w:p>
        </w:tc>
        <w:tc>
          <w:tcPr>
            <w:tcW w:w="701" w:type="dxa"/>
          </w:tcPr>
          <w:p w14:paraId="4D878185"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0.05±0.01</w:t>
            </w:r>
          </w:p>
        </w:tc>
        <w:tc>
          <w:tcPr>
            <w:tcW w:w="701" w:type="dxa"/>
          </w:tcPr>
          <w:p w14:paraId="6280B3D7" w14:textId="77777777" w:rsidR="002818EF" w:rsidRDefault="00000000">
            <w:pPr>
              <w:spacing w:line="240" w:lineRule="auto"/>
              <w:ind w:left="0"/>
              <w:jc w:val="left"/>
              <w:rPr>
                <w:rFonts w:asciiTheme="minorHAnsi" w:eastAsiaTheme="minorHAnsi" w:hAnsiTheme="minorHAnsi" w:cstheme="minorBidi"/>
                <w14:ligatures w14:val="standardContextual"/>
              </w:rPr>
            </w:pPr>
            <w:r>
              <w:rPr>
                <w:rFonts w:asciiTheme="minorHAnsi" w:eastAsiaTheme="minorHAnsi" w:hAnsiTheme="minorHAnsi" w:cstheme="minorBidi"/>
                <w14:ligatures w14:val="standardContextual"/>
              </w:rPr>
              <w:t>1.12±0.01</w:t>
            </w:r>
          </w:p>
        </w:tc>
      </w:tr>
    </w:tbl>
    <w:p w14:paraId="1585D3DA"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t>Note: BOS- Before Oil Spill, AOS- After Oil Spill</w:t>
      </w:r>
    </w:p>
    <w:p w14:paraId="4A1D1D33" w14:textId="77777777" w:rsidR="002818EF" w:rsidRDefault="002818EF">
      <w:pPr>
        <w:rPr>
          <w:rFonts w:ascii="Times New Roman" w:hAnsi="Times New Roman"/>
          <w:sz w:val="24"/>
          <w:szCs w:val="24"/>
        </w:rPr>
      </w:pPr>
    </w:p>
    <w:p w14:paraId="59F6008C" w14:textId="77777777" w:rsidR="002818EF" w:rsidRDefault="00000000">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mean concentrations of Cd, Cr, Pb and Hg before the spill were under the limit, except for Cd (0.82±0.03 mg/kg) and Hg (0.17±0.02 mg/kg) at station 3. Sediment in the present </w:t>
      </w:r>
      <w:r>
        <w:rPr>
          <w:rFonts w:ascii="Times New Roman" w:eastAsia="Times New Roman" w:hAnsi="Times New Roman"/>
          <w:color w:val="000000"/>
          <w:sz w:val="24"/>
          <w:szCs w:val="24"/>
        </w:rPr>
        <w:lastRenderedPageBreak/>
        <w:t>study has a metal concentration 2 times higher than in water.  The metals Cd, Cr, Pb and Hg were exceeded the permissible level after the oil spill, with the maximum of Pb pollution. The detailed values of heavy metal pollution are represented in Table 2. Here, the maximum value was for Pb (540.00±12.46 mg/kg to a maximum of 856±17.74 mg/kg). The oil ensnared in the sediments causes ecological disturbance</w:t>
      </w:r>
      <w:r>
        <w:rPr>
          <w:rFonts w:ascii="Times New Roman" w:eastAsia="Times New Roman" w:hAnsi="Times New Roman"/>
          <w:sz w:val="24"/>
          <w:szCs w:val="24"/>
        </w:rPr>
        <w:t>,</w:t>
      </w:r>
      <w:r>
        <w:rPr>
          <w:rFonts w:ascii="Times New Roman" w:eastAsia="Times New Roman" w:hAnsi="Times New Roman"/>
          <w:color w:val="000000"/>
          <w:sz w:val="24"/>
          <w:szCs w:val="24"/>
        </w:rPr>
        <w:t xml:space="preserve"> which can manifest </w:t>
      </w:r>
      <w:r>
        <w:rPr>
          <w:rFonts w:ascii="Times New Roman" w:eastAsia="Times New Roman" w:hAnsi="Times New Roman"/>
          <w:sz w:val="24"/>
          <w:szCs w:val="24"/>
        </w:rPr>
        <w:t xml:space="preserve">as </w:t>
      </w:r>
      <w:r>
        <w:rPr>
          <w:rFonts w:ascii="Times New Roman" w:eastAsia="Times New Roman" w:hAnsi="Times New Roman"/>
          <w:color w:val="000000"/>
          <w:sz w:val="24"/>
          <w:szCs w:val="24"/>
        </w:rPr>
        <w:t xml:space="preserve">a reduction in density and biomass to a decline in diversity (Lee &amp; Lin, 2013). Heavy metals get settled in the sediment for a longer period of time because sediment acts as a sink for most of the pollutants in the environment (Xu </w:t>
      </w:r>
      <w:r>
        <w:rPr>
          <w:rFonts w:ascii="Times New Roman" w:eastAsia="Times New Roman" w:hAnsi="Times New Roman"/>
          <w:i/>
          <w:iCs/>
          <w:color w:val="000000"/>
          <w:sz w:val="24"/>
          <w:szCs w:val="24"/>
        </w:rPr>
        <w:t>et al</w:t>
      </w:r>
      <w:r>
        <w:rPr>
          <w:rFonts w:ascii="Times New Roman" w:eastAsia="Times New Roman" w:hAnsi="Times New Roman"/>
          <w:color w:val="000000"/>
          <w:sz w:val="24"/>
          <w:szCs w:val="24"/>
        </w:rPr>
        <w:t xml:space="preserve">., 2022). Steffy </w:t>
      </w:r>
      <w:r>
        <w:rPr>
          <w:rFonts w:ascii="Times New Roman" w:eastAsia="Times New Roman" w:hAnsi="Times New Roman"/>
          <w:i/>
          <w:iCs/>
          <w:color w:val="000000"/>
          <w:sz w:val="24"/>
          <w:szCs w:val="24"/>
        </w:rPr>
        <w:t>et al</w:t>
      </w:r>
      <w:r>
        <w:rPr>
          <w:rFonts w:ascii="Times New Roman" w:eastAsia="Times New Roman" w:hAnsi="Times New Roman"/>
          <w:color w:val="000000"/>
          <w:sz w:val="24"/>
          <w:szCs w:val="24"/>
        </w:rPr>
        <w:t>. (2013) provide evidence from the Deepwater Horizon oil spill that Cr and Pd increased after the spill settled in the sediment.</w:t>
      </w:r>
    </w:p>
    <w:p w14:paraId="4D7FDE97" w14:textId="77777777" w:rsidR="002818EF" w:rsidRDefault="00000000">
      <w:pPr>
        <w:rPr>
          <w:rFonts w:ascii="Times New Roman" w:eastAsia="Times New Roman" w:hAnsi="Times New Roman"/>
          <w:color w:val="000000"/>
          <w:sz w:val="24"/>
          <w:szCs w:val="24"/>
        </w:rPr>
      </w:pPr>
      <w:r>
        <w:rPr>
          <w:rFonts w:ascii="Times New Roman" w:hAnsi="Times New Roman"/>
          <w:sz w:val="24"/>
          <w:szCs w:val="24"/>
        </w:rPr>
        <w:t>The interpretation of metals in polychaetes suggests that after the oil spill all the four metal were drastically increased above the permissible limit, with each minimum to maximum mean values being Cd (0.10±0.2 to 0.17±0.01 mg/kg), Cr (1.69±0.15 to 5.50±0.06 mg/kg), Pb (0.42±0.01 to 1.60±0.05 mg/kg) and Hg (0.10±0.09 to 1.14±0.02 mg/kg). The polychaete is normally observed to have elevated metal levels compared to fish because polychaetes have close contact with the sediment and their feeding habits suggest they are more prone to benthic contamination exposure (</w:t>
      </w:r>
      <w:r>
        <w:rPr>
          <w:rFonts w:ascii="Times New Roman" w:eastAsia="Times New Roman" w:hAnsi="Times New Roman"/>
          <w:color w:val="000000"/>
          <w:sz w:val="24"/>
          <w:szCs w:val="24"/>
        </w:rPr>
        <w:t xml:space="preserve">Karthikeyan </w:t>
      </w:r>
      <w:r>
        <w:rPr>
          <w:rFonts w:ascii="Times New Roman" w:eastAsia="Times New Roman" w:hAnsi="Times New Roman"/>
          <w:i/>
          <w:iCs/>
          <w:color w:val="000000"/>
          <w:sz w:val="24"/>
          <w:szCs w:val="24"/>
        </w:rPr>
        <w:t>et al</w:t>
      </w:r>
      <w:r>
        <w:rPr>
          <w:rFonts w:ascii="Times New Roman" w:eastAsia="Times New Roman" w:hAnsi="Times New Roman"/>
          <w:color w:val="000000"/>
          <w:sz w:val="24"/>
          <w:szCs w:val="24"/>
        </w:rPr>
        <w:t xml:space="preserve">., 2020). </w:t>
      </w:r>
    </w:p>
    <w:p w14:paraId="3D8B17A1" w14:textId="77777777" w:rsidR="002818EF" w:rsidRDefault="00000000">
      <w:pPr>
        <w:rPr>
          <w:rFonts w:ascii="Times New Roman" w:hAnsi="Times New Roman"/>
          <w:sz w:val="24"/>
          <w:szCs w:val="24"/>
        </w:rPr>
      </w:pPr>
      <w:r>
        <w:rPr>
          <w:rFonts w:ascii="Times New Roman" w:hAnsi="Times New Roman"/>
          <w:sz w:val="24"/>
          <w:szCs w:val="24"/>
        </w:rPr>
        <w:t xml:space="preserve">The two varieties of fish </w:t>
      </w:r>
      <w:proofErr w:type="spellStart"/>
      <w:r>
        <w:rPr>
          <w:rFonts w:ascii="Times New Roman" w:hAnsi="Times New Roman"/>
          <w:i/>
          <w:iCs/>
          <w:sz w:val="24"/>
          <w:szCs w:val="24"/>
        </w:rPr>
        <w:t>Elops</w:t>
      </w:r>
      <w:proofErr w:type="spellEnd"/>
      <w:r>
        <w:rPr>
          <w:rFonts w:ascii="Times New Roman" w:hAnsi="Times New Roman"/>
          <w:i/>
          <w:iCs/>
          <w:sz w:val="24"/>
          <w:szCs w:val="24"/>
        </w:rPr>
        <w:t xml:space="preserve"> saurus</w:t>
      </w:r>
      <w:r>
        <w:rPr>
          <w:rFonts w:ascii="Times New Roman" w:hAnsi="Times New Roman"/>
          <w:sz w:val="24"/>
          <w:szCs w:val="24"/>
        </w:rPr>
        <w:t xml:space="preserve"> and </w:t>
      </w:r>
      <w:r>
        <w:rPr>
          <w:rFonts w:ascii="Times New Roman" w:hAnsi="Times New Roman"/>
          <w:i/>
          <w:iCs/>
          <w:sz w:val="24"/>
          <w:szCs w:val="24"/>
        </w:rPr>
        <w:t>Gerres filamentous,</w:t>
      </w:r>
      <w:r>
        <w:rPr>
          <w:rFonts w:ascii="Times New Roman" w:hAnsi="Times New Roman"/>
          <w:sz w:val="24"/>
          <w:szCs w:val="24"/>
        </w:rPr>
        <w:t xml:space="preserve"> were analysed for metal abundance </w:t>
      </w:r>
      <w:r>
        <w:rPr>
          <w:rFonts w:ascii="Times New Roman" w:eastAsia="Times New Roman" w:hAnsi="Times New Roman"/>
          <w:sz w:val="24"/>
          <w:szCs w:val="24"/>
        </w:rPr>
        <w:t>in the present study and the levels</w:t>
      </w:r>
      <w:r>
        <w:rPr>
          <w:rFonts w:ascii="Times New Roman" w:hAnsi="Times New Roman"/>
          <w:sz w:val="24"/>
          <w:szCs w:val="24"/>
        </w:rPr>
        <w:t xml:space="preserve"> </w:t>
      </w:r>
      <w:r>
        <w:rPr>
          <w:rFonts w:ascii="Times New Roman" w:eastAsia="Times New Roman" w:hAnsi="Times New Roman"/>
          <w:sz w:val="24"/>
          <w:szCs w:val="24"/>
        </w:rPr>
        <w:t xml:space="preserve">were significantly below the permissible level given by FAO. (2022) before the spillage. Whereas the metal concentration was </w:t>
      </w:r>
      <w:r>
        <w:rPr>
          <w:rFonts w:ascii="Times New Roman" w:hAnsi="Times New Roman"/>
          <w:sz w:val="24"/>
          <w:szCs w:val="24"/>
        </w:rPr>
        <w:t xml:space="preserve">slightly above the allowable limit after the oil leak. </w:t>
      </w:r>
      <w:r>
        <w:rPr>
          <w:rFonts w:ascii="Times New Roman" w:eastAsia="Times New Roman" w:hAnsi="Times New Roman"/>
          <w:sz w:val="24"/>
          <w:szCs w:val="24"/>
        </w:rPr>
        <w:t xml:space="preserve"> The mean values for </w:t>
      </w:r>
      <w:r>
        <w:rPr>
          <w:rFonts w:ascii="Times New Roman" w:hAnsi="Times New Roman"/>
          <w:i/>
          <w:iCs/>
          <w:sz w:val="24"/>
          <w:szCs w:val="24"/>
        </w:rPr>
        <w:t>E</w:t>
      </w:r>
      <w:r>
        <w:rPr>
          <w:rFonts w:ascii="Times New Roman" w:hAnsi="Times New Roman"/>
          <w:sz w:val="24"/>
          <w:szCs w:val="24"/>
        </w:rPr>
        <w:t xml:space="preserve">. </w:t>
      </w:r>
      <w:r>
        <w:rPr>
          <w:rFonts w:ascii="Times New Roman" w:hAnsi="Times New Roman"/>
          <w:i/>
          <w:iCs/>
          <w:sz w:val="24"/>
          <w:szCs w:val="24"/>
        </w:rPr>
        <w:t xml:space="preserve">saurus </w:t>
      </w:r>
      <w:r>
        <w:rPr>
          <w:rFonts w:ascii="Times New Roman" w:hAnsi="Times New Roman"/>
          <w:sz w:val="24"/>
          <w:szCs w:val="24"/>
        </w:rPr>
        <w:t xml:space="preserve">after the spill were for Cd (0.10±0.01 to 0.18±0.03 mg/kg), Cr (0.41±0.02 to 2.09±0.03 mg/kg), Pb (0.21±0.02 to 0.62±0.15 mg/kg) and Hg 0.05±0 to 1.13±0.11 mg/kg). The mean concentrations for Cd (0.09±0.01 to 0.24±0.06 mg/kg), Cr (1.03±0.12 to 1.83±0.07 mg/kg), Pb (0.23±0.01 to 0.52±0.15 mg/kg) and Hg (0.08±0.01 to 1.12±0.01 mg/kg) in </w:t>
      </w:r>
      <w:r>
        <w:rPr>
          <w:rFonts w:ascii="Times New Roman" w:hAnsi="Times New Roman"/>
          <w:i/>
          <w:iCs/>
          <w:sz w:val="24"/>
          <w:szCs w:val="24"/>
        </w:rPr>
        <w:t xml:space="preserve">G. filamentous. </w:t>
      </w:r>
    </w:p>
    <w:p w14:paraId="1C164DFD" w14:textId="77777777" w:rsidR="002818EF" w:rsidRDefault="00000000">
      <w:pPr>
        <w:rPr>
          <w:rFonts w:ascii="Times New Roman" w:hAnsi="Times New Roman"/>
          <w:sz w:val="24"/>
          <w:szCs w:val="24"/>
        </w:rPr>
      </w:pPr>
      <w:r>
        <w:rPr>
          <w:rFonts w:ascii="Times New Roman" w:hAnsi="Times New Roman"/>
          <w:sz w:val="24"/>
          <w:szCs w:val="24"/>
        </w:rPr>
        <w:lastRenderedPageBreak/>
        <w:t xml:space="preserve">The fish exposed to oil contamination have a risk of effects when the metal concentration increases. Cd can injure the hypothalamus-pituitary-gonadal axis and cause hormone changes (Vinanthi Rajalakshmi </w:t>
      </w:r>
      <w:r>
        <w:rPr>
          <w:rFonts w:ascii="Times New Roman" w:hAnsi="Times New Roman"/>
          <w:i/>
          <w:iCs/>
          <w:sz w:val="24"/>
          <w:szCs w:val="24"/>
        </w:rPr>
        <w:t>et al</w:t>
      </w:r>
      <w:r>
        <w:rPr>
          <w:rFonts w:ascii="Times New Roman" w:hAnsi="Times New Roman"/>
          <w:sz w:val="24"/>
          <w:szCs w:val="24"/>
        </w:rPr>
        <w:t xml:space="preserve">., 2023), malformed larvae were found in experimental </w:t>
      </w:r>
      <w:r>
        <w:rPr>
          <w:rFonts w:ascii="Times New Roman" w:hAnsi="Times New Roman"/>
          <w:i/>
          <w:iCs/>
          <w:sz w:val="24"/>
          <w:szCs w:val="24"/>
        </w:rPr>
        <w:t>Danio rerio</w:t>
      </w:r>
      <w:r>
        <w:rPr>
          <w:rFonts w:ascii="Times New Roman" w:hAnsi="Times New Roman"/>
          <w:sz w:val="24"/>
          <w:szCs w:val="24"/>
        </w:rPr>
        <w:t xml:space="preserve"> fish (Tarasco </w:t>
      </w:r>
      <w:r>
        <w:rPr>
          <w:rFonts w:ascii="Times New Roman" w:hAnsi="Times New Roman"/>
          <w:i/>
          <w:iCs/>
          <w:sz w:val="24"/>
          <w:szCs w:val="24"/>
        </w:rPr>
        <w:t>et al</w:t>
      </w:r>
      <w:r>
        <w:rPr>
          <w:rFonts w:ascii="Times New Roman" w:hAnsi="Times New Roman"/>
          <w:sz w:val="24"/>
          <w:szCs w:val="24"/>
        </w:rPr>
        <w:t xml:space="preserve">., 2019).  Other researchers experimented with different fish and found abnormal germ cells, low hatching rates and mortality in </w:t>
      </w:r>
      <w:proofErr w:type="spellStart"/>
      <w:r>
        <w:rPr>
          <w:rFonts w:ascii="Times New Roman" w:hAnsi="Times New Roman"/>
          <w:i/>
          <w:iCs/>
          <w:sz w:val="24"/>
          <w:szCs w:val="24"/>
        </w:rPr>
        <w:t>Gymnotus</w:t>
      </w:r>
      <w:proofErr w:type="spellEnd"/>
      <w:r>
        <w:rPr>
          <w:rFonts w:ascii="Times New Roman" w:hAnsi="Times New Roman"/>
          <w:i/>
          <w:iCs/>
          <w:sz w:val="24"/>
          <w:szCs w:val="24"/>
        </w:rPr>
        <w:t xml:space="preserve"> </w:t>
      </w:r>
      <w:proofErr w:type="spellStart"/>
      <w:r>
        <w:rPr>
          <w:rFonts w:ascii="Times New Roman" w:hAnsi="Times New Roman"/>
          <w:i/>
          <w:iCs/>
          <w:sz w:val="24"/>
          <w:szCs w:val="24"/>
        </w:rPr>
        <w:t>carapo</w:t>
      </w:r>
      <w:proofErr w:type="spellEnd"/>
      <w:r>
        <w:rPr>
          <w:rFonts w:ascii="Times New Roman" w:hAnsi="Times New Roman"/>
          <w:sz w:val="24"/>
          <w:szCs w:val="24"/>
        </w:rPr>
        <w:t xml:space="preserve"> and </w:t>
      </w:r>
      <w:proofErr w:type="spellStart"/>
      <w:r>
        <w:rPr>
          <w:rFonts w:ascii="Times New Roman" w:hAnsi="Times New Roman"/>
          <w:i/>
          <w:iCs/>
          <w:sz w:val="24"/>
          <w:szCs w:val="24"/>
        </w:rPr>
        <w:t>Gasterosteus</w:t>
      </w:r>
      <w:proofErr w:type="spellEnd"/>
      <w:r>
        <w:rPr>
          <w:rFonts w:ascii="Times New Roman" w:hAnsi="Times New Roman"/>
          <w:i/>
          <w:iCs/>
          <w:sz w:val="24"/>
          <w:szCs w:val="24"/>
        </w:rPr>
        <w:t xml:space="preserve"> aculeatus</w:t>
      </w:r>
      <w:r>
        <w:rPr>
          <w:rFonts w:ascii="Times New Roman" w:hAnsi="Times New Roman"/>
          <w:sz w:val="24"/>
          <w:szCs w:val="24"/>
        </w:rPr>
        <w:t xml:space="preserve"> (Vergilio </w:t>
      </w:r>
      <w:r>
        <w:rPr>
          <w:rFonts w:ascii="Times New Roman" w:hAnsi="Times New Roman"/>
          <w:i/>
          <w:iCs/>
          <w:sz w:val="24"/>
          <w:szCs w:val="24"/>
        </w:rPr>
        <w:t>et al</w:t>
      </w:r>
      <w:r>
        <w:rPr>
          <w:rFonts w:ascii="Times New Roman" w:hAnsi="Times New Roman"/>
          <w:sz w:val="24"/>
          <w:szCs w:val="24"/>
        </w:rPr>
        <w:t xml:space="preserve">., 2015; Hani </w:t>
      </w:r>
      <w:r>
        <w:rPr>
          <w:rFonts w:ascii="Times New Roman" w:hAnsi="Times New Roman"/>
          <w:i/>
          <w:iCs/>
          <w:sz w:val="24"/>
          <w:szCs w:val="24"/>
        </w:rPr>
        <w:t>et al</w:t>
      </w:r>
      <w:r>
        <w:rPr>
          <w:rFonts w:ascii="Times New Roman" w:hAnsi="Times New Roman"/>
          <w:sz w:val="24"/>
          <w:szCs w:val="24"/>
        </w:rPr>
        <w:t xml:space="preserve">., 2019). Cr presence in fish muscles can cause allergic reactions and affect immunity (Bakshi </w:t>
      </w:r>
      <w:r>
        <w:rPr>
          <w:rFonts w:ascii="Times New Roman" w:hAnsi="Times New Roman"/>
          <w:i/>
          <w:iCs/>
          <w:sz w:val="24"/>
          <w:szCs w:val="24"/>
        </w:rPr>
        <w:t>et al</w:t>
      </w:r>
      <w:r>
        <w:rPr>
          <w:rFonts w:ascii="Times New Roman" w:hAnsi="Times New Roman"/>
          <w:sz w:val="24"/>
          <w:szCs w:val="24"/>
        </w:rPr>
        <w:t xml:space="preserve">., 2018). In other cases, chronic exposure in fish may lead to anaemia (Ray </w:t>
      </w:r>
      <w:r>
        <w:rPr>
          <w:rFonts w:ascii="Times New Roman" w:hAnsi="Times New Roman"/>
          <w:i/>
          <w:iCs/>
          <w:sz w:val="24"/>
          <w:szCs w:val="24"/>
        </w:rPr>
        <w:t>et al</w:t>
      </w:r>
      <w:r>
        <w:rPr>
          <w:rFonts w:ascii="Times New Roman" w:hAnsi="Times New Roman"/>
          <w:sz w:val="24"/>
          <w:szCs w:val="24"/>
        </w:rPr>
        <w:t xml:space="preserve">., 2025). Chronic exposure to lead results in neurological dysfunction in fish (Zhu </w:t>
      </w:r>
      <w:r>
        <w:rPr>
          <w:rFonts w:ascii="Times New Roman" w:hAnsi="Times New Roman"/>
          <w:i/>
          <w:iCs/>
          <w:sz w:val="24"/>
          <w:szCs w:val="24"/>
        </w:rPr>
        <w:t>et al</w:t>
      </w:r>
      <w:r>
        <w:rPr>
          <w:rFonts w:ascii="Times New Roman" w:hAnsi="Times New Roman"/>
          <w:sz w:val="24"/>
          <w:szCs w:val="24"/>
        </w:rPr>
        <w:t xml:space="preserve">., 2016; Lee </w:t>
      </w:r>
      <w:r>
        <w:rPr>
          <w:rFonts w:ascii="Times New Roman" w:hAnsi="Times New Roman"/>
          <w:i/>
          <w:iCs/>
          <w:sz w:val="24"/>
          <w:szCs w:val="24"/>
        </w:rPr>
        <w:t>et al</w:t>
      </w:r>
      <w:r>
        <w:rPr>
          <w:rFonts w:ascii="Times New Roman" w:hAnsi="Times New Roman"/>
          <w:sz w:val="24"/>
          <w:szCs w:val="24"/>
        </w:rPr>
        <w:t xml:space="preserve">., 2019) and in humans who feed on fish. Moreover, mercury in fish becomes lethal to an extent and also shows apoptosis; oxygen depletion in the fish disturbs electron transport (Carocci </w:t>
      </w:r>
      <w:r>
        <w:rPr>
          <w:rFonts w:ascii="Times New Roman" w:hAnsi="Times New Roman"/>
          <w:i/>
          <w:iCs/>
          <w:sz w:val="24"/>
          <w:szCs w:val="24"/>
        </w:rPr>
        <w:t>et al</w:t>
      </w:r>
      <w:r>
        <w:rPr>
          <w:rFonts w:ascii="Times New Roman" w:hAnsi="Times New Roman"/>
          <w:sz w:val="24"/>
          <w:szCs w:val="24"/>
        </w:rPr>
        <w:t xml:space="preserve">., 2013). </w:t>
      </w:r>
    </w:p>
    <w:p w14:paraId="1EBA95DD" w14:textId="77777777" w:rsidR="002818EF" w:rsidRDefault="00000000">
      <w:pPr>
        <w:rPr>
          <w:rFonts w:ascii="Times New Roman" w:eastAsia="Times New Roman" w:hAnsi="Times New Roman"/>
          <w:b/>
          <w:iCs/>
          <w:sz w:val="24"/>
          <w:szCs w:val="24"/>
        </w:rPr>
      </w:pPr>
      <w:r>
        <w:rPr>
          <w:rFonts w:ascii="Times New Roman" w:eastAsia="Times New Roman" w:hAnsi="Times New Roman"/>
          <w:b/>
          <w:iCs/>
          <w:sz w:val="24"/>
          <w:szCs w:val="24"/>
        </w:rPr>
        <w:t>3.3 Heavy Metal Pollution Index (HPI)</w:t>
      </w:r>
    </w:p>
    <w:p w14:paraId="7714068A" w14:textId="77777777" w:rsidR="002818EF" w:rsidRDefault="00000000">
      <w:pPr>
        <w:rPr>
          <w:rFonts w:ascii="Times New Roman" w:hAnsi="Times New Roman"/>
          <w:sz w:val="24"/>
          <w:szCs w:val="24"/>
          <w:lang w:eastAsia="en-IN"/>
        </w:rPr>
      </w:pPr>
      <w:r>
        <w:rPr>
          <w:rFonts w:ascii="Times New Roman" w:eastAsia="Times New Roman" w:hAnsi="Times New Roman"/>
          <w:sz w:val="24"/>
          <w:szCs w:val="24"/>
        </w:rPr>
        <w:t xml:space="preserve"> HPI value was calculated for four metals Cd, Cr, Pb and Hg following the methodology of Mohan </w:t>
      </w:r>
      <w:r>
        <w:rPr>
          <w:rFonts w:ascii="Times New Roman" w:eastAsia="Times New Roman" w:hAnsi="Times New Roman"/>
          <w:i/>
          <w:iCs/>
          <w:sz w:val="24"/>
          <w:szCs w:val="24"/>
        </w:rPr>
        <w:t>et al</w:t>
      </w:r>
      <w:r>
        <w:rPr>
          <w:rFonts w:ascii="Times New Roman" w:eastAsia="Times New Roman" w:hAnsi="Times New Roman"/>
          <w:sz w:val="24"/>
          <w:szCs w:val="24"/>
        </w:rPr>
        <w:t>. (1996). Before the oil spillage, the metal concentration was &lt;100, indicating no pollution, whereas after the spill the concentration exceeded &gt;100 hence, the water bodies were polluted. The HPI of metals shows that lead was about 220.4 at station 1, 108.47 at station 2 and 180.73 at station 5, which was highest among other metals. Overall, the station-wise calculated values indicate that station 1 has the maximum contamination (307.25), followed by</w:t>
      </w:r>
      <w:r>
        <w:rPr>
          <w:rFonts w:ascii="Times New Roman" w:eastAsia="Times New Roman" w:hAnsi="Times New Roman"/>
          <w:color w:val="000000"/>
          <w:kern w:val="0"/>
          <w:sz w:val="24"/>
          <w:szCs w:val="24"/>
          <w:lang w:eastAsia="en-IN"/>
        </w:rPr>
        <w:t xml:space="preserve"> station 3 (278.36), then station 4 (182.94), station 2 (181.42) and the least was station 5 (128.5). </w:t>
      </w:r>
      <w:r>
        <w:rPr>
          <w:rFonts w:ascii="Times New Roman" w:hAnsi="Times New Roman"/>
          <w:sz w:val="24"/>
          <w:szCs w:val="24"/>
          <w:lang w:eastAsia="en-IN"/>
        </w:rPr>
        <w:t>The rise in metal contamination of metals may be due to the crude oil spill because there is a chance of trace elements being discharged from the spill (</w:t>
      </w:r>
      <w:proofErr w:type="spellStart"/>
      <w:r>
        <w:rPr>
          <w:rFonts w:ascii="Times New Roman" w:hAnsi="Times New Roman"/>
          <w:sz w:val="24"/>
          <w:szCs w:val="24"/>
          <w:lang w:eastAsia="en-IN"/>
        </w:rPr>
        <w:t>Chaharlang</w:t>
      </w:r>
      <w:proofErr w:type="spellEnd"/>
      <w:r>
        <w:rPr>
          <w:rFonts w:ascii="Times New Roman" w:hAnsi="Times New Roman"/>
          <w:sz w:val="24"/>
          <w:szCs w:val="24"/>
          <w:lang w:eastAsia="en-IN"/>
        </w:rPr>
        <w:t xml:space="preserve"> </w:t>
      </w:r>
      <w:r>
        <w:rPr>
          <w:rFonts w:ascii="Times New Roman" w:hAnsi="Times New Roman"/>
          <w:i/>
          <w:iCs/>
          <w:sz w:val="24"/>
          <w:szCs w:val="24"/>
          <w:lang w:eastAsia="en-IN"/>
        </w:rPr>
        <w:t>et al</w:t>
      </w:r>
      <w:r>
        <w:rPr>
          <w:rFonts w:ascii="Times New Roman" w:hAnsi="Times New Roman"/>
          <w:sz w:val="24"/>
          <w:szCs w:val="24"/>
          <w:lang w:eastAsia="en-IN"/>
        </w:rPr>
        <w:t>., 2016); or the metal might mobilise along with the oil and settle in sediment, contaminated water and aquatic species; then, possibilities of anthropogenic activities can also contribute to the contamination (Santos-</w:t>
      </w:r>
      <w:proofErr w:type="spellStart"/>
      <w:r>
        <w:rPr>
          <w:rFonts w:ascii="Times New Roman" w:hAnsi="Times New Roman"/>
          <w:sz w:val="24"/>
          <w:szCs w:val="24"/>
          <w:lang w:eastAsia="en-IN"/>
        </w:rPr>
        <w:t>Echeandía</w:t>
      </w:r>
      <w:proofErr w:type="spellEnd"/>
      <w:r>
        <w:rPr>
          <w:rFonts w:ascii="Times New Roman" w:hAnsi="Times New Roman"/>
          <w:sz w:val="24"/>
          <w:szCs w:val="24"/>
          <w:lang w:eastAsia="en-IN"/>
        </w:rPr>
        <w:t xml:space="preserve"> </w:t>
      </w:r>
      <w:r>
        <w:rPr>
          <w:rFonts w:ascii="Times New Roman" w:hAnsi="Times New Roman"/>
          <w:i/>
          <w:iCs/>
          <w:sz w:val="24"/>
          <w:szCs w:val="24"/>
          <w:lang w:eastAsia="en-IN"/>
        </w:rPr>
        <w:t>et al</w:t>
      </w:r>
      <w:r>
        <w:rPr>
          <w:rFonts w:ascii="Times New Roman" w:hAnsi="Times New Roman"/>
          <w:sz w:val="24"/>
          <w:szCs w:val="24"/>
          <w:lang w:eastAsia="en-IN"/>
        </w:rPr>
        <w:t xml:space="preserve">., 2008). </w:t>
      </w:r>
    </w:p>
    <w:p w14:paraId="564BD25E" w14:textId="77777777" w:rsidR="002818EF" w:rsidRDefault="00000000">
      <w:pPr>
        <w:rPr>
          <w:rFonts w:ascii="Times New Roman" w:hAnsi="Times New Roman"/>
          <w:sz w:val="24"/>
          <w:szCs w:val="24"/>
          <w:lang w:eastAsia="en-IN"/>
        </w:rPr>
      </w:pPr>
      <w:r>
        <w:rPr>
          <w:rFonts w:ascii="Times New Roman" w:eastAsia="Times New Roman" w:hAnsi="Times New Roman"/>
          <w:b/>
          <w:bCs/>
          <w:sz w:val="24"/>
          <w:szCs w:val="24"/>
        </w:rPr>
        <w:t xml:space="preserve">3.4 </w:t>
      </w:r>
      <w:proofErr w:type="spellStart"/>
      <w:r>
        <w:rPr>
          <w:rFonts w:ascii="Times New Roman" w:eastAsia="Times New Roman" w:hAnsi="Times New Roman"/>
          <w:b/>
          <w:iCs/>
          <w:sz w:val="24"/>
          <w:szCs w:val="24"/>
        </w:rPr>
        <w:t>Geoaccumulation</w:t>
      </w:r>
      <w:proofErr w:type="spellEnd"/>
      <w:r>
        <w:rPr>
          <w:rFonts w:ascii="Times New Roman" w:eastAsia="Times New Roman" w:hAnsi="Times New Roman"/>
          <w:b/>
          <w:iCs/>
          <w:sz w:val="24"/>
          <w:szCs w:val="24"/>
        </w:rPr>
        <w:t xml:space="preserve"> index (</w:t>
      </w:r>
      <w:proofErr w:type="spellStart"/>
      <w:r>
        <w:rPr>
          <w:rFonts w:ascii="Times New Roman" w:eastAsia="Times New Roman" w:hAnsi="Times New Roman"/>
          <w:b/>
          <w:iCs/>
          <w:sz w:val="24"/>
          <w:szCs w:val="24"/>
        </w:rPr>
        <w:t>I</w:t>
      </w:r>
      <w:r>
        <w:rPr>
          <w:rFonts w:ascii="Times New Roman" w:eastAsia="Times New Roman" w:hAnsi="Times New Roman"/>
          <w:b/>
          <w:iCs/>
          <w:sz w:val="24"/>
          <w:szCs w:val="24"/>
          <w:vertAlign w:val="subscript"/>
        </w:rPr>
        <w:t>geo</w:t>
      </w:r>
      <w:proofErr w:type="spellEnd"/>
      <w:r>
        <w:rPr>
          <w:rFonts w:ascii="Times New Roman" w:eastAsia="Times New Roman" w:hAnsi="Times New Roman"/>
          <w:b/>
          <w:iCs/>
          <w:sz w:val="24"/>
          <w:szCs w:val="24"/>
        </w:rPr>
        <w:t>)</w:t>
      </w:r>
    </w:p>
    <w:p w14:paraId="35D25244" w14:textId="77777777" w:rsidR="002818EF" w:rsidRDefault="00000000">
      <w:pPr>
        <w:rPr>
          <w:rFonts w:ascii="Times New Roman" w:eastAsia="Times New Roman" w:hAnsi="Times New Roman"/>
          <w:sz w:val="24"/>
          <w:szCs w:val="24"/>
        </w:rPr>
      </w:pPr>
      <w:r>
        <w:rPr>
          <w:rFonts w:ascii="Times New Roman" w:eastAsia="Times New Roman" w:hAnsi="Times New Roman"/>
          <w:sz w:val="24"/>
          <w:szCs w:val="24"/>
        </w:rPr>
        <w:lastRenderedPageBreak/>
        <w:t xml:space="preserve">  The </w:t>
      </w:r>
      <w:proofErr w:type="spellStart"/>
      <w:r>
        <w:rPr>
          <w:rFonts w:ascii="Times New Roman" w:eastAsia="Times New Roman" w:hAnsi="Times New Roman"/>
          <w:sz w:val="24"/>
          <w:szCs w:val="24"/>
        </w:rPr>
        <w:t>Igeo</w:t>
      </w:r>
      <w:proofErr w:type="spellEnd"/>
      <w:r>
        <w:rPr>
          <w:rFonts w:ascii="Times New Roman" w:eastAsia="Times New Roman" w:hAnsi="Times New Roman"/>
          <w:sz w:val="24"/>
          <w:szCs w:val="24"/>
        </w:rPr>
        <w:t xml:space="preserve"> index was used to assess sediment metal contamination according to Muller, (1969) classification; the study obtained results ranging from uncontaminated to heavily to extremely contaminated. The </w:t>
      </w:r>
      <w:proofErr w:type="spellStart"/>
      <w:r>
        <w:rPr>
          <w:rFonts w:ascii="Times New Roman" w:eastAsia="Times New Roman" w:hAnsi="Times New Roman"/>
          <w:sz w:val="24"/>
          <w:szCs w:val="24"/>
        </w:rPr>
        <w:t>Igeo</w:t>
      </w:r>
      <w:proofErr w:type="spellEnd"/>
      <w:r>
        <w:rPr>
          <w:rFonts w:ascii="Times New Roman" w:eastAsia="Times New Roman" w:hAnsi="Times New Roman"/>
          <w:sz w:val="24"/>
          <w:szCs w:val="24"/>
        </w:rPr>
        <w:t xml:space="preserve"> index was depicted in </w:t>
      </w:r>
      <w:r>
        <w:rPr>
          <w:rFonts w:ascii="Times New Roman" w:eastAsia="Times New Roman" w:hAnsi="Times New Roman"/>
          <w:color w:val="000000"/>
          <w:sz w:val="24"/>
          <w:szCs w:val="24"/>
        </w:rPr>
        <w:t xml:space="preserve">Fig. 2. </w:t>
      </w:r>
      <w:r>
        <w:rPr>
          <w:rFonts w:ascii="Times New Roman" w:eastAsia="Times New Roman" w:hAnsi="Times New Roman"/>
          <w:sz w:val="24"/>
          <w:szCs w:val="24"/>
        </w:rPr>
        <w:t xml:space="preserve"> BOS, the </w:t>
      </w:r>
      <w:proofErr w:type="spellStart"/>
      <w:r>
        <w:rPr>
          <w:rFonts w:ascii="Times New Roman" w:eastAsia="Times New Roman" w:hAnsi="Times New Roman"/>
          <w:sz w:val="24"/>
          <w:szCs w:val="24"/>
        </w:rPr>
        <w:t>Igeo</w:t>
      </w:r>
      <w:proofErr w:type="spellEnd"/>
      <w:r>
        <w:rPr>
          <w:rFonts w:ascii="Times New Roman" w:eastAsia="Times New Roman" w:hAnsi="Times New Roman"/>
          <w:sz w:val="24"/>
          <w:szCs w:val="24"/>
        </w:rPr>
        <w:t xml:space="preserve"> class for Cd, Cr, Pb and Hg at stations 1 to 5 was recorded as class 0, indicating a pollution-free environment, except for Cd (0.42, 0.87, 0.6) at stations 2, 3, and 4, which signify class 1, indicating soil that is uncontaminated to moderately contaminated. The untreated waste from the industries, metal manufacturing plant, steel, chromium plating and chemical fabrication acts as a source of pollution (Keshav &amp; Rama, 2016). After the oil slick, Cr at stations 1 and 5 (-0.08 and -0.3) were analysed to be the lowest </w:t>
      </w:r>
      <w:proofErr w:type="spellStart"/>
      <w:r>
        <w:rPr>
          <w:rFonts w:ascii="Times New Roman" w:eastAsia="Times New Roman" w:hAnsi="Times New Roman"/>
          <w:sz w:val="24"/>
          <w:szCs w:val="24"/>
        </w:rPr>
        <w:t>I</w:t>
      </w:r>
      <w:r>
        <w:rPr>
          <w:rFonts w:ascii="Times New Roman" w:eastAsia="Times New Roman" w:hAnsi="Times New Roman"/>
          <w:sz w:val="24"/>
          <w:szCs w:val="24"/>
          <w:vertAlign w:val="subscript"/>
        </w:rPr>
        <w:t>geo</w:t>
      </w:r>
      <w:proofErr w:type="spellEnd"/>
      <w:r>
        <w:rPr>
          <w:rFonts w:ascii="Times New Roman" w:eastAsia="Times New Roman" w:hAnsi="Times New Roman"/>
          <w:sz w:val="24"/>
          <w:szCs w:val="24"/>
          <w:vertAlign w:val="subscript"/>
        </w:rPr>
        <w:t xml:space="preserve"> </w:t>
      </w:r>
      <w:r>
        <w:rPr>
          <w:rFonts w:ascii="Times New Roman" w:eastAsia="Times New Roman" w:hAnsi="Times New Roman"/>
          <w:sz w:val="24"/>
          <w:szCs w:val="24"/>
        </w:rPr>
        <w:t xml:space="preserve">represents class 0, no pollution. </w:t>
      </w:r>
      <w:r>
        <w:rPr>
          <w:rFonts w:ascii="Times New Roman" w:eastAsia="Times New Roman" w:hAnsi="Times New Roman"/>
          <w:color w:val="000000"/>
          <w:kern w:val="0"/>
          <w:sz w:val="24"/>
          <w:szCs w:val="24"/>
          <w:lang w:eastAsia="en-IN"/>
        </w:rPr>
        <w:t xml:space="preserve">Heavy to extremely polluted levels were seen at Pb </w:t>
      </w:r>
      <w:r>
        <w:rPr>
          <w:rFonts w:ascii="Times New Roman" w:eastAsia="Times New Roman" w:hAnsi="Times New Roman"/>
          <w:sz w:val="24"/>
          <w:szCs w:val="24"/>
        </w:rPr>
        <w:t>(ST1: 4.38, ST2: 4.45, ST3: 4.32, ST4: 4.29, ST5: 4.17),</w:t>
      </w:r>
      <w:r>
        <w:rPr>
          <w:rFonts w:ascii="Times New Roman" w:eastAsia="Times New Roman" w:hAnsi="Times New Roman"/>
          <w:color w:val="000000"/>
          <w:kern w:val="0"/>
          <w:sz w:val="24"/>
          <w:szCs w:val="24"/>
          <w:lang w:eastAsia="en-IN"/>
        </w:rPr>
        <w:t xml:space="preserve"> </w:t>
      </w:r>
      <w:r>
        <w:rPr>
          <w:rFonts w:ascii="Times New Roman" w:eastAsia="Times New Roman" w:hAnsi="Times New Roman"/>
          <w:sz w:val="24"/>
          <w:szCs w:val="24"/>
        </w:rPr>
        <w:t xml:space="preserve">suggesting class 5 contamination. Cd was classified under class 4 at stations 1 to 3, which have heavily polluted sediments; class 3 at station 4, which has moderate to high contamination; and class 2 at station 5, which has moderate pollution. The concentration of Cr at stations 1 to 4, which are uncontaminated to moderately contaminated (class 1). Hg concentration falls under class 2 at stations 1 to 4 and under class 1 at station 5. The Pb level after the spill may be elevated because it accumulates in fine particles of sediment and organic matter (Jayaprakash </w:t>
      </w:r>
      <w:r>
        <w:rPr>
          <w:rFonts w:ascii="Times New Roman" w:eastAsia="Times New Roman" w:hAnsi="Times New Roman"/>
          <w:i/>
          <w:iCs/>
          <w:sz w:val="24"/>
          <w:szCs w:val="24"/>
        </w:rPr>
        <w:t>et al</w:t>
      </w:r>
      <w:r>
        <w:rPr>
          <w:rFonts w:ascii="Times New Roman" w:eastAsia="Times New Roman" w:hAnsi="Times New Roman"/>
          <w:sz w:val="24"/>
          <w:szCs w:val="24"/>
        </w:rPr>
        <w:t>., 2008).</w:t>
      </w:r>
    </w:p>
    <w:p w14:paraId="60AAC6AE" w14:textId="77777777" w:rsidR="002818EF" w:rsidRDefault="002818EF">
      <w:pPr>
        <w:rPr>
          <w:rFonts w:ascii="Times New Roman" w:eastAsia="Times New Roman" w:hAnsi="Times New Roman"/>
          <w:sz w:val="24"/>
          <w:szCs w:val="24"/>
        </w:rPr>
      </w:pPr>
    </w:p>
    <w:p w14:paraId="1294E219" w14:textId="77777777" w:rsidR="002818EF" w:rsidRDefault="002818EF"/>
    <w:p w14:paraId="74B2873C" w14:textId="77777777" w:rsidR="002818EF" w:rsidRDefault="00000000">
      <w:r>
        <w:rPr>
          <w:noProof/>
        </w:rPr>
        <w:lastRenderedPageBreak/>
        <w:drawing>
          <wp:inline distT="0" distB="0" distL="0" distR="0" wp14:anchorId="4B4D5F2C" wp14:editId="7248EDED">
            <wp:extent cx="5645150" cy="3200400"/>
            <wp:effectExtent l="4445" t="4445" r="14605" b="8255"/>
            <wp:docPr id="49549182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FFB04CD" w14:textId="77777777" w:rsidR="002818EF" w:rsidRDefault="00000000">
      <w:pPr>
        <w:rPr>
          <w:rFonts w:ascii="Times New Roman" w:eastAsia="Times New Roman" w:hAnsi="Times New Roman"/>
          <w:b/>
          <w:bCs/>
          <w:sz w:val="24"/>
          <w:szCs w:val="24"/>
        </w:rPr>
      </w:pPr>
      <w:r>
        <w:rPr>
          <w:rFonts w:ascii="Times New Roman" w:eastAsia="Times New Roman" w:hAnsi="Times New Roman"/>
          <w:b/>
          <w:bCs/>
          <w:sz w:val="24"/>
          <w:szCs w:val="24"/>
        </w:rPr>
        <w:t xml:space="preserve">Fig. 2. </w:t>
      </w:r>
      <w:proofErr w:type="spellStart"/>
      <w:r>
        <w:rPr>
          <w:rFonts w:ascii="Times New Roman" w:eastAsia="Times New Roman" w:hAnsi="Times New Roman"/>
          <w:b/>
          <w:bCs/>
          <w:sz w:val="24"/>
          <w:szCs w:val="24"/>
        </w:rPr>
        <w:t>Geoaccumulation</w:t>
      </w:r>
      <w:proofErr w:type="spellEnd"/>
      <w:r>
        <w:rPr>
          <w:rFonts w:ascii="Times New Roman" w:eastAsia="Times New Roman" w:hAnsi="Times New Roman"/>
          <w:b/>
          <w:bCs/>
          <w:sz w:val="24"/>
          <w:szCs w:val="24"/>
        </w:rPr>
        <w:t xml:space="preserve"> values derived from the sediment of the study area.</w:t>
      </w:r>
    </w:p>
    <w:p w14:paraId="5BF41DFD" w14:textId="77777777" w:rsidR="002818EF" w:rsidRDefault="002818EF">
      <w:pPr>
        <w:rPr>
          <w:rFonts w:ascii="Times New Roman" w:eastAsia="Times New Roman" w:hAnsi="Times New Roman"/>
          <w:sz w:val="24"/>
          <w:szCs w:val="24"/>
        </w:rPr>
      </w:pPr>
    </w:p>
    <w:p w14:paraId="3F2F53F1" w14:textId="77777777" w:rsidR="002818EF" w:rsidRDefault="00000000">
      <w:pPr>
        <w:rPr>
          <w:rFonts w:ascii="Times New Roman" w:hAnsi="Times New Roman"/>
          <w:b/>
          <w:bCs/>
          <w:sz w:val="24"/>
          <w:szCs w:val="24"/>
          <w:lang w:eastAsia="en-IN"/>
        </w:rPr>
      </w:pPr>
      <w:r>
        <w:rPr>
          <w:rFonts w:ascii="Times New Roman" w:hAnsi="Times New Roman"/>
          <w:b/>
          <w:bCs/>
          <w:sz w:val="24"/>
          <w:szCs w:val="24"/>
          <w:lang w:eastAsia="en-IN"/>
        </w:rPr>
        <w:t>3.5 Pollution Load Index (PLI)</w:t>
      </w:r>
    </w:p>
    <w:p w14:paraId="15B42702" w14:textId="77777777" w:rsidR="002818EF" w:rsidRDefault="00000000">
      <w:pPr>
        <w:rPr>
          <w:rFonts w:ascii="Times New Roman" w:hAnsi="Times New Roman"/>
          <w:sz w:val="24"/>
          <w:szCs w:val="24"/>
        </w:rPr>
      </w:pPr>
      <w:r>
        <w:rPr>
          <w:rFonts w:ascii="Times New Roman" w:hAnsi="Times New Roman"/>
          <w:sz w:val="24"/>
          <w:szCs w:val="24"/>
        </w:rPr>
        <w:t xml:space="preserve">Heavy metals Cd, Cr, Pb and Hg in sediment from station 1 (0.15), station 2 (0.30), station 3 (0.21), station 4 (0.22) and station 5 (0.09) were &gt;1 stipulate no pollution before the oil spill.  Conversely, post the spill, station 1 (8.51), station 2 (7.09), station 3 (6.89), station 4 (6.86) and station 5 (4.58) metal pollution levels were above 1, implying greater cumulative pollution occurred at all five stations. This is probably the result of a low-energy aquatic environment allowing the metals to settle down on the sediment surface (Yan </w:t>
      </w:r>
      <w:proofErr w:type="spellStart"/>
      <w:r>
        <w:rPr>
          <w:rFonts w:ascii="Times New Roman" w:hAnsi="Times New Roman"/>
          <w:sz w:val="24"/>
          <w:szCs w:val="24"/>
        </w:rPr>
        <w:t>BeiZhan</w:t>
      </w:r>
      <w:proofErr w:type="spellEnd"/>
      <w:r>
        <w:rPr>
          <w:rFonts w:ascii="Times New Roman" w:hAnsi="Times New Roman"/>
          <w:sz w:val="24"/>
          <w:szCs w:val="24"/>
        </w:rPr>
        <w:t xml:space="preserve"> </w:t>
      </w:r>
      <w:r>
        <w:rPr>
          <w:rFonts w:ascii="Times New Roman" w:hAnsi="Times New Roman"/>
          <w:i/>
          <w:iCs/>
          <w:sz w:val="24"/>
          <w:szCs w:val="24"/>
        </w:rPr>
        <w:t>et al</w:t>
      </w:r>
      <w:r>
        <w:rPr>
          <w:rFonts w:ascii="Times New Roman" w:hAnsi="Times New Roman"/>
          <w:sz w:val="24"/>
          <w:szCs w:val="24"/>
        </w:rPr>
        <w:t>., 2016).</w:t>
      </w:r>
    </w:p>
    <w:p w14:paraId="3B494521" w14:textId="77777777" w:rsidR="002818EF" w:rsidRDefault="00000000">
      <w:pPr>
        <w:rPr>
          <w:rFonts w:ascii="Times New Roman" w:hAnsi="Times New Roman"/>
          <w:sz w:val="24"/>
          <w:szCs w:val="24"/>
        </w:rPr>
      </w:pPr>
      <w:r>
        <w:rPr>
          <w:rFonts w:ascii="Times New Roman" w:eastAsia="Times New Roman" w:hAnsi="Times New Roman"/>
          <w:b/>
          <w:iCs/>
          <w:sz w:val="24"/>
          <w:szCs w:val="24"/>
        </w:rPr>
        <w:t xml:space="preserve">3.6 Bioaccumulation factor </w:t>
      </w:r>
    </w:p>
    <w:p w14:paraId="04EDCED2" w14:textId="77777777" w:rsidR="002818EF" w:rsidRDefault="00000000">
      <w:pPr>
        <w:rPr>
          <w:rFonts w:ascii="Times New Roman" w:hAnsi="Times New Roman"/>
          <w:sz w:val="24"/>
          <w:szCs w:val="24"/>
        </w:rPr>
      </w:pPr>
      <w:r>
        <w:rPr>
          <w:rFonts w:ascii="Times New Roman" w:hAnsi="Times New Roman"/>
          <w:sz w:val="24"/>
          <w:szCs w:val="24"/>
        </w:rPr>
        <w:t xml:space="preserve">BAF values in polychaetes show that the water before and after the spill ranged from 0.01 to 19.50 and after the spill from 0.01 to 2.59, indicating relatively low accumulation of heavy metals in the polychaete samples compared to the water. For </w:t>
      </w:r>
      <w:proofErr w:type="spellStart"/>
      <w:r>
        <w:rPr>
          <w:rFonts w:ascii="Times New Roman" w:eastAsia="Times New Roman" w:hAnsi="Times New Roman"/>
          <w:i/>
          <w:iCs/>
          <w:color w:val="000000"/>
          <w:kern w:val="0"/>
          <w:sz w:val="24"/>
          <w:szCs w:val="24"/>
          <w:lang w:eastAsia="en-IN"/>
        </w:rPr>
        <w:t>Elops</w:t>
      </w:r>
      <w:proofErr w:type="spellEnd"/>
      <w:r>
        <w:rPr>
          <w:rFonts w:ascii="Times New Roman" w:eastAsia="Times New Roman" w:hAnsi="Times New Roman"/>
          <w:i/>
          <w:iCs/>
          <w:color w:val="000000"/>
          <w:kern w:val="0"/>
          <w:sz w:val="24"/>
          <w:szCs w:val="24"/>
          <w:lang w:eastAsia="en-IN"/>
        </w:rPr>
        <w:t xml:space="preserve"> saurus</w:t>
      </w:r>
      <w:r>
        <w:rPr>
          <w:rFonts w:ascii="Times New Roman" w:hAnsi="Times New Roman"/>
          <w:sz w:val="24"/>
          <w:szCs w:val="24"/>
        </w:rPr>
        <w:t xml:space="preserve"> and </w:t>
      </w:r>
      <w:r>
        <w:rPr>
          <w:rFonts w:ascii="Times New Roman" w:hAnsi="Times New Roman"/>
          <w:i/>
          <w:iCs/>
          <w:sz w:val="24"/>
          <w:szCs w:val="24"/>
        </w:rPr>
        <w:t>Gerres filamentous, they</w:t>
      </w:r>
      <w:r>
        <w:rPr>
          <w:rFonts w:ascii="Times New Roman" w:hAnsi="Times New Roman"/>
          <w:sz w:val="24"/>
          <w:szCs w:val="24"/>
        </w:rPr>
        <w:t xml:space="preserve"> show comparatively minimal accumulation relative to their concentrations in the surrounding water. A similar study was reported by Olayinka-Olagunju </w:t>
      </w:r>
      <w:r>
        <w:rPr>
          <w:rFonts w:ascii="Times New Roman" w:hAnsi="Times New Roman"/>
          <w:i/>
          <w:iCs/>
          <w:sz w:val="24"/>
          <w:szCs w:val="24"/>
        </w:rPr>
        <w:t>et al</w:t>
      </w:r>
      <w:r>
        <w:rPr>
          <w:rFonts w:ascii="Times New Roman" w:hAnsi="Times New Roman"/>
          <w:sz w:val="24"/>
          <w:szCs w:val="24"/>
        </w:rPr>
        <w:t xml:space="preserve">. (2021) in </w:t>
      </w:r>
      <w:r>
        <w:rPr>
          <w:rFonts w:ascii="Times New Roman" w:hAnsi="Times New Roman"/>
          <w:i/>
          <w:iCs/>
          <w:sz w:val="24"/>
          <w:szCs w:val="24"/>
        </w:rPr>
        <w:lastRenderedPageBreak/>
        <w:t xml:space="preserve">Clarias </w:t>
      </w:r>
      <w:proofErr w:type="spellStart"/>
      <w:r>
        <w:rPr>
          <w:rFonts w:ascii="Times New Roman" w:hAnsi="Times New Roman"/>
          <w:i/>
          <w:iCs/>
          <w:sz w:val="24"/>
          <w:szCs w:val="24"/>
        </w:rPr>
        <w:t>gariepinus</w:t>
      </w:r>
      <w:proofErr w:type="spellEnd"/>
      <w:r>
        <w:rPr>
          <w:rFonts w:ascii="Times New Roman" w:hAnsi="Times New Roman"/>
          <w:sz w:val="24"/>
          <w:szCs w:val="24"/>
        </w:rPr>
        <w:t xml:space="preserve"> muscle show low accumulation and mainly due to feeding behaviour and for each species it differs.</w:t>
      </w:r>
    </w:p>
    <w:p w14:paraId="3223FADF" w14:textId="77777777" w:rsidR="002818EF" w:rsidRDefault="002818EF">
      <w:pPr>
        <w:rPr>
          <w:rFonts w:ascii="Times New Roman" w:hAnsi="Times New Roman"/>
          <w:sz w:val="24"/>
          <w:szCs w:val="24"/>
        </w:rPr>
      </w:pPr>
    </w:p>
    <w:p w14:paraId="295C19C6" w14:textId="77777777" w:rsidR="002818EF" w:rsidRDefault="00000000">
      <w:pPr>
        <w:rPr>
          <w:rFonts w:ascii="Times New Roman" w:hAnsi="Times New Roman"/>
          <w:b/>
          <w:bCs/>
          <w:sz w:val="24"/>
          <w:szCs w:val="24"/>
        </w:rPr>
      </w:pPr>
      <w:r>
        <w:rPr>
          <w:rFonts w:ascii="Times New Roman" w:hAnsi="Times New Roman"/>
          <w:b/>
          <w:bCs/>
          <w:sz w:val="24"/>
          <w:szCs w:val="24"/>
        </w:rPr>
        <w:t>3.7 Pearson correlation</w:t>
      </w:r>
    </w:p>
    <w:p w14:paraId="4D5595D3" w14:textId="77777777" w:rsidR="002818EF" w:rsidRDefault="00000000">
      <w:pPr>
        <w:rPr>
          <w:rFonts w:ascii="Times New Roman" w:hAnsi="Times New Roman"/>
          <w:sz w:val="24"/>
          <w:szCs w:val="24"/>
        </w:rPr>
      </w:pPr>
      <w:r>
        <w:rPr>
          <w:rFonts w:ascii="Times New Roman" w:eastAsia="Times New Roman" w:hAnsi="Times New Roman"/>
          <w:sz w:val="24"/>
          <w:szCs w:val="24"/>
        </w:rPr>
        <w:t>A strong positive correlation in the water between temperature and salinity (r = 0.89); pH and DO (r = 0.75) and Salinity and DO (r = 0.84) are the same in sediment, polychaetes, and fish.  The correlation of metals in water: Cd and Cr (r = 0.89); Cr and Hg (r = 0.89); Pb and Hg (r = 0.83). Similarly, a very strong positive correlation was seen between Cd and Hg (r = 0.95).  In contrast, the physicochemical parameters show a strong negative correlation with the heavy metals in both water and sediment. Correlation alone does not determine the source of contamination, but it can also influence metal mobility (</w:t>
      </w:r>
      <w:r>
        <w:rPr>
          <w:rFonts w:ascii="Times New Roman" w:hAnsi="Times New Roman"/>
          <w:sz w:val="24"/>
          <w:szCs w:val="24"/>
        </w:rPr>
        <w:t xml:space="preserve">Nishitha </w:t>
      </w:r>
      <w:r>
        <w:rPr>
          <w:rFonts w:ascii="Times New Roman" w:hAnsi="Times New Roman"/>
          <w:i/>
          <w:iCs/>
          <w:sz w:val="24"/>
          <w:szCs w:val="24"/>
        </w:rPr>
        <w:t xml:space="preserve">et al., </w:t>
      </w:r>
      <w:r>
        <w:rPr>
          <w:rFonts w:ascii="Times New Roman" w:hAnsi="Times New Roman"/>
          <w:sz w:val="24"/>
          <w:szCs w:val="24"/>
        </w:rPr>
        <w:t xml:space="preserve">2023). Heavy metals in water show high statistical significance &lt; 0.001. In sediment, a strong positive correlation was seen for Cd and Pb (r = 0.91) and for Cr and Hg (r = 0.98).  (Zhang </w:t>
      </w:r>
      <w:r>
        <w:rPr>
          <w:rFonts w:ascii="Times New Roman" w:hAnsi="Times New Roman"/>
          <w:i/>
          <w:iCs/>
          <w:sz w:val="24"/>
          <w:szCs w:val="24"/>
        </w:rPr>
        <w:t>et al</w:t>
      </w:r>
      <w:r>
        <w:rPr>
          <w:rFonts w:ascii="Times New Roman" w:hAnsi="Times New Roman"/>
          <w:sz w:val="24"/>
          <w:szCs w:val="24"/>
        </w:rPr>
        <w:t xml:space="preserve">., 2022) reported in the sediment that there was a negative correlation between Hg, Cr and Cd and salinity. On the other hand, temperature, pH and DO show a negative correlation with heavy metals (Zhang </w:t>
      </w:r>
      <w:r>
        <w:rPr>
          <w:rFonts w:ascii="Times New Roman" w:hAnsi="Times New Roman"/>
          <w:i/>
          <w:iCs/>
          <w:sz w:val="24"/>
          <w:szCs w:val="24"/>
        </w:rPr>
        <w:t>et al</w:t>
      </w:r>
      <w:r>
        <w:rPr>
          <w:rFonts w:ascii="Times New Roman" w:hAnsi="Times New Roman"/>
          <w:sz w:val="24"/>
          <w:szCs w:val="24"/>
        </w:rPr>
        <w:t xml:space="preserve">., 2018). The p-values for </w:t>
      </w:r>
      <w:proofErr w:type="spellStart"/>
      <w:r>
        <w:rPr>
          <w:rFonts w:ascii="Times New Roman" w:hAnsi="Times New Roman"/>
          <w:sz w:val="24"/>
          <w:szCs w:val="24"/>
        </w:rPr>
        <w:t>polychete</w:t>
      </w:r>
      <w:proofErr w:type="spellEnd"/>
      <w:r>
        <w:rPr>
          <w:rFonts w:ascii="Times New Roman" w:hAnsi="Times New Roman"/>
          <w:sz w:val="24"/>
          <w:szCs w:val="24"/>
        </w:rPr>
        <w:t xml:space="preserve"> metals Cd- Cr, Cd-Hg, Cr-Hg and Pb-Hg were &lt;0.05, which is statistically significant, whereas Cd-Pb and Cr-Pb were &lt;0.001, which is highly statistically significant. A very strong correlation was observed for Cr-Pb (r = 0.88), whereas a weak correlation was seen for Pb-Hg (r = 0.36). A very strong correlation was seen for Cr-Pb (r = 0.88), whereas a weak correlation was seen for Pb-Hg (r = 0.36). The physicochemical parameters do sometimes influence the change in metal accumulation in </w:t>
      </w:r>
      <w:proofErr w:type="spellStart"/>
      <w:r>
        <w:rPr>
          <w:rFonts w:ascii="Times New Roman" w:hAnsi="Times New Roman"/>
          <w:i/>
          <w:iCs/>
          <w:sz w:val="24"/>
          <w:szCs w:val="24"/>
        </w:rPr>
        <w:t>Diopatra</w:t>
      </w:r>
      <w:proofErr w:type="spellEnd"/>
      <w:r>
        <w:rPr>
          <w:rFonts w:ascii="Times New Roman" w:hAnsi="Times New Roman"/>
          <w:i/>
          <w:iCs/>
          <w:sz w:val="24"/>
          <w:szCs w:val="24"/>
        </w:rPr>
        <w:t xml:space="preserve"> </w:t>
      </w:r>
      <w:proofErr w:type="spellStart"/>
      <w:r>
        <w:rPr>
          <w:rFonts w:ascii="Times New Roman" w:hAnsi="Times New Roman"/>
          <w:i/>
          <w:iCs/>
          <w:sz w:val="24"/>
          <w:szCs w:val="24"/>
        </w:rPr>
        <w:t>neapolitana</w:t>
      </w:r>
      <w:proofErr w:type="spellEnd"/>
      <w:r>
        <w:rPr>
          <w:rFonts w:ascii="Times New Roman" w:hAnsi="Times New Roman"/>
          <w:i/>
          <w:iCs/>
          <w:sz w:val="24"/>
          <w:szCs w:val="24"/>
        </w:rPr>
        <w:t xml:space="preserve"> </w:t>
      </w:r>
      <w:r>
        <w:rPr>
          <w:rFonts w:ascii="Times New Roman" w:hAnsi="Times New Roman"/>
          <w:sz w:val="24"/>
          <w:szCs w:val="24"/>
        </w:rPr>
        <w:t>(Giménez</w:t>
      </w:r>
      <w:r>
        <w:rPr>
          <w:rFonts w:ascii="Times New Roman" w:hAnsi="Times New Roman"/>
          <w:i/>
          <w:iCs/>
          <w:sz w:val="24"/>
          <w:szCs w:val="24"/>
        </w:rPr>
        <w:t xml:space="preserve"> et al., </w:t>
      </w:r>
      <w:r>
        <w:rPr>
          <w:rFonts w:ascii="Times New Roman" w:hAnsi="Times New Roman"/>
          <w:sz w:val="24"/>
          <w:szCs w:val="24"/>
        </w:rPr>
        <w:t xml:space="preserve">2022). The p-values for </w:t>
      </w:r>
      <w:proofErr w:type="spellStart"/>
      <w:r>
        <w:rPr>
          <w:rFonts w:ascii="Times New Roman" w:hAnsi="Times New Roman"/>
          <w:sz w:val="24"/>
          <w:szCs w:val="24"/>
        </w:rPr>
        <w:t>polychetes</w:t>
      </w:r>
      <w:proofErr w:type="spellEnd"/>
      <w:r>
        <w:rPr>
          <w:rFonts w:ascii="Times New Roman" w:hAnsi="Times New Roman"/>
          <w:sz w:val="24"/>
          <w:szCs w:val="24"/>
        </w:rPr>
        <w:t xml:space="preserve"> and </w:t>
      </w:r>
      <w:proofErr w:type="spellStart"/>
      <w:r>
        <w:rPr>
          <w:rFonts w:ascii="Times New Roman" w:eastAsia="Times New Roman" w:hAnsi="Times New Roman"/>
          <w:i/>
          <w:iCs/>
          <w:color w:val="000000"/>
          <w:kern w:val="0"/>
          <w:sz w:val="24"/>
          <w:szCs w:val="24"/>
          <w:lang w:eastAsia="en-IN"/>
        </w:rPr>
        <w:t>Elops</w:t>
      </w:r>
      <w:proofErr w:type="spellEnd"/>
      <w:r>
        <w:rPr>
          <w:rFonts w:ascii="Times New Roman" w:eastAsia="Times New Roman" w:hAnsi="Times New Roman"/>
          <w:i/>
          <w:iCs/>
          <w:color w:val="000000"/>
          <w:kern w:val="0"/>
          <w:sz w:val="24"/>
          <w:szCs w:val="24"/>
          <w:lang w:eastAsia="en-IN"/>
        </w:rPr>
        <w:t xml:space="preserve"> saurus</w:t>
      </w:r>
      <w:r>
        <w:rPr>
          <w:rFonts w:ascii="Times New Roman" w:hAnsi="Times New Roman"/>
          <w:sz w:val="24"/>
          <w:szCs w:val="24"/>
        </w:rPr>
        <w:t xml:space="preserve"> Cd- Cr, Cd-Hg, Cr-Hg and Pb-Hg were &lt;0.05, which is statistically significant, whereas Cd-Pb and Cr-Pb were &lt;0.001, which is highly statistically significant. </w:t>
      </w:r>
      <w:r>
        <w:rPr>
          <w:rFonts w:ascii="Times New Roman" w:eastAsia="Times New Roman" w:hAnsi="Times New Roman"/>
          <w:i/>
          <w:iCs/>
          <w:color w:val="000000"/>
          <w:kern w:val="0"/>
          <w:sz w:val="24"/>
          <w:szCs w:val="24"/>
          <w:lang w:eastAsia="en-IN"/>
        </w:rPr>
        <w:t>E. saurus,</w:t>
      </w:r>
      <w:r>
        <w:rPr>
          <w:rFonts w:ascii="Times New Roman" w:hAnsi="Times New Roman"/>
          <w:sz w:val="24"/>
          <w:szCs w:val="24"/>
        </w:rPr>
        <w:t xml:space="preserve"> a very strong positive correlation was found between Cd-Pb (r = 0.84) and Pb-Hg (r = 0.88) then a strong </w:t>
      </w:r>
      <w:r>
        <w:rPr>
          <w:rFonts w:ascii="Times New Roman" w:hAnsi="Times New Roman"/>
          <w:sz w:val="24"/>
          <w:szCs w:val="24"/>
        </w:rPr>
        <w:lastRenderedPageBreak/>
        <w:t xml:space="preserve">correlation among the metals Cr-Hg (r = 0.69) and a weak correlation between Cr-Pb (r = 0.6). Similarly, for G. </w:t>
      </w:r>
      <w:r>
        <w:rPr>
          <w:rFonts w:ascii="Times New Roman" w:hAnsi="Times New Roman"/>
          <w:i/>
          <w:iCs/>
          <w:sz w:val="24"/>
          <w:szCs w:val="24"/>
        </w:rPr>
        <w:t>filamentous,</w:t>
      </w:r>
      <w:r>
        <w:rPr>
          <w:rFonts w:ascii="Times New Roman" w:hAnsi="Times New Roman"/>
          <w:sz w:val="24"/>
          <w:szCs w:val="24"/>
        </w:rPr>
        <w:t xml:space="preserve"> Cd-Pb (r = 0.82) represents a very strong correlation; a weak correlation was observed for Cr-Pb (r = 0.8) The p-values for all the metals were &lt;0.001, which is highly statistically significant. </w:t>
      </w:r>
    </w:p>
    <w:p w14:paraId="676191C6" w14:textId="77777777" w:rsidR="002818EF" w:rsidRDefault="00000000">
      <w:pPr>
        <w:rPr>
          <w:rFonts w:ascii="Times New Roman" w:eastAsia="Times New Roman" w:hAnsi="Times New Roman"/>
          <w:b/>
          <w:color w:val="000000"/>
          <w:sz w:val="24"/>
          <w:szCs w:val="24"/>
        </w:rPr>
      </w:pPr>
      <w:r>
        <w:rPr>
          <w:rFonts w:ascii="Times New Roman" w:eastAsia="Times New Roman" w:hAnsi="Times New Roman"/>
          <w:sz w:val="24"/>
          <w:szCs w:val="24"/>
        </w:rPr>
        <w:t xml:space="preserve"> </w:t>
      </w:r>
      <w:r>
        <w:rPr>
          <w:rFonts w:ascii="Times New Roman" w:eastAsia="Times New Roman" w:hAnsi="Times New Roman"/>
          <w:b/>
          <w:color w:val="000000"/>
          <w:sz w:val="24"/>
          <w:szCs w:val="24"/>
        </w:rPr>
        <w:t>4. Conclusions</w:t>
      </w:r>
    </w:p>
    <w:p w14:paraId="252235C5" w14:textId="77777777" w:rsidR="002818EF" w:rsidRDefault="00000000">
      <w:pPr>
        <w:rPr>
          <w:rFonts w:ascii="Times New Roman" w:eastAsia="Times New Roman" w:hAnsi="Times New Roman"/>
          <w:sz w:val="24"/>
          <w:szCs w:val="24"/>
        </w:rPr>
      </w:pPr>
      <w:bookmarkStart w:id="4" w:name="_heading=h.pcyhxq3k6e6s" w:colFirst="0" w:colLast="0"/>
      <w:bookmarkEnd w:id="4"/>
      <w:r>
        <w:rPr>
          <w:rFonts w:ascii="Times New Roman" w:eastAsia="Times New Roman" w:hAnsi="Times New Roman"/>
          <w:sz w:val="24"/>
          <w:szCs w:val="24"/>
        </w:rPr>
        <w:t xml:space="preserve">The present study significantly provides a pronounced increase in heavy metal concentration in the environment as a direct consequence of the oil spill. Trace amounts of non-essential heavy metals can be toxic to many living organisms. In our study, trace metals such as Cd, Cr, Pb, and Hg were compared with the biotic and abiotic components of the environment and these metals were among the most increased after the oil spill. </w:t>
      </w:r>
      <w:proofErr w:type="spellStart"/>
      <w:r>
        <w:rPr>
          <w:rFonts w:ascii="Times New Roman" w:eastAsia="Times New Roman" w:hAnsi="Times New Roman"/>
          <w:sz w:val="24"/>
          <w:szCs w:val="24"/>
        </w:rPr>
        <w:t>I</w:t>
      </w:r>
      <w:r>
        <w:rPr>
          <w:rFonts w:ascii="Times New Roman" w:eastAsia="Times New Roman" w:hAnsi="Times New Roman"/>
          <w:sz w:val="24"/>
          <w:szCs w:val="24"/>
          <w:vertAlign w:val="subscript"/>
        </w:rPr>
        <w:t>geo</w:t>
      </w:r>
      <w:proofErr w:type="spellEnd"/>
      <w:r>
        <w:rPr>
          <w:rFonts w:ascii="Times New Roman" w:eastAsia="Times New Roman" w:hAnsi="Times New Roman"/>
          <w:sz w:val="24"/>
          <w:szCs w:val="24"/>
          <w:vertAlign w:val="subscript"/>
        </w:rPr>
        <w:t xml:space="preserve"> </w:t>
      </w:r>
      <w:r>
        <w:rPr>
          <w:rFonts w:ascii="Times New Roman" w:eastAsia="Times New Roman" w:hAnsi="Times New Roman"/>
          <w:sz w:val="24"/>
          <w:szCs w:val="24"/>
        </w:rPr>
        <w:t xml:space="preserve">and PLI indices used to statistically analyse metal pollution in the sediment reveal most of the contamination. BAF values were determined to find the level of metal accumulation in the fish, showing slight accumulation. Overall, the toxic contamination was found more in sediment Pb&gt; Cr&gt; Cd&gt; Hg. Bioremediation and diligent monitoring of waste discharges from industries ensure minimal contamination and reduce the impact level on the coastal area as well as the terrestrial ecosystem, which in turn reduces the risk of bioaccumulation of toxic substances in humans as well as the environment. </w:t>
      </w:r>
    </w:p>
    <w:p w14:paraId="1B0BE839" w14:textId="77777777" w:rsidR="00681D00" w:rsidRDefault="00681D00">
      <w:pPr>
        <w:pStyle w:val="NormalWeb"/>
      </w:pPr>
    </w:p>
    <w:p w14:paraId="6119040A" w14:textId="77777777" w:rsidR="00BE1B01" w:rsidRDefault="00BE1B01">
      <w:pPr>
        <w:pStyle w:val="NormalWeb"/>
      </w:pPr>
    </w:p>
    <w:p w14:paraId="336494EB" w14:textId="77777777" w:rsidR="00681D00" w:rsidRPr="00681D00" w:rsidRDefault="00681D00" w:rsidP="00681D00">
      <w:pPr>
        <w:spacing w:line="240" w:lineRule="auto"/>
        <w:ind w:left="0"/>
        <w:jc w:val="left"/>
        <w:rPr>
          <w:rFonts w:ascii="Arial" w:hAnsi="Arial" w:cs="Arial"/>
          <w:b/>
          <w:kern w:val="0"/>
          <w:sz w:val="20"/>
          <w:szCs w:val="20"/>
          <w:lang w:val="en-US"/>
        </w:rPr>
      </w:pPr>
      <w:r w:rsidRPr="00681D00">
        <w:rPr>
          <w:rFonts w:ascii="Arial" w:hAnsi="Arial" w:cs="Arial"/>
          <w:b/>
          <w:kern w:val="0"/>
          <w:sz w:val="20"/>
          <w:szCs w:val="20"/>
          <w:lang w:val="en-US"/>
        </w:rPr>
        <w:t>Declaration of AI Use</w:t>
      </w:r>
    </w:p>
    <w:p w14:paraId="34B1C088" w14:textId="77777777" w:rsidR="00681D00" w:rsidRPr="00681D00" w:rsidRDefault="00681D00" w:rsidP="00681D00">
      <w:pPr>
        <w:spacing w:line="240" w:lineRule="auto"/>
        <w:ind w:left="0"/>
        <w:jc w:val="left"/>
        <w:rPr>
          <w:rFonts w:ascii="Arial" w:hAnsi="Arial" w:cs="Arial"/>
          <w:kern w:val="0"/>
          <w:sz w:val="20"/>
          <w:szCs w:val="20"/>
          <w:lang w:val="en-US"/>
        </w:rPr>
      </w:pPr>
    </w:p>
    <w:p w14:paraId="2233F97D" w14:textId="77777777" w:rsidR="00681D00" w:rsidRPr="00681D00" w:rsidRDefault="00681D00" w:rsidP="00681D00">
      <w:pPr>
        <w:spacing w:line="240" w:lineRule="auto"/>
        <w:ind w:left="0"/>
        <w:jc w:val="left"/>
        <w:rPr>
          <w:rFonts w:ascii="Arial" w:hAnsi="Arial" w:cs="Arial"/>
          <w:kern w:val="0"/>
          <w:sz w:val="20"/>
          <w:szCs w:val="20"/>
          <w:lang w:val="en-US"/>
        </w:rPr>
      </w:pPr>
      <w:r w:rsidRPr="00681D00">
        <w:rPr>
          <w:rFonts w:ascii="Arial" w:hAnsi="Arial" w:cs="Arial"/>
          <w:kern w:val="0"/>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EF6E499" w14:textId="77777777" w:rsidR="00681D00" w:rsidRPr="00681D00" w:rsidRDefault="00681D00" w:rsidP="00681D00">
      <w:pPr>
        <w:spacing w:line="240" w:lineRule="auto"/>
        <w:ind w:left="0"/>
        <w:rPr>
          <w:rFonts w:ascii="Times New Roman" w:hAnsi="Times New Roman"/>
          <w:kern w:val="0"/>
          <w:lang w:val="en-US"/>
        </w:rPr>
      </w:pPr>
    </w:p>
    <w:p w14:paraId="20AC9BE9" w14:textId="77777777" w:rsidR="00681D00" w:rsidRPr="00681D00" w:rsidRDefault="00681D00" w:rsidP="00681D00">
      <w:pPr>
        <w:spacing w:line="240" w:lineRule="auto"/>
        <w:ind w:left="0"/>
        <w:rPr>
          <w:rFonts w:ascii="Times New Roman" w:hAnsi="Times New Roman"/>
          <w:kern w:val="0"/>
          <w:lang w:val="en-US"/>
        </w:rPr>
      </w:pPr>
    </w:p>
    <w:p w14:paraId="18E5FF08" w14:textId="77777777" w:rsidR="00681D00" w:rsidRPr="00681D00" w:rsidRDefault="00681D00" w:rsidP="00681D00">
      <w:pPr>
        <w:spacing w:after="200" w:line="276" w:lineRule="auto"/>
        <w:ind w:left="0"/>
        <w:jc w:val="left"/>
        <w:rPr>
          <w:rFonts w:ascii="Cambria" w:eastAsia="Times New Roman" w:hAnsi="Cambria" w:cs="Arial"/>
          <w:b/>
          <w:bCs/>
          <w:kern w:val="0"/>
          <w:lang w:val="en-GB" w:eastAsia="en-GB"/>
        </w:rPr>
      </w:pPr>
      <w:r w:rsidRPr="00681D00">
        <w:rPr>
          <w:rFonts w:ascii="Cambria" w:eastAsia="Times New Roman" w:hAnsi="Cambria" w:cs="Arial"/>
          <w:b/>
          <w:bCs/>
          <w:kern w:val="0"/>
          <w:lang w:val="en-GB" w:eastAsia="en-GB"/>
        </w:rPr>
        <w:t>COMPETING INTERESTS DISCLAIMER:</w:t>
      </w:r>
    </w:p>
    <w:p w14:paraId="4A759106" w14:textId="77777777" w:rsidR="00681D00" w:rsidRPr="00681D00" w:rsidRDefault="00681D00" w:rsidP="00681D00">
      <w:pPr>
        <w:spacing w:after="200" w:line="276" w:lineRule="auto"/>
        <w:ind w:left="0"/>
        <w:jc w:val="left"/>
        <w:rPr>
          <w:rFonts w:ascii="Cambria" w:eastAsia="Times New Roman" w:hAnsi="Cambria"/>
          <w:kern w:val="0"/>
          <w:lang w:val="en-GB" w:eastAsia="en-GB"/>
        </w:rPr>
      </w:pPr>
      <w:r w:rsidRPr="00681D00">
        <w:rPr>
          <w:rFonts w:ascii="Cambria" w:eastAsia="Times New Roman" w:hAnsi="Cambria" w:cs="Arial"/>
          <w:kern w:val="0"/>
          <w:lang w:val="en-GB" w:eastAsia="en-GB"/>
        </w:rPr>
        <w:t>Authors have declared that they have no known competing financial interests OR non-financial interests OR personal relationships that could have appeared to influence the work reported in this paper.</w:t>
      </w:r>
    </w:p>
    <w:p w14:paraId="3BBF7B49" w14:textId="77777777" w:rsidR="00681D00" w:rsidRDefault="00681D00">
      <w:pPr>
        <w:pStyle w:val="NormalWeb"/>
      </w:pPr>
    </w:p>
    <w:p w14:paraId="5FCDA98F" w14:textId="77777777" w:rsidR="002818EF" w:rsidRDefault="00000000">
      <w:pPr>
        <w:rPr>
          <w:rFonts w:ascii="Times New Roman" w:hAnsi="Times New Roman"/>
          <w:b/>
          <w:bCs/>
          <w:sz w:val="24"/>
          <w:szCs w:val="24"/>
        </w:rPr>
      </w:pPr>
      <w:r>
        <w:rPr>
          <w:rFonts w:ascii="Times New Roman" w:hAnsi="Times New Roman"/>
          <w:b/>
          <w:bCs/>
          <w:sz w:val="24"/>
          <w:szCs w:val="24"/>
        </w:rPr>
        <w:t>References</w:t>
      </w:r>
    </w:p>
    <w:p w14:paraId="6FEEAB49" w14:textId="77777777" w:rsidR="002818EF" w:rsidRDefault="00000000">
      <w:pPr>
        <w:pStyle w:val="ListParagraph"/>
        <w:numPr>
          <w:ilvl w:val="0"/>
          <w:numId w:val="2"/>
        </w:numPr>
        <w:rPr>
          <w:rFonts w:ascii="Times New Roman" w:hAnsi="Times New Roman"/>
          <w:sz w:val="24"/>
          <w:szCs w:val="24"/>
        </w:rPr>
      </w:pPr>
      <w:r>
        <w:rPr>
          <w:rFonts w:ascii="Times New Roman" w:hAnsi="Times New Roman"/>
        </w:rPr>
        <w:t>AOAC. (2016). Official Methods of Analysis of the Association of Official Analytical Chemists. 20th Edition, AOAC Inc., Washington DC.</w:t>
      </w:r>
    </w:p>
    <w:p w14:paraId="322E15A4"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Bakshi, A., &amp; Panigrahi, A. K. (2018). A comprehensive review on chromium induced alterations in fresh water fishes. </w:t>
      </w:r>
      <w:r>
        <w:rPr>
          <w:rFonts w:ascii="Times New Roman" w:hAnsi="Times New Roman"/>
          <w:i/>
          <w:iCs/>
          <w:sz w:val="24"/>
          <w:szCs w:val="24"/>
        </w:rPr>
        <w:t>Toxicology reports</w:t>
      </w:r>
      <w:r>
        <w:rPr>
          <w:rFonts w:ascii="Times New Roman" w:hAnsi="Times New Roman"/>
          <w:sz w:val="24"/>
          <w:szCs w:val="24"/>
        </w:rPr>
        <w:t xml:space="preserve">, </w:t>
      </w:r>
      <w:r>
        <w:rPr>
          <w:rFonts w:ascii="Times New Roman" w:hAnsi="Times New Roman"/>
          <w:i/>
          <w:iCs/>
          <w:sz w:val="24"/>
          <w:szCs w:val="24"/>
        </w:rPr>
        <w:t>5</w:t>
      </w:r>
      <w:r>
        <w:rPr>
          <w:rFonts w:ascii="Times New Roman" w:hAnsi="Times New Roman"/>
          <w:sz w:val="24"/>
          <w:szCs w:val="24"/>
        </w:rPr>
        <w:t xml:space="preserve">, 440-447. </w:t>
      </w:r>
      <w:hyperlink r:id="rId10" w:history="1">
        <w:r w:rsidR="002818EF">
          <w:rPr>
            <w:rStyle w:val="Hyperlink"/>
            <w:rFonts w:ascii="Times New Roman" w:hAnsi="Times New Roman"/>
            <w:sz w:val="24"/>
            <w:szCs w:val="24"/>
          </w:rPr>
          <w:t>https://doi.org/10.1016/j.toxrep.2018.03.007</w:t>
        </w:r>
      </w:hyperlink>
      <w:r>
        <w:rPr>
          <w:rFonts w:ascii="Times New Roman" w:hAnsi="Times New Roman"/>
          <w:sz w:val="24"/>
          <w:szCs w:val="24"/>
        </w:rPr>
        <w:t>.</w:t>
      </w:r>
    </w:p>
    <w:p w14:paraId="2D0113D0"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Bulbul Ali, A., &amp; Mishra, A. (2022). Effects of dissolved oxygen concentration on freshwater fish: A review. </w:t>
      </w:r>
      <w:r>
        <w:rPr>
          <w:rFonts w:ascii="Times New Roman" w:hAnsi="Times New Roman"/>
          <w:i/>
          <w:iCs/>
          <w:sz w:val="24"/>
          <w:szCs w:val="24"/>
        </w:rPr>
        <w:t xml:space="preserve">10 </w:t>
      </w:r>
      <w:r>
        <w:rPr>
          <w:rFonts w:ascii="Times New Roman" w:hAnsi="Times New Roman"/>
          <w:sz w:val="24"/>
          <w:szCs w:val="24"/>
        </w:rPr>
        <w:t xml:space="preserve">(4), 113-127.  </w:t>
      </w:r>
      <w:hyperlink r:id="rId11" w:history="1">
        <w:r w:rsidR="002818EF">
          <w:rPr>
            <w:rStyle w:val="Hyperlink"/>
            <w:rFonts w:ascii="Times New Roman" w:hAnsi="Times New Roman"/>
            <w:sz w:val="24"/>
            <w:szCs w:val="24"/>
          </w:rPr>
          <w:t>https://doi.org/10.22271/fish.2022.v10.i4b.2693</w:t>
        </w:r>
      </w:hyperlink>
      <w:r>
        <w:rPr>
          <w:rFonts w:ascii="Times New Roman" w:hAnsi="Times New Roman"/>
          <w:sz w:val="24"/>
          <w:szCs w:val="24"/>
        </w:rPr>
        <w:t>.</w:t>
      </w:r>
    </w:p>
    <w:p w14:paraId="1D61E73C" w14:textId="77777777" w:rsidR="002818EF" w:rsidRDefault="00000000">
      <w:pPr>
        <w:pStyle w:val="ListParagraph"/>
        <w:numPr>
          <w:ilvl w:val="0"/>
          <w:numId w:val="2"/>
        </w:numPr>
        <w:rPr>
          <w:rFonts w:ascii="Times New Roman" w:hAnsi="Times New Roman"/>
          <w:sz w:val="24"/>
          <w:szCs w:val="24"/>
          <w:lang w:val="en-US"/>
        </w:rPr>
      </w:pPr>
      <w:r>
        <w:rPr>
          <w:rFonts w:ascii="Times New Roman" w:hAnsi="Times New Roman"/>
          <w:sz w:val="24"/>
          <w:szCs w:val="24"/>
        </w:rPr>
        <w:t xml:space="preserve">Canli, M., &amp; Atli, G. (2003). The relationships between heavy metal (Cd, Cr, Cu, Fe, Pb, Zn) levels and the size of six Mediterranean fish species. </w:t>
      </w:r>
      <w:r>
        <w:rPr>
          <w:rFonts w:ascii="Times New Roman" w:hAnsi="Times New Roman"/>
          <w:i/>
          <w:iCs/>
          <w:sz w:val="24"/>
          <w:szCs w:val="24"/>
        </w:rPr>
        <w:t>Environmental pollution</w:t>
      </w:r>
      <w:r>
        <w:rPr>
          <w:rFonts w:ascii="Times New Roman" w:hAnsi="Times New Roman"/>
          <w:sz w:val="24"/>
          <w:szCs w:val="24"/>
        </w:rPr>
        <w:t xml:space="preserve">, </w:t>
      </w:r>
      <w:r>
        <w:rPr>
          <w:rFonts w:ascii="Times New Roman" w:hAnsi="Times New Roman"/>
          <w:i/>
          <w:iCs/>
          <w:sz w:val="24"/>
          <w:szCs w:val="24"/>
        </w:rPr>
        <w:t>121</w:t>
      </w:r>
      <w:r>
        <w:rPr>
          <w:rFonts w:ascii="Times New Roman" w:hAnsi="Times New Roman"/>
          <w:sz w:val="24"/>
          <w:szCs w:val="24"/>
        </w:rPr>
        <w:t>(1), 129-136.</w:t>
      </w:r>
      <w:hyperlink r:id="rId12" w:tgtFrame="_blank" w:tooltip="Persistent link using digital object identifier" w:history="1">
        <w:r w:rsidR="002818EF">
          <w:rPr>
            <w:rStyle w:val="Hyperlink"/>
            <w:rFonts w:ascii="Times New Roman" w:hAnsi="Times New Roman"/>
            <w:sz w:val="24"/>
            <w:szCs w:val="24"/>
          </w:rPr>
          <w:t>https://doi.org/10.1016/S0269-7491(02)00194-X</w:t>
        </w:r>
      </w:hyperlink>
      <w:r>
        <w:rPr>
          <w:rFonts w:ascii="Times New Roman" w:hAnsi="Times New Roman"/>
          <w:sz w:val="24"/>
          <w:szCs w:val="24"/>
        </w:rPr>
        <w:t>.</w:t>
      </w:r>
    </w:p>
    <w:p w14:paraId="4FF0A603" w14:textId="77777777" w:rsidR="002818EF" w:rsidRDefault="00000000">
      <w:pPr>
        <w:pStyle w:val="NormalWeb"/>
        <w:numPr>
          <w:ilvl w:val="0"/>
          <w:numId w:val="2"/>
        </w:numPr>
      </w:pPr>
      <w:r>
        <w:t xml:space="preserve">Carocci, A., Rovito, N., Sinicropi, M. S., &amp; Genchi, G. (2013). Mercury toxicity and neurodegenerative effects. </w:t>
      </w:r>
      <w:r>
        <w:rPr>
          <w:i/>
          <w:iCs/>
        </w:rPr>
        <w:t>Reviews of environmental contamination and toxicology</w:t>
      </w:r>
      <w:r>
        <w:t xml:space="preserve">, 1-18. </w:t>
      </w:r>
      <w:hyperlink r:id="rId13" w:history="1">
        <w:r w:rsidR="002818EF">
          <w:rPr>
            <w:rStyle w:val="Hyperlink"/>
          </w:rPr>
          <w:t>https://doi.org/10.1007/978-3-319-03777-6_1</w:t>
        </w:r>
      </w:hyperlink>
    </w:p>
    <w:p w14:paraId="5E1DAA4A" w14:textId="77777777" w:rsidR="002818EF" w:rsidRDefault="00000000">
      <w:pPr>
        <w:pStyle w:val="ListParagraph"/>
        <w:numPr>
          <w:ilvl w:val="0"/>
          <w:numId w:val="2"/>
        </w:numPr>
        <w:rPr>
          <w:rFonts w:ascii="Times New Roman" w:hAnsi="Times New Roman"/>
          <w:sz w:val="24"/>
          <w:szCs w:val="24"/>
          <w:lang w:val="en-US"/>
        </w:rPr>
      </w:pPr>
      <w:r>
        <w:rPr>
          <w:rFonts w:ascii="Times New Roman" w:hAnsi="Times New Roman"/>
          <w:sz w:val="24"/>
          <w:szCs w:val="24"/>
        </w:rPr>
        <w:t xml:space="preserve">Chandrasekaran, A., Mukesh, M. V., Chidambaram, S., </w:t>
      </w:r>
      <w:proofErr w:type="spellStart"/>
      <w:r>
        <w:rPr>
          <w:rFonts w:ascii="Times New Roman" w:hAnsi="Times New Roman"/>
          <w:sz w:val="24"/>
          <w:szCs w:val="24"/>
        </w:rPr>
        <w:t>Singarasubramanian</w:t>
      </w:r>
      <w:proofErr w:type="spellEnd"/>
      <w:r>
        <w:rPr>
          <w:rFonts w:ascii="Times New Roman" w:hAnsi="Times New Roman"/>
          <w:sz w:val="24"/>
          <w:szCs w:val="24"/>
        </w:rPr>
        <w:t xml:space="preserve">, S. R., Rajendran, S., Muthukumarasamy, R., &amp; Tamilselvi, M. (2015). Assessment of heavy metal distribution pattern in the sediments of </w:t>
      </w:r>
      <w:proofErr w:type="spellStart"/>
      <w:r>
        <w:rPr>
          <w:rFonts w:ascii="Times New Roman" w:hAnsi="Times New Roman"/>
          <w:sz w:val="24"/>
          <w:szCs w:val="24"/>
        </w:rPr>
        <w:t>Tamirabarani</w:t>
      </w:r>
      <w:proofErr w:type="spellEnd"/>
      <w:r>
        <w:rPr>
          <w:rFonts w:ascii="Times New Roman" w:hAnsi="Times New Roman"/>
          <w:sz w:val="24"/>
          <w:szCs w:val="24"/>
        </w:rPr>
        <w:t xml:space="preserve"> river and estuary, east coast of Tamil Nadu, India. </w:t>
      </w:r>
      <w:r>
        <w:rPr>
          <w:rFonts w:ascii="Times New Roman" w:hAnsi="Times New Roman"/>
          <w:i/>
          <w:iCs/>
          <w:sz w:val="24"/>
          <w:szCs w:val="24"/>
        </w:rPr>
        <w:t>Environmental Earth Sciences</w:t>
      </w:r>
      <w:r>
        <w:rPr>
          <w:rFonts w:ascii="Times New Roman" w:hAnsi="Times New Roman"/>
          <w:sz w:val="24"/>
          <w:szCs w:val="24"/>
        </w:rPr>
        <w:t xml:space="preserve">, </w:t>
      </w:r>
      <w:r>
        <w:rPr>
          <w:rFonts w:ascii="Times New Roman" w:hAnsi="Times New Roman"/>
          <w:i/>
          <w:iCs/>
          <w:sz w:val="24"/>
          <w:szCs w:val="24"/>
        </w:rPr>
        <w:t>73</w:t>
      </w:r>
      <w:r>
        <w:rPr>
          <w:rFonts w:ascii="Times New Roman" w:hAnsi="Times New Roman"/>
          <w:sz w:val="24"/>
          <w:szCs w:val="24"/>
        </w:rPr>
        <w:t xml:space="preserve">(5), 2441-2452. </w:t>
      </w:r>
      <w:hyperlink r:id="rId14" w:history="1">
        <w:r w:rsidR="002818EF">
          <w:rPr>
            <w:rStyle w:val="Hyperlink"/>
            <w:rFonts w:ascii="Times New Roman" w:hAnsi="Times New Roman"/>
            <w:sz w:val="24"/>
            <w:szCs w:val="24"/>
          </w:rPr>
          <w:t>https://doi.org/10.1007/s12665-014-3593-y</w:t>
        </w:r>
      </w:hyperlink>
    </w:p>
    <w:p w14:paraId="331AB39F" w14:textId="77777777" w:rsidR="002818EF" w:rsidRDefault="00000000">
      <w:pPr>
        <w:pStyle w:val="ListParagraph"/>
        <w:numPr>
          <w:ilvl w:val="0"/>
          <w:numId w:val="2"/>
        </w:numPr>
        <w:rPr>
          <w:rFonts w:ascii="Times New Roman" w:eastAsia="Times New Roman" w:hAnsi="Times New Roman"/>
          <w:color w:val="000000"/>
          <w:kern w:val="0"/>
          <w:sz w:val="24"/>
          <w:szCs w:val="24"/>
          <w:lang w:eastAsia="en-IN"/>
        </w:rPr>
      </w:pPr>
      <w:proofErr w:type="spellStart"/>
      <w:r>
        <w:rPr>
          <w:rFonts w:ascii="Times New Roman" w:eastAsia="Times New Roman" w:hAnsi="Times New Roman"/>
          <w:color w:val="000000"/>
          <w:kern w:val="0"/>
          <w:sz w:val="24"/>
          <w:szCs w:val="24"/>
          <w:lang w:eastAsia="en-IN"/>
        </w:rPr>
        <w:t>Chaharlang</w:t>
      </w:r>
      <w:proofErr w:type="spellEnd"/>
      <w:r>
        <w:rPr>
          <w:rFonts w:ascii="Times New Roman" w:eastAsia="Times New Roman" w:hAnsi="Times New Roman"/>
          <w:color w:val="000000"/>
          <w:kern w:val="0"/>
          <w:sz w:val="24"/>
          <w:szCs w:val="24"/>
          <w:lang w:eastAsia="en-IN"/>
        </w:rPr>
        <w:t xml:space="preserve">, B. H., Bakhtiari, A. R., Mohammadi, J., &amp; </w:t>
      </w:r>
      <w:proofErr w:type="spellStart"/>
      <w:r>
        <w:rPr>
          <w:rFonts w:ascii="Times New Roman" w:eastAsia="Times New Roman" w:hAnsi="Times New Roman"/>
          <w:color w:val="000000"/>
          <w:kern w:val="0"/>
          <w:sz w:val="24"/>
          <w:szCs w:val="24"/>
          <w:lang w:eastAsia="en-IN"/>
        </w:rPr>
        <w:t>Farshchi</w:t>
      </w:r>
      <w:proofErr w:type="spellEnd"/>
      <w:r>
        <w:rPr>
          <w:rFonts w:ascii="Times New Roman" w:eastAsia="Times New Roman" w:hAnsi="Times New Roman"/>
          <w:color w:val="000000"/>
          <w:kern w:val="0"/>
          <w:sz w:val="24"/>
          <w:szCs w:val="24"/>
          <w:lang w:eastAsia="en-IN"/>
        </w:rPr>
        <w:t xml:space="preserve">, P. (2016). Geochemical partitioning and pollution assessment of Ni and V as indicator of oil pollution in surface sediments from </w:t>
      </w:r>
      <w:proofErr w:type="spellStart"/>
      <w:r>
        <w:rPr>
          <w:rFonts w:ascii="Times New Roman" w:eastAsia="Times New Roman" w:hAnsi="Times New Roman"/>
          <w:color w:val="000000"/>
          <w:kern w:val="0"/>
          <w:sz w:val="24"/>
          <w:szCs w:val="24"/>
          <w:lang w:eastAsia="en-IN"/>
        </w:rPr>
        <w:t>Shadegan</w:t>
      </w:r>
      <w:proofErr w:type="spellEnd"/>
      <w:r>
        <w:rPr>
          <w:rFonts w:ascii="Times New Roman" w:eastAsia="Times New Roman" w:hAnsi="Times New Roman"/>
          <w:color w:val="000000"/>
          <w:kern w:val="0"/>
          <w:sz w:val="24"/>
          <w:szCs w:val="24"/>
          <w:lang w:eastAsia="en-IN"/>
        </w:rPr>
        <w:t xml:space="preserve"> wildlife refuge, Iran. </w:t>
      </w:r>
      <w:r>
        <w:rPr>
          <w:rFonts w:ascii="Times New Roman" w:eastAsia="Times New Roman" w:hAnsi="Times New Roman"/>
          <w:i/>
          <w:iCs/>
          <w:color w:val="000000"/>
          <w:kern w:val="0"/>
          <w:sz w:val="24"/>
          <w:szCs w:val="24"/>
          <w:lang w:eastAsia="en-IN"/>
        </w:rPr>
        <w:t>Marine pollution bulletin</w:t>
      </w:r>
      <w:r>
        <w:rPr>
          <w:rFonts w:ascii="Times New Roman" w:eastAsia="Times New Roman" w:hAnsi="Times New Roman"/>
          <w:color w:val="000000"/>
          <w:kern w:val="0"/>
          <w:sz w:val="24"/>
          <w:szCs w:val="24"/>
          <w:lang w:eastAsia="en-IN"/>
        </w:rPr>
        <w:t xml:space="preserve">, </w:t>
      </w:r>
      <w:r>
        <w:rPr>
          <w:rFonts w:ascii="Times New Roman" w:eastAsia="Times New Roman" w:hAnsi="Times New Roman"/>
          <w:i/>
          <w:iCs/>
          <w:color w:val="000000"/>
          <w:kern w:val="0"/>
          <w:sz w:val="24"/>
          <w:szCs w:val="24"/>
          <w:lang w:eastAsia="en-IN"/>
        </w:rPr>
        <w:t>111</w:t>
      </w:r>
      <w:r>
        <w:rPr>
          <w:rFonts w:ascii="Times New Roman" w:eastAsia="Times New Roman" w:hAnsi="Times New Roman"/>
          <w:color w:val="000000"/>
          <w:kern w:val="0"/>
          <w:sz w:val="24"/>
          <w:szCs w:val="24"/>
          <w:lang w:eastAsia="en-IN"/>
        </w:rPr>
        <w:t xml:space="preserve">(1-2), 247-259. </w:t>
      </w:r>
      <w:hyperlink r:id="rId15" w:history="1">
        <w:r w:rsidR="002818EF">
          <w:rPr>
            <w:rStyle w:val="Hyperlink"/>
            <w:rFonts w:ascii="Times New Roman" w:eastAsia="Times New Roman" w:hAnsi="Times New Roman"/>
            <w:kern w:val="0"/>
            <w:sz w:val="24"/>
            <w:szCs w:val="24"/>
            <w:lang w:eastAsia="en-IN"/>
          </w:rPr>
          <w:t>https://doi.org/10.1016/j.marpolbul.2016.06.109</w:t>
        </w:r>
      </w:hyperlink>
    </w:p>
    <w:p w14:paraId="2269B354"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lastRenderedPageBreak/>
        <w:t xml:space="preserve">Chen, C. C., Tew, K. S., Ho, P. H., Ko, F. C., Hsieh, H. Y., &amp; Meng, P. J. (2017). The impact of two oil spill events on the water quality along coastal area of Kenting National Park, southern Taiwan. </w:t>
      </w:r>
      <w:r>
        <w:rPr>
          <w:rFonts w:ascii="Times New Roman" w:hAnsi="Times New Roman"/>
          <w:i/>
          <w:iCs/>
          <w:sz w:val="24"/>
          <w:szCs w:val="24"/>
        </w:rPr>
        <w:t>Marine pollution bulletin</w:t>
      </w:r>
      <w:r>
        <w:rPr>
          <w:rFonts w:ascii="Times New Roman" w:hAnsi="Times New Roman"/>
          <w:sz w:val="24"/>
          <w:szCs w:val="24"/>
        </w:rPr>
        <w:t xml:space="preserve">, </w:t>
      </w:r>
      <w:r>
        <w:rPr>
          <w:rFonts w:ascii="Times New Roman" w:hAnsi="Times New Roman"/>
          <w:i/>
          <w:iCs/>
          <w:sz w:val="24"/>
          <w:szCs w:val="24"/>
        </w:rPr>
        <w:t>124</w:t>
      </w:r>
      <w:r>
        <w:rPr>
          <w:rFonts w:ascii="Times New Roman" w:hAnsi="Times New Roman"/>
          <w:sz w:val="24"/>
          <w:szCs w:val="24"/>
        </w:rPr>
        <w:t xml:space="preserve">(2), 974-983. </w:t>
      </w:r>
      <w:hyperlink r:id="rId16" w:history="1">
        <w:r w:rsidR="002818EF">
          <w:rPr>
            <w:rStyle w:val="Hyperlink"/>
            <w:rFonts w:ascii="Times New Roman" w:hAnsi="Times New Roman"/>
            <w:sz w:val="24"/>
            <w:szCs w:val="24"/>
          </w:rPr>
          <w:t>https://doi.org/10.1016/j.marpolbul.2017.02.034</w:t>
        </w:r>
      </w:hyperlink>
    </w:p>
    <w:p w14:paraId="4C116BD1" w14:textId="77777777" w:rsidR="002818EF" w:rsidRDefault="00000000">
      <w:pPr>
        <w:pStyle w:val="ListParagraph"/>
        <w:numPr>
          <w:ilvl w:val="0"/>
          <w:numId w:val="2"/>
        </w:numPr>
        <w:rPr>
          <w:rFonts w:ascii="Times New Roman" w:hAnsi="Times New Roman"/>
          <w:sz w:val="24"/>
          <w:szCs w:val="24"/>
        </w:rPr>
      </w:pPr>
      <w:r>
        <w:rPr>
          <w:rFonts w:ascii="Times New Roman" w:eastAsia="Times New Roman" w:hAnsi="Times New Roman"/>
          <w:color w:val="000000"/>
          <w:sz w:val="24"/>
          <w:szCs w:val="24"/>
        </w:rPr>
        <w:t xml:space="preserve">Chen, M., Carrasco, G., Park, E., Morgan, K., Tay, S.H.X., Tanzil, J., Ooi, S.K., Zhou, K. &amp; Boyle, E.A. </w:t>
      </w:r>
      <w:r>
        <w:rPr>
          <w:rFonts w:ascii="Times New Roman" w:hAnsi="Times New Roman"/>
          <w:sz w:val="24"/>
          <w:szCs w:val="24"/>
        </w:rPr>
        <w:t xml:space="preserve">(2022). Monsoonal variations of lead (Pb) in coastal waters around Singapore. </w:t>
      </w:r>
      <w:r>
        <w:rPr>
          <w:rFonts w:ascii="Times New Roman" w:hAnsi="Times New Roman"/>
          <w:i/>
          <w:iCs/>
          <w:sz w:val="24"/>
          <w:szCs w:val="24"/>
        </w:rPr>
        <w:t>Marine Pollution Bulletin</w:t>
      </w:r>
      <w:r>
        <w:rPr>
          <w:rFonts w:ascii="Times New Roman" w:hAnsi="Times New Roman"/>
          <w:sz w:val="24"/>
          <w:szCs w:val="24"/>
        </w:rPr>
        <w:t xml:space="preserve">, </w:t>
      </w:r>
      <w:r>
        <w:rPr>
          <w:rFonts w:ascii="Times New Roman" w:hAnsi="Times New Roman"/>
          <w:i/>
          <w:iCs/>
          <w:sz w:val="24"/>
          <w:szCs w:val="24"/>
        </w:rPr>
        <w:t>179</w:t>
      </w:r>
      <w:r>
        <w:rPr>
          <w:rFonts w:ascii="Times New Roman" w:hAnsi="Times New Roman"/>
          <w:sz w:val="24"/>
          <w:szCs w:val="24"/>
        </w:rPr>
        <w:t xml:space="preserve">, 113654. </w:t>
      </w:r>
      <w:hyperlink r:id="rId17" w:history="1">
        <w:r w:rsidR="002818EF">
          <w:rPr>
            <w:rStyle w:val="Hyperlink"/>
            <w:rFonts w:ascii="Times New Roman" w:hAnsi="Times New Roman"/>
            <w:sz w:val="24"/>
            <w:szCs w:val="24"/>
          </w:rPr>
          <w:t>https://doi.org/10.1016/j.marpolbul.2022.113654</w:t>
        </w:r>
      </w:hyperlink>
    </w:p>
    <w:p w14:paraId="536203A5" w14:textId="77777777" w:rsidR="002818EF" w:rsidRDefault="00000000">
      <w:pPr>
        <w:pStyle w:val="ListParagraph"/>
        <w:numPr>
          <w:ilvl w:val="0"/>
          <w:numId w:val="2"/>
        </w:numPr>
        <w:rPr>
          <w:rFonts w:ascii="Times New Roman" w:eastAsia="Times New Roman" w:hAnsi="Times New Roman"/>
          <w:sz w:val="24"/>
          <w:szCs w:val="24"/>
        </w:rPr>
      </w:pPr>
      <w:r>
        <w:rPr>
          <w:rFonts w:ascii="Times New Roman" w:eastAsia="Times New Roman" w:hAnsi="Times New Roman"/>
          <w:sz w:val="24"/>
          <w:szCs w:val="24"/>
          <w:lang w:val="nl-NL"/>
        </w:rPr>
        <w:t xml:space="preserve">Cheng, K. M., Hu, C. Q., Liu, Y. N., Zheng, S. X., &amp; Qi, X. J. (2005). </w:t>
      </w:r>
      <w:r>
        <w:rPr>
          <w:rFonts w:ascii="Times New Roman" w:eastAsia="Times New Roman" w:hAnsi="Times New Roman"/>
          <w:sz w:val="24"/>
          <w:szCs w:val="24"/>
        </w:rPr>
        <w:t xml:space="preserve">Dietary magnesium requirement and physiological responses of marine shrimp </w:t>
      </w:r>
      <w:proofErr w:type="spellStart"/>
      <w:r>
        <w:rPr>
          <w:rFonts w:ascii="Times New Roman" w:eastAsia="Times New Roman" w:hAnsi="Times New Roman"/>
          <w:sz w:val="24"/>
          <w:szCs w:val="24"/>
        </w:rPr>
        <w:t>Litopenaeus</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vannamei</w:t>
      </w:r>
      <w:proofErr w:type="spellEnd"/>
      <w:r>
        <w:rPr>
          <w:rFonts w:ascii="Times New Roman" w:eastAsia="Times New Roman" w:hAnsi="Times New Roman"/>
          <w:sz w:val="24"/>
          <w:szCs w:val="24"/>
        </w:rPr>
        <w:t xml:space="preserve"> reared in low salinity water. </w:t>
      </w:r>
      <w:r>
        <w:rPr>
          <w:rFonts w:ascii="Times New Roman" w:eastAsia="Times New Roman" w:hAnsi="Times New Roman"/>
          <w:i/>
          <w:iCs/>
          <w:sz w:val="24"/>
          <w:szCs w:val="24"/>
        </w:rPr>
        <w:t>Aquaculture Nutrition</w:t>
      </w:r>
      <w:r>
        <w:rPr>
          <w:rFonts w:ascii="Times New Roman" w:eastAsia="Times New Roman" w:hAnsi="Times New Roman"/>
          <w:sz w:val="24"/>
          <w:szCs w:val="24"/>
        </w:rPr>
        <w:t xml:space="preserve">, </w:t>
      </w:r>
      <w:r>
        <w:rPr>
          <w:rFonts w:ascii="Times New Roman" w:eastAsia="Times New Roman" w:hAnsi="Times New Roman"/>
          <w:i/>
          <w:iCs/>
          <w:sz w:val="24"/>
          <w:szCs w:val="24"/>
        </w:rPr>
        <w:t>11</w:t>
      </w:r>
      <w:r>
        <w:rPr>
          <w:rFonts w:ascii="Times New Roman" w:eastAsia="Times New Roman" w:hAnsi="Times New Roman"/>
          <w:sz w:val="24"/>
          <w:szCs w:val="24"/>
        </w:rPr>
        <w:t xml:space="preserve">(5), 385-393. </w:t>
      </w:r>
      <w:hyperlink r:id="rId18" w:history="1">
        <w:r w:rsidR="002818EF">
          <w:rPr>
            <w:rStyle w:val="Hyperlink"/>
            <w:rFonts w:ascii="Times New Roman" w:eastAsia="Times New Roman" w:hAnsi="Times New Roman"/>
            <w:sz w:val="24"/>
            <w:szCs w:val="24"/>
          </w:rPr>
          <w:t>https://doi.org/10.1111/j.1365-2095.2005.00364.x</w:t>
        </w:r>
      </w:hyperlink>
    </w:p>
    <w:p w14:paraId="7232BF28" w14:textId="77777777" w:rsidR="002818EF" w:rsidRDefault="00000000">
      <w:pPr>
        <w:pStyle w:val="ListParagraph"/>
        <w:numPr>
          <w:ilvl w:val="0"/>
          <w:numId w:val="2"/>
        </w:numPr>
        <w:rPr>
          <w:rFonts w:ascii="Times New Roman" w:hAnsi="Times New Roman"/>
          <w:sz w:val="24"/>
          <w:szCs w:val="24"/>
          <w:lang w:val="en-US"/>
        </w:rPr>
      </w:pPr>
      <w:bookmarkStart w:id="5" w:name="_Hlk195181429"/>
      <w:r>
        <w:rPr>
          <w:rFonts w:ascii="Times New Roman" w:hAnsi="Times New Roman"/>
          <w:sz w:val="24"/>
          <w:szCs w:val="24"/>
        </w:rPr>
        <w:t xml:space="preserve">Da Silva, C. C., da Costa, B. V. M., de Araújo, C. M. V., &amp; de Souza Santos, L. P. (2025). Long-term variation of Ecotoxicological quality of sediment in an estuarine system with industrial and port activities. </w:t>
      </w:r>
      <w:r>
        <w:rPr>
          <w:rFonts w:ascii="Times New Roman" w:hAnsi="Times New Roman"/>
          <w:i/>
          <w:iCs/>
          <w:sz w:val="24"/>
          <w:szCs w:val="24"/>
        </w:rPr>
        <w:t>Marine Pollution Bulletin</w:t>
      </w:r>
      <w:r>
        <w:rPr>
          <w:rFonts w:ascii="Times New Roman" w:hAnsi="Times New Roman"/>
          <w:sz w:val="24"/>
          <w:szCs w:val="24"/>
        </w:rPr>
        <w:t xml:space="preserve">, </w:t>
      </w:r>
      <w:r>
        <w:rPr>
          <w:rFonts w:ascii="Times New Roman" w:hAnsi="Times New Roman"/>
          <w:i/>
          <w:iCs/>
          <w:sz w:val="24"/>
          <w:szCs w:val="24"/>
        </w:rPr>
        <w:t>215</w:t>
      </w:r>
      <w:r>
        <w:rPr>
          <w:rFonts w:ascii="Times New Roman" w:hAnsi="Times New Roman"/>
          <w:sz w:val="24"/>
          <w:szCs w:val="24"/>
        </w:rPr>
        <w:t xml:space="preserve">, 117854. </w:t>
      </w:r>
      <w:bookmarkEnd w:id="5"/>
      <w:r>
        <w:fldChar w:fldCharType="begin"/>
      </w:r>
      <w:r>
        <w:instrText>HYPERLINK "https://doi.org/10.1016/j.marpolbul.2025.117854" \t "_blank" \o "Persistent link using digital object identifier"</w:instrText>
      </w:r>
      <w:r>
        <w:fldChar w:fldCharType="separate"/>
      </w:r>
      <w:r>
        <w:rPr>
          <w:rStyle w:val="Hyperlink"/>
          <w:rFonts w:ascii="Times New Roman" w:hAnsi="Times New Roman"/>
          <w:sz w:val="24"/>
          <w:szCs w:val="24"/>
        </w:rPr>
        <w:t>https://doi.org/10.1016/j.marpolbul.2025.117854</w:t>
      </w:r>
      <w:r>
        <w:fldChar w:fldCharType="end"/>
      </w:r>
    </w:p>
    <w:p w14:paraId="1FDC6927"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De Carvalho, D., Guimarães, I. M., Ferreira, F. F., </w:t>
      </w:r>
      <w:proofErr w:type="spellStart"/>
      <w:r>
        <w:rPr>
          <w:rFonts w:ascii="Times New Roman" w:hAnsi="Times New Roman"/>
          <w:sz w:val="24"/>
          <w:szCs w:val="24"/>
        </w:rPr>
        <w:t>Dergam</w:t>
      </w:r>
      <w:proofErr w:type="spellEnd"/>
      <w:r>
        <w:rPr>
          <w:rFonts w:ascii="Times New Roman" w:hAnsi="Times New Roman"/>
          <w:sz w:val="24"/>
          <w:szCs w:val="24"/>
        </w:rPr>
        <w:t xml:space="preserve">, J. A., Moreira, M. Z., &amp; Pompeu, P. S. (2025). Linking trophic ecology and metal bioaccumulation to assess a widespread fish as a bioindicator following a large-scale mining disaster. </w:t>
      </w:r>
      <w:r>
        <w:rPr>
          <w:rFonts w:ascii="Times New Roman" w:hAnsi="Times New Roman"/>
          <w:i/>
          <w:iCs/>
          <w:sz w:val="24"/>
          <w:szCs w:val="24"/>
        </w:rPr>
        <w:t>Environmental Science and Pollution Research</w:t>
      </w:r>
      <w:r>
        <w:rPr>
          <w:rFonts w:ascii="Times New Roman" w:hAnsi="Times New Roman"/>
          <w:sz w:val="24"/>
          <w:szCs w:val="24"/>
        </w:rPr>
        <w:t xml:space="preserve">, </w:t>
      </w:r>
      <w:r>
        <w:rPr>
          <w:rFonts w:ascii="Times New Roman" w:hAnsi="Times New Roman"/>
          <w:i/>
          <w:iCs/>
          <w:sz w:val="24"/>
          <w:szCs w:val="24"/>
        </w:rPr>
        <w:t>32</w:t>
      </w:r>
      <w:r>
        <w:rPr>
          <w:rFonts w:ascii="Times New Roman" w:hAnsi="Times New Roman"/>
          <w:sz w:val="24"/>
          <w:szCs w:val="24"/>
        </w:rPr>
        <w:t xml:space="preserve">(51), 29192-29206. </w:t>
      </w:r>
      <w:hyperlink r:id="rId19" w:history="1">
        <w:r w:rsidR="002818EF">
          <w:rPr>
            <w:rStyle w:val="Hyperlink"/>
            <w:rFonts w:ascii="Times New Roman" w:hAnsi="Times New Roman"/>
            <w:sz w:val="24"/>
            <w:szCs w:val="24"/>
          </w:rPr>
          <w:t>https://doi.org/10.1007/s11356-025-37248-9</w:t>
        </w:r>
      </w:hyperlink>
      <w:bookmarkStart w:id="6" w:name="_Hlk201738120"/>
    </w:p>
    <w:p w14:paraId="65BACE50" w14:textId="77777777" w:rsidR="002818EF" w:rsidRDefault="00000000">
      <w:pPr>
        <w:pStyle w:val="ListParagraph"/>
        <w:numPr>
          <w:ilvl w:val="0"/>
          <w:numId w:val="2"/>
        </w:numPr>
        <w:rPr>
          <w:rFonts w:ascii="Times New Roman" w:hAnsi="Times New Roman"/>
          <w:sz w:val="24"/>
          <w:szCs w:val="24"/>
          <w:lang w:val="en-US"/>
        </w:rPr>
      </w:pPr>
      <w:bookmarkStart w:id="7" w:name="_Hlk194065188"/>
      <w:bookmarkEnd w:id="6"/>
      <w:proofErr w:type="spellStart"/>
      <w:r>
        <w:rPr>
          <w:rFonts w:ascii="Times New Roman" w:hAnsi="Times New Roman"/>
          <w:sz w:val="24"/>
          <w:szCs w:val="24"/>
        </w:rPr>
        <w:t>Ekperusi</w:t>
      </w:r>
      <w:proofErr w:type="spellEnd"/>
      <w:r>
        <w:rPr>
          <w:rFonts w:ascii="Times New Roman" w:hAnsi="Times New Roman"/>
          <w:sz w:val="24"/>
          <w:szCs w:val="24"/>
        </w:rPr>
        <w:t xml:space="preserve">, A. O., Michael, A., Chukwurah, C. H., &amp; Sunday, N. M. (2024). Evaluation of heavy metals and their potential risk to human health from seafood in </w:t>
      </w:r>
      <w:proofErr w:type="spellStart"/>
      <w:r>
        <w:rPr>
          <w:rFonts w:ascii="Times New Roman" w:hAnsi="Times New Roman"/>
          <w:sz w:val="24"/>
          <w:szCs w:val="24"/>
        </w:rPr>
        <w:t>Escravos</w:t>
      </w:r>
      <w:proofErr w:type="spellEnd"/>
      <w:r>
        <w:rPr>
          <w:rFonts w:ascii="Times New Roman" w:hAnsi="Times New Roman"/>
          <w:sz w:val="24"/>
          <w:szCs w:val="24"/>
        </w:rPr>
        <w:t xml:space="preserve"> Estuary, Southern Nigeria. </w:t>
      </w:r>
      <w:r>
        <w:rPr>
          <w:rFonts w:ascii="Times New Roman" w:hAnsi="Times New Roman"/>
          <w:i/>
          <w:iCs/>
          <w:sz w:val="24"/>
          <w:szCs w:val="24"/>
        </w:rPr>
        <w:t>Marine Pollution Bulletin</w:t>
      </w:r>
      <w:r>
        <w:rPr>
          <w:rFonts w:ascii="Times New Roman" w:hAnsi="Times New Roman"/>
          <w:sz w:val="24"/>
          <w:szCs w:val="24"/>
        </w:rPr>
        <w:t xml:space="preserve">, </w:t>
      </w:r>
      <w:r>
        <w:rPr>
          <w:rFonts w:ascii="Times New Roman" w:hAnsi="Times New Roman"/>
          <w:i/>
          <w:iCs/>
          <w:sz w:val="24"/>
          <w:szCs w:val="24"/>
        </w:rPr>
        <w:t>208</w:t>
      </w:r>
      <w:r>
        <w:rPr>
          <w:rFonts w:ascii="Times New Roman" w:hAnsi="Times New Roman"/>
          <w:sz w:val="24"/>
          <w:szCs w:val="24"/>
        </w:rPr>
        <w:t xml:space="preserve">, 117014. </w:t>
      </w:r>
      <w:bookmarkEnd w:id="7"/>
      <w:r>
        <w:fldChar w:fldCharType="begin"/>
      </w:r>
      <w:r>
        <w:instrText>HYPERLINK "https://doi.org/10.1016/j.marpolbul.2024.117014" \t "_blank" \o "Persistent link using digital object identifier"</w:instrText>
      </w:r>
      <w:r>
        <w:fldChar w:fldCharType="separate"/>
      </w:r>
      <w:r>
        <w:rPr>
          <w:rStyle w:val="Hyperlink"/>
          <w:rFonts w:ascii="Times New Roman" w:hAnsi="Times New Roman"/>
          <w:sz w:val="24"/>
          <w:szCs w:val="24"/>
        </w:rPr>
        <w:t>https://doi.org/10.1016/j.marpolbul.2024.117014</w:t>
      </w:r>
      <w:r>
        <w:fldChar w:fldCharType="end"/>
      </w:r>
    </w:p>
    <w:p w14:paraId="4A89C866"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lastRenderedPageBreak/>
        <w:t xml:space="preserve">FAO (2022). The State of World Fisheries and Aquaculture 2022. Towards Blue Transformation. Rome, FAO. </w:t>
      </w:r>
      <w:r>
        <w:rPr>
          <w:rFonts w:ascii="Times New Roman" w:hAnsi="Times New Roman"/>
          <w:color w:val="4472C4"/>
          <w:sz w:val="24"/>
          <w:szCs w:val="24"/>
          <w:u w:val="single"/>
        </w:rPr>
        <w:t>https://doi.org/10.4060/cc0461en</w:t>
      </w:r>
    </w:p>
    <w:p w14:paraId="22D9DC21"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Giménez, V., Cardoso, P., Sá, C., Patinha, C., Ferreira da Silva, E., Figueira, E., &amp; Pires, A. (2022). Interplay of seasonality, major and trace elements: Impacts on the polychaete </w:t>
      </w:r>
      <w:proofErr w:type="spellStart"/>
      <w:r>
        <w:rPr>
          <w:rFonts w:ascii="Times New Roman" w:hAnsi="Times New Roman"/>
          <w:sz w:val="24"/>
          <w:szCs w:val="24"/>
        </w:rPr>
        <w:t>Diopatra</w:t>
      </w:r>
      <w:proofErr w:type="spellEnd"/>
      <w:r>
        <w:rPr>
          <w:rFonts w:ascii="Times New Roman" w:hAnsi="Times New Roman"/>
          <w:sz w:val="24"/>
          <w:szCs w:val="24"/>
        </w:rPr>
        <w:t xml:space="preserve"> </w:t>
      </w:r>
      <w:proofErr w:type="spellStart"/>
      <w:r>
        <w:rPr>
          <w:rFonts w:ascii="Times New Roman" w:hAnsi="Times New Roman"/>
          <w:sz w:val="24"/>
          <w:szCs w:val="24"/>
        </w:rPr>
        <w:t>neapolitana</w:t>
      </w:r>
      <w:proofErr w:type="spellEnd"/>
      <w:r>
        <w:rPr>
          <w:rFonts w:ascii="Times New Roman" w:hAnsi="Times New Roman"/>
          <w:sz w:val="24"/>
          <w:szCs w:val="24"/>
        </w:rPr>
        <w:t xml:space="preserve">. </w:t>
      </w:r>
      <w:r>
        <w:rPr>
          <w:rFonts w:ascii="Times New Roman" w:hAnsi="Times New Roman"/>
          <w:i/>
          <w:iCs/>
          <w:sz w:val="24"/>
          <w:szCs w:val="24"/>
        </w:rPr>
        <w:t>Biology</w:t>
      </w:r>
      <w:r>
        <w:rPr>
          <w:rFonts w:ascii="Times New Roman" w:hAnsi="Times New Roman"/>
          <w:sz w:val="24"/>
          <w:szCs w:val="24"/>
        </w:rPr>
        <w:t xml:space="preserve">, </w:t>
      </w:r>
      <w:r>
        <w:rPr>
          <w:rFonts w:ascii="Times New Roman" w:hAnsi="Times New Roman"/>
          <w:i/>
          <w:iCs/>
          <w:sz w:val="24"/>
          <w:szCs w:val="24"/>
        </w:rPr>
        <w:t>11</w:t>
      </w:r>
      <w:r>
        <w:rPr>
          <w:rFonts w:ascii="Times New Roman" w:hAnsi="Times New Roman"/>
          <w:sz w:val="24"/>
          <w:szCs w:val="24"/>
        </w:rPr>
        <w:t>(8), 1153.  </w:t>
      </w:r>
      <w:hyperlink r:id="rId20" w:history="1">
        <w:r w:rsidR="002818EF">
          <w:rPr>
            <w:rStyle w:val="Hyperlink"/>
            <w:rFonts w:ascii="Times New Roman" w:hAnsi="Times New Roman"/>
            <w:sz w:val="24"/>
            <w:szCs w:val="24"/>
          </w:rPr>
          <w:t>https://doi.org/10.3390/biology11081153</w:t>
        </w:r>
      </w:hyperlink>
    </w:p>
    <w:p w14:paraId="1ADEA71F"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lang w:val="nl-NL"/>
        </w:rPr>
        <w:t xml:space="preserve">Gu, Y. G., Lin, Q., Wang, X. H., Du, F. Y., Yu, Z. L., &amp; Huang, H. H. (2015). </w:t>
      </w:r>
      <w:r>
        <w:rPr>
          <w:rFonts w:ascii="Times New Roman" w:hAnsi="Times New Roman"/>
          <w:sz w:val="24"/>
          <w:szCs w:val="24"/>
        </w:rPr>
        <w:t xml:space="preserve">Heavy metal concentrations in wild fishes captured from the South China Sea and associated health risks. </w:t>
      </w:r>
      <w:r>
        <w:rPr>
          <w:rFonts w:ascii="Times New Roman" w:hAnsi="Times New Roman"/>
          <w:i/>
          <w:iCs/>
          <w:sz w:val="24"/>
          <w:szCs w:val="24"/>
        </w:rPr>
        <w:t>Marine pollution bulletin</w:t>
      </w:r>
      <w:r>
        <w:rPr>
          <w:rFonts w:ascii="Times New Roman" w:hAnsi="Times New Roman"/>
          <w:sz w:val="24"/>
          <w:szCs w:val="24"/>
        </w:rPr>
        <w:t xml:space="preserve">, </w:t>
      </w:r>
      <w:r>
        <w:rPr>
          <w:rFonts w:ascii="Times New Roman" w:hAnsi="Times New Roman"/>
          <w:i/>
          <w:iCs/>
          <w:sz w:val="24"/>
          <w:szCs w:val="24"/>
        </w:rPr>
        <w:t>96</w:t>
      </w:r>
      <w:r>
        <w:rPr>
          <w:rFonts w:ascii="Times New Roman" w:hAnsi="Times New Roman"/>
          <w:sz w:val="24"/>
          <w:szCs w:val="24"/>
        </w:rPr>
        <w:t xml:space="preserve">(1-2), 508-512. </w:t>
      </w:r>
      <w:bookmarkStart w:id="8" w:name="_Hlk184573069"/>
      <w:r>
        <w:fldChar w:fldCharType="begin"/>
      </w:r>
      <w:r>
        <w:instrText>HYPERLINK "https://doi.org/10.1016/j.marpolbul.2015.04.022"</w:instrText>
      </w:r>
      <w:r>
        <w:fldChar w:fldCharType="separate"/>
      </w:r>
      <w:r>
        <w:rPr>
          <w:rStyle w:val="Hyperlink"/>
          <w:rFonts w:ascii="Times New Roman" w:hAnsi="Times New Roman"/>
          <w:sz w:val="24"/>
          <w:szCs w:val="24"/>
        </w:rPr>
        <w:t>https://doi.org/10.1016/j.marpolbul.2015.04.022</w:t>
      </w:r>
      <w:r>
        <w:fldChar w:fldCharType="end"/>
      </w:r>
    </w:p>
    <w:p w14:paraId="6ABE0E86"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Hani, Y. M., </w:t>
      </w:r>
      <w:proofErr w:type="spellStart"/>
      <w:r>
        <w:rPr>
          <w:rFonts w:ascii="Times New Roman" w:hAnsi="Times New Roman"/>
          <w:sz w:val="24"/>
          <w:szCs w:val="24"/>
        </w:rPr>
        <w:t>Turies</w:t>
      </w:r>
      <w:proofErr w:type="spellEnd"/>
      <w:r>
        <w:rPr>
          <w:rFonts w:ascii="Times New Roman" w:hAnsi="Times New Roman"/>
          <w:sz w:val="24"/>
          <w:szCs w:val="24"/>
        </w:rPr>
        <w:t xml:space="preserve">, C., </w:t>
      </w:r>
      <w:proofErr w:type="spellStart"/>
      <w:r>
        <w:rPr>
          <w:rFonts w:ascii="Times New Roman" w:hAnsi="Times New Roman"/>
          <w:sz w:val="24"/>
          <w:szCs w:val="24"/>
        </w:rPr>
        <w:t>Palluel</w:t>
      </w:r>
      <w:proofErr w:type="spellEnd"/>
      <w:r>
        <w:rPr>
          <w:rFonts w:ascii="Times New Roman" w:hAnsi="Times New Roman"/>
          <w:sz w:val="24"/>
          <w:szCs w:val="24"/>
        </w:rPr>
        <w:t xml:space="preserve">, O., </w:t>
      </w:r>
      <w:proofErr w:type="spellStart"/>
      <w:r>
        <w:rPr>
          <w:rFonts w:ascii="Times New Roman" w:hAnsi="Times New Roman"/>
          <w:sz w:val="24"/>
          <w:szCs w:val="24"/>
        </w:rPr>
        <w:t>Delahaut</w:t>
      </w:r>
      <w:proofErr w:type="spellEnd"/>
      <w:r>
        <w:rPr>
          <w:rFonts w:ascii="Times New Roman" w:hAnsi="Times New Roman"/>
          <w:sz w:val="24"/>
          <w:szCs w:val="24"/>
        </w:rPr>
        <w:t xml:space="preserve">, L., Bado-Nilles, A., </w:t>
      </w:r>
      <w:proofErr w:type="spellStart"/>
      <w:r>
        <w:rPr>
          <w:rFonts w:ascii="Times New Roman" w:hAnsi="Times New Roman"/>
          <w:sz w:val="24"/>
          <w:szCs w:val="24"/>
        </w:rPr>
        <w:t>Geffard</w:t>
      </w:r>
      <w:proofErr w:type="spellEnd"/>
      <w:r>
        <w:rPr>
          <w:rFonts w:ascii="Times New Roman" w:hAnsi="Times New Roman"/>
          <w:sz w:val="24"/>
          <w:szCs w:val="24"/>
        </w:rPr>
        <w:t xml:space="preserve">, A., </w:t>
      </w:r>
      <w:proofErr w:type="spellStart"/>
      <w:r>
        <w:rPr>
          <w:rFonts w:ascii="Times New Roman" w:hAnsi="Times New Roman"/>
          <w:sz w:val="24"/>
          <w:szCs w:val="24"/>
        </w:rPr>
        <w:t>Dedourge-Geffard</w:t>
      </w:r>
      <w:proofErr w:type="spellEnd"/>
      <w:r>
        <w:rPr>
          <w:rFonts w:ascii="Times New Roman" w:hAnsi="Times New Roman"/>
          <w:sz w:val="24"/>
          <w:szCs w:val="24"/>
        </w:rPr>
        <w:t xml:space="preserve">, O., &amp; Porcher, J.-M. (2019). Effects of a chronic exposure to different water temperatures and/or to an environmental cadmium concentration on the reproduction of the </w:t>
      </w:r>
      <w:proofErr w:type="spellStart"/>
      <w:r>
        <w:rPr>
          <w:rFonts w:ascii="Times New Roman" w:hAnsi="Times New Roman"/>
          <w:sz w:val="24"/>
          <w:szCs w:val="24"/>
        </w:rPr>
        <w:t>threespine</w:t>
      </w:r>
      <w:proofErr w:type="spellEnd"/>
      <w:r>
        <w:rPr>
          <w:rFonts w:ascii="Times New Roman" w:hAnsi="Times New Roman"/>
          <w:sz w:val="24"/>
          <w:szCs w:val="24"/>
        </w:rPr>
        <w:t xml:space="preserve"> stickleback (</w:t>
      </w:r>
      <w:proofErr w:type="spellStart"/>
      <w:r>
        <w:rPr>
          <w:rStyle w:val="Emphasis"/>
          <w:rFonts w:ascii="Times New Roman" w:hAnsi="Times New Roman"/>
          <w:sz w:val="24"/>
          <w:szCs w:val="24"/>
        </w:rPr>
        <w:t>Gasterosteus</w:t>
      </w:r>
      <w:proofErr w:type="spellEnd"/>
      <w:r>
        <w:rPr>
          <w:rStyle w:val="Emphasis"/>
          <w:rFonts w:ascii="Times New Roman" w:hAnsi="Times New Roman"/>
          <w:sz w:val="24"/>
          <w:szCs w:val="24"/>
        </w:rPr>
        <w:t xml:space="preserve"> aculeatus</w:t>
      </w:r>
      <w:r>
        <w:rPr>
          <w:rFonts w:ascii="Times New Roman" w:hAnsi="Times New Roman"/>
          <w:sz w:val="24"/>
          <w:szCs w:val="24"/>
        </w:rPr>
        <w:t xml:space="preserve">). </w:t>
      </w:r>
      <w:r>
        <w:rPr>
          <w:rStyle w:val="Emphasis"/>
          <w:rFonts w:ascii="Times New Roman" w:hAnsi="Times New Roman"/>
          <w:sz w:val="24"/>
          <w:szCs w:val="24"/>
        </w:rPr>
        <w:t>Ecotoxicology and Environmental Safety, 174</w:t>
      </w:r>
      <w:r>
        <w:rPr>
          <w:rFonts w:ascii="Times New Roman" w:hAnsi="Times New Roman"/>
          <w:sz w:val="24"/>
          <w:szCs w:val="24"/>
        </w:rPr>
        <w:t xml:space="preserve">, 48–57. </w:t>
      </w:r>
      <w:hyperlink r:id="rId21" w:tgtFrame="_new" w:history="1">
        <w:r w:rsidR="002818EF">
          <w:rPr>
            <w:rStyle w:val="Hyperlink"/>
            <w:rFonts w:ascii="Times New Roman" w:hAnsi="Times New Roman"/>
            <w:sz w:val="24"/>
            <w:szCs w:val="24"/>
          </w:rPr>
          <w:t>https://doi.org/10.1016/j.ecoenv.2019.02.032</w:t>
        </w:r>
      </w:hyperlink>
    </w:p>
    <w:p w14:paraId="184028B6" w14:textId="77777777" w:rsidR="002818EF" w:rsidRDefault="00000000">
      <w:pPr>
        <w:pStyle w:val="ListParagraph"/>
        <w:numPr>
          <w:ilvl w:val="0"/>
          <w:numId w:val="2"/>
        </w:numPr>
        <w:rPr>
          <w:rFonts w:ascii="Times New Roman" w:eastAsia="Times New Roman" w:hAnsi="Times New Roman"/>
          <w:sz w:val="24"/>
          <w:szCs w:val="24"/>
        </w:rPr>
      </w:pPr>
      <w:r>
        <w:rPr>
          <w:rFonts w:ascii="Times New Roman" w:eastAsia="Times New Roman" w:hAnsi="Times New Roman"/>
          <w:sz w:val="24"/>
          <w:szCs w:val="24"/>
        </w:rPr>
        <w:t xml:space="preserve">Jayaprakash, M., Jonathan, M. P., </w:t>
      </w:r>
      <w:proofErr w:type="spellStart"/>
      <w:r>
        <w:rPr>
          <w:rFonts w:ascii="Times New Roman" w:eastAsia="Times New Roman" w:hAnsi="Times New Roman"/>
          <w:sz w:val="24"/>
          <w:szCs w:val="24"/>
        </w:rPr>
        <w:t>Srinivasalu</w:t>
      </w:r>
      <w:proofErr w:type="spellEnd"/>
      <w:r>
        <w:rPr>
          <w:rFonts w:ascii="Times New Roman" w:eastAsia="Times New Roman" w:hAnsi="Times New Roman"/>
          <w:sz w:val="24"/>
          <w:szCs w:val="24"/>
        </w:rPr>
        <w:t xml:space="preserve">, S., Muthuraj, S., Ram-Mohan, V., &amp; </w:t>
      </w:r>
      <w:proofErr w:type="spellStart"/>
      <w:r>
        <w:rPr>
          <w:rFonts w:ascii="Times New Roman" w:eastAsia="Times New Roman" w:hAnsi="Times New Roman"/>
          <w:sz w:val="24"/>
          <w:szCs w:val="24"/>
        </w:rPr>
        <w:t>Rajeshwara</w:t>
      </w:r>
      <w:proofErr w:type="spellEnd"/>
      <w:r>
        <w:rPr>
          <w:rFonts w:ascii="Times New Roman" w:eastAsia="Times New Roman" w:hAnsi="Times New Roman"/>
          <w:sz w:val="24"/>
          <w:szCs w:val="24"/>
        </w:rPr>
        <w:t xml:space="preserve">-Rao, N. (2008). Acid-leachable trace metals in sediments from an industrialized region (Ennore Creek) of Chennai City, SE coast of India: an approach towards regular monitoring. </w:t>
      </w:r>
      <w:r>
        <w:rPr>
          <w:rFonts w:ascii="Times New Roman" w:eastAsia="Times New Roman" w:hAnsi="Times New Roman"/>
          <w:i/>
          <w:iCs/>
          <w:sz w:val="24"/>
          <w:szCs w:val="24"/>
        </w:rPr>
        <w:t>Estuarine, Coastal and Shelf Science</w:t>
      </w:r>
      <w:r>
        <w:rPr>
          <w:rFonts w:ascii="Times New Roman" w:eastAsia="Times New Roman" w:hAnsi="Times New Roman"/>
          <w:sz w:val="24"/>
          <w:szCs w:val="24"/>
        </w:rPr>
        <w:t xml:space="preserve">, </w:t>
      </w:r>
      <w:r>
        <w:rPr>
          <w:rFonts w:ascii="Times New Roman" w:eastAsia="Times New Roman" w:hAnsi="Times New Roman"/>
          <w:i/>
          <w:iCs/>
          <w:sz w:val="24"/>
          <w:szCs w:val="24"/>
        </w:rPr>
        <w:t>76</w:t>
      </w:r>
      <w:r>
        <w:rPr>
          <w:rFonts w:ascii="Times New Roman" w:eastAsia="Times New Roman" w:hAnsi="Times New Roman"/>
          <w:sz w:val="24"/>
          <w:szCs w:val="24"/>
        </w:rPr>
        <w:t xml:space="preserve">(3), 692-703. </w:t>
      </w:r>
      <w:hyperlink r:id="rId22" w:history="1">
        <w:r w:rsidR="002818EF">
          <w:rPr>
            <w:rStyle w:val="Hyperlink"/>
            <w:rFonts w:ascii="Times New Roman" w:eastAsia="Times New Roman" w:hAnsi="Times New Roman"/>
            <w:sz w:val="24"/>
            <w:szCs w:val="24"/>
          </w:rPr>
          <w:t>https://doi.org/10.1016/j.ecss.2007.07.035</w:t>
        </w:r>
      </w:hyperlink>
    </w:p>
    <w:p w14:paraId="70669585" w14:textId="77777777" w:rsidR="002818EF" w:rsidRDefault="00000000">
      <w:pPr>
        <w:pStyle w:val="ListParagraph"/>
        <w:numPr>
          <w:ilvl w:val="0"/>
          <w:numId w:val="2"/>
        </w:numPr>
        <w:rPr>
          <w:rFonts w:ascii="Times New Roman" w:hAnsi="Times New Roman"/>
          <w:b/>
          <w:bCs/>
          <w:sz w:val="24"/>
          <w:szCs w:val="24"/>
        </w:rPr>
      </w:pPr>
      <w:r>
        <w:rPr>
          <w:rFonts w:ascii="Times New Roman" w:eastAsia="Times New Roman" w:hAnsi="Times New Roman"/>
          <w:color w:val="000000"/>
          <w:sz w:val="24"/>
          <w:szCs w:val="24"/>
        </w:rPr>
        <w:t xml:space="preserve">Karthikeyan, P., </w:t>
      </w:r>
      <w:proofErr w:type="spellStart"/>
      <w:r>
        <w:rPr>
          <w:rFonts w:ascii="Times New Roman" w:eastAsia="Times New Roman" w:hAnsi="Times New Roman"/>
          <w:color w:val="000000"/>
          <w:sz w:val="24"/>
          <w:szCs w:val="24"/>
        </w:rPr>
        <w:t>Marigoudar</w:t>
      </w:r>
      <w:proofErr w:type="spellEnd"/>
      <w:r>
        <w:rPr>
          <w:rFonts w:ascii="Times New Roman" w:eastAsia="Times New Roman" w:hAnsi="Times New Roman"/>
          <w:color w:val="000000"/>
          <w:sz w:val="24"/>
          <w:szCs w:val="24"/>
        </w:rPr>
        <w:t xml:space="preserve">, S. R., Mohan, D., Nagarjuna, A., &amp; Sharma, K. V. (2020). Ecological risk from heavy metals in Ennore estuary, South East coast of India. </w:t>
      </w:r>
      <w:r>
        <w:rPr>
          <w:rFonts w:ascii="Times New Roman" w:eastAsia="Times New Roman" w:hAnsi="Times New Roman"/>
          <w:i/>
          <w:iCs/>
          <w:color w:val="000000"/>
          <w:sz w:val="24"/>
          <w:szCs w:val="24"/>
        </w:rPr>
        <w:t>Environmental Chemistry and Ecotoxicology</w:t>
      </w:r>
      <w:r>
        <w:rPr>
          <w:rFonts w:ascii="Times New Roman" w:eastAsia="Times New Roman" w:hAnsi="Times New Roman"/>
          <w:color w:val="000000"/>
          <w:sz w:val="24"/>
          <w:szCs w:val="24"/>
        </w:rPr>
        <w:t xml:space="preserve">, </w:t>
      </w:r>
      <w:r>
        <w:rPr>
          <w:rFonts w:ascii="Times New Roman" w:eastAsia="Times New Roman" w:hAnsi="Times New Roman"/>
          <w:i/>
          <w:iCs/>
          <w:color w:val="000000"/>
          <w:sz w:val="24"/>
          <w:szCs w:val="24"/>
        </w:rPr>
        <w:t>2</w:t>
      </w:r>
      <w:r>
        <w:rPr>
          <w:rFonts w:ascii="Times New Roman" w:eastAsia="Times New Roman" w:hAnsi="Times New Roman"/>
          <w:color w:val="000000"/>
          <w:sz w:val="24"/>
          <w:szCs w:val="24"/>
        </w:rPr>
        <w:t xml:space="preserve">, 182-193. </w:t>
      </w:r>
      <w:hyperlink r:id="rId23" w:history="1">
        <w:r w:rsidR="002818EF">
          <w:rPr>
            <w:rStyle w:val="Hyperlink"/>
            <w:rFonts w:ascii="Times New Roman" w:hAnsi="Times New Roman"/>
            <w:sz w:val="24"/>
            <w:szCs w:val="24"/>
          </w:rPr>
          <w:t>https://doi.org/10.1016/j.enceco.2020.09.004</w:t>
        </w:r>
      </w:hyperlink>
    </w:p>
    <w:bookmarkEnd w:id="8"/>
    <w:p w14:paraId="2A83137E" w14:textId="77777777" w:rsidR="002818EF" w:rsidRDefault="00000000">
      <w:pPr>
        <w:pStyle w:val="ListParagraph"/>
        <w:numPr>
          <w:ilvl w:val="0"/>
          <w:numId w:val="2"/>
        </w:numPr>
        <w:rPr>
          <w:rFonts w:ascii="Times New Roman" w:eastAsia="Times New Roman" w:hAnsi="Times New Roman"/>
          <w:sz w:val="24"/>
          <w:szCs w:val="24"/>
        </w:rPr>
      </w:pPr>
      <w:r>
        <w:rPr>
          <w:rFonts w:ascii="Times New Roman" w:eastAsia="Times New Roman" w:hAnsi="Times New Roman"/>
          <w:sz w:val="24"/>
          <w:szCs w:val="24"/>
        </w:rPr>
        <w:t xml:space="preserve">Keshav Krishna, A., &amp; Rama Mohan, K. (2016). Distribution, correlation, ecological and health risk assessment of heavy metal contamination in surface soils around an </w:t>
      </w:r>
      <w:r>
        <w:rPr>
          <w:rFonts w:ascii="Times New Roman" w:eastAsia="Times New Roman" w:hAnsi="Times New Roman"/>
          <w:sz w:val="24"/>
          <w:szCs w:val="24"/>
        </w:rPr>
        <w:lastRenderedPageBreak/>
        <w:t xml:space="preserve">industrial area, Hyderabad, India. </w:t>
      </w:r>
      <w:r>
        <w:rPr>
          <w:rFonts w:ascii="Times New Roman" w:eastAsia="Times New Roman" w:hAnsi="Times New Roman"/>
          <w:i/>
          <w:iCs/>
          <w:sz w:val="24"/>
          <w:szCs w:val="24"/>
        </w:rPr>
        <w:t>Environmental Earth Sciences</w:t>
      </w:r>
      <w:r>
        <w:rPr>
          <w:rFonts w:ascii="Times New Roman" w:eastAsia="Times New Roman" w:hAnsi="Times New Roman"/>
          <w:sz w:val="24"/>
          <w:szCs w:val="24"/>
        </w:rPr>
        <w:t xml:space="preserve">, </w:t>
      </w:r>
      <w:r>
        <w:rPr>
          <w:rFonts w:ascii="Times New Roman" w:eastAsia="Times New Roman" w:hAnsi="Times New Roman"/>
          <w:i/>
          <w:iCs/>
          <w:sz w:val="24"/>
          <w:szCs w:val="24"/>
        </w:rPr>
        <w:t>75</w:t>
      </w:r>
      <w:r>
        <w:rPr>
          <w:rFonts w:ascii="Times New Roman" w:eastAsia="Times New Roman" w:hAnsi="Times New Roman"/>
          <w:sz w:val="24"/>
          <w:szCs w:val="24"/>
        </w:rPr>
        <w:t xml:space="preserve">(5), 411. </w:t>
      </w:r>
      <w:hyperlink r:id="rId24" w:history="1">
        <w:r w:rsidR="002818EF">
          <w:rPr>
            <w:rStyle w:val="Hyperlink"/>
            <w:rFonts w:ascii="Times New Roman" w:eastAsia="Times New Roman" w:hAnsi="Times New Roman"/>
            <w:sz w:val="24"/>
            <w:szCs w:val="24"/>
          </w:rPr>
          <w:t>https://doi.org/10.1007/s12665-015-5151-7</w:t>
        </w:r>
      </w:hyperlink>
    </w:p>
    <w:p w14:paraId="018F8C23"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Kibria, G., Hossain, M. M., Mallick, D., Lau, T. C., &amp; Wu, R. (2016). Trace/heavy metal pollution monitoring in estuary and coastal area of Bay of Bengal, Bangladesh and implicated impacts. </w:t>
      </w:r>
      <w:r>
        <w:rPr>
          <w:rFonts w:ascii="Times New Roman" w:hAnsi="Times New Roman"/>
          <w:i/>
          <w:iCs/>
          <w:sz w:val="24"/>
          <w:szCs w:val="24"/>
        </w:rPr>
        <w:t>Marine pollution bulletin</w:t>
      </w:r>
      <w:r>
        <w:rPr>
          <w:rFonts w:ascii="Times New Roman" w:hAnsi="Times New Roman"/>
          <w:sz w:val="24"/>
          <w:szCs w:val="24"/>
        </w:rPr>
        <w:t xml:space="preserve">, </w:t>
      </w:r>
      <w:r>
        <w:rPr>
          <w:rFonts w:ascii="Times New Roman" w:hAnsi="Times New Roman"/>
          <w:i/>
          <w:iCs/>
          <w:sz w:val="24"/>
          <w:szCs w:val="24"/>
        </w:rPr>
        <w:t>105</w:t>
      </w:r>
      <w:r>
        <w:rPr>
          <w:rFonts w:ascii="Times New Roman" w:hAnsi="Times New Roman"/>
          <w:sz w:val="24"/>
          <w:szCs w:val="24"/>
        </w:rPr>
        <w:t xml:space="preserve">(1), 393-402. </w:t>
      </w:r>
      <w:hyperlink r:id="rId25" w:history="1">
        <w:r w:rsidR="002818EF">
          <w:rPr>
            <w:rStyle w:val="Hyperlink"/>
            <w:rFonts w:ascii="Times New Roman" w:hAnsi="Times New Roman"/>
            <w:sz w:val="24"/>
            <w:szCs w:val="24"/>
          </w:rPr>
          <w:t>https://doi.org/10.1016/j.marpolbul.2016.02.021</w:t>
        </w:r>
      </w:hyperlink>
    </w:p>
    <w:p w14:paraId="7AFFD980"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Krishnamurti, A.J., &amp; Nair, V.R. (1999). Concentration of metals in shrimps and crabs from Thane-Bassein creek system, Maharashtra.</w:t>
      </w:r>
    </w:p>
    <w:p w14:paraId="44480BF2"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Lee, L. H., &amp; Lin, H. J. (2013). Effects of an oil spill on benthic community production and respiration on subtropical intertidal sandflats. </w:t>
      </w:r>
      <w:r>
        <w:rPr>
          <w:rFonts w:ascii="Times New Roman" w:hAnsi="Times New Roman"/>
          <w:i/>
          <w:iCs/>
          <w:sz w:val="24"/>
          <w:szCs w:val="24"/>
        </w:rPr>
        <w:t>Marine pollution bulletin</w:t>
      </w:r>
      <w:r>
        <w:rPr>
          <w:rFonts w:ascii="Times New Roman" w:hAnsi="Times New Roman"/>
          <w:sz w:val="24"/>
          <w:szCs w:val="24"/>
        </w:rPr>
        <w:t xml:space="preserve">, </w:t>
      </w:r>
      <w:r>
        <w:rPr>
          <w:rFonts w:ascii="Times New Roman" w:hAnsi="Times New Roman"/>
          <w:i/>
          <w:iCs/>
          <w:sz w:val="24"/>
          <w:szCs w:val="24"/>
        </w:rPr>
        <w:t>73</w:t>
      </w:r>
      <w:r>
        <w:rPr>
          <w:rFonts w:ascii="Times New Roman" w:hAnsi="Times New Roman"/>
          <w:sz w:val="24"/>
          <w:szCs w:val="24"/>
        </w:rPr>
        <w:t xml:space="preserve">(1), 291-299. </w:t>
      </w:r>
      <w:hyperlink r:id="rId26" w:history="1">
        <w:r w:rsidR="002818EF">
          <w:rPr>
            <w:rStyle w:val="Hyperlink"/>
            <w:rFonts w:ascii="Times New Roman" w:hAnsi="Times New Roman"/>
            <w:sz w:val="24"/>
            <w:szCs w:val="24"/>
          </w:rPr>
          <w:t>https://doi.org/10.1016/j.marpolbul.2013.05.006</w:t>
        </w:r>
      </w:hyperlink>
    </w:p>
    <w:p w14:paraId="1AFF1F74" w14:textId="77777777" w:rsidR="002818EF" w:rsidRDefault="00000000">
      <w:pPr>
        <w:pStyle w:val="NormalWeb"/>
        <w:numPr>
          <w:ilvl w:val="0"/>
          <w:numId w:val="2"/>
        </w:numPr>
      </w:pPr>
      <w:r>
        <w:rPr>
          <w:lang w:val="nl-NL"/>
        </w:rPr>
        <w:t xml:space="preserve">Lee, J. W., Choi, H., Hwang, U. K., Kang, J. C., Kang, Y. J., Kim, K. I., &amp; Kim, J. H. (2019). </w:t>
      </w:r>
      <w:r>
        <w:t xml:space="preserve">Toxic effects of lead exposure on bioaccumulation, oxidative stress, neurotoxicity, and immune responses in fish: A review. </w:t>
      </w:r>
      <w:r>
        <w:rPr>
          <w:i/>
          <w:iCs/>
        </w:rPr>
        <w:t>Environmental toxicology and pharmacology</w:t>
      </w:r>
      <w:r>
        <w:t xml:space="preserve">, </w:t>
      </w:r>
      <w:r>
        <w:rPr>
          <w:i/>
          <w:iCs/>
        </w:rPr>
        <w:t>68</w:t>
      </w:r>
      <w:r>
        <w:t xml:space="preserve">, 101-108. </w:t>
      </w:r>
      <w:hyperlink r:id="rId27" w:history="1">
        <w:r w:rsidR="002818EF">
          <w:rPr>
            <w:rStyle w:val="Hyperlink"/>
          </w:rPr>
          <w:t>https://doi.org/10.1016/j.etap.2019.03.010</w:t>
        </w:r>
      </w:hyperlink>
    </w:p>
    <w:p w14:paraId="48666521" w14:textId="77777777" w:rsidR="002818EF" w:rsidRDefault="00000000">
      <w:pPr>
        <w:pStyle w:val="ListParagraph"/>
        <w:numPr>
          <w:ilvl w:val="0"/>
          <w:numId w:val="2"/>
        </w:numPr>
        <w:rPr>
          <w:rFonts w:ascii="Times New Roman" w:hAnsi="Times New Roman"/>
          <w:sz w:val="24"/>
          <w:szCs w:val="24"/>
          <w:lang w:val="en-US"/>
        </w:rPr>
      </w:pPr>
      <w:r>
        <w:rPr>
          <w:rFonts w:ascii="Times New Roman" w:hAnsi="Times New Roman"/>
          <w:sz w:val="24"/>
          <w:szCs w:val="24"/>
        </w:rPr>
        <w:t xml:space="preserve">Liang, Y., Wang, R., Sheng, G.D., Pan, L., Lian, E., Su, N., Tang, X., Yang, S. &amp; Yin, D. (2023). Geochemical controls on the distribution and bioavailability of heavy metals in sediments from Yangtze River to the East China Sea: assessed by sequential extraction versus diffusive gradients in thin-films (DGT) technique. </w:t>
      </w:r>
      <w:r>
        <w:rPr>
          <w:rFonts w:ascii="Times New Roman" w:hAnsi="Times New Roman"/>
          <w:i/>
          <w:iCs/>
          <w:sz w:val="24"/>
          <w:szCs w:val="24"/>
        </w:rPr>
        <w:t>Journal of Hazardous Materials</w:t>
      </w:r>
      <w:r>
        <w:rPr>
          <w:rFonts w:ascii="Times New Roman" w:hAnsi="Times New Roman"/>
          <w:sz w:val="24"/>
          <w:szCs w:val="24"/>
        </w:rPr>
        <w:t xml:space="preserve">, </w:t>
      </w:r>
      <w:r>
        <w:rPr>
          <w:rFonts w:ascii="Times New Roman" w:hAnsi="Times New Roman"/>
          <w:i/>
          <w:iCs/>
          <w:sz w:val="24"/>
          <w:szCs w:val="24"/>
        </w:rPr>
        <w:t>452</w:t>
      </w:r>
      <w:r>
        <w:rPr>
          <w:rFonts w:ascii="Times New Roman" w:hAnsi="Times New Roman"/>
          <w:sz w:val="24"/>
          <w:szCs w:val="24"/>
        </w:rPr>
        <w:t xml:space="preserve">, 131253. </w:t>
      </w:r>
      <w:hyperlink r:id="rId28" w:tgtFrame="_blank" w:tooltip="Persistent link using digital object identifier" w:history="1">
        <w:r w:rsidR="002818EF">
          <w:rPr>
            <w:rStyle w:val="Hyperlink"/>
            <w:rFonts w:ascii="Times New Roman" w:hAnsi="Times New Roman"/>
            <w:sz w:val="24"/>
            <w:szCs w:val="24"/>
          </w:rPr>
          <w:t>https://doi.org/10.1016/j.jhazmat.2023.131253</w:t>
        </w:r>
      </w:hyperlink>
    </w:p>
    <w:p w14:paraId="1B42817A" w14:textId="77777777" w:rsidR="002818EF" w:rsidRDefault="00000000">
      <w:pPr>
        <w:pStyle w:val="ListParagraph"/>
        <w:numPr>
          <w:ilvl w:val="0"/>
          <w:numId w:val="2"/>
        </w:numPr>
        <w:rPr>
          <w:rFonts w:ascii="Times New Roman" w:hAnsi="Times New Roman"/>
          <w:sz w:val="24"/>
          <w:szCs w:val="24"/>
        </w:rPr>
      </w:pPr>
      <w:r>
        <w:rPr>
          <w:rFonts w:ascii="Times New Roman" w:hAnsi="Times New Roman"/>
          <w:color w:val="222222"/>
          <w:sz w:val="24"/>
          <w:szCs w:val="24"/>
          <w:shd w:val="clear" w:color="auto" w:fill="FFFFFF"/>
        </w:rPr>
        <w:t>Liu, J., Dietz, T., Carpenter, S.R., Alberti, M., Folke, C., Moran, E., Pell, A.N., Deadman, P., Kratz, T., Lubchenco, J. &amp; Ostrom, E. (2007).  Complexity of coupled human and natural systems. </w:t>
      </w:r>
      <w:r>
        <w:rPr>
          <w:rFonts w:ascii="Times New Roman" w:hAnsi="Times New Roman"/>
          <w:i/>
          <w:iCs/>
          <w:color w:val="222222"/>
          <w:sz w:val="24"/>
          <w:szCs w:val="24"/>
          <w:shd w:val="clear" w:color="auto" w:fill="FFFFFF"/>
        </w:rPr>
        <w:t>Science. 317</w:t>
      </w:r>
      <w:r>
        <w:rPr>
          <w:rFonts w:ascii="Times New Roman" w:hAnsi="Times New Roman"/>
          <w:color w:val="222222"/>
          <w:sz w:val="24"/>
          <w:szCs w:val="24"/>
          <w:shd w:val="clear" w:color="auto" w:fill="FFFFFF"/>
        </w:rPr>
        <w:t xml:space="preserve">(5844), 1513-1516. </w:t>
      </w:r>
      <w:hyperlink r:id="rId29" w:history="1">
        <w:r w:rsidR="002818EF">
          <w:rPr>
            <w:rStyle w:val="Hyperlink"/>
            <w:rFonts w:ascii="Times New Roman" w:hAnsi="Times New Roman"/>
            <w:sz w:val="24"/>
            <w:szCs w:val="24"/>
            <w:shd w:val="clear" w:color="auto" w:fill="FFFFFF"/>
          </w:rPr>
          <w:t>https://www.science.org/doi/abs/10.1126/science.1144004</w:t>
        </w:r>
      </w:hyperlink>
    </w:p>
    <w:p w14:paraId="616DDAAB" w14:textId="77777777" w:rsidR="002818EF" w:rsidRDefault="00000000">
      <w:pPr>
        <w:pStyle w:val="ListParagraph"/>
        <w:numPr>
          <w:ilvl w:val="0"/>
          <w:numId w:val="2"/>
        </w:numPr>
        <w:rPr>
          <w:rFonts w:ascii="Times New Roman" w:hAnsi="Times New Roman"/>
          <w:color w:val="222222"/>
          <w:sz w:val="24"/>
          <w:szCs w:val="24"/>
          <w:shd w:val="clear" w:color="auto" w:fill="FFFFFF"/>
        </w:rPr>
      </w:pPr>
      <w:proofErr w:type="spellStart"/>
      <w:r>
        <w:rPr>
          <w:rFonts w:ascii="Times New Roman" w:hAnsi="Times New Roman"/>
          <w:color w:val="222222"/>
          <w:sz w:val="24"/>
          <w:szCs w:val="24"/>
          <w:shd w:val="clear" w:color="auto" w:fill="FFFFFF"/>
        </w:rPr>
        <w:lastRenderedPageBreak/>
        <w:t>Loska</w:t>
      </w:r>
      <w:proofErr w:type="spellEnd"/>
      <w:r>
        <w:rPr>
          <w:rFonts w:ascii="Times New Roman" w:hAnsi="Times New Roman"/>
          <w:color w:val="222222"/>
          <w:sz w:val="24"/>
          <w:szCs w:val="24"/>
          <w:shd w:val="clear" w:color="auto" w:fill="FFFFFF"/>
        </w:rPr>
        <w:t xml:space="preserve">, K., &amp; </w:t>
      </w:r>
      <w:proofErr w:type="spellStart"/>
      <w:r>
        <w:rPr>
          <w:rFonts w:ascii="Times New Roman" w:hAnsi="Times New Roman"/>
          <w:color w:val="222222"/>
          <w:sz w:val="24"/>
          <w:szCs w:val="24"/>
          <w:shd w:val="clear" w:color="auto" w:fill="FFFFFF"/>
        </w:rPr>
        <w:t>Wiechuła</w:t>
      </w:r>
      <w:proofErr w:type="spellEnd"/>
      <w:r>
        <w:rPr>
          <w:rFonts w:ascii="Times New Roman" w:hAnsi="Times New Roman"/>
          <w:color w:val="222222"/>
          <w:sz w:val="24"/>
          <w:szCs w:val="24"/>
          <w:shd w:val="clear" w:color="auto" w:fill="FFFFFF"/>
        </w:rPr>
        <w:t>, D. (2003). Application of principal component analysis for the estimation of source of heavy metal contamination in surface sediments from the Rybnik Reservoir. </w:t>
      </w:r>
      <w:r>
        <w:rPr>
          <w:rFonts w:ascii="Times New Roman" w:hAnsi="Times New Roman"/>
          <w:i/>
          <w:iCs/>
          <w:color w:val="222222"/>
          <w:sz w:val="24"/>
          <w:szCs w:val="24"/>
          <w:shd w:val="clear" w:color="auto" w:fill="FFFFFF"/>
        </w:rPr>
        <w:t>Chemosphere</w:t>
      </w:r>
      <w:r>
        <w:rPr>
          <w:rFonts w:ascii="Times New Roman" w:hAnsi="Times New Roman"/>
          <w:color w:val="222222"/>
          <w:sz w:val="24"/>
          <w:szCs w:val="24"/>
          <w:shd w:val="clear" w:color="auto" w:fill="FFFFFF"/>
        </w:rPr>
        <w:t>, </w:t>
      </w:r>
      <w:r>
        <w:rPr>
          <w:rFonts w:ascii="Times New Roman" w:hAnsi="Times New Roman"/>
          <w:i/>
          <w:iCs/>
          <w:color w:val="222222"/>
          <w:sz w:val="24"/>
          <w:szCs w:val="24"/>
          <w:shd w:val="clear" w:color="auto" w:fill="FFFFFF"/>
        </w:rPr>
        <w:t>51</w:t>
      </w:r>
      <w:r>
        <w:rPr>
          <w:rFonts w:ascii="Times New Roman" w:hAnsi="Times New Roman"/>
          <w:color w:val="222222"/>
          <w:sz w:val="24"/>
          <w:szCs w:val="24"/>
          <w:shd w:val="clear" w:color="auto" w:fill="FFFFFF"/>
        </w:rPr>
        <w:t xml:space="preserve">(8), 723-733. </w:t>
      </w:r>
      <w:hyperlink r:id="rId30" w:tgtFrame="_blank" w:tooltip="Persistent link using digital object identifier" w:history="1">
        <w:r w:rsidR="002818EF">
          <w:rPr>
            <w:rStyle w:val="Hyperlink"/>
            <w:rFonts w:ascii="Times New Roman" w:hAnsi="Times New Roman"/>
            <w:sz w:val="24"/>
            <w:szCs w:val="24"/>
            <w:shd w:val="clear" w:color="auto" w:fill="FFFFFF"/>
          </w:rPr>
          <w:t>https://doi.org/10.1016/S0045-6535(03)00187-5</w:t>
        </w:r>
      </w:hyperlink>
    </w:p>
    <w:p w14:paraId="4E6AB88C" w14:textId="77777777" w:rsidR="002818EF" w:rsidRDefault="00000000">
      <w:pPr>
        <w:pStyle w:val="ListParagraph"/>
        <w:numPr>
          <w:ilvl w:val="0"/>
          <w:numId w:val="2"/>
        </w:numPr>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 xml:space="preserve">Mohan, S. V., Nithila, P., &amp; Reddy, S. J. (1996). Estimation of heavy metals in drinking water and development of heavy metal pollution index. </w:t>
      </w:r>
      <w:r>
        <w:rPr>
          <w:rFonts w:ascii="Times New Roman" w:hAnsi="Times New Roman"/>
          <w:i/>
          <w:iCs/>
          <w:color w:val="222222"/>
          <w:sz w:val="24"/>
          <w:szCs w:val="24"/>
          <w:shd w:val="clear" w:color="auto" w:fill="FFFFFF"/>
        </w:rPr>
        <w:t>Journal of Environmental Science &amp; Health Part A</w:t>
      </w:r>
      <w:r>
        <w:rPr>
          <w:rFonts w:ascii="Times New Roman" w:hAnsi="Times New Roman"/>
          <w:color w:val="222222"/>
          <w:sz w:val="24"/>
          <w:szCs w:val="24"/>
          <w:shd w:val="clear" w:color="auto" w:fill="FFFFFF"/>
        </w:rPr>
        <w:t xml:space="preserve">, </w:t>
      </w:r>
      <w:r>
        <w:rPr>
          <w:rFonts w:ascii="Times New Roman" w:hAnsi="Times New Roman"/>
          <w:i/>
          <w:iCs/>
          <w:color w:val="222222"/>
          <w:sz w:val="24"/>
          <w:szCs w:val="24"/>
          <w:shd w:val="clear" w:color="auto" w:fill="FFFFFF"/>
        </w:rPr>
        <w:t>31</w:t>
      </w:r>
      <w:r>
        <w:rPr>
          <w:rFonts w:ascii="Times New Roman" w:hAnsi="Times New Roman"/>
          <w:color w:val="222222"/>
          <w:sz w:val="24"/>
          <w:szCs w:val="24"/>
          <w:shd w:val="clear" w:color="auto" w:fill="FFFFFF"/>
        </w:rPr>
        <w:t xml:space="preserve">(2), 283-289. </w:t>
      </w:r>
      <w:hyperlink r:id="rId31" w:history="1">
        <w:r w:rsidR="002818EF">
          <w:rPr>
            <w:rStyle w:val="Hyperlink"/>
            <w:rFonts w:ascii="Times New Roman" w:hAnsi="Times New Roman"/>
            <w:sz w:val="24"/>
            <w:szCs w:val="24"/>
            <w:shd w:val="clear" w:color="auto" w:fill="FFFFFF"/>
          </w:rPr>
          <w:t>https://doi.org/10.1080/10934529609376357</w:t>
        </w:r>
      </w:hyperlink>
    </w:p>
    <w:p w14:paraId="6F36B84F" w14:textId="77777777" w:rsidR="002818EF" w:rsidRDefault="00000000">
      <w:pPr>
        <w:pStyle w:val="ListParagraph"/>
        <w:numPr>
          <w:ilvl w:val="0"/>
          <w:numId w:val="2"/>
        </w:numPr>
        <w:rPr>
          <w:rFonts w:ascii="Times New Roman" w:hAnsi="Times New Roman"/>
          <w:sz w:val="24"/>
          <w:szCs w:val="24"/>
          <w:lang w:val="en-US"/>
        </w:rPr>
      </w:pPr>
      <w:r>
        <w:rPr>
          <w:rFonts w:ascii="Times New Roman" w:hAnsi="Times New Roman"/>
          <w:sz w:val="24"/>
          <w:szCs w:val="24"/>
        </w:rPr>
        <w:t xml:space="preserve">Muller, G.M.M.G.M.G.M.G.P. (1969). Index of </w:t>
      </w:r>
      <w:proofErr w:type="spellStart"/>
      <w:r>
        <w:rPr>
          <w:rFonts w:ascii="Times New Roman" w:hAnsi="Times New Roman"/>
          <w:sz w:val="24"/>
          <w:szCs w:val="24"/>
        </w:rPr>
        <w:t>geoaccumulation</w:t>
      </w:r>
      <w:proofErr w:type="spellEnd"/>
      <w:r>
        <w:rPr>
          <w:rFonts w:ascii="Times New Roman" w:hAnsi="Times New Roman"/>
          <w:sz w:val="24"/>
          <w:szCs w:val="24"/>
        </w:rPr>
        <w:t xml:space="preserve"> in sediments of the Rhine River.</w:t>
      </w:r>
    </w:p>
    <w:p w14:paraId="2149ACA8"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Nishitha, D. S., Sudheer, A. K., Arun, K., Amrish, V. N., Mahesh, G., </w:t>
      </w:r>
      <w:proofErr w:type="spellStart"/>
      <w:r>
        <w:rPr>
          <w:rFonts w:ascii="Times New Roman" w:hAnsi="Times New Roman"/>
          <w:sz w:val="24"/>
          <w:szCs w:val="24"/>
        </w:rPr>
        <w:t>Udayashankar</w:t>
      </w:r>
      <w:proofErr w:type="spellEnd"/>
      <w:r>
        <w:rPr>
          <w:rFonts w:ascii="Times New Roman" w:hAnsi="Times New Roman"/>
          <w:sz w:val="24"/>
          <w:szCs w:val="24"/>
        </w:rPr>
        <w:t xml:space="preserve">, H. N., &amp; Balakrishna, K. (2023). Risk assessment and </w:t>
      </w:r>
      <w:proofErr w:type="spellStart"/>
      <w:r>
        <w:rPr>
          <w:rFonts w:ascii="Times New Roman" w:hAnsi="Times New Roman"/>
          <w:sz w:val="24"/>
          <w:szCs w:val="24"/>
        </w:rPr>
        <w:t>spatio</w:t>
      </w:r>
      <w:proofErr w:type="spellEnd"/>
      <w:r>
        <w:rPr>
          <w:rFonts w:ascii="Times New Roman" w:hAnsi="Times New Roman"/>
          <w:sz w:val="24"/>
          <w:szCs w:val="24"/>
        </w:rPr>
        <w:t xml:space="preserve">-temporal distribution of dissolved trace metals in Swarna, </w:t>
      </w:r>
      <w:proofErr w:type="spellStart"/>
      <w:r>
        <w:rPr>
          <w:rFonts w:ascii="Times New Roman" w:hAnsi="Times New Roman"/>
          <w:sz w:val="24"/>
          <w:szCs w:val="24"/>
        </w:rPr>
        <w:t>Sharavati</w:t>
      </w:r>
      <w:proofErr w:type="spellEnd"/>
      <w:r>
        <w:rPr>
          <w:rFonts w:ascii="Times New Roman" w:hAnsi="Times New Roman"/>
          <w:sz w:val="24"/>
          <w:szCs w:val="24"/>
        </w:rPr>
        <w:t xml:space="preserve"> and Kali estuaries, South-West Coast of India. </w:t>
      </w:r>
      <w:r>
        <w:rPr>
          <w:rFonts w:ascii="Times New Roman" w:hAnsi="Times New Roman"/>
          <w:i/>
          <w:iCs/>
          <w:sz w:val="24"/>
          <w:szCs w:val="24"/>
        </w:rPr>
        <w:t>Environmental Science and Pollution Research</w:t>
      </w:r>
      <w:r>
        <w:rPr>
          <w:rFonts w:ascii="Times New Roman" w:hAnsi="Times New Roman"/>
          <w:sz w:val="24"/>
          <w:szCs w:val="24"/>
        </w:rPr>
        <w:t xml:space="preserve">, </w:t>
      </w:r>
      <w:r>
        <w:rPr>
          <w:rFonts w:ascii="Times New Roman" w:hAnsi="Times New Roman"/>
          <w:i/>
          <w:iCs/>
          <w:sz w:val="24"/>
          <w:szCs w:val="24"/>
        </w:rPr>
        <w:t>30</w:t>
      </w:r>
      <w:r>
        <w:rPr>
          <w:rFonts w:ascii="Times New Roman" w:hAnsi="Times New Roman"/>
          <w:sz w:val="24"/>
          <w:szCs w:val="24"/>
        </w:rPr>
        <w:t xml:space="preserve">(4), 9914-9931. </w:t>
      </w:r>
      <w:hyperlink r:id="rId32" w:history="1">
        <w:r w:rsidR="002818EF">
          <w:rPr>
            <w:rStyle w:val="Hyperlink"/>
            <w:rFonts w:ascii="Times New Roman" w:hAnsi="Times New Roman"/>
            <w:sz w:val="24"/>
            <w:szCs w:val="24"/>
          </w:rPr>
          <w:t>https://doi.org/10.1080/15320383.2025.2524754</w:t>
        </w:r>
      </w:hyperlink>
    </w:p>
    <w:p w14:paraId="2271698C"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Olayinka-Olagunju, J. O., Dosumu, A. A., &amp; Olatunji-Ojo, A. M. (2021). Bioaccumulation of heavy metals in pelagic and benthic fishes of </w:t>
      </w:r>
      <w:proofErr w:type="spellStart"/>
      <w:r>
        <w:rPr>
          <w:rFonts w:ascii="Times New Roman" w:hAnsi="Times New Roman"/>
          <w:sz w:val="24"/>
          <w:szCs w:val="24"/>
        </w:rPr>
        <w:t>Ogbese</w:t>
      </w:r>
      <w:proofErr w:type="spellEnd"/>
      <w:r>
        <w:rPr>
          <w:rFonts w:ascii="Times New Roman" w:hAnsi="Times New Roman"/>
          <w:sz w:val="24"/>
          <w:szCs w:val="24"/>
        </w:rPr>
        <w:t xml:space="preserve"> River, Ondo State, South-Western Nigeria. </w:t>
      </w:r>
      <w:r>
        <w:rPr>
          <w:rFonts w:ascii="Times New Roman" w:hAnsi="Times New Roman"/>
          <w:i/>
          <w:iCs/>
          <w:sz w:val="24"/>
          <w:szCs w:val="24"/>
        </w:rPr>
        <w:t>Water, Air, &amp; Soil Pollution</w:t>
      </w:r>
      <w:r>
        <w:rPr>
          <w:rFonts w:ascii="Times New Roman" w:hAnsi="Times New Roman"/>
          <w:sz w:val="24"/>
          <w:szCs w:val="24"/>
        </w:rPr>
        <w:t xml:space="preserve">, </w:t>
      </w:r>
      <w:r>
        <w:rPr>
          <w:rFonts w:ascii="Times New Roman" w:hAnsi="Times New Roman"/>
          <w:i/>
          <w:iCs/>
          <w:sz w:val="24"/>
          <w:szCs w:val="24"/>
        </w:rPr>
        <w:t>232</w:t>
      </w:r>
      <w:r>
        <w:rPr>
          <w:rFonts w:ascii="Times New Roman" w:hAnsi="Times New Roman"/>
          <w:sz w:val="24"/>
          <w:szCs w:val="24"/>
        </w:rPr>
        <w:t xml:space="preserve">(2), 44. </w:t>
      </w:r>
      <w:hyperlink r:id="rId33" w:history="1">
        <w:r w:rsidR="002818EF">
          <w:rPr>
            <w:rStyle w:val="Hyperlink"/>
            <w:rFonts w:ascii="Times New Roman" w:hAnsi="Times New Roman"/>
            <w:sz w:val="24"/>
            <w:szCs w:val="24"/>
          </w:rPr>
          <w:t>https://doi.org/10.1007/s11270-021-04987-7</w:t>
        </w:r>
      </w:hyperlink>
    </w:p>
    <w:p w14:paraId="73EAE265"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Pandiyan, J., Mahboob, S., </w:t>
      </w:r>
      <w:proofErr w:type="spellStart"/>
      <w:r>
        <w:rPr>
          <w:rFonts w:ascii="Times New Roman" w:hAnsi="Times New Roman"/>
          <w:sz w:val="24"/>
          <w:szCs w:val="24"/>
        </w:rPr>
        <w:t>Jagadheesan</w:t>
      </w:r>
      <w:proofErr w:type="spellEnd"/>
      <w:r>
        <w:rPr>
          <w:rFonts w:ascii="Times New Roman" w:hAnsi="Times New Roman"/>
          <w:sz w:val="24"/>
          <w:szCs w:val="24"/>
        </w:rPr>
        <w:t>, R., Elumalai, K., Krishnappa, K., Al-</w:t>
      </w:r>
      <w:proofErr w:type="spellStart"/>
      <w:r>
        <w:rPr>
          <w:rFonts w:ascii="Times New Roman" w:hAnsi="Times New Roman"/>
          <w:sz w:val="24"/>
          <w:szCs w:val="24"/>
        </w:rPr>
        <w:t>Misned</w:t>
      </w:r>
      <w:proofErr w:type="spellEnd"/>
      <w:r>
        <w:rPr>
          <w:rFonts w:ascii="Times New Roman" w:hAnsi="Times New Roman"/>
          <w:sz w:val="24"/>
          <w:szCs w:val="24"/>
        </w:rPr>
        <w:t xml:space="preserve">, F., </w:t>
      </w:r>
      <w:proofErr w:type="spellStart"/>
      <w:r>
        <w:rPr>
          <w:rFonts w:ascii="Times New Roman" w:hAnsi="Times New Roman"/>
          <w:sz w:val="24"/>
          <w:szCs w:val="24"/>
        </w:rPr>
        <w:t>Kaimkhani</w:t>
      </w:r>
      <w:proofErr w:type="spellEnd"/>
      <w:r>
        <w:rPr>
          <w:rFonts w:ascii="Times New Roman" w:hAnsi="Times New Roman"/>
          <w:sz w:val="24"/>
          <w:szCs w:val="24"/>
        </w:rPr>
        <w:t xml:space="preserve">, Z.A. &amp; Govindarajan, M. (2020). A novel approach to assess the heavy metal content in the feathers of shorebirds: A perspective of environmental research. </w:t>
      </w:r>
      <w:r>
        <w:rPr>
          <w:rFonts w:ascii="Times New Roman" w:hAnsi="Times New Roman"/>
          <w:i/>
          <w:iCs/>
          <w:sz w:val="24"/>
          <w:szCs w:val="24"/>
        </w:rPr>
        <w:t>Journal of King Saud University-Science</w:t>
      </w:r>
      <w:r>
        <w:rPr>
          <w:rFonts w:ascii="Times New Roman" w:hAnsi="Times New Roman"/>
          <w:sz w:val="24"/>
          <w:szCs w:val="24"/>
        </w:rPr>
        <w:t xml:space="preserve">, </w:t>
      </w:r>
      <w:r>
        <w:rPr>
          <w:rFonts w:ascii="Times New Roman" w:hAnsi="Times New Roman"/>
          <w:i/>
          <w:iCs/>
          <w:sz w:val="24"/>
          <w:szCs w:val="24"/>
        </w:rPr>
        <w:t>32</w:t>
      </w:r>
      <w:r>
        <w:rPr>
          <w:rFonts w:ascii="Times New Roman" w:hAnsi="Times New Roman"/>
          <w:sz w:val="24"/>
          <w:szCs w:val="24"/>
        </w:rPr>
        <w:t xml:space="preserve">(7), 3065-3071. </w:t>
      </w:r>
      <w:hyperlink r:id="rId34" w:history="1">
        <w:r w:rsidR="002818EF">
          <w:rPr>
            <w:rStyle w:val="Hyperlink"/>
            <w:rFonts w:ascii="Times New Roman" w:hAnsi="Times New Roman"/>
            <w:sz w:val="24"/>
            <w:szCs w:val="24"/>
          </w:rPr>
          <w:t>https://doi.org/10.1016/j.jksus.2020.08.014</w:t>
        </w:r>
      </w:hyperlink>
      <w:r>
        <w:rPr>
          <w:rFonts w:ascii="Times New Roman" w:hAnsi="Times New Roman"/>
          <w:sz w:val="24"/>
          <w:szCs w:val="24"/>
        </w:rPr>
        <w:t>.</w:t>
      </w:r>
    </w:p>
    <w:p w14:paraId="14FC21EC" w14:textId="77777777" w:rsidR="002818EF" w:rsidRDefault="00000000">
      <w:pPr>
        <w:pStyle w:val="ListParagraph"/>
        <w:numPr>
          <w:ilvl w:val="0"/>
          <w:numId w:val="2"/>
        </w:numPr>
        <w:rPr>
          <w:rFonts w:ascii="Times New Roman" w:hAnsi="Times New Roman"/>
          <w:sz w:val="24"/>
          <w:szCs w:val="24"/>
        </w:rPr>
      </w:pPr>
      <w:proofErr w:type="spellStart"/>
      <w:r>
        <w:rPr>
          <w:rFonts w:ascii="Times New Roman" w:hAnsi="Times New Roman"/>
          <w:sz w:val="24"/>
          <w:szCs w:val="24"/>
        </w:rPr>
        <w:t>Panseriya</w:t>
      </w:r>
      <w:proofErr w:type="spellEnd"/>
      <w:r>
        <w:rPr>
          <w:rFonts w:ascii="Times New Roman" w:hAnsi="Times New Roman"/>
          <w:sz w:val="24"/>
          <w:szCs w:val="24"/>
        </w:rPr>
        <w:t xml:space="preserve">, H. Z., Gosai, H. B., </w:t>
      </w:r>
      <w:proofErr w:type="spellStart"/>
      <w:r>
        <w:rPr>
          <w:rFonts w:ascii="Times New Roman" w:hAnsi="Times New Roman"/>
          <w:sz w:val="24"/>
          <w:szCs w:val="24"/>
        </w:rPr>
        <w:t>Sankhwal</w:t>
      </w:r>
      <w:proofErr w:type="spellEnd"/>
      <w:r>
        <w:rPr>
          <w:rFonts w:ascii="Times New Roman" w:hAnsi="Times New Roman"/>
          <w:sz w:val="24"/>
          <w:szCs w:val="24"/>
        </w:rPr>
        <w:t xml:space="preserve">, A. O., </w:t>
      </w:r>
      <w:proofErr w:type="spellStart"/>
      <w:r>
        <w:rPr>
          <w:rFonts w:ascii="Times New Roman" w:hAnsi="Times New Roman"/>
          <w:sz w:val="24"/>
          <w:szCs w:val="24"/>
        </w:rPr>
        <w:t>Sachaniya</w:t>
      </w:r>
      <w:proofErr w:type="spellEnd"/>
      <w:r>
        <w:rPr>
          <w:rFonts w:ascii="Times New Roman" w:hAnsi="Times New Roman"/>
          <w:sz w:val="24"/>
          <w:szCs w:val="24"/>
        </w:rPr>
        <w:t xml:space="preserve">, B. K., </w:t>
      </w:r>
      <w:proofErr w:type="spellStart"/>
      <w:r>
        <w:rPr>
          <w:rFonts w:ascii="Times New Roman" w:hAnsi="Times New Roman"/>
          <w:sz w:val="24"/>
          <w:szCs w:val="24"/>
        </w:rPr>
        <w:t>Gavali</w:t>
      </w:r>
      <w:proofErr w:type="spellEnd"/>
      <w:r>
        <w:rPr>
          <w:rFonts w:ascii="Times New Roman" w:hAnsi="Times New Roman"/>
          <w:sz w:val="24"/>
          <w:szCs w:val="24"/>
        </w:rPr>
        <w:t xml:space="preserve">, D. J., &amp; Dave, B. P. (2020). Distribution, speciation and risk assessment of heavy metals: </w:t>
      </w:r>
      <w:r>
        <w:rPr>
          <w:rFonts w:ascii="Times New Roman" w:hAnsi="Times New Roman"/>
          <w:sz w:val="24"/>
          <w:szCs w:val="24"/>
        </w:rPr>
        <w:lastRenderedPageBreak/>
        <w:t xml:space="preserve">geochemical exploration of Gulf of Kachchh, Gujarat, India. </w:t>
      </w:r>
      <w:r>
        <w:rPr>
          <w:rFonts w:ascii="Times New Roman" w:hAnsi="Times New Roman"/>
          <w:i/>
          <w:iCs/>
          <w:sz w:val="24"/>
          <w:szCs w:val="24"/>
        </w:rPr>
        <w:t>Environmental Earth Sciences</w:t>
      </w:r>
      <w:r>
        <w:rPr>
          <w:rFonts w:ascii="Times New Roman" w:hAnsi="Times New Roman"/>
          <w:sz w:val="24"/>
          <w:szCs w:val="24"/>
        </w:rPr>
        <w:t xml:space="preserve">, </w:t>
      </w:r>
      <w:r>
        <w:rPr>
          <w:rFonts w:ascii="Times New Roman" w:hAnsi="Times New Roman"/>
          <w:i/>
          <w:iCs/>
          <w:sz w:val="24"/>
          <w:szCs w:val="24"/>
        </w:rPr>
        <w:t>79</w:t>
      </w:r>
      <w:r>
        <w:rPr>
          <w:rFonts w:ascii="Times New Roman" w:hAnsi="Times New Roman"/>
          <w:sz w:val="24"/>
          <w:szCs w:val="24"/>
        </w:rPr>
        <w:t xml:space="preserve">(10), 213. </w:t>
      </w:r>
      <w:hyperlink r:id="rId35" w:history="1">
        <w:r w:rsidR="002818EF">
          <w:rPr>
            <w:rStyle w:val="Hyperlink"/>
            <w:rFonts w:ascii="Times New Roman" w:hAnsi="Times New Roman"/>
            <w:sz w:val="24"/>
            <w:szCs w:val="24"/>
          </w:rPr>
          <w:t>https://doi.org/10.1007/s12665-020-08972-x</w:t>
        </w:r>
      </w:hyperlink>
    </w:p>
    <w:p w14:paraId="27AE1D7F"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Prashanth, L., </w:t>
      </w:r>
      <w:proofErr w:type="spellStart"/>
      <w:r>
        <w:rPr>
          <w:rFonts w:ascii="Times New Roman" w:hAnsi="Times New Roman"/>
          <w:sz w:val="24"/>
          <w:szCs w:val="24"/>
        </w:rPr>
        <w:t>Kattapagari</w:t>
      </w:r>
      <w:proofErr w:type="spellEnd"/>
      <w:r>
        <w:rPr>
          <w:rFonts w:ascii="Times New Roman" w:hAnsi="Times New Roman"/>
          <w:sz w:val="24"/>
          <w:szCs w:val="24"/>
        </w:rPr>
        <w:t xml:space="preserve">, K. K., Chitturi, R. T., Baddam, V. R. R., &amp; Prasad, L. K. (2015). A review on role of essential trace elements in health and disease. </w:t>
      </w:r>
      <w:r>
        <w:rPr>
          <w:rFonts w:ascii="Times New Roman" w:hAnsi="Times New Roman"/>
          <w:i/>
          <w:iCs/>
          <w:sz w:val="24"/>
          <w:szCs w:val="24"/>
        </w:rPr>
        <w:t>Journal of Dr. YSR University of Health Sciences</w:t>
      </w:r>
      <w:r>
        <w:rPr>
          <w:rFonts w:ascii="Times New Roman" w:hAnsi="Times New Roman"/>
          <w:sz w:val="24"/>
          <w:szCs w:val="24"/>
        </w:rPr>
        <w:t xml:space="preserve">, </w:t>
      </w:r>
      <w:r>
        <w:rPr>
          <w:rFonts w:ascii="Times New Roman" w:hAnsi="Times New Roman"/>
          <w:i/>
          <w:iCs/>
          <w:sz w:val="24"/>
          <w:szCs w:val="24"/>
        </w:rPr>
        <w:t>4</w:t>
      </w:r>
      <w:r>
        <w:rPr>
          <w:rFonts w:ascii="Times New Roman" w:hAnsi="Times New Roman"/>
          <w:sz w:val="24"/>
          <w:szCs w:val="24"/>
        </w:rPr>
        <w:t xml:space="preserve">(2), 75-85. </w:t>
      </w:r>
      <w:hyperlink r:id="rId36" w:history="1">
        <w:r w:rsidR="002818EF">
          <w:rPr>
            <w:rStyle w:val="Hyperlink"/>
            <w:rFonts w:ascii="Times New Roman" w:hAnsi="Times New Roman"/>
            <w:sz w:val="24"/>
            <w:szCs w:val="24"/>
          </w:rPr>
          <w:t>https://doi.org/10.4103/2277-8632.158577</w:t>
        </w:r>
      </w:hyperlink>
      <w:r>
        <w:rPr>
          <w:rFonts w:ascii="Times New Roman" w:hAnsi="Times New Roman"/>
          <w:sz w:val="24"/>
          <w:szCs w:val="24"/>
        </w:rPr>
        <w:t>.</w:t>
      </w:r>
    </w:p>
    <w:p w14:paraId="5DAE64E8"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Rashed, M. N. (2001). Monitoring of environmental heavy metals in fish from Nasser Lake. </w:t>
      </w:r>
      <w:r>
        <w:rPr>
          <w:rFonts w:ascii="Times New Roman" w:hAnsi="Times New Roman"/>
          <w:i/>
          <w:iCs/>
          <w:sz w:val="24"/>
          <w:szCs w:val="24"/>
        </w:rPr>
        <w:t>Environment international</w:t>
      </w:r>
      <w:r>
        <w:rPr>
          <w:rFonts w:ascii="Times New Roman" w:hAnsi="Times New Roman"/>
          <w:sz w:val="24"/>
          <w:szCs w:val="24"/>
        </w:rPr>
        <w:t xml:space="preserve">, </w:t>
      </w:r>
      <w:r>
        <w:rPr>
          <w:rFonts w:ascii="Times New Roman" w:hAnsi="Times New Roman"/>
          <w:i/>
          <w:iCs/>
          <w:sz w:val="24"/>
          <w:szCs w:val="24"/>
        </w:rPr>
        <w:t>27</w:t>
      </w:r>
      <w:r>
        <w:rPr>
          <w:rFonts w:ascii="Times New Roman" w:hAnsi="Times New Roman"/>
          <w:sz w:val="24"/>
          <w:szCs w:val="24"/>
        </w:rPr>
        <w:t xml:space="preserve">(1), 27-33. </w:t>
      </w:r>
      <w:hyperlink r:id="rId37" w:tgtFrame="_blank" w:tooltip="Persistent link using digital object identifier" w:history="1">
        <w:r w:rsidR="002818EF">
          <w:rPr>
            <w:rStyle w:val="Hyperlink"/>
            <w:rFonts w:ascii="Times New Roman" w:hAnsi="Times New Roman"/>
            <w:sz w:val="24"/>
            <w:szCs w:val="24"/>
          </w:rPr>
          <w:t>https://doi.org/10.1016/S0160-4120(01)00050-2</w:t>
        </w:r>
      </w:hyperlink>
    </w:p>
    <w:p w14:paraId="0661F4F9"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Ray, A., Mondal, D., Chakraborty, N., &amp; Ganguly, S. (2025). Toxicity effects of hexavalent chromium on </w:t>
      </w:r>
      <w:proofErr w:type="spellStart"/>
      <w:r>
        <w:rPr>
          <w:rFonts w:ascii="Times New Roman" w:hAnsi="Times New Roman"/>
          <w:sz w:val="24"/>
          <w:szCs w:val="24"/>
        </w:rPr>
        <w:t>hematological</w:t>
      </w:r>
      <w:proofErr w:type="spellEnd"/>
      <w:r>
        <w:rPr>
          <w:rFonts w:ascii="Times New Roman" w:hAnsi="Times New Roman"/>
          <w:sz w:val="24"/>
          <w:szCs w:val="24"/>
        </w:rPr>
        <w:t xml:space="preserve">, biochemical and digestive enzyme profiles of </w:t>
      </w:r>
      <w:proofErr w:type="spellStart"/>
      <w:r>
        <w:rPr>
          <w:rFonts w:ascii="Times New Roman" w:hAnsi="Times New Roman"/>
          <w:sz w:val="24"/>
          <w:szCs w:val="24"/>
        </w:rPr>
        <w:t>Labeo</w:t>
      </w:r>
      <w:proofErr w:type="spellEnd"/>
      <w:r>
        <w:rPr>
          <w:rFonts w:ascii="Times New Roman" w:hAnsi="Times New Roman"/>
          <w:sz w:val="24"/>
          <w:szCs w:val="24"/>
        </w:rPr>
        <w:t xml:space="preserve"> </w:t>
      </w:r>
      <w:proofErr w:type="spellStart"/>
      <w:r>
        <w:rPr>
          <w:rFonts w:ascii="Times New Roman" w:hAnsi="Times New Roman"/>
          <w:sz w:val="24"/>
          <w:szCs w:val="24"/>
        </w:rPr>
        <w:t>rohita</w:t>
      </w:r>
      <w:proofErr w:type="spellEnd"/>
      <w:r>
        <w:rPr>
          <w:rFonts w:ascii="Times New Roman" w:hAnsi="Times New Roman"/>
          <w:sz w:val="24"/>
          <w:szCs w:val="24"/>
        </w:rPr>
        <w:t xml:space="preserve"> (Hamilton, 1822). </w:t>
      </w:r>
      <w:r>
        <w:rPr>
          <w:rFonts w:ascii="Times New Roman" w:hAnsi="Times New Roman"/>
          <w:i/>
          <w:iCs/>
          <w:sz w:val="24"/>
          <w:szCs w:val="24"/>
        </w:rPr>
        <w:t>Ecotoxicology</w:t>
      </w:r>
      <w:r>
        <w:rPr>
          <w:rFonts w:ascii="Times New Roman" w:hAnsi="Times New Roman"/>
          <w:sz w:val="24"/>
          <w:szCs w:val="24"/>
        </w:rPr>
        <w:t xml:space="preserve">, </w:t>
      </w:r>
      <w:r>
        <w:rPr>
          <w:rFonts w:ascii="Times New Roman" w:hAnsi="Times New Roman"/>
          <w:i/>
          <w:iCs/>
          <w:sz w:val="24"/>
          <w:szCs w:val="24"/>
        </w:rPr>
        <w:t>34</w:t>
      </w:r>
      <w:r>
        <w:rPr>
          <w:rFonts w:ascii="Times New Roman" w:hAnsi="Times New Roman"/>
          <w:sz w:val="24"/>
          <w:szCs w:val="24"/>
        </w:rPr>
        <w:t xml:space="preserve">(1), 76-88. </w:t>
      </w:r>
      <w:hyperlink r:id="rId38" w:history="1">
        <w:r w:rsidR="002818EF">
          <w:rPr>
            <w:rStyle w:val="Hyperlink"/>
            <w:rFonts w:ascii="Times New Roman" w:hAnsi="Times New Roman"/>
            <w:sz w:val="24"/>
            <w:szCs w:val="24"/>
          </w:rPr>
          <w:t>https://doi.org/10.1007/s10646-024-02815-2</w:t>
        </w:r>
      </w:hyperlink>
    </w:p>
    <w:p w14:paraId="76FF9C04" w14:textId="77777777" w:rsidR="002818EF" w:rsidRDefault="00000000">
      <w:pPr>
        <w:pStyle w:val="ListParagraph"/>
        <w:numPr>
          <w:ilvl w:val="0"/>
          <w:numId w:val="2"/>
        </w:numPr>
        <w:rPr>
          <w:rFonts w:ascii="Times New Roman" w:eastAsia="Times New Roman" w:hAnsi="Times New Roman"/>
          <w:sz w:val="24"/>
          <w:szCs w:val="24"/>
        </w:rPr>
      </w:pPr>
      <w:r>
        <w:rPr>
          <w:rFonts w:ascii="Times New Roman" w:eastAsia="Times New Roman" w:hAnsi="Times New Roman"/>
          <w:sz w:val="24"/>
          <w:szCs w:val="24"/>
        </w:rPr>
        <w:t>Santos-</w:t>
      </w:r>
      <w:proofErr w:type="spellStart"/>
      <w:r>
        <w:rPr>
          <w:rFonts w:ascii="Times New Roman" w:eastAsia="Times New Roman" w:hAnsi="Times New Roman"/>
          <w:sz w:val="24"/>
          <w:szCs w:val="24"/>
        </w:rPr>
        <w:t>Echeandía</w:t>
      </w:r>
      <w:proofErr w:type="spellEnd"/>
      <w:r>
        <w:rPr>
          <w:rFonts w:ascii="Times New Roman" w:eastAsia="Times New Roman" w:hAnsi="Times New Roman"/>
          <w:sz w:val="24"/>
          <w:szCs w:val="24"/>
        </w:rPr>
        <w:t xml:space="preserve">, J., Prego, R., &amp; </w:t>
      </w:r>
      <w:proofErr w:type="spellStart"/>
      <w:r>
        <w:rPr>
          <w:rFonts w:ascii="Times New Roman" w:eastAsia="Times New Roman" w:hAnsi="Times New Roman"/>
          <w:sz w:val="24"/>
          <w:szCs w:val="24"/>
        </w:rPr>
        <w:t>Cobelo</w:t>
      </w:r>
      <w:proofErr w:type="spellEnd"/>
      <w:r>
        <w:rPr>
          <w:rFonts w:ascii="Times New Roman" w:eastAsia="Times New Roman" w:hAnsi="Times New Roman"/>
          <w:sz w:val="24"/>
          <w:szCs w:val="24"/>
        </w:rPr>
        <w:t xml:space="preserve">-García, A. (2008). Influence of the heavy fuel spill from the Prestige tanker wreckage in the overlying seawater column levels of copper, nickel and vanadium (NE </w:t>
      </w:r>
      <w:proofErr w:type="gramStart"/>
      <w:r>
        <w:rPr>
          <w:rFonts w:ascii="Times New Roman" w:eastAsia="Times New Roman" w:hAnsi="Times New Roman"/>
          <w:sz w:val="24"/>
          <w:szCs w:val="24"/>
        </w:rPr>
        <w:t>Atlantic ocean</w:t>
      </w:r>
      <w:proofErr w:type="gramEnd"/>
      <w:r>
        <w:rPr>
          <w:rFonts w:ascii="Times New Roman" w:eastAsia="Times New Roman" w:hAnsi="Times New Roman"/>
          <w:sz w:val="24"/>
          <w:szCs w:val="24"/>
        </w:rPr>
        <w:t xml:space="preserve">). </w:t>
      </w:r>
      <w:r>
        <w:rPr>
          <w:rFonts w:ascii="Times New Roman" w:eastAsia="Times New Roman" w:hAnsi="Times New Roman"/>
          <w:i/>
          <w:iCs/>
          <w:sz w:val="24"/>
          <w:szCs w:val="24"/>
        </w:rPr>
        <w:t>Journal of Marine Systems</w:t>
      </w:r>
      <w:r>
        <w:rPr>
          <w:rFonts w:ascii="Times New Roman" w:eastAsia="Times New Roman" w:hAnsi="Times New Roman"/>
          <w:sz w:val="24"/>
          <w:szCs w:val="24"/>
        </w:rPr>
        <w:t xml:space="preserve">, </w:t>
      </w:r>
      <w:r>
        <w:rPr>
          <w:rFonts w:ascii="Times New Roman" w:eastAsia="Times New Roman" w:hAnsi="Times New Roman"/>
          <w:i/>
          <w:iCs/>
          <w:sz w:val="24"/>
          <w:szCs w:val="24"/>
        </w:rPr>
        <w:t>72</w:t>
      </w:r>
      <w:r>
        <w:rPr>
          <w:rFonts w:ascii="Times New Roman" w:eastAsia="Times New Roman" w:hAnsi="Times New Roman"/>
          <w:sz w:val="24"/>
          <w:szCs w:val="24"/>
        </w:rPr>
        <w:t xml:space="preserve">(1-4), 350-357. </w:t>
      </w:r>
      <w:hyperlink r:id="rId39" w:history="1">
        <w:r w:rsidR="002818EF">
          <w:rPr>
            <w:rStyle w:val="Hyperlink"/>
            <w:rFonts w:ascii="Times New Roman" w:eastAsia="Times New Roman" w:hAnsi="Times New Roman"/>
            <w:sz w:val="24"/>
            <w:szCs w:val="24"/>
          </w:rPr>
          <w:t>https://doi.org/10.1016/j.jmarsys.2006.12.005</w:t>
        </w:r>
      </w:hyperlink>
    </w:p>
    <w:p w14:paraId="4711420F" w14:textId="77777777" w:rsidR="002818EF" w:rsidRDefault="00000000">
      <w:pPr>
        <w:pStyle w:val="ListParagraph"/>
        <w:numPr>
          <w:ilvl w:val="0"/>
          <w:numId w:val="2"/>
        </w:numPr>
        <w:rPr>
          <w:rFonts w:ascii="Times New Roman" w:hAnsi="Times New Roman"/>
          <w:b/>
          <w:bCs/>
          <w:sz w:val="24"/>
          <w:szCs w:val="24"/>
        </w:rPr>
      </w:pPr>
      <w:r>
        <w:rPr>
          <w:rFonts w:ascii="Times New Roman" w:hAnsi="Times New Roman"/>
          <w:sz w:val="24"/>
          <w:szCs w:val="24"/>
        </w:rPr>
        <w:t xml:space="preserve">Sharma, K., Shah, G., Singhal, K., &amp; Soni, V. (2024). Comprehensive insights into the impact of oil pollution on the environment. </w:t>
      </w:r>
      <w:r>
        <w:rPr>
          <w:rFonts w:ascii="Times New Roman" w:hAnsi="Times New Roman"/>
          <w:i/>
          <w:iCs/>
          <w:sz w:val="24"/>
          <w:szCs w:val="24"/>
        </w:rPr>
        <w:t>Regional Studies in Marine Science</w:t>
      </w:r>
      <w:r>
        <w:rPr>
          <w:rFonts w:ascii="Times New Roman" w:hAnsi="Times New Roman"/>
          <w:sz w:val="24"/>
          <w:szCs w:val="24"/>
        </w:rPr>
        <w:t xml:space="preserve">, </w:t>
      </w:r>
      <w:r>
        <w:rPr>
          <w:rFonts w:ascii="Times New Roman" w:hAnsi="Times New Roman"/>
          <w:i/>
          <w:iCs/>
          <w:sz w:val="24"/>
          <w:szCs w:val="24"/>
        </w:rPr>
        <w:t>74</w:t>
      </w:r>
      <w:r>
        <w:rPr>
          <w:rFonts w:ascii="Times New Roman" w:hAnsi="Times New Roman"/>
          <w:sz w:val="24"/>
          <w:szCs w:val="24"/>
        </w:rPr>
        <w:t xml:space="preserve">, 103516. </w:t>
      </w:r>
      <w:hyperlink r:id="rId40" w:history="1">
        <w:r w:rsidR="002818EF">
          <w:rPr>
            <w:rStyle w:val="Hyperlink"/>
            <w:rFonts w:ascii="Times New Roman" w:hAnsi="Times New Roman"/>
            <w:sz w:val="24"/>
            <w:szCs w:val="24"/>
          </w:rPr>
          <w:t>https://doi.org/10.1016/j.rsma.2024.103516</w:t>
        </w:r>
      </w:hyperlink>
    </w:p>
    <w:p w14:paraId="7C2015FB"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Sharma, M., Kant, R., Sharma, A. K., &amp; Sharma, A. K. (2025). Exploring the impact of heavy metals toxicity in the aquatic ecosystem. </w:t>
      </w:r>
      <w:r>
        <w:rPr>
          <w:rFonts w:ascii="Times New Roman" w:hAnsi="Times New Roman"/>
          <w:i/>
          <w:iCs/>
          <w:sz w:val="24"/>
          <w:szCs w:val="24"/>
        </w:rPr>
        <w:t>International Journal of Energy and Water Resources</w:t>
      </w:r>
      <w:r>
        <w:rPr>
          <w:rFonts w:ascii="Times New Roman" w:hAnsi="Times New Roman"/>
          <w:sz w:val="24"/>
          <w:szCs w:val="24"/>
        </w:rPr>
        <w:t xml:space="preserve">, </w:t>
      </w:r>
      <w:r>
        <w:rPr>
          <w:rFonts w:ascii="Times New Roman" w:hAnsi="Times New Roman"/>
          <w:i/>
          <w:iCs/>
          <w:sz w:val="24"/>
          <w:szCs w:val="24"/>
        </w:rPr>
        <w:t>9</w:t>
      </w:r>
      <w:r>
        <w:rPr>
          <w:rFonts w:ascii="Times New Roman" w:hAnsi="Times New Roman"/>
          <w:sz w:val="24"/>
          <w:szCs w:val="24"/>
        </w:rPr>
        <w:t xml:space="preserve">(1), 267-280. </w:t>
      </w:r>
      <w:hyperlink r:id="rId41" w:history="1">
        <w:r w:rsidR="002818EF">
          <w:rPr>
            <w:rStyle w:val="Hyperlink"/>
            <w:rFonts w:ascii="Times New Roman" w:hAnsi="Times New Roman"/>
            <w:sz w:val="24"/>
            <w:szCs w:val="24"/>
          </w:rPr>
          <w:t>https://doi.org/10.1007/s42108-024-00284-1</w:t>
        </w:r>
      </w:hyperlink>
    </w:p>
    <w:p w14:paraId="75F84AE5"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lastRenderedPageBreak/>
        <w:t xml:space="preserve">Singh, A., Singh, D., &amp; Yadav, H. (2017). Impact and assessment of heavy metal toxicity on water quality, edible fishes and sediments in lakes: a review. </w:t>
      </w:r>
      <w:r>
        <w:rPr>
          <w:rFonts w:ascii="Times New Roman" w:hAnsi="Times New Roman"/>
          <w:i/>
          <w:iCs/>
          <w:sz w:val="24"/>
          <w:szCs w:val="24"/>
        </w:rPr>
        <w:t xml:space="preserve">Trends </w:t>
      </w:r>
      <w:proofErr w:type="spellStart"/>
      <w:r>
        <w:rPr>
          <w:rFonts w:ascii="Times New Roman" w:hAnsi="Times New Roman"/>
          <w:i/>
          <w:iCs/>
          <w:sz w:val="24"/>
          <w:szCs w:val="24"/>
        </w:rPr>
        <w:t>Biosci</w:t>
      </w:r>
      <w:proofErr w:type="spellEnd"/>
      <w:r>
        <w:rPr>
          <w:rFonts w:ascii="Times New Roman" w:hAnsi="Times New Roman"/>
          <w:sz w:val="24"/>
          <w:szCs w:val="24"/>
        </w:rPr>
        <w:t xml:space="preserve">, </w:t>
      </w:r>
      <w:r>
        <w:rPr>
          <w:rFonts w:ascii="Times New Roman" w:hAnsi="Times New Roman"/>
          <w:i/>
          <w:iCs/>
          <w:sz w:val="24"/>
          <w:szCs w:val="24"/>
        </w:rPr>
        <w:t>10</w:t>
      </w:r>
      <w:r>
        <w:rPr>
          <w:rFonts w:ascii="Times New Roman" w:hAnsi="Times New Roman"/>
          <w:sz w:val="24"/>
          <w:szCs w:val="24"/>
        </w:rPr>
        <w:t>(8), 1551-1560.</w:t>
      </w:r>
    </w:p>
    <w:p w14:paraId="515E3830" w14:textId="77777777" w:rsidR="002818EF" w:rsidRDefault="00000000">
      <w:pPr>
        <w:pStyle w:val="ListParagraph"/>
        <w:numPr>
          <w:ilvl w:val="0"/>
          <w:numId w:val="2"/>
        </w:numPr>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 xml:space="preserve">Stark, J. S., Kim, S. L., &amp; Oliver, J. S. (2014). Anthropogenic disturbance and biodiversity of marine benthic communities in Antarctica: a regional comparison. </w:t>
      </w:r>
      <w:proofErr w:type="spellStart"/>
      <w:r>
        <w:rPr>
          <w:rFonts w:ascii="Times New Roman" w:hAnsi="Times New Roman"/>
          <w:i/>
          <w:iCs/>
          <w:color w:val="222222"/>
          <w:sz w:val="24"/>
          <w:szCs w:val="24"/>
          <w:shd w:val="clear" w:color="auto" w:fill="FFFFFF"/>
        </w:rPr>
        <w:t>PloS</w:t>
      </w:r>
      <w:proofErr w:type="spellEnd"/>
      <w:r>
        <w:rPr>
          <w:rFonts w:ascii="Times New Roman" w:hAnsi="Times New Roman"/>
          <w:i/>
          <w:iCs/>
          <w:color w:val="222222"/>
          <w:sz w:val="24"/>
          <w:szCs w:val="24"/>
          <w:shd w:val="clear" w:color="auto" w:fill="FFFFFF"/>
        </w:rPr>
        <w:t xml:space="preserve"> one</w:t>
      </w:r>
      <w:r>
        <w:rPr>
          <w:rFonts w:ascii="Times New Roman" w:hAnsi="Times New Roman"/>
          <w:color w:val="222222"/>
          <w:sz w:val="24"/>
          <w:szCs w:val="24"/>
          <w:shd w:val="clear" w:color="auto" w:fill="FFFFFF"/>
        </w:rPr>
        <w:t xml:space="preserve">, </w:t>
      </w:r>
      <w:r>
        <w:rPr>
          <w:rFonts w:ascii="Times New Roman" w:hAnsi="Times New Roman"/>
          <w:i/>
          <w:iCs/>
          <w:color w:val="222222"/>
          <w:sz w:val="24"/>
          <w:szCs w:val="24"/>
          <w:shd w:val="clear" w:color="auto" w:fill="FFFFFF"/>
        </w:rPr>
        <w:t>9</w:t>
      </w:r>
      <w:r>
        <w:rPr>
          <w:rFonts w:ascii="Times New Roman" w:hAnsi="Times New Roman"/>
          <w:color w:val="222222"/>
          <w:sz w:val="24"/>
          <w:szCs w:val="24"/>
          <w:shd w:val="clear" w:color="auto" w:fill="FFFFFF"/>
        </w:rPr>
        <w:t xml:space="preserve">(6), e98802. </w:t>
      </w:r>
      <w:hyperlink r:id="rId42" w:history="1">
        <w:r w:rsidR="002818EF">
          <w:rPr>
            <w:rStyle w:val="Hyperlink"/>
            <w:rFonts w:ascii="Times New Roman" w:hAnsi="Times New Roman"/>
            <w:sz w:val="24"/>
            <w:szCs w:val="24"/>
            <w:shd w:val="clear" w:color="auto" w:fill="FFFFFF"/>
          </w:rPr>
          <w:t>https://doi.org/10.1371/journal.pone.0098802</w:t>
        </w:r>
      </w:hyperlink>
    </w:p>
    <w:p w14:paraId="269E732A" w14:textId="77777777" w:rsidR="002818EF" w:rsidRDefault="00000000">
      <w:pPr>
        <w:pStyle w:val="ListParagraph"/>
        <w:numPr>
          <w:ilvl w:val="0"/>
          <w:numId w:val="2"/>
        </w:numPr>
        <w:rPr>
          <w:rFonts w:ascii="Times New Roman" w:hAnsi="Times New Roman"/>
          <w:sz w:val="24"/>
          <w:szCs w:val="24"/>
        </w:rPr>
      </w:pPr>
      <w:r>
        <w:rPr>
          <w:rFonts w:ascii="Times New Roman" w:eastAsia="Times New Roman" w:hAnsi="Times New Roman"/>
          <w:color w:val="000000"/>
          <w:sz w:val="24"/>
          <w:szCs w:val="24"/>
        </w:rPr>
        <w:t xml:space="preserve">Steffy, D. A., Nichols, A. C., Morgan, L. J., &amp; Gibbs, R. (2013). Evidence that the Deepwater Horizon oil spill caused a change in the nickel, chromium, and lead average seasonal concentrations occurring in sea bottom sediment collected from the eastern Gulf of Mexico continental shelf between the years 2009 and 2011. </w:t>
      </w:r>
      <w:r>
        <w:rPr>
          <w:rFonts w:ascii="Times New Roman" w:eastAsia="Times New Roman" w:hAnsi="Times New Roman"/>
          <w:i/>
          <w:iCs/>
          <w:color w:val="000000"/>
          <w:sz w:val="24"/>
          <w:szCs w:val="24"/>
        </w:rPr>
        <w:t>Water, Air, &amp; Soil Pollution</w:t>
      </w:r>
      <w:r>
        <w:rPr>
          <w:rFonts w:ascii="Times New Roman" w:eastAsia="Times New Roman" w:hAnsi="Times New Roman"/>
          <w:color w:val="000000"/>
          <w:sz w:val="24"/>
          <w:szCs w:val="24"/>
        </w:rPr>
        <w:t xml:space="preserve">, </w:t>
      </w:r>
      <w:r>
        <w:rPr>
          <w:rFonts w:ascii="Times New Roman" w:eastAsia="Times New Roman" w:hAnsi="Times New Roman"/>
          <w:i/>
          <w:iCs/>
          <w:color w:val="000000"/>
          <w:sz w:val="24"/>
          <w:szCs w:val="24"/>
        </w:rPr>
        <w:t>224</w:t>
      </w:r>
      <w:r>
        <w:rPr>
          <w:rFonts w:ascii="Times New Roman" w:eastAsia="Times New Roman" w:hAnsi="Times New Roman"/>
          <w:color w:val="000000"/>
          <w:sz w:val="24"/>
          <w:szCs w:val="24"/>
        </w:rPr>
        <w:t xml:space="preserve">(11), 1756. </w:t>
      </w:r>
      <w:hyperlink r:id="rId43" w:history="1">
        <w:r w:rsidR="002818EF">
          <w:rPr>
            <w:rStyle w:val="Hyperlink"/>
            <w:rFonts w:ascii="Times New Roman" w:hAnsi="Times New Roman"/>
            <w:sz w:val="24"/>
            <w:szCs w:val="24"/>
          </w:rPr>
          <w:t>https://doi.org/10.1007/s11270-013-1756-1</w:t>
        </w:r>
      </w:hyperlink>
    </w:p>
    <w:p w14:paraId="27B4D10D" w14:textId="77777777" w:rsidR="002818EF" w:rsidRDefault="00000000">
      <w:pPr>
        <w:pStyle w:val="pdq2pgselectionanchorcontainer"/>
        <w:numPr>
          <w:ilvl w:val="0"/>
          <w:numId w:val="2"/>
        </w:numPr>
        <w:spacing w:line="480" w:lineRule="auto"/>
      </w:pPr>
      <w:r>
        <w:t xml:space="preserve">Tarasco, M., </w:t>
      </w:r>
      <w:proofErr w:type="spellStart"/>
      <w:r>
        <w:t>Cardeira</w:t>
      </w:r>
      <w:proofErr w:type="spellEnd"/>
      <w:r>
        <w:t xml:space="preserve">, J., Viegas, M. N., Caria, J., Martins, G., </w:t>
      </w:r>
      <w:proofErr w:type="spellStart"/>
      <w:r>
        <w:t>Gavaia</w:t>
      </w:r>
      <w:proofErr w:type="spellEnd"/>
      <w:r>
        <w:t xml:space="preserve">, P. J., Cancela, M. L., &amp; </w:t>
      </w:r>
      <w:proofErr w:type="spellStart"/>
      <w:r>
        <w:t>Laizé</w:t>
      </w:r>
      <w:proofErr w:type="spellEnd"/>
      <w:r>
        <w:t xml:space="preserve">, V. (2019). Anti-osteogenic activity of cadmium in zebrafish. </w:t>
      </w:r>
      <w:r>
        <w:rPr>
          <w:rStyle w:val="Emphasis"/>
        </w:rPr>
        <w:t>Fishes, 4</w:t>
      </w:r>
      <w:r>
        <w:t xml:space="preserve">(1), 11. </w:t>
      </w:r>
      <w:hyperlink r:id="rId44" w:tgtFrame="_new" w:history="1">
        <w:r w:rsidR="002818EF">
          <w:rPr>
            <w:rStyle w:val="Hyperlink"/>
          </w:rPr>
          <w:t>https://doi.org/10.3390/fishes4010011</w:t>
        </w:r>
      </w:hyperlink>
    </w:p>
    <w:p w14:paraId="5EC49B70"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Tomlinson, D. L., Wilson, J. G., Harris, C. R., &amp; Jeffrey, D. W. (1980). Problems in the assessment of heavy-metal levels in estuaries and the formation of a pollution index. </w:t>
      </w:r>
      <w:proofErr w:type="spellStart"/>
      <w:r>
        <w:rPr>
          <w:rFonts w:ascii="Times New Roman" w:hAnsi="Times New Roman"/>
          <w:i/>
          <w:iCs/>
          <w:sz w:val="24"/>
          <w:szCs w:val="24"/>
        </w:rPr>
        <w:t>Helgoländer</w:t>
      </w:r>
      <w:proofErr w:type="spellEnd"/>
      <w:r>
        <w:rPr>
          <w:rFonts w:ascii="Times New Roman" w:hAnsi="Times New Roman"/>
          <w:i/>
          <w:iCs/>
          <w:sz w:val="24"/>
          <w:szCs w:val="24"/>
        </w:rPr>
        <w:t xml:space="preserve"> </w:t>
      </w:r>
      <w:proofErr w:type="spellStart"/>
      <w:r>
        <w:rPr>
          <w:rFonts w:ascii="Times New Roman" w:hAnsi="Times New Roman"/>
          <w:i/>
          <w:iCs/>
          <w:sz w:val="24"/>
          <w:szCs w:val="24"/>
        </w:rPr>
        <w:t>meeresuntersuchungen</w:t>
      </w:r>
      <w:proofErr w:type="spellEnd"/>
      <w:r>
        <w:rPr>
          <w:rFonts w:ascii="Times New Roman" w:hAnsi="Times New Roman"/>
          <w:sz w:val="24"/>
          <w:szCs w:val="24"/>
        </w:rPr>
        <w:t xml:space="preserve">, </w:t>
      </w:r>
      <w:r>
        <w:rPr>
          <w:rFonts w:ascii="Times New Roman" w:hAnsi="Times New Roman"/>
          <w:i/>
          <w:iCs/>
          <w:sz w:val="24"/>
          <w:szCs w:val="24"/>
        </w:rPr>
        <w:t>33</w:t>
      </w:r>
      <w:r>
        <w:rPr>
          <w:rFonts w:ascii="Times New Roman" w:hAnsi="Times New Roman"/>
          <w:sz w:val="24"/>
          <w:szCs w:val="24"/>
        </w:rPr>
        <w:t xml:space="preserve">(1), 566-575. </w:t>
      </w:r>
      <w:hyperlink r:id="rId45" w:history="1">
        <w:r w:rsidR="002818EF">
          <w:rPr>
            <w:rStyle w:val="Hyperlink"/>
            <w:rFonts w:ascii="Times New Roman" w:hAnsi="Times New Roman"/>
            <w:sz w:val="24"/>
            <w:szCs w:val="24"/>
          </w:rPr>
          <w:t>https://doi.org/10.1007/BF02414780</w:t>
        </w:r>
      </w:hyperlink>
    </w:p>
    <w:p w14:paraId="378C0EF9" w14:textId="77777777" w:rsidR="002818EF" w:rsidRDefault="00000000">
      <w:pPr>
        <w:pStyle w:val="ListParagraph"/>
        <w:numPr>
          <w:ilvl w:val="0"/>
          <w:numId w:val="2"/>
        </w:numPr>
        <w:rPr>
          <w:rFonts w:ascii="Times New Roman" w:hAnsi="Times New Roman"/>
          <w:b/>
          <w:bCs/>
          <w:sz w:val="24"/>
          <w:szCs w:val="24"/>
        </w:rPr>
      </w:pPr>
      <w:proofErr w:type="spellStart"/>
      <w:r>
        <w:rPr>
          <w:rFonts w:ascii="Times New Roman" w:hAnsi="Times New Roman"/>
          <w:sz w:val="24"/>
          <w:szCs w:val="24"/>
        </w:rPr>
        <w:t>Turekian</w:t>
      </w:r>
      <w:proofErr w:type="spellEnd"/>
      <w:r>
        <w:rPr>
          <w:rFonts w:ascii="Times New Roman" w:hAnsi="Times New Roman"/>
          <w:sz w:val="24"/>
          <w:szCs w:val="24"/>
        </w:rPr>
        <w:t xml:space="preserve">, K. K., &amp; </w:t>
      </w:r>
      <w:proofErr w:type="spellStart"/>
      <w:r>
        <w:rPr>
          <w:rFonts w:ascii="Times New Roman" w:hAnsi="Times New Roman"/>
          <w:sz w:val="24"/>
          <w:szCs w:val="24"/>
        </w:rPr>
        <w:t>Wedepohl</w:t>
      </w:r>
      <w:proofErr w:type="spellEnd"/>
      <w:r>
        <w:rPr>
          <w:rFonts w:ascii="Times New Roman" w:hAnsi="Times New Roman"/>
          <w:sz w:val="24"/>
          <w:szCs w:val="24"/>
        </w:rPr>
        <w:t xml:space="preserve">, K. H. (1961). Distribution of the elements in some major units of the earth's crust. </w:t>
      </w:r>
      <w:r>
        <w:rPr>
          <w:rFonts w:ascii="Times New Roman" w:hAnsi="Times New Roman"/>
          <w:i/>
          <w:iCs/>
          <w:sz w:val="24"/>
          <w:szCs w:val="24"/>
        </w:rPr>
        <w:t>Geological society of America bulletin</w:t>
      </w:r>
      <w:r>
        <w:rPr>
          <w:rFonts w:ascii="Times New Roman" w:hAnsi="Times New Roman"/>
          <w:sz w:val="24"/>
          <w:szCs w:val="24"/>
        </w:rPr>
        <w:t xml:space="preserve">, </w:t>
      </w:r>
      <w:r>
        <w:rPr>
          <w:rFonts w:ascii="Times New Roman" w:hAnsi="Times New Roman"/>
          <w:i/>
          <w:iCs/>
          <w:sz w:val="24"/>
          <w:szCs w:val="24"/>
        </w:rPr>
        <w:t>72</w:t>
      </w:r>
      <w:r>
        <w:rPr>
          <w:rFonts w:ascii="Times New Roman" w:hAnsi="Times New Roman"/>
          <w:sz w:val="24"/>
          <w:szCs w:val="24"/>
        </w:rPr>
        <w:t xml:space="preserve">(2), 175-192. </w:t>
      </w:r>
      <w:hyperlink r:id="rId46" w:tgtFrame="_blank" w:history="1">
        <w:r w:rsidR="002818EF">
          <w:rPr>
            <w:rStyle w:val="Hyperlink"/>
            <w:rFonts w:ascii="Times New Roman" w:hAnsi="Times New Roman"/>
            <w:sz w:val="24"/>
            <w:szCs w:val="24"/>
          </w:rPr>
          <w:t>https://doi.org/10.1130/0016-7606(1961)72[175:DOTEIS]2.0.CO;2</w:t>
        </w:r>
      </w:hyperlink>
    </w:p>
    <w:p w14:paraId="132746E5" w14:textId="77777777" w:rsidR="002818EF" w:rsidRDefault="00000000">
      <w:pPr>
        <w:pStyle w:val="ListParagraph"/>
        <w:numPr>
          <w:ilvl w:val="0"/>
          <w:numId w:val="2"/>
        </w:numPr>
        <w:rPr>
          <w:rFonts w:ascii="Times New Roman" w:hAnsi="Times New Roman"/>
          <w:sz w:val="24"/>
          <w:szCs w:val="24"/>
          <w:lang w:val="en-US"/>
        </w:rPr>
      </w:pPr>
      <w:r>
        <w:rPr>
          <w:rFonts w:ascii="Times New Roman" w:hAnsi="Times New Roman"/>
          <w:color w:val="222222"/>
          <w:sz w:val="24"/>
          <w:szCs w:val="24"/>
          <w:shd w:val="clear" w:color="auto" w:fill="FFFFFF"/>
        </w:rPr>
        <w:t xml:space="preserve">Velusamy, A., Kumar, P. S., Ram, A., &amp; Chinnadurai, S. (2014). Bioaccumulation of heavy metals in commercially important marine fishes from Mumbai Harbor, India. </w:t>
      </w:r>
      <w:r>
        <w:rPr>
          <w:rFonts w:ascii="Times New Roman" w:hAnsi="Times New Roman"/>
          <w:i/>
          <w:iCs/>
          <w:color w:val="222222"/>
          <w:sz w:val="24"/>
          <w:szCs w:val="24"/>
          <w:shd w:val="clear" w:color="auto" w:fill="FFFFFF"/>
        </w:rPr>
        <w:t>Marine pollution bulletin</w:t>
      </w:r>
      <w:r>
        <w:rPr>
          <w:rFonts w:ascii="Times New Roman" w:hAnsi="Times New Roman"/>
          <w:color w:val="222222"/>
          <w:sz w:val="24"/>
          <w:szCs w:val="24"/>
          <w:shd w:val="clear" w:color="auto" w:fill="FFFFFF"/>
        </w:rPr>
        <w:t xml:space="preserve">, </w:t>
      </w:r>
      <w:r>
        <w:rPr>
          <w:rFonts w:ascii="Times New Roman" w:hAnsi="Times New Roman"/>
          <w:i/>
          <w:iCs/>
          <w:color w:val="222222"/>
          <w:sz w:val="24"/>
          <w:szCs w:val="24"/>
          <w:shd w:val="clear" w:color="auto" w:fill="FFFFFF"/>
        </w:rPr>
        <w:t>81</w:t>
      </w:r>
      <w:r>
        <w:rPr>
          <w:rFonts w:ascii="Times New Roman" w:hAnsi="Times New Roman"/>
          <w:color w:val="222222"/>
          <w:sz w:val="24"/>
          <w:szCs w:val="24"/>
          <w:shd w:val="clear" w:color="auto" w:fill="FFFFFF"/>
        </w:rPr>
        <w:t xml:space="preserve">(1), 218-224. </w:t>
      </w:r>
    </w:p>
    <w:p w14:paraId="64D769E6" w14:textId="77777777" w:rsidR="002818EF" w:rsidRDefault="002818EF">
      <w:pPr>
        <w:pStyle w:val="ListParagraph"/>
        <w:rPr>
          <w:rFonts w:ascii="Times New Roman" w:hAnsi="Times New Roman"/>
          <w:sz w:val="24"/>
          <w:szCs w:val="24"/>
          <w:lang w:val="en-US"/>
        </w:rPr>
      </w:pPr>
      <w:hyperlink r:id="rId47" w:tgtFrame="_blank" w:history="1">
        <w:r>
          <w:rPr>
            <w:rStyle w:val="Hyperlink"/>
            <w:rFonts w:ascii="Times New Roman" w:hAnsi="Times New Roman"/>
            <w:sz w:val="24"/>
            <w:szCs w:val="24"/>
            <w:shd w:val="clear" w:color="auto" w:fill="FFFFFF"/>
          </w:rPr>
          <w:t>https://doi.org/10.1016/j.marpolbul.2014.01.049</w:t>
        </w:r>
      </w:hyperlink>
    </w:p>
    <w:p w14:paraId="37068AED" w14:textId="77777777" w:rsidR="002818EF" w:rsidRDefault="00000000">
      <w:pPr>
        <w:pStyle w:val="ListParagraph"/>
        <w:numPr>
          <w:ilvl w:val="0"/>
          <w:numId w:val="2"/>
        </w:numPr>
        <w:rPr>
          <w:rFonts w:ascii="Times New Roman" w:hAnsi="Times New Roman"/>
          <w:sz w:val="24"/>
          <w:szCs w:val="24"/>
        </w:rPr>
      </w:pPr>
      <w:proofErr w:type="spellStart"/>
      <w:r>
        <w:rPr>
          <w:rFonts w:ascii="Times New Roman" w:hAnsi="Times New Roman"/>
          <w:color w:val="222222"/>
          <w:sz w:val="24"/>
          <w:szCs w:val="24"/>
          <w:shd w:val="clear" w:color="auto" w:fill="FFFFFF"/>
        </w:rPr>
        <w:lastRenderedPageBreak/>
        <w:t>Vetrimurugan</w:t>
      </w:r>
      <w:proofErr w:type="spellEnd"/>
      <w:r>
        <w:rPr>
          <w:rFonts w:ascii="Times New Roman" w:hAnsi="Times New Roman"/>
          <w:color w:val="222222"/>
          <w:sz w:val="24"/>
          <w:szCs w:val="24"/>
          <w:shd w:val="clear" w:color="auto" w:fill="FFFFFF"/>
        </w:rPr>
        <w:t xml:space="preserve">, E., Shruti, V. C., Jonathan, M. P., Roy, P. D., Sarkar, S. K., Rawlins, B. K., &amp; Villegas, L. E. C. (2019). Comprehensive study on metal contents and their ecological risks in beach sediments of KwaZulu-Natal province, South Africa. </w:t>
      </w:r>
      <w:r>
        <w:rPr>
          <w:rFonts w:ascii="Times New Roman" w:hAnsi="Times New Roman"/>
          <w:i/>
          <w:iCs/>
          <w:color w:val="222222"/>
          <w:sz w:val="24"/>
          <w:szCs w:val="24"/>
          <w:shd w:val="clear" w:color="auto" w:fill="FFFFFF"/>
        </w:rPr>
        <w:t>Marine pollution bulletin</w:t>
      </w:r>
      <w:r>
        <w:rPr>
          <w:rFonts w:ascii="Times New Roman" w:hAnsi="Times New Roman"/>
          <w:color w:val="222222"/>
          <w:sz w:val="24"/>
          <w:szCs w:val="24"/>
          <w:shd w:val="clear" w:color="auto" w:fill="FFFFFF"/>
        </w:rPr>
        <w:t xml:space="preserve">, </w:t>
      </w:r>
      <w:r>
        <w:rPr>
          <w:rFonts w:ascii="Times New Roman" w:hAnsi="Times New Roman"/>
          <w:i/>
          <w:iCs/>
          <w:color w:val="222222"/>
          <w:sz w:val="24"/>
          <w:szCs w:val="24"/>
          <w:shd w:val="clear" w:color="auto" w:fill="FFFFFF"/>
        </w:rPr>
        <w:t>149</w:t>
      </w:r>
      <w:r>
        <w:rPr>
          <w:rFonts w:ascii="Times New Roman" w:hAnsi="Times New Roman"/>
          <w:color w:val="222222"/>
          <w:sz w:val="24"/>
          <w:szCs w:val="24"/>
          <w:shd w:val="clear" w:color="auto" w:fill="FFFFFF"/>
        </w:rPr>
        <w:t xml:space="preserve">, 110555. </w:t>
      </w:r>
      <w:hyperlink r:id="rId48" w:tgtFrame="_blank" w:tooltip="Persistent link using digital object identifier" w:history="1">
        <w:r w:rsidR="002818EF">
          <w:rPr>
            <w:rStyle w:val="Hyperlink"/>
            <w:rFonts w:ascii="Times New Roman" w:hAnsi="Times New Roman"/>
            <w:sz w:val="24"/>
            <w:szCs w:val="24"/>
            <w:shd w:val="clear" w:color="auto" w:fill="FFFFFF"/>
          </w:rPr>
          <w:t>https://doi.org/10.1016/j.marpolbul.2019.110555</w:t>
        </w:r>
      </w:hyperlink>
    </w:p>
    <w:p w14:paraId="110C6EEE"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Vergilio, C. S., Moreira, R. G., Carvalho, C. E. V., &amp; Melo, E. J. T. (2015). Evolution of cadmium effects in the testis and sperm of the tropical fish </w:t>
      </w:r>
      <w:proofErr w:type="spellStart"/>
      <w:r>
        <w:rPr>
          <w:rFonts w:ascii="Times New Roman" w:hAnsi="Times New Roman"/>
          <w:i/>
          <w:iCs/>
          <w:sz w:val="24"/>
          <w:szCs w:val="24"/>
        </w:rPr>
        <w:t>Gymnotus</w:t>
      </w:r>
      <w:proofErr w:type="spellEnd"/>
      <w:r>
        <w:rPr>
          <w:rFonts w:ascii="Times New Roman" w:hAnsi="Times New Roman"/>
          <w:i/>
          <w:iCs/>
          <w:sz w:val="24"/>
          <w:szCs w:val="24"/>
        </w:rPr>
        <w:t xml:space="preserve"> </w:t>
      </w:r>
      <w:proofErr w:type="spellStart"/>
      <w:r>
        <w:rPr>
          <w:rFonts w:ascii="Times New Roman" w:hAnsi="Times New Roman"/>
          <w:i/>
          <w:iCs/>
          <w:sz w:val="24"/>
          <w:szCs w:val="24"/>
        </w:rPr>
        <w:t>carapo</w:t>
      </w:r>
      <w:proofErr w:type="spellEnd"/>
      <w:r>
        <w:rPr>
          <w:rFonts w:ascii="Times New Roman" w:hAnsi="Times New Roman"/>
          <w:sz w:val="24"/>
          <w:szCs w:val="24"/>
        </w:rPr>
        <w:t xml:space="preserve">. </w:t>
      </w:r>
      <w:r>
        <w:rPr>
          <w:rFonts w:ascii="Times New Roman" w:hAnsi="Times New Roman"/>
          <w:i/>
          <w:iCs/>
          <w:sz w:val="24"/>
          <w:szCs w:val="24"/>
        </w:rPr>
        <w:t>Tissue and Cell, 47</w:t>
      </w:r>
      <w:r>
        <w:rPr>
          <w:rFonts w:ascii="Times New Roman" w:hAnsi="Times New Roman"/>
          <w:sz w:val="24"/>
          <w:szCs w:val="24"/>
        </w:rPr>
        <w:t xml:space="preserve">(2), 132–139. </w:t>
      </w:r>
      <w:hyperlink r:id="rId49" w:tgtFrame="_new" w:history="1">
        <w:r w:rsidR="002818EF">
          <w:rPr>
            <w:rStyle w:val="Hyperlink"/>
            <w:rFonts w:ascii="Times New Roman" w:hAnsi="Times New Roman"/>
            <w:sz w:val="24"/>
            <w:szCs w:val="24"/>
          </w:rPr>
          <w:t>https://doi.org/10.1016/j.tice.2015.02.001</w:t>
        </w:r>
      </w:hyperlink>
    </w:p>
    <w:p w14:paraId="25086938"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Vinanthi Rajalakshmi, K. S., Liu, W.-C., </w:t>
      </w:r>
      <w:proofErr w:type="spellStart"/>
      <w:r>
        <w:rPr>
          <w:rFonts w:ascii="Times New Roman" w:hAnsi="Times New Roman"/>
          <w:sz w:val="24"/>
          <w:szCs w:val="24"/>
        </w:rPr>
        <w:t>Balamuralikrishnan</w:t>
      </w:r>
      <w:proofErr w:type="spellEnd"/>
      <w:r>
        <w:rPr>
          <w:rFonts w:ascii="Times New Roman" w:hAnsi="Times New Roman"/>
          <w:sz w:val="24"/>
          <w:szCs w:val="24"/>
        </w:rPr>
        <w:t xml:space="preserve">, B., </w:t>
      </w:r>
      <w:proofErr w:type="spellStart"/>
      <w:r>
        <w:rPr>
          <w:rFonts w:ascii="Times New Roman" w:hAnsi="Times New Roman"/>
          <w:sz w:val="24"/>
          <w:szCs w:val="24"/>
        </w:rPr>
        <w:t>Meyyazhagan</w:t>
      </w:r>
      <w:proofErr w:type="spellEnd"/>
      <w:r>
        <w:rPr>
          <w:rFonts w:ascii="Times New Roman" w:hAnsi="Times New Roman"/>
          <w:sz w:val="24"/>
          <w:szCs w:val="24"/>
        </w:rPr>
        <w:t xml:space="preserve">, A., Sattanathan, G., Pappuswamy, M., Joseph, K. S., Paari, K. A., &amp; Lee, J.-W. (2023). Cadmium as an endocrine disruptor that hinders the reproductive and developmental pathways in freshwater fish: A review. </w:t>
      </w:r>
      <w:r>
        <w:rPr>
          <w:rFonts w:ascii="Times New Roman" w:hAnsi="Times New Roman"/>
          <w:i/>
          <w:iCs/>
          <w:sz w:val="24"/>
          <w:szCs w:val="24"/>
        </w:rPr>
        <w:t>Fishes, 8</w:t>
      </w:r>
      <w:r>
        <w:rPr>
          <w:rFonts w:ascii="Times New Roman" w:hAnsi="Times New Roman"/>
          <w:sz w:val="24"/>
          <w:szCs w:val="24"/>
        </w:rPr>
        <w:t xml:space="preserve">(12), 589. </w:t>
      </w:r>
      <w:hyperlink r:id="rId50" w:history="1">
        <w:r w:rsidR="002818EF">
          <w:rPr>
            <w:rStyle w:val="Hyperlink"/>
            <w:rFonts w:ascii="Times New Roman" w:hAnsi="Times New Roman"/>
            <w:sz w:val="24"/>
            <w:szCs w:val="24"/>
          </w:rPr>
          <w:t>https://doi.org/10.3390/fishes8120589</w:t>
        </w:r>
      </w:hyperlink>
    </w:p>
    <w:p w14:paraId="4EB94B21" w14:textId="77777777" w:rsidR="002818EF" w:rsidRDefault="00000000">
      <w:pPr>
        <w:pStyle w:val="ListParagraph"/>
        <w:numPr>
          <w:ilvl w:val="0"/>
          <w:numId w:val="2"/>
        </w:numPr>
        <w:rPr>
          <w:rFonts w:ascii="Times New Roman" w:hAnsi="Times New Roman"/>
          <w:sz w:val="24"/>
          <w:szCs w:val="24"/>
        </w:rPr>
      </w:pPr>
      <w:bookmarkStart w:id="9" w:name="_Hlk191288044"/>
      <w:r>
        <w:rPr>
          <w:rFonts w:ascii="Times New Roman" w:hAnsi="Times New Roman"/>
          <w:sz w:val="24"/>
          <w:szCs w:val="24"/>
        </w:rPr>
        <w:t xml:space="preserve">Vincy, M. V., Rajan, B., &amp; Pradeep Kumar, A. P. (2012). Water quality assessment of a tropical wetland ecosystem with special reference to backwater tourism, Kerala, South India. </w:t>
      </w:r>
      <w:r>
        <w:rPr>
          <w:rFonts w:ascii="Times New Roman" w:hAnsi="Times New Roman"/>
          <w:i/>
          <w:iCs/>
          <w:sz w:val="24"/>
          <w:szCs w:val="24"/>
        </w:rPr>
        <w:t>International Research Journal of Environment Sciences</w:t>
      </w:r>
      <w:r>
        <w:rPr>
          <w:rFonts w:ascii="Times New Roman" w:hAnsi="Times New Roman"/>
          <w:sz w:val="24"/>
          <w:szCs w:val="24"/>
        </w:rPr>
        <w:t xml:space="preserve">, </w:t>
      </w:r>
      <w:r>
        <w:rPr>
          <w:rFonts w:ascii="Times New Roman" w:hAnsi="Times New Roman"/>
          <w:i/>
          <w:iCs/>
          <w:sz w:val="24"/>
          <w:szCs w:val="24"/>
        </w:rPr>
        <w:t>1</w:t>
      </w:r>
      <w:r>
        <w:rPr>
          <w:rFonts w:ascii="Times New Roman" w:hAnsi="Times New Roman"/>
          <w:sz w:val="24"/>
          <w:szCs w:val="24"/>
        </w:rPr>
        <w:t>(5), 62-68.</w:t>
      </w:r>
      <w:bookmarkEnd w:id="9"/>
    </w:p>
    <w:p w14:paraId="35841D43"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Wang, Q., Chen, M., Shan, G., Chen, P., Cui, S., Yi, S., &amp; Zhu, L. (2017). Bioaccumulation and biomagnification of emerging bisphenol analogues in aquatic organisms from </w:t>
      </w:r>
      <w:proofErr w:type="spellStart"/>
      <w:r>
        <w:rPr>
          <w:rFonts w:ascii="Times New Roman" w:hAnsi="Times New Roman"/>
          <w:sz w:val="24"/>
          <w:szCs w:val="24"/>
        </w:rPr>
        <w:t>Taihu</w:t>
      </w:r>
      <w:proofErr w:type="spellEnd"/>
      <w:r>
        <w:rPr>
          <w:rFonts w:ascii="Times New Roman" w:hAnsi="Times New Roman"/>
          <w:sz w:val="24"/>
          <w:szCs w:val="24"/>
        </w:rPr>
        <w:t xml:space="preserve"> Lake, China. </w:t>
      </w:r>
      <w:r>
        <w:rPr>
          <w:rFonts w:ascii="Times New Roman" w:hAnsi="Times New Roman"/>
          <w:i/>
          <w:iCs/>
          <w:sz w:val="24"/>
          <w:szCs w:val="24"/>
        </w:rPr>
        <w:t>Science of the Total Environment</w:t>
      </w:r>
      <w:r>
        <w:rPr>
          <w:rFonts w:ascii="Times New Roman" w:hAnsi="Times New Roman"/>
          <w:sz w:val="24"/>
          <w:szCs w:val="24"/>
        </w:rPr>
        <w:t xml:space="preserve">, </w:t>
      </w:r>
      <w:r>
        <w:rPr>
          <w:rFonts w:ascii="Times New Roman" w:hAnsi="Times New Roman"/>
          <w:i/>
          <w:iCs/>
          <w:sz w:val="24"/>
          <w:szCs w:val="24"/>
        </w:rPr>
        <w:t>598</w:t>
      </w:r>
      <w:r>
        <w:rPr>
          <w:rFonts w:ascii="Times New Roman" w:hAnsi="Times New Roman"/>
          <w:sz w:val="24"/>
          <w:szCs w:val="24"/>
        </w:rPr>
        <w:t xml:space="preserve">, 814-820. </w:t>
      </w:r>
      <w:hyperlink r:id="rId51" w:tgtFrame="_blank" w:tooltip="Persistent link using digital object identifier" w:history="1">
        <w:r w:rsidR="002818EF">
          <w:rPr>
            <w:rStyle w:val="Hyperlink"/>
            <w:rFonts w:ascii="Times New Roman" w:hAnsi="Times New Roman"/>
            <w:sz w:val="24"/>
            <w:szCs w:val="24"/>
          </w:rPr>
          <w:t>https://doi.org/10.1016/j.scitotenv.2017.04.167</w:t>
        </w:r>
      </w:hyperlink>
    </w:p>
    <w:p w14:paraId="286358E0" w14:textId="77777777" w:rsidR="002818EF" w:rsidRDefault="00000000">
      <w:pPr>
        <w:pStyle w:val="ListParagraph"/>
        <w:numPr>
          <w:ilvl w:val="0"/>
          <w:numId w:val="2"/>
        </w:numPr>
        <w:rPr>
          <w:rFonts w:ascii="Times New Roman" w:hAnsi="Times New Roman"/>
          <w:sz w:val="24"/>
          <w:szCs w:val="24"/>
        </w:rPr>
      </w:pPr>
      <w:bookmarkStart w:id="10" w:name="_Hlk194070636"/>
      <w:r>
        <w:rPr>
          <w:rFonts w:ascii="Times New Roman" w:hAnsi="Times New Roman"/>
          <w:sz w:val="24"/>
          <w:szCs w:val="24"/>
        </w:rPr>
        <w:t xml:space="preserve">Wang, Q., &amp; Yang, Z. (2016). Industrial water pollution, water environment treatment, and health risks in China. </w:t>
      </w:r>
      <w:r>
        <w:rPr>
          <w:rFonts w:ascii="Times New Roman" w:hAnsi="Times New Roman"/>
          <w:i/>
          <w:iCs/>
          <w:sz w:val="24"/>
          <w:szCs w:val="24"/>
        </w:rPr>
        <w:t>Environmental pollution</w:t>
      </w:r>
      <w:r>
        <w:rPr>
          <w:rFonts w:ascii="Times New Roman" w:hAnsi="Times New Roman"/>
          <w:sz w:val="24"/>
          <w:szCs w:val="24"/>
        </w:rPr>
        <w:t xml:space="preserve">, </w:t>
      </w:r>
      <w:r>
        <w:rPr>
          <w:rFonts w:ascii="Times New Roman" w:hAnsi="Times New Roman"/>
          <w:i/>
          <w:iCs/>
          <w:sz w:val="24"/>
          <w:szCs w:val="24"/>
        </w:rPr>
        <w:t>218</w:t>
      </w:r>
      <w:r>
        <w:rPr>
          <w:rFonts w:ascii="Times New Roman" w:hAnsi="Times New Roman"/>
          <w:sz w:val="24"/>
          <w:szCs w:val="24"/>
        </w:rPr>
        <w:t>, 358-365</w:t>
      </w:r>
      <w:bookmarkEnd w:id="10"/>
      <w:r>
        <w:rPr>
          <w:rFonts w:ascii="Times New Roman" w:hAnsi="Times New Roman"/>
          <w:sz w:val="24"/>
          <w:szCs w:val="24"/>
        </w:rPr>
        <w:t xml:space="preserve">. </w:t>
      </w:r>
      <w:hyperlink r:id="rId52" w:tgtFrame="_blank" w:tooltip="Persistent link using digital object identifier" w:history="1">
        <w:r w:rsidR="002818EF">
          <w:rPr>
            <w:rStyle w:val="Hyperlink"/>
            <w:rFonts w:ascii="Times New Roman" w:hAnsi="Times New Roman"/>
            <w:sz w:val="24"/>
            <w:szCs w:val="24"/>
          </w:rPr>
          <w:t>https://doi.org/10.1016/j.envpol.2016.07.011</w:t>
        </w:r>
      </w:hyperlink>
    </w:p>
    <w:p w14:paraId="0655526F"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lang w:val="nl-NL"/>
        </w:rPr>
        <w:t xml:space="preserve">Xing, Q., Li, L., Lou, M., Bing, L., Zhao, R., &amp; Li, Z. (2015). </w:t>
      </w:r>
      <w:r>
        <w:rPr>
          <w:rFonts w:ascii="Times New Roman" w:hAnsi="Times New Roman"/>
          <w:sz w:val="24"/>
          <w:szCs w:val="24"/>
        </w:rPr>
        <w:t xml:space="preserve">Observation of oil spills through </w:t>
      </w:r>
      <w:proofErr w:type="spellStart"/>
      <w:r>
        <w:rPr>
          <w:rFonts w:ascii="Times New Roman" w:hAnsi="Times New Roman"/>
          <w:sz w:val="24"/>
          <w:szCs w:val="24"/>
        </w:rPr>
        <w:t>landsat</w:t>
      </w:r>
      <w:proofErr w:type="spellEnd"/>
      <w:r>
        <w:rPr>
          <w:rFonts w:ascii="Times New Roman" w:hAnsi="Times New Roman"/>
          <w:sz w:val="24"/>
          <w:szCs w:val="24"/>
        </w:rPr>
        <w:t xml:space="preserve"> thermal infrared imagery: A case of deepwater horizon. </w:t>
      </w:r>
      <w:r>
        <w:rPr>
          <w:rFonts w:ascii="Times New Roman" w:hAnsi="Times New Roman"/>
          <w:i/>
          <w:iCs/>
          <w:sz w:val="24"/>
          <w:szCs w:val="24"/>
        </w:rPr>
        <w:t>Aquatic Procedia</w:t>
      </w:r>
      <w:r>
        <w:rPr>
          <w:rFonts w:ascii="Times New Roman" w:hAnsi="Times New Roman"/>
          <w:sz w:val="24"/>
          <w:szCs w:val="24"/>
        </w:rPr>
        <w:t xml:space="preserve">, </w:t>
      </w:r>
      <w:r>
        <w:rPr>
          <w:rFonts w:ascii="Times New Roman" w:hAnsi="Times New Roman"/>
          <w:i/>
          <w:iCs/>
          <w:sz w:val="24"/>
          <w:szCs w:val="24"/>
        </w:rPr>
        <w:t>3</w:t>
      </w:r>
      <w:r>
        <w:rPr>
          <w:rFonts w:ascii="Times New Roman" w:hAnsi="Times New Roman"/>
          <w:sz w:val="24"/>
          <w:szCs w:val="24"/>
        </w:rPr>
        <w:t xml:space="preserve">, 151-156. </w:t>
      </w:r>
      <w:hyperlink r:id="rId53" w:history="1">
        <w:r w:rsidR="002818EF">
          <w:rPr>
            <w:rStyle w:val="Hyperlink"/>
            <w:rFonts w:ascii="Times New Roman" w:hAnsi="Times New Roman"/>
            <w:sz w:val="24"/>
            <w:szCs w:val="24"/>
          </w:rPr>
          <w:t>https://doi.org/10.1016/j.aqpro.2015.02.205</w:t>
        </w:r>
      </w:hyperlink>
    </w:p>
    <w:p w14:paraId="124823A0" w14:textId="77777777" w:rsidR="002818EF" w:rsidRDefault="00000000">
      <w:pPr>
        <w:pStyle w:val="ListParagraph"/>
        <w:numPr>
          <w:ilvl w:val="0"/>
          <w:numId w:val="2"/>
        </w:numPr>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 xml:space="preserve">Xu, Q., Wu, B., &amp; Chai, X. (2022). In situ remediation technology for heavy metal contaminated sediment: a review. </w:t>
      </w:r>
      <w:r>
        <w:rPr>
          <w:rFonts w:ascii="Times New Roman" w:eastAsia="Times New Roman" w:hAnsi="Times New Roman"/>
          <w:i/>
          <w:iCs/>
          <w:color w:val="000000"/>
          <w:sz w:val="24"/>
          <w:szCs w:val="24"/>
        </w:rPr>
        <w:t>International Journal of Environmental Research and Public Health</w:t>
      </w:r>
      <w:r>
        <w:rPr>
          <w:rFonts w:ascii="Times New Roman" w:eastAsia="Times New Roman" w:hAnsi="Times New Roman"/>
          <w:color w:val="000000"/>
          <w:sz w:val="24"/>
          <w:szCs w:val="24"/>
        </w:rPr>
        <w:t xml:space="preserve">, </w:t>
      </w:r>
      <w:r>
        <w:rPr>
          <w:rFonts w:ascii="Times New Roman" w:eastAsia="Times New Roman" w:hAnsi="Times New Roman"/>
          <w:i/>
          <w:iCs/>
          <w:color w:val="000000"/>
          <w:sz w:val="24"/>
          <w:szCs w:val="24"/>
        </w:rPr>
        <w:t>19</w:t>
      </w:r>
      <w:r>
        <w:rPr>
          <w:rFonts w:ascii="Times New Roman" w:eastAsia="Times New Roman" w:hAnsi="Times New Roman"/>
          <w:color w:val="000000"/>
          <w:sz w:val="24"/>
          <w:szCs w:val="24"/>
        </w:rPr>
        <w:t xml:space="preserve">(24), 16767. </w:t>
      </w:r>
      <w:hyperlink r:id="rId54" w:tgtFrame="_new" w:history="1">
        <w:r w:rsidR="002818EF">
          <w:rPr>
            <w:rStyle w:val="Hyperlink"/>
            <w:rFonts w:ascii="Times New Roman" w:hAnsi="Times New Roman"/>
            <w:sz w:val="24"/>
            <w:szCs w:val="24"/>
          </w:rPr>
          <w:t>https://doi.org/10.3390/ijerph192416767</w:t>
        </w:r>
      </w:hyperlink>
    </w:p>
    <w:p w14:paraId="748B668C" w14:textId="77777777" w:rsidR="002818EF" w:rsidRDefault="00000000">
      <w:pPr>
        <w:pStyle w:val="ListParagraph"/>
        <w:numPr>
          <w:ilvl w:val="0"/>
          <w:numId w:val="2"/>
        </w:numPr>
        <w:spacing w:after="160"/>
        <w:rPr>
          <w:rFonts w:ascii="Times New Roman" w:hAnsi="Times New Roman"/>
          <w:sz w:val="24"/>
          <w:szCs w:val="24"/>
        </w:rPr>
      </w:pPr>
      <w:r>
        <w:rPr>
          <w:rFonts w:ascii="Times New Roman" w:hAnsi="Times New Roman"/>
          <w:sz w:val="24"/>
          <w:szCs w:val="24"/>
        </w:rPr>
        <w:t xml:space="preserve">Yan </w:t>
      </w:r>
      <w:proofErr w:type="spellStart"/>
      <w:r>
        <w:rPr>
          <w:rFonts w:ascii="Times New Roman" w:hAnsi="Times New Roman"/>
          <w:sz w:val="24"/>
          <w:szCs w:val="24"/>
        </w:rPr>
        <w:t>BeiZhan</w:t>
      </w:r>
      <w:proofErr w:type="spellEnd"/>
      <w:r>
        <w:rPr>
          <w:rFonts w:ascii="Times New Roman" w:hAnsi="Times New Roman"/>
          <w:sz w:val="24"/>
          <w:szCs w:val="24"/>
        </w:rPr>
        <w:t xml:space="preserve">, Y.B., Passow, U., Chanton, J.P., </w:t>
      </w:r>
      <w:proofErr w:type="spellStart"/>
      <w:r>
        <w:rPr>
          <w:rFonts w:ascii="Times New Roman" w:hAnsi="Times New Roman"/>
          <w:sz w:val="24"/>
          <w:szCs w:val="24"/>
        </w:rPr>
        <w:t>Nöthig</w:t>
      </w:r>
      <w:proofErr w:type="spellEnd"/>
      <w:r>
        <w:rPr>
          <w:rFonts w:ascii="Times New Roman" w:hAnsi="Times New Roman"/>
          <w:sz w:val="24"/>
          <w:szCs w:val="24"/>
        </w:rPr>
        <w:t xml:space="preserve">, E.M., Asper, V., Sweet, J., </w:t>
      </w:r>
      <w:proofErr w:type="spellStart"/>
      <w:r>
        <w:rPr>
          <w:rFonts w:ascii="Times New Roman" w:hAnsi="Times New Roman"/>
          <w:sz w:val="24"/>
          <w:szCs w:val="24"/>
        </w:rPr>
        <w:t>Pitiranggon</w:t>
      </w:r>
      <w:proofErr w:type="spellEnd"/>
      <w:r>
        <w:rPr>
          <w:rFonts w:ascii="Times New Roman" w:hAnsi="Times New Roman"/>
          <w:sz w:val="24"/>
          <w:szCs w:val="24"/>
        </w:rPr>
        <w:t>, M., Diercks, A. &amp; Pak, D. (2016). Sustained deposition of contaminants from the Deepwater Horizon spill.  </w:t>
      </w:r>
      <w:hyperlink r:id="rId55" w:history="1">
        <w:r w:rsidR="002818EF">
          <w:rPr>
            <w:rStyle w:val="Hyperlink"/>
            <w:rFonts w:ascii="Times New Roman" w:hAnsi="Times New Roman"/>
            <w:sz w:val="24"/>
            <w:szCs w:val="24"/>
          </w:rPr>
          <w:t>https://doi.org/10.1073/pnas.1513156113</w:t>
        </w:r>
      </w:hyperlink>
    </w:p>
    <w:p w14:paraId="22E9F642"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lang w:val="nl-NL"/>
        </w:rPr>
        <w:t xml:space="preserve">Zhang, S., Chen, B., Du, J., Wang, T., Shi, H., &amp; Wang, F. (2022). </w:t>
      </w:r>
      <w:r>
        <w:rPr>
          <w:rFonts w:ascii="Times New Roman" w:hAnsi="Times New Roman"/>
          <w:sz w:val="24"/>
          <w:szCs w:val="24"/>
        </w:rPr>
        <w:t xml:space="preserve">Distribution, assessment, and source of heavy metals in sediments of the </w:t>
      </w:r>
      <w:proofErr w:type="spellStart"/>
      <w:r>
        <w:rPr>
          <w:rFonts w:ascii="Times New Roman" w:hAnsi="Times New Roman"/>
          <w:sz w:val="24"/>
          <w:szCs w:val="24"/>
        </w:rPr>
        <w:t>Qinjiang</w:t>
      </w:r>
      <w:proofErr w:type="spellEnd"/>
      <w:r>
        <w:rPr>
          <w:rFonts w:ascii="Times New Roman" w:hAnsi="Times New Roman"/>
          <w:sz w:val="24"/>
          <w:szCs w:val="24"/>
        </w:rPr>
        <w:t xml:space="preserve"> River, China. </w:t>
      </w:r>
      <w:r>
        <w:rPr>
          <w:rFonts w:ascii="Times New Roman" w:hAnsi="Times New Roman"/>
          <w:i/>
          <w:iCs/>
          <w:sz w:val="24"/>
          <w:szCs w:val="24"/>
        </w:rPr>
        <w:t>International Journal of Environmental Research and Public Health</w:t>
      </w:r>
      <w:r>
        <w:rPr>
          <w:rFonts w:ascii="Times New Roman" w:hAnsi="Times New Roman"/>
          <w:sz w:val="24"/>
          <w:szCs w:val="24"/>
        </w:rPr>
        <w:t xml:space="preserve">, </w:t>
      </w:r>
      <w:r>
        <w:rPr>
          <w:rFonts w:ascii="Times New Roman" w:hAnsi="Times New Roman"/>
          <w:i/>
          <w:iCs/>
          <w:sz w:val="24"/>
          <w:szCs w:val="24"/>
        </w:rPr>
        <w:t>19</w:t>
      </w:r>
      <w:r>
        <w:rPr>
          <w:rFonts w:ascii="Times New Roman" w:hAnsi="Times New Roman"/>
          <w:sz w:val="24"/>
          <w:szCs w:val="24"/>
        </w:rPr>
        <w:t xml:space="preserve">(15), 9140. </w:t>
      </w:r>
      <w:hyperlink r:id="rId56" w:history="1">
        <w:r w:rsidR="002818EF">
          <w:rPr>
            <w:rStyle w:val="Hyperlink"/>
            <w:rFonts w:ascii="Times New Roman" w:hAnsi="Times New Roman"/>
            <w:sz w:val="24"/>
            <w:szCs w:val="24"/>
          </w:rPr>
          <w:t>https://doi.org/10.3390/ijerph19159140</w:t>
        </w:r>
      </w:hyperlink>
    </w:p>
    <w:p w14:paraId="0498FCF3" w14:textId="77777777" w:rsidR="002818EF" w:rsidRDefault="00000000">
      <w:pPr>
        <w:pStyle w:val="ListParagraph"/>
        <w:numPr>
          <w:ilvl w:val="0"/>
          <w:numId w:val="2"/>
        </w:numPr>
        <w:rPr>
          <w:rFonts w:ascii="Times New Roman" w:hAnsi="Times New Roman"/>
          <w:sz w:val="24"/>
          <w:szCs w:val="24"/>
        </w:rPr>
      </w:pPr>
      <w:r>
        <w:rPr>
          <w:rFonts w:ascii="Times New Roman" w:hAnsi="Times New Roman"/>
          <w:sz w:val="24"/>
          <w:szCs w:val="24"/>
        </w:rPr>
        <w:t xml:space="preserve">Zhang, J., Zhou, F., Chen, C., Sun, X., Shi, Y., Zhao, H., &amp; Chen, F. (2018). Spatial distribution and correlation characteristics of heavy metals in the seawater, suspended particulate matter and sediments in Zhanjiang Bay, China. </w:t>
      </w:r>
      <w:proofErr w:type="spellStart"/>
      <w:r>
        <w:rPr>
          <w:rFonts w:ascii="Times New Roman" w:hAnsi="Times New Roman"/>
          <w:i/>
          <w:iCs/>
          <w:sz w:val="24"/>
          <w:szCs w:val="24"/>
        </w:rPr>
        <w:t>PLoS</w:t>
      </w:r>
      <w:proofErr w:type="spellEnd"/>
      <w:r>
        <w:rPr>
          <w:rFonts w:ascii="Times New Roman" w:hAnsi="Times New Roman"/>
          <w:i/>
          <w:iCs/>
          <w:sz w:val="24"/>
          <w:szCs w:val="24"/>
        </w:rPr>
        <w:t xml:space="preserve"> One</w:t>
      </w:r>
      <w:r>
        <w:rPr>
          <w:rFonts w:ascii="Times New Roman" w:hAnsi="Times New Roman"/>
          <w:sz w:val="24"/>
          <w:szCs w:val="24"/>
        </w:rPr>
        <w:t xml:space="preserve">, </w:t>
      </w:r>
      <w:r>
        <w:rPr>
          <w:rFonts w:ascii="Times New Roman" w:hAnsi="Times New Roman"/>
          <w:i/>
          <w:iCs/>
          <w:sz w:val="24"/>
          <w:szCs w:val="24"/>
        </w:rPr>
        <w:t>13</w:t>
      </w:r>
      <w:r>
        <w:rPr>
          <w:rFonts w:ascii="Times New Roman" w:hAnsi="Times New Roman"/>
          <w:sz w:val="24"/>
          <w:szCs w:val="24"/>
        </w:rPr>
        <w:t xml:space="preserve">(8), e0201414. </w:t>
      </w:r>
      <w:hyperlink r:id="rId57" w:history="1">
        <w:r w:rsidR="002818EF">
          <w:rPr>
            <w:rStyle w:val="Hyperlink"/>
            <w:rFonts w:ascii="Times New Roman" w:hAnsi="Times New Roman"/>
            <w:sz w:val="24"/>
            <w:szCs w:val="24"/>
          </w:rPr>
          <w:t>https://doi.org/10.1371/journal.pone.0201414</w:t>
        </w:r>
      </w:hyperlink>
    </w:p>
    <w:p w14:paraId="7C2CA7E0" w14:textId="77777777" w:rsidR="002818EF" w:rsidRDefault="00000000">
      <w:pPr>
        <w:pStyle w:val="NormalWeb"/>
        <w:numPr>
          <w:ilvl w:val="0"/>
          <w:numId w:val="2"/>
        </w:numPr>
      </w:pPr>
      <w:r>
        <w:rPr>
          <w:lang w:val="nl-NL"/>
        </w:rPr>
        <w:t xml:space="preserve">Zhu, B., Wang, Q., Shi, X., Guo, Y., Xu, T., &amp; Zhou, B. (2016). </w:t>
      </w:r>
      <w:r>
        <w:t xml:space="preserve">Effect of combined exposure to lead and </w:t>
      </w:r>
      <w:proofErr w:type="spellStart"/>
      <w:r>
        <w:t>decabromodiphenyl</w:t>
      </w:r>
      <w:proofErr w:type="spellEnd"/>
      <w:r>
        <w:t xml:space="preserve"> ether on neurodevelopment of zebrafish larvae. </w:t>
      </w:r>
      <w:r>
        <w:rPr>
          <w:i/>
          <w:iCs/>
        </w:rPr>
        <w:t>Chemosphere</w:t>
      </w:r>
      <w:r>
        <w:t xml:space="preserve">, </w:t>
      </w:r>
      <w:r>
        <w:rPr>
          <w:i/>
          <w:iCs/>
        </w:rPr>
        <w:t>144</w:t>
      </w:r>
      <w:r>
        <w:t xml:space="preserve">, 1646-1654. </w:t>
      </w:r>
      <w:hyperlink r:id="rId58" w:history="1">
        <w:r w:rsidR="002818EF">
          <w:rPr>
            <w:rStyle w:val="Hyperlink"/>
          </w:rPr>
          <w:t>https://doi.org/10.1016/j.chemosphere.2015.10.056</w:t>
        </w:r>
      </w:hyperlink>
    </w:p>
    <w:sectPr w:rsidR="002818EF">
      <w:headerReference w:type="even" r:id="rId59"/>
      <w:headerReference w:type="default" r:id="rId60"/>
      <w:footerReference w:type="even" r:id="rId61"/>
      <w:footerReference w:type="default" r:id="rId62"/>
      <w:headerReference w:type="first" r:id="rId63"/>
      <w:footerReference w:type="first" r:id="rId6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D1F58" w14:textId="77777777" w:rsidR="00985BA4" w:rsidRDefault="00985BA4">
      <w:pPr>
        <w:spacing w:line="240" w:lineRule="auto"/>
      </w:pPr>
      <w:r>
        <w:separator/>
      </w:r>
    </w:p>
  </w:endnote>
  <w:endnote w:type="continuationSeparator" w:id="0">
    <w:p w14:paraId="11E22F83" w14:textId="77777777" w:rsidR="00985BA4" w:rsidRDefault="00985B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BECBE" w14:textId="77777777" w:rsidR="00BE1B01" w:rsidRDefault="00BE1B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38C3" w14:textId="77777777" w:rsidR="00BE1B01" w:rsidRDefault="00BE1B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FF5D2" w14:textId="77777777" w:rsidR="00BE1B01" w:rsidRDefault="00BE1B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69336" w14:textId="77777777" w:rsidR="00985BA4" w:rsidRDefault="00985BA4">
      <w:r>
        <w:separator/>
      </w:r>
    </w:p>
  </w:footnote>
  <w:footnote w:type="continuationSeparator" w:id="0">
    <w:p w14:paraId="5CC6DF50" w14:textId="77777777" w:rsidR="00985BA4" w:rsidRDefault="00985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589A8" w14:textId="0CA2B91F" w:rsidR="00BE1B01" w:rsidRDefault="00BE1B01">
    <w:pPr>
      <w:pStyle w:val="Header"/>
    </w:pPr>
    <w:r>
      <w:rPr>
        <w:noProof/>
      </w:rPr>
      <w:pict w14:anchorId="653DBD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469407" o:spid="_x0000_s1026" type="#_x0000_t136" style="position:absolute;left:0;text-align:left;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9FBA1" w14:textId="010898CC" w:rsidR="00BE1B01" w:rsidRDefault="00BE1B01">
    <w:pPr>
      <w:pStyle w:val="Header"/>
    </w:pPr>
    <w:r>
      <w:rPr>
        <w:noProof/>
      </w:rPr>
      <w:pict w14:anchorId="3ACA61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469408" o:spid="_x0000_s1027" type="#_x0000_t136" style="position:absolute;left:0;text-align:left;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722AD" w14:textId="544E2D27" w:rsidR="00BE1B01" w:rsidRDefault="00BE1B01">
    <w:pPr>
      <w:pStyle w:val="Header"/>
    </w:pPr>
    <w:r>
      <w:rPr>
        <w:noProof/>
      </w:rPr>
      <w:pict w14:anchorId="133E33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9469406" o:spid="_x0000_s1025" type="#_x0000_t136" style="position:absolute;left:0;text-align:left;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08E"/>
    <w:multiLevelType w:val="multilevel"/>
    <w:tmpl w:val="0053208E"/>
    <w:lvl w:ilvl="0">
      <w:start w:val="1"/>
      <w:numFmt w:val="decimal"/>
      <w:lvlText w:val="%1."/>
      <w:lvlJc w:val="left"/>
      <w:pPr>
        <w:ind w:left="720" w:hanging="360"/>
      </w:pPr>
      <w:rPr>
        <w:b/>
      </w:rPr>
    </w:lvl>
    <w:lvl w:ilvl="1">
      <w:start w:val="11"/>
      <w:numFmt w:val="decimal"/>
      <w:lvlText w:val="%1.%2."/>
      <w:lvlJc w:val="left"/>
      <w:pPr>
        <w:ind w:left="828" w:hanging="468"/>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778F02ED"/>
    <w:multiLevelType w:val="multilevel"/>
    <w:tmpl w:val="778F02ED"/>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56565770">
    <w:abstractNumId w:val="0"/>
  </w:num>
  <w:num w:numId="2" w16cid:durableId="1566180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BA6"/>
    <w:rsid w:val="0005361C"/>
    <w:rsid w:val="00085EA1"/>
    <w:rsid w:val="000A47EF"/>
    <w:rsid w:val="000C327D"/>
    <w:rsid w:val="000D1EA8"/>
    <w:rsid w:val="000F25E2"/>
    <w:rsid w:val="00110014"/>
    <w:rsid w:val="00111F89"/>
    <w:rsid w:val="00146588"/>
    <w:rsid w:val="001517C7"/>
    <w:rsid w:val="00165BA6"/>
    <w:rsid w:val="001977A9"/>
    <w:rsid w:val="001B04FD"/>
    <w:rsid w:val="001D65AD"/>
    <w:rsid w:val="001F536A"/>
    <w:rsid w:val="00247AC8"/>
    <w:rsid w:val="0025531F"/>
    <w:rsid w:val="002818EF"/>
    <w:rsid w:val="002A6805"/>
    <w:rsid w:val="002F7BA4"/>
    <w:rsid w:val="003007A9"/>
    <w:rsid w:val="00304487"/>
    <w:rsid w:val="00316F8D"/>
    <w:rsid w:val="00374D1C"/>
    <w:rsid w:val="00383807"/>
    <w:rsid w:val="00383B49"/>
    <w:rsid w:val="003A1586"/>
    <w:rsid w:val="003B0017"/>
    <w:rsid w:val="003B77F8"/>
    <w:rsid w:val="004516F9"/>
    <w:rsid w:val="00472DD2"/>
    <w:rsid w:val="00475B29"/>
    <w:rsid w:val="004A124A"/>
    <w:rsid w:val="004E6E32"/>
    <w:rsid w:val="00511C66"/>
    <w:rsid w:val="00516F4B"/>
    <w:rsid w:val="0054522C"/>
    <w:rsid w:val="00552A29"/>
    <w:rsid w:val="005A16DE"/>
    <w:rsid w:val="005F0A00"/>
    <w:rsid w:val="00603EAE"/>
    <w:rsid w:val="00603F1E"/>
    <w:rsid w:val="006704C4"/>
    <w:rsid w:val="00681D00"/>
    <w:rsid w:val="00684CFE"/>
    <w:rsid w:val="006A01B0"/>
    <w:rsid w:val="006A0585"/>
    <w:rsid w:val="006B5D01"/>
    <w:rsid w:val="006C0655"/>
    <w:rsid w:val="006C54DC"/>
    <w:rsid w:val="006F0112"/>
    <w:rsid w:val="00795D81"/>
    <w:rsid w:val="007A1852"/>
    <w:rsid w:val="007A7531"/>
    <w:rsid w:val="007C4A53"/>
    <w:rsid w:val="007F4096"/>
    <w:rsid w:val="00837D7E"/>
    <w:rsid w:val="008629B9"/>
    <w:rsid w:val="009118D7"/>
    <w:rsid w:val="00923770"/>
    <w:rsid w:val="0096177E"/>
    <w:rsid w:val="00985BA4"/>
    <w:rsid w:val="009B068F"/>
    <w:rsid w:val="009E10DD"/>
    <w:rsid w:val="009E49A1"/>
    <w:rsid w:val="00A25ABB"/>
    <w:rsid w:val="00A351FB"/>
    <w:rsid w:val="00A93C8E"/>
    <w:rsid w:val="00AC2DCF"/>
    <w:rsid w:val="00AC47CA"/>
    <w:rsid w:val="00AD1B5B"/>
    <w:rsid w:val="00B10CA6"/>
    <w:rsid w:val="00B44800"/>
    <w:rsid w:val="00B62F93"/>
    <w:rsid w:val="00B63CF0"/>
    <w:rsid w:val="00BA2FC0"/>
    <w:rsid w:val="00BD35D6"/>
    <w:rsid w:val="00BE1B01"/>
    <w:rsid w:val="00BF06C7"/>
    <w:rsid w:val="00C5348A"/>
    <w:rsid w:val="00C838BB"/>
    <w:rsid w:val="00C900D8"/>
    <w:rsid w:val="00C94E77"/>
    <w:rsid w:val="00CA5C30"/>
    <w:rsid w:val="00CA698B"/>
    <w:rsid w:val="00D169F1"/>
    <w:rsid w:val="00D34317"/>
    <w:rsid w:val="00D404C8"/>
    <w:rsid w:val="00D4448A"/>
    <w:rsid w:val="00D71BCF"/>
    <w:rsid w:val="00D81BC3"/>
    <w:rsid w:val="00D946E1"/>
    <w:rsid w:val="00D9731B"/>
    <w:rsid w:val="00DA47CB"/>
    <w:rsid w:val="00DB78B0"/>
    <w:rsid w:val="00DD1F5B"/>
    <w:rsid w:val="00DD68B5"/>
    <w:rsid w:val="00E206DF"/>
    <w:rsid w:val="00E2520A"/>
    <w:rsid w:val="00E854A7"/>
    <w:rsid w:val="00E900F6"/>
    <w:rsid w:val="00ED0A83"/>
    <w:rsid w:val="00F01DF1"/>
    <w:rsid w:val="00F02FC9"/>
    <w:rsid w:val="00F24500"/>
    <w:rsid w:val="00F3306B"/>
    <w:rsid w:val="00FD3FB5"/>
    <w:rsid w:val="00FE5B59"/>
    <w:rsid w:val="00FF128D"/>
    <w:rsid w:val="123910F2"/>
    <w:rsid w:val="23057FA0"/>
    <w:rsid w:val="39913FDB"/>
    <w:rsid w:val="4526509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9A5A50"/>
  <w15:docId w15:val="{0639E594-55CE-429B-8F7D-6C0C05AAC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480" w:lineRule="auto"/>
      <w:ind w:left="142"/>
      <w:jc w:val="both"/>
    </w:pPr>
    <w:rPr>
      <w:rFonts w:ascii="Calibri" w:eastAsia="Calibri" w:hAnsi="Calibri" w:cs="Times New Roman"/>
      <w:kern w:val="2"/>
      <w:sz w:val="22"/>
      <w:szCs w:val="22"/>
      <w:lang w:val="en-IN"/>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
    <w:uiPriority w:val="99"/>
    <w:unhideWhenUsed/>
    <w:qFormat/>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513"/>
        <w:tab w:val="right" w:pos="9026"/>
      </w:tabs>
      <w:spacing w:line="240" w:lineRule="auto"/>
    </w:pPr>
  </w:style>
  <w:style w:type="paragraph" w:styleId="Header">
    <w:name w:val="header"/>
    <w:basedOn w:val="Normal"/>
    <w:link w:val="HeaderChar"/>
    <w:uiPriority w:val="99"/>
    <w:unhideWhenUsed/>
    <w:qFormat/>
    <w:pPr>
      <w:tabs>
        <w:tab w:val="center" w:pos="4513"/>
        <w:tab w:val="right" w:pos="9026"/>
      </w:tabs>
      <w:spacing w:line="240" w:lineRule="auto"/>
    </w:pPr>
  </w:style>
  <w:style w:type="character" w:styleId="Hyperlink">
    <w:name w:val="Hyperlink"/>
    <w:uiPriority w:val="99"/>
    <w:unhideWhenUsed/>
    <w:qFormat/>
    <w:rPr>
      <w:color w:val="0563C1"/>
      <w:u w:val="single"/>
    </w:rPr>
  </w:style>
  <w:style w:type="paragraph" w:styleId="NormalWeb">
    <w:name w:val="Normal (Web)"/>
    <w:basedOn w:val="Normal"/>
    <w:uiPriority w:val="99"/>
    <w:unhideWhenUsed/>
    <w:qFormat/>
    <w:rPr>
      <w:rFonts w:ascii="Times New Roman" w:hAnsi="Times New Roman"/>
      <w:sz w:val="24"/>
      <w:szCs w:val="24"/>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CommentTextChar">
    <w:name w:val="Comment Text Char"/>
    <w:basedOn w:val="DefaultParagraphFont"/>
    <w:link w:val="CommentText"/>
    <w:uiPriority w:val="99"/>
    <w:qFormat/>
    <w:rPr>
      <w:rFonts w:ascii="Calibri" w:eastAsia="Calibri" w:hAnsi="Calibri" w:cs="Times New Roman"/>
      <w14:ligatures w14:val="none"/>
    </w:rPr>
  </w:style>
  <w:style w:type="character" w:styleId="PlaceholderText">
    <w:name w:val="Placeholder Text"/>
    <w:basedOn w:val="DefaultParagraphFont"/>
    <w:uiPriority w:val="99"/>
    <w:semiHidden/>
    <w:qFormat/>
    <w:rPr>
      <w:color w:val="666666"/>
    </w:rPr>
  </w:style>
  <w:style w:type="character" w:customStyle="1" w:styleId="HeaderChar">
    <w:name w:val="Header Char"/>
    <w:basedOn w:val="DefaultParagraphFont"/>
    <w:link w:val="Header"/>
    <w:uiPriority w:val="99"/>
    <w:qFormat/>
    <w:rPr>
      <w:rFonts w:ascii="Calibri" w:eastAsia="Calibri" w:hAnsi="Calibri" w:cs="Times New Roman"/>
      <w14:ligatures w14:val="none"/>
    </w:rPr>
  </w:style>
  <w:style w:type="character" w:customStyle="1" w:styleId="FooterChar">
    <w:name w:val="Footer Char"/>
    <w:basedOn w:val="DefaultParagraphFont"/>
    <w:link w:val="Footer"/>
    <w:uiPriority w:val="99"/>
    <w:qFormat/>
    <w:rPr>
      <w:rFonts w:ascii="Calibri" w:eastAsia="Calibri" w:hAnsi="Calibri" w:cs="Times New Roman"/>
      <w14:ligatures w14:val="none"/>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pdq2pgselectionanchorcontainer">
    <w:name w:val="pdq2pg_selectionanchorcontainer"/>
    <w:basedOn w:val="Normal"/>
    <w:qFormat/>
    <w:pPr>
      <w:spacing w:before="100" w:beforeAutospacing="1" w:after="100" w:afterAutospacing="1" w:line="240" w:lineRule="auto"/>
      <w:ind w:left="0"/>
      <w:jc w:val="left"/>
    </w:pPr>
    <w:rPr>
      <w:rFonts w:ascii="Times New Roman" w:eastAsia="Times New Roman" w:hAnsi="Times New Roman"/>
      <w:kern w:val="0"/>
      <w:sz w:val="24"/>
      <w:szCs w:val="24"/>
      <w:lang w:eastAsia="en-IN"/>
    </w:rPr>
  </w:style>
  <w:style w:type="character" w:styleId="UnresolvedMention">
    <w:name w:val="Unresolved Mention"/>
    <w:basedOn w:val="DefaultParagraphFont"/>
    <w:uiPriority w:val="99"/>
    <w:semiHidden/>
    <w:unhideWhenUsed/>
    <w:rsid w:val="001100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016/j.marpolbul.2013.05.006" TargetMode="External"/><Relationship Id="rId21" Type="http://schemas.openxmlformats.org/officeDocument/2006/relationships/hyperlink" Target="https://doi.org/10.1016/j.ecoenv.2019.02.032" TargetMode="External"/><Relationship Id="rId34" Type="http://schemas.openxmlformats.org/officeDocument/2006/relationships/hyperlink" Target="https://doi.org/10.1016/j.jksus.2020.08.014" TargetMode="External"/><Relationship Id="rId42" Type="http://schemas.openxmlformats.org/officeDocument/2006/relationships/hyperlink" Target="https://doi.org/10.1371/journal.pone.0098802" TargetMode="External"/><Relationship Id="rId47" Type="http://schemas.openxmlformats.org/officeDocument/2006/relationships/hyperlink" Target="https://doi.org/10.1016/j.marpolbul.2014.01.049" TargetMode="External"/><Relationship Id="rId50" Type="http://schemas.openxmlformats.org/officeDocument/2006/relationships/hyperlink" Target="https://doi.org/10.3390/fishes8120589" TargetMode="External"/><Relationship Id="rId55" Type="http://schemas.openxmlformats.org/officeDocument/2006/relationships/hyperlink" Target="https://doi.org/10.1073/pnas.1513156113" TargetMode="External"/><Relationship Id="rId63"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marpolbul.2017.02.034" TargetMode="External"/><Relationship Id="rId29" Type="http://schemas.openxmlformats.org/officeDocument/2006/relationships/hyperlink" Target="https://www.science.org/doi/abs/10.1126/science.1144004" TargetMode="External"/><Relationship Id="rId11" Type="http://schemas.openxmlformats.org/officeDocument/2006/relationships/hyperlink" Target="https://doi.org/10.22271/fish.2022.v10.i4b.2693" TargetMode="External"/><Relationship Id="rId24" Type="http://schemas.openxmlformats.org/officeDocument/2006/relationships/hyperlink" Target="https://doi.org/10.1007/s12665-015-5151-7" TargetMode="External"/><Relationship Id="rId32" Type="http://schemas.openxmlformats.org/officeDocument/2006/relationships/hyperlink" Target="https://doi.org/10.1080/15320383.2025.2524754" TargetMode="External"/><Relationship Id="rId37" Type="http://schemas.openxmlformats.org/officeDocument/2006/relationships/hyperlink" Target="https://doi.org/10.1016/S0160-4120(01)00050-2" TargetMode="External"/><Relationship Id="rId40" Type="http://schemas.openxmlformats.org/officeDocument/2006/relationships/hyperlink" Target="https://doi.org/10.1016/j.rsma.2024.103516" TargetMode="External"/><Relationship Id="rId45" Type="http://schemas.openxmlformats.org/officeDocument/2006/relationships/hyperlink" Target="https://doi.org/10.1007/BF02414780" TargetMode="External"/><Relationship Id="rId53" Type="http://schemas.openxmlformats.org/officeDocument/2006/relationships/hyperlink" Target="https://doi.org/10.1016/j.aqpro.2015.02.205" TargetMode="External"/><Relationship Id="rId58" Type="http://schemas.openxmlformats.org/officeDocument/2006/relationships/hyperlink" Target="https://doi.org/10.1016/j.chemosphere.2015.10.056"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s://doi.org/10.1007/s11356-025-37248-9" TargetMode="External"/><Relationship Id="rId14" Type="http://schemas.openxmlformats.org/officeDocument/2006/relationships/hyperlink" Target="https://doi.org/10.1007/s12665-014-3593-y" TargetMode="External"/><Relationship Id="rId22" Type="http://schemas.openxmlformats.org/officeDocument/2006/relationships/hyperlink" Target="https://doi.org/10.1016/j.ecss.2007.07.035" TargetMode="External"/><Relationship Id="rId27" Type="http://schemas.openxmlformats.org/officeDocument/2006/relationships/hyperlink" Target="https://doi.org/10.1016/j.etap.2019.03.010" TargetMode="External"/><Relationship Id="rId30" Type="http://schemas.openxmlformats.org/officeDocument/2006/relationships/hyperlink" Target="https://doi.org/10.1016/S0045-6535(03)00187-5" TargetMode="External"/><Relationship Id="rId35" Type="http://schemas.openxmlformats.org/officeDocument/2006/relationships/hyperlink" Target="https://doi.org/10.1007/s12665-020-08972-x" TargetMode="External"/><Relationship Id="rId43" Type="http://schemas.openxmlformats.org/officeDocument/2006/relationships/hyperlink" Target="https://doi.org/10.1007/s11270-013-1756-1" TargetMode="External"/><Relationship Id="rId48" Type="http://schemas.openxmlformats.org/officeDocument/2006/relationships/hyperlink" Target="https://doi.org/10.1016/j.marpolbul.2019.110555" TargetMode="External"/><Relationship Id="rId56" Type="http://schemas.openxmlformats.org/officeDocument/2006/relationships/hyperlink" Target="https://doi.org/10.3390/ijerph19159140" TargetMode="External"/><Relationship Id="rId64"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yperlink" Target="https://doi.org/10.1016/j.scitotenv.2017.04.167" TargetMode="External"/><Relationship Id="rId3" Type="http://schemas.openxmlformats.org/officeDocument/2006/relationships/styles" Target="styles.xml"/><Relationship Id="rId12" Type="http://schemas.openxmlformats.org/officeDocument/2006/relationships/hyperlink" Target="https://doi.org/10.1016/S0269-7491(02)00194-X" TargetMode="External"/><Relationship Id="rId17" Type="http://schemas.openxmlformats.org/officeDocument/2006/relationships/hyperlink" Target="https://doi.org/10.1016/j.marpolbul.2022.113654" TargetMode="External"/><Relationship Id="rId25" Type="http://schemas.openxmlformats.org/officeDocument/2006/relationships/hyperlink" Target="https://doi.org/10.1016/j.marpolbul.2016.02.021" TargetMode="External"/><Relationship Id="rId33" Type="http://schemas.openxmlformats.org/officeDocument/2006/relationships/hyperlink" Target="https://doi.org/10.1007/s11270-021-04987-7" TargetMode="External"/><Relationship Id="rId38" Type="http://schemas.openxmlformats.org/officeDocument/2006/relationships/hyperlink" Target="https://doi.org/10.1007/s10646-024-02815-2" TargetMode="External"/><Relationship Id="rId46" Type="http://schemas.openxmlformats.org/officeDocument/2006/relationships/hyperlink" Target="https://doi.org/10.1130/0016-7606(1961)72%5b175:DOTEIS%5d2.0.CO;2" TargetMode="External"/><Relationship Id="rId59" Type="http://schemas.openxmlformats.org/officeDocument/2006/relationships/header" Target="header1.xml"/><Relationship Id="rId20" Type="http://schemas.openxmlformats.org/officeDocument/2006/relationships/hyperlink" Target="https://doi.org/10.3390/biology11081153" TargetMode="External"/><Relationship Id="rId41" Type="http://schemas.openxmlformats.org/officeDocument/2006/relationships/hyperlink" Target="https://doi.org/10.1007/s42108-024-00284-1" TargetMode="External"/><Relationship Id="rId54" Type="http://schemas.openxmlformats.org/officeDocument/2006/relationships/hyperlink" Target="https://doi.org/10.3390/ijerph192416767"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16/j.marpolbul.2016.06.109" TargetMode="External"/><Relationship Id="rId23" Type="http://schemas.openxmlformats.org/officeDocument/2006/relationships/hyperlink" Target="https://doi.org/10.1016/j.enceco.2020.09.004" TargetMode="External"/><Relationship Id="rId28" Type="http://schemas.openxmlformats.org/officeDocument/2006/relationships/hyperlink" Target="https://doi.org/10.1016/j.jhazmat.2023.131253" TargetMode="External"/><Relationship Id="rId36" Type="http://schemas.openxmlformats.org/officeDocument/2006/relationships/hyperlink" Target="https://doi.org/10.4103/2277-8632.158577" TargetMode="External"/><Relationship Id="rId49" Type="http://schemas.openxmlformats.org/officeDocument/2006/relationships/hyperlink" Target="https://doi.org/10.1016/j.tice.2015.02.001" TargetMode="External"/><Relationship Id="rId57" Type="http://schemas.openxmlformats.org/officeDocument/2006/relationships/hyperlink" Target="https://doi.org/10.1371/journal.pone.0201414" TargetMode="External"/><Relationship Id="rId10" Type="http://schemas.openxmlformats.org/officeDocument/2006/relationships/hyperlink" Target="https://doi.org/10.1016/j.toxrep.2018.03.007" TargetMode="External"/><Relationship Id="rId31" Type="http://schemas.openxmlformats.org/officeDocument/2006/relationships/hyperlink" Target="https://doi.org/10.1080/10934529609376357" TargetMode="External"/><Relationship Id="rId44" Type="http://schemas.openxmlformats.org/officeDocument/2006/relationships/hyperlink" Target="https://doi.org/10.3390/fishes4010011" TargetMode="External"/><Relationship Id="rId52" Type="http://schemas.openxmlformats.org/officeDocument/2006/relationships/hyperlink" Target="https://doi.org/10.1016/j.envpol.2016.07.011" TargetMode="External"/><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3" Type="http://schemas.openxmlformats.org/officeDocument/2006/relationships/hyperlink" Target="https://doi.org/10.1007/978-3-319-03777-6_1" TargetMode="External"/><Relationship Id="rId18" Type="http://schemas.openxmlformats.org/officeDocument/2006/relationships/hyperlink" Target="https://doi.org/10.1111/j.1365-2095.2005.00364.x" TargetMode="External"/><Relationship Id="rId39" Type="http://schemas.openxmlformats.org/officeDocument/2006/relationships/hyperlink" Target="https://doi.org/10.1016/j.jmarsys.2006.12.00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anupa\Documents\REVISED\Geoaccumulation%20Index-Dr.M.M%20oc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830032788438"/>
          <c:y val="0.14423176724689701"/>
          <c:w val="0.83054725870862001"/>
          <c:h val="0.57116450270908803"/>
        </c:manualLayout>
      </c:layout>
      <c:lineChart>
        <c:grouping val="standard"/>
        <c:varyColors val="0"/>
        <c:ser>
          <c:idx val="0"/>
          <c:order val="0"/>
          <c:tx>
            <c:strRef>
              <c:f>Sheet2!$T$38</c:f>
              <c:strCache>
                <c:ptCount val="1"/>
                <c:pt idx="0">
                  <c:v>BOS</c:v>
                </c:pt>
              </c:strCache>
            </c:strRef>
          </c:tx>
          <c:spPr>
            <a:ln w="28575" cap="rnd">
              <a:solidFill>
                <a:srgbClr val="FF0000"/>
              </a:solidFill>
              <a:round/>
            </a:ln>
            <a:effectLst/>
          </c:spPr>
          <c:marker>
            <c:symbol val="circle"/>
            <c:size val="5"/>
            <c:spPr>
              <a:solidFill>
                <a:srgbClr val="FFFF00"/>
              </a:solidFill>
              <a:ln w="9525">
                <a:gradFill>
                  <a:gsLst>
                    <a:gs pos="0">
                      <a:srgbClr val="FFFF00"/>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a:scene3d>
                <a:camera prst="orthographicFront"/>
                <a:lightRig rig="threePt" dir="t"/>
              </a:scene3d>
              <a:sp3d>
                <a:bevelT prst="angle"/>
                <a:bevelB prst="angle"/>
              </a:sp3d>
            </c:spPr>
          </c:marker>
          <c:cat>
            <c:multiLvlStrRef>
              <c:f>Sheet2!$R$39:$S$58</c:f>
              <c:multiLvlStrCache>
                <c:ptCount val="20"/>
                <c:lvl>
                  <c:pt idx="0">
                    <c:v>Cd</c:v>
                  </c:pt>
                  <c:pt idx="1">
                    <c:v>Cr</c:v>
                  </c:pt>
                  <c:pt idx="2">
                    <c:v>Pb</c:v>
                  </c:pt>
                  <c:pt idx="3">
                    <c:v>Hg</c:v>
                  </c:pt>
                  <c:pt idx="4">
                    <c:v>Cd</c:v>
                  </c:pt>
                  <c:pt idx="5">
                    <c:v>Cr</c:v>
                  </c:pt>
                  <c:pt idx="6">
                    <c:v>Pb</c:v>
                  </c:pt>
                  <c:pt idx="7">
                    <c:v>Hg</c:v>
                  </c:pt>
                  <c:pt idx="8">
                    <c:v>Cd</c:v>
                  </c:pt>
                  <c:pt idx="9">
                    <c:v>Cr</c:v>
                  </c:pt>
                  <c:pt idx="10">
                    <c:v>Pb</c:v>
                  </c:pt>
                  <c:pt idx="11">
                    <c:v>Hg</c:v>
                  </c:pt>
                  <c:pt idx="12">
                    <c:v>Cd</c:v>
                  </c:pt>
                  <c:pt idx="13">
                    <c:v>Cr</c:v>
                  </c:pt>
                  <c:pt idx="14">
                    <c:v>Pb</c:v>
                  </c:pt>
                  <c:pt idx="15">
                    <c:v>Hg</c:v>
                  </c:pt>
                  <c:pt idx="16">
                    <c:v>Cd</c:v>
                  </c:pt>
                  <c:pt idx="17">
                    <c:v>Cr</c:v>
                  </c:pt>
                  <c:pt idx="18">
                    <c:v>Pb</c:v>
                  </c:pt>
                  <c:pt idx="19">
                    <c:v>Hg</c:v>
                  </c:pt>
                </c:lvl>
                <c:lvl>
                  <c:pt idx="0">
                    <c:v>ST-1</c:v>
                  </c:pt>
                  <c:pt idx="4">
                    <c:v>ST-2</c:v>
                  </c:pt>
                  <c:pt idx="8">
                    <c:v>ST-3</c:v>
                  </c:pt>
                  <c:pt idx="12">
                    <c:v>ST-4</c:v>
                  </c:pt>
                  <c:pt idx="16">
                    <c:v>ST-5</c:v>
                  </c:pt>
                </c:lvl>
              </c:multiLvlStrCache>
            </c:multiLvlStrRef>
          </c:cat>
          <c:val>
            <c:numRef>
              <c:f>Sheet2!$T$39:$T$58</c:f>
              <c:numCache>
                <c:formatCode>General</c:formatCode>
                <c:ptCount val="20"/>
                <c:pt idx="0">
                  <c:v>-9.0999999999999998E-2</c:v>
                </c:pt>
                <c:pt idx="1">
                  <c:v>-6.9</c:v>
                </c:pt>
                <c:pt idx="2">
                  <c:v>-3.08</c:v>
                </c:pt>
                <c:pt idx="3">
                  <c:v>-2.21</c:v>
                </c:pt>
                <c:pt idx="4">
                  <c:v>0.42</c:v>
                </c:pt>
                <c:pt idx="5">
                  <c:v>-5.0599999999999996</c:v>
                </c:pt>
                <c:pt idx="6">
                  <c:v>-1.98</c:v>
                </c:pt>
                <c:pt idx="7">
                  <c:v>-2.91</c:v>
                </c:pt>
                <c:pt idx="8">
                  <c:v>0.87</c:v>
                </c:pt>
                <c:pt idx="9">
                  <c:v>-6.9</c:v>
                </c:pt>
                <c:pt idx="10">
                  <c:v>-3.23</c:v>
                </c:pt>
                <c:pt idx="11">
                  <c:v>-1.82</c:v>
                </c:pt>
                <c:pt idx="12">
                  <c:v>0.6</c:v>
                </c:pt>
                <c:pt idx="13">
                  <c:v>-5.46</c:v>
                </c:pt>
                <c:pt idx="14">
                  <c:v>-3.53</c:v>
                </c:pt>
                <c:pt idx="15">
                  <c:v>-2.58</c:v>
                </c:pt>
                <c:pt idx="16">
                  <c:v>-1.32</c:v>
                </c:pt>
                <c:pt idx="17">
                  <c:v>-6.97</c:v>
                </c:pt>
                <c:pt idx="18">
                  <c:v>-4.4000000000000004</c:v>
                </c:pt>
                <c:pt idx="19">
                  <c:v>-3.32</c:v>
                </c:pt>
              </c:numCache>
            </c:numRef>
          </c:val>
          <c:smooth val="0"/>
          <c:extLst>
            <c:ext xmlns:c16="http://schemas.microsoft.com/office/drawing/2014/chart" uri="{C3380CC4-5D6E-409C-BE32-E72D297353CC}">
              <c16:uniqueId val="{00000000-0774-417C-8B8F-09B2B3C28AB3}"/>
            </c:ext>
          </c:extLst>
        </c:ser>
        <c:ser>
          <c:idx val="1"/>
          <c:order val="1"/>
          <c:tx>
            <c:strRef>
              <c:f>Sheet2!$U$38</c:f>
              <c:strCache>
                <c:ptCount val="1"/>
                <c:pt idx="0">
                  <c:v>AOS</c:v>
                </c:pt>
              </c:strCache>
            </c:strRef>
          </c:tx>
          <c:spPr>
            <a:ln w="28575" cap="rnd">
              <a:solidFill>
                <a:srgbClr val="00B050"/>
              </a:solidFill>
              <a:round/>
            </a:ln>
            <a:effectLst/>
          </c:spPr>
          <c:marker>
            <c:symbol val="circle"/>
            <c:size val="5"/>
            <c:spPr>
              <a:solidFill>
                <a:schemeClr val="accent2"/>
              </a:solidFill>
              <a:ln w="9525">
                <a:solidFill>
                  <a:schemeClr val="accent2"/>
                </a:solidFill>
              </a:ln>
              <a:effectLst/>
              <a:scene3d>
                <a:camera prst="orthographicFront"/>
                <a:lightRig rig="threePt" dir="t"/>
              </a:scene3d>
              <a:sp3d>
                <a:bevelT prst="angle"/>
              </a:sp3d>
            </c:spPr>
          </c:marker>
          <c:cat>
            <c:multiLvlStrRef>
              <c:f>Sheet2!$R$39:$S$58</c:f>
              <c:multiLvlStrCache>
                <c:ptCount val="20"/>
                <c:lvl>
                  <c:pt idx="0">
                    <c:v>Cd</c:v>
                  </c:pt>
                  <c:pt idx="1">
                    <c:v>Cr</c:v>
                  </c:pt>
                  <c:pt idx="2">
                    <c:v>Pb</c:v>
                  </c:pt>
                  <c:pt idx="3">
                    <c:v>Hg</c:v>
                  </c:pt>
                  <c:pt idx="4">
                    <c:v>Cd</c:v>
                  </c:pt>
                  <c:pt idx="5">
                    <c:v>Cr</c:v>
                  </c:pt>
                  <c:pt idx="6">
                    <c:v>Pb</c:v>
                  </c:pt>
                  <c:pt idx="7">
                    <c:v>Hg</c:v>
                  </c:pt>
                  <c:pt idx="8">
                    <c:v>Cd</c:v>
                  </c:pt>
                  <c:pt idx="9">
                    <c:v>Cr</c:v>
                  </c:pt>
                  <c:pt idx="10">
                    <c:v>Pb</c:v>
                  </c:pt>
                  <c:pt idx="11">
                    <c:v>Hg</c:v>
                  </c:pt>
                  <c:pt idx="12">
                    <c:v>Cd</c:v>
                  </c:pt>
                  <c:pt idx="13">
                    <c:v>Cr</c:v>
                  </c:pt>
                  <c:pt idx="14">
                    <c:v>Pb</c:v>
                  </c:pt>
                  <c:pt idx="15">
                    <c:v>Hg</c:v>
                  </c:pt>
                  <c:pt idx="16">
                    <c:v>Cd</c:v>
                  </c:pt>
                  <c:pt idx="17">
                    <c:v>Cr</c:v>
                  </c:pt>
                  <c:pt idx="18">
                    <c:v>Pb</c:v>
                  </c:pt>
                  <c:pt idx="19">
                    <c:v>Hg</c:v>
                  </c:pt>
                </c:lvl>
                <c:lvl>
                  <c:pt idx="0">
                    <c:v>ST-1</c:v>
                  </c:pt>
                  <c:pt idx="4">
                    <c:v>ST-2</c:v>
                  </c:pt>
                  <c:pt idx="8">
                    <c:v>ST-3</c:v>
                  </c:pt>
                  <c:pt idx="12">
                    <c:v>ST-4</c:v>
                  </c:pt>
                  <c:pt idx="16">
                    <c:v>ST-5</c:v>
                  </c:pt>
                </c:lvl>
              </c:multiLvlStrCache>
            </c:multiLvlStrRef>
          </c:cat>
          <c:val>
            <c:numRef>
              <c:f>Sheet2!$U$39:$U$58</c:f>
              <c:numCache>
                <c:formatCode>General</c:formatCode>
                <c:ptCount val="20"/>
                <c:pt idx="0">
                  <c:v>3.78</c:v>
                </c:pt>
                <c:pt idx="1">
                  <c:v>0.28000000000000003</c:v>
                </c:pt>
                <c:pt idx="2">
                  <c:v>4.38</c:v>
                </c:pt>
                <c:pt idx="3">
                  <c:v>1.1200000000000001</c:v>
                </c:pt>
                <c:pt idx="4">
                  <c:v>3.27</c:v>
                </c:pt>
                <c:pt idx="5">
                  <c:v>-0.08</c:v>
                </c:pt>
                <c:pt idx="6">
                  <c:v>4.45</c:v>
                </c:pt>
                <c:pt idx="7">
                  <c:v>1.31</c:v>
                </c:pt>
                <c:pt idx="8">
                  <c:v>3.51</c:v>
                </c:pt>
                <c:pt idx="9">
                  <c:v>-0.16</c:v>
                </c:pt>
                <c:pt idx="10">
                  <c:v>4.32</c:v>
                </c:pt>
                <c:pt idx="11">
                  <c:v>1.0900000000000001</c:v>
                </c:pt>
                <c:pt idx="12">
                  <c:v>2.58</c:v>
                </c:pt>
                <c:pt idx="13">
                  <c:v>0.01</c:v>
                </c:pt>
                <c:pt idx="14">
                  <c:v>4.29</c:v>
                </c:pt>
                <c:pt idx="15">
                  <c:v>1.2</c:v>
                </c:pt>
                <c:pt idx="16">
                  <c:v>1.63</c:v>
                </c:pt>
                <c:pt idx="17">
                  <c:v>-0.3</c:v>
                </c:pt>
                <c:pt idx="18">
                  <c:v>4.17</c:v>
                </c:pt>
                <c:pt idx="19">
                  <c:v>0.94</c:v>
                </c:pt>
              </c:numCache>
            </c:numRef>
          </c:val>
          <c:smooth val="0"/>
          <c:extLst>
            <c:ext xmlns:c16="http://schemas.microsoft.com/office/drawing/2014/chart" uri="{C3380CC4-5D6E-409C-BE32-E72D297353CC}">
              <c16:uniqueId val="{00000001-0774-417C-8B8F-09B2B3C28AB3}"/>
            </c:ext>
          </c:extLst>
        </c:ser>
        <c:dLbls>
          <c:showLegendKey val="0"/>
          <c:showVal val="0"/>
          <c:showCatName val="0"/>
          <c:showSerName val="0"/>
          <c:showPercent val="0"/>
          <c:showBubbleSize val="0"/>
        </c:dLbls>
        <c:marker val="1"/>
        <c:smooth val="0"/>
        <c:axId val="116274336"/>
        <c:axId val="1937654832"/>
      </c:lineChart>
      <c:catAx>
        <c:axId val="116274336"/>
        <c:scaling>
          <c:orientation val="minMax"/>
        </c:scaling>
        <c:delete val="0"/>
        <c:axPos val="b"/>
        <c:title>
          <c:tx>
            <c:rich>
              <a:bodyPr rot="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r>
                  <a:rPr lang="en-IN" b="1">
                    <a:solidFill>
                      <a:sysClr val="windowText" lastClr="000000"/>
                    </a:solidFill>
                    <a:latin typeface="Times New Roman" panose="02020603050405020304" charset="0"/>
                    <a:cs typeface="Times New Roman" panose="02020603050405020304" charset="0"/>
                  </a:rPr>
                  <a:t>Heavy metals</a:t>
                </a:r>
                <a:r>
                  <a:rPr lang="en-IN" b="1" baseline="0">
                    <a:solidFill>
                      <a:sysClr val="windowText" lastClr="000000"/>
                    </a:solidFill>
                    <a:latin typeface="Times New Roman" panose="02020603050405020304" charset="0"/>
                    <a:cs typeface="Times New Roman" panose="02020603050405020304" charset="0"/>
                  </a:rPr>
                  <a:t> and stations</a:t>
                </a:r>
                <a:endParaRPr lang="en-IN" b="1">
                  <a:solidFill>
                    <a:sysClr val="windowText" lastClr="000000"/>
                  </a:solidFill>
                  <a:latin typeface="Times New Roman" panose="02020603050405020304" charset="0"/>
                  <a:cs typeface="Times New Roman" panose="02020603050405020304" charset="0"/>
                </a:endParaRPr>
              </a:p>
            </c:rich>
          </c:tx>
          <c:overlay val="0"/>
          <c:spPr>
            <a:noFill/>
            <a:ln>
              <a:noFill/>
            </a:ln>
            <a:effectLst/>
          </c:spPr>
          <c:txPr>
            <a:bodyPr rot="0" spcFirstLastPara="1" vertOverflow="ellipsis" vert="horz" wrap="square" anchor="ctr" anchorCtr="1"/>
            <a:lstStyle/>
            <a:p>
              <a:pPr>
                <a:defRPr lang="en-US" sz="1000" b="0" i="0" u="none" strike="noStrike" kern="1200" baseline="0">
                  <a:solidFill>
                    <a:sysClr val="windowText" lastClr="000000"/>
                  </a:solidFill>
                  <a:latin typeface="+mn-lt"/>
                  <a:ea typeface="+mn-ea"/>
                  <a:cs typeface="+mn-cs"/>
                </a:defRPr>
              </a:pPr>
              <a:endParaRPr lang="en-IN"/>
            </a:p>
          </c:txPr>
        </c:title>
        <c:numFmt formatCode="General" sourceLinked="1"/>
        <c:majorTickMark val="none"/>
        <c:minorTickMark val="none"/>
        <c:tickLblPos val="low"/>
        <c:spPr>
          <a:noFill/>
          <a:ln w="9525" cap="flat" cmpd="sng" algn="ctr">
            <a:solidFill>
              <a:schemeClr val="tx1"/>
            </a:solidFill>
            <a:round/>
            <a:tailEnd type="triangle"/>
          </a:ln>
          <a:effectLst/>
        </c:spPr>
        <c:txPr>
          <a:bodyPr rot="-6000000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mn-ea"/>
                <a:cs typeface="Times New Roman" panose="02020603050405020304" charset="0"/>
              </a:defRPr>
            </a:pPr>
            <a:endParaRPr lang="en-US"/>
          </a:p>
        </c:txPr>
        <c:crossAx val="1937654832"/>
        <c:crosses val="autoZero"/>
        <c:auto val="1"/>
        <c:lblAlgn val="ctr"/>
        <c:lblOffset val="100"/>
        <c:noMultiLvlLbl val="0"/>
      </c:catAx>
      <c:valAx>
        <c:axId val="193765483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en-US" sz="1000" b="0" i="0" u="none" strike="noStrike" kern="1200" baseline="0">
                    <a:solidFill>
                      <a:sysClr val="windowText" lastClr="000000"/>
                    </a:solidFill>
                    <a:latin typeface="+mn-lt"/>
                    <a:ea typeface="+mn-ea"/>
                    <a:cs typeface="+mn-cs"/>
                  </a:defRPr>
                </a:pPr>
                <a:r>
                  <a:rPr lang="en-IN" sz="1000" b="1" i="0" u="none" strike="noStrike" kern="1200" baseline="0">
                    <a:solidFill>
                      <a:sysClr val="windowText" lastClr="000000"/>
                    </a:solidFill>
                    <a:latin typeface="Times New Roman" panose="02020603050405020304" charset="0"/>
                    <a:cs typeface="Times New Roman" panose="02020603050405020304" charset="0"/>
                  </a:rPr>
                  <a:t> Concentration of heavy </a:t>
                </a:r>
              </a:p>
              <a:p>
                <a:pPr marL="0" marR="0" lvl="0" indent="0" algn="ctr" defTabSz="914400" rtl="0" eaLnBrk="1" fontAlgn="auto" latinLnBrk="0" hangingPunct="1">
                  <a:lnSpc>
                    <a:spcPct val="100000"/>
                  </a:lnSpc>
                  <a:spcBef>
                    <a:spcPts val="0"/>
                  </a:spcBef>
                  <a:spcAft>
                    <a:spcPts val="0"/>
                  </a:spcAft>
                  <a:buClrTx/>
                  <a:buSzTx/>
                  <a:buFontTx/>
                  <a:buNone/>
                  <a:defRPr>
                    <a:solidFill>
                      <a:sysClr val="windowText" lastClr="000000"/>
                    </a:solidFill>
                  </a:defRPr>
                </a:pPr>
                <a:r>
                  <a:rPr lang="en-IN" sz="1000" b="1" i="0" u="none" strike="noStrike" kern="1200" baseline="0">
                    <a:solidFill>
                      <a:sysClr val="windowText" lastClr="000000"/>
                    </a:solidFill>
                    <a:latin typeface="Times New Roman" panose="02020603050405020304" charset="0"/>
                    <a:cs typeface="Times New Roman" panose="02020603050405020304" charset="0"/>
                  </a:rPr>
                  <a:t>metals </a:t>
                </a:r>
                <a:r>
                  <a:rPr lang="en-IN" b="1">
                    <a:solidFill>
                      <a:sysClr val="windowText" lastClr="000000"/>
                    </a:solidFill>
                  </a:rPr>
                  <a:t>mg/kg</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lang="en-US" sz="1000" b="0" i="0" u="none" strike="noStrike" kern="1200" baseline="0">
                  <a:solidFill>
                    <a:sysClr val="windowText" lastClr="000000"/>
                  </a:solidFill>
                  <a:latin typeface="+mn-lt"/>
                  <a:ea typeface="+mn-ea"/>
                  <a:cs typeface="+mn-cs"/>
                </a:defRPr>
              </a:pPr>
              <a:endParaRPr lang="en-IN"/>
            </a:p>
          </c:txPr>
        </c:title>
        <c:numFmt formatCode="General" sourceLinked="1"/>
        <c:majorTickMark val="none"/>
        <c:minorTickMark val="none"/>
        <c:tickLblPos val="nextTo"/>
        <c:spPr>
          <a:noFill/>
          <a:ln>
            <a:solidFill>
              <a:schemeClr val="tx1"/>
            </a:solidFill>
            <a:tailEnd type="triangle"/>
          </a:ln>
          <a:effectLst/>
        </c:spPr>
        <c:txPr>
          <a:bodyPr rot="-6000000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mn-ea"/>
                <a:cs typeface="Times New Roman" panose="02020603050405020304" charset="0"/>
              </a:defRPr>
            </a:pPr>
            <a:endParaRPr lang="en-US"/>
          </a:p>
        </c:txPr>
        <c:crossAx val="116274336"/>
        <c:crosses val="autoZero"/>
        <c:crossBetween val="midCat"/>
      </c:valAx>
      <c:spPr>
        <a:noFill/>
        <a:ln>
          <a:noFill/>
        </a:ln>
        <a:effectLst/>
      </c:spPr>
    </c:plotArea>
    <c:legend>
      <c:legendPos val="t"/>
      <c:overlay val="0"/>
      <c:spPr>
        <a:noFill/>
        <a:ln>
          <a:noFill/>
        </a:ln>
        <a:effectLst/>
      </c:spPr>
      <c:txPr>
        <a:bodyPr rot="0" spcFirstLastPara="1" vertOverflow="ellipsis" vert="horz" wrap="square" anchor="ctr" anchorCtr="1"/>
        <a:lstStyle/>
        <a:p>
          <a:pPr>
            <a:defRPr lang="en-US" sz="900" b="1" i="0" u="none" strike="noStrike" kern="1200" baseline="0">
              <a:solidFill>
                <a:sysClr val="windowText" lastClr="000000"/>
              </a:solidFill>
              <a:latin typeface="Times New Roman" panose="02020603050405020304" charset="0"/>
              <a:ea typeface="+mn-ea"/>
              <a:cs typeface="Times New Roman" panose="02020603050405020304" charset="0"/>
            </a:defRPr>
          </a:pPr>
          <a:endParaRPr lang="en-US"/>
        </a:p>
      </c:txPr>
    </c:legend>
    <c:plotVisOnly val="1"/>
    <c:dispBlanksAs val="gap"/>
    <c:showDLblsOverMax val="0"/>
    <c:extLst>
      <c:ext uri="{0b15fc19-7d7d-44ad-8c2d-2c3a37ce22c3}">
        <chartProps xmlns="https://web.wps.cn/et/2018/main" chartId="{0864a3e7-e342-4baa-9ac7-98b63389898e}"/>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E3671-3F82-4938-99BC-93E9BDF5B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7004</Words>
  <Characters>39925</Characters>
  <Application>Microsoft Office Word</Application>
  <DocSecurity>0</DocSecurity>
  <Lines>332</Lines>
  <Paragraphs>93</Paragraphs>
  <ScaleCrop>false</ScaleCrop>
  <Company/>
  <LinksUpToDate>false</LinksUpToDate>
  <CharactersWithSpaces>46836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Anupama Vijay</dc:creator>
  <cp:lastModifiedBy>SDI 1084</cp:lastModifiedBy>
  <cp:revision>11</cp:revision>
  <dcterms:created xsi:type="dcterms:W3CDTF">2026-10-08T10:56:00Z</dcterms:created>
  <dcterms:modified xsi:type="dcterms:W3CDTF">2026-10-09T12:43:00Z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80a49db0-ce8f-458a-b763-8cd30b074973</vt:lpwstr>
  </property>
  <property fmtid="{D5CDD505-2E9C-101B-9397-08002B2CF9AE}" pid="3" name="KSOTemplateDocerSaveRecord">
    <vt:lpwstr>eyJoZGlkIjoiYTg2YWRmZGU0MDUxMGY0NWQyMTNhNjJiOTc3NzFiMjIiLCJ1c2VySWQiOiI1NjcxMzQ3MjY1NDcifQ==</vt:lpwstr>
  </property>
  <property fmtid="{D5CDD505-2E9C-101B-9397-08002B2CF9AE}" pid="4" name="KSOProductBuildVer">
    <vt:lpwstr>1033-12.1.0.28485</vt:lpwstr>
  </property>
  <property fmtid="{D5CDD505-2E9C-101B-9397-08002B2CF9AE}" pid="5" name="ICV">
    <vt:lpwstr>3083F5C174954B5EA65ECE199618FD99_12</vt:lpwstr>
  </property>
</Properties>
</file>