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9ACFE" w14:textId="77777777" w:rsidR="0032155E" w:rsidRPr="00DB223A" w:rsidRDefault="005426C5" w:rsidP="004F3DBA">
      <w:pPr>
        <w:pStyle w:val="Title"/>
        <w:spacing w:after="140" w:line="360" w:lineRule="auto"/>
        <w:rPr>
          <w:rFonts w:ascii="Times New Roman" w:hAnsi="Times New Roman"/>
          <w:sz w:val="24"/>
          <w:szCs w:val="24"/>
        </w:rPr>
      </w:pPr>
      <w:r w:rsidRPr="00DB223A">
        <w:rPr>
          <w:rFonts w:ascii="Times New Roman" w:hAnsi="Times New Roman"/>
          <w:sz w:val="24"/>
          <w:szCs w:val="24"/>
        </w:rPr>
        <w:t>Effects of Sickle Bush Pod Meal Supplementation on Nutrient Intake Apparent Digestibility and Nitrogen Balance in Blackhead Persian Sheep Fed Rhodes Grass Hay</w:t>
      </w:r>
    </w:p>
    <w:p w14:paraId="6CF8868B" w14:textId="77777777" w:rsidR="0032155E" w:rsidRPr="00DB223A" w:rsidRDefault="005426C5" w:rsidP="00934945">
      <w:pPr>
        <w:pStyle w:val="Heading1"/>
        <w:pageBreakBefore/>
        <w:spacing w:after="140" w:line="360" w:lineRule="auto"/>
        <w:jc w:val="both"/>
        <w:rPr>
          <w:rFonts w:ascii="Times New Roman" w:hAnsi="Times New Roman" w:cs="Times New Roman"/>
          <w:sz w:val="24"/>
          <w:szCs w:val="24"/>
        </w:rPr>
      </w:pPr>
      <w:r w:rsidRPr="00DB223A">
        <w:rPr>
          <w:rFonts w:ascii="Times New Roman" w:hAnsi="Times New Roman"/>
          <w:sz w:val="24"/>
          <w:szCs w:val="24"/>
        </w:rPr>
        <w:lastRenderedPageBreak/>
        <w:t>Abstract</w:t>
      </w:r>
    </w:p>
    <w:p w14:paraId="154E767D" w14:textId="77777777" w:rsidR="0032155E" w:rsidRPr="00DB223A" w:rsidRDefault="005426C5" w:rsidP="00934945">
      <w:pPr>
        <w:spacing w:after="140" w:line="360" w:lineRule="auto"/>
        <w:rPr>
          <w:rFonts w:cs="Times New Roman"/>
          <w:sz w:val="24"/>
          <w:szCs w:val="24"/>
        </w:rPr>
      </w:pPr>
      <w:r>
        <w:rPr>
          <w:sz w:val="24"/>
          <w:szCs w:val="24"/>
        </w:rPr>
        <w:t>This study evaluated sickle bush (</w:t>
      </w:r>
      <w:r w:rsidRPr="005F12FC">
        <w:rPr>
          <w:i/>
          <w:sz w:val="24"/>
          <w:szCs w:val="24"/>
        </w:rPr>
        <w:t>Dichrostachys cinerea</w:t>
      </w:r>
      <w:r>
        <w:rPr>
          <w:sz w:val="24"/>
          <w:szCs w:val="24"/>
        </w:rPr>
        <w:t>) pod meal supplementation of Rhodes grass (</w:t>
      </w:r>
      <w:r w:rsidRPr="005F12FC">
        <w:rPr>
          <w:i/>
          <w:sz w:val="24"/>
          <w:szCs w:val="24"/>
        </w:rPr>
        <w:t xml:space="preserve">Chloris </w:t>
      </w:r>
      <w:proofErr w:type="spellStart"/>
      <w:r w:rsidRPr="005F12FC">
        <w:rPr>
          <w:i/>
          <w:sz w:val="24"/>
          <w:szCs w:val="24"/>
        </w:rPr>
        <w:t>gayana</w:t>
      </w:r>
      <w:proofErr w:type="spellEnd"/>
      <w:r>
        <w:rPr>
          <w:sz w:val="24"/>
          <w:szCs w:val="24"/>
        </w:rPr>
        <w:t xml:space="preserve">) hay in growing Blackhead Persian sheep. Three male sheep with a mean initial body weight of 17.73 ± 0.09 kg (mean ± SD) received hay alone or hay supplemented with 200 or 300 g pod meal/day as fed in a 3 × 3 Latin square. Each period comprised 7 days of adaptation and 5 days of total </w:t>
      </w:r>
      <w:proofErr w:type="spellStart"/>
      <w:r>
        <w:rPr>
          <w:sz w:val="24"/>
          <w:szCs w:val="24"/>
        </w:rPr>
        <w:t>faecal</w:t>
      </w:r>
      <w:proofErr w:type="spellEnd"/>
      <w:r>
        <w:rPr>
          <w:sz w:val="24"/>
          <w:szCs w:val="24"/>
        </w:rPr>
        <w:t xml:space="preserve"> and urine collection. Pod meal contained 186.5 g crude protein/kg dry matter (DM), compared with 35.0 g/kg DM in hay. Total DM intake was 296.2, 460.5 and 625.5 g/day in the control, 200 and 300 g/day treatments, respectively (P = 0.0059), with all three means differing in the pairwise comparisons. Organic matter and </w:t>
      </w:r>
      <w:proofErr w:type="spellStart"/>
      <w:r>
        <w:rPr>
          <w:sz w:val="24"/>
          <w:szCs w:val="24"/>
        </w:rPr>
        <w:t>fibre</w:t>
      </w:r>
      <w:proofErr w:type="spellEnd"/>
      <w:r>
        <w:rPr>
          <w:sz w:val="24"/>
          <w:szCs w:val="24"/>
        </w:rPr>
        <w:t xml:space="preserve"> intakes also differed among all treatments, whereas crude protein intake was greater in both supplemented treatments than in the control but did not differ between supplementation levels. Apparent DM, organic matter and neutral detergent </w:t>
      </w:r>
      <w:proofErr w:type="spellStart"/>
      <w:r>
        <w:rPr>
          <w:sz w:val="24"/>
          <w:szCs w:val="24"/>
        </w:rPr>
        <w:t>fibre</w:t>
      </w:r>
      <w:proofErr w:type="spellEnd"/>
      <w:r>
        <w:rPr>
          <w:sz w:val="24"/>
          <w:szCs w:val="24"/>
        </w:rPr>
        <w:t xml:space="preserve"> digestibility showed exploratory tendencies toward treatment differences (P = 0.059, 0.057 and 0.069), whereas crude protein digestibility did not differ significantly. The overall treatment effect on acid detergent </w:t>
      </w:r>
      <w:proofErr w:type="spellStart"/>
      <w:r>
        <w:rPr>
          <w:sz w:val="24"/>
          <w:szCs w:val="24"/>
        </w:rPr>
        <w:t>fibre</w:t>
      </w:r>
      <w:proofErr w:type="spellEnd"/>
      <w:r>
        <w:rPr>
          <w:sz w:val="24"/>
          <w:szCs w:val="24"/>
        </w:rPr>
        <w:t xml:space="preserve"> digestibility was significant (P = 0.048), although no Tukey-adjusted pairwise difference was detected. Nitrogen retention was 0.5, 3.6 and 4.3 g/day, respectively (P = 0.022); both supplemented treatments exceeded the control but did not differ from each other. Nitrogen retention as a percentage of intake showed an exploratory tendency toward treatment differences (P = 0.065), while retention as a percentage of digested nitrogen and body-weight change did not differ significantly. Supplementation increased total nutrient intake and absolute nitrogen retention, without establishing improved nitrogen-use efficiency, a general digestibility benefit or a growth response. </w:t>
      </w:r>
    </w:p>
    <w:p w14:paraId="7E2453C7" w14:textId="77777777" w:rsidR="0032155E" w:rsidRPr="00DB223A" w:rsidRDefault="005426C5" w:rsidP="00934945">
      <w:pPr>
        <w:spacing w:before="60" w:after="140" w:line="360" w:lineRule="auto"/>
        <w:rPr>
          <w:sz w:val="24"/>
          <w:szCs w:val="24"/>
        </w:rPr>
      </w:pPr>
      <w:r w:rsidRPr="00DB223A">
        <w:rPr>
          <w:b/>
          <w:sz w:val="24"/>
          <w:szCs w:val="24"/>
        </w:rPr>
        <w:t>Keywords:</w:t>
      </w:r>
      <w:r w:rsidRPr="00DB223A">
        <w:rPr>
          <w:sz w:val="24"/>
          <w:szCs w:val="24"/>
        </w:rPr>
        <w:t xml:space="preserve"> Blackhead Persian sheep; </w:t>
      </w:r>
      <w:r w:rsidRPr="00DB223A">
        <w:rPr>
          <w:i/>
          <w:sz w:val="24"/>
          <w:szCs w:val="24"/>
        </w:rPr>
        <w:t>Dichrostachys cinerea</w:t>
      </w:r>
      <w:r w:rsidRPr="00DB223A">
        <w:rPr>
          <w:sz w:val="24"/>
          <w:szCs w:val="24"/>
        </w:rPr>
        <w:t>; dry-season feeding; nitrogen balance; Rhodes grass hay; tropical browse</w:t>
      </w:r>
    </w:p>
    <w:p w14:paraId="52AEE63D" w14:textId="77777777" w:rsidR="00934945" w:rsidRPr="00DB223A" w:rsidRDefault="00934945" w:rsidP="00934945">
      <w:pPr>
        <w:spacing w:before="60" w:after="140" w:line="360" w:lineRule="auto"/>
        <w:rPr>
          <w:sz w:val="24"/>
          <w:szCs w:val="24"/>
        </w:rPr>
      </w:pPr>
    </w:p>
    <w:p w14:paraId="1AC39033" w14:textId="77777777" w:rsidR="00934945" w:rsidRPr="00DB223A" w:rsidRDefault="00934945" w:rsidP="00934945">
      <w:pPr>
        <w:spacing w:before="60" w:after="140" w:line="360" w:lineRule="auto"/>
        <w:rPr>
          <w:sz w:val="24"/>
          <w:szCs w:val="24"/>
        </w:rPr>
      </w:pPr>
    </w:p>
    <w:p w14:paraId="5B7FA66E" w14:textId="77777777" w:rsidR="00660CAC" w:rsidRPr="00DB223A" w:rsidRDefault="00660CAC" w:rsidP="00934945">
      <w:pPr>
        <w:spacing w:before="60" w:after="140" w:line="360" w:lineRule="auto"/>
        <w:rPr>
          <w:sz w:val="24"/>
          <w:szCs w:val="24"/>
        </w:rPr>
      </w:pPr>
    </w:p>
    <w:p w14:paraId="4B20A2C0" w14:textId="77777777" w:rsidR="00DB223A" w:rsidRPr="00DB223A" w:rsidRDefault="00DB223A" w:rsidP="00934945">
      <w:pPr>
        <w:spacing w:before="60" w:after="140" w:line="360" w:lineRule="auto"/>
        <w:rPr>
          <w:sz w:val="24"/>
          <w:szCs w:val="24"/>
        </w:rPr>
      </w:pPr>
    </w:p>
    <w:p w14:paraId="3E1082F5" w14:textId="77777777" w:rsidR="00DB223A" w:rsidRPr="00DB223A" w:rsidRDefault="00DB223A" w:rsidP="00934945">
      <w:pPr>
        <w:spacing w:before="60" w:after="140" w:line="360" w:lineRule="auto"/>
        <w:rPr>
          <w:sz w:val="24"/>
          <w:szCs w:val="24"/>
        </w:rPr>
      </w:pPr>
    </w:p>
    <w:p w14:paraId="1A7CB75D" w14:textId="77777777" w:rsidR="00660CAC" w:rsidRPr="00DB223A" w:rsidRDefault="00660CAC" w:rsidP="00934945">
      <w:pPr>
        <w:spacing w:before="60" w:after="140" w:line="360" w:lineRule="auto"/>
        <w:rPr>
          <w:sz w:val="24"/>
          <w:szCs w:val="24"/>
        </w:rPr>
      </w:pPr>
    </w:p>
    <w:p w14:paraId="3D9333C4" w14:textId="77777777" w:rsidR="0032155E" w:rsidRPr="00DB223A" w:rsidRDefault="005426C5" w:rsidP="004F3DBA">
      <w:pPr>
        <w:pStyle w:val="Heading1"/>
        <w:spacing w:after="140" w:line="360" w:lineRule="auto"/>
        <w:jc w:val="both"/>
        <w:rPr>
          <w:rFonts w:ascii="Times New Roman" w:hAnsi="Times New Roman" w:cs="Times New Roman"/>
          <w:sz w:val="24"/>
          <w:szCs w:val="24"/>
        </w:rPr>
      </w:pPr>
      <w:r w:rsidRPr="00DB223A">
        <w:rPr>
          <w:rFonts w:ascii="Times New Roman" w:hAnsi="Times New Roman"/>
          <w:sz w:val="24"/>
          <w:szCs w:val="24"/>
        </w:rPr>
        <w:lastRenderedPageBreak/>
        <w:t>Introduction</w:t>
      </w:r>
    </w:p>
    <w:p w14:paraId="5335BCE5" w14:textId="77777777" w:rsidR="00EB6693" w:rsidRPr="00DB223A" w:rsidRDefault="00EB6693" w:rsidP="004F3DBA">
      <w:pPr>
        <w:spacing w:after="140" w:line="360" w:lineRule="auto"/>
        <w:rPr>
          <w:sz w:val="24"/>
          <w:szCs w:val="24"/>
        </w:rPr>
      </w:pPr>
      <w:r w:rsidRPr="00DB223A">
        <w:rPr>
          <w:sz w:val="24"/>
          <w:szCs w:val="24"/>
        </w:rPr>
        <w:t>Low-quality forage is a major constraint to small-ruminant production in tropical and subtropical regions, particularly during the prolonged dry season when the quantity and nutritive value of natural pasture decline. Surveys of mixed crop-livestock systems in sub-Saharan Africa consistently identify dry-season feed scarcity as a major limitation to livestock productivity, with farmers relying heavily on mature natural pasture, crop residues and other fibrous feeds of low nutritive value (</w:t>
      </w:r>
      <w:proofErr w:type="spellStart"/>
      <w:r w:rsidRPr="00DB223A">
        <w:rPr>
          <w:sz w:val="24"/>
          <w:szCs w:val="24"/>
        </w:rPr>
        <w:t>Duguma</w:t>
      </w:r>
      <w:proofErr w:type="spellEnd"/>
      <w:r w:rsidRPr="00DB223A">
        <w:rPr>
          <w:sz w:val="24"/>
          <w:szCs w:val="24"/>
        </w:rPr>
        <w:t xml:space="preserve"> </w:t>
      </w:r>
      <w:r w:rsidR="004F3DBA" w:rsidRPr="00DB223A">
        <w:rPr>
          <w:sz w:val="24"/>
          <w:szCs w:val="24"/>
        </w:rPr>
        <w:t>and</w:t>
      </w:r>
      <w:r w:rsidRPr="00DB223A">
        <w:rPr>
          <w:sz w:val="24"/>
          <w:szCs w:val="24"/>
        </w:rPr>
        <w:t xml:space="preserve"> Janssens, 2021; </w:t>
      </w:r>
      <w:proofErr w:type="spellStart"/>
      <w:r w:rsidRPr="00DB223A">
        <w:rPr>
          <w:sz w:val="24"/>
          <w:szCs w:val="24"/>
        </w:rPr>
        <w:t>Orounladji</w:t>
      </w:r>
      <w:proofErr w:type="spellEnd"/>
      <w:r w:rsidRPr="00DB223A">
        <w:rPr>
          <w:sz w:val="24"/>
          <w:szCs w:val="24"/>
        </w:rPr>
        <w:t xml:space="preserve"> et al., 2025). As tropical grasses mature, the proportion of structural carbohydrates increases, while crude protein concentration and digestibility generally decline. For example, delayed harvesting of tropical grass has been associated with increased neutral and acid detergent </w:t>
      </w:r>
      <w:proofErr w:type="spellStart"/>
      <w:r w:rsidRPr="00DB223A">
        <w:rPr>
          <w:sz w:val="24"/>
          <w:szCs w:val="24"/>
        </w:rPr>
        <w:t>fibre</w:t>
      </w:r>
      <w:proofErr w:type="spellEnd"/>
      <w:r w:rsidRPr="00DB223A">
        <w:rPr>
          <w:sz w:val="24"/>
          <w:szCs w:val="24"/>
        </w:rPr>
        <w:t xml:space="preserve"> concentrations and reductions in crude protein concentration and in vitro dry matter digestibility (</w:t>
      </w:r>
      <w:proofErr w:type="spellStart"/>
      <w:r w:rsidRPr="00DB223A">
        <w:rPr>
          <w:sz w:val="24"/>
          <w:szCs w:val="24"/>
        </w:rPr>
        <w:t>Andualem</w:t>
      </w:r>
      <w:proofErr w:type="spellEnd"/>
      <w:r w:rsidRPr="00DB223A">
        <w:rPr>
          <w:sz w:val="24"/>
          <w:szCs w:val="24"/>
        </w:rPr>
        <w:t xml:space="preserve"> </w:t>
      </w:r>
      <w:r w:rsidR="004F3DBA" w:rsidRPr="00DB223A">
        <w:rPr>
          <w:sz w:val="24"/>
          <w:szCs w:val="24"/>
        </w:rPr>
        <w:t>and</w:t>
      </w:r>
      <w:r w:rsidRPr="00DB223A">
        <w:rPr>
          <w:sz w:val="24"/>
          <w:szCs w:val="24"/>
        </w:rPr>
        <w:t xml:space="preserve"> Hundessa, 2022). These changes reduce the supply of fermentable nutrients and nitrogen required by rumen microorganisms, potentially limiting microbial growth, </w:t>
      </w:r>
      <w:proofErr w:type="spellStart"/>
      <w:r w:rsidRPr="00DB223A">
        <w:rPr>
          <w:sz w:val="24"/>
          <w:szCs w:val="24"/>
        </w:rPr>
        <w:t>fibre</w:t>
      </w:r>
      <w:proofErr w:type="spellEnd"/>
      <w:r w:rsidRPr="00DB223A">
        <w:rPr>
          <w:sz w:val="24"/>
          <w:szCs w:val="24"/>
        </w:rPr>
        <w:t xml:space="preserve"> degradation, voluntary feed intake and the availability of absorbed nutrients to the animal.</w:t>
      </w:r>
    </w:p>
    <w:p w14:paraId="4F9C7D19" w14:textId="77777777" w:rsidR="00EB6693" w:rsidRPr="00DB223A" w:rsidRDefault="00EB6693" w:rsidP="004F3DBA">
      <w:pPr>
        <w:spacing w:after="140" w:line="360" w:lineRule="auto"/>
        <w:rPr>
          <w:sz w:val="24"/>
          <w:szCs w:val="24"/>
        </w:rPr>
      </w:pPr>
      <w:r w:rsidRPr="00DB223A">
        <w:rPr>
          <w:sz w:val="24"/>
          <w:szCs w:val="24"/>
        </w:rPr>
        <w:t xml:space="preserve">Supplementation of poor-quality roughages with protein-rich feed resources can partly overcome these nutritional limitations by supplying nitrogen and other nutrients required for efficient rumen fermentation. Conventional protein concentrates may be effective, but their price, seasonal availability and competition with human and monogastric-animal feeding can restrict their use in smallholder production systems. Consequently, increasing attention has been given to locally available browse plants, fodder trees, forage legumes and agricultural by-products that can be harvested, processed and stored for dry-season feeding. A recent meta-analysis showed that browse species and forage legumes generally contain appreciable concentrations of crude protein and that their inclusion in low-quality basal diets can improve dry matter intake, apparent nutrient digestibility and animal performance (Belete et al., 2024). Similarly, </w:t>
      </w:r>
      <w:proofErr w:type="spellStart"/>
      <w:r w:rsidRPr="00DB223A">
        <w:rPr>
          <w:sz w:val="24"/>
          <w:szCs w:val="24"/>
        </w:rPr>
        <w:t>Fasae</w:t>
      </w:r>
      <w:proofErr w:type="spellEnd"/>
      <w:r w:rsidRPr="00DB223A">
        <w:rPr>
          <w:sz w:val="24"/>
          <w:szCs w:val="24"/>
        </w:rPr>
        <w:t xml:space="preserve"> and </w:t>
      </w:r>
      <w:proofErr w:type="spellStart"/>
      <w:r w:rsidRPr="00DB223A">
        <w:rPr>
          <w:sz w:val="24"/>
          <w:szCs w:val="24"/>
        </w:rPr>
        <w:t>Adelusi</w:t>
      </w:r>
      <w:proofErr w:type="spellEnd"/>
      <w:r w:rsidRPr="00DB223A">
        <w:rPr>
          <w:sz w:val="24"/>
          <w:szCs w:val="24"/>
        </w:rPr>
        <w:t xml:space="preserve"> (2024) concluded that fodder-tree legumes can provide supplemental nitrogen, improve digestibility and nitrogen retention, and contribute to more resilient sheep and goat feeding systems during periods of forage scarcity.</w:t>
      </w:r>
    </w:p>
    <w:p w14:paraId="4178151A" w14:textId="77777777" w:rsidR="00EB6693" w:rsidRPr="00DB223A" w:rsidRDefault="00EB6693" w:rsidP="004F3DBA">
      <w:pPr>
        <w:spacing w:after="140" w:line="360" w:lineRule="auto"/>
        <w:rPr>
          <w:sz w:val="24"/>
          <w:szCs w:val="24"/>
        </w:rPr>
      </w:pPr>
      <w:r w:rsidRPr="00DB223A">
        <w:rPr>
          <w:sz w:val="24"/>
          <w:szCs w:val="24"/>
        </w:rPr>
        <w:t>Sickle bush (</w:t>
      </w:r>
      <w:r w:rsidRPr="00DB223A">
        <w:rPr>
          <w:i/>
          <w:sz w:val="24"/>
          <w:szCs w:val="24"/>
        </w:rPr>
        <w:t>Dichrostachys cinerea</w:t>
      </w:r>
      <w:r w:rsidRPr="00DB223A">
        <w:rPr>
          <w:sz w:val="24"/>
          <w:szCs w:val="24"/>
        </w:rPr>
        <w:t xml:space="preserve">) is a drought-tolerant woody legume widely distributed in the savannah and semi-arid regions of Africa. It produces pods during the dry season, when herbaceous forage is often scarce and nutritionally inadequate. The pods can be collected, sun-dried, ground and stored, making them a potentially useful protein supplement for smallholder sheep and goat production. Earlier studies demonstrated that </w:t>
      </w:r>
      <w:r w:rsidRPr="00DB223A">
        <w:rPr>
          <w:i/>
          <w:sz w:val="24"/>
          <w:szCs w:val="24"/>
        </w:rPr>
        <w:t>D. cinerea</w:t>
      </w:r>
      <w:r w:rsidRPr="00DB223A">
        <w:rPr>
          <w:sz w:val="24"/>
          <w:szCs w:val="24"/>
        </w:rPr>
        <w:t xml:space="preserve"> fruits can supply protein and support nutrient intake and utilization in goats fed poor-quality roughages (Mlambo et al., 2004; Smith et al., 2005). Other locally available pod meals have also improved nutrient intake, digestibility and nitrogen retention when used </w:t>
      </w:r>
      <w:r w:rsidRPr="00DB223A">
        <w:rPr>
          <w:sz w:val="24"/>
          <w:szCs w:val="24"/>
        </w:rPr>
        <w:lastRenderedPageBreak/>
        <w:t>to supplement fibrous crop residues (</w:t>
      </w:r>
      <w:proofErr w:type="spellStart"/>
      <w:r w:rsidRPr="00DB223A">
        <w:rPr>
          <w:sz w:val="24"/>
          <w:szCs w:val="24"/>
        </w:rPr>
        <w:t>Kanyinji</w:t>
      </w:r>
      <w:proofErr w:type="spellEnd"/>
      <w:r w:rsidRPr="00DB223A">
        <w:rPr>
          <w:sz w:val="24"/>
          <w:szCs w:val="24"/>
        </w:rPr>
        <w:t xml:space="preserve"> et al., 2017). These findings suggest that dry-season browse pods may provide a practical means of converting underutilized local plant resources into livestock feed.</w:t>
      </w:r>
    </w:p>
    <w:p w14:paraId="36CE6B4D" w14:textId="77777777" w:rsidR="00EB6693" w:rsidRPr="00DB223A" w:rsidRDefault="00EB6693" w:rsidP="004F3DBA">
      <w:pPr>
        <w:spacing w:after="140" w:line="360" w:lineRule="auto"/>
        <w:rPr>
          <w:sz w:val="24"/>
          <w:szCs w:val="24"/>
        </w:rPr>
      </w:pPr>
      <w:r w:rsidRPr="00DB223A">
        <w:rPr>
          <w:sz w:val="24"/>
          <w:szCs w:val="24"/>
        </w:rPr>
        <w:t xml:space="preserve">Nevertheless, the feeding value of browse pods cannot be predicted from crude protein concentration alone. Browse species may contain condensed tannins and other secondary plant metabolites that can bind dietary protein and carbohydrates, alter rumen fermentation and reduce nutrient availability when present at high concentrations. At moderate concentrations, however, tannins may protect dietary protein from excessive ruminal degradation and provide other potential benefits. Their overall effect depends on tannin concentration and structure, the amount of browse consumed, the composition of the basal diet and the animal species involved (Kelln et al., 2021). The nutritional response to </w:t>
      </w:r>
      <w:r w:rsidRPr="00DB223A">
        <w:rPr>
          <w:i/>
          <w:sz w:val="24"/>
          <w:szCs w:val="24"/>
        </w:rPr>
        <w:t>D. cinerea</w:t>
      </w:r>
      <w:r w:rsidRPr="00DB223A">
        <w:rPr>
          <w:sz w:val="24"/>
          <w:szCs w:val="24"/>
        </w:rPr>
        <w:t xml:space="preserve"> pod meal may therefore vary with supplementation level, and results obtained in goats or with other basal roughages cannot be assumed to apply directly to sheep consuming mature Rhodes grass hay.</w:t>
      </w:r>
    </w:p>
    <w:p w14:paraId="27F72F2F" w14:textId="77777777" w:rsidR="00EB6693" w:rsidRPr="00DB223A" w:rsidRDefault="00EB6693" w:rsidP="004F3DBA">
      <w:pPr>
        <w:spacing w:after="140" w:line="360" w:lineRule="auto"/>
        <w:rPr>
          <w:sz w:val="24"/>
          <w:szCs w:val="24"/>
        </w:rPr>
      </w:pPr>
      <w:r>
        <w:rPr>
          <w:sz w:val="24"/>
          <w:szCs w:val="24"/>
        </w:rPr>
        <w:t xml:space="preserve">Despite the potential availability of D. cinerea pods during the dry season, information on their use as a supplement for sheep fed mature Rhodes grass (Chloris </w:t>
      </w:r>
      <w:proofErr w:type="spellStart"/>
      <w:r>
        <w:rPr>
          <w:sz w:val="24"/>
          <w:szCs w:val="24"/>
        </w:rPr>
        <w:t>gayana</w:t>
      </w:r>
      <w:proofErr w:type="spellEnd"/>
      <w:r>
        <w:rPr>
          <w:sz w:val="24"/>
          <w:szCs w:val="24"/>
        </w:rPr>
        <w:t xml:space="preserve">) hay remains limited. In particular, evidence is required on whether pod-meal supplementation improves total feed intake, apparent total-tract digestibility and nitrogen utilization under a low-quality roughage feeding system. This study therefore evaluated the effects of supplementing Rhodes grass hay with 0, 200 or 300 g of sickle bush pod meal per sheep daily on nutrient intake, apparent total-tract digestibility, nitrogen balance and short-term body-weight change. We hypothesized that sickle bush pod meal supplementation would increase nutrient intake, apparent digestibility and nitrogen retention relative to an </w:t>
      </w:r>
      <w:proofErr w:type="spellStart"/>
      <w:r>
        <w:rPr>
          <w:sz w:val="24"/>
          <w:szCs w:val="24"/>
        </w:rPr>
        <w:t>unsupplemented</w:t>
      </w:r>
      <w:proofErr w:type="spellEnd"/>
      <w:r>
        <w:rPr>
          <w:sz w:val="24"/>
          <w:szCs w:val="24"/>
        </w:rPr>
        <w:t xml:space="preserve"> Rhodes grass hay diet.</w:t>
      </w:r>
    </w:p>
    <w:p w14:paraId="50D9D91E" w14:textId="77777777" w:rsidR="0032155E" w:rsidRPr="00DB223A" w:rsidRDefault="005426C5" w:rsidP="004F3DBA">
      <w:pPr>
        <w:pStyle w:val="Heading1"/>
        <w:spacing w:after="140" w:line="360" w:lineRule="auto"/>
        <w:jc w:val="both"/>
        <w:rPr>
          <w:rFonts w:ascii="Times New Roman" w:hAnsi="Times New Roman" w:cs="Times New Roman"/>
          <w:sz w:val="24"/>
          <w:szCs w:val="24"/>
        </w:rPr>
      </w:pPr>
      <w:r w:rsidRPr="00DB223A">
        <w:rPr>
          <w:rFonts w:ascii="Times New Roman" w:hAnsi="Times New Roman"/>
          <w:sz w:val="24"/>
          <w:szCs w:val="24"/>
        </w:rPr>
        <w:t>Materials and Methods</w:t>
      </w:r>
    </w:p>
    <w:p w14:paraId="506B32D5"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Study site and preparation of feeds</w:t>
      </w:r>
    </w:p>
    <w:p w14:paraId="3B89F48A" w14:textId="77777777" w:rsidR="0032155E" w:rsidRPr="00DB223A" w:rsidRDefault="005426C5" w:rsidP="004F3DBA">
      <w:pPr>
        <w:spacing w:after="140" w:line="360" w:lineRule="auto"/>
        <w:rPr>
          <w:rFonts w:cs="Times New Roman"/>
          <w:sz w:val="24"/>
          <w:szCs w:val="24"/>
        </w:rPr>
      </w:pPr>
      <w:r w:rsidRPr="00DB223A">
        <w:rPr>
          <w:rFonts w:cs="Times New Roman"/>
          <w:sz w:val="24"/>
          <w:szCs w:val="24"/>
        </w:rPr>
        <w:t>Ripe sickle bush pods were collected by hand in Katete District, Eastern Province, Zambia (approximately 13.8-14.5° S and 31.5-32.3° E). The pods were sun-dried, ground into meal, bagged and stored in a cool, dry place. The feeding study was conducted at the Natural Resources Development College in Lusaka, Zambia. Representative samples of Rhodes grass hay and sickle bush pod meal were retained for laboratory analysis.</w:t>
      </w:r>
    </w:p>
    <w:p w14:paraId="36771FD6"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Animals, experimental design and treatments</w:t>
      </w:r>
    </w:p>
    <w:p w14:paraId="130D1615" w14:textId="77777777" w:rsidR="00BC709C" w:rsidRPr="00DB223A" w:rsidRDefault="00BC709C" w:rsidP="004F3DBA">
      <w:pPr>
        <w:spacing w:after="140" w:line="360" w:lineRule="auto"/>
        <w:rPr>
          <w:rFonts w:cs="Times New Roman"/>
          <w:sz w:val="24"/>
          <w:szCs w:val="24"/>
        </w:rPr>
      </w:pPr>
      <w:r w:rsidRPr="00DB223A">
        <w:rPr>
          <w:rFonts w:cs="Times New Roman"/>
          <w:sz w:val="24"/>
          <w:szCs w:val="24"/>
        </w:rPr>
        <w:t xml:space="preserve">Formal ethical approval was not obtained prior to the commencement of this study. However, the animals were monitored throughout the experiment, no adverse clinical signs were observed, and all </w:t>
      </w:r>
      <w:r w:rsidRPr="00DB223A">
        <w:rPr>
          <w:rFonts w:cs="Times New Roman"/>
          <w:sz w:val="24"/>
          <w:szCs w:val="24"/>
        </w:rPr>
        <w:lastRenderedPageBreak/>
        <w:t>procedures were conducted in accordance with the principles of humane animal treatment intended to minimize discomfort</w:t>
      </w:r>
    </w:p>
    <w:p w14:paraId="7814E616" w14:textId="77777777" w:rsidR="0032155E" w:rsidRPr="00DB223A" w:rsidRDefault="005426C5" w:rsidP="004F3DBA">
      <w:pPr>
        <w:spacing w:after="140" w:line="360" w:lineRule="auto"/>
        <w:rPr>
          <w:rFonts w:cs="Times New Roman"/>
          <w:sz w:val="24"/>
          <w:szCs w:val="24"/>
        </w:rPr>
      </w:pPr>
      <w:r>
        <w:t xml:space="preserve">Three healthy growing male Blackhead Persian sheep with an initial body weight of 17.73 ± 0.09 kg (mean ± SD) were housed individually in metabolism cages. The experiment used one 3 × 3 Latin square comprising three sheep, three treatments and three periods. Before the first period, sheep were randomly assigned to the three cyclic treatment sequences shown in </w:t>
      </w:r>
      <w:r w:rsidRPr="006475D2">
        <w:rPr>
          <w:b/>
        </w:rPr>
        <w:t>Table 1</w:t>
      </w:r>
      <w:r>
        <w:t>: A–B–C, B–C–A and C–A–B. Treatments were then rotated according to these sequences. Thus, each sheep received every treatment once, and each treatment occurred once in each period. The specific randomization procedure was not documented. Replicated 3 × 3 Latin squares have been used in sheep metabolism studies (Galvani et al., 2010).</w:t>
      </w:r>
    </w:p>
    <w:p w14:paraId="54CBDE9D" w14:textId="77777777" w:rsidR="00EB6693" w:rsidRPr="004F3DBA" w:rsidRDefault="00EB6693" w:rsidP="001C6C78">
      <w:pPr>
        <w:spacing w:before="100" w:beforeAutospacing="1" w:after="0" w:line="360" w:lineRule="auto"/>
        <w:outlineLvl w:val="1"/>
        <w:rPr>
          <w:rFonts w:eastAsia="Times New Roman" w:cs="Times New Roman"/>
          <w:b/>
          <w:bCs/>
          <w:sz w:val="24"/>
          <w:szCs w:val="24"/>
        </w:rPr>
      </w:pPr>
      <w:r w:rsidRPr="004F3DBA">
        <w:rPr>
          <w:rFonts w:cs="Times New Roman"/>
          <w:sz w:val="24"/>
          <w:szCs w:val="24"/>
        </w:rPr>
        <w:t>Table 1. Layout of the 3 × 3 Latin Square Design</w:t>
      </w:r>
    </w:p>
    <w:tbl>
      <w:tblPr>
        <w:tblW w:w="9781" w:type="dxa"/>
        <w:tblLayout w:type="fixed"/>
        <w:tblLook w:val="04A0" w:firstRow="1" w:lastRow="0" w:firstColumn="1" w:lastColumn="0" w:noHBand="0" w:noVBand="1"/>
      </w:tblPr>
      <w:tblGrid>
        <w:gridCol w:w="1649"/>
        <w:gridCol w:w="2716"/>
        <w:gridCol w:w="2716"/>
        <w:gridCol w:w="2700"/>
      </w:tblGrid>
      <w:tr w:rsidR="00EB6693" w:rsidRPr="004F3DBA" w14:paraId="4F20C783" w14:textId="77777777" w:rsidTr="001C6C78">
        <w:tc>
          <w:tcPr>
            <w:tcW w:w="1624" w:type="dxa"/>
            <w:tcBorders>
              <w:top w:val="single" w:sz="18" w:space="0" w:color="auto"/>
              <w:bottom w:val="single" w:sz="18" w:space="0" w:color="auto"/>
            </w:tcBorders>
            <w:hideMark/>
          </w:tcPr>
          <w:p w14:paraId="2C281A5B" w14:textId="77777777" w:rsidR="00EB6693" w:rsidRPr="004F3DBA" w:rsidRDefault="00EB6693" w:rsidP="001C6C78">
            <w:pPr>
              <w:spacing w:after="0" w:line="360" w:lineRule="auto"/>
              <w:rPr>
                <w:rFonts w:eastAsia="Times New Roman" w:cs="Times New Roman"/>
                <w:b/>
                <w:bCs/>
                <w:sz w:val="24"/>
                <w:szCs w:val="24"/>
              </w:rPr>
            </w:pPr>
            <w:r w:rsidRPr="004F3DBA">
              <w:rPr>
                <w:rFonts w:eastAsia="Times New Roman" w:cs="Times New Roman"/>
                <w:b/>
                <w:bCs/>
                <w:sz w:val="24"/>
                <w:szCs w:val="24"/>
              </w:rPr>
              <w:t xml:space="preserve">Animal </w:t>
            </w:r>
          </w:p>
        </w:tc>
        <w:tc>
          <w:tcPr>
            <w:tcW w:w="2674" w:type="dxa"/>
            <w:tcBorders>
              <w:top w:val="single" w:sz="18" w:space="0" w:color="auto"/>
              <w:bottom w:val="single" w:sz="18" w:space="0" w:color="auto"/>
            </w:tcBorders>
            <w:hideMark/>
          </w:tcPr>
          <w:p w14:paraId="1987EF6D" w14:textId="77777777" w:rsidR="00EB6693" w:rsidRPr="004F3DBA" w:rsidRDefault="00EB6693" w:rsidP="001C6C78">
            <w:pPr>
              <w:spacing w:after="0" w:line="360" w:lineRule="auto"/>
              <w:jc w:val="center"/>
              <w:rPr>
                <w:rFonts w:eastAsia="Times New Roman" w:cs="Times New Roman"/>
                <w:b/>
                <w:bCs/>
                <w:sz w:val="24"/>
                <w:szCs w:val="24"/>
              </w:rPr>
            </w:pPr>
            <w:r w:rsidRPr="004F3DBA">
              <w:rPr>
                <w:rFonts w:eastAsia="Times New Roman" w:cs="Times New Roman"/>
                <w:b/>
                <w:bCs/>
                <w:sz w:val="24"/>
                <w:szCs w:val="24"/>
              </w:rPr>
              <w:t>Period 1</w:t>
            </w:r>
          </w:p>
        </w:tc>
        <w:tc>
          <w:tcPr>
            <w:tcW w:w="2674" w:type="dxa"/>
            <w:tcBorders>
              <w:top w:val="single" w:sz="18" w:space="0" w:color="auto"/>
              <w:bottom w:val="single" w:sz="18" w:space="0" w:color="auto"/>
            </w:tcBorders>
            <w:hideMark/>
          </w:tcPr>
          <w:p w14:paraId="0EF8DE53" w14:textId="77777777" w:rsidR="00EB6693" w:rsidRPr="004F3DBA" w:rsidRDefault="00EB6693" w:rsidP="001C6C78">
            <w:pPr>
              <w:spacing w:after="0" w:line="360" w:lineRule="auto"/>
              <w:jc w:val="center"/>
              <w:rPr>
                <w:rFonts w:eastAsia="Times New Roman" w:cs="Times New Roman"/>
                <w:b/>
                <w:bCs/>
                <w:sz w:val="24"/>
                <w:szCs w:val="24"/>
              </w:rPr>
            </w:pPr>
            <w:r w:rsidRPr="004F3DBA">
              <w:rPr>
                <w:rFonts w:eastAsia="Times New Roman" w:cs="Times New Roman"/>
                <w:b/>
                <w:bCs/>
                <w:sz w:val="24"/>
                <w:szCs w:val="24"/>
              </w:rPr>
              <w:t>Period 2</w:t>
            </w:r>
          </w:p>
        </w:tc>
        <w:tc>
          <w:tcPr>
            <w:tcW w:w="2659" w:type="dxa"/>
            <w:tcBorders>
              <w:top w:val="single" w:sz="18" w:space="0" w:color="auto"/>
              <w:bottom w:val="single" w:sz="18" w:space="0" w:color="auto"/>
            </w:tcBorders>
            <w:hideMark/>
          </w:tcPr>
          <w:p w14:paraId="7C75D2B1" w14:textId="77777777" w:rsidR="00EB6693" w:rsidRPr="004F3DBA" w:rsidRDefault="00EB6693" w:rsidP="001C6C78">
            <w:pPr>
              <w:spacing w:after="0" w:line="360" w:lineRule="auto"/>
              <w:jc w:val="center"/>
              <w:rPr>
                <w:rFonts w:eastAsia="Times New Roman" w:cs="Times New Roman"/>
                <w:b/>
                <w:bCs/>
                <w:sz w:val="24"/>
                <w:szCs w:val="24"/>
              </w:rPr>
            </w:pPr>
            <w:r w:rsidRPr="004F3DBA">
              <w:rPr>
                <w:rFonts w:eastAsia="Times New Roman" w:cs="Times New Roman"/>
                <w:b/>
                <w:bCs/>
                <w:sz w:val="24"/>
                <w:szCs w:val="24"/>
              </w:rPr>
              <w:t>Period 3</w:t>
            </w:r>
          </w:p>
        </w:tc>
      </w:tr>
      <w:tr w:rsidR="00EB6693" w:rsidRPr="004F3DBA" w14:paraId="473B3307" w14:textId="77777777" w:rsidTr="001C6C78">
        <w:tc>
          <w:tcPr>
            <w:tcW w:w="1624" w:type="dxa"/>
            <w:tcBorders>
              <w:top w:val="single" w:sz="18" w:space="0" w:color="auto"/>
            </w:tcBorders>
            <w:hideMark/>
          </w:tcPr>
          <w:p w14:paraId="3792C621" w14:textId="77777777" w:rsidR="00EB6693" w:rsidRPr="004F3DBA" w:rsidRDefault="00EB6693" w:rsidP="001C6C78">
            <w:pPr>
              <w:spacing w:after="0" w:line="360" w:lineRule="auto"/>
              <w:rPr>
                <w:rFonts w:eastAsia="Times New Roman" w:cs="Times New Roman"/>
                <w:sz w:val="24"/>
                <w:szCs w:val="24"/>
              </w:rPr>
            </w:pPr>
            <w:r w:rsidRPr="004F3DBA">
              <w:rPr>
                <w:rFonts w:eastAsia="Times New Roman" w:cs="Times New Roman"/>
                <w:sz w:val="24"/>
                <w:szCs w:val="24"/>
              </w:rPr>
              <w:t>Sheep 1</w:t>
            </w:r>
          </w:p>
        </w:tc>
        <w:tc>
          <w:tcPr>
            <w:tcW w:w="2674" w:type="dxa"/>
            <w:tcBorders>
              <w:top w:val="single" w:sz="18" w:space="0" w:color="auto"/>
            </w:tcBorders>
            <w:hideMark/>
          </w:tcPr>
          <w:p w14:paraId="14C7BC27"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A</w:t>
            </w:r>
          </w:p>
        </w:tc>
        <w:tc>
          <w:tcPr>
            <w:tcW w:w="2674" w:type="dxa"/>
            <w:tcBorders>
              <w:top w:val="single" w:sz="18" w:space="0" w:color="auto"/>
            </w:tcBorders>
            <w:hideMark/>
          </w:tcPr>
          <w:p w14:paraId="4D89E7AE"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B</w:t>
            </w:r>
          </w:p>
        </w:tc>
        <w:tc>
          <w:tcPr>
            <w:tcW w:w="2659" w:type="dxa"/>
            <w:tcBorders>
              <w:top w:val="single" w:sz="18" w:space="0" w:color="auto"/>
            </w:tcBorders>
            <w:hideMark/>
          </w:tcPr>
          <w:p w14:paraId="3E89CAF0"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C</w:t>
            </w:r>
          </w:p>
        </w:tc>
      </w:tr>
      <w:tr w:rsidR="00EB6693" w:rsidRPr="004F3DBA" w14:paraId="3E65567C" w14:textId="77777777" w:rsidTr="001C6C78">
        <w:tc>
          <w:tcPr>
            <w:tcW w:w="1624" w:type="dxa"/>
            <w:hideMark/>
          </w:tcPr>
          <w:p w14:paraId="45216537" w14:textId="77777777" w:rsidR="00EB6693" w:rsidRPr="004F3DBA" w:rsidRDefault="00EB6693" w:rsidP="001C6C78">
            <w:pPr>
              <w:spacing w:after="0" w:line="360" w:lineRule="auto"/>
              <w:rPr>
                <w:rFonts w:eastAsia="Times New Roman" w:cs="Times New Roman"/>
                <w:sz w:val="24"/>
                <w:szCs w:val="24"/>
              </w:rPr>
            </w:pPr>
            <w:r w:rsidRPr="004F3DBA">
              <w:rPr>
                <w:rFonts w:eastAsia="Times New Roman" w:cs="Times New Roman"/>
                <w:sz w:val="24"/>
                <w:szCs w:val="24"/>
              </w:rPr>
              <w:t>Sheep 2</w:t>
            </w:r>
          </w:p>
        </w:tc>
        <w:tc>
          <w:tcPr>
            <w:tcW w:w="2674" w:type="dxa"/>
            <w:hideMark/>
          </w:tcPr>
          <w:p w14:paraId="2D34C85F"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B</w:t>
            </w:r>
          </w:p>
        </w:tc>
        <w:tc>
          <w:tcPr>
            <w:tcW w:w="2674" w:type="dxa"/>
            <w:hideMark/>
          </w:tcPr>
          <w:p w14:paraId="5CF7B2BC"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C</w:t>
            </w:r>
          </w:p>
        </w:tc>
        <w:tc>
          <w:tcPr>
            <w:tcW w:w="2659" w:type="dxa"/>
            <w:hideMark/>
          </w:tcPr>
          <w:p w14:paraId="2590C86A"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A</w:t>
            </w:r>
          </w:p>
        </w:tc>
      </w:tr>
      <w:tr w:rsidR="00EB6693" w:rsidRPr="004F3DBA" w14:paraId="1282DDB6" w14:textId="77777777" w:rsidTr="001C6C78">
        <w:tc>
          <w:tcPr>
            <w:tcW w:w="1624" w:type="dxa"/>
            <w:tcBorders>
              <w:bottom w:val="single" w:sz="18" w:space="0" w:color="auto"/>
            </w:tcBorders>
            <w:hideMark/>
          </w:tcPr>
          <w:p w14:paraId="50B3B3EE" w14:textId="77777777" w:rsidR="00EB6693" w:rsidRPr="004F3DBA" w:rsidRDefault="00EB6693" w:rsidP="001C6C78">
            <w:pPr>
              <w:spacing w:after="0" w:line="360" w:lineRule="auto"/>
              <w:rPr>
                <w:rFonts w:eastAsia="Times New Roman" w:cs="Times New Roman"/>
                <w:sz w:val="24"/>
                <w:szCs w:val="24"/>
              </w:rPr>
            </w:pPr>
            <w:r w:rsidRPr="004F3DBA">
              <w:rPr>
                <w:rFonts w:eastAsia="Times New Roman" w:cs="Times New Roman"/>
                <w:sz w:val="24"/>
                <w:szCs w:val="24"/>
              </w:rPr>
              <w:t>Sheep 3</w:t>
            </w:r>
          </w:p>
        </w:tc>
        <w:tc>
          <w:tcPr>
            <w:tcW w:w="2674" w:type="dxa"/>
            <w:tcBorders>
              <w:bottom w:val="single" w:sz="18" w:space="0" w:color="auto"/>
            </w:tcBorders>
            <w:hideMark/>
          </w:tcPr>
          <w:p w14:paraId="190A85FC"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C</w:t>
            </w:r>
          </w:p>
        </w:tc>
        <w:tc>
          <w:tcPr>
            <w:tcW w:w="2674" w:type="dxa"/>
            <w:tcBorders>
              <w:bottom w:val="single" w:sz="18" w:space="0" w:color="auto"/>
            </w:tcBorders>
            <w:hideMark/>
          </w:tcPr>
          <w:p w14:paraId="43C2C3D4"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A</w:t>
            </w:r>
          </w:p>
        </w:tc>
        <w:tc>
          <w:tcPr>
            <w:tcW w:w="2659" w:type="dxa"/>
            <w:tcBorders>
              <w:bottom w:val="single" w:sz="18" w:space="0" w:color="auto"/>
            </w:tcBorders>
            <w:hideMark/>
          </w:tcPr>
          <w:p w14:paraId="21DF6719" w14:textId="77777777" w:rsidR="00EB6693" w:rsidRPr="004F3DBA" w:rsidRDefault="00EB6693" w:rsidP="001C6C78">
            <w:pPr>
              <w:spacing w:after="0" w:line="360" w:lineRule="auto"/>
              <w:jc w:val="center"/>
              <w:rPr>
                <w:rFonts w:eastAsia="Times New Roman" w:cs="Times New Roman"/>
                <w:sz w:val="24"/>
                <w:szCs w:val="24"/>
              </w:rPr>
            </w:pPr>
            <w:r w:rsidRPr="004F3DBA">
              <w:rPr>
                <w:rFonts w:eastAsia="Times New Roman" w:cs="Times New Roman"/>
                <w:sz w:val="24"/>
                <w:szCs w:val="24"/>
              </w:rPr>
              <w:t>B</w:t>
            </w:r>
          </w:p>
        </w:tc>
      </w:tr>
    </w:tbl>
    <w:p w14:paraId="4180485D" w14:textId="77777777" w:rsidR="00EB6693" w:rsidRPr="00B02541" w:rsidRDefault="00EB6693" w:rsidP="004F3DBA">
      <w:pPr>
        <w:spacing w:after="140" w:afterAutospacing="1" w:line="360" w:lineRule="auto"/>
        <w:rPr>
          <w:rFonts w:eastAsia="Times New Roman" w:cs="Times New Roman"/>
          <w:sz w:val="18"/>
          <w:szCs w:val="18"/>
        </w:rPr>
      </w:pPr>
      <w:r w:rsidRPr="00B02541">
        <w:rPr>
          <w:rFonts w:cs="Times New Roman"/>
          <w:sz w:val="18"/>
          <w:szCs w:val="18"/>
        </w:rPr>
        <w:t>A = Control (Rhodes grass hay alone); B = 200 g/day sickle bush pod meal; C = 300 g/day sickle bush pod meal.</w:t>
      </w:r>
    </w:p>
    <w:p w14:paraId="7164E8EE" w14:textId="77777777" w:rsidR="0032155E" w:rsidRPr="00DB223A" w:rsidRDefault="005426C5" w:rsidP="004F3DBA">
      <w:pPr>
        <w:spacing w:after="140" w:line="360" w:lineRule="auto"/>
        <w:rPr>
          <w:rFonts w:cs="Times New Roman"/>
          <w:sz w:val="24"/>
          <w:szCs w:val="24"/>
        </w:rPr>
      </w:pPr>
      <w:r w:rsidRPr="00DB223A">
        <w:rPr>
          <w:sz w:val="24"/>
          <w:szCs w:val="24"/>
        </w:rPr>
        <w:t xml:space="preserve">Treatments were Rhodes grass hay alone (control), or hay supplemented with 200 or 300 g sickle bush pod meal per sheep daily, expressed on an as-fed basis. Before the experimental periods, sheep received hay for 14 days to adapt to housing and the basal diet. Each experimental period lasted 12 days, comprising 7 days of adaptation to the assigned diet and 5 days of sample collection. The 5-day </w:t>
      </w:r>
      <w:proofErr w:type="spellStart"/>
      <w:r w:rsidRPr="00DB223A">
        <w:rPr>
          <w:sz w:val="24"/>
          <w:szCs w:val="24"/>
        </w:rPr>
        <w:t>faecal</w:t>
      </w:r>
      <w:proofErr w:type="spellEnd"/>
      <w:r w:rsidRPr="00DB223A">
        <w:rPr>
          <w:sz w:val="24"/>
          <w:szCs w:val="24"/>
        </w:rPr>
        <w:t xml:space="preserve">-collection period exceeded the four-day minimum reported by </w:t>
      </w:r>
      <w:proofErr w:type="spellStart"/>
      <w:r w:rsidRPr="00DB223A">
        <w:rPr>
          <w:sz w:val="24"/>
          <w:szCs w:val="24"/>
        </w:rPr>
        <w:t>Farenzena</w:t>
      </w:r>
      <w:proofErr w:type="spellEnd"/>
      <w:r w:rsidRPr="00DB223A">
        <w:rPr>
          <w:sz w:val="24"/>
          <w:szCs w:val="24"/>
        </w:rPr>
        <w:t xml:space="preserve"> et al. (2017), although adaptation and urine collection were shorter than the durations recommended under the dietary shifts tested in that study. Pod meal was offered at 08:00 h before Rhodes grass hay, which was offered ad libitum. Fresh drinking water was continuously available and replaced daily.</w:t>
      </w:r>
    </w:p>
    <w:p w14:paraId="4748E7CC"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Sample collection and laboratory analysis</w:t>
      </w:r>
    </w:p>
    <w:p w14:paraId="52F16855" w14:textId="77777777" w:rsidR="0032155E" w:rsidRPr="00DB223A" w:rsidRDefault="00B721D7" w:rsidP="004F3DBA">
      <w:pPr>
        <w:spacing w:after="140" w:line="360" w:lineRule="auto"/>
        <w:rPr>
          <w:rFonts w:cs="Times New Roman"/>
          <w:sz w:val="24"/>
          <w:szCs w:val="24"/>
        </w:rPr>
      </w:pPr>
      <w:r>
        <w:rPr>
          <w:sz w:val="24"/>
          <w:szCs w:val="24"/>
        </w:rPr>
        <w:t xml:space="preserve">During each 5-day collection phase, feed offered was recorded daily, and hay and pod-meal refusals were collected and weighed together. </w:t>
      </w:r>
      <w:proofErr w:type="spellStart"/>
      <w:r>
        <w:rPr>
          <w:sz w:val="24"/>
          <w:szCs w:val="24"/>
        </w:rPr>
        <w:t>Faeces</w:t>
      </w:r>
      <w:proofErr w:type="spellEnd"/>
      <w:r>
        <w:rPr>
          <w:sz w:val="24"/>
          <w:szCs w:val="24"/>
        </w:rPr>
        <w:t xml:space="preserve"> were collected daily, weighed, and a 10% aliquot was frozen at -20°C. Urine was collected in containers containing 10 mL of 10% </w:t>
      </w:r>
      <w:proofErr w:type="spellStart"/>
      <w:r>
        <w:rPr>
          <w:sz w:val="24"/>
          <w:szCs w:val="24"/>
        </w:rPr>
        <w:t>sulphuric</w:t>
      </w:r>
      <w:proofErr w:type="spellEnd"/>
      <w:r>
        <w:rPr>
          <w:sz w:val="24"/>
          <w:szCs w:val="24"/>
        </w:rPr>
        <w:t xml:space="preserve"> acid. The total acidified volume was measured daily and included the added acid. Urine was mixed thoroughly before a 5% aliquot was taken and frozen at −20°C. Urine pH was not checked. Daily subsamples were composited separately for each sheep within each period. Feed, refusal and </w:t>
      </w:r>
      <w:proofErr w:type="spellStart"/>
      <w:r>
        <w:rPr>
          <w:sz w:val="24"/>
          <w:szCs w:val="24"/>
        </w:rPr>
        <w:t>faecal</w:t>
      </w:r>
      <w:proofErr w:type="spellEnd"/>
      <w:r>
        <w:rPr>
          <w:sz w:val="24"/>
          <w:szCs w:val="24"/>
        </w:rPr>
        <w:t xml:space="preserve"> samples were dried and ground through a 1-mm screen for analysis. Urine aliquots were thawed and combined within sheep </w:t>
      </w:r>
      <w:r>
        <w:rPr>
          <w:sz w:val="24"/>
          <w:szCs w:val="24"/>
        </w:rPr>
        <w:lastRenderedPageBreak/>
        <w:t>and period; the composite samples were used to determine nitrogen concentration and calculate mean daily urinary nitrogen output.</w:t>
      </w:r>
    </w:p>
    <w:p w14:paraId="123C5BF3" w14:textId="77777777" w:rsidR="00B721D7" w:rsidRPr="00DB223A" w:rsidRDefault="00B721D7" w:rsidP="004F3DBA">
      <w:pPr>
        <w:spacing w:after="140" w:line="360" w:lineRule="auto"/>
        <w:rPr>
          <w:rFonts w:cs="Times New Roman"/>
          <w:sz w:val="24"/>
          <w:szCs w:val="24"/>
        </w:rPr>
      </w:pPr>
      <w:r w:rsidRPr="00DB223A">
        <w:rPr>
          <w:sz w:val="24"/>
          <w:szCs w:val="24"/>
        </w:rPr>
        <w:t>Body weights were recorded at the beginning and end of each experimental period. Period-specific body-weight change was calculated as period-end weight minus period-start weight. Body-weight change was therefore treated as an exploratory measurement because short-term differences could reflect variation in gastrointestinal fill and hydration rather than tissue gain.</w:t>
      </w:r>
    </w:p>
    <w:p w14:paraId="30A02F4D" w14:textId="77777777" w:rsidR="00B721D7" w:rsidRPr="006475D2" w:rsidRDefault="00B721D7" w:rsidP="004F3DBA">
      <w:pPr>
        <w:spacing w:after="140" w:line="360" w:lineRule="auto"/>
        <w:rPr>
          <w:rFonts w:cs="Times New Roman"/>
          <w:sz w:val="24"/>
          <w:szCs w:val="24"/>
        </w:rPr>
      </w:pPr>
      <w:r>
        <w:t xml:space="preserve">Dry matter and nitrogen were determined according to the 15th edition of the Official Methods of Analysis (AOAC, 1990), and CP was calculated as nitrogen × 6.25. </w:t>
      </w:r>
      <w:r w:rsidR="00885724">
        <w:t>Organic matter was calculated from dry matter and ash determined by ignition at 550 °C for 4 h.</w:t>
      </w:r>
      <w:r>
        <w:t xml:space="preserve"> NDF and ADF were determined according to Van Soest et al. (1991), without heat-stable amylase or sodium sulfite and without correction for residual ash. Feed composition is reported as the mean of three repeated laboratory analyses of one composite sample of each feed. These determinations were technical replicates and describe the </w:t>
      </w:r>
      <w:proofErr w:type="spellStart"/>
      <w:r>
        <w:t>analysed</w:t>
      </w:r>
      <w:proofErr w:type="spellEnd"/>
      <w:r>
        <w:t xml:space="preserve"> materials rather than variation among independently sampled feed batches. Feed-composition SEMs are not reported because their calculation could not be established from the records.</w:t>
      </w:r>
    </w:p>
    <w:p w14:paraId="0C437564" w14:textId="77777777" w:rsidR="00272BBF" w:rsidRPr="006475D2" w:rsidRDefault="00AD235A">
      <w:pPr>
        <w:pStyle w:val="Heading2"/>
        <w:rPr>
          <w:rFonts w:ascii="Times New Roman" w:hAnsi="Times New Roman" w:cs="Times New Roman"/>
          <w:sz w:val="24"/>
          <w:szCs w:val="24"/>
        </w:rPr>
      </w:pPr>
      <w:r w:rsidRPr="006475D2">
        <w:rPr>
          <w:rFonts w:ascii="Times New Roman" w:hAnsi="Times New Roman" w:cs="Times New Roman"/>
          <w:sz w:val="24"/>
          <w:szCs w:val="24"/>
        </w:rPr>
        <w:t>Calculation of intake digestibility and nitrogen balance</w:t>
      </w:r>
    </w:p>
    <w:p w14:paraId="12FB3DB2" w14:textId="77777777" w:rsidR="00272BBF" w:rsidRPr="00DB223A" w:rsidRDefault="00AD235A" w:rsidP="00DB223A">
      <w:pPr>
        <w:spacing w:line="360" w:lineRule="auto"/>
        <w:rPr>
          <w:sz w:val="24"/>
          <w:szCs w:val="24"/>
        </w:rPr>
      </w:pPr>
      <w:r>
        <w:rPr>
          <w:rFonts w:cs="Times New Roman"/>
          <w:sz w:val="24"/>
          <w:szCs w:val="24"/>
        </w:rPr>
        <w:t xml:space="preserve">Calculations were made for each sheep within each collection period. Feed masses were expressed as g/day, DM fractions as g/g as fed, and nutrient concentrations as g/g DM. The DM and nutrient contents of offered hay and pod meal were calculated using their respective </w:t>
      </w:r>
      <w:proofErr w:type="spellStart"/>
      <w:r>
        <w:rPr>
          <w:rFonts w:cs="Times New Roman"/>
          <w:sz w:val="24"/>
          <w:szCs w:val="24"/>
        </w:rPr>
        <w:t>analysed</w:t>
      </w:r>
      <w:proofErr w:type="spellEnd"/>
      <w:r>
        <w:rPr>
          <w:rFonts w:cs="Times New Roman"/>
          <w:sz w:val="24"/>
          <w:szCs w:val="24"/>
        </w:rPr>
        <w:t xml:space="preserve"> concentrations. Total intake was calculated by subtracting the DM or nutrient mass in the combined refusals, using their </w:t>
      </w:r>
      <w:proofErr w:type="spellStart"/>
      <w:r>
        <w:rPr>
          <w:rFonts w:cs="Times New Roman"/>
          <w:sz w:val="24"/>
          <w:szCs w:val="24"/>
        </w:rPr>
        <w:t>analysed</w:t>
      </w:r>
      <w:proofErr w:type="spellEnd"/>
      <w:r>
        <w:rPr>
          <w:rFonts w:cs="Times New Roman"/>
          <w:sz w:val="24"/>
          <w:szCs w:val="24"/>
        </w:rPr>
        <w:t xml:space="preserve"> concentrations, from the total mass offered. Because hay and pod-meal refusals were collected and weighed together, intake of the two feed components could not be determined separately. Mean daily intake and </w:t>
      </w:r>
      <w:proofErr w:type="spellStart"/>
      <w:r>
        <w:rPr>
          <w:rFonts w:cs="Times New Roman"/>
          <w:sz w:val="24"/>
          <w:szCs w:val="24"/>
        </w:rPr>
        <w:t>faecal</w:t>
      </w:r>
      <w:proofErr w:type="spellEnd"/>
      <w:r>
        <w:rPr>
          <w:rFonts w:cs="Times New Roman"/>
          <w:sz w:val="24"/>
          <w:szCs w:val="24"/>
        </w:rPr>
        <w:t xml:space="preserve"> output were calculated over the five collection days. The calculation equations were:</w:t>
      </w:r>
    </w:p>
    <w:p w14:paraId="4B7A8A43" w14:textId="77777777" w:rsidR="00272BBF" w:rsidRPr="00DB223A" w:rsidRDefault="00AD235A" w:rsidP="00DB223A">
      <w:pPr>
        <w:spacing w:line="360" w:lineRule="auto"/>
        <w:rPr>
          <w:sz w:val="24"/>
          <w:szCs w:val="24"/>
        </w:rPr>
      </w:pPr>
      <w:r>
        <w:rPr>
          <w:sz w:val="24"/>
          <w:szCs w:val="24"/>
        </w:rPr>
        <w:t xml:space="preserve">Total DM intake (g/day) = </w:t>
      </w:r>
      <w:proofErr w:type="gramStart"/>
      <w:r>
        <w:rPr>
          <w:sz w:val="24"/>
          <w:szCs w:val="24"/>
        </w:rPr>
        <w:t>Σ(</w:t>
      </w:r>
      <w:proofErr w:type="gramEnd"/>
      <w:r>
        <w:rPr>
          <w:sz w:val="24"/>
          <w:szCs w:val="24"/>
        </w:rPr>
        <w:t>feed offered × feed DM fraction) − (combined refusal mass × refusal DM fraction).</w:t>
      </w:r>
    </w:p>
    <w:p w14:paraId="371719D0" w14:textId="77777777" w:rsidR="00272BBF" w:rsidRPr="00DB223A" w:rsidRDefault="00AD235A" w:rsidP="00DB223A">
      <w:pPr>
        <w:spacing w:line="360" w:lineRule="auto"/>
        <w:rPr>
          <w:sz w:val="24"/>
          <w:szCs w:val="24"/>
        </w:rPr>
      </w:pPr>
      <w:r>
        <w:rPr>
          <w:sz w:val="24"/>
          <w:szCs w:val="24"/>
        </w:rPr>
        <w:t xml:space="preserve">Nutrient intake (g/day) = </w:t>
      </w:r>
      <w:proofErr w:type="gramStart"/>
      <w:r>
        <w:rPr>
          <w:sz w:val="24"/>
          <w:szCs w:val="24"/>
        </w:rPr>
        <w:t>Σ(</w:t>
      </w:r>
      <w:proofErr w:type="gramEnd"/>
      <w:r>
        <w:rPr>
          <w:sz w:val="24"/>
          <w:szCs w:val="24"/>
        </w:rPr>
        <w:t>offered DM × nutrient concentration in each feed) − (combined refusal DM × nutrient concentration in combined refusals).</w:t>
      </w:r>
    </w:p>
    <w:p w14:paraId="0C460281" w14:textId="77777777" w:rsidR="00272BBF" w:rsidRPr="00DB223A" w:rsidRDefault="00AD235A">
      <w:pPr>
        <w:rPr>
          <w:sz w:val="24"/>
          <w:szCs w:val="24"/>
        </w:rPr>
      </w:pPr>
      <w:r>
        <w:rPr>
          <w:sz w:val="24"/>
          <w:szCs w:val="24"/>
        </w:rPr>
        <w:t>The summation in the intake equations refers to offered hay and pod meal.</w:t>
      </w:r>
    </w:p>
    <w:p w14:paraId="74DABC58" w14:textId="77777777" w:rsidR="00272BBF" w:rsidRPr="00DB223A" w:rsidRDefault="00AD235A">
      <w:pPr>
        <w:rPr>
          <w:sz w:val="24"/>
          <w:szCs w:val="24"/>
        </w:rPr>
      </w:pPr>
      <w:proofErr w:type="spellStart"/>
      <w:r w:rsidRPr="00DB223A">
        <w:rPr>
          <w:sz w:val="24"/>
          <w:szCs w:val="24"/>
        </w:rPr>
        <w:t>Faecal</w:t>
      </w:r>
      <w:proofErr w:type="spellEnd"/>
      <w:r w:rsidRPr="00DB223A">
        <w:rPr>
          <w:sz w:val="24"/>
          <w:szCs w:val="24"/>
        </w:rPr>
        <w:t xml:space="preserve"> nutrient output (g/day) = </w:t>
      </w:r>
      <w:proofErr w:type="spellStart"/>
      <w:r w:rsidRPr="00DB223A">
        <w:rPr>
          <w:sz w:val="24"/>
          <w:szCs w:val="24"/>
        </w:rPr>
        <w:t>faecal</w:t>
      </w:r>
      <w:proofErr w:type="spellEnd"/>
      <w:r w:rsidRPr="00DB223A">
        <w:rPr>
          <w:sz w:val="24"/>
          <w:szCs w:val="24"/>
        </w:rPr>
        <w:t xml:space="preserve"> DM output × nutrient concentration in </w:t>
      </w:r>
      <w:proofErr w:type="spellStart"/>
      <w:r w:rsidRPr="00DB223A">
        <w:rPr>
          <w:sz w:val="24"/>
          <w:szCs w:val="24"/>
        </w:rPr>
        <w:t>faecal</w:t>
      </w:r>
      <w:proofErr w:type="spellEnd"/>
      <w:r w:rsidRPr="00DB223A">
        <w:rPr>
          <w:sz w:val="24"/>
          <w:szCs w:val="24"/>
        </w:rPr>
        <w:t xml:space="preserve"> DM.</w:t>
      </w:r>
    </w:p>
    <w:p w14:paraId="06785FA1" w14:textId="77777777" w:rsidR="00272BBF" w:rsidRPr="00DB223A" w:rsidRDefault="00AD235A">
      <w:pPr>
        <w:rPr>
          <w:sz w:val="24"/>
          <w:szCs w:val="24"/>
        </w:rPr>
      </w:pPr>
      <w:r w:rsidRPr="00DB223A">
        <w:rPr>
          <w:sz w:val="24"/>
          <w:szCs w:val="24"/>
        </w:rPr>
        <w:t xml:space="preserve">Apparent nutrient digestibility (%) = 100 × (nutrient intake − </w:t>
      </w:r>
      <w:proofErr w:type="spellStart"/>
      <w:r w:rsidRPr="00DB223A">
        <w:rPr>
          <w:sz w:val="24"/>
          <w:szCs w:val="24"/>
        </w:rPr>
        <w:t>faecal</w:t>
      </w:r>
      <w:proofErr w:type="spellEnd"/>
      <w:r w:rsidRPr="00DB223A">
        <w:rPr>
          <w:sz w:val="24"/>
          <w:szCs w:val="24"/>
        </w:rPr>
        <w:t xml:space="preserve"> nutrient output)/nutrient intake.</w:t>
      </w:r>
    </w:p>
    <w:p w14:paraId="52F94714" w14:textId="77777777" w:rsidR="00272BBF" w:rsidRPr="00DB223A" w:rsidRDefault="00AD235A">
      <w:pPr>
        <w:rPr>
          <w:sz w:val="24"/>
          <w:szCs w:val="24"/>
        </w:rPr>
      </w:pPr>
      <w:r w:rsidRPr="00DB223A">
        <w:rPr>
          <w:sz w:val="24"/>
          <w:szCs w:val="24"/>
        </w:rPr>
        <w:t>N intake (g/day) = CP intake (g/day)/6.25.</w:t>
      </w:r>
    </w:p>
    <w:p w14:paraId="4028AED2" w14:textId="77777777" w:rsidR="00272BBF" w:rsidRPr="00DB223A" w:rsidRDefault="00AD235A">
      <w:pPr>
        <w:rPr>
          <w:sz w:val="24"/>
          <w:szCs w:val="24"/>
        </w:rPr>
      </w:pPr>
      <w:proofErr w:type="spellStart"/>
      <w:r w:rsidRPr="00DB223A">
        <w:rPr>
          <w:sz w:val="24"/>
          <w:szCs w:val="24"/>
        </w:rPr>
        <w:t>Faecal</w:t>
      </w:r>
      <w:proofErr w:type="spellEnd"/>
      <w:r w:rsidRPr="00DB223A">
        <w:rPr>
          <w:sz w:val="24"/>
          <w:szCs w:val="24"/>
        </w:rPr>
        <w:t xml:space="preserve"> N output (g/day) = </w:t>
      </w:r>
      <w:proofErr w:type="spellStart"/>
      <w:r w:rsidRPr="00DB223A">
        <w:rPr>
          <w:sz w:val="24"/>
          <w:szCs w:val="24"/>
        </w:rPr>
        <w:t>faecal</w:t>
      </w:r>
      <w:proofErr w:type="spellEnd"/>
      <w:r w:rsidRPr="00DB223A">
        <w:rPr>
          <w:sz w:val="24"/>
          <w:szCs w:val="24"/>
        </w:rPr>
        <w:t xml:space="preserve"> DM output (g/day) × </w:t>
      </w:r>
      <w:proofErr w:type="spellStart"/>
      <w:r w:rsidRPr="00DB223A">
        <w:rPr>
          <w:sz w:val="24"/>
          <w:szCs w:val="24"/>
        </w:rPr>
        <w:t>faecal</w:t>
      </w:r>
      <w:proofErr w:type="spellEnd"/>
      <w:r w:rsidRPr="00DB223A">
        <w:rPr>
          <w:sz w:val="24"/>
          <w:szCs w:val="24"/>
        </w:rPr>
        <w:t xml:space="preserve"> N concentration (g/g DM).</w:t>
      </w:r>
    </w:p>
    <w:p w14:paraId="73C77EFC" w14:textId="77777777" w:rsidR="00272BBF" w:rsidRPr="00DB223A" w:rsidRDefault="00AD235A">
      <w:pPr>
        <w:rPr>
          <w:sz w:val="24"/>
          <w:szCs w:val="24"/>
        </w:rPr>
      </w:pPr>
      <w:r w:rsidRPr="00DB223A">
        <w:rPr>
          <w:sz w:val="24"/>
          <w:szCs w:val="24"/>
        </w:rPr>
        <w:lastRenderedPageBreak/>
        <w:t>Mean daily urinary N output (g/day) = composite acidified-urine N concentration (g/L) × Σ daily acidified-urine volumes (L)/5.</w:t>
      </w:r>
    </w:p>
    <w:p w14:paraId="475F7B70" w14:textId="77777777" w:rsidR="00272BBF" w:rsidRPr="00DB223A" w:rsidRDefault="00AD235A">
      <w:pPr>
        <w:rPr>
          <w:sz w:val="24"/>
          <w:szCs w:val="24"/>
        </w:rPr>
      </w:pPr>
      <w:r w:rsidRPr="00DB223A">
        <w:rPr>
          <w:sz w:val="24"/>
          <w:szCs w:val="24"/>
        </w:rPr>
        <w:t xml:space="preserve">Apparently digested N (g/day) = N intake − </w:t>
      </w:r>
      <w:proofErr w:type="spellStart"/>
      <w:r w:rsidRPr="00DB223A">
        <w:rPr>
          <w:sz w:val="24"/>
          <w:szCs w:val="24"/>
        </w:rPr>
        <w:t>faecal</w:t>
      </w:r>
      <w:proofErr w:type="spellEnd"/>
      <w:r w:rsidRPr="00DB223A">
        <w:rPr>
          <w:sz w:val="24"/>
          <w:szCs w:val="24"/>
        </w:rPr>
        <w:t xml:space="preserve"> N output.</w:t>
      </w:r>
    </w:p>
    <w:p w14:paraId="350F5520" w14:textId="77777777" w:rsidR="00272BBF" w:rsidRPr="00DB223A" w:rsidRDefault="00AD235A">
      <w:pPr>
        <w:rPr>
          <w:sz w:val="24"/>
          <w:szCs w:val="24"/>
        </w:rPr>
      </w:pPr>
      <w:r w:rsidRPr="00DB223A">
        <w:rPr>
          <w:sz w:val="24"/>
          <w:szCs w:val="24"/>
        </w:rPr>
        <w:t xml:space="preserve">N retained (g/day) = N intake − </w:t>
      </w:r>
      <w:proofErr w:type="spellStart"/>
      <w:r w:rsidRPr="00DB223A">
        <w:rPr>
          <w:sz w:val="24"/>
          <w:szCs w:val="24"/>
        </w:rPr>
        <w:t>faecal</w:t>
      </w:r>
      <w:proofErr w:type="spellEnd"/>
      <w:r w:rsidRPr="00DB223A">
        <w:rPr>
          <w:sz w:val="24"/>
          <w:szCs w:val="24"/>
        </w:rPr>
        <w:t xml:space="preserve"> N output − urinary N output.</w:t>
      </w:r>
    </w:p>
    <w:p w14:paraId="28417382" w14:textId="77777777" w:rsidR="00272BBF" w:rsidRPr="00DB223A" w:rsidRDefault="00AD235A">
      <w:pPr>
        <w:rPr>
          <w:sz w:val="24"/>
          <w:szCs w:val="24"/>
        </w:rPr>
      </w:pPr>
      <w:r w:rsidRPr="00DB223A">
        <w:rPr>
          <w:sz w:val="24"/>
          <w:szCs w:val="24"/>
        </w:rPr>
        <w:t>N retained as a percentage of intake = 100 × N retained/N intake.</w:t>
      </w:r>
    </w:p>
    <w:p w14:paraId="71F9159E" w14:textId="77777777" w:rsidR="00272BBF" w:rsidRPr="00DB223A" w:rsidRDefault="00AD235A">
      <w:pPr>
        <w:rPr>
          <w:sz w:val="24"/>
          <w:szCs w:val="24"/>
        </w:rPr>
      </w:pPr>
      <w:r w:rsidRPr="00DB223A">
        <w:rPr>
          <w:sz w:val="24"/>
          <w:szCs w:val="24"/>
        </w:rPr>
        <w:t>N retained as a percentage of apparently digested N = 100 × N retained</w:t>
      </w:r>
      <w:proofErr w:type="gramStart"/>
      <w:r w:rsidRPr="00DB223A">
        <w:rPr>
          <w:sz w:val="24"/>
          <w:szCs w:val="24"/>
        </w:rPr>
        <w:t>/(</w:t>
      </w:r>
      <w:proofErr w:type="gramEnd"/>
      <w:r w:rsidRPr="00DB223A">
        <w:rPr>
          <w:sz w:val="24"/>
          <w:szCs w:val="24"/>
        </w:rPr>
        <w:t xml:space="preserve">N intake − </w:t>
      </w:r>
      <w:proofErr w:type="spellStart"/>
      <w:r w:rsidRPr="00DB223A">
        <w:rPr>
          <w:sz w:val="24"/>
          <w:szCs w:val="24"/>
        </w:rPr>
        <w:t>faecal</w:t>
      </w:r>
      <w:proofErr w:type="spellEnd"/>
      <w:r w:rsidRPr="00DB223A">
        <w:rPr>
          <w:sz w:val="24"/>
          <w:szCs w:val="24"/>
        </w:rPr>
        <w:t xml:space="preserve"> N output).</w:t>
      </w:r>
    </w:p>
    <w:p w14:paraId="7BBF54F7" w14:textId="77777777" w:rsidR="00272BBF" w:rsidRPr="00DB223A" w:rsidRDefault="00AD235A" w:rsidP="00DB223A">
      <w:pPr>
        <w:spacing w:line="360" w:lineRule="auto"/>
        <w:rPr>
          <w:sz w:val="24"/>
          <w:szCs w:val="24"/>
        </w:rPr>
      </w:pPr>
      <w:r w:rsidRPr="00DB223A">
        <w:rPr>
          <w:sz w:val="24"/>
          <w:szCs w:val="24"/>
        </w:rPr>
        <w:t>Because each daily urine aliquot represented 5% of the thoroughly mixed acidified collection, combining the proportional aliquots produced a volume-weighted composite. Its nitrogen concentration was multiplied by the summed acidified volume and divided by five to obtain mean daily output. Both concentration and volume refer to the same acidified mixture; the added acid was therefore not subtracted from the measured volume. Percentages were calculated per sheep-period before treatment summaries were produced.</w:t>
      </w:r>
    </w:p>
    <w:p w14:paraId="762B909F"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Statistical analysis</w:t>
      </w:r>
    </w:p>
    <w:p w14:paraId="00581E93" w14:textId="77777777" w:rsidR="005779D2" w:rsidRPr="00DB223A" w:rsidRDefault="005779D2" w:rsidP="001C6C78">
      <w:pPr>
        <w:spacing w:beforeAutospacing="1" w:after="0" w:line="360" w:lineRule="auto"/>
        <w:rPr>
          <w:rFonts w:eastAsia="Times New Roman" w:cs="Times New Roman"/>
          <w:sz w:val="24"/>
          <w:szCs w:val="24"/>
        </w:rPr>
      </w:pPr>
      <w:r>
        <w:t xml:space="preserve">Data were </w:t>
      </w:r>
      <w:proofErr w:type="spellStart"/>
      <w:r>
        <w:t>analysed</w:t>
      </w:r>
      <w:proofErr w:type="spellEnd"/>
      <w:r>
        <w:t xml:space="preserve"> using the MIXED procedure of SAS version 9.4 (SAS Institute Inc., Cary, NC, USA), according to one 3 × 3 Latin square with treatment, period and sheep as fixed effects:</w:t>
      </w:r>
    </w:p>
    <w:p w14:paraId="4F9995CA" w14:textId="77777777" w:rsidR="005779D2" w:rsidRPr="00DB223A" w:rsidRDefault="005779D2" w:rsidP="001C6C78">
      <w:pPr>
        <w:spacing w:after="0" w:line="360" w:lineRule="auto"/>
        <w:jc w:val="center"/>
        <w:rPr>
          <w:rFonts w:eastAsia="Times New Roman" w:cs="Times New Roman"/>
          <w:b/>
          <w:sz w:val="24"/>
          <w:szCs w:val="24"/>
        </w:rPr>
      </w:pPr>
      <w:proofErr w:type="spellStart"/>
      <w:r w:rsidRPr="00DB223A">
        <w:rPr>
          <w:rFonts w:cs="Times New Roman"/>
          <w:b/>
          <w:sz w:val="24"/>
          <w:szCs w:val="24"/>
        </w:rPr>
        <w:t>Y</w:t>
      </w:r>
      <w:r w:rsidRPr="00DB223A">
        <w:rPr>
          <w:rFonts w:cs="Times New Roman"/>
          <w:b/>
          <w:sz w:val="24"/>
          <w:szCs w:val="24"/>
          <w:vertAlign w:val="subscript"/>
        </w:rPr>
        <w:t>ijk</w:t>
      </w:r>
      <w:proofErr w:type="spellEnd"/>
      <w:r w:rsidRPr="00DB223A">
        <w:rPr>
          <w:rFonts w:cs="Times New Roman"/>
          <w:b/>
          <w:sz w:val="24"/>
          <w:szCs w:val="24"/>
        </w:rPr>
        <w:t xml:space="preserve"> = μ + T</w:t>
      </w:r>
      <w:r w:rsidRPr="00DB223A">
        <w:rPr>
          <w:rFonts w:cs="Times New Roman"/>
          <w:b/>
          <w:sz w:val="24"/>
          <w:szCs w:val="24"/>
          <w:vertAlign w:val="subscript"/>
        </w:rPr>
        <w:t>i</w:t>
      </w:r>
      <w:r w:rsidRPr="00DB223A">
        <w:rPr>
          <w:rFonts w:cs="Times New Roman"/>
          <w:b/>
          <w:sz w:val="24"/>
          <w:szCs w:val="24"/>
        </w:rPr>
        <w:t xml:space="preserve"> + </w:t>
      </w:r>
      <w:proofErr w:type="spellStart"/>
      <w:r w:rsidRPr="00DB223A">
        <w:rPr>
          <w:rFonts w:cs="Times New Roman"/>
          <w:b/>
          <w:sz w:val="24"/>
          <w:szCs w:val="24"/>
        </w:rPr>
        <w:t>P</w:t>
      </w:r>
      <w:r w:rsidRPr="00DB223A">
        <w:rPr>
          <w:rFonts w:cs="Times New Roman"/>
          <w:b/>
          <w:sz w:val="24"/>
          <w:szCs w:val="24"/>
          <w:vertAlign w:val="subscript"/>
        </w:rPr>
        <w:t>j</w:t>
      </w:r>
      <w:proofErr w:type="spellEnd"/>
      <w:r w:rsidRPr="00DB223A">
        <w:rPr>
          <w:rFonts w:cs="Times New Roman"/>
          <w:b/>
          <w:sz w:val="24"/>
          <w:szCs w:val="24"/>
          <w:vertAlign w:val="subscript"/>
        </w:rPr>
        <w:t xml:space="preserve"> </w:t>
      </w:r>
      <w:r w:rsidRPr="00DB223A">
        <w:rPr>
          <w:rFonts w:cs="Times New Roman"/>
          <w:b/>
          <w:sz w:val="24"/>
          <w:szCs w:val="24"/>
        </w:rPr>
        <w:t xml:space="preserve">+ </w:t>
      </w:r>
      <w:proofErr w:type="spellStart"/>
      <w:r w:rsidR="00B02541" w:rsidRPr="00DB223A">
        <w:rPr>
          <w:rFonts w:cs="Times New Roman"/>
          <w:b/>
          <w:sz w:val="24"/>
          <w:szCs w:val="24"/>
        </w:rPr>
        <w:t>S</w:t>
      </w:r>
      <w:r w:rsidR="00B02541" w:rsidRPr="00DB223A">
        <w:rPr>
          <w:rFonts w:cs="Times New Roman"/>
          <w:b/>
          <w:sz w:val="24"/>
          <w:szCs w:val="24"/>
          <w:vertAlign w:val="subscript"/>
        </w:rPr>
        <w:t>k</w:t>
      </w:r>
      <w:proofErr w:type="spellEnd"/>
      <w:r w:rsidR="00B02541" w:rsidRPr="00DB223A">
        <w:rPr>
          <w:rFonts w:cs="Times New Roman"/>
          <w:b/>
          <w:sz w:val="24"/>
          <w:szCs w:val="24"/>
        </w:rPr>
        <w:t xml:space="preserve"> + </w:t>
      </w:r>
      <w:proofErr w:type="spellStart"/>
      <w:r w:rsidRPr="00DB223A">
        <w:rPr>
          <w:rFonts w:cs="Times New Roman"/>
          <w:b/>
          <w:sz w:val="24"/>
          <w:szCs w:val="24"/>
        </w:rPr>
        <w:t>ε</w:t>
      </w:r>
      <w:r w:rsidRPr="00DB223A">
        <w:rPr>
          <w:rFonts w:cs="Times New Roman"/>
          <w:b/>
          <w:sz w:val="24"/>
          <w:szCs w:val="24"/>
          <w:vertAlign w:val="subscript"/>
        </w:rPr>
        <w:t>ijk</w:t>
      </w:r>
      <w:proofErr w:type="spellEnd"/>
    </w:p>
    <w:p w14:paraId="52143C8D" w14:textId="77777777" w:rsidR="005779D2" w:rsidRPr="00DB223A" w:rsidRDefault="005779D2" w:rsidP="004F3DBA">
      <w:pPr>
        <w:spacing w:before="100" w:beforeAutospacing="1" w:after="140" w:afterAutospacing="1" w:line="360" w:lineRule="auto"/>
        <w:rPr>
          <w:rFonts w:eastAsia="Times New Roman" w:cs="Times New Roman"/>
          <w:sz w:val="24"/>
          <w:szCs w:val="24"/>
        </w:rPr>
      </w:pPr>
      <w:r w:rsidRPr="00DB223A">
        <w:rPr>
          <w:rFonts w:cs="Times New Roman"/>
          <w:sz w:val="24"/>
          <w:szCs w:val="24"/>
        </w:rPr>
        <w:t xml:space="preserve">where </w:t>
      </w:r>
      <w:proofErr w:type="spellStart"/>
      <w:r w:rsidRPr="00DB223A">
        <w:rPr>
          <w:rFonts w:cs="Times New Roman"/>
          <w:b/>
          <w:sz w:val="24"/>
          <w:szCs w:val="24"/>
        </w:rPr>
        <w:t>Y</w:t>
      </w:r>
      <w:r w:rsidRPr="00DB223A">
        <w:rPr>
          <w:rFonts w:cs="Times New Roman"/>
          <w:b/>
          <w:sz w:val="24"/>
          <w:szCs w:val="24"/>
          <w:vertAlign w:val="subscript"/>
        </w:rPr>
        <w:t>ijk</w:t>
      </w:r>
      <w:proofErr w:type="spellEnd"/>
      <w:r w:rsidRPr="00DB223A">
        <w:rPr>
          <w:rFonts w:cs="Times New Roman"/>
          <w:b/>
          <w:sz w:val="24"/>
          <w:szCs w:val="24"/>
        </w:rPr>
        <w:t xml:space="preserve"> </w:t>
      </w:r>
      <w:r w:rsidRPr="00DB223A">
        <w:rPr>
          <w:rFonts w:cs="Times New Roman"/>
          <w:sz w:val="24"/>
          <w:szCs w:val="24"/>
        </w:rPr>
        <w:t xml:space="preserve">is the observation for treatment </w:t>
      </w:r>
      <w:proofErr w:type="spellStart"/>
      <w:r w:rsidRPr="00DB223A">
        <w:rPr>
          <w:rFonts w:cs="Times New Roman"/>
          <w:sz w:val="24"/>
          <w:szCs w:val="24"/>
        </w:rPr>
        <w:t>i</w:t>
      </w:r>
      <w:proofErr w:type="spellEnd"/>
      <w:r w:rsidRPr="00DB223A">
        <w:rPr>
          <w:rFonts w:cs="Times New Roman"/>
          <w:sz w:val="24"/>
          <w:szCs w:val="24"/>
        </w:rPr>
        <w:t xml:space="preserve">, period j and sheep k; </w:t>
      </w:r>
      <w:r w:rsidRPr="00DB223A">
        <w:rPr>
          <w:rFonts w:cs="Times New Roman"/>
          <w:b/>
          <w:sz w:val="24"/>
          <w:szCs w:val="24"/>
        </w:rPr>
        <w:t xml:space="preserve">μ </w:t>
      </w:r>
      <w:r w:rsidRPr="00DB223A">
        <w:rPr>
          <w:rFonts w:cs="Times New Roman"/>
          <w:sz w:val="24"/>
          <w:szCs w:val="24"/>
        </w:rPr>
        <w:t xml:space="preserve">is the overall mean; </w:t>
      </w:r>
      <w:r w:rsidRPr="00DB223A">
        <w:rPr>
          <w:rFonts w:cs="Times New Roman"/>
          <w:b/>
          <w:sz w:val="24"/>
          <w:szCs w:val="24"/>
        </w:rPr>
        <w:t>T</w:t>
      </w:r>
      <w:r w:rsidRPr="00DB223A">
        <w:rPr>
          <w:rFonts w:cs="Times New Roman"/>
          <w:b/>
          <w:sz w:val="24"/>
          <w:szCs w:val="24"/>
          <w:vertAlign w:val="subscript"/>
        </w:rPr>
        <w:t>i</w:t>
      </w:r>
      <w:r w:rsidRPr="00DB223A">
        <w:rPr>
          <w:rFonts w:cs="Times New Roman"/>
          <w:sz w:val="24"/>
          <w:szCs w:val="24"/>
        </w:rPr>
        <w:t xml:space="preserve"> is the fixed effect of treatment; </w:t>
      </w:r>
      <w:proofErr w:type="spellStart"/>
      <w:r w:rsidRPr="00DB223A">
        <w:rPr>
          <w:rFonts w:cs="Times New Roman"/>
          <w:b/>
          <w:sz w:val="24"/>
          <w:szCs w:val="24"/>
        </w:rPr>
        <w:t>P</w:t>
      </w:r>
      <w:r w:rsidRPr="00DB223A">
        <w:rPr>
          <w:rFonts w:cs="Times New Roman"/>
          <w:b/>
          <w:sz w:val="24"/>
          <w:szCs w:val="24"/>
          <w:vertAlign w:val="subscript"/>
        </w:rPr>
        <w:t>j</w:t>
      </w:r>
      <w:proofErr w:type="spellEnd"/>
      <w:r w:rsidRPr="00DB223A">
        <w:rPr>
          <w:rFonts w:cs="Times New Roman"/>
          <w:sz w:val="24"/>
          <w:szCs w:val="24"/>
        </w:rPr>
        <w:t xml:space="preserve"> is the fixed effect of period; </w:t>
      </w:r>
      <w:proofErr w:type="spellStart"/>
      <w:r w:rsidRPr="00DB223A">
        <w:rPr>
          <w:rFonts w:cs="Times New Roman"/>
          <w:b/>
          <w:sz w:val="24"/>
          <w:szCs w:val="24"/>
        </w:rPr>
        <w:t>S</w:t>
      </w:r>
      <w:r w:rsidRPr="00DB223A">
        <w:rPr>
          <w:rFonts w:cs="Times New Roman"/>
          <w:b/>
          <w:sz w:val="24"/>
          <w:szCs w:val="24"/>
          <w:vertAlign w:val="subscript"/>
        </w:rPr>
        <w:t>k</w:t>
      </w:r>
      <w:proofErr w:type="spellEnd"/>
      <w:r w:rsidRPr="00DB223A">
        <w:rPr>
          <w:rFonts w:cs="Times New Roman"/>
          <w:sz w:val="24"/>
          <w:szCs w:val="24"/>
        </w:rPr>
        <w:t xml:space="preserve"> is the fixed blocking effect of sheep; and </w:t>
      </w:r>
      <w:proofErr w:type="spellStart"/>
      <w:r w:rsidRPr="00DB223A">
        <w:rPr>
          <w:rFonts w:cs="Times New Roman"/>
          <w:b/>
          <w:sz w:val="24"/>
          <w:szCs w:val="24"/>
        </w:rPr>
        <w:t>ε</w:t>
      </w:r>
      <w:r w:rsidRPr="00DB223A">
        <w:rPr>
          <w:rFonts w:cs="Times New Roman"/>
          <w:b/>
          <w:sz w:val="24"/>
          <w:szCs w:val="24"/>
          <w:vertAlign w:val="subscript"/>
        </w:rPr>
        <w:t>ijk</w:t>
      </w:r>
      <w:proofErr w:type="spellEnd"/>
      <w:r w:rsidRPr="00DB223A">
        <w:rPr>
          <w:rFonts w:cs="Times New Roman"/>
          <w:sz w:val="24"/>
          <w:szCs w:val="24"/>
        </w:rPr>
        <w:t xml:space="preserve"> is the residual error. The individual sheep within each experimental period constituted the unit of observation. Because the experiment consisted of one 3 × 3 Latin square, the residual error had two degrees of freedom.</w:t>
      </w:r>
    </w:p>
    <w:p w14:paraId="6D63D11A" w14:textId="77777777" w:rsidR="005779D2" w:rsidRPr="00DB223A" w:rsidRDefault="005779D2" w:rsidP="004F3DBA">
      <w:pPr>
        <w:spacing w:before="100" w:beforeAutospacing="1" w:after="140" w:afterAutospacing="1" w:line="360" w:lineRule="auto"/>
        <w:rPr>
          <w:rFonts w:eastAsia="Times New Roman" w:cs="Times New Roman"/>
          <w:sz w:val="24"/>
          <w:szCs w:val="24"/>
        </w:rPr>
      </w:pPr>
      <w:r>
        <w:t>The model assumed independent residual errors with a common variance; no additional repeated-measures covariance structure was fitted. Treatment tests used two numerator and two denominator degrees of freedom. Treatment means were compared using Tukey-adjusted pairwise comparisons at P &lt; 0.05. SEM represents the standard error of a treatment mean. The treatment P-values and Tukey groupings were verified against the original SAS output before finalizing the manuscript.</w:t>
      </w:r>
    </w:p>
    <w:p w14:paraId="2959B128" w14:textId="77777777" w:rsidR="005779D2" w:rsidRPr="00DB223A" w:rsidRDefault="005779D2" w:rsidP="004F3DBA">
      <w:pPr>
        <w:spacing w:before="100" w:beforeAutospacing="1" w:after="140" w:afterAutospacing="1" w:line="360" w:lineRule="auto"/>
        <w:rPr>
          <w:rFonts w:eastAsia="Times New Roman" w:cs="Times New Roman"/>
          <w:sz w:val="24"/>
          <w:szCs w:val="24"/>
        </w:rPr>
      </w:pPr>
      <w:r w:rsidRPr="00DB223A">
        <w:rPr>
          <w:rFonts w:cs="Times New Roman"/>
          <w:sz w:val="24"/>
          <w:szCs w:val="24"/>
        </w:rPr>
        <w:t>Percentage responses, including apparent nutrient digestibility, nitrogen retained as a percentage of nitrogen intake and nitrogen retained as a percentage of apparently digested nitrogen, were calculated separately for each sheep within each period before statistical analysis. Consequently, percentages calculated directly from the rounded treatment means presented in the tables may differ slightly from the reported least-squares means of the animal-period percentages.</w:t>
      </w:r>
    </w:p>
    <w:p w14:paraId="70EE15C8" w14:textId="77777777" w:rsidR="005779D2" w:rsidRPr="006475D2" w:rsidRDefault="005779D2" w:rsidP="004F3DBA">
      <w:pPr>
        <w:spacing w:before="100" w:beforeAutospacing="1" w:after="140" w:afterAutospacing="1" w:line="360" w:lineRule="auto"/>
        <w:rPr>
          <w:rFonts w:eastAsia="Times New Roman" w:cs="Times New Roman"/>
          <w:sz w:val="24"/>
          <w:szCs w:val="24"/>
        </w:rPr>
      </w:pPr>
      <w:r w:rsidRPr="006475D2">
        <w:rPr>
          <w:sz w:val="24"/>
          <w:szCs w:val="24"/>
        </w:rPr>
        <w:lastRenderedPageBreak/>
        <w:t xml:space="preserve">Statistical significance was defined as P &lt; 0.05. Values satisfying 0.05 &lt; P &lt; 0.10 were interpreted as exploratory statistical tendencies, distinct from significant effects. This interpretive convention was introduced during manuscript revision and was not a prespecified analysis criterion. Because multiple outcomes were evaluated and only two residual degrees of freedom were available, tendencies were treated as hypothesis-generating. Non-significant findings were not interpreted as evidence of equivalence. </w:t>
      </w:r>
    </w:p>
    <w:p w14:paraId="78C69A15" w14:textId="77777777" w:rsidR="0032155E" w:rsidRPr="00DB223A" w:rsidRDefault="005426C5" w:rsidP="004F3DBA">
      <w:pPr>
        <w:pStyle w:val="Heading1"/>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Results</w:t>
      </w:r>
    </w:p>
    <w:p w14:paraId="7611FE5A"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Chemical composition of the feeds</w:t>
      </w:r>
    </w:p>
    <w:p w14:paraId="2B57C419" w14:textId="77777777" w:rsidR="0032155E" w:rsidRDefault="005426C5" w:rsidP="004F3DBA">
      <w:pPr>
        <w:spacing w:after="140" w:line="360" w:lineRule="auto"/>
        <w:rPr>
          <w:sz w:val="24"/>
          <w:szCs w:val="24"/>
        </w:rPr>
      </w:pPr>
      <w:r w:rsidRPr="00DB223A">
        <w:rPr>
          <w:sz w:val="24"/>
          <w:szCs w:val="24"/>
        </w:rPr>
        <w:t xml:space="preserve">Sickle bush pod meal contained 186.5 g CP/kg DM, compared with 35.0 g/kg DM in Rhodes grass hay (Table 2). Organic matter concentrations were 954.0 and 942.0 g/kg DM, respectively. Pod meal had a lower ADF concentration than hay (590.7 versus 614.6 g/kg DM) and a slightly higher NDF concentration (637.0 versus 624.1 g/kg DM). Feed-composition values describe the materials </w:t>
      </w:r>
      <w:proofErr w:type="spellStart"/>
      <w:r w:rsidRPr="00DB223A">
        <w:rPr>
          <w:sz w:val="24"/>
          <w:szCs w:val="24"/>
        </w:rPr>
        <w:t>analysed</w:t>
      </w:r>
      <w:proofErr w:type="spellEnd"/>
      <w:r w:rsidRPr="00DB223A">
        <w:rPr>
          <w:sz w:val="24"/>
          <w:szCs w:val="24"/>
        </w:rPr>
        <w:t>; no inferential comparison between feeds was made.</w:t>
      </w:r>
    </w:p>
    <w:p w14:paraId="610AC13B" w14:textId="77777777" w:rsidR="003F6B5B" w:rsidRPr="00DB223A" w:rsidRDefault="003F6B5B" w:rsidP="003F6B5B">
      <w:pPr>
        <w:keepNext/>
        <w:spacing w:before="180" w:after="0" w:line="360" w:lineRule="auto"/>
        <w:ind w:left="1134" w:hanging="1134"/>
        <w:rPr>
          <w:rFonts w:cs="Times New Roman"/>
          <w:sz w:val="24"/>
          <w:szCs w:val="24"/>
        </w:rPr>
      </w:pPr>
      <w:r w:rsidRPr="00DB223A">
        <w:rPr>
          <w:b/>
          <w:sz w:val="24"/>
          <w:szCs w:val="24"/>
        </w:rPr>
        <w:t>Table 2.</w:t>
      </w:r>
      <w:r w:rsidRPr="00DB223A">
        <w:rPr>
          <w:sz w:val="24"/>
          <w:szCs w:val="24"/>
        </w:rPr>
        <w:t xml:space="preserve"> </w:t>
      </w:r>
      <w:r w:rsidRPr="00DB223A">
        <w:rPr>
          <w:sz w:val="24"/>
          <w:szCs w:val="24"/>
        </w:rPr>
        <w:tab/>
        <w:t>Chemical composition of Rhodes grass hay and sickle bush pod meal (DM in g/kg as fed; other components in g/kg DM)</w:t>
      </w:r>
    </w:p>
    <w:tbl>
      <w:tblPr>
        <w:tblW w:w="9826" w:type="dxa"/>
        <w:tblLayout w:type="fixed"/>
        <w:tblLook w:val="04A0" w:firstRow="1" w:lastRow="0" w:firstColumn="1" w:lastColumn="0" w:noHBand="0" w:noVBand="1"/>
      </w:tblPr>
      <w:tblGrid>
        <w:gridCol w:w="3388"/>
        <w:gridCol w:w="3218"/>
        <w:gridCol w:w="3220"/>
      </w:tblGrid>
      <w:tr w:rsidR="003F6B5B" w:rsidRPr="004F3DBA" w14:paraId="5C1831AD" w14:textId="77777777" w:rsidTr="00F731D8">
        <w:tc>
          <w:tcPr>
            <w:tcW w:w="2552" w:type="dxa"/>
            <w:tcBorders>
              <w:top w:val="single" w:sz="18" w:space="0" w:color="auto"/>
              <w:bottom w:val="single" w:sz="18" w:space="0" w:color="auto"/>
            </w:tcBorders>
            <w:hideMark/>
          </w:tcPr>
          <w:p w14:paraId="74A3DF94" w14:textId="77777777" w:rsidR="003F6B5B" w:rsidRPr="004F3DBA" w:rsidRDefault="003F6B5B" w:rsidP="00F731D8">
            <w:pPr>
              <w:keepNext/>
              <w:spacing w:after="0" w:line="360" w:lineRule="auto"/>
              <w:rPr>
                <w:rFonts w:eastAsia="Times New Roman" w:cs="Times New Roman"/>
                <w:b/>
                <w:bCs/>
                <w:sz w:val="24"/>
                <w:szCs w:val="24"/>
              </w:rPr>
            </w:pPr>
            <w:r w:rsidRPr="004F3DBA">
              <w:rPr>
                <w:rFonts w:eastAsia="Times New Roman" w:cs="Times New Roman"/>
                <w:b/>
                <w:bCs/>
                <w:sz w:val="24"/>
                <w:szCs w:val="24"/>
              </w:rPr>
              <w:t>Component</w:t>
            </w:r>
          </w:p>
        </w:tc>
        <w:tc>
          <w:tcPr>
            <w:tcW w:w="2424" w:type="dxa"/>
            <w:tcBorders>
              <w:top w:val="single" w:sz="18" w:space="0" w:color="auto"/>
              <w:bottom w:val="single" w:sz="18" w:space="0" w:color="auto"/>
            </w:tcBorders>
            <w:hideMark/>
          </w:tcPr>
          <w:p w14:paraId="4DC5273A" w14:textId="77777777" w:rsidR="003F6B5B" w:rsidRPr="004F3DBA" w:rsidRDefault="003F6B5B" w:rsidP="00F731D8">
            <w:pPr>
              <w:keepNext/>
              <w:spacing w:after="0" w:line="360" w:lineRule="auto"/>
              <w:jc w:val="center"/>
              <w:rPr>
                <w:rFonts w:eastAsia="Times New Roman" w:cs="Times New Roman"/>
                <w:b/>
                <w:bCs/>
                <w:sz w:val="24"/>
                <w:szCs w:val="24"/>
              </w:rPr>
            </w:pPr>
            <w:r w:rsidRPr="004F3DBA">
              <w:rPr>
                <w:rFonts w:eastAsia="Times New Roman" w:cs="Times New Roman"/>
                <w:b/>
                <w:bCs/>
                <w:sz w:val="24"/>
                <w:szCs w:val="24"/>
              </w:rPr>
              <w:t>Rhodes grass hay</w:t>
            </w:r>
          </w:p>
        </w:tc>
        <w:tc>
          <w:tcPr>
            <w:tcW w:w="2425" w:type="dxa"/>
            <w:tcBorders>
              <w:top w:val="single" w:sz="18" w:space="0" w:color="auto"/>
              <w:bottom w:val="single" w:sz="18" w:space="0" w:color="auto"/>
            </w:tcBorders>
            <w:hideMark/>
          </w:tcPr>
          <w:p w14:paraId="1F7EBCA8" w14:textId="77777777" w:rsidR="003F6B5B" w:rsidRPr="004F3DBA" w:rsidRDefault="003F6B5B" w:rsidP="00F731D8">
            <w:pPr>
              <w:keepNext/>
              <w:spacing w:after="0" w:line="360" w:lineRule="auto"/>
              <w:jc w:val="center"/>
              <w:rPr>
                <w:rFonts w:eastAsia="Times New Roman" w:cs="Times New Roman"/>
                <w:b/>
                <w:bCs/>
                <w:sz w:val="24"/>
                <w:szCs w:val="24"/>
              </w:rPr>
            </w:pPr>
            <w:r w:rsidRPr="004F3DBA">
              <w:rPr>
                <w:rFonts w:eastAsia="Times New Roman" w:cs="Times New Roman"/>
                <w:b/>
                <w:bCs/>
                <w:sz w:val="24"/>
                <w:szCs w:val="24"/>
              </w:rPr>
              <w:t>Sickle bush pod meal</w:t>
            </w:r>
          </w:p>
        </w:tc>
      </w:tr>
      <w:tr w:rsidR="003F6B5B" w:rsidRPr="004F3DBA" w14:paraId="5492FF5E" w14:textId="77777777" w:rsidTr="00F731D8">
        <w:tc>
          <w:tcPr>
            <w:tcW w:w="2552" w:type="dxa"/>
            <w:tcBorders>
              <w:top w:val="single" w:sz="18" w:space="0" w:color="auto"/>
            </w:tcBorders>
            <w:hideMark/>
          </w:tcPr>
          <w:p w14:paraId="27369FFA" w14:textId="77777777" w:rsidR="003F6B5B" w:rsidRPr="004F3DBA" w:rsidRDefault="003F6B5B" w:rsidP="00F731D8">
            <w:pPr>
              <w:keepNext/>
              <w:spacing w:after="0" w:line="360" w:lineRule="auto"/>
              <w:rPr>
                <w:rFonts w:eastAsia="Times New Roman" w:cs="Times New Roman"/>
                <w:sz w:val="24"/>
                <w:szCs w:val="24"/>
              </w:rPr>
            </w:pPr>
            <w:r w:rsidRPr="004F3DBA">
              <w:rPr>
                <w:rFonts w:eastAsia="Times New Roman" w:cs="Times New Roman"/>
                <w:sz w:val="24"/>
                <w:szCs w:val="24"/>
              </w:rPr>
              <w:t>DM</w:t>
            </w:r>
          </w:p>
        </w:tc>
        <w:tc>
          <w:tcPr>
            <w:tcW w:w="2424" w:type="dxa"/>
            <w:tcBorders>
              <w:top w:val="single" w:sz="18" w:space="0" w:color="auto"/>
            </w:tcBorders>
            <w:hideMark/>
          </w:tcPr>
          <w:p w14:paraId="75A40366"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928.0</w:t>
            </w:r>
          </w:p>
        </w:tc>
        <w:tc>
          <w:tcPr>
            <w:tcW w:w="2425" w:type="dxa"/>
            <w:tcBorders>
              <w:top w:val="single" w:sz="18" w:space="0" w:color="auto"/>
            </w:tcBorders>
            <w:hideMark/>
          </w:tcPr>
          <w:p w14:paraId="30234822"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933.0</w:t>
            </w:r>
          </w:p>
        </w:tc>
      </w:tr>
      <w:tr w:rsidR="003F6B5B" w:rsidRPr="004F3DBA" w14:paraId="0DA9399B" w14:textId="77777777" w:rsidTr="00F731D8">
        <w:tc>
          <w:tcPr>
            <w:tcW w:w="2552" w:type="dxa"/>
            <w:hideMark/>
          </w:tcPr>
          <w:p w14:paraId="265B89C6" w14:textId="77777777" w:rsidR="003F6B5B" w:rsidRPr="004F3DBA" w:rsidRDefault="003F6B5B" w:rsidP="00F731D8">
            <w:pPr>
              <w:keepNext/>
              <w:spacing w:after="0" w:line="360" w:lineRule="auto"/>
              <w:rPr>
                <w:rFonts w:eastAsia="Times New Roman" w:cs="Times New Roman"/>
                <w:sz w:val="24"/>
                <w:szCs w:val="24"/>
              </w:rPr>
            </w:pPr>
            <w:r w:rsidRPr="004F3DBA">
              <w:rPr>
                <w:rFonts w:eastAsia="Times New Roman" w:cs="Times New Roman"/>
                <w:sz w:val="24"/>
                <w:szCs w:val="24"/>
              </w:rPr>
              <w:t>OM</w:t>
            </w:r>
          </w:p>
        </w:tc>
        <w:tc>
          <w:tcPr>
            <w:tcW w:w="2424" w:type="dxa"/>
            <w:hideMark/>
          </w:tcPr>
          <w:p w14:paraId="20C1357E"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942.0</w:t>
            </w:r>
          </w:p>
        </w:tc>
        <w:tc>
          <w:tcPr>
            <w:tcW w:w="2425" w:type="dxa"/>
            <w:hideMark/>
          </w:tcPr>
          <w:p w14:paraId="2F2DDDF8"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954.0</w:t>
            </w:r>
          </w:p>
        </w:tc>
      </w:tr>
      <w:tr w:rsidR="003F6B5B" w:rsidRPr="004F3DBA" w14:paraId="34C739C5" w14:textId="77777777" w:rsidTr="00F731D8">
        <w:tc>
          <w:tcPr>
            <w:tcW w:w="2552" w:type="dxa"/>
            <w:hideMark/>
          </w:tcPr>
          <w:p w14:paraId="30139FDD" w14:textId="77777777" w:rsidR="003F6B5B" w:rsidRPr="004F3DBA" w:rsidRDefault="003F6B5B" w:rsidP="00F731D8">
            <w:pPr>
              <w:keepNext/>
              <w:spacing w:after="0" w:line="360" w:lineRule="auto"/>
              <w:rPr>
                <w:rFonts w:eastAsia="Times New Roman" w:cs="Times New Roman"/>
                <w:sz w:val="24"/>
                <w:szCs w:val="24"/>
              </w:rPr>
            </w:pPr>
            <w:r w:rsidRPr="004F3DBA">
              <w:rPr>
                <w:rFonts w:eastAsia="Times New Roman" w:cs="Times New Roman"/>
                <w:sz w:val="24"/>
                <w:szCs w:val="24"/>
              </w:rPr>
              <w:t>CP</w:t>
            </w:r>
          </w:p>
        </w:tc>
        <w:tc>
          <w:tcPr>
            <w:tcW w:w="2424" w:type="dxa"/>
            <w:hideMark/>
          </w:tcPr>
          <w:p w14:paraId="7BE8AFBB"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35.0</w:t>
            </w:r>
          </w:p>
        </w:tc>
        <w:tc>
          <w:tcPr>
            <w:tcW w:w="2425" w:type="dxa"/>
            <w:hideMark/>
          </w:tcPr>
          <w:p w14:paraId="28AA9FF5"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186.5</w:t>
            </w:r>
          </w:p>
        </w:tc>
      </w:tr>
      <w:tr w:rsidR="003F6B5B" w:rsidRPr="004F3DBA" w14:paraId="0E26E5A2" w14:textId="77777777" w:rsidTr="00F731D8">
        <w:tc>
          <w:tcPr>
            <w:tcW w:w="2552" w:type="dxa"/>
            <w:hideMark/>
          </w:tcPr>
          <w:p w14:paraId="5A000425" w14:textId="77777777" w:rsidR="003F6B5B" w:rsidRPr="004F3DBA" w:rsidRDefault="003F6B5B" w:rsidP="00F731D8">
            <w:pPr>
              <w:keepNext/>
              <w:spacing w:after="0" w:line="360" w:lineRule="auto"/>
              <w:rPr>
                <w:rFonts w:eastAsia="Times New Roman" w:cs="Times New Roman"/>
                <w:sz w:val="24"/>
                <w:szCs w:val="24"/>
              </w:rPr>
            </w:pPr>
            <w:r w:rsidRPr="004F3DBA">
              <w:rPr>
                <w:rFonts w:eastAsia="Times New Roman" w:cs="Times New Roman"/>
                <w:sz w:val="24"/>
                <w:szCs w:val="24"/>
              </w:rPr>
              <w:t>ADF</w:t>
            </w:r>
          </w:p>
        </w:tc>
        <w:tc>
          <w:tcPr>
            <w:tcW w:w="2424" w:type="dxa"/>
            <w:hideMark/>
          </w:tcPr>
          <w:p w14:paraId="4DABE784"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614.6</w:t>
            </w:r>
          </w:p>
        </w:tc>
        <w:tc>
          <w:tcPr>
            <w:tcW w:w="2425" w:type="dxa"/>
            <w:hideMark/>
          </w:tcPr>
          <w:p w14:paraId="56DD9841" w14:textId="77777777" w:rsidR="003F6B5B" w:rsidRPr="004F3DBA" w:rsidRDefault="003F6B5B" w:rsidP="00F731D8">
            <w:pPr>
              <w:keepNext/>
              <w:spacing w:after="0" w:line="360" w:lineRule="auto"/>
              <w:jc w:val="center"/>
              <w:rPr>
                <w:rFonts w:eastAsia="Times New Roman" w:cs="Times New Roman"/>
                <w:sz w:val="24"/>
                <w:szCs w:val="24"/>
              </w:rPr>
            </w:pPr>
            <w:r w:rsidRPr="004F3DBA">
              <w:rPr>
                <w:rFonts w:eastAsia="Times New Roman" w:cs="Times New Roman"/>
                <w:sz w:val="24"/>
                <w:szCs w:val="24"/>
              </w:rPr>
              <w:t>590.7</w:t>
            </w:r>
          </w:p>
        </w:tc>
      </w:tr>
      <w:tr w:rsidR="003F6B5B" w:rsidRPr="004F3DBA" w14:paraId="7DF45D9F" w14:textId="77777777" w:rsidTr="00F731D8">
        <w:tc>
          <w:tcPr>
            <w:tcW w:w="2552" w:type="dxa"/>
            <w:tcBorders>
              <w:bottom w:val="single" w:sz="18" w:space="0" w:color="auto"/>
            </w:tcBorders>
            <w:hideMark/>
          </w:tcPr>
          <w:p w14:paraId="05444089" w14:textId="77777777" w:rsidR="003F6B5B" w:rsidRPr="004F3DBA" w:rsidRDefault="003F6B5B" w:rsidP="00F731D8">
            <w:pPr>
              <w:spacing w:after="0" w:line="360" w:lineRule="auto"/>
              <w:rPr>
                <w:rFonts w:eastAsia="Times New Roman" w:cs="Times New Roman"/>
                <w:sz w:val="24"/>
                <w:szCs w:val="24"/>
              </w:rPr>
            </w:pPr>
            <w:r w:rsidRPr="004F3DBA">
              <w:rPr>
                <w:rFonts w:eastAsia="Times New Roman" w:cs="Times New Roman"/>
                <w:sz w:val="24"/>
                <w:szCs w:val="24"/>
              </w:rPr>
              <w:t>NDF</w:t>
            </w:r>
          </w:p>
        </w:tc>
        <w:tc>
          <w:tcPr>
            <w:tcW w:w="2424" w:type="dxa"/>
            <w:tcBorders>
              <w:bottom w:val="single" w:sz="18" w:space="0" w:color="auto"/>
            </w:tcBorders>
            <w:hideMark/>
          </w:tcPr>
          <w:p w14:paraId="266C8297" w14:textId="77777777" w:rsidR="003F6B5B" w:rsidRPr="004F3DBA" w:rsidRDefault="003F6B5B" w:rsidP="00F731D8">
            <w:pPr>
              <w:spacing w:after="0" w:line="360" w:lineRule="auto"/>
              <w:jc w:val="center"/>
              <w:rPr>
                <w:rFonts w:eastAsia="Times New Roman" w:cs="Times New Roman"/>
                <w:sz w:val="24"/>
                <w:szCs w:val="24"/>
              </w:rPr>
            </w:pPr>
            <w:r w:rsidRPr="004F3DBA">
              <w:rPr>
                <w:rFonts w:eastAsia="Times New Roman" w:cs="Times New Roman"/>
                <w:sz w:val="24"/>
                <w:szCs w:val="24"/>
              </w:rPr>
              <w:t>624.1</w:t>
            </w:r>
          </w:p>
        </w:tc>
        <w:tc>
          <w:tcPr>
            <w:tcW w:w="2425" w:type="dxa"/>
            <w:tcBorders>
              <w:bottom w:val="single" w:sz="18" w:space="0" w:color="auto"/>
            </w:tcBorders>
            <w:hideMark/>
          </w:tcPr>
          <w:p w14:paraId="2BDAA4E3" w14:textId="77777777" w:rsidR="003F6B5B" w:rsidRPr="004F3DBA" w:rsidRDefault="003F6B5B" w:rsidP="00F731D8">
            <w:pPr>
              <w:spacing w:after="0" w:line="360" w:lineRule="auto"/>
              <w:jc w:val="center"/>
              <w:rPr>
                <w:rFonts w:eastAsia="Times New Roman" w:cs="Times New Roman"/>
                <w:sz w:val="24"/>
                <w:szCs w:val="24"/>
              </w:rPr>
            </w:pPr>
            <w:r w:rsidRPr="004F3DBA">
              <w:rPr>
                <w:rFonts w:eastAsia="Times New Roman" w:cs="Times New Roman"/>
                <w:sz w:val="24"/>
                <w:szCs w:val="24"/>
              </w:rPr>
              <w:t>637.0</w:t>
            </w:r>
          </w:p>
        </w:tc>
      </w:tr>
    </w:tbl>
    <w:p w14:paraId="22B88FB4" w14:textId="77777777" w:rsidR="003F6B5B" w:rsidRPr="005F12FC" w:rsidRDefault="003F6B5B" w:rsidP="005F12FC">
      <w:pPr>
        <w:keepNext/>
        <w:spacing w:after="0"/>
        <w:rPr>
          <w:rFonts w:cs="Times New Roman"/>
          <w:bCs/>
          <w:sz w:val="18"/>
          <w:szCs w:val="18"/>
        </w:rPr>
      </w:pPr>
      <w:r w:rsidRPr="005F12FC">
        <w:rPr>
          <w:sz w:val="18"/>
          <w:szCs w:val="18"/>
        </w:rPr>
        <w:t>Values are means of three repeated laboratory analyses of one composite sample per feed. These were technical replicates, not independent feed samples. No inferential comparison between feeds was made. SEM is omitted because its calculation was undocumented.</w:t>
      </w:r>
      <w:r w:rsidR="005F12FC">
        <w:rPr>
          <w:sz w:val="18"/>
          <w:szCs w:val="18"/>
        </w:rPr>
        <w:t xml:space="preserve"> </w:t>
      </w:r>
      <w:r w:rsidRPr="005F12FC">
        <w:rPr>
          <w:rFonts w:cs="Times New Roman"/>
          <w:sz w:val="18"/>
          <w:szCs w:val="18"/>
        </w:rPr>
        <w:t xml:space="preserve">RH = Rhodes grass hay; DM = dry matter; OM = organic matter; CP = crude protein; ADF = acid detergent </w:t>
      </w:r>
      <w:proofErr w:type="spellStart"/>
      <w:r w:rsidRPr="005F12FC">
        <w:rPr>
          <w:rFonts w:cs="Times New Roman"/>
          <w:sz w:val="18"/>
          <w:szCs w:val="18"/>
        </w:rPr>
        <w:t>fibre</w:t>
      </w:r>
      <w:proofErr w:type="spellEnd"/>
      <w:r w:rsidRPr="005F12FC">
        <w:rPr>
          <w:rFonts w:cs="Times New Roman"/>
          <w:sz w:val="18"/>
          <w:szCs w:val="18"/>
        </w:rPr>
        <w:t xml:space="preserve">; NDF = neutral detergent </w:t>
      </w:r>
      <w:proofErr w:type="spellStart"/>
      <w:r w:rsidRPr="005F12FC">
        <w:rPr>
          <w:rFonts w:cs="Times New Roman"/>
          <w:sz w:val="18"/>
          <w:szCs w:val="18"/>
        </w:rPr>
        <w:t>fibre</w:t>
      </w:r>
      <w:proofErr w:type="spellEnd"/>
    </w:p>
    <w:p w14:paraId="1D6DB872" w14:textId="77777777" w:rsidR="003F6B5B" w:rsidRDefault="003F6B5B" w:rsidP="004F3DBA">
      <w:pPr>
        <w:spacing w:after="140" w:line="360" w:lineRule="auto"/>
        <w:rPr>
          <w:sz w:val="24"/>
          <w:szCs w:val="24"/>
        </w:rPr>
      </w:pPr>
    </w:p>
    <w:p w14:paraId="1549AEE8"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lastRenderedPageBreak/>
        <w:t>Body weight and nutrient intake</w:t>
      </w:r>
    </w:p>
    <w:p w14:paraId="46C7A451" w14:textId="77777777" w:rsidR="001C6C78" w:rsidRPr="00DB223A" w:rsidRDefault="005426C5" w:rsidP="001C6C78">
      <w:pPr>
        <w:keepNext/>
        <w:spacing w:after="140" w:line="360" w:lineRule="auto"/>
        <w:rPr>
          <w:rFonts w:cs="Times New Roman"/>
          <w:sz w:val="24"/>
          <w:szCs w:val="24"/>
        </w:rPr>
      </w:pPr>
      <w:r w:rsidRPr="00DB223A">
        <w:rPr>
          <w:sz w:val="24"/>
          <w:szCs w:val="24"/>
        </w:rPr>
        <w:t>Period-start body weight, period-end body weight and period-specific body-weight change did not differ significantly among treatments (P = 0.930, 0.907 and 0.447, respectively; Table 3). Mean period weight changes were 0.13, 0.33 and 0.24 kg for the control, 200 and 300 g/day treatments, respectively.</w:t>
      </w:r>
    </w:p>
    <w:p w14:paraId="73F78D71" w14:textId="77777777" w:rsidR="0032155E" w:rsidRDefault="005426C5" w:rsidP="001C6C78">
      <w:pPr>
        <w:keepNext/>
        <w:spacing w:after="0" w:line="360" w:lineRule="auto"/>
        <w:ind w:left="993" w:hanging="993"/>
        <w:rPr>
          <w:rFonts w:cs="Times New Roman"/>
          <w:sz w:val="24"/>
          <w:szCs w:val="24"/>
        </w:rPr>
      </w:pPr>
      <w:r w:rsidRPr="00B02541">
        <w:rPr>
          <w:rFonts w:cs="Times New Roman"/>
          <w:b/>
          <w:sz w:val="24"/>
          <w:szCs w:val="24"/>
        </w:rPr>
        <w:t>Table 3</w:t>
      </w:r>
      <w:r w:rsidRPr="004F3DBA">
        <w:rPr>
          <w:rFonts w:cs="Times New Roman"/>
          <w:sz w:val="24"/>
          <w:szCs w:val="24"/>
        </w:rPr>
        <w:t xml:space="preserve"> </w:t>
      </w:r>
      <w:r w:rsidRPr="004F3DBA">
        <w:rPr>
          <w:rFonts w:cs="Times New Roman"/>
          <w:sz w:val="24"/>
          <w:szCs w:val="24"/>
        </w:rPr>
        <w:tab/>
        <w:t>Body weight and weight change (kg), as well as nutrient intake (g/day) in Blackhead Persian sheep fed Rhodes grass hay supplemented with varying levels of sickle bush pod meal</w:t>
      </w:r>
    </w:p>
    <w:tbl>
      <w:tblPr>
        <w:tblW w:w="0" w:type="auto"/>
        <w:tblLayout w:type="fixed"/>
        <w:tblLook w:val="04A0" w:firstRow="1" w:lastRow="0" w:firstColumn="1" w:lastColumn="0" w:noHBand="0" w:noVBand="1"/>
      </w:tblPr>
      <w:tblGrid>
        <w:gridCol w:w="3402"/>
        <w:gridCol w:w="1233"/>
        <w:gridCol w:w="1234"/>
        <w:gridCol w:w="1234"/>
        <w:gridCol w:w="1234"/>
        <w:gridCol w:w="1234"/>
      </w:tblGrid>
      <w:tr w:rsidR="00FA5352" w:rsidRPr="00FA5352" w14:paraId="23FABB2F" w14:textId="77777777" w:rsidTr="00934945">
        <w:tc>
          <w:tcPr>
            <w:tcW w:w="3402" w:type="dxa"/>
            <w:tcBorders>
              <w:top w:val="single" w:sz="18" w:space="0" w:color="auto"/>
              <w:bottom w:val="single" w:sz="18" w:space="0" w:color="auto"/>
            </w:tcBorders>
            <w:hideMark/>
          </w:tcPr>
          <w:p w14:paraId="7AFA15F8" w14:textId="77777777" w:rsidR="00FA5352" w:rsidRPr="00FA5352" w:rsidRDefault="00FA5352" w:rsidP="00FA5352">
            <w:pPr>
              <w:keepNext/>
              <w:spacing w:after="0" w:line="360" w:lineRule="auto"/>
              <w:jc w:val="left"/>
              <w:rPr>
                <w:rFonts w:eastAsia="Times New Roman" w:cs="Times New Roman"/>
                <w:b/>
                <w:bCs/>
                <w:color w:val="auto"/>
                <w:sz w:val="24"/>
                <w:szCs w:val="24"/>
              </w:rPr>
            </w:pPr>
            <w:r w:rsidRPr="00FA5352">
              <w:rPr>
                <w:rFonts w:eastAsia="Times New Roman" w:cs="Times New Roman"/>
                <w:b/>
                <w:bCs/>
                <w:color w:val="auto"/>
                <w:sz w:val="24"/>
                <w:szCs w:val="24"/>
              </w:rPr>
              <w:t>Response</w:t>
            </w:r>
          </w:p>
        </w:tc>
        <w:tc>
          <w:tcPr>
            <w:tcW w:w="1233" w:type="dxa"/>
            <w:tcBorders>
              <w:top w:val="single" w:sz="18" w:space="0" w:color="auto"/>
              <w:bottom w:val="single" w:sz="18" w:space="0" w:color="auto"/>
            </w:tcBorders>
            <w:hideMark/>
          </w:tcPr>
          <w:p w14:paraId="6729B6EA" w14:textId="77777777" w:rsidR="00FA5352" w:rsidRPr="00FA5352" w:rsidRDefault="00FA5352" w:rsidP="00FA5352">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Control</w:t>
            </w:r>
          </w:p>
        </w:tc>
        <w:tc>
          <w:tcPr>
            <w:tcW w:w="1234" w:type="dxa"/>
            <w:tcBorders>
              <w:top w:val="single" w:sz="18" w:space="0" w:color="auto"/>
              <w:bottom w:val="single" w:sz="18" w:space="0" w:color="auto"/>
            </w:tcBorders>
            <w:hideMark/>
          </w:tcPr>
          <w:p w14:paraId="465B1788" w14:textId="77777777" w:rsidR="00FA5352" w:rsidRPr="00FA5352" w:rsidRDefault="00FA5352" w:rsidP="00FA5352">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200 g/day</w:t>
            </w:r>
          </w:p>
        </w:tc>
        <w:tc>
          <w:tcPr>
            <w:tcW w:w="1234" w:type="dxa"/>
            <w:tcBorders>
              <w:top w:val="single" w:sz="18" w:space="0" w:color="auto"/>
              <w:bottom w:val="single" w:sz="18" w:space="0" w:color="auto"/>
            </w:tcBorders>
            <w:hideMark/>
          </w:tcPr>
          <w:p w14:paraId="2FA2A528" w14:textId="77777777" w:rsidR="00FA5352" w:rsidRPr="00FA5352" w:rsidRDefault="00FA5352" w:rsidP="00FA5352">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300 g/day</w:t>
            </w:r>
          </w:p>
        </w:tc>
        <w:tc>
          <w:tcPr>
            <w:tcW w:w="1234" w:type="dxa"/>
            <w:tcBorders>
              <w:top w:val="single" w:sz="18" w:space="0" w:color="auto"/>
              <w:bottom w:val="single" w:sz="18" w:space="0" w:color="auto"/>
            </w:tcBorders>
            <w:hideMark/>
          </w:tcPr>
          <w:p w14:paraId="0DA6C6D3" w14:textId="77777777" w:rsidR="00FA5352" w:rsidRPr="00FA5352" w:rsidRDefault="00FA5352" w:rsidP="00FA5352">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SEM</w:t>
            </w:r>
          </w:p>
        </w:tc>
        <w:tc>
          <w:tcPr>
            <w:tcW w:w="1234" w:type="dxa"/>
            <w:tcBorders>
              <w:top w:val="single" w:sz="18" w:space="0" w:color="auto"/>
              <w:bottom w:val="single" w:sz="18" w:space="0" w:color="auto"/>
            </w:tcBorders>
            <w:hideMark/>
          </w:tcPr>
          <w:p w14:paraId="52265794" w14:textId="77777777" w:rsidR="00FA5352" w:rsidRPr="00FA5352" w:rsidRDefault="00FA5352" w:rsidP="00FA5352">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P-value</w:t>
            </w:r>
          </w:p>
        </w:tc>
      </w:tr>
      <w:tr w:rsidR="00FA5352" w:rsidRPr="00FA5352" w14:paraId="7248A7A3" w14:textId="77777777" w:rsidTr="00934945">
        <w:tc>
          <w:tcPr>
            <w:tcW w:w="3402" w:type="dxa"/>
            <w:tcBorders>
              <w:top w:val="single" w:sz="18" w:space="0" w:color="auto"/>
            </w:tcBorders>
            <w:hideMark/>
          </w:tcPr>
          <w:p w14:paraId="64EBBB8F"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Period-start body weight (kg)</w:t>
            </w:r>
          </w:p>
        </w:tc>
        <w:tc>
          <w:tcPr>
            <w:tcW w:w="1233" w:type="dxa"/>
            <w:tcBorders>
              <w:top w:val="single" w:sz="18" w:space="0" w:color="auto"/>
            </w:tcBorders>
            <w:hideMark/>
          </w:tcPr>
          <w:p w14:paraId="428753B6"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17.8</w:t>
            </w:r>
          </w:p>
        </w:tc>
        <w:tc>
          <w:tcPr>
            <w:tcW w:w="1234" w:type="dxa"/>
            <w:tcBorders>
              <w:top w:val="single" w:sz="18" w:space="0" w:color="auto"/>
            </w:tcBorders>
            <w:hideMark/>
          </w:tcPr>
          <w:p w14:paraId="5CA34322"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17.7</w:t>
            </w:r>
          </w:p>
        </w:tc>
        <w:tc>
          <w:tcPr>
            <w:tcW w:w="1234" w:type="dxa"/>
            <w:tcBorders>
              <w:top w:val="single" w:sz="18" w:space="0" w:color="auto"/>
            </w:tcBorders>
            <w:hideMark/>
          </w:tcPr>
          <w:p w14:paraId="7E535D45"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17.7</w:t>
            </w:r>
          </w:p>
        </w:tc>
        <w:tc>
          <w:tcPr>
            <w:tcW w:w="1234" w:type="dxa"/>
            <w:tcBorders>
              <w:top w:val="single" w:sz="18" w:space="0" w:color="auto"/>
            </w:tcBorders>
            <w:hideMark/>
          </w:tcPr>
          <w:p w14:paraId="5F2E0BD0"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0.21</w:t>
            </w:r>
          </w:p>
        </w:tc>
        <w:tc>
          <w:tcPr>
            <w:tcW w:w="1234" w:type="dxa"/>
            <w:tcBorders>
              <w:top w:val="single" w:sz="18" w:space="0" w:color="auto"/>
            </w:tcBorders>
            <w:hideMark/>
          </w:tcPr>
          <w:p w14:paraId="04880C33"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0.930</w:t>
            </w:r>
          </w:p>
        </w:tc>
      </w:tr>
      <w:tr w:rsidR="00FA5352" w:rsidRPr="00FA5352" w14:paraId="3A44CED4" w14:textId="77777777" w:rsidTr="00934945">
        <w:tc>
          <w:tcPr>
            <w:tcW w:w="3402" w:type="dxa"/>
            <w:hideMark/>
          </w:tcPr>
          <w:p w14:paraId="6854115F"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Period-end body weight (kg)</w:t>
            </w:r>
          </w:p>
        </w:tc>
        <w:tc>
          <w:tcPr>
            <w:tcW w:w="1233" w:type="dxa"/>
            <w:hideMark/>
          </w:tcPr>
          <w:p w14:paraId="7C2B5EC5"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17.9</w:t>
            </w:r>
          </w:p>
        </w:tc>
        <w:tc>
          <w:tcPr>
            <w:tcW w:w="1234" w:type="dxa"/>
            <w:hideMark/>
          </w:tcPr>
          <w:p w14:paraId="26DFB609"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18.0</w:t>
            </w:r>
          </w:p>
        </w:tc>
        <w:tc>
          <w:tcPr>
            <w:tcW w:w="1234" w:type="dxa"/>
            <w:hideMark/>
          </w:tcPr>
          <w:p w14:paraId="6F574485"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17.9</w:t>
            </w:r>
          </w:p>
        </w:tc>
        <w:tc>
          <w:tcPr>
            <w:tcW w:w="1234" w:type="dxa"/>
            <w:hideMark/>
          </w:tcPr>
          <w:p w14:paraId="01EC8693"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0.18</w:t>
            </w:r>
          </w:p>
        </w:tc>
        <w:tc>
          <w:tcPr>
            <w:tcW w:w="1234" w:type="dxa"/>
            <w:hideMark/>
          </w:tcPr>
          <w:p w14:paraId="69F36A60"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0.907</w:t>
            </w:r>
          </w:p>
        </w:tc>
      </w:tr>
      <w:tr w:rsidR="00FA5352" w:rsidRPr="00FA5352" w14:paraId="0A28A075" w14:textId="77777777" w:rsidTr="00934945">
        <w:tc>
          <w:tcPr>
            <w:tcW w:w="3402" w:type="dxa"/>
            <w:hideMark/>
          </w:tcPr>
          <w:p w14:paraId="7CBF5F59"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Period body-weight change (kg)</w:t>
            </w:r>
          </w:p>
        </w:tc>
        <w:tc>
          <w:tcPr>
            <w:tcW w:w="1233" w:type="dxa"/>
            <w:hideMark/>
          </w:tcPr>
          <w:p w14:paraId="54B9CC59"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0.13</w:t>
            </w:r>
          </w:p>
        </w:tc>
        <w:tc>
          <w:tcPr>
            <w:tcW w:w="1234" w:type="dxa"/>
            <w:hideMark/>
          </w:tcPr>
          <w:p w14:paraId="76E14546"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0.33</w:t>
            </w:r>
          </w:p>
        </w:tc>
        <w:tc>
          <w:tcPr>
            <w:tcW w:w="1234" w:type="dxa"/>
            <w:hideMark/>
          </w:tcPr>
          <w:p w14:paraId="3B2B918E"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0.24</w:t>
            </w:r>
          </w:p>
        </w:tc>
        <w:tc>
          <w:tcPr>
            <w:tcW w:w="1234" w:type="dxa"/>
            <w:hideMark/>
          </w:tcPr>
          <w:p w14:paraId="117BC9A2"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0.09</w:t>
            </w:r>
          </w:p>
        </w:tc>
        <w:tc>
          <w:tcPr>
            <w:tcW w:w="1234" w:type="dxa"/>
            <w:hideMark/>
          </w:tcPr>
          <w:p w14:paraId="54F3058C"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0.447</w:t>
            </w:r>
          </w:p>
        </w:tc>
      </w:tr>
      <w:tr w:rsidR="00FA5352" w:rsidRPr="00FA5352" w14:paraId="389EB979" w14:textId="77777777" w:rsidTr="00934945">
        <w:tc>
          <w:tcPr>
            <w:tcW w:w="3402" w:type="dxa"/>
            <w:hideMark/>
          </w:tcPr>
          <w:p w14:paraId="53A05EC0"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Total DM intake (g/day)</w:t>
            </w:r>
          </w:p>
        </w:tc>
        <w:tc>
          <w:tcPr>
            <w:tcW w:w="1233" w:type="dxa"/>
            <w:hideMark/>
          </w:tcPr>
          <w:p w14:paraId="4A5FD912"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296.2ᵃ</w:t>
            </w:r>
          </w:p>
        </w:tc>
        <w:tc>
          <w:tcPr>
            <w:tcW w:w="1234" w:type="dxa"/>
            <w:hideMark/>
          </w:tcPr>
          <w:p w14:paraId="5A1761E7"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460.5ᵇ</w:t>
            </w:r>
          </w:p>
        </w:tc>
        <w:tc>
          <w:tcPr>
            <w:tcW w:w="1234" w:type="dxa"/>
            <w:hideMark/>
          </w:tcPr>
          <w:p w14:paraId="4E13B701"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625.5ᶜ</w:t>
            </w:r>
          </w:p>
        </w:tc>
        <w:tc>
          <w:tcPr>
            <w:tcW w:w="1234" w:type="dxa"/>
            <w:hideMark/>
          </w:tcPr>
          <w:p w14:paraId="65608444"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12.7</w:t>
            </w:r>
          </w:p>
        </w:tc>
        <w:tc>
          <w:tcPr>
            <w:tcW w:w="1234" w:type="dxa"/>
            <w:hideMark/>
          </w:tcPr>
          <w:p w14:paraId="42BF1BEA"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0.0059</w:t>
            </w:r>
          </w:p>
        </w:tc>
      </w:tr>
      <w:tr w:rsidR="00FA5352" w:rsidRPr="00FA5352" w14:paraId="30810298" w14:textId="77777777" w:rsidTr="00934945">
        <w:tc>
          <w:tcPr>
            <w:tcW w:w="3402" w:type="dxa"/>
            <w:hideMark/>
          </w:tcPr>
          <w:p w14:paraId="3C3E2C27"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OM intake (g/day)</w:t>
            </w:r>
          </w:p>
        </w:tc>
        <w:tc>
          <w:tcPr>
            <w:tcW w:w="1233" w:type="dxa"/>
            <w:hideMark/>
          </w:tcPr>
          <w:p w14:paraId="38309BCD"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282.7ᵃ</w:t>
            </w:r>
          </w:p>
        </w:tc>
        <w:tc>
          <w:tcPr>
            <w:tcW w:w="1234" w:type="dxa"/>
            <w:hideMark/>
          </w:tcPr>
          <w:p w14:paraId="3BD5D3D3"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437.1ᵇ</w:t>
            </w:r>
          </w:p>
        </w:tc>
        <w:tc>
          <w:tcPr>
            <w:tcW w:w="1234" w:type="dxa"/>
            <w:hideMark/>
          </w:tcPr>
          <w:p w14:paraId="152C2304"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593.2ᶜ</w:t>
            </w:r>
          </w:p>
        </w:tc>
        <w:tc>
          <w:tcPr>
            <w:tcW w:w="1234" w:type="dxa"/>
            <w:hideMark/>
          </w:tcPr>
          <w:p w14:paraId="5948105E"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11.9</w:t>
            </w:r>
          </w:p>
        </w:tc>
        <w:tc>
          <w:tcPr>
            <w:tcW w:w="1234" w:type="dxa"/>
            <w:hideMark/>
          </w:tcPr>
          <w:p w14:paraId="3CA8BDAA"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0.0058</w:t>
            </w:r>
          </w:p>
        </w:tc>
      </w:tr>
      <w:tr w:rsidR="00FA5352" w:rsidRPr="00FA5352" w14:paraId="532490B2" w14:textId="77777777" w:rsidTr="00934945">
        <w:tc>
          <w:tcPr>
            <w:tcW w:w="3402" w:type="dxa"/>
            <w:hideMark/>
          </w:tcPr>
          <w:p w14:paraId="604D40E8"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CP intake (g/day)</w:t>
            </w:r>
          </w:p>
        </w:tc>
        <w:tc>
          <w:tcPr>
            <w:tcW w:w="1233" w:type="dxa"/>
            <w:hideMark/>
          </w:tcPr>
          <w:p w14:paraId="0EBFED42"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10.4ᵃ</w:t>
            </w:r>
          </w:p>
        </w:tc>
        <w:tc>
          <w:tcPr>
            <w:tcW w:w="1234" w:type="dxa"/>
            <w:hideMark/>
          </w:tcPr>
          <w:p w14:paraId="73FDC2CF"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44.2ᵇ</w:t>
            </w:r>
          </w:p>
        </w:tc>
        <w:tc>
          <w:tcPr>
            <w:tcW w:w="1234" w:type="dxa"/>
            <w:hideMark/>
          </w:tcPr>
          <w:p w14:paraId="69276420"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60.3ᵇ</w:t>
            </w:r>
          </w:p>
        </w:tc>
        <w:tc>
          <w:tcPr>
            <w:tcW w:w="1234" w:type="dxa"/>
            <w:hideMark/>
          </w:tcPr>
          <w:p w14:paraId="2739133E"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2.4</w:t>
            </w:r>
          </w:p>
        </w:tc>
        <w:tc>
          <w:tcPr>
            <w:tcW w:w="1234" w:type="dxa"/>
            <w:hideMark/>
          </w:tcPr>
          <w:p w14:paraId="53A3EF6A"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0.0088</w:t>
            </w:r>
          </w:p>
        </w:tc>
      </w:tr>
      <w:tr w:rsidR="00FA5352" w:rsidRPr="00FA5352" w14:paraId="28C68F53" w14:textId="77777777" w:rsidTr="00934945">
        <w:tc>
          <w:tcPr>
            <w:tcW w:w="3402" w:type="dxa"/>
            <w:hideMark/>
          </w:tcPr>
          <w:p w14:paraId="3CCFD8AD" w14:textId="77777777" w:rsidR="00FA5352" w:rsidRPr="00FA5352" w:rsidRDefault="00FA5352" w:rsidP="00FA5352">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ADF intake (g/day)</w:t>
            </w:r>
          </w:p>
        </w:tc>
        <w:tc>
          <w:tcPr>
            <w:tcW w:w="1233" w:type="dxa"/>
            <w:hideMark/>
          </w:tcPr>
          <w:p w14:paraId="0CB840CA"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175.0ᵃ</w:t>
            </w:r>
          </w:p>
        </w:tc>
        <w:tc>
          <w:tcPr>
            <w:tcW w:w="1234" w:type="dxa"/>
            <w:hideMark/>
          </w:tcPr>
          <w:p w14:paraId="139A33FE"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283.9ᵇ</w:t>
            </w:r>
          </w:p>
        </w:tc>
        <w:tc>
          <w:tcPr>
            <w:tcW w:w="1234" w:type="dxa"/>
            <w:hideMark/>
          </w:tcPr>
          <w:p w14:paraId="1DC94A01"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375.6ᶜ</w:t>
            </w:r>
          </w:p>
        </w:tc>
        <w:tc>
          <w:tcPr>
            <w:tcW w:w="1234" w:type="dxa"/>
            <w:hideMark/>
          </w:tcPr>
          <w:p w14:paraId="4E28BAB7"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9.8</w:t>
            </w:r>
          </w:p>
        </w:tc>
        <w:tc>
          <w:tcPr>
            <w:tcW w:w="1234" w:type="dxa"/>
            <w:hideMark/>
          </w:tcPr>
          <w:p w14:paraId="0B8FDAB9" w14:textId="77777777" w:rsidR="00FA5352" w:rsidRPr="00FA5352" w:rsidRDefault="00FA5352" w:rsidP="00FA5352">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0.0094</w:t>
            </w:r>
          </w:p>
        </w:tc>
      </w:tr>
      <w:tr w:rsidR="00FA5352" w:rsidRPr="00FA5352" w14:paraId="437209BA" w14:textId="77777777" w:rsidTr="00934945">
        <w:tc>
          <w:tcPr>
            <w:tcW w:w="3402" w:type="dxa"/>
            <w:tcBorders>
              <w:bottom w:val="single" w:sz="18" w:space="0" w:color="auto"/>
            </w:tcBorders>
            <w:hideMark/>
          </w:tcPr>
          <w:p w14:paraId="64752BC2" w14:textId="77777777" w:rsidR="00FA5352" w:rsidRPr="00FA5352" w:rsidRDefault="00FA5352" w:rsidP="00FA5352">
            <w:pPr>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NDF intake (g/day)</w:t>
            </w:r>
          </w:p>
        </w:tc>
        <w:tc>
          <w:tcPr>
            <w:tcW w:w="1233" w:type="dxa"/>
            <w:tcBorders>
              <w:bottom w:val="single" w:sz="18" w:space="0" w:color="auto"/>
            </w:tcBorders>
            <w:hideMark/>
          </w:tcPr>
          <w:p w14:paraId="7E1C8BB0" w14:textId="77777777" w:rsidR="00FA5352" w:rsidRPr="00FA5352" w:rsidRDefault="00FA5352" w:rsidP="00FA5352">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190.7ᵃ</w:t>
            </w:r>
          </w:p>
        </w:tc>
        <w:tc>
          <w:tcPr>
            <w:tcW w:w="1234" w:type="dxa"/>
            <w:tcBorders>
              <w:bottom w:val="single" w:sz="18" w:space="0" w:color="auto"/>
            </w:tcBorders>
            <w:hideMark/>
          </w:tcPr>
          <w:p w14:paraId="2827D374" w14:textId="77777777" w:rsidR="00FA5352" w:rsidRPr="00FA5352" w:rsidRDefault="00FA5352" w:rsidP="00FA5352">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288.2ᵇ</w:t>
            </w:r>
          </w:p>
        </w:tc>
        <w:tc>
          <w:tcPr>
            <w:tcW w:w="1234" w:type="dxa"/>
            <w:tcBorders>
              <w:bottom w:val="single" w:sz="18" w:space="0" w:color="auto"/>
            </w:tcBorders>
            <w:hideMark/>
          </w:tcPr>
          <w:p w14:paraId="1AE7CE01" w14:textId="77777777" w:rsidR="00FA5352" w:rsidRPr="00FA5352" w:rsidRDefault="00FA5352" w:rsidP="00FA5352">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397.5ᶜ</w:t>
            </w:r>
          </w:p>
        </w:tc>
        <w:tc>
          <w:tcPr>
            <w:tcW w:w="1234" w:type="dxa"/>
            <w:tcBorders>
              <w:bottom w:val="single" w:sz="18" w:space="0" w:color="auto"/>
            </w:tcBorders>
            <w:hideMark/>
          </w:tcPr>
          <w:p w14:paraId="49D6AD11" w14:textId="77777777" w:rsidR="00FA5352" w:rsidRPr="00FA5352" w:rsidRDefault="00FA5352" w:rsidP="00FA5352">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10.2</w:t>
            </w:r>
          </w:p>
        </w:tc>
        <w:tc>
          <w:tcPr>
            <w:tcW w:w="1234" w:type="dxa"/>
            <w:tcBorders>
              <w:bottom w:val="single" w:sz="18" w:space="0" w:color="auto"/>
            </w:tcBorders>
            <w:hideMark/>
          </w:tcPr>
          <w:p w14:paraId="4BBA4190" w14:textId="77777777" w:rsidR="00FA5352" w:rsidRPr="00FA5352" w:rsidRDefault="00FA5352" w:rsidP="00FA5352">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0.0096</w:t>
            </w:r>
          </w:p>
        </w:tc>
      </w:tr>
    </w:tbl>
    <w:p w14:paraId="08EC0B4D" w14:textId="77777777" w:rsidR="00B721D7" w:rsidRPr="005F12FC" w:rsidRDefault="00EA43A3" w:rsidP="00934945">
      <w:pPr>
        <w:keepNext/>
        <w:spacing w:after="0"/>
        <w:rPr>
          <w:rFonts w:cs="Times New Roman"/>
          <w:sz w:val="18"/>
          <w:szCs w:val="18"/>
        </w:rPr>
      </w:pPr>
      <w:r w:rsidRPr="005F12FC">
        <w:rPr>
          <w:sz w:val="18"/>
          <w:szCs w:val="18"/>
        </w:rPr>
        <w:t xml:space="preserve">DM = dry matter; OM = organic matter; CP = crude protein; ADF = acid detergent </w:t>
      </w:r>
      <w:proofErr w:type="spellStart"/>
      <w:r w:rsidRPr="005F12FC">
        <w:rPr>
          <w:sz w:val="18"/>
          <w:szCs w:val="18"/>
        </w:rPr>
        <w:t>fibre</w:t>
      </w:r>
      <w:proofErr w:type="spellEnd"/>
      <w:r w:rsidRPr="005F12FC">
        <w:rPr>
          <w:sz w:val="18"/>
          <w:szCs w:val="18"/>
        </w:rPr>
        <w:t xml:space="preserve">; NDF = neutral detergent </w:t>
      </w:r>
      <w:proofErr w:type="spellStart"/>
      <w:r w:rsidRPr="005F12FC">
        <w:rPr>
          <w:sz w:val="18"/>
          <w:szCs w:val="18"/>
        </w:rPr>
        <w:t>fibre</w:t>
      </w:r>
      <w:proofErr w:type="spellEnd"/>
      <w:r w:rsidRPr="005F12FC">
        <w:rPr>
          <w:sz w:val="18"/>
          <w:szCs w:val="18"/>
        </w:rPr>
        <w:t>. SEM is the standard error of a treatment mean. P-values represent overall treatment tests from the Latin-square model with two numerator and two denominator degrees of freedom.</w:t>
      </w:r>
      <w:r w:rsidR="005F12FC">
        <w:rPr>
          <w:sz w:val="18"/>
          <w:szCs w:val="18"/>
        </w:rPr>
        <w:t xml:space="preserve"> </w:t>
      </w:r>
      <w:r w:rsidR="009C1D7D" w:rsidRPr="005F12FC">
        <w:rPr>
          <w:sz w:val="18"/>
          <w:szCs w:val="18"/>
        </w:rPr>
        <w:t>Means within a row sharing a superscript letter do not differ at P &lt; 0.05. Means with no shared letter differ. Rows without superscripts have no detected pairwise differences. Body weights were not standardized for fasting status or time relative to feeding; period weight change should not be interpreted as tissue growth.</w:t>
      </w:r>
    </w:p>
    <w:p w14:paraId="627A3D92" w14:textId="77777777" w:rsidR="001C6C78" w:rsidRDefault="001C6C78" w:rsidP="00B02541">
      <w:pPr>
        <w:keepNext/>
        <w:spacing w:after="0" w:line="360" w:lineRule="auto"/>
        <w:rPr>
          <w:rFonts w:cs="Times New Roman"/>
          <w:sz w:val="18"/>
          <w:szCs w:val="18"/>
        </w:rPr>
      </w:pPr>
    </w:p>
    <w:p w14:paraId="0698F783" w14:textId="77777777" w:rsidR="001C6C78" w:rsidRDefault="001C6C78" w:rsidP="001C6C78">
      <w:pPr>
        <w:spacing w:after="140" w:line="360" w:lineRule="auto"/>
        <w:rPr>
          <w:rFonts w:cs="Times New Roman"/>
          <w:sz w:val="24"/>
          <w:szCs w:val="24"/>
        </w:rPr>
      </w:pPr>
      <w:r>
        <w:rPr>
          <w:sz w:val="24"/>
          <w:szCs w:val="24"/>
        </w:rPr>
        <w:t>Total DM, OM, CP, ADF and NDF intake differed among treatments (P = 0.0059, 0.0058, 0.0088, 0.0094 and 0.0096, respectively; Table 3). Total DM intake increased from 296.2 g/day in the control to 460.5 and 625.5 g/day at 200 and 300 g/day supplementation. The displayed groupings indicate differences among all three treatments for total DM, OM, ADF and NDF intake. CP intake was greater in both supplemented treatments than in the control, but the supplemented treatments did not differ.</w:t>
      </w:r>
    </w:p>
    <w:p w14:paraId="355C1E87" w14:textId="77777777" w:rsidR="0032155E" w:rsidRPr="004F3DBA" w:rsidRDefault="005426C5" w:rsidP="004F3DBA">
      <w:pPr>
        <w:pStyle w:val="Heading2"/>
        <w:spacing w:after="140" w:line="360" w:lineRule="auto"/>
        <w:jc w:val="both"/>
        <w:rPr>
          <w:rFonts w:ascii="Times New Roman" w:hAnsi="Times New Roman" w:cs="Times New Roman"/>
          <w:sz w:val="24"/>
          <w:szCs w:val="24"/>
        </w:rPr>
      </w:pPr>
      <w:r w:rsidRPr="004F3DBA">
        <w:rPr>
          <w:rFonts w:ascii="Times New Roman" w:hAnsi="Times New Roman" w:cs="Times New Roman"/>
          <w:sz w:val="24"/>
          <w:szCs w:val="24"/>
        </w:rPr>
        <w:t>Apparent digestibility</w:t>
      </w:r>
    </w:p>
    <w:p w14:paraId="2A0BF4E4" w14:textId="77777777" w:rsidR="0032155E" w:rsidRPr="00DB223A" w:rsidRDefault="005426C5" w:rsidP="004F3DBA">
      <w:pPr>
        <w:spacing w:after="140" w:line="360" w:lineRule="auto"/>
        <w:rPr>
          <w:rFonts w:cs="Times New Roman"/>
          <w:sz w:val="24"/>
          <w:szCs w:val="24"/>
        </w:rPr>
      </w:pPr>
      <w:r>
        <w:t>Apparent DM, OM, CP and NDF digestibility did not differ significantly among treatments (P = 0.059, 0.057, 0.146 and 0.069, respectively; Table 4). Their means were numerically higher with supplementation than with hay alone. ADF digestibility was 23.6%, 45.3% and 49.3% for the control, 200 and 300 g/day treatments, respectively. Its overall treatment test was significant (P = 0.048), but none of the Tukey-adjusted pairwise comparisons was significant at P &lt; 0.05. Thus, no specific treatment pair was identified as differing in ADF digestibility. The DM, OM and NDF results are described as exploratory statistical tendencies (0.05 &lt; P &lt; 0.10), with higher numerical digestibility in supplemented treatments. These tendencies do not establish significant differences between particular treatments.</w:t>
      </w:r>
    </w:p>
    <w:p w14:paraId="27BE8C1F" w14:textId="77777777" w:rsidR="0032155E" w:rsidRDefault="0044202E" w:rsidP="004F3DBA">
      <w:pPr>
        <w:keepNext/>
        <w:spacing w:before="180" w:after="140" w:line="360" w:lineRule="auto"/>
        <w:ind w:left="993" w:hanging="993"/>
        <w:rPr>
          <w:rFonts w:cs="Times New Roman"/>
          <w:sz w:val="24"/>
          <w:szCs w:val="24"/>
        </w:rPr>
      </w:pPr>
      <w:r w:rsidRPr="00B02541">
        <w:rPr>
          <w:rFonts w:cs="Times New Roman"/>
          <w:b/>
          <w:sz w:val="24"/>
          <w:szCs w:val="24"/>
        </w:rPr>
        <w:lastRenderedPageBreak/>
        <w:t>Table 4</w:t>
      </w:r>
      <w:r w:rsidRPr="004F3DBA">
        <w:rPr>
          <w:rFonts w:cs="Times New Roman"/>
          <w:sz w:val="24"/>
          <w:szCs w:val="24"/>
        </w:rPr>
        <w:t xml:space="preserve"> </w:t>
      </w:r>
      <w:r w:rsidRPr="004F3DBA">
        <w:rPr>
          <w:rFonts w:cs="Times New Roman"/>
          <w:sz w:val="24"/>
          <w:szCs w:val="24"/>
        </w:rPr>
        <w:tab/>
        <w:t>Apparent total-tract nutrient digestibility (%) in Blackhead Persian sheep fed Rhodes grass hay supplemented with sickle bush pod meal</w:t>
      </w:r>
    </w:p>
    <w:tbl>
      <w:tblPr>
        <w:tblW w:w="0" w:type="auto"/>
        <w:tblLook w:val="04A0" w:firstRow="1" w:lastRow="0" w:firstColumn="1" w:lastColumn="0" w:noHBand="0" w:noVBand="1"/>
      </w:tblPr>
      <w:tblGrid>
        <w:gridCol w:w="2083"/>
        <w:gridCol w:w="1502"/>
        <w:gridCol w:w="1503"/>
        <w:gridCol w:w="1503"/>
        <w:gridCol w:w="1503"/>
        <w:gridCol w:w="1488"/>
      </w:tblGrid>
      <w:tr w:rsidR="00FA5352" w:rsidRPr="00FA5352" w14:paraId="74CC6CBA" w14:textId="77777777" w:rsidTr="00934945">
        <w:tc>
          <w:tcPr>
            <w:tcW w:w="2083" w:type="dxa"/>
            <w:tcBorders>
              <w:top w:val="single" w:sz="18" w:space="0" w:color="auto"/>
              <w:bottom w:val="single" w:sz="18" w:space="0" w:color="auto"/>
            </w:tcBorders>
            <w:hideMark/>
          </w:tcPr>
          <w:p w14:paraId="54124B11" w14:textId="77777777" w:rsidR="00FA5352" w:rsidRPr="00FA5352" w:rsidRDefault="00FA5352" w:rsidP="00934945">
            <w:pPr>
              <w:keepNext/>
              <w:spacing w:after="0" w:line="360" w:lineRule="auto"/>
              <w:jc w:val="left"/>
              <w:rPr>
                <w:rFonts w:eastAsia="Times New Roman" w:cs="Times New Roman"/>
                <w:b/>
                <w:bCs/>
                <w:color w:val="auto"/>
                <w:sz w:val="24"/>
                <w:szCs w:val="24"/>
              </w:rPr>
            </w:pPr>
            <w:r w:rsidRPr="00FA5352">
              <w:rPr>
                <w:rFonts w:eastAsia="Times New Roman" w:cs="Times New Roman"/>
                <w:b/>
                <w:bCs/>
                <w:color w:val="auto"/>
                <w:sz w:val="24"/>
                <w:szCs w:val="24"/>
              </w:rPr>
              <w:t>Nutrient (%)</w:t>
            </w:r>
          </w:p>
        </w:tc>
        <w:tc>
          <w:tcPr>
            <w:tcW w:w="1502" w:type="dxa"/>
            <w:tcBorders>
              <w:top w:val="single" w:sz="18" w:space="0" w:color="auto"/>
              <w:bottom w:val="single" w:sz="18" w:space="0" w:color="auto"/>
            </w:tcBorders>
            <w:hideMark/>
          </w:tcPr>
          <w:p w14:paraId="5CD6A1CB" w14:textId="77777777" w:rsidR="00FA5352" w:rsidRPr="00FA5352" w:rsidRDefault="00FA5352" w:rsidP="00934945">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Control</w:t>
            </w:r>
          </w:p>
        </w:tc>
        <w:tc>
          <w:tcPr>
            <w:tcW w:w="1503" w:type="dxa"/>
            <w:tcBorders>
              <w:top w:val="single" w:sz="18" w:space="0" w:color="auto"/>
              <w:bottom w:val="single" w:sz="18" w:space="0" w:color="auto"/>
            </w:tcBorders>
            <w:hideMark/>
          </w:tcPr>
          <w:p w14:paraId="3109C1B0" w14:textId="77777777" w:rsidR="00FA5352" w:rsidRPr="00FA5352" w:rsidRDefault="00FA5352" w:rsidP="00934945">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200 g/day</w:t>
            </w:r>
          </w:p>
        </w:tc>
        <w:tc>
          <w:tcPr>
            <w:tcW w:w="1503" w:type="dxa"/>
            <w:tcBorders>
              <w:top w:val="single" w:sz="18" w:space="0" w:color="auto"/>
              <w:bottom w:val="single" w:sz="18" w:space="0" w:color="auto"/>
            </w:tcBorders>
            <w:hideMark/>
          </w:tcPr>
          <w:p w14:paraId="5E5847B7" w14:textId="77777777" w:rsidR="00FA5352" w:rsidRPr="00FA5352" w:rsidRDefault="00FA5352" w:rsidP="00934945">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300 g/day</w:t>
            </w:r>
          </w:p>
        </w:tc>
        <w:tc>
          <w:tcPr>
            <w:tcW w:w="1503" w:type="dxa"/>
            <w:tcBorders>
              <w:top w:val="single" w:sz="18" w:space="0" w:color="auto"/>
              <w:bottom w:val="single" w:sz="18" w:space="0" w:color="auto"/>
            </w:tcBorders>
            <w:hideMark/>
          </w:tcPr>
          <w:p w14:paraId="7BC41BF5" w14:textId="77777777" w:rsidR="00FA5352" w:rsidRPr="00FA5352" w:rsidRDefault="00FA5352" w:rsidP="00934945">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SEM</w:t>
            </w:r>
          </w:p>
        </w:tc>
        <w:tc>
          <w:tcPr>
            <w:tcW w:w="1488" w:type="dxa"/>
            <w:tcBorders>
              <w:top w:val="single" w:sz="18" w:space="0" w:color="auto"/>
              <w:bottom w:val="single" w:sz="18" w:space="0" w:color="auto"/>
            </w:tcBorders>
            <w:hideMark/>
          </w:tcPr>
          <w:p w14:paraId="2D717619" w14:textId="77777777" w:rsidR="00FA5352" w:rsidRPr="00FA5352" w:rsidRDefault="00FA5352" w:rsidP="00934945">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 xml:space="preserve"> P-value</w:t>
            </w:r>
          </w:p>
        </w:tc>
      </w:tr>
      <w:tr w:rsidR="00FA5352" w:rsidRPr="00FA5352" w14:paraId="79E16B1C" w14:textId="77777777" w:rsidTr="00934945">
        <w:tc>
          <w:tcPr>
            <w:tcW w:w="2083" w:type="dxa"/>
            <w:tcBorders>
              <w:top w:val="single" w:sz="18" w:space="0" w:color="auto"/>
            </w:tcBorders>
            <w:hideMark/>
          </w:tcPr>
          <w:p w14:paraId="61741EFE" w14:textId="77777777" w:rsidR="00FA5352" w:rsidRPr="00FA5352" w:rsidRDefault="00FA5352" w:rsidP="00934945">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DM</w:t>
            </w:r>
          </w:p>
        </w:tc>
        <w:tc>
          <w:tcPr>
            <w:tcW w:w="1502" w:type="dxa"/>
            <w:tcBorders>
              <w:top w:val="single" w:sz="18" w:space="0" w:color="auto"/>
            </w:tcBorders>
            <w:hideMark/>
          </w:tcPr>
          <w:p w14:paraId="3ED5E731"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34.4</w:t>
            </w:r>
          </w:p>
        </w:tc>
        <w:tc>
          <w:tcPr>
            <w:tcW w:w="1503" w:type="dxa"/>
            <w:tcBorders>
              <w:top w:val="single" w:sz="18" w:space="0" w:color="auto"/>
            </w:tcBorders>
            <w:hideMark/>
          </w:tcPr>
          <w:p w14:paraId="2F131260"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51.2</w:t>
            </w:r>
          </w:p>
        </w:tc>
        <w:tc>
          <w:tcPr>
            <w:tcW w:w="1503" w:type="dxa"/>
            <w:tcBorders>
              <w:top w:val="single" w:sz="18" w:space="0" w:color="auto"/>
            </w:tcBorders>
            <w:hideMark/>
          </w:tcPr>
          <w:p w14:paraId="09B4C2F9"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55.7</w:t>
            </w:r>
          </w:p>
        </w:tc>
        <w:tc>
          <w:tcPr>
            <w:tcW w:w="1503" w:type="dxa"/>
            <w:tcBorders>
              <w:top w:val="single" w:sz="18" w:space="0" w:color="auto"/>
            </w:tcBorders>
            <w:hideMark/>
          </w:tcPr>
          <w:p w14:paraId="76A8729E"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2.8</w:t>
            </w:r>
          </w:p>
        </w:tc>
        <w:tc>
          <w:tcPr>
            <w:tcW w:w="1488" w:type="dxa"/>
            <w:tcBorders>
              <w:top w:val="single" w:sz="18" w:space="0" w:color="auto"/>
            </w:tcBorders>
            <w:hideMark/>
          </w:tcPr>
          <w:p w14:paraId="3741FF06"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0.059</w:t>
            </w:r>
          </w:p>
        </w:tc>
      </w:tr>
      <w:tr w:rsidR="00FA5352" w:rsidRPr="00FA5352" w14:paraId="787DF1BA" w14:textId="77777777" w:rsidTr="00934945">
        <w:tc>
          <w:tcPr>
            <w:tcW w:w="2083" w:type="dxa"/>
            <w:hideMark/>
          </w:tcPr>
          <w:p w14:paraId="57D6FA85" w14:textId="77777777" w:rsidR="00FA5352" w:rsidRPr="00FA5352" w:rsidRDefault="00FA5352" w:rsidP="00934945">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OM</w:t>
            </w:r>
          </w:p>
        </w:tc>
        <w:tc>
          <w:tcPr>
            <w:tcW w:w="1502" w:type="dxa"/>
            <w:hideMark/>
          </w:tcPr>
          <w:p w14:paraId="6D55A923"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37.4</w:t>
            </w:r>
          </w:p>
        </w:tc>
        <w:tc>
          <w:tcPr>
            <w:tcW w:w="1503" w:type="dxa"/>
            <w:hideMark/>
          </w:tcPr>
          <w:p w14:paraId="0A46A857"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53.3</w:t>
            </w:r>
          </w:p>
        </w:tc>
        <w:tc>
          <w:tcPr>
            <w:tcW w:w="1503" w:type="dxa"/>
            <w:hideMark/>
          </w:tcPr>
          <w:p w14:paraId="53B4D890"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57.5</w:t>
            </w:r>
          </w:p>
        </w:tc>
        <w:tc>
          <w:tcPr>
            <w:tcW w:w="1503" w:type="dxa"/>
            <w:hideMark/>
          </w:tcPr>
          <w:p w14:paraId="5BE4E6AD"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2.6</w:t>
            </w:r>
          </w:p>
        </w:tc>
        <w:tc>
          <w:tcPr>
            <w:tcW w:w="1488" w:type="dxa"/>
            <w:hideMark/>
          </w:tcPr>
          <w:p w14:paraId="777256EE"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0.057</w:t>
            </w:r>
          </w:p>
        </w:tc>
      </w:tr>
      <w:tr w:rsidR="00FA5352" w:rsidRPr="00FA5352" w14:paraId="6F78585B" w14:textId="77777777" w:rsidTr="00934945">
        <w:tc>
          <w:tcPr>
            <w:tcW w:w="2083" w:type="dxa"/>
            <w:hideMark/>
          </w:tcPr>
          <w:p w14:paraId="12AF63C9" w14:textId="77777777" w:rsidR="00FA5352" w:rsidRPr="00FA5352" w:rsidRDefault="00FA5352" w:rsidP="00934945">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CP</w:t>
            </w:r>
          </w:p>
        </w:tc>
        <w:tc>
          <w:tcPr>
            <w:tcW w:w="1502" w:type="dxa"/>
            <w:hideMark/>
          </w:tcPr>
          <w:p w14:paraId="6D93C931"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36.4</w:t>
            </w:r>
          </w:p>
        </w:tc>
        <w:tc>
          <w:tcPr>
            <w:tcW w:w="1503" w:type="dxa"/>
            <w:hideMark/>
          </w:tcPr>
          <w:p w14:paraId="599A5F53"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52.3</w:t>
            </w:r>
          </w:p>
        </w:tc>
        <w:tc>
          <w:tcPr>
            <w:tcW w:w="1503" w:type="dxa"/>
            <w:hideMark/>
          </w:tcPr>
          <w:p w14:paraId="1247DD2E"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47.9</w:t>
            </w:r>
          </w:p>
        </w:tc>
        <w:tc>
          <w:tcPr>
            <w:tcW w:w="1503" w:type="dxa"/>
            <w:hideMark/>
          </w:tcPr>
          <w:p w14:paraId="69FCE202"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3.4</w:t>
            </w:r>
          </w:p>
        </w:tc>
        <w:tc>
          <w:tcPr>
            <w:tcW w:w="1488" w:type="dxa"/>
            <w:hideMark/>
          </w:tcPr>
          <w:p w14:paraId="25775EB0"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0.146</w:t>
            </w:r>
          </w:p>
        </w:tc>
      </w:tr>
      <w:tr w:rsidR="00FA5352" w:rsidRPr="00FA5352" w14:paraId="3227BC90" w14:textId="77777777" w:rsidTr="00934945">
        <w:tc>
          <w:tcPr>
            <w:tcW w:w="2083" w:type="dxa"/>
            <w:hideMark/>
          </w:tcPr>
          <w:p w14:paraId="76E293C4" w14:textId="77777777" w:rsidR="00FA5352" w:rsidRPr="00FA5352" w:rsidRDefault="00FA5352" w:rsidP="00934945">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ADF</w:t>
            </w:r>
          </w:p>
        </w:tc>
        <w:tc>
          <w:tcPr>
            <w:tcW w:w="1502" w:type="dxa"/>
            <w:hideMark/>
          </w:tcPr>
          <w:p w14:paraId="6D4BB804"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23.6</w:t>
            </w:r>
          </w:p>
        </w:tc>
        <w:tc>
          <w:tcPr>
            <w:tcW w:w="1503" w:type="dxa"/>
            <w:hideMark/>
          </w:tcPr>
          <w:p w14:paraId="0CDF6E5D"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45.3</w:t>
            </w:r>
          </w:p>
        </w:tc>
        <w:tc>
          <w:tcPr>
            <w:tcW w:w="1503" w:type="dxa"/>
            <w:hideMark/>
          </w:tcPr>
          <w:p w14:paraId="72999177"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49.3</w:t>
            </w:r>
          </w:p>
        </w:tc>
        <w:tc>
          <w:tcPr>
            <w:tcW w:w="1503" w:type="dxa"/>
            <w:hideMark/>
          </w:tcPr>
          <w:p w14:paraId="086E7E77"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3.1</w:t>
            </w:r>
          </w:p>
        </w:tc>
        <w:tc>
          <w:tcPr>
            <w:tcW w:w="1488" w:type="dxa"/>
            <w:hideMark/>
          </w:tcPr>
          <w:p w14:paraId="11F65501" w14:textId="77777777" w:rsidR="00FA5352" w:rsidRPr="00FA5352" w:rsidRDefault="00FA5352" w:rsidP="00934945">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0.048</w:t>
            </w:r>
          </w:p>
        </w:tc>
      </w:tr>
      <w:tr w:rsidR="00FA5352" w:rsidRPr="00FA5352" w14:paraId="52C36346" w14:textId="77777777" w:rsidTr="00934945">
        <w:tc>
          <w:tcPr>
            <w:tcW w:w="2083" w:type="dxa"/>
            <w:tcBorders>
              <w:bottom w:val="single" w:sz="18" w:space="0" w:color="auto"/>
            </w:tcBorders>
            <w:hideMark/>
          </w:tcPr>
          <w:p w14:paraId="3979B8CE" w14:textId="77777777" w:rsidR="00FA5352" w:rsidRPr="00FA5352" w:rsidRDefault="00FA5352" w:rsidP="00934945">
            <w:pPr>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NDF</w:t>
            </w:r>
          </w:p>
        </w:tc>
        <w:tc>
          <w:tcPr>
            <w:tcW w:w="1502" w:type="dxa"/>
            <w:tcBorders>
              <w:bottom w:val="single" w:sz="18" w:space="0" w:color="auto"/>
            </w:tcBorders>
            <w:hideMark/>
          </w:tcPr>
          <w:p w14:paraId="0DB37E2C" w14:textId="77777777" w:rsidR="00FA5352" w:rsidRPr="00FA5352" w:rsidRDefault="00FA5352" w:rsidP="00934945">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26.0</w:t>
            </w:r>
          </w:p>
        </w:tc>
        <w:tc>
          <w:tcPr>
            <w:tcW w:w="1503" w:type="dxa"/>
            <w:tcBorders>
              <w:bottom w:val="single" w:sz="18" w:space="0" w:color="auto"/>
            </w:tcBorders>
            <w:hideMark/>
          </w:tcPr>
          <w:p w14:paraId="39FC0E77" w14:textId="77777777" w:rsidR="00FA5352" w:rsidRPr="00FA5352" w:rsidRDefault="00FA5352" w:rsidP="00934945">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42.5</w:t>
            </w:r>
          </w:p>
        </w:tc>
        <w:tc>
          <w:tcPr>
            <w:tcW w:w="1503" w:type="dxa"/>
            <w:tcBorders>
              <w:bottom w:val="single" w:sz="18" w:space="0" w:color="auto"/>
            </w:tcBorders>
            <w:hideMark/>
          </w:tcPr>
          <w:p w14:paraId="15C3B2B7" w14:textId="77777777" w:rsidR="00FA5352" w:rsidRPr="00FA5352" w:rsidRDefault="00FA5352" w:rsidP="00934945">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46.8</w:t>
            </w:r>
          </w:p>
        </w:tc>
        <w:tc>
          <w:tcPr>
            <w:tcW w:w="1503" w:type="dxa"/>
            <w:tcBorders>
              <w:bottom w:val="single" w:sz="18" w:space="0" w:color="auto"/>
            </w:tcBorders>
            <w:hideMark/>
          </w:tcPr>
          <w:p w14:paraId="0FABD4E6" w14:textId="77777777" w:rsidR="00FA5352" w:rsidRPr="00FA5352" w:rsidRDefault="00FA5352" w:rsidP="00934945">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3.0</w:t>
            </w:r>
          </w:p>
        </w:tc>
        <w:tc>
          <w:tcPr>
            <w:tcW w:w="1488" w:type="dxa"/>
            <w:tcBorders>
              <w:bottom w:val="single" w:sz="18" w:space="0" w:color="auto"/>
            </w:tcBorders>
            <w:hideMark/>
          </w:tcPr>
          <w:p w14:paraId="4E133ACB" w14:textId="77777777" w:rsidR="00FA5352" w:rsidRPr="00FA5352" w:rsidRDefault="00FA5352" w:rsidP="00934945">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0.069</w:t>
            </w:r>
          </w:p>
        </w:tc>
      </w:tr>
    </w:tbl>
    <w:p w14:paraId="2CC452FE" w14:textId="77777777" w:rsidR="0023154D" w:rsidRPr="005F12FC" w:rsidRDefault="0023154D" w:rsidP="004F3DBA">
      <w:pPr>
        <w:keepNext/>
        <w:spacing w:after="140" w:line="360" w:lineRule="auto"/>
        <w:rPr>
          <w:rFonts w:cs="Times New Roman"/>
          <w:sz w:val="18"/>
          <w:szCs w:val="18"/>
        </w:rPr>
      </w:pPr>
      <w:r w:rsidRPr="005F12FC">
        <w:rPr>
          <w:sz w:val="18"/>
          <w:szCs w:val="18"/>
        </w:rPr>
        <w:t>SEM is the standard error of a treatment mean. P-values represent overall treatment tests with two numerator and two denominator degrees of freedom. Percentages were calculated per sheep-period before analysis. No Tukey-adjusted pairwise comparison was significant at P &lt; 0.05, despite the significant overall ADF treatment test.</w:t>
      </w:r>
    </w:p>
    <w:p w14:paraId="02B09698" w14:textId="77777777" w:rsidR="0032155E" w:rsidRPr="004F3DBA" w:rsidRDefault="005426C5" w:rsidP="004F3DBA">
      <w:pPr>
        <w:pStyle w:val="Heading2"/>
        <w:spacing w:after="140" w:line="360" w:lineRule="auto"/>
        <w:jc w:val="both"/>
        <w:rPr>
          <w:rFonts w:ascii="Times New Roman" w:hAnsi="Times New Roman" w:cs="Times New Roman"/>
          <w:sz w:val="24"/>
          <w:szCs w:val="24"/>
        </w:rPr>
      </w:pPr>
      <w:r w:rsidRPr="004F3DBA">
        <w:rPr>
          <w:rFonts w:ascii="Times New Roman" w:hAnsi="Times New Roman" w:cs="Times New Roman"/>
          <w:sz w:val="24"/>
          <w:szCs w:val="24"/>
        </w:rPr>
        <w:t>Nitrogen balance</w:t>
      </w:r>
    </w:p>
    <w:p w14:paraId="4B8E0129" w14:textId="77777777" w:rsidR="0032155E" w:rsidRPr="00DB223A" w:rsidRDefault="005426C5" w:rsidP="004F3DBA">
      <w:pPr>
        <w:spacing w:after="140" w:line="360" w:lineRule="auto"/>
        <w:rPr>
          <w:rFonts w:cs="Times New Roman"/>
          <w:sz w:val="24"/>
          <w:szCs w:val="24"/>
        </w:rPr>
      </w:pPr>
      <w:r w:rsidRPr="00DB223A">
        <w:rPr>
          <w:sz w:val="24"/>
          <w:szCs w:val="24"/>
        </w:rPr>
        <w:t xml:space="preserve">Nitrogen intake, </w:t>
      </w:r>
      <w:proofErr w:type="spellStart"/>
      <w:r w:rsidRPr="00DB223A">
        <w:rPr>
          <w:sz w:val="24"/>
          <w:szCs w:val="24"/>
        </w:rPr>
        <w:t>faecal</w:t>
      </w:r>
      <w:proofErr w:type="spellEnd"/>
      <w:r w:rsidRPr="00DB223A">
        <w:rPr>
          <w:sz w:val="24"/>
          <w:szCs w:val="24"/>
        </w:rPr>
        <w:t xml:space="preserve"> N output, apparently digested N and N retention differed among treatments (P = 0.0097, 0.023, 0.020 and 0.022, respectively; Table 5). Nitrogen intake, apparently digested N and N retention were greater in both supplemented treatments than in the control; none differed significantly between supplementation levels according to the displayed groupings. </w:t>
      </w:r>
      <w:proofErr w:type="spellStart"/>
      <w:r w:rsidRPr="00DB223A">
        <w:rPr>
          <w:sz w:val="24"/>
          <w:szCs w:val="24"/>
        </w:rPr>
        <w:t>Faecal</w:t>
      </w:r>
      <w:proofErr w:type="spellEnd"/>
      <w:r w:rsidRPr="00DB223A">
        <w:rPr>
          <w:sz w:val="24"/>
          <w:szCs w:val="24"/>
        </w:rPr>
        <w:t xml:space="preserve"> N was greater at 300 g/day than in the control, while 200 g/day did not differ from either treatment. Urinary N did not differ significantly (P = 0.429). Nitrogen retained as a percentage of intake was 29.4%, 50.7% and 44.8%, respectively (P = 0.065). Retention as a percentage of apparently digested N was 83.3%, 97.3% and 93.5% (P = 0.163). Neither proportional-retention measure differed significantly among treatments. Retention as a percentage of intake showed an exploratory tendency toward treatment differences (P = 0.065), with the highest numerical value at 200 g/day; this does not establish a difference between specific treatments.</w:t>
      </w:r>
    </w:p>
    <w:p w14:paraId="21CF67BA" w14:textId="77777777" w:rsidR="0032155E" w:rsidRDefault="005426C5" w:rsidP="004F3DBA">
      <w:pPr>
        <w:keepNext/>
        <w:spacing w:before="180" w:after="140" w:line="360" w:lineRule="auto"/>
        <w:ind w:left="851" w:hanging="851"/>
        <w:rPr>
          <w:rFonts w:cs="Times New Roman"/>
          <w:sz w:val="24"/>
          <w:szCs w:val="24"/>
        </w:rPr>
      </w:pPr>
      <w:r w:rsidRPr="00B02541">
        <w:rPr>
          <w:rFonts w:cs="Times New Roman"/>
          <w:b/>
          <w:sz w:val="24"/>
          <w:szCs w:val="24"/>
        </w:rPr>
        <w:lastRenderedPageBreak/>
        <w:t>Table 5</w:t>
      </w:r>
      <w:r w:rsidRPr="004F3DBA">
        <w:rPr>
          <w:rFonts w:cs="Times New Roman"/>
          <w:sz w:val="24"/>
          <w:szCs w:val="24"/>
        </w:rPr>
        <w:t xml:space="preserve"> </w:t>
      </w:r>
      <w:r w:rsidRPr="004F3DBA">
        <w:rPr>
          <w:rFonts w:cs="Times New Roman"/>
          <w:sz w:val="24"/>
          <w:szCs w:val="24"/>
        </w:rPr>
        <w:tab/>
        <w:t>Nitrogen balance of Blackhead Persian sheep fed Rhodes grass hay supplemented with sickle bush pod meal</w:t>
      </w:r>
    </w:p>
    <w:tbl>
      <w:tblPr>
        <w:tblW w:w="9923" w:type="dxa"/>
        <w:tblLook w:val="04A0" w:firstRow="1" w:lastRow="0" w:firstColumn="1" w:lastColumn="0" w:noHBand="0" w:noVBand="1"/>
      </w:tblPr>
      <w:tblGrid>
        <w:gridCol w:w="3261"/>
        <w:gridCol w:w="1332"/>
        <w:gridCol w:w="1332"/>
        <w:gridCol w:w="1333"/>
        <w:gridCol w:w="1332"/>
        <w:gridCol w:w="1333"/>
      </w:tblGrid>
      <w:tr w:rsidR="00FA5352" w:rsidRPr="00FA5352" w14:paraId="1AF03AF2" w14:textId="77777777" w:rsidTr="00752508">
        <w:tc>
          <w:tcPr>
            <w:tcW w:w="3261" w:type="dxa"/>
            <w:tcBorders>
              <w:top w:val="single" w:sz="18" w:space="0" w:color="auto"/>
              <w:bottom w:val="single" w:sz="18" w:space="0" w:color="auto"/>
            </w:tcBorders>
            <w:hideMark/>
          </w:tcPr>
          <w:p w14:paraId="2CCB0F48" w14:textId="77777777" w:rsidR="00FA5352" w:rsidRPr="00FA5352" w:rsidRDefault="00FA5352" w:rsidP="00DA7AEB">
            <w:pPr>
              <w:keepNext/>
              <w:spacing w:after="0" w:line="360" w:lineRule="auto"/>
              <w:jc w:val="left"/>
              <w:rPr>
                <w:rFonts w:eastAsia="Times New Roman" w:cs="Times New Roman"/>
                <w:b/>
                <w:bCs/>
                <w:color w:val="auto"/>
                <w:sz w:val="24"/>
                <w:szCs w:val="24"/>
              </w:rPr>
            </w:pPr>
            <w:r w:rsidRPr="00FA5352">
              <w:rPr>
                <w:rFonts w:eastAsia="Times New Roman" w:cs="Times New Roman"/>
                <w:b/>
                <w:bCs/>
                <w:color w:val="auto"/>
                <w:sz w:val="24"/>
                <w:szCs w:val="24"/>
              </w:rPr>
              <w:t>Response</w:t>
            </w:r>
          </w:p>
        </w:tc>
        <w:tc>
          <w:tcPr>
            <w:tcW w:w="1332" w:type="dxa"/>
            <w:tcBorders>
              <w:top w:val="single" w:sz="18" w:space="0" w:color="auto"/>
              <w:bottom w:val="single" w:sz="18" w:space="0" w:color="auto"/>
            </w:tcBorders>
            <w:hideMark/>
          </w:tcPr>
          <w:p w14:paraId="0516064A" w14:textId="77777777" w:rsidR="00FA5352" w:rsidRPr="00FA5352" w:rsidRDefault="00FA5352" w:rsidP="00DA7AEB">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Control</w:t>
            </w:r>
          </w:p>
        </w:tc>
        <w:tc>
          <w:tcPr>
            <w:tcW w:w="1332" w:type="dxa"/>
            <w:tcBorders>
              <w:top w:val="single" w:sz="18" w:space="0" w:color="auto"/>
              <w:bottom w:val="single" w:sz="18" w:space="0" w:color="auto"/>
            </w:tcBorders>
            <w:hideMark/>
          </w:tcPr>
          <w:p w14:paraId="38FC0326" w14:textId="77777777" w:rsidR="00FA5352" w:rsidRPr="00FA5352" w:rsidRDefault="00FA5352" w:rsidP="00DA7AEB">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200 g/day</w:t>
            </w:r>
          </w:p>
        </w:tc>
        <w:tc>
          <w:tcPr>
            <w:tcW w:w="1333" w:type="dxa"/>
            <w:tcBorders>
              <w:top w:val="single" w:sz="18" w:space="0" w:color="auto"/>
              <w:bottom w:val="single" w:sz="18" w:space="0" w:color="auto"/>
            </w:tcBorders>
            <w:hideMark/>
          </w:tcPr>
          <w:p w14:paraId="3711A079" w14:textId="77777777" w:rsidR="00FA5352" w:rsidRPr="00FA5352" w:rsidRDefault="00FA5352" w:rsidP="00DA7AEB">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300 g/day</w:t>
            </w:r>
          </w:p>
        </w:tc>
        <w:tc>
          <w:tcPr>
            <w:tcW w:w="1332" w:type="dxa"/>
            <w:tcBorders>
              <w:top w:val="single" w:sz="18" w:space="0" w:color="auto"/>
              <w:bottom w:val="single" w:sz="18" w:space="0" w:color="auto"/>
            </w:tcBorders>
            <w:hideMark/>
          </w:tcPr>
          <w:p w14:paraId="3A46095D" w14:textId="77777777" w:rsidR="00FA5352" w:rsidRPr="00FA5352" w:rsidRDefault="00FA5352" w:rsidP="00DA7AEB">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SEM</w:t>
            </w:r>
          </w:p>
        </w:tc>
        <w:tc>
          <w:tcPr>
            <w:tcW w:w="1333" w:type="dxa"/>
            <w:tcBorders>
              <w:top w:val="single" w:sz="18" w:space="0" w:color="auto"/>
              <w:bottom w:val="single" w:sz="18" w:space="0" w:color="auto"/>
            </w:tcBorders>
            <w:hideMark/>
          </w:tcPr>
          <w:p w14:paraId="2BE21299" w14:textId="77777777" w:rsidR="00FA5352" w:rsidRPr="00FA5352" w:rsidRDefault="00FA5352" w:rsidP="00DA7AEB">
            <w:pPr>
              <w:keepNext/>
              <w:spacing w:after="0" w:line="360" w:lineRule="auto"/>
              <w:jc w:val="center"/>
              <w:rPr>
                <w:rFonts w:eastAsia="Times New Roman" w:cs="Times New Roman"/>
                <w:b/>
                <w:bCs/>
                <w:color w:val="auto"/>
                <w:sz w:val="24"/>
                <w:szCs w:val="24"/>
              </w:rPr>
            </w:pPr>
            <w:r w:rsidRPr="00FA5352">
              <w:rPr>
                <w:rFonts w:eastAsia="Times New Roman" w:cs="Times New Roman"/>
                <w:b/>
                <w:bCs/>
                <w:color w:val="auto"/>
                <w:sz w:val="24"/>
                <w:szCs w:val="24"/>
              </w:rPr>
              <w:t>P-value</w:t>
            </w:r>
          </w:p>
        </w:tc>
      </w:tr>
      <w:tr w:rsidR="00FA5352" w:rsidRPr="00FA5352" w14:paraId="32AEF43A" w14:textId="77777777" w:rsidTr="00752508">
        <w:tc>
          <w:tcPr>
            <w:tcW w:w="3261" w:type="dxa"/>
            <w:tcBorders>
              <w:top w:val="single" w:sz="18" w:space="0" w:color="auto"/>
            </w:tcBorders>
            <w:hideMark/>
          </w:tcPr>
          <w:p w14:paraId="0D1214B5" w14:textId="77777777" w:rsidR="00FA5352" w:rsidRPr="00FA5352" w:rsidRDefault="00FA5352" w:rsidP="00DA7AEB">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N intake (g/day)</w:t>
            </w:r>
          </w:p>
        </w:tc>
        <w:tc>
          <w:tcPr>
            <w:tcW w:w="1332" w:type="dxa"/>
            <w:tcBorders>
              <w:top w:val="single" w:sz="18" w:space="0" w:color="auto"/>
            </w:tcBorders>
            <w:hideMark/>
          </w:tcPr>
          <w:p w14:paraId="09B11F7A"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1.7ᵃ</w:t>
            </w:r>
          </w:p>
        </w:tc>
        <w:tc>
          <w:tcPr>
            <w:tcW w:w="1332" w:type="dxa"/>
            <w:tcBorders>
              <w:top w:val="single" w:sz="18" w:space="0" w:color="auto"/>
            </w:tcBorders>
            <w:hideMark/>
          </w:tcPr>
          <w:p w14:paraId="6B1135E1"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7.1ᵇ</w:t>
            </w:r>
          </w:p>
        </w:tc>
        <w:tc>
          <w:tcPr>
            <w:tcW w:w="1333" w:type="dxa"/>
            <w:tcBorders>
              <w:top w:val="single" w:sz="18" w:space="0" w:color="auto"/>
            </w:tcBorders>
            <w:hideMark/>
          </w:tcPr>
          <w:p w14:paraId="0E4CD92D"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9.6ᵇ</w:t>
            </w:r>
          </w:p>
        </w:tc>
        <w:tc>
          <w:tcPr>
            <w:tcW w:w="1332" w:type="dxa"/>
            <w:tcBorders>
              <w:top w:val="single" w:sz="18" w:space="0" w:color="auto"/>
            </w:tcBorders>
            <w:hideMark/>
          </w:tcPr>
          <w:p w14:paraId="35343E22"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0.4</w:t>
            </w:r>
          </w:p>
        </w:tc>
        <w:tc>
          <w:tcPr>
            <w:tcW w:w="1333" w:type="dxa"/>
            <w:tcBorders>
              <w:top w:val="single" w:sz="18" w:space="0" w:color="auto"/>
            </w:tcBorders>
            <w:hideMark/>
          </w:tcPr>
          <w:p w14:paraId="30406D54"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0.0097</w:t>
            </w:r>
          </w:p>
        </w:tc>
      </w:tr>
      <w:tr w:rsidR="00FA5352" w:rsidRPr="00FA5352" w14:paraId="7A984CC8" w14:textId="77777777" w:rsidTr="00752508">
        <w:tc>
          <w:tcPr>
            <w:tcW w:w="3261" w:type="dxa"/>
            <w:hideMark/>
          </w:tcPr>
          <w:p w14:paraId="7CDC1E32" w14:textId="77777777" w:rsidR="00FA5352" w:rsidRPr="00FA5352" w:rsidRDefault="00FA5352" w:rsidP="00DA7AEB">
            <w:pPr>
              <w:keepNext/>
              <w:spacing w:after="0" w:line="360" w:lineRule="auto"/>
              <w:jc w:val="left"/>
              <w:rPr>
                <w:rFonts w:eastAsia="Times New Roman" w:cs="Times New Roman"/>
                <w:color w:val="auto"/>
                <w:sz w:val="24"/>
                <w:szCs w:val="24"/>
              </w:rPr>
            </w:pPr>
            <w:proofErr w:type="spellStart"/>
            <w:r w:rsidRPr="00FA5352">
              <w:rPr>
                <w:rFonts w:eastAsia="Times New Roman" w:cs="Times New Roman"/>
                <w:color w:val="auto"/>
                <w:sz w:val="24"/>
                <w:szCs w:val="24"/>
              </w:rPr>
              <w:t>Faecal</w:t>
            </w:r>
            <w:proofErr w:type="spellEnd"/>
            <w:r w:rsidRPr="00FA5352">
              <w:rPr>
                <w:rFonts w:eastAsia="Times New Roman" w:cs="Times New Roman"/>
                <w:color w:val="auto"/>
                <w:sz w:val="24"/>
                <w:szCs w:val="24"/>
              </w:rPr>
              <w:t xml:space="preserve"> N (g/day)</w:t>
            </w:r>
          </w:p>
        </w:tc>
        <w:tc>
          <w:tcPr>
            <w:tcW w:w="1332" w:type="dxa"/>
            <w:hideMark/>
          </w:tcPr>
          <w:p w14:paraId="237F6F28"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1.1ᵃ</w:t>
            </w:r>
          </w:p>
        </w:tc>
        <w:tc>
          <w:tcPr>
            <w:tcW w:w="1332" w:type="dxa"/>
            <w:hideMark/>
          </w:tcPr>
          <w:p w14:paraId="6AD82945"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3.4ᵃᵇ</w:t>
            </w:r>
          </w:p>
        </w:tc>
        <w:tc>
          <w:tcPr>
            <w:tcW w:w="1333" w:type="dxa"/>
            <w:hideMark/>
          </w:tcPr>
          <w:p w14:paraId="01B430CF"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5.0ᵇ</w:t>
            </w:r>
          </w:p>
        </w:tc>
        <w:tc>
          <w:tcPr>
            <w:tcW w:w="1332" w:type="dxa"/>
            <w:hideMark/>
          </w:tcPr>
          <w:p w14:paraId="78C128AC"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0.3</w:t>
            </w:r>
          </w:p>
        </w:tc>
        <w:tc>
          <w:tcPr>
            <w:tcW w:w="1333" w:type="dxa"/>
            <w:hideMark/>
          </w:tcPr>
          <w:p w14:paraId="25424686"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0.023</w:t>
            </w:r>
          </w:p>
        </w:tc>
      </w:tr>
      <w:tr w:rsidR="00FA5352" w:rsidRPr="00FA5352" w14:paraId="69A0F576" w14:textId="77777777" w:rsidTr="00752508">
        <w:tc>
          <w:tcPr>
            <w:tcW w:w="3261" w:type="dxa"/>
            <w:hideMark/>
          </w:tcPr>
          <w:p w14:paraId="3FC68726" w14:textId="77777777" w:rsidR="00FA5352" w:rsidRPr="00FA5352" w:rsidRDefault="00FA5352" w:rsidP="00DA7AEB">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Urinary N (g/day)</w:t>
            </w:r>
          </w:p>
        </w:tc>
        <w:tc>
          <w:tcPr>
            <w:tcW w:w="1332" w:type="dxa"/>
            <w:hideMark/>
          </w:tcPr>
          <w:p w14:paraId="3E3B8543"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w:t>
            </w:r>
          </w:p>
        </w:tc>
        <w:tc>
          <w:tcPr>
            <w:tcW w:w="1332" w:type="dxa"/>
            <w:hideMark/>
          </w:tcPr>
          <w:p w14:paraId="0C74279F"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w:t>
            </w:r>
          </w:p>
        </w:tc>
        <w:tc>
          <w:tcPr>
            <w:tcW w:w="1333" w:type="dxa"/>
            <w:hideMark/>
          </w:tcPr>
          <w:p w14:paraId="5F20AECA"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0.3</w:t>
            </w:r>
          </w:p>
        </w:tc>
        <w:tc>
          <w:tcPr>
            <w:tcW w:w="1332" w:type="dxa"/>
            <w:hideMark/>
          </w:tcPr>
          <w:p w14:paraId="03DE65C9"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w:t>
            </w:r>
          </w:p>
        </w:tc>
        <w:tc>
          <w:tcPr>
            <w:tcW w:w="1333" w:type="dxa"/>
            <w:hideMark/>
          </w:tcPr>
          <w:p w14:paraId="05F380CD"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0.429</w:t>
            </w:r>
          </w:p>
        </w:tc>
      </w:tr>
      <w:tr w:rsidR="00FA5352" w:rsidRPr="00FA5352" w14:paraId="4E3A4E93" w14:textId="77777777" w:rsidTr="00752508">
        <w:tc>
          <w:tcPr>
            <w:tcW w:w="3261" w:type="dxa"/>
            <w:hideMark/>
          </w:tcPr>
          <w:p w14:paraId="5EF5AA86" w14:textId="77777777" w:rsidR="00FA5352" w:rsidRPr="00FA5352" w:rsidRDefault="00FA5352" w:rsidP="00DA7AEB">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Apparently digested N (g/day)</w:t>
            </w:r>
          </w:p>
        </w:tc>
        <w:tc>
          <w:tcPr>
            <w:tcW w:w="1332" w:type="dxa"/>
            <w:hideMark/>
          </w:tcPr>
          <w:p w14:paraId="119BBDC9"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0.6ᵃ</w:t>
            </w:r>
          </w:p>
        </w:tc>
        <w:tc>
          <w:tcPr>
            <w:tcW w:w="1332" w:type="dxa"/>
            <w:hideMark/>
          </w:tcPr>
          <w:p w14:paraId="1ECC791A"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3.7ᵇ</w:t>
            </w:r>
          </w:p>
        </w:tc>
        <w:tc>
          <w:tcPr>
            <w:tcW w:w="1333" w:type="dxa"/>
            <w:hideMark/>
          </w:tcPr>
          <w:p w14:paraId="254E8CF3"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4.6ᵇ</w:t>
            </w:r>
          </w:p>
        </w:tc>
        <w:tc>
          <w:tcPr>
            <w:tcW w:w="1332" w:type="dxa"/>
            <w:hideMark/>
          </w:tcPr>
          <w:p w14:paraId="51820A16"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0.3</w:t>
            </w:r>
          </w:p>
        </w:tc>
        <w:tc>
          <w:tcPr>
            <w:tcW w:w="1333" w:type="dxa"/>
            <w:hideMark/>
          </w:tcPr>
          <w:p w14:paraId="04C9D699"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0.020</w:t>
            </w:r>
          </w:p>
        </w:tc>
      </w:tr>
      <w:tr w:rsidR="00FA5352" w:rsidRPr="00FA5352" w14:paraId="3516FF8E" w14:textId="77777777" w:rsidTr="00752508">
        <w:tc>
          <w:tcPr>
            <w:tcW w:w="3261" w:type="dxa"/>
            <w:hideMark/>
          </w:tcPr>
          <w:p w14:paraId="2DE53093" w14:textId="77777777" w:rsidR="00FA5352" w:rsidRPr="00FA5352" w:rsidRDefault="00FA5352" w:rsidP="00DA7AEB">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N retained (g/day)</w:t>
            </w:r>
          </w:p>
        </w:tc>
        <w:tc>
          <w:tcPr>
            <w:tcW w:w="1332" w:type="dxa"/>
            <w:hideMark/>
          </w:tcPr>
          <w:p w14:paraId="4C8542B4"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0.5ᵃ</w:t>
            </w:r>
          </w:p>
        </w:tc>
        <w:tc>
          <w:tcPr>
            <w:tcW w:w="1332" w:type="dxa"/>
            <w:hideMark/>
          </w:tcPr>
          <w:p w14:paraId="2F5CE249"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3.6ᵇ</w:t>
            </w:r>
          </w:p>
        </w:tc>
        <w:tc>
          <w:tcPr>
            <w:tcW w:w="1333" w:type="dxa"/>
            <w:hideMark/>
          </w:tcPr>
          <w:p w14:paraId="1961DDC4"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4.3ᵇ</w:t>
            </w:r>
          </w:p>
        </w:tc>
        <w:tc>
          <w:tcPr>
            <w:tcW w:w="1332" w:type="dxa"/>
            <w:hideMark/>
          </w:tcPr>
          <w:p w14:paraId="5A857A79"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0.3</w:t>
            </w:r>
          </w:p>
        </w:tc>
        <w:tc>
          <w:tcPr>
            <w:tcW w:w="1333" w:type="dxa"/>
            <w:hideMark/>
          </w:tcPr>
          <w:p w14:paraId="4DB85EBB"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0.022</w:t>
            </w:r>
          </w:p>
        </w:tc>
      </w:tr>
      <w:tr w:rsidR="00FA5352" w:rsidRPr="00FA5352" w14:paraId="15D3003C" w14:textId="77777777" w:rsidTr="00752508">
        <w:tc>
          <w:tcPr>
            <w:tcW w:w="3261" w:type="dxa"/>
            <w:hideMark/>
          </w:tcPr>
          <w:p w14:paraId="4E56B956" w14:textId="77777777" w:rsidR="00FA5352" w:rsidRPr="00FA5352" w:rsidRDefault="00FA5352" w:rsidP="00DA7AEB">
            <w:pPr>
              <w:keepNext/>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N retained as % of intake</w:t>
            </w:r>
          </w:p>
        </w:tc>
        <w:tc>
          <w:tcPr>
            <w:tcW w:w="1332" w:type="dxa"/>
            <w:hideMark/>
          </w:tcPr>
          <w:p w14:paraId="7010EE68"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29.4ᵃ</w:t>
            </w:r>
          </w:p>
        </w:tc>
        <w:tc>
          <w:tcPr>
            <w:tcW w:w="1332" w:type="dxa"/>
            <w:hideMark/>
          </w:tcPr>
          <w:p w14:paraId="549707A3"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50.7ᵃ</w:t>
            </w:r>
          </w:p>
        </w:tc>
        <w:tc>
          <w:tcPr>
            <w:tcW w:w="1333" w:type="dxa"/>
            <w:hideMark/>
          </w:tcPr>
          <w:p w14:paraId="410CDBCB"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44.8ᵃ</w:t>
            </w:r>
          </w:p>
        </w:tc>
        <w:tc>
          <w:tcPr>
            <w:tcW w:w="1332" w:type="dxa"/>
            <w:hideMark/>
          </w:tcPr>
          <w:p w14:paraId="2558E3F3"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2.9</w:t>
            </w:r>
          </w:p>
        </w:tc>
        <w:tc>
          <w:tcPr>
            <w:tcW w:w="1333" w:type="dxa"/>
            <w:hideMark/>
          </w:tcPr>
          <w:p w14:paraId="5E2D95A7" w14:textId="77777777" w:rsidR="00FA5352" w:rsidRPr="00FA5352" w:rsidRDefault="00FA5352" w:rsidP="00DA7AEB">
            <w:pPr>
              <w:keepNext/>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0.065</w:t>
            </w:r>
          </w:p>
        </w:tc>
      </w:tr>
      <w:tr w:rsidR="00FA5352" w:rsidRPr="00FA5352" w14:paraId="58ABEF60" w14:textId="77777777" w:rsidTr="00752508">
        <w:tc>
          <w:tcPr>
            <w:tcW w:w="3261" w:type="dxa"/>
            <w:tcBorders>
              <w:bottom w:val="single" w:sz="18" w:space="0" w:color="auto"/>
            </w:tcBorders>
            <w:hideMark/>
          </w:tcPr>
          <w:p w14:paraId="5ABCCC18" w14:textId="77777777" w:rsidR="00FA5352" w:rsidRPr="00FA5352" w:rsidRDefault="00FA5352" w:rsidP="00752508">
            <w:pPr>
              <w:spacing w:after="0" w:line="360" w:lineRule="auto"/>
              <w:jc w:val="left"/>
              <w:rPr>
                <w:rFonts w:eastAsia="Times New Roman" w:cs="Times New Roman"/>
                <w:color w:val="auto"/>
                <w:sz w:val="24"/>
                <w:szCs w:val="24"/>
              </w:rPr>
            </w:pPr>
            <w:r w:rsidRPr="00FA5352">
              <w:rPr>
                <w:rFonts w:eastAsia="Times New Roman" w:cs="Times New Roman"/>
                <w:color w:val="auto"/>
                <w:sz w:val="24"/>
                <w:szCs w:val="24"/>
              </w:rPr>
              <w:t>N retained as % of digested N</w:t>
            </w:r>
          </w:p>
        </w:tc>
        <w:tc>
          <w:tcPr>
            <w:tcW w:w="1332" w:type="dxa"/>
            <w:tcBorders>
              <w:bottom w:val="single" w:sz="18" w:space="0" w:color="auto"/>
            </w:tcBorders>
            <w:hideMark/>
          </w:tcPr>
          <w:p w14:paraId="17EEADCE" w14:textId="77777777" w:rsidR="00FA5352" w:rsidRPr="00FA5352" w:rsidRDefault="00FA5352" w:rsidP="00DA7AEB">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83.3</w:t>
            </w:r>
          </w:p>
        </w:tc>
        <w:tc>
          <w:tcPr>
            <w:tcW w:w="1332" w:type="dxa"/>
            <w:tcBorders>
              <w:bottom w:val="single" w:sz="18" w:space="0" w:color="auto"/>
            </w:tcBorders>
            <w:hideMark/>
          </w:tcPr>
          <w:p w14:paraId="3A8E7FB1" w14:textId="77777777" w:rsidR="00FA5352" w:rsidRPr="00FA5352" w:rsidRDefault="00FA5352" w:rsidP="00DA7AEB">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97.3</w:t>
            </w:r>
          </w:p>
        </w:tc>
        <w:tc>
          <w:tcPr>
            <w:tcW w:w="1333" w:type="dxa"/>
            <w:tcBorders>
              <w:bottom w:val="single" w:sz="18" w:space="0" w:color="auto"/>
            </w:tcBorders>
            <w:hideMark/>
          </w:tcPr>
          <w:p w14:paraId="07C58A90" w14:textId="77777777" w:rsidR="00FA5352" w:rsidRPr="00FA5352" w:rsidRDefault="00FA5352" w:rsidP="00DA7AEB">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93.5</w:t>
            </w:r>
          </w:p>
        </w:tc>
        <w:tc>
          <w:tcPr>
            <w:tcW w:w="1332" w:type="dxa"/>
            <w:tcBorders>
              <w:bottom w:val="single" w:sz="18" w:space="0" w:color="auto"/>
            </w:tcBorders>
            <w:hideMark/>
          </w:tcPr>
          <w:p w14:paraId="406160F2" w14:textId="77777777" w:rsidR="00FA5352" w:rsidRPr="00FA5352" w:rsidRDefault="00FA5352" w:rsidP="00DA7AEB">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3.2</w:t>
            </w:r>
          </w:p>
        </w:tc>
        <w:tc>
          <w:tcPr>
            <w:tcW w:w="1333" w:type="dxa"/>
            <w:tcBorders>
              <w:bottom w:val="single" w:sz="18" w:space="0" w:color="auto"/>
            </w:tcBorders>
            <w:hideMark/>
          </w:tcPr>
          <w:p w14:paraId="72D10B50" w14:textId="77777777" w:rsidR="00FA5352" w:rsidRPr="00FA5352" w:rsidRDefault="00FA5352" w:rsidP="00DA7AEB">
            <w:pPr>
              <w:spacing w:after="0" w:line="360" w:lineRule="auto"/>
              <w:jc w:val="center"/>
              <w:rPr>
                <w:rFonts w:eastAsia="Times New Roman" w:cs="Times New Roman"/>
                <w:color w:val="auto"/>
                <w:sz w:val="24"/>
                <w:szCs w:val="24"/>
              </w:rPr>
            </w:pPr>
            <w:r w:rsidRPr="00FA5352">
              <w:rPr>
                <w:rFonts w:eastAsia="Times New Roman" w:cs="Times New Roman"/>
                <w:color w:val="auto"/>
                <w:sz w:val="24"/>
                <w:szCs w:val="24"/>
              </w:rPr>
              <w:t>0.163</w:t>
            </w:r>
          </w:p>
        </w:tc>
      </w:tr>
    </w:tbl>
    <w:p w14:paraId="570B24B1" w14:textId="77777777" w:rsidR="0023154D" w:rsidRPr="005F12FC" w:rsidRDefault="0023154D" w:rsidP="00B02541">
      <w:pPr>
        <w:keepNext/>
        <w:spacing w:after="0" w:line="360" w:lineRule="auto"/>
        <w:rPr>
          <w:rFonts w:cs="Times New Roman"/>
          <w:sz w:val="18"/>
          <w:szCs w:val="18"/>
        </w:rPr>
      </w:pPr>
      <w:r w:rsidRPr="005F12FC">
        <w:rPr>
          <w:sz w:val="18"/>
          <w:szCs w:val="18"/>
        </w:rPr>
        <w:t>SEM is the standard error of a treatment mean. P-values represent overall treatment tests with two numerator and two denominator degrees of freedom. Means sharing a superscript letter do not differ according to Tukey-adjusted comparisons at P &lt; 0.05; means with no shared letter differ. Percentage responses were calculated per sheep-period before analysis.</w:t>
      </w:r>
    </w:p>
    <w:p w14:paraId="618B8CF0" w14:textId="77777777" w:rsidR="0032155E" w:rsidRPr="004F3DBA" w:rsidRDefault="005426C5" w:rsidP="004F3DBA">
      <w:pPr>
        <w:pStyle w:val="Heading1"/>
        <w:spacing w:after="140" w:line="360" w:lineRule="auto"/>
        <w:jc w:val="both"/>
        <w:rPr>
          <w:rFonts w:ascii="Times New Roman" w:hAnsi="Times New Roman" w:cs="Times New Roman"/>
          <w:sz w:val="24"/>
          <w:szCs w:val="24"/>
        </w:rPr>
      </w:pPr>
      <w:r w:rsidRPr="004F3DBA">
        <w:rPr>
          <w:rFonts w:ascii="Times New Roman" w:hAnsi="Times New Roman" w:cs="Times New Roman"/>
          <w:sz w:val="24"/>
          <w:szCs w:val="24"/>
        </w:rPr>
        <w:t>Discussion</w:t>
      </w:r>
    </w:p>
    <w:p w14:paraId="41AACFF1"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The basal Rhodes grass hay contained only 35.0 g CP/kg DM, whereas sickle bush pod meal supplied 186.5 g CP/kg DM. This contrast identifies pod meal as a substantial additional nitrogen source in the diets tested. Low dietary nitrogen can constrain rumen microbial activity, and Bueno et al. (2010) reported low ruminal ammonia and microbial protein supply in sheep consuming low-quality tropical hay. However, rumen-degradable protein supply and rumen nitrogen status were not measured here, so the present feed composition does not establish the mechanism responsible for the observed intake and nitrogen-balance responses.</w:t>
      </w:r>
    </w:p>
    <w:p w14:paraId="50F83AF3"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 xml:space="preserve">The clearest intake response was an increase in total DM and nutrient consumption with supplementation. Total DM, OM, ADF and NDF intake differed among all three treatments, while CP intake was greater in both supplemented treatments than in the control without a detected difference between supplementation levels. These findings are consistent with the potential of D. cinerea fruits and other pod meals to contribute nutrients to roughage-based diets (Mlambo et al., 2004; Smith et al., 2005; </w:t>
      </w:r>
      <w:proofErr w:type="spellStart"/>
      <w:r w:rsidRPr="00DB223A">
        <w:rPr>
          <w:sz w:val="24"/>
          <w:szCs w:val="24"/>
        </w:rPr>
        <w:t>Kanyinji</w:t>
      </w:r>
      <w:proofErr w:type="spellEnd"/>
      <w:r w:rsidRPr="00DB223A">
        <w:rPr>
          <w:sz w:val="24"/>
          <w:szCs w:val="24"/>
        </w:rPr>
        <w:t xml:space="preserve"> et al., 2017). The greater intake of fibrous components reflects the quantity and composition of the whole diet and does not itself demonstrate more efficient </w:t>
      </w:r>
      <w:proofErr w:type="spellStart"/>
      <w:r w:rsidRPr="00DB223A">
        <w:rPr>
          <w:sz w:val="24"/>
          <w:szCs w:val="24"/>
        </w:rPr>
        <w:t>fibre</w:t>
      </w:r>
      <w:proofErr w:type="spellEnd"/>
      <w:r w:rsidRPr="00DB223A">
        <w:rPr>
          <w:sz w:val="24"/>
          <w:szCs w:val="24"/>
        </w:rPr>
        <w:t xml:space="preserve"> digestion.</w:t>
      </w:r>
    </w:p>
    <w:p w14:paraId="5DFA536B"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t xml:space="preserve">The increase in total DM intake reflects consumption of the whole diet. Hay and pod-meal refusals were collected and weighed together, so the results cannot establish whether supplementation stimulated basal-forage intake or quantify the amount of pod meal consumed separately. The treatment amounts of 200 and 300 g/day </w:t>
      </w:r>
      <w:r>
        <w:lastRenderedPageBreak/>
        <w:t>denote pod meal offered as fed. Consequently, the observed responses are interpreted in relation to offered supplementation amounts.</w:t>
      </w:r>
    </w:p>
    <w:p w14:paraId="675F1339"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Evidence for a digestibility response was weaker than evidence for increased intake. DM, OM, CP and NDF digestibility were numerically higher with supplementation, but their overall tests did not reach P &lt; 0.05. These results do not establish a general improvement in apparent nutrient digestibility. With only two residual degrees of freedom, the absence of significance also does not demonstrate that supplementation had no effect. Additional animals and appropriately adapted periods would be needed to estimate these responses more precisely. Within an exploratory range of 0.05 &lt; P &lt; 0.10, DM, OM and NDF digestibility showed statistical tendencies toward treatment differences. Their higher supplemented means are compatible with a possible nutritional response, but the limited precision prevents firm conclusions. CP digestibility (P = 0.146) falls outside this range and is not described as a tendency.</w:t>
      </w:r>
    </w:p>
    <w:p w14:paraId="45716C5D" w14:textId="77777777" w:rsidR="00EA6970" w:rsidRPr="00DB223A" w:rsidRDefault="00D71D37" w:rsidP="004F3DBA">
      <w:pPr>
        <w:spacing w:after="140" w:line="360" w:lineRule="auto"/>
        <w:rPr>
          <w:rFonts w:cs="Times New Roman"/>
          <w:sz w:val="24"/>
          <w:szCs w:val="24"/>
        </w:rPr>
      </w:pPr>
      <w:r>
        <w:t>ADF digestibility was the only digestibility variable with a significant overall treatment test (P = 0.048). Nevertheless, no Tukey-adjusted pairwise comparison was significant in the verified analysis. This combination can occur because the overall test and multiplicity-adjusted pairwise tests answer different questions. The significant overall test does not identify a particular treatment pair as differing after adjustment for multiple comparisons. The present results therefore indicate an overall ADF treatment effect without establishing which specific treatment pair differed. Earlier work on banana leaf ash treatment of Rhodes grass hay provides context for alternative approaches to improving forage use (</w:t>
      </w:r>
      <w:proofErr w:type="spellStart"/>
      <w:r>
        <w:t>Kanyinji</w:t>
      </w:r>
      <w:proofErr w:type="spellEnd"/>
      <w:r>
        <w:t xml:space="preserve"> et al., 2014), but it cannot establish a digestibility response to pod meal in this experiment.</w:t>
      </w:r>
    </w:p>
    <w:p w14:paraId="2B5712E3"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 xml:space="preserve">Apparent CP digestibility did not differ significantly among treatments (P = 0.146). The numerical values of 36.4%, 52.3% and 47.9% do not demonstrate improved protein digestibility with supplementation or a decline at the higher amount. Apparent digestibility is affected by dietary and endogenous </w:t>
      </w:r>
      <w:proofErr w:type="spellStart"/>
      <w:r w:rsidRPr="00DB223A">
        <w:rPr>
          <w:sz w:val="24"/>
          <w:szCs w:val="24"/>
        </w:rPr>
        <w:t>faecal</w:t>
      </w:r>
      <w:proofErr w:type="spellEnd"/>
      <w:r w:rsidRPr="00DB223A">
        <w:rPr>
          <w:sz w:val="24"/>
          <w:szCs w:val="24"/>
        </w:rPr>
        <w:t xml:space="preserve"> nitrogen, particularly when nitrogen intake is low. Tannins may also influence protein utilization, with responses depending on their concentration, structure and dietary context (Kelln et al., 2021; Mueller-Harvey et al., 2019). Because these compounds were not measured, their contribution cannot be identified here.</w:t>
      </w:r>
    </w:p>
    <w:p w14:paraId="467C65E8"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 xml:space="preserve">Absolute nitrogen retention was greater in both supplemented treatments than in the control (0.5 versus 3.6 and 4.3 g/day; overall P = 0.022). The two supplemented treatments shared a superscript letter and did not differ significantly. The 300 g/day treatment therefore had the numerically highest retention, but the data do not establish superiority over 200 g/day. Higher nitrogen intake and apparently digested </w:t>
      </w:r>
      <w:r w:rsidRPr="00DB223A">
        <w:rPr>
          <w:sz w:val="24"/>
          <w:szCs w:val="24"/>
        </w:rPr>
        <w:lastRenderedPageBreak/>
        <w:t>nitrogen accompanied supplementation, providing a direct nutritional explanation for greater absolute retention without requiring an improvement in proportional efficiency.</w:t>
      </w:r>
    </w:p>
    <w:p w14:paraId="2D5E4E26"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 xml:space="preserve">Neither retention as a percentage of nitrogen intake nor retention as a percentage of apparently digested nitrogen differed significantly (P = 0.065 and 0.163, respectively). The numerically higher proportional retention at 200 g/day does not identify that amount as more efficient or optimal. Nitrogen balance represents net measured nitrogen intake minus </w:t>
      </w:r>
      <w:proofErr w:type="spellStart"/>
      <w:r w:rsidRPr="00DB223A">
        <w:rPr>
          <w:sz w:val="24"/>
          <w:szCs w:val="24"/>
        </w:rPr>
        <w:t>faecal</w:t>
      </w:r>
      <w:proofErr w:type="spellEnd"/>
      <w:r w:rsidRPr="00DB223A">
        <w:rPr>
          <w:sz w:val="24"/>
          <w:szCs w:val="24"/>
        </w:rPr>
        <w:t xml:space="preserve"> and urinary losses; it does not establish sustained tissue accretion over this short experiment. Interpretation should also account for the unusually low urinary nitrogen values and high retained proportions, which make collection completeness, preservation and analytical calculations important sources of uncertainty. Proportional retention relative to intake showed an exploratory statistical tendency (P = 0.065), with the highest numerical mean at 200 g/day. This observation warrants further evaluation but does not demonstrate greater nitrogen-use efficiency at that amount. Retention relative to apparently digested nitrogen (P = 0.163) showed no statistical tendency under this convention.</w:t>
      </w:r>
    </w:p>
    <w:p w14:paraId="15E8CB9E" w14:textId="77777777" w:rsidR="00F70986" w:rsidRPr="00DB223A" w:rsidRDefault="00F70986" w:rsidP="004F3DBA">
      <w:pPr>
        <w:spacing w:before="100" w:beforeAutospacing="1" w:after="140" w:afterAutospacing="1" w:line="360" w:lineRule="auto"/>
        <w:rPr>
          <w:rFonts w:eastAsia="Times New Roman" w:cs="Times New Roman"/>
          <w:sz w:val="24"/>
          <w:szCs w:val="24"/>
        </w:rPr>
      </w:pPr>
      <w:proofErr w:type="spellStart"/>
      <w:r w:rsidRPr="00DB223A">
        <w:rPr>
          <w:sz w:val="24"/>
          <w:szCs w:val="24"/>
        </w:rPr>
        <w:t>Faecal</w:t>
      </w:r>
      <w:proofErr w:type="spellEnd"/>
      <w:r w:rsidRPr="00DB223A">
        <w:rPr>
          <w:sz w:val="24"/>
          <w:szCs w:val="24"/>
        </w:rPr>
        <w:t xml:space="preserve"> nitrogen was greater at 300 g/day than in the control, whereas 200 g/day was intermediate and did not differ from either treatment. Urinary nitrogen did not differ significantly. Tannin-containing diets can alter the route of nitrogen excretion (Tiemann et al., 2008; Abdullah et al., 2018), but greater </w:t>
      </w:r>
      <w:proofErr w:type="spellStart"/>
      <w:r w:rsidRPr="00DB223A">
        <w:rPr>
          <w:sz w:val="24"/>
          <w:szCs w:val="24"/>
        </w:rPr>
        <w:t>faecal</w:t>
      </w:r>
      <w:proofErr w:type="spellEnd"/>
      <w:r w:rsidRPr="00DB223A">
        <w:rPr>
          <w:sz w:val="24"/>
          <w:szCs w:val="24"/>
        </w:rPr>
        <w:t xml:space="preserve"> nitrogen here also accompanied greater nitrogen intake. Without tannin measurements, endogenous-loss estimates or evidence of reduced urinary excretion, the observed pattern cannot be attributed to tannin–protein binding or interpreted as a demonstrated shift from urinary to </w:t>
      </w:r>
      <w:proofErr w:type="spellStart"/>
      <w:r w:rsidRPr="00DB223A">
        <w:rPr>
          <w:sz w:val="24"/>
          <w:szCs w:val="24"/>
        </w:rPr>
        <w:t>faecal</w:t>
      </w:r>
      <w:proofErr w:type="spellEnd"/>
      <w:r w:rsidRPr="00DB223A">
        <w:rPr>
          <w:sz w:val="24"/>
          <w:szCs w:val="24"/>
        </w:rPr>
        <w:t xml:space="preserve"> nitrogen loss.</w:t>
      </w:r>
    </w:p>
    <w:p w14:paraId="1ED82EA3"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Period-specific body-weight change did not differ significantly (P = 0.447). This short metabolism experiment was not designed to establish sustained growth, and weights were not standardized for fasting status or time relative to feeding. Gastrointestinal fill and hydration can affect short-term live-weight measurements, as illustrated by Cole (1995). The observed weight changes therefore cannot demonstrate a growth advantage at either supplementation level. Longer trials with standardized repeated weighing are required to determine whether increased nutrient intake and nitrogen retention translate into productive benefits.</w:t>
      </w:r>
    </w:p>
    <w:p w14:paraId="6681EC91"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Pr>
          <w:sz w:val="24"/>
          <w:szCs w:val="24"/>
        </w:rPr>
        <w:t xml:space="preserve">Taken together, the tabulated results support sickle bush pod meal as an additional nutrient source that increased total intake and absolute nitrogen retention in sheep consuming low-protein Rhodes grass hay. They do not establish improved proportional nitrogen retention, a general digestibility benefit or a growth response. Separate hay intake could not be determined. Neither the biological optimum nor </w:t>
      </w:r>
      <w:r>
        <w:rPr>
          <w:sz w:val="24"/>
          <w:szCs w:val="24"/>
        </w:rPr>
        <w:lastRenderedPageBreak/>
        <w:t>the economic value of a supplementation amount can be determined from two supplemented treatments in this small experiment.</w:t>
      </w:r>
    </w:p>
    <w:p w14:paraId="215D7036" w14:textId="77777777" w:rsidR="00F70986" w:rsidRPr="00DB223A" w:rsidRDefault="00F70986" w:rsidP="004F3DBA">
      <w:pPr>
        <w:pStyle w:val="Heading1"/>
        <w:spacing w:before="100" w:beforeAutospacing="1" w:after="140" w:afterAutospacing="1" w:line="360" w:lineRule="auto"/>
        <w:jc w:val="both"/>
        <w:rPr>
          <w:rFonts w:ascii="Times New Roman" w:eastAsia="Times New Roman" w:hAnsi="Times New Roman" w:cs="Times New Roman"/>
          <w:sz w:val="24"/>
          <w:szCs w:val="24"/>
        </w:rPr>
      </w:pPr>
      <w:r w:rsidRPr="00DB223A">
        <w:rPr>
          <w:rFonts w:ascii="Times New Roman" w:hAnsi="Times New Roman" w:cs="Times New Roman"/>
          <w:sz w:val="24"/>
          <w:szCs w:val="24"/>
        </w:rPr>
        <w:t>Study Limitations</w:t>
      </w:r>
    </w:p>
    <w:p w14:paraId="18A692EC"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The experiment comprised three sheep and nine sheep-period observations in one Latin square, leaving two residual degrees of freedom. This provides limited precision and restricts assessment of residual assumptions. Non-significant findings should be interpreted as insufficient evidence of treatment differences rather than evidence of equivalence. Treatment estimates and responses near P = 0.05 are particularly sensitive to measurement error and rounding. For interpretation only, P-values greater than 0.05 and less than 0.10 are described here as exploratory statistical tendencies. The exploratory convention is stated in the statistical methods but was introduced during revision after inspection of the results; it is not a separate significance criterion. Multiple outcomes were assessed, so these tendencies should be treated as hypothesis-generating.</w:t>
      </w:r>
    </w:p>
    <w:p w14:paraId="495F3044"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t>The treatment tests and Tukey groupings were verified against the original SAS output. Nevertheless, inference remains limited by the three-animal design and two residual degrees of freedom. No confidence intervals are presented, limiting assessment of effect precision. Findings should therefore be interpreted in terms of the observed effect sizes as well as statistical significance.</w:t>
      </w:r>
    </w:p>
    <w:p w14:paraId="63CB73F2"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 xml:space="preserve">Each treatment period included only 7 days of adaptation and 5 days of collection. </w:t>
      </w:r>
      <w:proofErr w:type="spellStart"/>
      <w:r w:rsidRPr="00DB223A">
        <w:rPr>
          <w:sz w:val="24"/>
          <w:szCs w:val="24"/>
        </w:rPr>
        <w:t>Farenzena</w:t>
      </w:r>
      <w:proofErr w:type="spellEnd"/>
      <w:r w:rsidRPr="00DB223A">
        <w:rPr>
          <w:sz w:val="24"/>
          <w:szCs w:val="24"/>
        </w:rPr>
        <w:t xml:space="preserve"> et al. (2017) recommended at least 12 days of adaptation for OM digestibility following the dietary shifts they tested, and minimum collection periods of 4 days for </w:t>
      </w:r>
      <w:proofErr w:type="spellStart"/>
      <w:r w:rsidRPr="00DB223A">
        <w:rPr>
          <w:sz w:val="24"/>
          <w:szCs w:val="24"/>
        </w:rPr>
        <w:t>faecal</w:t>
      </w:r>
      <w:proofErr w:type="spellEnd"/>
      <w:r w:rsidRPr="00DB223A">
        <w:rPr>
          <w:sz w:val="24"/>
          <w:szCs w:val="24"/>
        </w:rPr>
        <w:t xml:space="preserve"> and 7 days for urinary excretion variables. Thus, the present </w:t>
      </w:r>
      <w:proofErr w:type="spellStart"/>
      <w:r w:rsidRPr="00DB223A">
        <w:rPr>
          <w:sz w:val="24"/>
          <w:szCs w:val="24"/>
        </w:rPr>
        <w:t>faecal</w:t>
      </w:r>
      <w:proofErr w:type="spellEnd"/>
      <w:r w:rsidRPr="00DB223A">
        <w:rPr>
          <w:sz w:val="24"/>
          <w:szCs w:val="24"/>
        </w:rPr>
        <w:t>-collection duration exceeded their minimum, but adaptation and urine collection were shorter than their recommendations. Preliminary adaptation to hay does not establish adaptation to the subsequent supplemented diets. Carryover and incomplete stabilization cannot be excluded, and the cyclic treatment sequences did not balance all preceding-treatment combinations.</w:t>
      </w:r>
    </w:p>
    <w:p w14:paraId="0F2C038D"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Only two supplementation amounts were tested. Although intake generally increased numerically with the offered amount, differences between supplementation levels were not detected for CP intake, nitrogen intake, apparently digested nitrogen or nitrogen retention. The unequal spacing of 0, 200 and 300 g/day must be considered in any dose-scale analysis. The available results do not identify an optimal or economically preferable dose.</w:t>
      </w:r>
    </w:p>
    <w:p w14:paraId="2690FCA2"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lastRenderedPageBreak/>
        <w:t>Feed composition was based on three repeated laboratory analyses of one composite sample per feed, so variation among independently sampled feed batches could not be assessed. The calculation of the original feed-composition SEM was undocumented, so that column was omitted. Organic matter was calculated from dry matter and ash determined by ignition at 550 °C for 4 h. Urine was mixed before aliquoting, its measured volume included added acid, and proportional aliquots were composited by sheep and period. Urine pH was not checked, so adequate acidification throughout collection could not be confirmed. Hay and pod-meal refusals were collected and weighed together; therefore, separate hay and supplement intakes, supplement-consumption percentages and any effect on basal-forage intake could not be determined.</w:t>
      </w:r>
    </w:p>
    <w:p w14:paraId="2338A679"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Condensed tannins, rumen ammonia, pH, volatile fatty acids, microbial protein synthesis and passage rate were not measured. Mechanisms involving microbial stimulation or altered protein binding therefore remain hypotheses. Responses apply to the feed materials and growing male sheep tested and cannot be generalized to other batches, breeds or production settings without further evidence.</w:t>
      </w:r>
    </w:p>
    <w:p w14:paraId="4F573EB5" w14:textId="77777777" w:rsidR="00F70986" w:rsidRPr="00DB223A" w:rsidRDefault="00F70986" w:rsidP="004F3DBA">
      <w:pPr>
        <w:spacing w:before="100" w:beforeAutospacing="1" w:after="140" w:afterAutospacing="1" w:line="360" w:lineRule="auto"/>
        <w:rPr>
          <w:rFonts w:eastAsia="Times New Roman" w:cs="Times New Roman"/>
          <w:sz w:val="24"/>
          <w:szCs w:val="24"/>
        </w:rPr>
      </w:pPr>
      <w:r w:rsidRPr="00DB223A">
        <w:rPr>
          <w:sz w:val="24"/>
          <w:szCs w:val="24"/>
        </w:rPr>
        <w:t>The approximately 50-day study, including preliminary adaptation, provides no evidence on long-term growth, reproductive performance, health or economic returns. Formal animal-ethics approval was not obtained before the experiment, as stated in the methods. Animal monitoring and humane handling do not remove this limitation. Larger trials with appropriate ethical oversight, adequately adapted periods, complete collection records and verified statistical analyses are required to establish practical feeding recommendations.</w:t>
      </w:r>
    </w:p>
    <w:p w14:paraId="610D7BEB" w14:textId="77777777" w:rsidR="0032155E" w:rsidRPr="00DB223A" w:rsidRDefault="005426C5" w:rsidP="004F3DBA">
      <w:pPr>
        <w:pStyle w:val="Heading1"/>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Conclusion</w:t>
      </w:r>
    </w:p>
    <w:p w14:paraId="5D57E23A" w14:textId="77777777" w:rsidR="0032155E" w:rsidRPr="00DB223A" w:rsidRDefault="005426C5" w:rsidP="004F3DBA">
      <w:pPr>
        <w:spacing w:after="140" w:line="360" w:lineRule="auto"/>
        <w:rPr>
          <w:rFonts w:cs="Times New Roman"/>
          <w:sz w:val="24"/>
          <w:szCs w:val="24"/>
        </w:rPr>
      </w:pPr>
      <w:r>
        <w:t>In this short metabolism study, supplementation of Rhodes grass hay with 200 or 300 g sickle bush pod meal/day increased total nutrient intake and absolute nitrogen retention relative to hay alone. Neither supplemented treatment showed superior nitrogen retention to the other. Exploratory statistical tendencies were observed for DM, OM and NDF digestibility, and nitrogen retention as a percentage of intake (0.05 &lt; P &lt; 0.10). These do not establish significant treatment-pair differences. Body-weight change, CP digestibility and retention as a percentage of apparently digested nitrogen showed neither significant differences nor statistical tendencies; ADF showed an overall treatment effect without a detected Tukey-adjusted pairwise difference. These preliminary findings support further evaluation of pod meal as a nutrient supplement but do not establish a general digestibility benefit, growth advantage or recommended production dose. The findings apply to the offered supplementation amounts and do not establish complete supplement consumption.</w:t>
      </w:r>
    </w:p>
    <w:p w14:paraId="0F8EAE94" w14:textId="77777777" w:rsidR="0032155E" w:rsidRPr="00DB223A" w:rsidRDefault="005426C5" w:rsidP="004F3DBA">
      <w:pPr>
        <w:pStyle w:val="Heading1"/>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lastRenderedPageBreak/>
        <w:t>Declarations</w:t>
      </w:r>
    </w:p>
    <w:p w14:paraId="6FCC1FA1" w14:textId="77777777" w:rsidR="0032155E" w:rsidRPr="00DB223A" w:rsidRDefault="005426C5" w:rsidP="004F3DBA">
      <w:pPr>
        <w:pStyle w:val="Heading2"/>
        <w:spacing w:after="140" w:line="360" w:lineRule="auto"/>
        <w:jc w:val="both"/>
        <w:rPr>
          <w:rFonts w:ascii="Times New Roman" w:hAnsi="Times New Roman" w:cs="Times New Roman"/>
          <w:sz w:val="24"/>
          <w:szCs w:val="24"/>
        </w:rPr>
      </w:pPr>
      <w:r w:rsidRPr="00DB223A">
        <w:rPr>
          <w:rFonts w:ascii="Times New Roman" w:hAnsi="Times New Roman" w:cs="Times New Roman"/>
          <w:sz w:val="24"/>
          <w:szCs w:val="24"/>
        </w:rPr>
        <w:t>Animal welfare and ethics</w:t>
      </w:r>
    </w:p>
    <w:p w14:paraId="04E668B7" w14:textId="77777777" w:rsidR="0032155E" w:rsidRPr="00DB223A" w:rsidRDefault="00945CC3" w:rsidP="004F3DBA">
      <w:pPr>
        <w:spacing w:after="140" w:line="360" w:lineRule="auto"/>
        <w:rPr>
          <w:rFonts w:cs="Times New Roman"/>
          <w:sz w:val="24"/>
          <w:szCs w:val="24"/>
        </w:rPr>
      </w:pPr>
      <w:r w:rsidRPr="00DB223A">
        <w:rPr>
          <w:sz w:val="24"/>
          <w:szCs w:val="24"/>
        </w:rPr>
        <w:t>Formal animal-ethics approval was not obtained before the experiment. The sheep were monitored throughout the study, and no adverse clinical signs were observed. Fresh water was continuously available, and handling was intended to minimize discomfort.</w:t>
      </w:r>
    </w:p>
    <w:p w14:paraId="20AEA12A" w14:textId="77777777" w:rsidR="007B6E6F" w:rsidRDefault="007B6E6F" w:rsidP="00945CC3">
      <w:pPr>
        <w:spacing w:after="140" w:line="360" w:lineRule="auto"/>
        <w:rPr>
          <w:sz w:val="24"/>
          <w:szCs w:val="24"/>
        </w:rPr>
      </w:pPr>
    </w:p>
    <w:p w14:paraId="040D64D4" w14:textId="77777777" w:rsidR="007B6E6F" w:rsidRPr="007B6E6F" w:rsidRDefault="007B6E6F" w:rsidP="007B6E6F">
      <w:pPr>
        <w:spacing w:after="0" w:line="240" w:lineRule="auto"/>
        <w:jc w:val="left"/>
        <w:rPr>
          <w:rFonts w:ascii="Arial" w:eastAsia="Calibri" w:hAnsi="Arial" w:cs="Arial"/>
          <w:b/>
          <w:color w:val="auto"/>
          <w:sz w:val="20"/>
          <w:szCs w:val="20"/>
        </w:rPr>
      </w:pPr>
      <w:r w:rsidRPr="007B6E6F">
        <w:rPr>
          <w:rFonts w:ascii="Arial" w:eastAsia="Calibri" w:hAnsi="Arial" w:cs="Arial"/>
          <w:b/>
          <w:color w:val="auto"/>
          <w:sz w:val="20"/>
          <w:szCs w:val="20"/>
        </w:rPr>
        <w:t>Declaration of AI Use</w:t>
      </w:r>
    </w:p>
    <w:p w14:paraId="10E1D7BC" w14:textId="77777777" w:rsidR="007B6E6F" w:rsidRPr="007B6E6F" w:rsidRDefault="007B6E6F" w:rsidP="007B6E6F">
      <w:pPr>
        <w:spacing w:after="0" w:line="240" w:lineRule="auto"/>
        <w:jc w:val="left"/>
        <w:rPr>
          <w:rFonts w:ascii="Arial" w:eastAsia="Calibri" w:hAnsi="Arial" w:cs="Arial"/>
          <w:color w:val="auto"/>
          <w:sz w:val="20"/>
          <w:szCs w:val="20"/>
        </w:rPr>
      </w:pPr>
    </w:p>
    <w:p w14:paraId="431DFC0C" w14:textId="77777777" w:rsidR="007B6E6F" w:rsidRPr="007B6E6F" w:rsidRDefault="007B6E6F" w:rsidP="007B6E6F">
      <w:pPr>
        <w:spacing w:after="0" w:line="240" w:lineRule="auto"/>
        <w:jc w:val="left"/>
        <w:rPr>
          <w:rFonts w:ascii="Arial" w:eastAsia="Calibri" w:hAnsi="Arial" w:cs="Arial"/>
          <w:color w:val="auto"/>
          <w:sz w:val="20"/>
          <w:szCs w:val="20"/>
        </w:rPr>
      </w:pPr>
      <w:r w:rsidRPr="007B6E6F">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05B2D66" w14:textId="77777777" w:rsidR="007B6E6F" w:rsidRPr="007B6E6F" w:rsidRDefault="007B6E6F" w:rsidP="007B6E6F">
      <w:pPr>
        <w:spacing w:after="0" w:line="240" w:lineRule="auto"/>
        <w:rPr>
          <w:rFonts w:eastAsia="Calibri" w:cs="Times New Roman"/>
          <w:color w:val="auto"/>
        </w:rPr>
      </w:pPr>
    </w:p>
    <w:p w14:paraId="74E9A879" w14:textId="77777777" w:rsidR="007B6E6F" w:rsidRPr="007B6E6F" w:rsidRDefault="007B6E6F" w:rsidP="007B6E6F">
      <w:pPr>
        <w:spacing w:after="0" w:line="240" w:lineRule="auto"/>
        <w:rPr>
          <w:rFonts w:eastAsia="Calibri" w:cs="Times New Roman"/>
          <w:color w:val="auto"/>
        </w:rPr>
      </w:pPr>
    </w:p>
    <w:p w14:paraId="42F12510" w14:textId="77777777" w:rsidR="007B6E6F" w:rsidRPr="007B6E6F" w:rsidRDefault="007B6E6F" w:rsidP="007B6E6F">
      <w:pPr>
        <w:spacing w:after="200"/>
        <w:jc w:val="left"/>
        <w:rPr>
          <w:rFonts w:ascii="Cambria" w:eastAsia="Times New Roman" w:hAnsi="Cambria" w:cs="Arial"/>
          <w:b/>
          <w:bCs/>
          <w:color w:val="auto"/>
          <w:lang w:val="en-GB" w:eastAsia="en-GB"/>
        </w:rPr>
      </w:pPr>
      <w:r w:rsidRPr="007B6E6F">
        <w:rPr>
          <w:rFonts w:ascii="Cambria" w:eastAsia="Times New Roman" w:hAnsi="Cambria" w:cs="Arial"/>
          <w:b/>
          <w:bCs/>
          <w:color w:val="auto"/>
          <w:lang w:val="en-GB" w:eastAsia="en-GB"/>
        </w:rPr>
        <w:t>COMPETING INTERESTS DISCLAIMER:</w:t>
      </w:r>
    </w:p>
    <w:p w14:paraId="3827C170" w14:textId="77777777" w:rsidR="007B6E6F" w:rsidRPr="007B6E6F" w:rsidRDefault="007B6E6F" w:rsidP="007B6E6F">
      <w:pPr>
        <w:spacing w:after="200"/>
        <w:jc w:val="left"/>
        <w:rPr>
          <w:rFonts w:ascii="Cambria" w:eastAsia="Times New Roman" w:hAnsi="Cambria" w:cs="Times New Roman"/>
          <w:color w:val="auto"/>
          <w:lang w:val="en-GB" w:eastAsia="en-GB"/>
        </w:rPr>
      </w:pPr>
      <w:r w:rsidRPr="007B6E6F">
        <w:rPr>
          <w:rFonts w:ascii="Cambria" w:eastAsia="Times New Roman" w:hAnsi="Cambria" w:cs="Arial"/>
          <w:color w:val="auto"/>
          <w:lang w:val="en-GB" w:eastAsia="en-GB"/>
        </w:rPr>
        <w:t>Authors have declared that they have no known competing financial interests OR non-financial interests OR personal relationships that could have appeared to influence the work reported in this paper.</w:t>
      </w:r>
    </w:p>
    <w:p w14:paraId="38AA72FA" w14:textId="77777777" w:rsidR="007B6E6F" w:rsidRPr="00DB223A" w:rsidRDefault="007B6E6F" w:rsidP="00945CC3">
      <w:pPr>
        <w:spacing w:after="140" w:line="360" w:lineRule="auto"/>
        <w:rPr>
          <w:rFonts w:cs="Times New Roman"/>
          <w:sz w:val="24"/>
          <w:szCs w:val="24"/>
        </w:rPr>
      </w:pPr>
    </w:p>
    <w:p w14:paraId="29AA0C49" w14:textId="77777777" w:rsidR="0032155E" w:rsidRPr="00DB223A" w:rsidRDefault="005426C5" w:rsidP="00945CC3">
      <w:pPr>
        <w:keepNext/>
        <w:spacing w:after="140" w:line="360" w:lineRule="auto"/>
        <w:rPr>
          <w:rFonts w:cs="Times New Roman"/>
          <w:sz w:val="24"/>
          <w:szCs w:val="24"/>
        </w:rPr>
      </w:pPr>
      <w:r w:rsidRPr="00DB223A">
        <w:rPr>
          <w:rFonts w:cs="Times New Roman"/>
          <w:b/>
          <w:sz w:val="24"/>
          <w:szCs w:val="24"/>
        </w:rPr>
        <w:t>References</w:t>
      </w:r>
    </w:p>
    <w:p w14:paraId="7BA62468"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Abdullah, M. A. M., Farghaly, M. M., </w:t>
      </w:r>
      <w:r w:rsidR="004F3DBA" w:rsidRPr="00DB223A">
        <w:rPr>
          <w:rFonts w:cs="Times New Roman"/>
          <w:sz w:val="24"/>
          <w:szCs w:val="24"/>
        </w:rPr>
        <w:t>and</w:t>
      </w:r>
      <w:r w:rsidRPr="00DB223A">
        <w:rPr>
          <w:rFonts w:cs="Times New Roman"/>
          <w:sz w:val="24"/>
          <w:szCs w:val="24"/>
        </w:rPr>
        <w:t xml:space="preserve"> Youssef, I. M. I. (2018). Effect of feeding Acacia nilotica pods to sheep on nutrient digestibility, nitrogen balance, ruminal protozoa and rumen enzymes activity. </w:t>
      </w:r>
      <w:r w:rsidRPr="00DB223A">
        <w:rPr>
          <w:rFonts w:cs="Times New Roman"/>
          <w:i/>
          <w:sz w:val="24"/>
          <w:szCs w:val="24"/>
        </w:rPr>
        <w:t>Journal of Animal Physiology and Animal Nutrition, 102</w:t>
      </w:r>
      <w:r w:rsidRPr="00DB223A">
        <w:rPr>
          <w:rFonts w:cs="Times New Roman"/>
          <w:sz w:val="24"/>
          <w:szCs w:val="24"/>
        </w:rPr>
        <w:t>(3), 662–669. https://doi.org/10.1111/jpn.12874</w:t>
      </w:r>
    </w:p>
    <w:p w14:paraId="2FCFAC75" w14:textId="77777777" w:rsidR="00EA6970" w:rsidRPr="00DB223A" w:rsidRDefault="00D71D37" w:rsidP="004F3DBA">
      <w:pPr>
        <w:keepLines/>
        <w:spacing w:after="140" w:line="360" w:lineRule="auto"/>
        <w:ind w:left="720" w:hanging="720"/>
        <w:rPr>
          <w:rFonts w:cs="Times New Roman"/>
          <w:sz w:val="24"/>
          <w:szCs w:val="24"/>
        </w:rPr>
      </w:pPr>
      <w:proofErr w:type="spellStart"/>
      <w:r w:rsidRPr="00DB223A">
        <w:rPr>
          <w:rFonts w:cs="Times New Roman"/>
          <w:sz w:val="24"/>
          <w:szCs w:val="24"/>
        </w:rPr>
        <w:t>Andualem</w:t>
      </w:r>
      <w:proofErr w:type="spellEnd"/>
      <w:r w:rsidRPr="00DB223A">
        <w:rPr>
          <w:rFonts w:cs="Times New Roman"/>
          <w:sz w:val="24"/>
          <w:szCs w:val="24"/>
        </w:rPr>
        <w:t xml:space="preserve">, D., </w:t>
      </w:r>
      <w:r w:rsidR="004F3DBA" w:rsidRPr="00DB223A">
        <w:rPr>
          <w:rFonts w:cs="Times New Roman"/>
          <w:sz w:val="24"/>
          <w:szCs w:val="24"/>
        </w:rPr>
        <w:t>and</w:t>
      </w:r>
      <w:r w:rsidRPr="00DB223A">
        <w:rPr>
          <w:rFonts w:cs="Times New Roman"/>
          <w:sz w:val="24"/>
          <w:szCs w:val="24"/>
        </w:rPr>
        <w:t xml:space="preserve"> </w:t>
      </w:r>
      <w:proofErr w:type="spellStart"/>
      <w:r w:rsidRPr="00DB223A">
        <w:rPr>
          <w:rFonts w:cs="Times New Roman"/>
          <w:sz w:val="24"/>
          <w:szCs w:val="24"/>
        </w:rPr>
        <w:t>Hundessa</w:t>
      </w:r>
      <w:proofErr w:type="spellEnd"/>
      <w:r w:rsidRPr="00DB223A">
        <w:rPr>
          <w:rFonts w:cs="Times New Roman"/>
          <w:sz w:val="24"/>
          <w:szCs w:val="24"/>
        </w:rPr>
        <w:t>, M. (2022). Nutritive value of Guatemala grass (</w:t>
      </w:r>
      <w:proofErr w:type="spellStart"/>
      <w:r w:rsidRPr="00DB223A">
        <w:rPr>
          <w:rFonts w:cs="Times New Roman"/>
          <w:sz w:val="24"/>
          <w:szCs w:val="24"/>
        </w:rPr>
        <w:t>Tripsacum</w:t>
      </w:r>
      <w:proofErr w:type="spellEnd"/>
      <w:r w:rsidRPr="00DB223A">
        <w:rPr>
          <w:rFonts w:cs="Times New Roman"/>
          <w:sz w:val="24"/>
          <w:szCs w:val="24"/>
        </w:rPr>
        <w:t xml:space="preserve"> </w:t>
      </w:r>
      <w:proofErr w:type="spellStart"/>
      <w:r w:rsidRPr="00DB223A">
        <w:rPr>
          <w:rFonts w:cs="Times New Roman"/>
          <w:sz w:val="24"/>
          <w:szCs w:val="24"/>
        </w:rPr>
        <w:t>andersonii</w:t>
      </w:r>
      <w:proofErr w:type="spellEnd"/>
      <w:r w:rsidRPr="00DB223A">
        <w:rPr>
          <w:rFonts w:cs="Times New Roman"/>
          <w:sz w:val="24"/>
          <w:szCs w:val="24"/>
        </w:rPr>
        <w:t xml:space="preserve">) harvested at three stages of maturity in Gedeo agroforestry systems, Southern Ethiopia. </w:t>
      </w:r>
      <w:r w:rsidRPr="00DB223A">
        <w:rPr>
          <w:rFonts w:cs="Times New Roman"/>
          <w:i/>
          <w:sz w:val="24"/>
          <w:szCs w:val="24"/>
        </w:rPr>
        <w:t>Tropical and Subtropical Agroecosystems, 25</w:t>
      </w:r>
      <w:r w:rsidRPr="00DB223A">
        <w:rPr>
          <w:rFonts w:cs="Times New Roman"/>
          <w:sz w:val="24"/>
          <w:szCs w:val="24"/>
        </w:rPr>
        <w:t>(3), Article 091. https://doi.org/10.56369/tsaes.3685</w:t>
      </w:r>
    </w:p>
    <w:p w14:paraId="4D17D5F3"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Association of Official Analytical Chemists. (1990). </w:t>
      </w:r>
      <w:r w:rsidRPr="00DB223A">
        <w:rPr>
          <w:rFonts w:cs="Times New Roman"/>
          <w:i/>
          <w:sz w:val="24"/>
          <w:szCs w:val="24"/>
        </w:rPr>
        <w:t>Official methods of analysis</w:t>
      </w:r>
      <w:r w:rsidRPr="00DB223A">
        <w:rPr>
          <w:rFonts w:cs="Times New Roman"/>
          <w:sz w:val="24"/>
          <w:szCs w:val="24"/>
        </w:rPr>
        <w:t xml:space="preserve"> (15th ed.).</w:t>
      </w:r>
    </w:p>
    <w:p w14:paraId="2677B621"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Belete, S., Tolera, A., </w:t>
      </w:r>
      <w:proofErr w:type="spellStart"/>
      <w:r w:rsidRPr="00DB223A">
        <w:rPr>
          <w:rFonts w:cs="Times New Roman"/>
          <w:sz w:val="24"/>
          <w:szCs w:val="24"/>
        </w:rPr>
        <w:t>Betsha</w:t>
      </w:r>
      <w:proofErr w:type="spellEnd"/>
      <w:r w:rsidRPr="00DB223A">
        <w:rPr>
          <w:rFonts w:cs="Times New Roman"/>
          <w:sz w:val="24"/>
          <w:szCs w:val="24"/>
        </w:rPr>
        <w:t xml:space="preserve">, S., </w:t>
      </w:r>
      <w:r w:rsidR="004F3DBA" w:rsidRPr="00DB223A">
        <w:rPr>
          <w:rFonts w:cs="Times New Roman"/>
          <w:sz w:val="24"/>
          <w:szCs w:val="24"/>
        </w:rPr>
        <w:t>and</w:t>
      </w:r>
      <w:r w:rsidRPr="00DB223A">
        <w:rPr>
          <w:rFonts w:cs="Times New Roman"/>
          <w:sz w:val="24"/>
          <w:szCs w:val="24"/>
        </w:rPr>
        <w:t xml:space="preserve"> Dickhöfer, U. (2024). Feeding values of indigenous browse species and forage legumes for the feeding of ruminants in Ethiopia: A meta-analysis. </w:t>
      </w:r>
      <w:r w:rsidRPr="00DB223A">
        <w:rPr>
          <w:rFonts w:cs="Times New Roman"/>
          <w:i/>
          <w:sz w:val="24"/>
          <w:szCs w:val="24"/>
        </w:rPr>
        <w:t>Agriculture, 14</w:t>
      </w:r>
      <w:r w:rsidRPr="00DB223A">
        <w:rPr>
          <w:rFonts w:cs="Times New Roman"/>
          <w:sz w:val="24"/>
          <w:szCs w:val="24"/>
        </w:rPr>
        <w:t>(9), Article 1475. https://doi.org/10.3390/agriculture14091475</w:t>
      </w:r>
    </w:p>
    <w:p w14:paraId="5992C436"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Bueno, I. C. da S., Cabral Filho, S. L. S., </w:t>
      </w:r>
      <w:r w:rsidR="004F3DBA" w:rsidRPr="00DB223A">
        <w:rPr>
          <w:rFonts w:cs="Times New Roman"/>
          <w:sz w:val="24"/>
          <w:szCs w:val="24"/>
        </w:rPr>
        <w:t>and</w:t>
      </w:r>
      <w:r w:rsidRPr="00DB223A">
        <w:rPr>
          <w:rFonts w:cs="Times New Roman"/>
          <w:sz w:val="24"/>
          <w:szCs w:val="24"/>
        </w:rPr>
        <w:t xml:space="preserve"> Abdalla, A. L. (2010). Rumen microbial growth in sheep fed three distinct quality hays. </w:t>
      </w:r>
      <w:r w:rsidRPr="00DB223A">
        <w:rPr>
          <w:rFonts w:cs="Times New Roman"/>
          <w:i/>
          <w:sz w:val="24"/>
          <w:szCs w:val="24"/>
        </w:rPr>
        <w:t>Tropical and Subtropical Agroecosystems, 12</w:t>
      </w:r>
      <w:r w:rsidRPr="00DB223A">
        <w:rPr>
          <w:rFonts w:cs="Times New Roman"/>
          <w:sz w:val="24"/>
          <w:szCs w:val="24"/>
        </w:rPr>
        <w:t>(2), 239</w:t>
      </w:r>
      <w:r w:rsidR="00B02541" w:rsidRPr="00DB223A">
        <w:rPr>
          <w:rFonts w:cs="Times New Roman"/>
          <w:sz w:val="24"/>
          <w:szCs w:val="24"/>
        </w:rPr>
        <w:t>-</w:t>
      </w:r>
      <w:r w:rsidRPr="00DB223A">
        <w:rPr>
          <w:rFonts w:cs="Times New Roman"/>
          <w:sz w:val="24"/>
          <w:szCs w:val="24"/>
        </w:rPr>
        <w:t>246.</w:t>
      </w:r>
    </w:p>
    <w:p w14:paraId="6E7E3C9B"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lastRenderedPageBreak/>
        <w:t xml:space="preserve">Cole, N. A. (1995). Influence of a three-day feed and water deprivation period on gut fill, tissue weights, and tissue composition in mature </w:t>
      </w:r>
      <w:proofErr w:type="spellStart"/>
      <w:r w:rsidRPr="00DB223A">
        <w:rPr>
          <w:rFonts w:cs="Times New Roman"/>
          <w:sz w:val="24"/>
          <w:szCs w:val="24"/>
        </w:rPr>
        <w:t>wethers</w:t>
      </w:r>
      <w:proofErr w:type="spellEnd"/>
      <w:r w:rsidRPr="00DB223A">
        <w:rPr>
          <w:rFonts w:cs="Times New Roman"/>
          <w:sz w:val="24"/>
          <w:szCs w:val="24"/>
        </w:rPr>
        <w:t xml:space="preserve">. </w:t>
      </w:r>
      <w:r w:rsidRPr="00DB223A">
        <w:rPr>
          <w:rFonts w:cs="Times New Roman"/>
          <w:i/>
          <w:sz w:val="24"/>
          <w:szCs w:val="24"/>
        </w:rPr>
        <w:t>Journal of Animal Science, 73</w:t>
      </w:r>
      <w:r w:rsidRPr="00DB223A">
        <w:rPr>
          <w:rFonts w:cs="Times New Roman"/>
          <w:sz w:val="24"/>
          <w:szCs w:val="24"/>
        </w:rPr>
        <w:t>(9), 2548–2557. https://doi.org/10.2527/1995.7392548x</w:t>
      </w:r>
    </w:p>
    <w:p w14:paraId="7BE80336"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Duguma, B., </w:t>
      </w:r>
      <w:r w:rsidR="004F3DBA" w:rsidRPr="00DB223A">
        <w:rPr>
          <w:rFonts w:cs="Times New Roman"/>
          <w:sz w:val="24"/>
          <w:szCs w:val="24"/>
        </w:rPr>
        <w:t>and</w:t>
      </w:r>
      <w:r w:rsidRPr="00DB223A">
        <w:rPr>
          <w:rFonts w:cs="Times New Roman"/>
          <w:sz w:val="24"/>
          <w:szCs w:val="24"/>
        </w:rPr>
        <w:t xml:space="preserve"> Janssens, G. P. J. (2021). Assessment of livestock feed resources and coping strategies with dry season feed scarcity in mixed crop–livestock farming systems around the </w:t>
      </w:r>
      <w:proofErr w:type="spellStart"/>
      <w:r w:rsidRPr="00DB223A">
        <w:rPr>
          <w:rFonts w:cs="Times New Roman"/>
          <w:sz w:val="24"/>
          <w:szCs w:val="24"/>
        </w:rPr>
        <w:t>Gilgel</w:t>
      </w:r>
      <w:proofErr w:type="spellEnd"/>
      <w:r w:rsidRPr="00DB223A">
        <w:rPr>
          <w:rFonts w:cs="Times New Roman"/>
          <w:sz w:val="24"/>
          <w:szCs w:val="24"/>
        </w:rPr>
        <w:t xml:space="preserve"> Gibe catchment, Southwest Ethiopia. </w:t>
      </w:r>
      <w:r w:rsidRPr="00DB223A">
        <w:rPr>
          <w:rFonts w:cs="Times New Roman"/>
          <w:i/>
          <w:sz w:val="24"/>
          <w:szCs w:val="24"/>
        </w:rPr>
        <w:t>Sustainability, 13</w:t>
      </w:r>
      <w:r w:rsidRPr="00DB223A">
        <w:rPr>
          <w:rFonts w:cs="Times New Roman"/>
          <w:sz w:val="24"/>
          <w:szCs w:val="24"/>
        </w:rPr>
        <w:t>(19), Article 10713. https://doi.org/10.3390/su131910713</w:t>
      </w:r>
    </w:p>
    <w:p w14:paraId="0ED02708" w14:textId="77777777" w:rsidR="00EA6970" w:rsidRPr="00DB223A" w:rsidRDefault="00D71D37" w:rsidP="004F3DBA">
      <w:pPr>
        <w:keepLines/>
        <w:spacing w:after="140" w:line="360" w:lineRule="auto"/>
        <w:ind w:left="720" w:hanging="720"/>
        <w:rPr>
          <w:rFonts w:cs="Times New Roman"/>
          <w:sz w:val="24"/>
          <w:szCs w:val="24"/>
        </w:rPr>
      </w:pPr>
      <w:proofErr w:type="spellStart"/>
      <w:r w:rsidRPr="00DB223A">
        <w:rPr>
          <w:rFonts w:cs="Times New Roman"/>
          <w:sz w:val="24"/>
          <w:szCs w:val="24"/>
        </w:rPr>
        <w:t>Farenzena</w:t>
      </w:r>
      <w:proofErr w:type="spellEnd"/>
      <w:r w:rsidRPr="00DB223A">
        <w:rPr>
          <w:rFonts w:cs="Times New Roman"/>
          <w:sz w:val="24"/>
          <w:szCs w:val="24"/>
        </w:rPr>
        <w:t xml:space="preserve">, R., Kozloski, G. V., Gindri, M., </w:t>
      </w:r>
      <w:r w:rsidR="004F3DBA" w:rsidRPr="00DB223A">
        <w:rPr>
          <w:rFonts w:cs="Times New Roman"/>
          <w:sz w:val="24"/>
          <w:szCs w:val="24"/>
        </w:rPr>
        <w:t>and</w:t>
      </w:r>
      <w:r w:rsidRPr="00DB223A">
        <w:rPr>
          <w:rFonts w:cs="Times New Roman"/>
          <w:sz w:val="24"/>
          <w:szCs w:val="24"/>
        </w:rPr>
        <w:t xml:space="preserve"> </w:t>
      </w:r>
      <w:proofErr w:type="spellStart"/>
      <w:r w:rsidRPr="00DB223A">
        <w:rPr>
          <w:rFonts w:cs="Times New Roman"/>
          <w:sz w:val="24"/>
          <w:szCs w:val="24"/>
        </w:rPr>
        <w:t>Stefanello</w:t>
      </w:r>
      <w:proofErr w:type="spellEnd"/>
      <w:r w:rsidRPr="00DB223A">
        <w:rPr>
          <w:rFonts w:cs="Times New Roman"/>
          <w:sz w:val="24"/>
          <w:szCs w:val="24"/>
        </w:rPr>
        <w:t xml:space="preserve">, S. (2017). Minimum length of the adaptation and collection period in digestibility trials with sheep fed ad libitum only forage or forage plus concentrate. </w:t>
      </w:r>
      <w:r w:rsidRPr="00DB223A">
        <w:rPr>
          <w:rFonts w:cs="Times New Roman"/>
          <w:i/>
          <w:sz w:val="24"/>
          <w:szCs w:val="24"/>
        </w:rPr>
        <w:t>Journal of Animal Physiology and Animal Nutrition, 101</w:t>
      </w:r>
      <w:r w:rsidRPr="00DB223A">
        <w:rPr>
          <w:rFonts w:cs="Times New Roman"/>
          <w:sz w:val="24"/>
          <w:szCs w:val="24"/>
        </w:rPr>
        <w:t>(5), 1057–1066. https://doi.org/10.1111/jpn.12550</w:t>
      </w:r>
    </w:p>
    <w:p w14:paraId="62760D7C"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Fasae, O. A., </w:t>
      </w:r>
      <w:r w:rsidR="004F3DBA" w:rsidRPr="00DB223A">
        <w:rPr>
          <w:rFonts w:cs="Times New Roman"/>
          <w:sz w:val="24"/>
          <w:szCs w:val="24"/>
        </w:rPr>
        <w:t>and</w:t>
      </w:r>
      <w:r w:rsidRPr="00DB223A">
        <w:rPr>
          <w:rFonts w:cs="Times New Roman"/>
          <w:sz w:val="24"/>
          <w:szCs w:val="24"/>
        </w:rPr>
        <w:t xml:space="preserve"> </w:t>
      </w:r>
      <w:proofErr w:type="spellStart"/>
      <w:r w:rsidRPr="00DB223A">
        <w:rPr>
          <w:rFonts w:cs="Times New Roman"/>
          <w:sz w:val="24"/>
          <w:szCs w:val="24"/>
        </w:rPr>
        <w:t>Adelusi</w:t>
      </w:r>
      <w:proofErr w:type="spellEnd"/>
      <w:r w:rsidRPr="00DB223A">
        <w:rPr>
          <w:rFonts w:cs="Times New Roman"/>
          <w:sz w:val="24"/>
          <w:szCs w:val="24"/>
        </w:rPr>
        <w:t xml:space="preserve">, F. T. (2024). Supplemental role of fodder tree legumes in dwarf sheep and goats feeding systems: A review. </w:t>
      </w:r>
      <w:r w:rsidRPr="00DB223A">
        <w:rPr>
          <w:rFonts w:cs="Times New Roman"/>
          <w:i/>
          <w:sz w:val="24"/>
          <w:szCs w:val="24"/>
        </w:rPr>
        <w:t>Agricultura Scientia, 21</w:t>
      </w:r>
      <w:r w:rsidRPr="00DB223A">
        <w:rPr>
          <w:rFonts w:cs="Times New Roman"/>
          <w:sz w:val="24"/>
          <w:szCs w:val="24"/>
        </w:rPr>
        <w:t>(1), 25–34. https://doi.org/10.18690/agricsci.21.1.3</w:t>
      </w:r>
    </w:p>
    <w:p w14:paraId="65F034FF"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Galvani, D. B., Pires, C. C., Wommer, T. P., Oliveira, F., </w:t>
      </w:r>
      <w:r w:rsidR="004F3DBA" w:rsidRPr="00DB223A">
        <w:rPr>
          <w:rFonts w:cs="Times New Roman"/>
          <w:sz w:val="24"/>
          <w:szCs w:val="24"/>
        </w:rPr>
        <w:t>and</w:t>
      </w:r>
      <w:r w:rsidRPr="00DB223A">
        <w:rPr>
          <w:rFonts w:cs="Times New Roman"/>
          <w:sz w:val="24"/>
          <w:szCs w:val="24"/>
        </w:rPr>
        <w:t xml:space="preserve"> Santos, M. F. (2010). Chewing patterns and digestion in sheep submitted to feed restriction. </w:t>
      </w:r>
      <w:r w:rsidRPr="00DB223A">
        <w:rPr>
          <w:rFonts w:cs="Times New Roman"/>
          <w:i/>
          <w:sz w:val="24"/>
          <w:szCs w:val="24"/>
        </w:rPr>
        <w:t>Journal of Animal Physiology and Animal Nutrition, 94</w:t>
      </w:r>
      <w:r w:rsidRPr="00DB223A">
        <w:rPr>
          <w:rFonts w:cs="Times New Roman"/>
          <w:sz w:val="24"/>
          <w:szCs w:val="24"/>
        </w:rPr>
        <w:t>(6), e366–e373. https://doi.org/10.1111/j.1439-0396.2010.01022.x</w:t>
      </w:r>
    </w:p>
    <w:p w14:paraId="4B2E0A81" w14:textId="77777777" w:rsidR="00EA6970" w:rsidRPr="00DB223A" w:rsidRDefault="00D71D37" w:rsidP="004F3DBA">
      <w:pPr>
        <w:keepLines/>
        <w:spacing w:after="140" w:line="360" w:lineRule="auto"/>
        <w:ind w:left="720" w:hanging="720"/>
        <w:rPr>
          <w:rFonts w:cs="Times New Roman"/>
          <w:sz w:val="24"/>
          <w:szCs w:val="24"/>
        </w:rPr>
      </w:pPr>
      <w:proofErr w:type="spellStart"/>
      <w:r w:rsidRPr="00DB223A">
        <w:rPr>
          <w:rFonts w:cs="Times New Roman"/>
          <w:sz w:val="24"/>
          <w:szCs w:val="24"/>
        </w:rPr>
        <w:t>Kanyinji</w:t>
      </w:r>
      <w:proofErr w:type="spellEnd"/>
      <w:r w:rsidRPr="00DB223A">
        <w:rPr>
          <w:rFonts w:cs="Times New Roman"/>
          <w:sz w:val="24"/>
          <w:szCs w:val="24"/>
        </w:rPr>
        <w:t xml:space="preserve">, F., Chongo, J., </w:t>
      </w:r>
      <w:r w:rsidR="004F3DBA" w:rsidRPr="00DB223A">
        <w:rPr>
          <w:rFonts w:cs="Times New Roman"/>
          <w:sz w:val="24"/>
          <w:szCs w:val="24"/>
        </w:rPr>
        <w:t>and</w:t>
      </w:r>
      <w:r w:rsidRPr="00DB223A">
        <w:rPr>
          <w:rFonts w:cs="Times New Roman"/>
          <w:sz w:val="24"/>
          <w:szCs w:val="24"/>
        </w:rPr>
        <w:t xml:space="preserve"> Simbaya, J. (2014). Intake and digestibility of Rhodes grass (Chloris </w:t>
      </w:r>
      <w:proofErr w:type="spellStart"/>
      <w:r w:rsidRPr="00DB223A">
        <w:rPr>
          <w:rFonts w:cs="Times New Roman"/>
          <w:sz w:val="24"/>
          <w:szCs w:val="24"/>
        </w:rPr>
        <w:t>gayana</w:t>
      </w:r>
      <w:proofErr w:type="spellEnd"/>
      <w:r w:rsidRPr="00DB223A">
        <w:rPr>
          <w:rFonts w:cs="Times New Roman"/>
          <w:sz w:val="24"/>
          <w:szCs w:val="24"/>
        </w:rPr>
        <w:t xml:space="preserve">) hay treated with graded levels of concentration of banana leaf ash solution in local goats. </w:t>
      </w:r>
      <w:r w:rsidRPr="00DB223A">
        <w:rPr>
          <w:rFonts w:cs="Times New Roman"/>
          <w:i/>
          <w:sz w:val="24"/>
          <w:szCs w:val="24"/>
        </w:rPr>
        <w:t>Journal of Animal Production Advances, 4</w:t>
      </w:r>
      <w:r w:rsidRPr="00DB223A">
        <w:rPr>
          <w:rFonts w:cs="Times New Roman"/>
          <w:sz w:val="24"/>
          <w:szCs w:val="24"/>
        </w:rPr>
        <w:t>(6), 448–454.</w:t>
      </w:r>
    </w:p>
    <w:p w14:paraId="4055D7F8" w14:textId="77777777" w:rsidR="00EA6970" w:rsidRPr="00DB223A" w:rsidRDefault="00D71D37" w:rsidP="004F3DBA">
      <w:pPr>
        <w:keepLines/>
        <w:spacing w:after="140" w:line="360" w:lineRule="auto"/>
        <w:ind w:left="720" w:hanging="720"/>
        <w:rPr>
          <w:rFonts w:cs="Times New Roman"/>
          <w:sz w:val="24"/>
          <w:szCs w:val="24"/>
        </w:rPr>
      </w:pPr>
      <w:proofErr w:type="spellStart"/>
      <w:r w:rsidRPr="00DB223A">
        <w:rPr>
          <w:rFonts w:cs="Times New Roman"/>
          <w:sz w:val="24"/>
          <w:szCs w:val="24"/>
        </w:rPr>
        <w:t>Kanyinji</w:t>
      </w:r>
      <w:proofErr w:type="spellEnd"/>
      <w:r w:rsidRPr="00DB223A">
        <w:rPr>
          <w:rFonts w:cs="Times New Roman"/>
          <w:sz w:val="24"/>
          <w:szCs w:val="24"/>
        </w:rPr>
        <w:t xml:space="preserve">, F., Nguni, M., </w:t>
      </w:r>
      <w:r w:rsidR="004F3DBA" w:rsidRPr="00DB223A">
        <w:rPr>
          <w:rFonts w:cs="Times New Roman"/>
          <w:sz w:val="24"/>
          <w:szCs w:val="24"/>
        </w:rPr>
        <w:t>and</w:t>
      </w:r>
      <w:r w:rsidRPr="00DB223A">
        <w:rPr>
          <w:rFonts w:cs="Times New Roman"/>
          <w:sz w:val="24"/>
          <w:szCs w:val="24"/>
        </w:rPr>
        <w:t xml:space="preserve"> Mulenga, A. (2017). Intake, digestibility and nitrogen retention in goats fed ensiled maize stover and supplemented with snake bean (</w:t>
      </w:r>
      <w:proofErr w:type="spellStart"/>
      <w:r w:rsidRPr="00DB223A">
        <w:rPr>
          <w:rFonts w:cs="Times New Roman"/>
          <w:sz w:val="24"/>
          <w:szCs w:val="24"/>
        </w:rPr>
        <w:t>Bobgunnia</w:t>
      </w:r>
      <w:proofErr w:type="spellEnd"/>
      <w:r w:rsidRPr="00DB223A">
        <w:rPr>
          <w:rFonts w:cs="Times New Roman"/>
          <w:sz w:val="24"/>
          <w:szCs w:val="24"/>
        </w:rPr>
        <w:t xml:space="preserve"> madagascariensis) pod meal. </w:t>
      </w:r>
      <w:r w:rsidRPr="00DB223A">
        <w:rPr>
          <w:rFonts w:cs="Times New Roman"/>
          <w:i/>
          <w:sz w:val="24"/>
          <w:szCs w:val="24"/>
        </w:rPr>
        <w:t>Journal of Advanced Veterinary and Animal Research, 4</w:t>
      </w:r>
      <w:r w:rsidRPr="00DB223A">
        <w:rPr>
          <w:rFonts w:cs="Times New Roman"/>
          <w:sz w:val="24"/>
          <w:szCs w:val="24"/>
        </w:rPr>
        <w:t>, 168–174. https://doi.org/10.5455/javar.2017.d207</w:t>
      </w:r>
    </w:p>
    <w:p w14:paraId="384B2E85"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Kelln, B. M., Penner, G. B., Acharya, S. N., McAllister, T. A., </w:t>
      </w:r>
      <w:r w:rsidR="004F3DBA" w:rsidRPr="00DB223A">
        <w:rPr>
          <w:rFonts w:cs="Times New Roman"/>
          <w:sz w:val="24"/>
          <w:szCs w:val="24"/>
        </w:rPr>
        <w:t>and</w:t>
      </w:r>
      <w:r w:rsidRPr="00DB223A">
        <w:rPr>
          <w:rFonts w:cs="Times New Roman"/>
          <w:sz w:val="24"/>
          <w:szCs w:val="24"/>
        </w:rPr>
        <w:t xml:space="preserve"> Lardner, H. A. (2021). Impact of condensed tannin-containing legumes on ruminal fermentation, nutrition, and performance in ruminants: A review. </w:t>
      </w:r>
      <w:r w:rsidRPr="00DB223A">
        <w:rPr>
          <w:rFonts w:cs="Times New Roman"/>
          <w:i/>
          <w:sz w:val="24"/>
          <w:szCs w:val="24"/>
        </w:rPr>
        <w:t>Canadian Journal of Animal Science, 101</w:t>
      </w:r>
      <w:r w:rsidRPr="00DB223A">
        <w:rPr>
          <w:rFonts w:cs="Times New Roman"/>
          <w:sz w:val="24"/>
          <w:szCs w:val="24"/>
        </w:rPr>
        <w:t>(2), 210–223. https://doi.org/10.1139/cjas-2020-0096</w:t>
      </w:r>
    </w:p>
    <w:p w14:paraId="37446D99"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lastRenderedPageBreak/>
        <w:t xml:space="preserve">Mlambo, V., Smith, T., Owen, E., </w:t>
      </w:r>
      <w:proofErr w:type="spellStart"/>
      <w:r w:rsidRPr="00DB223A">
        <w:rPr>
          <w:rFonts w:cs="Times New Roman"/>
          <w:sz w:val="24"/>
          <w:szCs w:val="24"/>
        </w:rPr>
        <w:t>Mould</w:t>
      </w:r>
      <w:proofErr w:type="spellEnd"/>
      <w:r w:rsidRPr="00DB223A">
        <w:rPr>
          <w:rFonts w:cs="Times New Roman"/>
          <w:sz w:val="24"/>
          <w:szCs w:val="24"/>
        </w:rPr>
        <w:t xml:space="preserve">, F. L., </w:t>
      </w:r>
      <w:proofErr w:type="spellStart"/>
      <w:r w:rsidRPr="00DB223A">
        <w:rPr>
          <w:rFonts w:cs="Times New Roman"/>
          <w:sz w:val="24"/>
          <w:szCs w:val="24"/>
        </w:rPr>
        <w:t>Sikosana</w:t>
      </w:r>
      <w:proofErr w:type="spellEnd"/>
      <w:r w:rsidRPr="00DB223A">
        <w:rPr>
          <w:rFonts w:cs="Times New Roman"/>
          <w:sz w:val="24"/>
          <w:szCs w:val="24"/>
        </w:rPr>
        <w:t xml:space="preserve">, J. L. N., </w:t>
      </w:r>
      <w:r w:rsidR="004F3DBA" w:rsidRPr="00DB223A">
        <w:rPr>
          <w:rFonts w:cs="Times New Roman"/>
          <w:sz w:val="24"/>
          <w:szCs w:val="24"/>
        </w:rPr>
        <w:t>and</w:t>
      </w:r>
      <w:r w:rsidRPr="00DB223A">
        <w:rPr>
          <w:rFonts w:cs="Times New Roman"/>
          <w:sz w:val="24"/>
          <w:szCs w:val="24"/>
        </w:rPr>
        <w:t xml:space="preserve"> Mueller-Harvey, I. (2004). </w:t>
      </w:r>
      <w:proofErr w:type="spellStart"/>
      <w:r w:rsidRPr="00DB223A">
        <w:rPr>
          <w:rFonts w:cs="Times New Roman"/>
          <w:sz w:val="24"/>
          <w:szCs w:val="24"/>
        </w:rPr>
        <w:t>Tanniniferous</w:t>
      </w:r>
      <w:proofErr w:type="spellEnd"/>
      <w:r w:rsidRPr="00DB223A">
        <w:rPr>
          <w:rFonts w:cs="Times New Roman"/>
          <w:sz w:val="24"/>
          <w:szCs w:val="24"/>
        </w:rPr>
        <w:t xml:space="preserve"> </w:t>
      </w:r>
      <w:proofErr w:type="spellStart"/>
      <w:r w:rsidRPr="00DB223A">
        <w:rPr>
          <w:rFonts w:cs="Times New Roman"/>
          <w:sz w:val="24"/>
          <w:szCs w:val="24"/>
        </w:rPr>
        <w:t>Dichrostachys</w:t>
      </w:r>
      <w:proofErr w:type="spellEnd"/>
      <w:r w:rsidRPr="00DB223A">
        <w:rPr>
          <w:rFonts w:cs="Times New Roman"/>
          <w:sz w:val="24"/>
          <w:szCs w:val="24"/>
        </w:rPr>
        <w:t xml:space="preserve"> cinerea fruits do not require detoxification for goat nutrition: In </w:t>
      </w:r>
      <w:proofErr w:type="spellStart"/>
      <w:r w:rsidRPr="00DB223A">
        <w:rPr>
          <w:rFonts w:cs="Times New Roman"/>
          <w:sz w:val="24"/>
          <w:szCs w:val="24"/>
        </w:rPr>
        <w:t>sacco</w:t>
      </w:r>
      <w:proofErr w:type="spellEnd"/>
      <w:r w:rsidRPr="00DB223A">
        <w:rPr>
          <w:rFonts w:cs="Times New Roman"/>
          <w:sz w:val="24"/>
          <w:szCs w:val="24"/>
        </w:rPr>
        <w:t xml:space="preserve"> and in vivo evaluations. </w:t>
      </w:r>
      <w:r w:rsidRPr="00DB223A">
        <w:rPr>
          <w:rFonts w:cs="Times New Roman"/>
          <w:i/>
          <w:sz w:val="24"/>
          <w:szCs w:val="24"/>
        </w:rPr>
        <w:t>Livestock Production Science, 90</w:t>
      </w:r>
      <w:r w:rsidRPr="00DB223A">
        <w:rPr>
          <w:rFonts w:cs="Times New Roman"/>
          <w:sz w:val="24"/>
          <w:szCs w:val="24"/>
        </w:rPr>
        <w:t>(2–3), 135–144. https://doi.org/10.1016/j.livprodsci.2004.03.006</w:t>
      </w:r>
    </w:p>
    <w:p w14:paraId="572D52C8"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Mueller-Harvey, I., Bee, G., Dohme-Meier, F., Hoste, H., </w:t>
      </w:r>
      <w:proofErr w:type="spellStart"/>
      <w:r w:rsidRPr="00DB223A">
        <w:rPr>
          <w:rFonts w:cs="Times New Roman"/>
          <w:sz w:val="24"/>
          <w:szCs w:val="24"/>
        </w:rPr>
        <w:t>Karonen</w:t>
      </w:r>
      <w:proofErr w:type="spellEnd"/>
      <w:r w:rsidRPr="00DB223A">
        <w:rPr>
          <w:rFonts w:cs="Times New Roman"/>
          <w:sz w:val="24"/>
          <w:szCs w:val="24"/>
        </w:rPr>
        <w:t xml:space="preserve">, M., </w:t>
      </w:r>
      <w:proofErr w:type="spellStart"/>
      <w:r w:rsidRPr="00DB223A">
        <w:rPr>
          <w:rFonts w:cs="Times New Roman"/>
          <w:sz w:val="24"/>
          <w:szCs w:val="24"/>
        </w:rPr>
        <w:t>Kölliker</w:t>
      </w:r>
      <w:proofErr w:type="spellEnd"/>
      <w:r w:rsidRPr="00DB223A">
        <w:rPr>
          <w:rFonts w:cs="Times New Roman"/>
          <w:sz w:val="24"/>
          <w:szCs w:val="24"/>
        </w:rPr>
        <w:t xml:space="preserve">, R., </w:t>
      </w:r>
      <w:proofErr w:type="spellStart"/>
      <w:r w:rsidRPr="00DB223A">
        <w:rPr>
          <w:rFonts w:cs="Times New Roman"/>
          <w:sz w:val="24"/>
          <w:szCs w:val="24"/>
        </w:rPr>
        <w:t>Lüscher</w:t>
      </w:r>
      <w:proofErr w:type="spellEnd"/>
      <w:r w:rsidRPr="00DB223A">
        <w:rPr>
          <w:rFonts w:cs="Times New Roman"/>
          <w:sz w:val="24"/>
          <w:szCs w:val="24"/>
        </w:rPr>
        <w:t xml:space="preserve">, A., </w:t>
      </w:r>
      <w:proofErr w:type="spellStart"/>
      <w:r w:rsidRPr="00DB223A">
        <w:rPr>
          <w:rFonts w:cs="Times New Roman"/>
          <w:sz w:val="24"/>
          <w:szCs w:val="24"/>
        </w:rPr>
        <w:t>Niderkorn</w:t>
      </w:r>
      <w:proofErr w:type="spellEnd"/>
      <w:r w:rsidRPr="00DB223A">
        <w:rPr>
          <w:rFonts w:cs="Times New Roman"/>
          <w:sz w:val="24"/>
          <w:szCs w:val="24"/>
        </w:rPr>
        <w:t xml:space="preserve">, V., Pellikaan, W. F., Salminen, J.-P., Skøt, L., Smith, L. M. J., Thamsborg, S. M., </w:t>
      </w:r>
      <w:proofErr w:type="spellStart"/>
      <w:r w:rsidRPr="00DB223A">
        <w:rPr>
          <w:rFonts w:cs="Times New Roman"/>
          <w:sz w:val="24"/>
          <w:szCs w:val="24"/>
        </w:rPr>
        <w:t>Totterdell</w:t>
      </w:r>
      <w:proofErr w:type="spellEnd"/>
      <w:r w:rsidRPr="00DB223A">
        <w:rPr>
          <w:rFonts w:cs="Times New Roman"/>
          <w:sz w:val="24"/>
          <w:szCs w:val="24"/>
        </w:rPr>
        <w:t xml:space="preserve">, P., Wilkinson, I., Williams, A. R., </w:t>
      </w:r>
      <w:proofErr w:type="spellStart"/>
      <w:r w:rsidRPr="00DB223A">
        <w:rPr>
          <w:rFonts w:cs="Times New Roman"/>
          <w:sz w:val="24"/>
          <w:szCs w:val="24"/>
        </w:rPr>
        <w:t>Azuhnwi</w:t>
      </w:r>
      <w:proofErr w:type="spellEnd"/>
      <w:r w:rsidRPr="00DB223A">
        <w:rPr>
          <w:rFonts w:cs="Times New Roman"/>
          <w:sz w:val="24"/>
          <w:szCs w:val="24"/>
        </w:rPr>
        <w:t xml:space="preserve">, B. N., Baert, N., Brinkhaus, A. G., . . . Waghorn, G. C. (2019). Benefits of condensed tannins in forage legumes fed to ruminants: Importance of structure, concentration, and diet composition. </w:t>
      </w:r>
      <w:r w:rsidRPr="00DB223A">
        <w:rPr>
          <w:rFonts w:cs="Times New Roman"/>
          <w:i/>
          <w:sz w:val="24"/>
          <w:szCs w:val="24"/>
        </w:rPr>
        <w:t>Crop Science, 59</w:t>
      </w:r>
      <w:r w:rsidRPr="00DB223A">
        <w:rPr>
          <w:rFonts w:cs="Times New Roman"/>
          <w:sz w:val="24"/>
          <w:szCs w:val="24"/>
        </w:rPr>
        <w:t>(3), 861–885. https://doi.org/10.2135/cropsci2017.06.0369</w:t>
      </w:r>
    </w:p>
    <w:p w14:paraId="00CDB873" w14:textId="77777777" w:rsidR="00EA6970" w:rsidRPr="00DB223A" w:rsidRDefault="00D71D37" w:rsidP="004F3DBA">
      <w:pPr>
        <w:keepLines/>
        <w:spacing w:after="140" w:line="360" w:lineRule="auto"/>
        <w:ind w:left="720" w:hanging="720"/>
        <w:rPr>
          <w:rFonts w:cs="Times New Roman"/>
          <w:sz w:val="24"/>
          <w:szCs w:val="24"/>
        </w:rPr>
      </w:pPr>
      <w:proofErr w:type="spellStart"/>
      <w:r w:rsidRPr="00DB223A">
        <w:rPr>
          <w:rFonts w:cs="Times New Roman"/>
          <w:sz w:val="24"/>
          <w:szCs w:val="24"/>
        </w:rPr>
        <w:t>Orounladji</w:t>
      </w:r>
      <w:proofErr w:type="spellEnd"/>
      <w:r w:rsidRPr="00DB223A">
        <w:rPr>
          <w:rFonts w:cs="Times New Roman"/>
          <w:sz w:val="24"/>
          <w:szCs w:val="24"/>
        </w:rPr>
        <w:t xml:space="preserve">, B. M., Ouattara, S. D., Pare, P., Sanogo, S., Dabire, D., Sib, O., </w:t>
      </w:r>
      <w:r w:rsidR="004F3DBA" w:rsidRPr="00DB223A">
        <w:rPr>
          <w:rFonts w:cs="Times New Roman"/>
          <w:sz w:val="24"/>
          <w:szCs w:val="24"/>
        </w:rPr>
        <w:t>and</w:t>
      </w:r>
      <w:r w:rsidRPr="00DB223A">
        <w:rPr>
          <w:rFonts w:cs="Times New Roman"/>
          <w:sz w:val="24"/>
          <w:szCs w:val="24"/>
        </w:rPr>
        <w:t xml:space="preserve"> </w:t>
      </w:r>
      <w:proofErr w:type="spellStart"/>
      <w:r w:rsidRPr="00DB223A">
        <w:rPr>
          <w:rFonts w:cs="Times New Roman"/>
          <w:sz w:val="24"/>
          <w:szCs w:val="24"/>
        </w:rPr>
        <w:t>Assouma</w:t>
      </w:r>
      <w:proofErr w:type="spellEnd"/>
      <w:r w:rsidRPr="00DB223A">
        <w:rPr>
          <w:rFonts w:cs="Times New Roman"/>
          <w:sz w:val="24"/>
          <w:szCs w:val="24"/>
        </w:rPr>
        <w:t xml:space="preserve">, M. H. (2025). Vegetable crop residues: An opportunity to bridge dry-season feed gaps in sub-Saharan Africa. </w:t>
      </w:r>
      <w:r w:rsidRPr="00DB223A">
        <w:rPr>
          <w:rFonts w:cs="Times New Roman"/>
          <w:i/>
          <w:sz w:val="24"/>
          <w:szCs w:val="24"/>
        </w:rPr>
        <w:t>Frontiers in Animal Science, 6</w:t>
      </w:r>
      <w:r w:rsidRPr="00DB223A">
        <w:rPr>
          <w:rFonts w:cs="Times New Roman"/>
          <w:sz w:val="24"/>
          <w:szCs w:val="24"/>
        </w:rPr>
        <w:t>, Article 1718268. https://doi.org/10.3389/fanim.2025.1718268</w:t>
      </w:r>
    </w:p>
    <w:p w14:paraId="6F29B591"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Smith, T., Mlambo, V., </w:t>
      </w:r>
      <w:proofErr w:type="spellStart"/>
      <w:r w:rsidRPr="00DB223A">
        <w:rPr>
          <w:rFonts w:cs="Times New Roman"/>
          <w:sz w:val="24"/>
          <w:szCs w:val="24"/>
        </w:rPr>
        <w:t>Sikosana</w:t>
      </w:r>
      <w:proofErr w:type="spellEnd"/>
      <w:r w:rsidRPr="00DB223A">
        <w:rPr>
          <w:rFonts w:cs="Times New Roman"/>
          <w:sz w:val="24"/>
          <w:szCs w:val="24"/>
        </w:rPr>
        <w:t xml:space="preserve">, J. L. N., Maphosa, V., Mueller-Harvey, I., </w:t>
      </w:r>
      <w:r w:rsidR="004F3DBA" w:rsidRPr="00DB223A">
        <w:rPr>
          <w:rFonts w:cs="Times New Roman"/>
          <w:sz w:val="24"/>
          <w:szCs w:val="24"/>
        </w:rPr>
        <w:t>and</w:t>
      </w:r>
      <w:r w:rsidRPr="00DB223A">
        <w:rPr>
          <w:rFonts w:cs="Times New Roman"/>
          <w:sz w:val="24"/>
          <w:szCs w:val="24"/>
        </w:rPr>
        <w:t xml:space="preserve"> Owen, E. (2005). Dichrostachys cinerea and Acacia nilotica fruits as dry season feed supplements for goats in a semi-arid environment: Summary of a DFID funded project in Zimbabwe. </w:t>
      </w:r>
      <w:r w:rsidRPr="00DB223A">
        <w:rPr>
          <w:rFonts w:cs="Times New Roman"/>
          <w:i/>
          <w:sz w:val="24"/>
          <w:szCs w:val="24"/>
        </w:rPr>
        <w:t>Animal Feed Science and Technology, 122</w:t>
      </w:r>
      <w:r w:rsidRPr="00DB223A">
        <w:rPr>
          <w:rFonts w:cs="Times New Roman"/>
          <w:sz w:val="24"/>
          <w:szCs w:val="24"/>
        </w:rPr>
        <w:t>(1–2), 149–157. https://doi.org/10.1016/j.anifeedsci.2005.04.004</w:t>
      </w:r>
    </w:p>
    <w:p w14:paraId="2E2778CF"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Tiemann, T. T., Lascano, C. E., Wettstein, H.-R., Mayer, A. C., Kreuzer, M., </w:t>
      </w:r>
      <w:r w:rsidR="004F3DBA" w:rsidRPr="00DB223A">
        <w:rPr>
          <w:rFonts w:cs="Times New Roman"/>
          <w:sz w:val="24"/>
          <w:szCs w:val="24"/>
        </w:rPr>
        <w:t>and</w:t>
      </w:r>
      <w:r w:rsidRPr="00DB223A">
        <w:rPr>
          <w:rFonts w:cs="Times New Roman"/>
          <w:sz w:val="24"/>
          <w:szCs w:val="24"/>
        </w:rPr>
        <w:t xml:space="preserve"> Hess, H. D. (2008). Effect of the tropical tannin-rich shrub legumes Calliandra </w:t>
      </w:r>
      <w:proofErr w:type="spellStart"/>
      <w:r w:rsidRPr="00DB223A">
        <w:rPr>
          <w:rFonts w:cs="Times New Roman"/>
          <w:sz w:val="24"/>
          <w:szCs w:val="24"/>
        </w:rPr>
        <w:t>calothyrsus</w:t>
      </w:r>
      <w:proofErr w:type="spellEnd"/>
      <w:r w:rsidRPr="00DB223A">
        <w:rPr>
          <w:rFonts w:cs="Times New Roman"/>
          <w:sz w:val="24"/>
          <w:szCs w:val="24"/>
        </w:rPr>
        <w:t xml:space="preserve"> and </w:t>
      </w:r>
      <w:proofErr w:type="spellStart"/>
      <w:r w:rsidRPr="00DB223A">
        <w:rPr>
          <w:rFonts w:cs="Times New Roman"/>
          <w:sz w:val="24"/>
          <w:szCs w:val="24"/>
        </w:rPr>
        <w:t>Flemingia</w:t>
      </w:r>
      <w:proofErr w:type="spellEnd"/>
      <w:r w:rsidRPr="00DB223A">
        <w:rPr>
          <w:rFonts w:cs="Times New Roman"/>
          <w:sz w:val="24"/>
          <w:szCs w:val="24"/>
        </w:rPr>
        <w:t xml:space="preserve"> macrophylla on methane emission and nitrogen and energy balance in growing lambs. </w:t>
      </w:r>
      <w:r w:rsidRPr="00DB223A">
        <w:rPr>
          <w:rFonts w:cs="Times New Roman"/>
          <w:i/>
          <w:sz w:val="24"/>
          <w:szCs w:val="24"/>
        </w:rPr>
        <w:t>Animal, 2</w:t>
      </w:r>
      <w:r w:rsidRPr="00DB223A">
        <w:rPr>
          <w:rFonts w:cs="Times New Roman"/>
          <w:sz w:val="24"/>
          <w:szCs w:val="24"/>
        </w:rPr>
        <w:t>(5), 790–799. https://doi.org/10.1017/S1751731108001791</w:t>
      </w:r>
    </w:p>
    <w:p w14:paraId="3B526941" w14:textId="77777777" w:rsidR="00EA6970" w:rsidRPr="00DB223A" w:rsidRDefault="00D71D37" w:rsidP="004F3DBA">
      <w:pPr>
        <w:keepLines/>
        <w:spacing w:after="140" w:line="360" w:lineRule="auto"/>
        <w:ind w:left="720" w:hanging="720"/>
        <w:rPr>
          <w:rFonts w:cs="Times New Roman"/>
          <w:sz w:val="24"/>
          <w:szCs w:val="24"/>
        </w:rPr>
      </w:pPr>
      <w:r w:rsidRPr="00DB223A">
        <w:rPr>
          <w:rFonts w:cs="Times New Roman"/>
          <w:sz w:val="24"/>
          <w:szCs w:val="24"/>
        </w:rPr>
        <w:t xml:space="preserve">Van Soest, P. J., Robertson, J. B., </w:t>
      </w:r>
      <w:r w:rsidR="004F3DBA" w:rsidRPr="00DB223A">
        <w:rPr>
          <w:rFonts w:cs="Times New Roman"/>
          <w:sz w:val="24"/>
          <w:szCs w:val="24"/>
        </w:rPr>
        <w:t>and</w:t>
      </w:r>
      <w:r w:rsidRPr="00DB223A">
        <w:rPr>
          <w:rFonts w:cs="Times New Roman"/>
          <w:sz w:val="24"/>
          <w:szCs w:val="24"/>
        </w:rPr>
        <w:t xml:space="preserve"> Lewis, B. A. (1991). Methods for dietary fiber, neutral detergent fiber, and </w:t>
      </w:r>
      <w:proofErr w:type="spellStart"/>
      <w:r w:rsidRPr="00DB223A">
        <w:rPr>
          <w:rFonts w:cs="Times New Roman"/>
          <w:sz w:val="24"/>
          <w:szCs w:val="24"/>
        </w:rPr>
        <w:t>nonstarch</w:t>
      </w:r>
      <w:proofErr w:type="spellEnd"/>
      <w:r w:rsidRPr="00DB223A">
        <w:rPr>
          <w:rFonts w:cs="Times New Roman"/>
          <w:sz w:val="24"/>
          <w:szCs w:val="24"/>
        </w:rPr>
        <w:t xml:space="preserve"> polysaccharides in relation to animal nutrition. </w:t>
      </w:r>
      <w:r w:rsidRPr="00DB223A">
        <w:rPr>
          <w:rFonts w:cs="Times New Roman"/>
          <w:i/>
          <w:sz w:val="24"/>
          <w:szCs w:val="24"/>
        </w:rPr>
        <w:t>Journal of Dairy Science, 74</w:t>
      </w:r>
      <w:r w:rsidRPr="00DB223A">
        <w:rPr>
          <w:rFonts w:cs="Times New Roman"/>
          <w:sz w:val="24"/>
          <w:szCs w:val="24"/>
        </w:rPr>
        <w:t>(10), 3583–3597. https://doi.org/10.3168/jds.S0022-0302(91)78551-2</w:t>
      </w:r>
    </w:p>
    <w:sectPr w:rsidR="00EA6970" w:rsidRPr="00DB223A" w:rsidSect="00C1046C">
      <w:headerReference w:type="even" r:id="rId8"/>
      <w:headerReference w:type="default" r:id="rId9"/>
      <w:footerReference w:type="even" r:id="rId10"/>
      <w:footerReference w:type="default" r:id="rId11"/>
      <w:headerReference w:type="first" r:id="rId12"/>
      <w:footerReference w:type="first" r:id="rId13"/>
      <w:pgSz w:w="12240" w:h="15840"/>
      <w:pgMar w:top="993" w:right="1224" w:bottom="851"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1221A" w14:textId="77777777" w:rsidR="00FF4A65" w:rsidRDefault="00FF4A65">
      <w:pPr>
        <w:spacing w:after="0" w:line="240" w:lineRule="auto"/>
      </w:pPr>
      <w:r>
        <w:separator/>
      </w:r>
    </w:p>
  </w:endnote>
  <w:endnote w:type="continuationSeparator" w:id="0">
    <w:p w14:paraId="7AA7BB76" w14:textId="77777777" w:rsidR="00FF4A65" w:rsidRDefault="00FF4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A6A0" w14:textId="77777777" w:rsidR="00C1046C" w:rsidRDefault="00C104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CA2CF" w14:textId="77777777" w:rsidR="00F70986" w:rsidRDefault="00F70986">
    <w:pPr>
      <w:pStyle w:val="Footer"/>
      <w:jc w:val="center"/>
    </w:pPr>
    <w:r>
      <w:rPr>
        <w:sz w:val="18"/>
      </w:rPr>
      <w:fldChar w:fldCharType="begin"/>
    </w:r>
    <w:r>
      <w:rPr>
        <w:sz w:val="18"/>
      </w:rPr>
      <w:instrText>PAGE</w:instrText>
    </w:r>
    <w:r>
      <w:rPr>
        <w:sz w:val="18"/>
      </w:rPr>
      <w:fldChar w:fldCharType="separate"/>
    </w:r>
    <w:r w:rsidR="00A54CFF">
      <w:rPr>
        <w:noProof/>
        <w:sz w:val="18"/>
      </w:rPr>
      <w:t>3</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186D" w14:textId="77777777" w:rsidR="00C1046C" w:rsidRDefault="00C10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54079" w14:textId="77777777" w:rsidR="00FF4A65" w:rsidRDefault="00FF4A65">
      <w:pPr>
        <w:spacing w:after="0" w:line="240" w:lineRule="auto"/>
      </w:pPr>
      <w:r>
        <w:separator/>
      </w:r>
    </w:p>
  </w:footnote>
  <w:footnote w:type="continuationSeparator" w:id="0">
    <w:p w14:paraId="27CB7FD8" w14:textId="77777777" w:rsidR="00FF4A65" w:rsidRDefault="00FF4A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BB8A" w14:textId="42D201FB" w:rsidR="00C1046C" w:rsidRDefault="00C1046C">
    <w:pPr>
      <w:pStyle w:val="Header"/>
    </w:pPr>
    <w:r>
      <w:rPr>
        <w:noProof/>
      </w:rPr>
      <w:pict w14:anchorId="683E8D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8961454" o:spid="_x0000_s1026" type="#_x0000_t136" style="position:absolute;left:0;text-align:left;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3FAD8" w14:textId="243FE355" w:rsidR="00C1046C" w:rsidRDefault="00C1046C">
    <w:pPr>
      <w:pStyle w:val="Header"/>
    </w:pPr>
    <w:r>
      <w:rPr>
        <w:noProof/>
      </w:rPr>
      <w:pict w14:anchorId="703B0B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8961455" o:spid="_x0000_s1027" type="#_x0000_t136" style="position:absolute;left:0;text-align:left;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43D05" w14:textId="5B4E7629" w:rsidR="00C1046C" w:rsidRDefault="00C1046C">
    <w:pPr>
      <w:pStyle w:val="Header"/>
    </w:pPr>
    <w:r>
      <w:rPr>
        <w:noProof/>
      </w:rPr>
      <w:pict w14:anchorId="005516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8961453" o:spid="_x0000_s1025" type="#_x0000_t136" style="position:absolute;left:0;text-align:left;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2815098">
    <w:abstractNumId w:val="8"/>
  </w:num>
  <w:num w:numId="2" w16cid:durableId="1712025106">
    <w:abstractNumId w:val="6"/>
  </w:num>
  <w:num w:numId="3" w16cid:durableId="1302538354">
    <w:abstractNumId w:val="5"/>
  </w:num>
  <w:num w:numId="4" w16cid:durableId="31005157">
    <w:abstractNumId w:val="4"/>
  </w:num>
  <w:num w:numId="5" w16cid:durableId="2141074409">
    <w:abstractNumId w:val="7"/>
  </w:num>
  <w:num w:numId="6" w16cid:durableId="1691951831">
    <w:abstractNumId w:val="3"/>
  </w:num>
  <w:num w:numId="7" w16cid:durableId="997809358">
    <w:abstractNumId w:val="2"/>
  </w:num>
  <w:num w:numId="8" w16cid:durableId="2029092301">
    <w:abstractNumId w:val="1"/>
  </w:num>
  <w:num w:numId="9" w16cid:durableId="1116220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34D7"/>
    <w:rsid w:val="00034616"/>
    <w:rsid w:val="0006063C"/>
    <w:rsid w:val="000979F8"/>
    <w:rsid w:val="0010468B"/>
    <w:rsid w:val="0015074B"/>
    <w:rsid w:val="001C6C78"/>
    <w:rsid w:val="001D7708"/>
    <w:rsid w:val="0023154D"/>
    <w:rsid w:val="00237772"/>
    <w:rsid w:val="00272BBF"/>
    <w:rsid w:val="0029639D"/>
    <w:rsid w:val="002A79D6"/>
    <w:rsid w:val="002E73D5"/>
    <w:rsid w:val="0032155E"/>
    <w:rsid w:val="00326F90"/>
    <w:rsid w:val="0036128D"/>
    <w:rsid w:val="003F6B5B"/>
    <w:rsid w:val="004119EC"/>
    <w:rsid w:val="0044202E"/>
    <w:rsid w:val="004B109E"/>
    <w:rsid w:val="004C6A56"/>
    <w:rsid w:val="004F3DBA"/>
    <w:rsid w:val="005426C5"/>
    <w:rsid w:val="005779D2"/>
    <w:rsid w:val="005F12FC"/>
    <w:rsid w:val="00631BE7"/>
    <w:rsid w:val="006475D2"/>
    <w:rsid w:val="00660CAC"/>
    <w:rsid w:val="00677723"/>
    <w:rsid w:val="006D01C3"/>
    <w:rsid w:val="006D1273"/>
    <w:rsid w:val="00752508"/>
    <w:rsid w:val="00790027"/>
    <w:rsid w:val="007B6E6F"/>
    <w:rsid w:val="007C016D"/>
    <w:rsid w:val="0085115E"/>
    <w:rsid w:val="00861F94"/>
    <w:rsid w:val="00885724"/>
    <w:rsid w:val="008E771C"/>
    <w:rsid w:val="00934945"/>
    <w:rsid w:val="00945CC3"/>
    <w:rsid w:val="009A22F1"/>
    <w:rsid w:val="009C1D7D"/>
    <w:rsid w:val="00A22714"/>
    <w:rsid w:val="00A417DF"/>
    <w:rsid w:val="00A54CFF"/>
    <w:rsid w:val="00AA1D8D"/>
    <w:rsid w:val="00AD235A"/>
    <w:rsid w:val="00B02541"/>
    <w:rsid w:val="00B47730"/>
    <w:rsid w:val="00B721D7"/>
    <w:rsid w:val="00BC709C"/>
    <w:rsid w:val="00C1046C"/>
    <w:rsid w:val="00C10627"/>
    <w:rsid w:val="00C84F98"/>
    <w:rsid w:val="00CB0664"/>
    <w:rsid w:val="00CD457E"/>
    <w:rsid w:val="00D0426A"/>
    <w:rsid w:val="00D27B6C"/>
    <w:rsid w:val="00D71D37"/>
    <w:rsid w:val="00DA7AEB"/>
    <w:rsid w:val="00DB223A"/>
    <w:rsid w:val="00DE34EE"/>
    <w:rsid w:val="00E23B26"/>
    <w:rsid w:val="00E2520A"/>
    <w:rsid w:val="00E60C03"/>
    <w:rsid w:val="00E71694"/>
    <w:rsid w:val="00EA43A3"/>
    <w:rsid w:val="00EA6970"/>
    <w:rsid w:val="00EB6693"/>
    <w:rsid w:val="00F70986"/>
    <w:rsid w:val="00FA5352"/>
    <w:rsid w:val="00FC693F"/>
    <w:rsid w:val="00FF4A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6579CB"/>
  <w14:defaultImageDpi w14:val="300"/>
  <w15:docId w15:val="{849A2396-FA09-49FB-926C-9835F7955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200" w:after="100"/>
      <w:jc w:val="left"/>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00"/>
      <w:jc w:val="left"/>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hAnsi="Times New Roman"/>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jc w:val="center"/>
    </w:pPr>
    <w:rPr>
      <w:rFonts w:asciiTheme="majorHAnsi" w:eastAsiaTheme="majorEastAsia" w:hAnsiTheme="majorHAnsi" w:cstheme="majorBidi"/>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EB6693"/>
    <w:pPr>
      <w:spacing w:before="100" w:beforeAutospacing="1" w:after="100" w:afterAutospacing="1" w:line="240" w:lineRule="auto"/>
      <w:jc w:val="left"/>
    </w:pPr>
    <w:rPr>
      <w:rFonts w:eastAsia="Times New Roman" w:cs="Times New Roman"/>
      <w:sz w:val="24"/>
      <w:szCs w:val="24"/>
    </w:rPr>
  </w:style>
  <w:style w:type="paragraph" w:styleId="NormalWeb">
    <w:name w:val="Normal (Web)"/>
    <w:basedOn w:val="Normal"/>
    <w:uiPriority w:val="99"/>
    <w:semiHidden/>
    <w:unhideWhenUsed/>
    <w:rsid w:val="00EB6693"/>
    <w:pPr>
      <w:spacing w:before="100" w:beforeAutospacing="1" w:after="100" w:afterAutospacing="1" w:line="240" w:lineRule="auto"/>
      <w:jc w:val="left"/>
    </w:pPr>
    <w:rPr>
      <w:rFonts w:eastAsia="Times New Roman" w:cs="Times New Roman"/>
      <w:sz w:val="24"/>
      <w:szCs w:val="24"/>
    </w:rPr>
  </w:style>
  <w:style w:type="paragraph" w:customStyle="1" w:styleId="ds-markdown-paragraph">
    <w:name w:val="ds-markdown-paragraph"/>
    <w:basedOn w:val="Normal"/>
    <w:rsid w:val="00A22714"/>
    <w:pPr>
      <w:spacing w:before="100" w:beforeAutospacing="1" w:after="100" w:afterAutospacing="1" w:line="240" w:lineRule="auto"/>
      <w:jc w:val="left"/>
    </w:pPr>
    <w:rPr>
      <w:rFonts w:eastAsia="Times New Roman" w:cs="Times New Roman"/>
      <w:sz w:val="24"/>
      <w:szCs w:val="24"/>
    </w:rPr>
  </w:style>
  <w:style w:type="character" w:styleId="Hyperlink">
    <w:name w:val="Hyperlink"/>
    <w:basedOn w:val="DefaultParagraphFont"/>
    <w:uiPriority w:val="99"/>
    <w:unhideWhenUsed/>
    <w:rsid w:val="00D0426A"/>
    <w:rPr>
      <w:color w:val="0000FF"/>
      <w:u w:val="single"/>
    </w:rPr>
  </w:style>
  <w:style w:type="character" w:customStyle="1" w:styleId="katex">
    <w:name w:val="katex"/>
    <w:basedOn w:val="DefaultParagraphFont"/>
    <w:rsid w:val="0023154D"/>
  </w:style>
  <w:style w:type="character" w:styleId="LineNumber">
    <w:name w:val="line number"/>
    <w:basedOn w:val="DefaultParagraphFont"/>
    <w:uiPriority w:val="99"/>
    <w:semiHidden/>
    <w:unhideWhenUsed/>
    <w:rsid w:val="00A54CFF"/>
  </w:style>
  <w:style w:type="character" w:styleId="UnresolvedMention">
    <w:name w:val="Unresolved Mention"/>
    <w:basedOn w:val="DefaultParagraphFont"/>
    <w:uiPriority w:val="99"/>
    <w:semiHidden/>
    <w:unhideWhenUsed/>
    <w:rsid w:val="00861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989">
      <w:bodyDiv w:val="1"/>
      <w:marLeft w:val="0"/>
      <w:marRight w:val="0"/>
      <w:marTop w:val="0"/>
      <w:marBottom w:val="0"/>
      <w:divBdr>
        <w:top w:val="none" w:sz="0" w:space="0" w:color="auto"/>
        <w:left w:val="none" w:sz="0" w:space="0" w:color="auto"/>
        <w:bottom w:val="none" w:sz="0" w:space="0" w:color="auto"/>
        <w:right w:val="none" w:sz="0" w:space="0" w:color="auto"/>
      </w:divBdr>
    </w:div>
    <w:div w:id="48263907">
      <w:bodyDiv w:val="1"/>
      <w:marLeft w:val="0"/>
      <w:marRight w:val="0"/>
      <w:marTop w:val="0"/>
      <w:marBottom w:val="0"/>
      <w:divBdr>
        <w:top w:val="none" w:sz="0" w:space="0" w:color="auto"/>
        <w:left w:val="none" w:sz="0" w:space="0" w:color="auto"/>
        <w:bottom w:val="none" w:sz="0" w:space="0" w:color="auto"/>
        <w:right w:val="none" w:sz="0" w:space="0" w:color="auto"/>
      </w:divBdr>
    </w:div>
    <w:div w:id="210196503">
      <w:bodyDiv w:val="1"/>
      <w:marLeft w:val="0"/>
      <w:marRight w:val="0"/>
      <w:marTop w:val="0"/>
      <w:marBottom w:val="0"/>
      <w:divBdr>
        <w:top w:val="none" w:sz="0" w:space="0" w:color="auto"/>
        <w:left w:val="none" w:sz="0" w:space="0" w:color="auto"/>
        <w:bottom w:val="none" w:sz="0" w:space="0" w:color="auto"/>
        <w:right w:val="none" w:sz="0" w:space="0" w:color="auto"/>
      </w:divBdr>
    </w:div>
    <w:div w:id="216937069">
      <w:bodyDiv w:val="1"/>
      <w:marLeft w:val="0"/>
      <w:marRight w:val="0"/>
      <w:marTop w:val="0"/>
      <w:marBottom w:val="0"/>
      <w:divBdr>
        <w:top w:val="none" w:sz="0" w:space="0" w:color="auto"/>
        <w:left w:val="none" w:sz="0" w:space="0" w:color="auto"/>
        <w:bottom w:val="none" w:sz="0" w:space="0" w:color="auto"/>
        <w:right w:val="none" w:sz="0" w:space="0" w:color="auto"/>
      </w:divBdr>
    </w:div>
    <w:div w:id="248539768">
      <w:bodyDiv w:val="1"/>
      <w:marLeft w:val="0"/>
      <w:marRight w:val="0"/>
      <w:marTop w:val="0"/>
      <w:marBottom w:val="0"/>
      <w:divBdr>
        <w:top w:val="none" w:sz="0" w:space="0" w:color="auto"/>
        <w:left w:val="none" w:sz="0" w:space="0" w:color="auto"/>
        <w:bottom w:val="none" w:sz="0" w:space="0" w:color="auto"/>
        <w:right w:val="none" w:sz="0" w:space="0" w:color="auto"/>
      </w:divBdr>
    </w:div>
    <w:div w:id="294146776">
      <w:bodyDiv w:val="1"/>
      <w:marLeft w:val="0"/>
      <w:marRight w:val="0"/>
      <w:marTop w:val="0"/>
      <w:marBottom w:val="0"/>
      <w:divBdr>
        <w:top w:val="none" w:sz="0" w:space="0" w:color="auto"/>
        <w:left w:val="none" w:sz="0" w:space="0" w:color="auto"/>
        <w:bottom w:val="none" w:sz="0" w:space="0" w:color="auto"/>
        <w:right w:val="none" w:sz="0" w:space="0" w:color="auto"/>
      </w:divBdr>
      <w:divsChild>
        <w:div w:id="757335654">
          <w:marLeft w:val="0"/>
          <w:marRight w:val="0"/>
          <w:marTop w:val="0"/>
          <w:marBottom w:val="0"/>
          <w:divBdr>
            <w:top w:val="none" w:sz="0" w:space="0" w:color="auto"/>
            <w:left w:val="none" w:sz="0" w:space="0" w:color="auto"/>
            <w:bottom w:val="none" w:sz="0" w:space="0" w:color="auto"/>
            <w:right w:val="none" w:sz="0" w:space="0" w:color="auto"/>
          </w:divBdr>
        </w:div>
      </w:divsChild>
    </w:div>
    <w:div w:id="417945604">
      <w:bodyDiv w:val="1"/>
      <w:marLeft w:val="0"/>
      <w:marRight w:val="0"/>
      <w:marTop w:val="0"/>
      <w:marBottom w:val="0"/>
      <w:divBdr>
        <w:top w:val="none" w:sz="0" w:space="0" w:color="auto"/>
        <w:left w:val="none" w:sz="0" w:space="0" w:color="auto"/>
        <w:bottom w:val="none" w:sz="0" w:space="0" w:color="auto"/>
        <w:right w:val="none" w:sz="0" w:space="0" w:color="auto"/>
      </w:divBdr>
    </w:div>
    <w:div w:id="450511668">
      <w:bodyDiv w:val="1"/>
      <w:marLeft w:val="0"/>
      <w:marRight w:val="0"/>
      <w:marTop w:val="0"/>
      <w:marBottom w:val="0"/>
      <w:divBdr>
        <w:top w:val="none" w:sz="0" w:space="0" w:color="auto"/>
        <w:left w:val="none" w:sz="0" w:space="0" w:color="auto"/>
        <w:bottom w:val="none" w:sz="0" w:space="0" w:color="auto"/>
        <w:right w:val="none" w:sz="0" w:space="0" w:color="auto"/>
      </w:divBdr>
    </w:div>
    <w:div w:id="495152413">
      <w:bodyDiv w:val="1"/>
      <w:marLeft w:val="0"/>
      <w:marRight w:val="0"/>
      <w:marTop w:val="0"/>
      <w:marBottom w:val="0"/>
      <w:divBdr>
        <w:top w:val="none" w:sz="0" w:space="0" w:color="auto"/>
        <w:left w:val="none" w:sz="0" w:space="0" w:color="auto"/>
        <w:bottom w:val="none" w:sz="0" w:space="0" w:color="auto"/>
        <w:right w:val="none" w:sz="0" w:space="0" w:color="auto"/>
      </w:divBdr>
    </w:div>
    <w:div w:id="515538695">
      <w:bodyDiv w:val="1"/>
      <w:marLeft w:val="0"/>
      <w:marRight w:val="0"/>
      <w:marTop w:val="0"/>
      <w:marBottom w:val="0"/>
      <w:divBdr>
        <w:top w:val="none" w:sz="0" w:space="0" w:color="auto"/>
        <w:left w:val="none" w:sz="0" w:space="0" w:color="auto"/>
        <w:bottom w:val="none" w:sz="0" w:space="0" w:color="auto"/>
        <w:right w:val="none" w:sz="0" w:space="0" w:color="auto"/>
      </w:divBdr>
    </w:div>
    <w:div w:id="701396012">
      <w:bodyDiv w:val="1"/>
      <w:marLeft w:val="0"/>
      <w:marRight w:val="0"/>
      <w:marTop w:val="0"/>
      <w:marBottom w:val="0"/>
      <w:divBdr>
        <w:top w:val="none" w:sz="0" w:space="0" w:color="auto"/>
        <w:left w:val="none" w:sz="0" w:space="0" w:color="auto"/>
        <w:bottom w:val="none" w:sz="0" w:space="0" w:color="auto"/>
        <w:right w:val="none" w:sz="0" w:space="0" w:color="auto"/>
      </w:divBdr>
    </w:div>
    <w:div w:id="807891774">
      <w:bodyDiv w:val="1"/>
      <w:marLeft w:val="0"/>
      <w:marRight w:val="0"/>
      <w:marTop w:val="0"/>
      <w:marBottom w:val="0"/>
      <w:divBdr>
        <w:top w:val="none" w:sz="0" w:space="0" w:color="auto"/>
        <w:left w:val="none" w:sz="0" w:space="0" w:color="auto"/>
        <w:bottom w:val="none" w:sz="0" w:space="0" w:color="auto"/>
        <w:right w:val="none" w:sz="0" w:space="0" w:color="auto"/>
      </w:divBdr>
    </w:div>
    <w:div w:id="1193032987">
      <w:bodyDiv w:val="1"/>
      <w:marLeft w:val="0"/>
      <w:marRight w:val="0"/>
      <w:marTop w:val="0"/>
      <w:marBottom w:val="0"/>
      <w:divBdr>
        <w:top w:val="none" w:sz="0" w:space="0" w:color="auto"/>
        <w:left w:val="none" w:sz="0" w:space="0" w:color="auto"/>
        <w:bottom w:val="none" w:sz="0" w:space="0" w:color="auto"/>
        <w:right w:val="none" w:sz="0" w:space="0" w:color="auto"/>
      </w:divBdr>
    </w:div>
    <w:div w:id="1381437958">
      <w:bodyDiv w:val="1"/>
      <w:marLeft w:val="0"/>
      <w:marRight w:val="0"/>
      <w:marTop w:val="0"/>
      <w:marBottom w:val="0"/>
      <w:divBdr>
        <w:top w:val="none" w:sz="0" w:space="0" w:color="auto"/>
        <w:left w:val="none" w:sz="0" w:space="0" w:color="auto"/>
        <w:bottom w:val="none" w:sz="0" w:space="0" w:color="auto"/>
        <w:right w:val="none" w:sz="0" w:space="0" w:color="auto"/>
      </w:divBdr>
    </w:div>
    <w:div w:id="1433281642">
      <w:bodyDiv w:val="1"/>
      <w:marLeft w:val="0"/>
      <w:marRight w:val="0"/>
      <w:marTop w:val="0"/>
      <w:marBottom w:val="0"/>
      <w:divBdr>
        <w:top w:val="none" w:sz="0" w:space="0" w:color="auto"/>
        <w:left w:val="none" w:sz="0" w:space="0" w:color="auto"/>
        <w:bottom w:val="none" w:sz="0" w:space="0" w:color="auto"/>
        <w:right w:val="none" w:sz="0" w:space="0" w:color="auto"/>
      </w:divBdr>
    </w:div>
    <w:div w:id="1454834252">
      <w:bodyDiv w:val="1"/>
      <w:marLeft w:val="0"/>
      <w:marRight w:val="0"/>
      <w:marTop w:val="0"/>
      <w:marBottom w:val="0"/>
      <w:divBdr>
        <w:top w:val="none" w:sz="0" w:space="0" w:color="auto"/>
        <w:left w:val="none" w:sz="0" w:space="0" w:color="auto"/>
        <w:bottom w:val="none" w:sz="0" w:space="0" w:color="auto"/>
        <w:right w:val="none" w:sz="0" w:space="0" w:color="auto"/>
      </w:divBdr>
      <w:divsChild>
        <w:div w:id="1697150259">
          <w:marLeft w:val="0"/>
          <w:marRight w:val="0"/>
          <w:marTop w:val="0"/>
          <w:marBottom w:val="0"/>
          <w:divBdr>
            <w:top w:val="none" w:sz="0" w:space="0" w:color="auto"/>
            <w:left w:val="none" w:sz="0" w:space="0" w:color="auto"/>
            <w:bottom w:val="none" w:sz="0" w:space="0" w:color="auto"/>
            <w:right w:val="none" w:sz="0" w:space="0" w:color="auto"/>
          </w:divBdr>
          <w:divsChild>
            <w:div w:id="1812012687">
              <w:marLeft w:val="0"/>
              <w:marRight w:val="0"/>
              <w:marTop w:val="0"/>
              <w:marBottom w:val="0"/>
              <w:divBdr>
                <w:top w:val="none" w:sz="0" w:space="0" w:color="auto"/>
                <w:left w:val="none" w:sz="0" w:space="0" w:color="auto"/>
                <w:bottom w:val="none" w:sz="0" w:space="0" w:color="auto"/>
                <w:right w:val="none" w:sz="0" w:space="0" w:color="auto"/>
              </w:divBdr>
              <w:divsChild>
                <w:div w:id="1001810080">
                  <w:marLeft w:val="0"/>
                  <w:marRight w:val="0"/>
                  <w:marTop w:val="0"/>
                  <w:marBottom w:val="0"/>
                  <w:divBdr>
                    <w:top w:val="none" w:sz="0" w:space="0" w:color="auto"/>
                    <w:left w:val="none" w:sz="0" w:space="0" w:color="auto"/>
                    <w:bottom w:val="none" w:sz="0" w:space="0" w:color="auto"/>
                    <w:right w:val="none" w:sz="0" w:space="0" w:color="auto"/>
                  </w:divBdr>
                  <w:divsChild>
                    <w:div w:id="1596743331">
                      <w:marLeft w:val="0"/>
                      <w:marRight w:val="0"/>
                      <w:marTop w:val="0"/>
                      <w:marBottom w:val="0"/>
                      <w:divBdr>
                        <w:top w:val="none" w:sz="0" w:space="0" w:color="auto"/>
                        <w:left w:val="none" w:sz="0" w:space="0" w:color="auto"/>
                        <w:bottom w:val="none" w:sz="0" w:space="0" w:color="auto"/>
                        <w:right w:val="none" w:sz="0" w:space="0" w:color="auto"/>
                      </w:divBdr>
                      <w:divsChild>
                        <w:div w:id="120802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317966">
          <w:marLeft w:val="0"/>
          <w:marRight w:val="0"/>
          <w:marTop w:val="0"/>
          <w:marBottom w:val="0"/>
          <w:divBdr>
            <w:top w:val="none" w:sz="0" w:space="0" w:color="auto"/>
            <w:left w:val="none" w:sz="0" w:space="0" w:color="auto"/>
            <w:bottom w:val="none" w:sz="0" w:space="0" w:color="auto"/>
            <w:right w:val="none" w:sz="0" w:space="0" w:color="auto"/>
          </w:divBdr>
          <w:divsChild>
            <w:div w:id="126776466">
              <w:marLeft w:val="0"/>
              <w:marRight w:val="0"/>
              <w:marTop w:val="0"/>
              <w:marBottom w:val="0"/>
              <w:divBdr>
                <w:top w:val="none" w:sz="0" w:space="0" w:color="auto"/>
                <w:left w:val="none" w:sz="0" w:space="0" w:color="auto"/>
                <w:bottom w:val="none" w:sz="0" w:space="0" w:color="auto"/>
                <w:right w:val="none" w:sz="0" w:space="0" w:color="auto"/>
              </w:divBdr>
              <w:divsChild>
                <w:div w:id="1562519962">
                  <w:marLeft w:val="0"/>
                  <w:marRight w:val="0"/>
                  <w:marTop w:val="0"/>
                  <w:marBottom w:val="0"/>
                  <w:divBdr>
                    <w:top w:val="none" w:sz="0" w:space="0" w:color="auto"/>
                    <w:left w:val="none" w:sz="0" w:space="0" w:color="auto"/>
                    <w:bottom w:val="none" w:sz="0" w:space="0" w:color="auto"/>
                    <w:right w:val="none" w:sz="0" w:space="0" w:color="auto"/>
                  </w:divBdr>
                  <w:divsChild>
                    <w:div w:id="1596287760">
                      <w:marLeft w:val="0"/>
                      <w:marRight w:val="0"/>
                      <w:marTop w:val="0"/>
                      <w:marBottom w:val="0"/>
                      <w:divBdr>
                        <w:top w:val="none" w:sz="0" w:space="0" w:color="auto"/>
                        <w:left w:val="none" w:sz="0" w:space="0" w:color="auto"/>
                        <w:bottom w:val="none" w:sz="0" w:space="0" w:color="auto"/>
                        <w:right w:val="none" w:sz="0" w:space="0" w:color="auto"/>
                      </w:divBdr>
                      <w:divsChild>
                        <w:div w:id="121446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904521">
      <w:bodyDiv w:val="1"/>
      <w:marLeft w:val="0"/>
      <w:marRight w:val="0"/>
      <w:marTop w:val="0"/>
      <w:marBottom w:val="0"/>
      <w:divBdr>
        <w:top w:val="none" w:sz="0" w:space="0" w:color="auto"/>
        <w:left w:val="none" w:sz="0" w:space="0" w:color="auto"/>
        <w:bottom w:val="none" w:sz="0" w:space="0" w:color="auto"/>
        <w:right w:val="none" w:sz="0" w:space="0" w:color="auto"/>
      </w:divBdr>
    </w:div>
    <w:div w:id="1580752237">
      <w:bodyDiv w:val="1"/>
      <w:marLeft w:val="0"/>
      <w:marRight w:val="0"/>
      <w:marTop w:val="0"/>
      <w:marBottom w:val="0"/>
      <w:divBdr>
        <w:top w:val="none" w:sz="0" w:space="0" w:color="auto"/>
        <w:left w:val="none" w:sz="0" w:space="0" w:color="auto"/>
        <w:bottom w:val="none" w:sz="0" w:space="0" w:color="auto"/>
        <w:right w:val="none" w:sz="0" w:space="0" w:color="auto"/>
      </w:divBdr>
      <w:divsChild>
        <w:div w:id="2092460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0320626">
      <w:bodyDiv w:val="1"/>
      <w:marLeft w:val="0"/>
      <w:marRight w:val="0"/>
      <w:marTop w:val="0"/>
      <w:marBottom w:val="0"/>
      <w:divBdr>
        <w:top w:val="none" w:sz="0" w:space="0" w:color="auto"/>
        <w:left w:val="none" w:sz="0" w:space="0" w:color="auto"/>
        <w:bottom w:val="none" w:sz="0" w:space="0" w:color="auto"/>
        <w:right w:val="none" w:sz="0" w:space="0" w:color="auto"/>
      </w:divBdr>
    </w:div>
    <w:div w:id="1931041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554F1-7C6D-4382-90C2-CFC562ED1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6285</Words>
  <Characters>35830</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Sickle Bush Pod Meal Supplementation in Blackhead Persian Sheep Mixed Model Revision</vt:lpstr>
    </vt:vector>
  </TitlesOfParts>
  <Manager/>
  <Company/>
  <LinksUpToDate>false</LinksUpToDate>
  <CharactersWithSpaces>42031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Sickle Bush Pod Meal Supplementation in Blackhead Persian Sheep Mixed Model Revision</dc:title>
  <dc:subject>Submission-ready revised manuscript</dc:subject>
  <dc:creator>Francisco Kanyinji and co-authors</dc:creator>
  <cp:keywords/>
  <dc:description>generated by python-docx</dc:description>
  <cp:lastModifiedBy>SDI 1084</cp:lastModifiedBy>
  <cp:revision>5</cp:revision>
  <dcterms:created xsi:type="dcterms:W3CDTF">2026-10-08T17:13:00Z</dcterms:created>
  <dcterms:modified xsi:type="dcterms:W3CDTF">2026-10-09T12:34:00Z</dcterms:modified>
  <cp:category/>
</cp:coreProperties>
</file>