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charts/chart1.xml" ContentType="application/vnd.openxmlformats-officedocument.drawingml.chart+xml"/>
  <Override PartName="/word/charts/chartEx3.xml" ContentType="application/vnd.ms-office.chartex+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4C1E7" w14:textId="0AB94127" w:rsidR="00161030" w:rsidRDefault="00161030" w:rsidP="0080034B">
      <w:pPr>
        <w:spacing w:after="160" w:line="360" w:lineRule="auto"/>
        <w:contextualSpacing/>
        <w:jc w:val="center"/>
        <w:rPr>
          <w:b/>
          <w:bCs/>
          <w:sz w:val="24"/>
          <w:szCs w:val="24"/>
        </w:rPr>
      </w:pPr>
      <w:r w:rsidRPr="00161030">
        <w:rPr>
          <w:b/>
          <w:bCs/>
          <w:sz w:val="24"/>
          <w:szCs w:val="24"/>
        </w:rPr>
        <w:t>Comparative Efficacy of Essential Oil and Antibiotic Supplementation on the Growth Performance of Broiler Chickens</w:t>
      </w:r>
    </w:p>
    <w:p w14:paraId="4ECAE873" w14:textId="77777777" w:rsidR="00B56425" w:rsidRDefault="00B56425" w:rsidP="00FF2715">
      <w:pPr>
        <w:spacing w:after="40"/>
        <w:rPr>
          <w:i/>
          <w:color w:val="000000" w:themeColor="text1"/>
          <w:sz w:val="18"/>
          <w:szCs w:val="18"/>
        </w:rPr>
      </w:pPr>
    </w:p>
    <w:p w14:paraId="40AE6E84" w14:textId="77777777" w:rsidR="001D522F" w:rsidRPr="00FF2715" w:rsidRDefault="001D522F" w:rsidP="00FF2715">
      <w:pPr>
        <w:spacing w:after="40"/>
        <w:rPr>
          <w:i/>
          <w:color w:val="000000" w:themeColor="text1"/>
          <w:sz w:val="18"/>
          <w:szCs w:val="18"/>
        </w:rPr>
      </w:pPr>
    </w:p>
    <w:p w14:paraId="2DD86E2C" w14:textId="77777777" w:rsidR="00922ED9" w:rsidRPr="002141AA" w:rsidRDefault="0039171D">
      <w:pPr>
        <w:spacing w:before="300" w:after="140"/>
        <w:rPr>
          <w:color w:val="000000" w:themeColor="text1"/>
        </w:rPr>
      </w:pPr>
      <w:r w:rsidRPr="002141AA">
        <w:rPr>
          <w:b/>
          <w:bCs/>
          <w:color w:val="000000" w:themeColor="text1"/>
          <w:sz w:val="26"/>
          <w:szCs w:val="26"/>
        </w:rPr>
        <w:t>ABSTRACT</w:t>
      </w:r>
    </w:p>
    <w:p w14:paraId="63074F3F" w14:textId="77777777" w:rsidR="00922ED9" w:rsidRPr="002141AA" w:rsidRDefault="0039171D" w:rsidP="002141AA">
      <w:pPr>
        <w:spacing w:after="160" w:line="300" w:lineRule="auto"/>
        <w:ind w:firstLine="720"/>
        <w:jc w:val="both"/>
        <w:rPr>
          <w:color w:val="000000" w:themeColor="text1"/>
        </w:rPr>
      </w:pPr>
      <w:r w:rsidRPr="002141AA">
        <w:rPr>
          <w:color w:val="000000" w:themeColor="text1"/>
        </w:rPr>
        <w:t>The withdrawal of antibiotic growth promoters (AGPs) from poultry diets in several countries, driven by concerns over antimicrobial resistance and drug residues, has intensified interest in plant-derived essential oils as natural alternatives. The present study was conducted to compare the efficacy of dietary cinnamon oil and clove oil with antibiotic (tetracycline) supplementation on the growth performance of broiler chickens. Two hundred day-old Cobb-430 broiler chicks were randomly distributed into five dietary treatment groups of 40 birds each (four replications of 10 birds), viz. Control (basal diet), T1 (basal diet + cinnamon oil 600 mg/kg), T2 (basal diet + clove oil 600 mg/kg), T3 (basal diet + antibiotic/tetracycline 50 mg/kg), and T4 (basal diet + cinnamon oil 600 mg/kg + clove oil 600 mg/kg), and reared for 35 days under a deep litter system. Body weight, body weight gain, feed consumption and feed conversion ratio (FCR) were recorded at weekly intervals. Mean body weight and body weight gain were significantly higher (P&lt;0.05) in T1 (891.13 g and 428.51 g/week, respectively) compared with the Control (739.51 g and 354.10 g/week), while T4, T3 and T2 exhibited intermediate performance in that descending order. Feed consumption was significantly lower in T1 despite its superior growth, resulting in the most favourable (lowest) FCR in T1 (1.31), followed by T3 (1.44), T4 (1.56), T2 (1.60) and Control (1.84). The findings indicate that dietary cinnamon oil at 600 mg/kg diet improved growth performance and feed efficiency of broiler chickens more effectively than clove oil, the combined cinnamon–clove oil supplementation, and the antibiotic growth promoter, suggesting its potential as a viable natural alternative to antibiotic growth promoters in broiler production.</w:t>
      </w:r>
    </w:p>
    <w:p w14:paraId="2A7805BF" w14:textId="77777777" w:rsidR="00922ED9" w:rsidRDefault="0039171D">
      <w:pPr>
        <w:spacing w:after="260"/>
        <w:rPr>
          <w:i/>
          <w:iCs/>
          <w:color w:val="000000" w:themeColor="text1"/>
        </w:rPr>
      </w:pPr>
      <w:r w:rsidRPr="002141AA">
        <w:rPr>
          <w:b/>
          <w:bCs/>
          <w:i/>
          <w:iCs/>
          <w:color w:val="000000" w:themeColor="text1"/>
        </w:rPr>
        <w:t xml:space="preserve">Keywords: </w:t>
      </w:r>
      <w:r w:rsidRPr="002141AA">
        <w:rPr>
          <w:i/>
          <w:iCs/>
          <w:color w:val="000000" w:themeColor="text1"/>
        </w:rPr>
        <w:t>Cinnamon oil; clove oil; antibiotic growth promoter; broiler chicken; growth performance; feed conversion ratio.</w:t>
      </w:r>
    </w:p>
    <w:p w14:paraId="33CFBDB9" w14:textId="77777777" w:rsidR="00993389" w:rsidRDefault="00993389">
      <w:pPr>
        <w:spacing w:after="260"/>
        <w:rPr>
          <w:i/>
          <w:iCs/>
          <w:color w:val="000000" w:themeColor="text1"/>
        </w:rPr>
      </w:pPr>
    </w:p>
    <w:p w14:paraId="0D11B7BE" w14:textId="77777777" w:rsidR="00993389" w:rsidRPr="002141AA" w:rsidRDefault="00993389">
      <w:pPr>
        <w:spacing w:after="260"/>
        <w:rPr>
          <w:color w:val="000000" w:themeColor="text1"/>
        </w:rPr>
      </w:pPr>
    </w:p>
    <w:p w14:paraId="59812C67" w14:textId="77777777" w:rsidR="00922ED9" w:rsidRPr="002141AA" w:rsidRDefault="0039171D">
      <w:pPr>
        <w:spacing w:before="300" w:after="140"/>
        <w:rPr>
          <w:color w:val="000000" w:themeColor="text1"/>
        </w:rPr>
      </w:pPr>
      <w:r w:rsidRPr="002141AA">
        <w:rPr>
          <w:b/>
          <w:bCs/>
          <w:color w:val="000000" w:themeColor="text1"/>
          <w:sz w:val="26"/>
          <w:szCs w:val="26"/>
        </w:rPr>
        <w:t>1. INTRODUCTION</w:t>
      </w:r>
    </w:p>
    <w:p w14:paraId="4B915837" w14:textId="77777777" w:rsidR="00922ED9" w:rsidRPr="002141AA" w:rsidRDefault="0039171D" w:rsidP="002141AA">
      <w:pPr>
        <w:spacing w:after="160" w:line="300" w:lineRule="auto"/>
        <w:ind w:firstLine="720"/>
        <w:jc w:val="both"/>
        <w:rPr>
          <w:color w:val="000000" w:themeColor="text1"/>
        </w:rPr>
      </w:pPr>
      <w:r w:rsidRPr="002141AA">
        <w:rPr>
          <w:color w:val="000000" w:themeColor="text1"/>
          <w:sz w:val="22"/>
          <w:szCs w:val="22"/>
        </w:rPr>
        <w:t xml:space="preserve">Poultry farming, involving the rearing of domesticated birds such as chickens, turkeys, ducks and geese, occupies a central place in the livelihood and socio-economic development of Indian farmers, generating income from meat, eggs and allied products. It is regarded as the most affordable source of animal protein and is practised across the spectrum, from backyard units to large-scale commercial enterprises. While crop production in India has grown at a modest annual rate of 1.5–2%, poultry and egg production have expanded at 8–10% per annum, making it one of the fastest-growing segments of Indian agriculture </w:t>
      </w:r>
      <w:r w:rsidRPr="002141AA">
        <w:rPr>
          <w:b/>
          <w:bCs/>
          <w:color w:val="000000" w:themeColor="text1"/>
          <w:sz w:val="22"/>
          <w:szCs w:val="22"/>
        </w:rPr>
        <w:t>(Satapathy et al., 2017</w:t>
      </w:r>
      <w:r w:rsidRPr="002141AA">
        <w:rPr>
          <w:color w:val="000000" w:themeColor="text1"/>
          <w:sz w:val="22"/>
          <w:szCs w:val="22"/>
        </w:rPr>
        <w:t>). The sector contributes nearly 1% to the national GDP and 14% to livestock GDP, and according to the ICAR Vision 2025 report, every additional egg in per-capita availability can generate around 50,000 new jobs, underscoring its considerable employment potential, particularly for rural youth. India currently ranks third in global egg production and fifth in meat production, with the 20th Livestock Census placing the national poultry population at 851.81 million birds.</w:t>
      </w:r>
    </w:p>
    <w:p w14:paraId="21F205EE" w14:textId="77777777" w:rsidR="00922ED9" w:rsidRPr="002141AA" w:rsidRDefault="0039171D" w:rsidP="002141AA">
      <w:pPr>
        <w:spacing w:after="160" w:line="300" w:lineRule="auto"/>
        <w:ind w:firstLine="720"/>
        <w:jc w:val="both"/>
        <w:rPr>
          <w:color w:val="000000" w:themeColor="text1"/>
        </w:rPr>
      </w:pPr>
      <w:r w:rsidRPr="002141AA">
        <w:rPr>
          <w:color w:val="000000" w:themeColor="text1"/>
          <w:sz w:val="22"/>
          <w:szCs w:val="22"/>
        </w:rPr>
        <w:t>Broiler chickens, selected specifically for rapid meat production, typically attain market weight within four to six weeks, and their growth performance is governed by an inter</w:t>
      </w:r>
      <w:r w:rsidR="007652C1">
        <w:rPr>
          <w:color w:val="000000" w:themeColor="text1"/>
          <w:sz w:val="22"/>
          <w:szCs w:val="22"/>
        </w:rPr>
        <w:t xml:space="preserve"> </w:t>
      </w:r>
      <w:r w:rsidRPr="002141AA">
        <w:rPr>
          <w:color w:val="000000" w:themeColor="text1"/>
          <w:sz w:val="22"/>
          <w:szCs w:val="22"/>
        </w:rPr>
        <w:t xml:space="preserve">play of genetics, nutrition, environment, health status and gut microbial balance. Maintaining efficient feed conversion and intestinal health is therefore central to economical and sustainable broiler production </w:t>
      </w:r>
      <w:r w:rsidRPr="002141AA">
        <w:rPr>
          <w:b/>
          <w:bCs/>
          <w:color w:val="000000" w:themeColor="text1"/>
          <w:sz w:val="22"/>
          <w:szCs w:val="22"/>
        </w:rPr>
        <w:t>(Siegel, 2014; Tallentire et al., 2016</w:t>
      </w:r>
      <w:r w:rsidRPr="002141AA">
        <w:rPr>
          <w:color w:val="000000" w:themeColor="text1"/>
          <w:sz w:val="22"/>
          <w:szCs w:val="22"/>
        </w:rPr>
        <w:t xml:space="preserve">). Historically, sub-therapeutic antibiotic growth promoters (AGPs) were widely used in broiler diets to suppress pathogenic intestinal </w:t>
      </w:r>
      <w:r w:rsidRPr="002141AA">
        <w:rPr>
          <w:color w:val="000000" w:themeColor="text1"/>
          <w:sz w:val="22"/>
          <w:szCs w:val="22"/>
        </w:rPr>
        <w:lastRenderedPageBreak/>
        <w:t>microflora and enhance nutrient utilisation. However, the global emergence of antibiotic-resistant bacterial strains and rising consumer concern over chemical residues in poultry products have led to regulatory restrictions on AGP use in several countries, compelling researchers to identify safe, residue-free, and natural alternatives capable of sustaining broiler performance (</w:t>
      </w:r>
      <w:r w:rsidRPr="002141AA">
        <w:rPr>
          <w:b/>
          <w:bCs/>
          <w:color w:val="000000" w:themeColor="text1"/>
          <w:sz w:val="22"/>
          <w:szCs w:val="22"/>
        </w:rPr>
        <w:t>Qaid et al., 2022; Abd El-Hack et al., 2020</w:t>
      </w:r>
      <w:r w:rsidRPr="002141AA">
        <w:rPr>
          <w:color w:val="000000" w:themeColor="text1"/>
          <w:sz w:val="22"/>
          <w:szCs w:val="22"/>
        </w:rPr>
        <w:t>).</w:t>
      </w:r>
    </w:p>
    <w:p w14:paraId="5CDA4E08" w14:textId="77777777" w:rsidR="00922ED9" w:rsidRPr="002141AA" w:rsidRDefault="0039171D" w:rsidP="002141AA">
      <w:pPr>
        <w:spacing w:after="160" w:line="300" w:lineRule="auto"/>
        <w:ind w:firstLine="720"/>
        <w:jc w:val="both"/>
        <w:rPr>
          <w:color w:val="000000" w:themeColor="text1"/>
        </w:rPr>
      </w:pPr>
      <w:r w:rsidRPr="002141AA">
        <w:rPr>
          <w:color w:val="000000" w:themeColor="text1"/>
          <w:sz w:val="22"/>
          <w:szCs w:val="22"/>
        </w:rPr>
        <w:t xml:space="preserve">Among the phytogenic feed additives explored as AGP substitutes, cinnamon oil, derived from the bark and leaves of </w:t>
      </w:r>
      <w:r w:rsidRPr="00F30935">
        <w:rPr>
          <w:b/>
          <w:bCs/>
          <w:i/>
          <w:iCs/>
          <w:color w:val="000000" w:themeColor="text1"/>
          <w:sz w:val="22"/>
          <w:szCs w:val="22"/>
        </w:rPr>
        <w:t>Cinnamomum zeylanicum</w:t>
      </w:r>
      <w:r w:rsidRPr="002141AA">
        <w:rPr>
          <w:color w:val="000000" w:themeColor="text1"/>
          <w:sz w:val="22"/>
          <w:szCs w:val="22"/>
        </w:rPr>
        <w:t xml:space="preserve"> (</w:t>
      </w:r>
      <w:r w:rsidRPr="00F30935">
        <w:rPr>
          <w:b/>
          <w:bCs/>
          <w:color w:val="000000" w:themeColor="text1"/>
          <w:sz w:val="22"/>
          <w:szCs w:val="22"/>
        </w:rPr>
        <w:t>family Lauraceae</w:t>
      </w:r>
      <w:r w:rsidRPr="002141AA">
        <w:rPr>
          <w:color w:val="000000" w:themeColor="text1"/>
          <w:sz w:val="22"/>
          <w:szCs w:val="22"/>
        </w:rPr>
        <w:t>), has attracted considerable scientific attention owing to its bioactive constituents, principally trans-cinnamaldehyde and eugenol, which confer potent antimicrobial, antioxidant, anti-inflammatory and digestive-stimulant properties. When incorporated into broiler diets, cinnamon oil modulates the gastrointestinal microbiota by suppressing pathogens such as Escherichia coli and Clostridium perfringens while favouring beneficial genera, thereby improving intestinal villus architecture and feed conversion efficiency, along with favourable effects on antioxidant status and serum lipid profile (</w:t>
      </w:r>
      <w:r w:rsidRPr="002141AA">
        <w:rPr>
          <w:b/>
          <w:bCs/>
          <w:color w:val="000000" w:themeColor="text1"/>
          <w:sz w:val="22"/>
          <w:szCs w:val="22"/>
        </w:rPr>
        <w:t>Abd El-Hack et al., 2020</w:t>
      </w:r>
      <w:r w:rsidRPr="002141AA">
        <w:rPr>
          <w:color w:val="000000" w:themeColor="text1"/>
          <w:sz w:val="22"/>
          <w:szCs w:val="22"/>
        </w:rPr>
        <w:t>).</w:t>
      </w:r>
    </w:p>
    <w:p w14:paraId="3DF06931" w14:textId="77777777" w:rsidR="00922ED9" w:rsidRPr="002141AA" w:rsidRDefault="0039171D" w:rsidP="002141AA">
      <w:pPr>
        <w:spacing w:after="160" w:line="300" w:lineRule="auto"/>
        <w:ind w:firstLine="720"/>
        <w:jc w:val="both"/>
        <w:rPr>
          <w:b/>
          <w:bCs/>
          <w:color w:val="000000" w:themeColor="text1"/>
        </w:rPr>
      </w:pPr>
      <w:r w:rsidRPr="002141AA">
        <w:rPr>
          <w:color w:val="000000" w:themeColor="text1"/>
          <w:sz w:val="22"/>
          <w:szCs w:val="22"/>
        </w:rPr>
        <w:t>Clove (</w:t>
      </w:r>
      <w:r w:rsidRPr="00493C87">
        <w:rPr>
          <w:b/>
          <w:bCs/>
          <w:i/>
          <w:iCs/>
          <w:color w:val="000000" w:themeColor="text1"/>
          <w:sz w:val="22"/>
          <w:szCs w:val="22"/>
        </w:rPr>
        <w:t>Syzygium aromaticum,</w:t>
      </w:r>
      <w:r w:rsidRPr="002141AA">
        <w:rPr>
          <w:color w:val="000000" w:themeColor="text1"/>
          <w:sz w:val="22"/>
          <w:szCs w:val="22"/>
        </w:rPr>
        <w:t xml:space="preserve"> family Myrtaceae) is another pharmacologically active spice whose essential oil, rich in eugenol (accounting for 70–90% of its composition), exhibits broad-spectrum antimicrobial, antifungal, anti-inflammatory and antioxidant activity. Within the gastrointestinal tract, clove oil suppresses pathogenic bacteria such as E. coli and Salmonella spp. while promoting beneficial microflora including Lactobacillus, thereby protecting intestinal integrity, improving villus architecture and stimulating digestive enzyme secretion, which collectively enhance nutrient digestibility and growth performance (</w:t>
      </w:r>
      <w:r w:rsidRPr="002141AA">
        <w:rPr>
          <w:b/>
          <w:bCs/>
          <w:color w:val="000000" w:themeColor="text1"/>
          <w:sz w:val="22"/>
          <w:szCs w:val="22"/>
        </w:rPr>
        <w:t>Mohammadi et al., 2014; Reda et al., 2025).</w:t>
      </w:r>
    </w:p>
    <w:p w14:paraId="4B003FF0" w14:textId="77777777" w:rsidR="00922ED9" w:rsidRPr="002141AA" w:rsidRDefault="0039171D" w:rsidP="002141AA">
      <w:pPr>
        <w:spacing w:after="160" w:line="300" w:lineRule="auto"/>
        <w:ind w:firstLine="720"/>
        <w:jc w:val="both"/>
        <w:rPr>
          <w:color w:val="000000" w:themeColor="text1"/>
        </w:rPr>
      </w:pPr>
      <w:r w:rsidRPr="002141AA">
        <w:rPr>
          <w:color w:val="000000" w:themeColor="text1"/>
          <w:sz w:val="22"/>
          <w:szCs w:val="22"/>
        </w:rPr>
        <w:t>Tetracycline-class antibiotics act by binding the bacterial 30S ribosomal subunit and inhibiting protein synthesis, thereby reducing populations of pathogenic or nutrient-competing gut bacteria such as E. coli, lowering chronic low-grade intestinal inflammation and conserving metabolic energy for growth (</w:t>
      </w:r>
      <w:r w:rsidRPr="002141AA">
        <w:rPr>
          <w:b/>
          <w:bCs/>
          <w:color w:val="000000" w:themeColor="text1"/>
          <w:sz w:val="22"/>
          <w:szCs w:val="22"/>
        </w:rPr>
        <w:t xml:space="preserve">Shah et al., 2022; Khadem et al., 2014). </w:t>
      </w:r>
      <w:r w:rsidRPr="002141AA">
        <w:rPr>
          <w:color w:val="000000" w:themeColor="text1"/>
          <w:sz w:val="22"/>
          <w:szCs w:val="22"/>
        </w:rPr>
        <w:t>However, prolonged sub-therapeutic use of tetracyclines in poultry feed is closely associated with the emergence of antibiotic-resistant bacterial strains and, where withdrawal periods are not properly observed, with residues in meat, raising food-safety and public-health concerns (</w:t>
      </w:r>
      <w:r w:rsidRPr="002141AA">
        <w:rPr>
          <w:b/>
          <w:bCs/>
          <w:color w:val="000000" w:themeColor="text1"/>
          <w:sz w:val="22"/>
          <w:szCs w:val="22"/>
        </w:rPr>
        <w:t>Sreejith et al., 2020; Untari et al., 2021</w:t>
      </w:r>
      <w:r w:rsidRPr="002141AA">
        <w:rPr>
          <w:color w:val="000000" w:themeColor="text1"/>
          <w:sz w:val="22"/>
          <w:szCs w:val="22"/>
        </w:rPr>
        <w:t>).</w:t>
      </w:r>
    </w:p>
    <w:p w14:paraId="63A1AA6F" w14:textId="77777777" w:rsidR="00922ED9" w:rsidRPr="002141AA" w:rsidRDefault="0039171D" w:rsidP="002141AA">
      <w:pPr>
        <w:spacing w:after="160" w:line="300" w:lineRule="auto"/>
        <w:ind w:firstLine="720"/>
        <w:jc w:val="both"/>
        <w:rPr>
          <w:color w:val="000000" w:themeColor="text1"/>
        </w:rPr>
      </w:pPr>
      <w:r w:rsidRPr="002141AA">
        <w:rPr>
          <w:color w:val="000000" w:themeColor="text1"/>
          <w:sz w:val="22"/>
          <w:szCs w:val="22"/>
        </w:rPr>
        <w:t>Given these concerns surrounding antibiotic growth promoters and the promising, though variable, results reported for essential oils across trial conditions, the present study was undertaken to compare the efficacy of dietary cinnamon oil and clove oil, alone and in combination, with antibiotic (tetracycline) supplementation, on the growth performance of broiler chickens.</w:t>
      </w:r>
    </w:p>
    <w:p w14:paraId="4C1452C5" w14:textId="77777777" w:rsidR="00922ED9" w:rsidRPr="002141AA" w:rsidRDefault="0039171D">
      <w:pPr>
        <w:spacing w:before="300" w:after="140"/>
        <w:rPr>
          <w:color w:val="000000" w:themeColor="text1"/>
        </w:rPr>
      </w:pPr>
      <w:r w:rsidRPr="002141AA">
        <w:rPr>
          <w:b/>
          <w:bCs/>
          <w:color w:val="000000" w:themeColor="text1"/>
          <w:sz w:val="26"/>
          <w:szCs w:val="26"/>
        </w:rPr>
        <w:t>2. MATERIALS AND METHODS</w:t>
      </w:r>
    </w:p>
    <w:p w14:paraId="42B81F5D" w14:textId="77777777" w:rsidR="00922ED9" w:rsidRPr="002141AA" w:rsidRDefault="0039171D">
      <w:pPr>
        <w:spacing w:before="220" w:after="120"/>
        <w:rPr>
          <w:color w:val="000000" w:themeColor="text1"/>
        </w:rPr>
      </w:pPr>
      <w:r w:rsidRPr="002141AA">
        <w:rPr>
          <w:b/>
          <w:bCs/>
          <w:i/>
          <w:iCs/>
          <w:color w:val="000000" w:themeColor="text1"/>
          <w:sz w:val="23"/>
          <w:szCs w:val="23"/>
        </w:rPr>
        <w:t>2.1 Location of the Study Area and Climate</w:t>
      </w:r>
    </w:p>
    <w:p w14:paraId="2C981DC9" w14:textId="77777777" w:rsidR="002141AA" w:rsidRPr="00493C87" w:rsidRDefault="0039171D" w:rsidP="00493C87">
      <w:pPr>
        <w:spacing w:after="160" w:line="300" w:lineRule="auto"/>
        <w:ind w:firstLine="720"/>
        <w:jc w:val="both"/>
        <w:rPr>
          <w:color w:val="000000" w:themeColor="text1"/>
          <w:sz w:val="22"/>
          <w:szCs w:val="22"/>
        </w:rPr>
      </w:pPr>
      <w:r w:rsidRPr="002141AA">
        <w:rPr>
          <w:color w:val="000000" w:themeColor="text1"/>
          <w:sz w:val="22"/>
          <w:szCs w:val="22"/>
        </w:rPr>
        <w:t xml:space="preserve">The present investigation, entitled “Comparative efficacy of dietary antibiotic and essential oil addition on growth performance, hemato-biochemical, health and sensory attributes of broiler chicken,” was conducted at the Poultry Research and Training Centre, College of Veterinary &amp; Animal Sciences, Sardar Vallabhbhai Patel University of Agriculture and Technology (SVPUAT), Modipuram, Meerut-250110 (Uttar Pradesh), during June and July, 2024. Meerut is geographically situated at 29° 01′ N latitude and 77° 45′ E longitude, within the western zone of Uttar Pradesh, which has a total geographical area of 20,624 km². The region experiences a sub-tropical climate, with summer temperatures reaching up to 45 °C and winter temperatures occasionally falling to the </w:t>
      </w:r>
      <w:r w:rsidRPr="002141AA">
        <w:rPr>
          <w:color w:val="000000" w:themeColor="text1"/>
          <w:sz w:val="22"/>
          <w:szCs w:val="22"/>
        </w:rPr>
        <w:lastRenderedPageBreak/>
        <w:t>freezing point; the average temperature from January to March is around 17 °C, the mean annual rainfall is approximately 862.7 mm, and relative humidity ranges from 67 to 83%</w:t>
      </w:r>
    </w:p>
    <w:p w14:paraId="62BB6A2E" w14:textId="77777777" w:rsidR="00922ED9" w:rsidRPr="002141AA" w:rsidRDefault="0039171D">
      <w:pPr>
        <w:spacing w:before="220" w:after="120"/>
        <w:rPr>
          <w:color w:val="000000" w:themeColor="text1"/>
        </w:rPr>
      </w:pPr>
      <w:r w:rsidRPr="002141AA">
        <w:rPr>
          <w:b/>
          <w:bCs/>
          <w:i/>
          <w:iCs/>
          <w:color w:val="000000" w:themeColor="text1"/>
          <w:sz w:val="23"/>
          <w:szCs w:val="23"/>
        </w:rPr>
        <w:t>2.2 Experimental Birds and Design</w:t>
      </w:r>
    </w:p>
    <w:p w14:paraId="4AE54F76" w14:textId="77777777" w:rsidR="00922ED9" w:rsidRPr="002141AA" w:rsidRDefault="002141AA" w:rsidP="002141AA">
      <w:pPr>
        <w:spacing w:after="160" w:line="300" w:lineRule="auto"/>
        <w:ind w:firstLine="720"/>
        <w:jc w:val="both"/>
        <w:rPr>
          <w:color w:val="000000" w:themeColor="text1"/>
        </w:rPr>
      </w:pPr>
      <w:r w:rsidRPr="002141AA">
        <w:rPr>
          <w:color w:val="000000" w:themeColor="text1"/>
          <w:sz w:val="22"/>
          <w:szCs w:val="22"/>
        </w:rPr>
        <w:t>Two-hundred-day-old broiler chicks (Cobb-430) were procured from Venky’s Hatcheries Pvt. Ltd., Dehradun, and reared at the Poultry Research and Training Centre, SVPUAT, Meerut. The chicks were randomly distributed into five dietary treatment groups of 40 birds each, with each group further divided into four replications of 10 birds. The Control group received the basal diet without any supplementation, while T1, T2, T3 and T4 received the basal diet supplemented with cinnamon oil (600 mg/kg), clove oil (600 mg/kg), antibiotic/tetracycline (50 mg/kg), and a combination of cinnamon oil (600 mg/kg) and clove oil (600 mg</w:t>
      </w:r>
      <w:r w:rsidR="000E53A2">
        <w:rPr>
          <w:color w:val="000000" w:themeColor="text1"/>
          <w:sz w:val="22"/>
          <w:szCs w:val="22"/>
        </w:rPr>
        <w:t>/kg), respectively</w:t>
      </w:r>
      <w:r w:rsidRPr="002141AA">
        <w:rPr>
          <w:color w:val="000000" w:themeColor="text1"/>
          <w:sz w:val="22"/>
          <w:szCs w:val="22"/>
        </w:rPr>
        <w:t>. Birds were offered non-pelleted diets and water ad libitum throug</w:t>
      </w:r>
      <w:r w:rsidR="000E53A2">
        <w:rPr>
          <w:color w:val="000000" w:themeColor="text1"/>
          <w:sz w:val="22"/>
          <w:szCs w:val="22"/>
        </w:rPr>
        <w:t>hout the 35-day trial period (12.03.2026 to 15.04.2026</w:t>
      </w:r>
      <w:r w:rsidRPr="002141AA">
        <w:rPr>
          <w:color w:val="000000" w:themeColor="text1"/>
          <w:sz w:val="22"/>
          <w:szCs w:val="22"/>
        </w:rPr>
        <w:t>, summer season). Diets were formulated to meet the nutrient requirements specified by NRC (1994).</w:t>
      </w:r>
    </w:p>
    <w:p w14:paraId="5A263928" w14:textId="77777777" w:rsidR="00922ED9" w:rsidRPr="002141AA" w:rsidRDefault="0039171D">
      <w:pPr>
        <w:spacing w:before="220" w:after="120"/>
        <w:rPr>
          <w:color w:val="000000" w:themeColor="text1"/>
        </w:rPr>
      </w:pPr>
      <w:r w:rsidRPr="002141AA">
        <w:rPr>
          <w:b/>
          <w:bCs/>
          <w:i/>
          <w:iCs/>
          <w:color w:val="000000" w:themeColor="text1"/>
          <w:sz w:val="23"/>
          <w:szCs w:val="23"/>
        </w:rPr>
        <w:t>2.3 Housing Management</w:t>
      </w:r>
    </w:p>
    <w:p w14:paraId="076BA4D4" w14:textId="77777777" w:rsidR="00922ED9" w:rsidRPr="002141AA" w:rsidRDefault="0039171D" w:rsidP="002141AA">
      <w:pPr>
        <w:spacing w:after="160" w:line="300" w:lineRule="auto"/>
        <w:ind w:firstLine="720"/>
        <w:jc w:val="both"/>
        <w:rPr>
          <w:color w:val="000000" w:themeColor="text1"/>
        </w:rPr>
      </w:pPr>
      <w:r w:rsidRPr="002141AA">
        <w:rPr>
          <w:color w:val="000000" w:themeColor="text1"/>
          <w:sz w:val="22"/>
          <w:szCs w:val="22"/>
        </w:rPr>
        <w:t>Chicks were reared under a deep litter system in well-ventilated pens. Floors were thoroughly cleaned, disinfected and dried prior to spreading dry rice husk bedding to a depth of 4–6 cm. Electric bulbs (15 W) were fitted at appropriate heights within each pen to provide uniform brooding illumination and warmth.</w:t>
      </w:r>
    </w:p>
    <w:p w14:paraId="479EFEB4" w14:textId="77777777" w:rsidR="00922ED9" w:rsidRPr="002141AA" w:rsidRDefault="0039171D">
      <w:pPr>
        <w:spacing w:before="220" w:after="120"/>
        <w:rPr>
          <w:color w:val="000000" w:themeColor="text1"/>
        </w:rPr>
      </w:pPr>
      <w:r w:rsidRPr="002141AA">
        <w:rPr>
          <w:b/>
          <w:bCs/>
          <w:i/>
          <w:iCs/>
          <w:color w:val="000000" w:themeColor="text1"/>
          <w:sz w:val="23"/>
          <w:szCs w:val="23"/>
        </w:rPr>
        <w:t>2.4 Feeding and Watering</w:t>
      </w:r>
    </w:p>
    <w:p w14:paraId="399E273E" w14:textId="77777777" w:rsidR="00922ED9" w:rsidRPr="002141AA" w:rsidRDefault="0039171D" w:rsidP="002141AA">
      <w:pPr>
        <w:spacing w:after="160" w:line="300" w:lineRule="auto"/>
        <w:ind w:firstLine="720"/>
        <w:jc w:val="both"/>
        <w:rPr>
          <w:color w:val="000000" w:themeColor="text1"/>
        </w:rPr>
      </w:pPr>
      <w:r w:rsidRPr="002141AA">
        <w:rPr>
          <w:color w:val="000000" w:themeColor="text1"/>
          <w:sz w:val="22"/>
          <w:szCs w:val="22"/>
        </w:rPr>
        <w:t>Chicks were fed ad libitum from 0–5 weeks of age. During the first three days of brooding, feed was spread on paper on the pen floor, after which linear chick feeders were used up to 14 days. A starter ration was fed from 1 to 18 days and a finisher ration from 18 to 35 days, both procured from the local market of Meerut city. Fresh, clean drinking water was made available every morning and evening throughout the experimental period.</w:t>
      </w:r>
    </w:p>
    <w:p w14:paraId="035445ED" w14:textId="77777777" w:rsidR="00922ED9" w:rsidRPr="002141AA" w:rsidRDefault="0039171D">
      <w:pPr>
        <w:spacing w:before="220" w:after="120"/>
        <w:rPr>
          <w:color w:val="000000" w:themeColor="text1"/>
        </w:rPr>
      </w:pPr>
      <w:r w:rsidRPr="002141AA">
        <w:rPr>
          <w:b/>
          <w:bCs/>
          <w:i/>
          <w:iCs/>
          <w:color w:val="000000" w:themeColor="text1"/>
          <w:sz w:val="23"/>
          <w:szCs w:val="23"/>
        </w:rPr>
        <w:t>2.5 Growth Performance Parameters</w:t>
      </w:r>
    </w:p>
    <w:p w14:paraId="530B44C0" w14:textId="77777777" w:rsidR="00922ED9" w:rsidRPr="002141AA" w:rsidRDefault="0039171D" w:rsidP="00493C87">
      <w:pPr>
        <w:spacing w:after="160" w:line="300" w:lineRule="auto"/>
        <w:ind w:firstLine="360"/>
        <w:jc w:val="both"/>
        <w:rPr>
          <w:color w:val="000000" w:themeColor="text1"/>
        </w:rPr>
      </w:pPr>
      <w:r w:rsidRPr="002141AA">
        <w:rPr>
          <w:color w:val="000000" w:themeColor="text1"/>
          <w:sz w:val="22"/>
          <w:szCs w:val="22"/>
        </w:rPr>
        <w:t>Body weight and feed consumption were recorded at day-old and thereafter at weekly intervals using a digital electronic balance.</w:t>
      </w:r>
    </w:p>
    <w:p w14:paraId="725967AB" w14:textId="77777777" w:rsidR="00922ED9" w:rsidRPr="00493C87" w:rsidRDefault="0039171D" w:rsidP="00493C87">
      <w:pPr>
        <w:pStyle w:val="ListParagraph"/>
        <w:numPr>
          <w:ilvl w:val="0"/>
          <w:numId w:val="3"/>
        </w:numPr>
        <w:spacing w:after="160" w:line="300" w:lineRule="auto"/>
        <w:jc w:val="both"/>
        <w:rPr>
          <w:color w:val="000000" w:themeColor="text1"/>
        </w:rPr>
      </w:pPr>
      <w:r w:rsidRPr="00493C87">
        <w:rPr>
          <w:b/>
          <w:bCs/>
          <w:color w:val="000000" w:themeColor="text1"/>
          <w:sz w:val="22"/>
          <w:szCs w:val="22"/>
        </w:rPr>
        <w:t>Feed consumption (FC):</w:t>
      </w:r>
      <w:r w:rsidRPr="00493C87">
        <w:rPr>
          <w:color w:val="000000" w:themeColor="text1"/>
          <w:sz w:val="22"/>
          <w:szCs w:val="22"/>
        </w:rPr>
        <w:t xml:space="preserve"> calculated weekly as feed offered minus feed residue, per bird in each replicate.</w:t>
      </w:r>
    </w:p>
    <w:p w14:paraId="6AEB0DDE" w14:textId="77777777" w:rsidR="00922ED9" w:rsidRPr="00493C87" w:rsidRDefault="0039171D" w:rsidP="00493C87">
      <w:pPr>
        <w:pStyle w:val="ListParagraph"/>
        <w:numPr>
          <w:ilvl w:val="0"/>
          <w:numId w:val="3"/>
        </w:numPr>
        <w:spacing w:after="160" w:line="300" w:lineRule="auto"/>
        <w:jc w:val="both"/>
        <w:rPr>
          <w:color w:val="000000" w:themeColor="text1"/>
        </w:rPr>
      </w:pPr>
      <w:r w:rsidRPr="00493C87">
        <w:rPr>
          <w:b/>
          <w:bCs/>
          <w:color w:val="000000" w:themeColor="text1"/>
          <w:sz w:val="22"/>
          <w:szCs w:val="22"/>
        </w:rPr>
        <w:t>Body weight (BW):</w:t>
      </w:r>
      <w:r w:rsidRPr="00493C87">
        <w:rPr>
          <w:color w:val="000000" w:themeColor="text1"/>
          <w:sz w:val="22"/>
          <w:szCs w:val="22"/>
        </w:rPr>
        <w:t xml:space="preserve"> recorded at day-old and at the end of each week (1st to 5th) in the morning, before feeding.</w:t>
      </w:r>
    </w:p>
    <w:p w14:paraId="567FFC80" w14:textId="77777777" w:rsidR="00922ED9" w:rsidRPr="00493C87" w:rsidRDefault="0039171D" w:rsidP="00493C87">
      <w:pPr>
        <w:pStyle w:val="ListParagraph"/>
        <w:numPr>
          <w:ilvl w:val="0"/>
          <w:numId w:val="3"/>
        </w:numPr>
        <w:spacing w:after="160" w:line="300" w:lineRule="auto"/>
        <w:jc w:val="both"/>
        <w:rPr>
          <w:color w:val="000000" w:themeColor="text1"/>
        </w:rPr>
      </w:pPr>
      <w:r w:rsidRPr="00493C87">
        <w:rPr>
          <w:b/>
          <w:bCs/>
          <w:color w:val="000000" w:themeColor="text1"/>
          <w:sz w:val="22"/>
          <w:szCs w:val="22"/>
        </w:rPr>
        <w:t>Body weight gain (BWG</w:t>
      </w:r>
      <w:r w:rsidRPr="00493C87">
        <w:rPr>
          <w:color w:val="000000" w:themeColor="text1"/>
          <w:sz w:val="22"/>
          <w:szCs w:val="22"/>
        </w:rPr>
        <w:t>): calculated weekly as the difference between the body weight of the current week and the preceding week.</w:t>
      </w:r>
    </w:p>
    <w:p w14:paraId="0706A846" w14:textId="77777777" w:rsidR="00922ED9" w:rsidRPr="00493C87" w:rsidRDefault="0039171D" w:rsidP="00493C87">
      <w:pPr>
        <w:pStyle w:val="ListParagraph"/>
        <w:numPr>
          <w:ilvl w:val="0"/>
          <w:numId w:val="3"/>
        </w:numPr>
        <w:spacing w:after="160" w:line="300" w:lineRule="auto"/>
        <w:jc w:val="both"/>
        <w:rPr>
          <w:color w:val="000000" w:themeColor="text1"/>
        </w:rPr>
      </w:pPr>
      <w:r w:rsidRPr="00493C87">
        <w:rPr>
          <w:b/>
          <w:bCs/>
          <w:color w:val="000000" w:themeColor="text1"/>
          <w:sz w:val="22"/>
          <w:szCs w:val="22"/>
        </w:rPr>
        <w:t>Feed conversion ratio (FCR</w:t>
      </w:r>
      <w:r w:rsidRPr="00493C87">
        <w:rPr>
          <w:color w:val="000000" w:themeColor="text1"/>
          <w:sz w:val="22"/>
          <w:szCs w:val="22"/>
        </w:rPr>
        <w:t>): calculated weekly as the ratio of average feed consumption to average body weight gain.</w:t>
      </w:r>
    </w:p>
    <w:p w14:paraId="25723CE1" w14:textId="77777777" w:rsidR="00922ED9" w:rsidRPr="002141AA" w:rsidRDefault="0039171D">
      <w:pPr>
        <w:spacing w:before="220" w:after="120"/>
        <w:rPr>
          <w:color w:val="000000" w:themeColor="text1"/>
        </w:rPr>
      </w:pPr>
      <w:r w:rsidRPr="002141AA">
        <w:rPr>
          <w:b/>
          <w:bCs/>
          <w:i/>
          <w:iCs/>
          <w:color w:val="000000" w:themeColor="text1"/>
          <w:sz w:val="23"/>
          <w:szCs w:val="23"/>
        </w:rPr>
        <w:t>2.6 Statistical Analysis</w:t>
      </w:r>
    </w:p>
    <w:p w14:paraId="2A96471A" w14:textId="77777777" w:rsidR="00922ED9" w:rsidRPr="002141AA" w:rsidRDefault="007B5C58" w:rsidP="00493C87">
      <w:pPr>
        <w:spacing w:after="160" w:line="300" w:lineRule="auto"/>
        <w:ind w:firstLine="720"/>
        <w:jc w:val="both"/>
        <w:rPr>
          <w:color w:val="000000" w:themeColor="text1"/>
        </w:rPr>
      </w:pPr>
      <w:r>
        <w:rPr>
          <w:color w:val="000000" w:themeColor="text1"/>
          <w:sz w:val="22"/>
          <w:szCs w:val="22"/>
        </w:rPr>
        <w:t>Data were analyzed using two way</w:t>
      </w:r>
      <w:r w:rsidR="0039171D" w:rsidRPr="002141AA">
        <w:rPr>
          <w:color w:val="000000" w:themeColor="text1"/>
          <w:sz w:val="22"/>
          <w:szCs w:val="22"/>
        </w:rPr>
        <w:t xml:space="preserve"> analysis of variance under a completely randomized design (CRD) using the Statistical Package for the Social Sciences (SPSS), following Snedecor and Cochran (1994). Homogeneous s</w:t>
      </w:r>
      <w:r>
        <w:rPr>
          <w:color w:val="000000" w:themeColor="text1"/>
          <w:sz w:val="22"/>
          <w:szCs w:val="22"/>
        </w:rPr>
        <w:t>ubsets were separated using Tukey’s Multiple Range Test (Tukey’s</w:t>
      </w:r>
      <w:r w:rsidR="0039171D" w:rsidRPr="002141AA">
        <w:rPr>
          <w:color w:val="000000" w:themeColor="text1"/>
          <w:sz w:val="22"/>
          <w:szCs w:val="22"/>
        </w:rPr>
        <w:t xml:space="preserve"> 1955), and differences among treatments were considered significant at P≤0.05. The statistical model used was:</w:t>
      </w:r>
    </w:p>
    <w:p w14:paraId="62326F3C" w14:textId="77777777" w:rsidR="0039171D" w:rsidRDefault="0039171D" w:rsidP="0039171D">
      <w:pPr>
        <w:spacing w:after="100" w:line="300" w:lineRule="auto"/>
        <w:jc w:val="center"/>
        <w:rPr>
          <w:color w:val="000000" w:themeColor="text1"/>
        </w:rPr>
      </w:pPr>
      <w:r w:rsidRPr="002141AA">
        <w:rPr>
          <w:b/>
          <w:bCs/>
          <w:color w:val="000000" w:themeColor="text1"/>
          <w:sz w:val="22"/>
          <w:szCs w:val="22"/>
        </w:rPr>
        <w:lastRenderedPageBreak/>
        <w:t xml:space="preserve">Yij = μ + Ti + </w:t>
      </w:r>
      <w:r w:rsidR="007B5C58">
        <w:rPr>
          <w:b/>
          <w:bCs/>
          <w:color w:val="000000" w:themeColor="text1"/>
          <w:sz w:val="22"/>
          <w:szCs w:val="22"/>
        </w:rPr>
        <w:t>Fj</w:t>
      </w:r>
      <w:r>
        <w:rPr>
          <w:b/>
          <w:bCs/>
          <w:color w:val="000000" w:themeColor="text1"/>
          <w:sz w:val="22"/>
          <w:szCs w:val="22"/>
        </w:rPr>
        <w:t xml:space="preserve"> </w:t>
      </w:r>
      <w:r w:rsidR="007B5C58">
        <w:rPr>
          <w:b/>
          <w:bCs/>
          <w:color w:val="000000" w:themeColor="text1"/>
          <w:sz w:val="22"/>
          <w:szCs w:val="22"/>
        </w:rPr>
        <w:t>+</w:t>
      </w:r>
      <w:r>
        <w:rPr>
          <w:b/>
          <w:bCs/>
          <w:color w:val="000000" w:themeColor="text1"/>
          <w:sz w:val="22"/>
          <w:szCs w:val="22"/>
        </w:rPr>
        <w:t xml:space="preserve"> (T×F)ij+eij</w:t>
      </w:r>
    </w:p>
    <w:p w14:paraId="43E232E1" w14:textId="77777777" w:rsidR="00922ED9" w:rsidRPr="002141AA" w:rsidRDefault="0039171D" w:rsidP="0039171D">
      <w:pPr>
        <w:spacing w:after="100" w:line="300" w:lineRule="auto"/>
        <w:jc w:val="center"/>
        <w:rPr>
          <w:color w:val="000000" w:themeColor="text1"/>
        </w:rPr>
      </w:pPr>
      <w:r w:rsidRPr="002141AA">
        <w:rPr>
          <w:color w:val="000000" w:themeColor="text1"/>
          <w:sz w:val="22"/>
          <w:szCs w:val="22"/>
        </w:rPr>
        <w:t>where Yij is the observation on the jth replicate of the ith treatment, μ is the general population mean, Ti is the effect of the ith dietary treatment, and eij is the random experimental error associated with the ith treatment and jth replicate.</w:t>
      </w:r>
    </w:p>
    <w:p w14:paraId="57C6B2A9" w14:textId="77777777" w:rsidR="00922ED9" w:rsidRPr="002141AA" w:rsidRDefault="0039171D">
      <w:pPr>
        <w:spacing w:before="300" w:after="140"/>
        <w:rPr>
          <w:color w:val="000000" w:themeColor="text1"/>
        </w:rPr>
      </w:pPr>
      <w:r w:rsidRPr="002141AA">
        <w:rPr>
          <w:b/>
          <w:bCs/>
          <w:color w:val="000000" w:themeColor="text1"/>
          <w:sz w:val="26"/>
          <w:szCs w:val="26"/>
        </w:rPr>
        <w:t>3. RESULTS AND DISCUSSION</w:t>
      </w:r>
    </w:p>
    <w:p w14:paraId="7CC0DDD3" w14:textId="77777777" w:rsidR="00922ED9" w:rsidRPr="002141AA" w:rsidRDefault="0039171D">
      <w:pPr>
        <w:spacing w:before="220" w:after="120"/>
        <w:rPr>
          <w:color w:val="000000" w:themeColor="text1"/>
        </w:rPr>
      </w:pPr>
      <w:r w:rsidRPr="002141AA">
        <w:rPr>
          <w:b/>
          <w:bCs/>
          <w:i/>
          <w:iCs/>
          <w:color w:val="000000" w:themeColor="text1"/>
          <w:sz w:val="23"/>
          <w:szCs w:val="23"/>
        </w:rPr>
        <w:t>3.1 Body Weight</w:t>
      </w:r>
    </w:p>
    <w:p w14:paraId="0E0ADF17" w14:textId="77777777" w:rsidR="00922ED9" w:rsidRPr="002141AA" w:rsidRDefault="0039171D" w:rsidP="002141AA">
      <w:pPr>
        <w:spacing w:after="160" w:line="300" w:lineRule="auto"/>
        <w:ind w:firstLine="720"/>
        <w:jc w:val="both"/>
        <w:rPr>
          <w:color w:val="000000" w:themeColor="text1"/>
        </w:rPr>
      </w:pPr>
      <w:r w:rsidRPr="002141AA">
        <w:rPr>
          <w:color w:val="000000" w:themeColor="text1"/>
          <w:sz w:val="22"/>
          <w:szCs w:val="22"/>
        </w:rPr>
        <w:t>The weekly and mean body weight (g) of broiler chicks under the five dietary treatments are presented in Table 1. Day-old body weight was statistically comparable across all groups, confirming uniform distribution of chicks at the start of the trial. Thereafter, body weight increased progressively across all groups, but the rate of gain differed significantly (P&lt;0.05) among treatments from the 1st week onward. At 5 weeks of age, the highest body weight was recorded in T1 (2187.00 g), followed by T4 (2084.83 g), T3 (2054.91 g), T2 (1985.50 g), and the Control (1814.91 g); the same ranking held for the overall mean body weight (T1: 891.13 g &gt; T4: 863.41 g &gt; T3: 846.93 g &gt; T2: 823.94 g &gt; Control: 739.51 g).</w:t>
      </w:r>
    </w:p>
    <w:p w14:paraId="521D3D83" w14:textId="77777777" w:rsidR="00922ED9" w:rsidRPr="002141AA" w:rsidRDefault="0039171D">
      <w:pPr>
        <w:spacing w:before="80" w:after="60"/>
        <w:rPr>
          <w:color w:val="000000" w:themeColor="text1"/>
        </w:rPr>
      </w:pPr>
      <w:r w:rsidRPr="002141AA">
        <w:rPr>
          <w:b/>
          <w:bCs/>
          <w:color w:val="000000" w:themeColor="text1"/>
        </w:rPr>
        <w:t>Table 1. Effect of dietary treatments on weekly body weight (g) of broiler chicken</w:t>
      </w:r>
    </w:p>
    <w:tbl>
      <w:tblPr>
        <w:tblW w:w="9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300"/>
        <w:gridCol w:w="1300"/>
        <w:gridCol w:w="1300"/>
        <w:gridCol w:w="1300"/>
        <w:gridCol w:w="1300"/>
        <w:gridCol w:w="1300"/>
      </w:tblGrid>
      <w:tr w:rsidR="002141AA" w:rsidRPr="002141AA" w14:paraId="6E09EA94" w14:textId="77777777" w:rsidTr="002141AA">
        <w:trPr>
          <w:tblHeader/>
          <w:jc w:val="center"/>
        </w:trPr>
        <w:tc>
          <w:tcPr>
            <w:tcW w:w="1700" w:type="dxa"/>
            <w:tcMar>
              <w:top w:w="60" w:type="dxa"/>
              <w:left w:w="80" w:type="dxa"/>
              <w:bottom w:w="60" w:type="dxa"/>
              <w:right w:w="80" w:type="dxa"/>
            </w:tcMar>
            <w:vAlign w:val="center"/>
          </w:tcPr>
          <w:p w14:paraId="46CDA15B" w14:textId="77777777" w:rsidR="00922ED9" w:rsidRPr="002141AA" w:rsidRDefault="0039171D">
            <w:pPr>
              <w:jc w:val="center"/>
              <w:rPr>
                <w:color w:val="000000" w:themeColor="text1"/>
              </w:rPr>
            </w:pPr>
            <w:r w:rsidRPr="002141AA">
              <w:rPr>
                <w:b/>
                <w:bCs/>
                <w:color w:val="000000" w:themeColor="text1"/>
                <w:sz w:val="19"/>
                <w:szCs w:val="19"/>
              </w:rPr>
              <w:t>Age (weeks)</w:t>
            </w:r>
          </w:p>
        </w:tc>
        <w:tc>
          <w:tcPr>
            <w:tcW w:w="1300" w:type="dxa"/>
            <w:tcMar>
              <w:top w:w="60" w:type="dxa"/>
              <w:left w:w="80" w:type="dxa"/>
              <w:bottom w:w="60" w:type="dxa"/>
              <w:right w:w="80" w:type="dxa"/>
            </w:tcMar>
            <w:vAlign w:val="center"/>
          </w:tcPr>
          <w:p w14:paraId="59B406EF" w14:textId="77777777" w:rsidR="00922ED9" w:rsidRPr="002141AA" w:rsidRDefault="0039171D">
            <w:pPr>
              <w:jc w:val="center"/>
              <w:rPr>
                <w:color w:val="000000" w:themeColor="text1"/>
              </w:rPr>
            </w:pPr>
            <w:r w:rsidRPr="002141AA">
              <w:rPr>
                <w:b/>
                <w:bCs/>
                <w:color w:val="000000" w:themeColor="text1"/>
                <w:sz w:val="19"/>
                <w:szCs w:val="19"/>
              </w:rPr>
              <w:t>Control</w:t>
            </w:r>
          </w:p>
        </w:tc>
        <w:tc>
          <w:tcPr>
            <w:tcW w:w="1300" w:type="dxa"/>
            <w:tcMar>
              <w:top w:w="60" w:type="dxa"/>
              <w:left w:w="80" w:type="dxa"/>
              <w:bottom w:w="60" w:type="dxa"/>
              <w:right w:w="80" w:type="dxa"/>
            </w:tcMar>
            <w:vAlign w:val="center"/>
          </w:tcPr>
          <w:p w14:paraId="6A7AE7B9" w14:textId="77777777" w:rsidR="00922ED9" w:rsidRPr="002141AA" w:rsidRDefault="0039171D">
            <w:pPr>
              <w:jc w:val="center"/>
              <w:rPr>
                <w:color w:val="000000" w:themeColor="text1"/>
              </w:rPr>
            </w:pPr>
            <w:r w:rsidRPr="002141AA">
              <w:rPr>
                <w:b/>
                <w:bCs/>
                <w:color w:val="000000" w:themeColor="text1"/>
                <w:sz w:val="19"/>
                <w:szCs w:val="19"/>
              </w:rPr>
              <w:t>T1 (Cinnamon oil)</w:t>
            </w:r>
          </w:p>
        </w:tc>
        <w:tc>
          <w:tcPr>
            <w:tcW w:w="1300" w:type="dxa"/>
            <w:tcMar>
              <w:top w:w="60" w:type="dxa"/>
              <w:left w:w="80" w:type="dxa"/>
              <w:bottom w:w="60" w:type="dxa"/>
              <w:right w:w="80" w:type="dxa"/>
            </w:tcMar>
            <w:vAlign w:val="center"/>
          </w:tcPr>
          <w:p w14:paraId="08188970" w14:textId="77777777" w:rsidR="00922ED9" w:rsidRPr="002141AA" w:rsidRDefault="0039171D">
            <w:pPr>
              <w:jc w:val="center"/>
              <w:rPr>
                <w:color w:val="000000" w:themeColor="text1"/>
              </w:rPr>
            </w:pPr>
            <w:r w:rsidRPr="002141AA">
              <w:rPr>
                <w:b/>
                <w:bCs/>
                <w:color w:val="000000" w:themeColor="text1"/>
                <w:sz w:val="19"/>
                <w:szCs w:val="19"/>
              </w:rPr>
              <w:t>T2 (Clove oil)</w:t>
            </w:r>
          </w:p>
        </w:tc>
        <w:tc>
          <w:tcPr>
            <w:tcW w:w="1300" w:type="dxa"/>
            <w:tcMar>
              <w:top w:w="60" w:type="dxa"/>
              <w:left w:w="80" w:type="dxa"/>
              <w:bottom w:w="60" w:type="dxa"/>
              <w:right w:w="80" w:type="dxa"/>
            </w:tcMar>
            <w:vAlign w:val="center"/>
          </w:tcPr>
          <w:p w14:paraId="305D5060" w14:textId="77777777" w:rsidR="00922ED9" w:rsidRPr="002141AA" w:rsidRDefault="0039171D">
            <w:pPr>
              <w:jc w:val="center"/>
              <w:rPr>
                <w:color w:val="000000" w:themeColor="text1"/>
              </w:rPr>
            </w:pPr>
            <w:r w:rsidRPr="002141AA">
              <w:rPr>
                <w:b/>
                <w:bCs/>
                <w:color w:val="000000" w:themeColor="text1"/>
                <w:sz w:val="19"/>
                <w:szCs w:val="19"/>
              </w:rPr>
              <w:t>T3 (Antibiotic)</w:t>
            </w:r>
          </w:p>
        </w:tc>
        <w:tc>
          <w:tcPr>
            <w:tcW w:w="1300" w:type="dxa"/>
            <w:tcMar>
              <w:top w:w="60" w:type="dxa"/>
              <w:left w:w="80" w:type="dxa"/>
              <w:bottom w:w="60" w:type="dxa"/>
              <w:right w:w="80" w:type="dxa"/>
            </w:tcMar>
            <w:vAlign w:val="center"/>
          </w:tcPr>
          <w:p w14:paraId="06E13FAE" w14:textId="77777777" w:rsidR="00922ED9" w:rsidRPr="002141AA" w:rsidRDefault="0039171D">
            <w:pPr>
              <w:jc w:val="center"/>
              <w:rPr>
                <w:color w:val="000000" w:themeColor="text1"/>
              </w:rPr>
            </w:pPr>
            <w:r w:rsidRPr="002141AA">
              <w:rPr>
                <w:b/>
                <w:bCs/>
                <w:color w:val="000000" w:themeColor="text1"/>
                <w:sz w:val="19"/>
                <w:szCs w:val="19"/>
              </w:rPr>
              <w:t>T4 (Cinnamon + Clove oil)</w:t>
            </w:r>
          </w:p>
        </w:tc>
        <w:tc>
          <w:tcPr>
            <w:tcW w:w="1300" w:type="dxa"/>
            <w:tcMar>
              <w:top w:w="60" w:type="dxa"/>
              <w:left w:w="80" w:type="dxa"/>
              <w:bottom w:w="60" w:type="dxa"/>
              <w:right w:w="80" w:type="dxa"/>
            </w:tcMar>
            <w:vAlign w:val="center"/>
          </w:tcPr>
          <w:p w14:paraId="0A54B0A9" w14:textId="77777777" w:rsidR="00922ED9" w:rsidRPr="002141AA" w:rsidRDefault="0039171D">
            <w:pPr>
              <w:jc w:val="center"/>
              <w:rPr>
                <w:color w:val="000000" w:themeColor="text1"/>
              </w:rPr>
            </w:pPr>
            <w:r w:rsidRPr="002141AA">
              <w:rPr>
                <w:b/>
                <w:bCs/>
                <w:color w:val="000000" w:themeColor="text1"/>
                <w:sz w:val="19"/>
                <w:szCs w:val="19"/>
              </w:rPr>
              <w:t>SEM</w:t>
            </w:r>
          </w:p>
        </w:tc>
      </w:tr>
      <w:tr w:rsidR="002141AA" w:rsidRPr="002141AA" w14:paraId="470A26E0" w14:textId="77777777" w:rsidTr="002141AA">
        <w:trPr>
          <w:jc w:val="center"/>
        </w:trPr>
        <w:tc>
          <w:tcPr>
            <w:tcW w:w="1700" w:type="dxa"/>
            <w:tcMar>
              <w:top w:w="50" w:type="dxa"/>
              <w:left w:w="80" w:type="dxa"/>
              <w:bottom w:w="50" w:type="dxa"/>
              <w:right w:w="80" w:type="dxa"/>
            </w:tcMar>
            <w:vAlign w:val="center"/>
          </w:tcPr>
          <w:p w14:paraId="0D792FE5" w14:textId="77777777" w:rsidR="00922ED9" w:rsidRPr="002141AA" w:rsidRDefault="0039171D">
            <w:pPr>
              <w:rPr>
                <w:color w:val="000000" w:themeColor="text1"/>
              </w:rPr>
            </w:pPr>
            <w:r w:rsidRPr="002141AA">
              <w:rPr>
                <w:b/>
                <w:bCs/>
                <w:color w:val="000000" w:themeColor="text1"/>
                <w:sz w:val="19"/>
                <w:szCs w:val="19"/>
              </w:rPr>
              <w:t>Day-old</w:t>
            </w:r>
          </w:p>
        </w:tc>
        <w:tc>
          <w:tcPr>
            <w:tcW w:w="1300" w:type="dxa"/>
            <w:tcMar>
              <w:top w:w="50" w:type="dxa"/>
              <w:left w:w="80" w:type="dxa"/>
              <w:bottom w:w="50" w:type="dxa"/>
              <w:right w:w="80" w:type="dxa"/>
            </w:tcMar>
            <w:vAlign w:val="center"/>
          </w:tcPr>
          <w:p w14:paraId="7D2F2F0B" w14:textId="77777777" w:rsidR="00922ED9" w:rsidRPr="002141AA" w:rsidRDefault="0039171D">
            <w:pPr>
              <w:jc w:val="center"/>
              <w:rPr>
                <w:color w:val="000000" w:themeColor="text1"/>
              </w:rPr>
            </w:pPr>
            <w:r w:rsidRPr="002141AA">
              <w:rPr>
                <w:color w:val="000000" w:themeColor="text1"/>
                <w:sz w:val="19"/>
                <w:szCs w:val="19"/>
              </w:rPr>
              <w:t>44.75</w:t>
            </w:r>
          </w:p>
        </w:tc>
        <w:tc>
          <w:tcPr>
            <w:tcW w:w="1300" w:type="dxa"/>
            <w:tcMar>
              <w:top w:w="50" w:type="dxa"/>
              <w:left w:w="80" w:type="dxa"/>
              <w:bottom w:w="50" w:type="dxa"/>
              <w:right w:w="80" w:type="dxa"/>
            </w:tcMar>
            <w:vAlign w:val="center"/>
          </w:tcPr>
          <w:p w14:paraId="162CA472" w14:textId="77777777" w:rsidR="00922ED9" w:rsidRPr="002141AA" w:rsidRDefault="0039171D">
            <w:pPr>
              <w:jc w:val="center"/>
              <w:rPr>
                <w:color w:val="000000" w:themeColor="text1"/>
              </w:rPr>
            </w:pPr>
            <w:r w:rsidRPr="002141AA">
              <w:rPr>
                <w:color w:val="000000" w:themeColor="text1"/>
                <w:sz w:val="19"/>
                <w:szCs w:val="19"/>
              </w:rPr>
              <w:t>44.42</w:t>
            </w:r>
          </w:p>
        </w:tc>
        <w:tc>
          <w:tcPr>
            <w:tcW w:w="1300" w:type="dxa"/>
            <w:tcMar>
              <w:top w:w="50" w:type="dxa"/>
              <w:left w:w="80" w:type="dxa"/>
              <w:bottom w:w="50" w:type="dxa"/>
              <w:right w:w="80" w:type="dxa"/>
            </w:tcMar>
            <w:vAlign w:val="center"/>
          </w:tcPr>
          <w:p w14:paraId="49AD6F2C" w14:textId="77777777" w:rsidR="00922ED9" w:rsidRPr="002141AA" w:rsidRDefault="0039171D">
            <w:pPr>
              <w:jc w:val="center"/>
              <w:rPr>
                <w:color w:val="000000" w:themeColor="text1"/>
              </w:rPr>
            </w:pPr>
            <w:r w:rsidRPr="002141AA">
              <w:rPr>
                <w:color w:val="000000" w:themeColor="text1"/>
                <w:sz w:val="19"/>
                <w:szCs w:val="19"/>
              </w:rPr>
              <w:t>45.08</w:t>
            </w:r>
          </w:p>
        </w:tc>
        <w:tc>
          <w:tcPr>
            <w:tcW w:w="1300" w:type="dxa"/>
            <w:tcMar>
              <w:top w:w="50" w:type="dxa"/>
              <w:left w:w="80" w:type="dxa"/>
              <w:bottom w:w="50" w:type="dxa"/>
              <w:right w:w="80" w:type="dxa"/>
            </w:tcMar>
            <w:vAlign w:val="center"/>
          </w:tcPr>
          <w:p w14:paraId="1D8EC8F2" w14:textId="77777777" w:rsidR="00922ED9" w:rsidRPr="002141AA" w:rsidRDefault="0039171D">
            <w:pPr>
              <w:jc w:val="center"/>
              <w:rPr>
                <w:color w:val="000000" w:themeColor="text1"/>
              </w:rPr>
            </w:pPr>
            <w:r w:rsidRPr="002141AA">
              <w:rPr>
                <w:color w:val="000000" w:themeColor="text1"/>
                <w:sz w:val="19"/>
                <w:szCs w:val="19"/>
              </w:rPr>
              <w:t>44.17</w:t>
            </w:r>
          </w:p>
        </w:tc>
        <w:tc>
          <w:tcPr>
            <w:tcW w:w="1300" w:type="dxa"/>
            <w:tcMar>
              <w:top w:w="50" w:type="dxa"/>
              <w:left w:w="80" w:type="dxa"/>
              <w:bottom w:w="50" w:type="dxa"/>
              <w:right w:w="80" w:type="dxa"/>
            </w:tcMar>
            <w:vAlign w:val="center"/>
          </w:tcPr>
          <w:p w14:paraId="09BFBD37" w14:textId="77777777" w:rsidR="00922ED9" w:rsidRPr="002141AA" w:rsidRDefault="0039171D">
            <w:pPr>
              <w:jc w:val="center"/>
              <w:rPr>
                <w:color w:val="000000" w:themeColor="text1"/>
              </w:rPr>
            </w:pPr>
            <w:r w:rsidRPr="002141AA">
              <w:rPr>
                <w:color w:val="000000" w:themeColor="text1"/>
                <w:sz w:val="19"/>
                <w:szCs w:val="19"/>
              </w:rPr>
              <w:t>44.50</w:t>
            </w:r>
          </w:p>
        </w:tc>
        <w:tc>
          <w:tcPr>
            <w:tcW w:w="1300" w:type="dxa"/>
            <w:tcMar>
              <w:top w:w="50" w:type="dxa"/>
              <w:left w:w="80" w:type="dxa"/>
              <w:bottom w:w="50" w:type="dxa"/>
              <w:right w:w="80" w:type="dxa"/>
            </w:tcMar>
            <w:vAlign w:val="center"/>
          </w:tcPr>
          <w:p w14:paraId="1BCA9D88" w14:textId="77777777" w:rsidR="00922ED9" w:rsidRPr="002141AA" w:rsidRDefault="0039171D">
            <w:pPr>
              <w:jc w:val="center"/>
              <w:rPr>
                <w:color w:val="000000" w:themeColor="text1"/>
              </w:rPr>
            </w:pPr>
            <w:r w:rsidRPr="002141AA">
              <w:rPr>
                <w:color w:val="000000" w:themeColor="text1"/>
                <w:sz w:val="19"/>
                <w:szCs w:val="19"/>
              </w:rPr>
              <w:t>0.81</w:t>
            </w:r>
          </w:p>
        </w:tc>
      </w:tr>
      <w:tr w:rsidR="002141AA" w:rsidRPr="002141AA" w14:paraId="20C31193" w14:textId="77777777" w:rsidTr="002141AA">
        <w:trPr>
          <w:jc w:val="center"/>
        </w:trPr>
        <w:tc>
          <w:tcPr>
            <w:tcW w:w="1700" w:type="dxa"/>
            <w:tcMar>
              <w:top w:w="50" w:type="dxa"/>
              <w:left w:w="80" w:type="dxa"/>
              <w:bottom w:w="50" w:type="dxa"/>
              <w:right w:w="80" w:type="dxa"/>
            </w:tcMar>
            <w:vAlign w:val="center"/>
          </w:tcPr>
          <w:p w14:paraId="6B822941" w14:textId="77777777" w:rsidR="00922ED9" w:rsidRPr="002141AA" w:rsidRDefault="0039171D">
            <w:pPr>
              <w:rPr>
                <w:color w:val="000000" w:themeColor="text1"/>
              </w:rPr>
            </w:pPr>
            <w:r w:rsidRPr="002141AA">
              <w:rPr>
                <w:b/>
                <w:bCs/>
                <w:color w:val="000000" w:themeColor="text1"/>
                <w:sz w:val="19"/>
                <w:szCs w:val="19"/>
              </w:rPr>
              <w:t>1 Week</w:t>
            </w:r>
          </w:p>
        </w:tc>
        <w:tc>
          <w:tcPr>
            <w:tcW w:w="1300" w:type="dxa"/>
            <w:tcMar>
              <w:top w:w="50" w:type="dxa"/>
              <w:left w:w="80" w:type="dxa"/>
              <w:bottom w:w="50" w:type="dxa"/>
              <w:right w:w="80" w:type="dxa"/>
            </w:tcMar>
            <w:vAlign w:val="center"/>
          </w:tcPr>
          <w:p w14:paraId="7B758032" w14:textId="77777777" w:rsidR="00922ED9" w:rsidRPr="002141AA" w:rsidRDefault="0039171D">
            <w:pPr>
              <w:jc w:val="center"/>
              <w:rPr>
                <w:color w:val="000000" w:themeColor="text1"/>
              </w:rPr>
            </w:pPr>
            <w:r w:rsidRPr="002141AA">
              <w:rPr>
                <w:color w:val="000000" w:themeColor="text1"/>
                <w:sz w:val="19"/>
                <w:szCs w:val="19"/>
              </w:rPr>
              <w:t>145.91</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65C3F96B" w14:textId="77777777" w:rsidR="00922ED9" w:rsidRPr="002141AA" w:rsidRDefault="0039171D">
            <w:pPr>
              <w:jc w:val="center"/>
              <w:rPr>
                <w:color w:val="000000" w:themeColor="text1"/>
              </w:rPr>
            </w:pPr>
            <w:r w:rsidRPr="002141AA">
              <w:rPr>
                <w:color w:val="000000" w:themeColor="text1"/>
                <w:sz w:val="19"/>
                <w:szCs w:val="19"/>
              </w:rPr>
              <w:t>194.58</w:t>
            </w:r>
            <w:r w:rsidRPr="002141AA">
              <w:rPr>
                <w:color w:val="000000" w:themeColor="text1"/>
                <w:sz w:val="19"/>
                <w:szCs w:val="19"/>
                <w:vertAlign w:val="superscript"/>
              </w:rPr>
              <w:t>e</w:t>
            </w:r>
          </w:p>
        </w:tc>
        <w:tc>
          <w:tcPr>
            <w:tcW w:w="1300" w:type="dxa"/>
            <w:tcMar>
              <w:top w:w="50" w:type="dxa"/>
              <w:left w:w="80" w:type="dxa"/>
              <w:bottom w:w="50" w:type="dxa"/>
              <w:right w:w="80" w:type="dxa"/>
            </w:tcMar>
            <w:vAlign w:val="center"/>
          </w:tcPr>
          <w:p w14:paraId="2A44766F" w14:textId="77777777" w:rsidR="00922ED9" w:rsidRPr="002141AA" w:rsidRDefault="0039171D">
            <w:pPr>
              <w:jc w:val="center"/>
              <w:rPr>
                <w:color w:val="000000" w:themeColor="text1"/>
              </w:rPr>
            </w:pPr>
            <w:r w:rsidRPr="002141AA">
              <w:rPr>
                <w:color w:val="000000" w:themeColor="text1"/>
                <w:sz w:val="19"/>
                <w:szCs w:val="19"/>
              </w:rPr>
              <w:t>164.85</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1F803DC5" w14:textId="77777777" w:rsidR="00922ED9" w:rsidRPr="002141AA" w:rsidRDefault="0039171D">
            <w:pPr>
              <w:jc w:val="center"/>
              <w:rPr>
                <w:color w:val="000000" w:themeColor="text1"/>
              </w:rPr>
            </w:pPr>
            <w:r w:rsidRPr="002141AA">
              <w:rPr>
                <w:color w:val="000000" w:themeColor="text1"/>
                <w:sz w:val="19"/>
                <w:szCs w:val="19"/>
              </w:rPr>
              <w:t>174.33</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15CE5FF2" w14:textId="77777777" w:rsidR="00922ED9" w:rsidRPr="002141AA" w:rsidRDefault="0039171D">
            <w:pPr>
              <w:jc w:val="center"/>
              <w:rPr>
                <w:color w:val="000000" w:themeColor="text1"/>
              </w:rPr>
            </w:pPr>
            <w:r w:rsidRPr="002141AA">
              <w:rPr>
                <w:color w:val="000000" w:themeColor="text1"/>
                <w:sz w:val="19"/>
                <w:szCs w:val="19"/>
              </w:rPr>
              <w:t>185.00</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2943954A" w14:textId="77777777" w:rsidR="00922ED9" w:rsidRPr="002141AA" w:rsidRDefault="0039171D">
            <w:pPr>
              <w:jc w:val="center"/>
              <w:rPr>
                <w:color w:val="000000" w:themeColor="text1"/>
              </w:rPr>
            </w:pPr>
            <w:r w:rsidRPr="002141AA">
              <w:rPr>
                <w:color w:val="000000" w:themeColor="text1"/>
                <w:sz w:val="19"/>
                <w:szCs w:val="19"/>
              </w:rPr>
              <w:t>0.89</w:t>
            </w:r>
          </w:p>
        </w:tc>
      </w:tr>
      <w:tr w:rsidR="002141AA" w:rsidRPr="002141AA" w14:paraId="47AA7915" w14:textId="77777777" w:rsidTr="002141AA">
        <w:trPr>
          <w:jc w:val="center"/>
        </w:trPr>
        <w:tc>
          <w:tcPr>
            <w:tcW w:w="1700" w:type="dxa"/>
            <w:tcMar>
              <w:top w:w="50" w:type="dxa"/>
              <w:left w:w="80" w:type="dxa"/>
              <w:bottom w:w="50" w:type="dxa"/>
              <w:right w:w="80" w:type="dxa"/>
            </w:tcMar>
            <w:vAlign w:val="center"/>
          </w:tcPr>
          <w:p w14:paraId="7685F822" w14:textId="77777777" w:rsidR="00922ED9" w:rsidRPr="002141AA" w:rsidRDefault="0039171D">
            <w:pPr>
              <w:rPr>
                <w:color w:val="000000" w:themeColor="text1"/>
              </w:rPr>
            </w:pPr>
            <w:r w:rsidRPr="002141AA">
              <w:rPr>
                <w:b/>
                <w:bCs/>
                <w:color w:val="000000" w:themeColor="text1"/>
                <w:sz w:val="19"/>
                <w:szCs w:val="19"/>
              </w:rPr>
              <w:t>2 Weeks</w:t>
            </w:r>
          </w:p>
        </w:tc>
        <w:tc>
          <w:tcPr>
            <w:tcW w:w="1300" w:type="dxa"/>
            <w:tcMar>
              <w:top w:w="50" w:type="dxa"/>
              <w:left w:w="80" w:type="dxa"/>
              <w:bottom w:w="50" w:type="dxa"/>
              <w:right w:w="80" w:type="dxa"/>
            </w:tcMar>
            <w:vAlign w:val="center"/>
          </w:tcPr>
          <w:p w14:paraId="0C8D385A" w14:textId="77777777" w:rsidR="00922ED9" w:rsidRPr="002141AA" w:rsidRDefault="0039171D">
            <w:pPr>
              <w:jc w:val="center"/>
              <w:rPr>
                <w:color w:val="000000" w:themeColor="text1"/>
              </w:rPr>
            </w:pPr>
            <w:r w:rsidRPr="002141AA">
              <w:rPr>
                <w:color w:val="000000" w:themeColor="text1"/>
                <w:sz w:val="19"/>
                <w:szCs w:val="19"/>
              </w:rPr>
              <w:t>385.08</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20B77BE3" w14:textId="77777777" w:rsidR="00922ED9" w:rsidRPr="002141AA" w:rsidRDefault="0039171D">
            <w:pPr>
              <w:jc w:val="center"/>
              <w:rPr>
                <w:color w:val="000000" w:themeColor="text1"/>
              </w:rPr>
            </w:pPr>
            <w:r w:rsidRPr="002141AA">
              <w:rPr>
                <w:color w:val="000000" w:themeColor="text1"/>
                <w:sz w:val="19"/>
                <w:szCs w:val="19"/>
              </w:rPr>
              <w:t>492.33</w:t>
            </w:r>
            <w:r w:rsidRPr="002141AA">
              <w:rPr>
                <w:color w:val="000000" w:themeColor="text1"/>
                <w:sz w:val="19"/>
                <w:szCs w:val="19"/>
                <w:vertAlign w:val="superscript"/>
              </w:rPr>
              <w:t>e</w:t>
            </w:r>
          </w:p>
        </w:tc>
        <w:tc>
          <w:tcPr>
            <w:tcW w:w="1300" w:type="dxa"/>
            <w:tcMar>
              <w:top w:w="50" w:type="dxa"/>
              <w:left w:w="80" w:type="dxa"/>
              <w:bottom w:w="50" w:type="dxa"/>
              <w:right w:w="80" w:type="dxa"/>
            </w:tcMar>
            <w:vAlign w:val="center"/>
          </w:tcPr>
          <w:p w14:paraId="3A1866DE" w14:textId="77777777" w:rsidR="00922ED9" w:rsidRPr="002141AA" w:rsidRDefault="0039171D">
            <w:pPr>
              <w:jc w:val="center"/>
              <w:rPr>
                <w:color w:val="000000" w:themeColor="text1"/>
              </w:rPr>
            </w:pPr>
            <w:r w:rsidRPr="002141AA">
              <w:rPr>
                <w:color w:val="000000" w:themeColor="text1"/>
                <w:sz w:val="19"/>
                <w:szCs w:val="19"/>
              </w:rPr>
              <w:t>446.41</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552F1D5A" w14:textId="77777777" w:rsidR="00922ED9" w:rsidRPr="002141AA" w:rsidRDefault="0039171D">
            <w:pPr>
              <w:jc w:val="center"/>
              <w:rPr>
                <w:color w:val="000000" w:themeColor="text1"/>
              </w:rPr>
            </w:pPr>
            <w:r w:rsidRPr="002141AA">
              <w:rPr>
                <w:color w:val="000000" w:themeColor="text1"/>
                <w:sz w:val="19"/>
                <w:szCs w:val="19"/>
              </w:rPr>
              <w:t>469.33</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0B85E336" w14:textId="77777777" w:rsidR="00922ED9" w:rsidRPr="002141AA" w:rsidRDefault="0039171D">
            <w:pPr>
              <w:jc w:val="center"/>
              <w:rPr>
                <w:color w:val="000000" w:themeColor="text1"/>
              </w:rPr>
            </w:pPr>
            <w:r w:rsidRPr="002141AA">
              <w:rPr>
                <w:color w:val="000000" w:themeColor="text1"/>
                <w:sz w:val="19"/>
                <w:szCs w:val="19"/>
              </w:rPr>
              <w:t>482.91</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2A6A361B" w14:textId="77777777" w:rsidR="00922ED9" w:rsidRPr="002141AA" w:rsidRDefault="0039171D">
            <w:pPr>
              <w:jc w:val="center"/>
              <w:rPr>
                <w:color w:val="000000" w:themeColor="text1"/>
              </w:rPr>
            </w:pPr>
            <w:r w:rsidRPr="002141AA">
              <w:rPr>
                <w:color w:val="000000" w:themeColor="text1"/>
                <w:sz w:val="19"/>
                <w:szCs w:val="19"/>
              </w:rPr>
              <w:t>1.61</w:t>
            </w:r>
          </w:p>
        </w:tc>
      </w:tr>
      <w:tr w:rsidR="002141AA" w:rsidRPr="002141AA" w14:paraId="47C618A0" w14:textId="77777777" w:rsidTr="002141AA">
        <w:trPr>
          <w:jc w:val="center"/>
        </w:trPr>
        <w:tc>
          <w:tcPr>
            <w:tcW w:w="1700" w:type="dxa"/>
            <w:tcMar>
              <w:top w:w="50" w:type="dxa"/>
              <w:left w:w="80" w:type="dxa"/>
              <w:bottom w:w="50" w:type="dxa"/>
              <w:right w:w="80" w:type="dxa"/>
            </w:tcMar>
            <w:vAlign w:val="center"/>
          </w:tcPr>
          <w:p w14:paraId="71F3FB35" w14:textId="77777777" w:rsidR="00922ED9" w:rsidRPr="002141AA" w:rsidRDefault="0039171D">
            <w:pPr>
              <w:rPr>
                <w:color w:val="000000" w:themeColor="text1"/>
              </w:rPr>
            </w:pPr>
            <w:r w:rsidRPr="002141AA">
              <w:rPr>
                <w:b/>
                <w:bCs/>
                <w:color w:val="000000" w:themeColor="text1"/>
                <w:sz w:val="19"/>
                <w:szCs w:val="19"/>
              </w:rPr>
              <w:t>3 Weeks</w:t>
            </w:r>
          </w:p>
        </w:tc>
        <w:tc>
          <w:tcPr>
            <w:tcW w:w="1300" w:type="dxa"/>
            <w:tcMar>
              <w:top w:w="50" w:type="dxa"/>
              <w:left w:w="80" w:type="dxa"/>
              <w:bottom w:w="50" w:type="dxa"/>
              <w:right w:w="80" w:type="dxa"/>
            </w:tcMar>
            <w:vAlign w:val="center"/>
          </w:tcPr>
          <w:p w14:paraId="37F925A1" w14:textId="77777777" w:rsidR="00922ED9" w:rsidRPr="002141AA" w:rsidRDefault="0039171D">
            <w:pPr>
              <w:jc w:val="center"/>
              <w:rPr>
                <w:color w:val="000000" w:themeColor="text1"/>
              </w:rPr>
            </w:pPr>
            <w:r w:rsidRPr="002141AA">
              <w:rPr>
                <w:color w:val="000000" w:themeColor="text1"/>
                <w:sz w:val="19"/>
                <w:szCs w:val="19"/>
              </w:rPr>
              <w:t>800.08</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6C255140" w14:textId="77777777" w:rsidR="00922ED9" w:rsidRPr="002141AA" w:rsidRDefault="0039171D">
            <w:pPr>
              <w:jc w:val="center"/>
              <w:rPr>
                <w:color w:val="000000" w:themeColor="text1"/>
              </w:rPr>
            </w:pPr>
            <w:r w:rsidRPr="002141AA">
              <w:rPr>
                <w:color w:val="000000" w:themeColor="text1"/>
                <w:sz w:val="19"/>
                <w:szCs w:val="19"/>
              </w:rPr>
              <w:t>935.08</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6EAAF431" w14:textId="77777777" w:rsidR="00922ED9" w:rsidRPr="002141AA" w:rsidRDefault="0039171D">
            <w:pPr>
              <w:jc w:val="center"/>
              <w:rPr>
                <w:color w:val="000000" w:themeColor="text1"/>
              </w:rPr>
            </w:pPr>
            <w:r w:rsidRPr="002141AA">
              <w:rPr>
                <w:color w:val="000000" w:themeColor="text1"/>
                <w:sz w:val="19"/>
                <w:szCs w:val="19"/>
              </w:rPr>
              <w:t>872.75</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2F66E407" w14:textId="77777777" w:rsidR="00922ED9" w:rsidRPr="002141AA" w:rsidRDefault="0039171D">
            <w:pPr>
              <w:jc w:val="center"/>
              <w:rPr>
                <w:color w:val="000000" w:themeColor="text1"/>
              </w:rPr>
            </w:pPr>
            <w:r w:rsidRPr="002141AA">
              <w:rPr>
                <w:color w:val="000000" w:themeColor="text1"/>
                <w:sz w:val="19"/>
                <w:szCs w:val="19"/>
              </w:rPr>
              <w:t>888.25</w:t>
            </w:r>
            <w:r w:rsidRPr="002141AA">
              <w:rPr>
                <w:color w:val="000000" w:themeColor="text1"/>
                <w:sz w:val="19"/>
                <w:szCs w:val="19"/>
                <w:vertAlign w:val="superscript"/>
              </w:rPr>
              <w:t>bc</w:t>
            </w:r>
          </w:p>
        </w:tc>
        <w:tc>
          <w:tcPr>
            <w:tcW w:w="1300" w:type="dxa"/>
            <w:tcMar>
              <w:top w:w="50" w:type="dxa"/>
              <w:left w:w="80" w:type="dxa"/>
              <w:bottom w:w="50" w:type="dxa"/>
              <w:right w:w="80" w:type="dxa"/>
            </w:tcMar>
            <w:vAlign w:val="center"/>
          </w:tcPr>
          <w:p w14:paraId="1946AD7F" w14:textId="77777777" w:rsidR="00922ED9" w:rsidRPr="002141AA" w:rsidRDefault="0039171D">
            <w:pPr>
              <w:jc w:val="center"/>
              <w:rPr>
                <w:color w:val="000000" w:themeColor="text1"/>
              </w:rPr>
            </w:pPr>
            <w:r w:rsidRPr="002141AA">
              <w:rPr>
                <w:color w:val="000000" w:themeColor="text1"/>
                <w:sz w:val="19"/>
                <w:szCs w:val="19"/>
              </w:rPr>
              <w:t>909.91</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477AA984" w14:textId="77777777" w:rsidR="00922ED9" w:rsidRPr="002141AA" w:rsidRDefault="0039171D">
            <w:pPr>
              <w:jc w:val="center"/>
              <w:rPr>
                <w:color w:val="000000" w:themeColor="text1"/>
              </w:rPr>
            </w:pPr>
            <w:r w:rsidRPr="002141AA">
              <w:rPr>
                <w:color w:val="000000" w:themeColor="text1"/>
                <w:sz w:val="19"/>
                <w:szCs w:val="19"/>
              </w:rPr>
              <w:t>4.68</w:t>
            </w:r>
          </w:p>
        </w:tc>
      </w:tr>
      <w:tr w:rsidR="002141AA" w:rsidRPr="002141AA" w14:paraId="4C82A4B7" w14:textId="77777777" w:rsidTr="002141AA">
        <w:trPr>
          <w:jc w:val="center"/>
        </w:trPr>
        <w:tc>
          <w:tcPr>
            <w:tcW w:w="1700" w:type="dxa"/>
            <w:tcMar>
              <w:top w:w="50" w:type="dxa"/>
              <w:left w:w="80" w:type="dxa"/>
              <w:bottom w:w="50" w:type="dxa"/>
              <w:right w:w="80" w:type="dxa"/>
            </w:tcMar>
            <w:vAlign w:val="center"/>
          </w:tcPr>
          <w:p w14:paraId="15AB8CA4" w14:textId="77777777" w:rsidR="00922ED9" w:rsidRPr="002141AA" w:rsidRDefault="0039171D">
            <w:pPr>
              <w:rPr>
                <w:color w:val="000000" w:themeColor="text1"/>
              </w:rPr>
            </w:pPr>
            <w:r w:rsidRPr="002141AA">
              <w:rPr>
                <w:b/>
                <w:bCs/>
                <w:color w:val="000000" w:themeColor="text1"/>
                <w:sz w:val="19"/>
                <w:szCs w:val="19"/>
              </w:rPr>
              <w:t>4 Weeks</w:t>
            </w:r>
          </w:p>
        </w:tc>
        <w:tc>
          <w:tcPr>
            <w:tcW w:w="1300" w:type="dxa"/>
            <w:tcMar>
              <w:top w:w="50" w:type="dxa"/>
              <w:left w:w="80" w:type="dxa"/>
              <w:bottom w:w="50" w:type="dxa"/>
              <w:right w:w="80" w:type="dxa"/>
            </w:tcMar>
            <w:vAlign w:val="center"/>
          </w:tcPr>
          <w:p w14:paraId="713F333C" w14:textId="77777777" w:rsidR="00922ED9" w:rsidRPr="002141AA" w:rsidRDefault="0039171D">
            <w:pPr>
              <w:jc w:val="center"/>
              <w:rPr>
                <w:color w:val="000000" w:themeColor="text1"/>
              </w:rPr>
            </w:pPr>
            <w:r w:rsidRPr="002141AA">
              <w:rPr>
                <w:color w:val="000000" w:themeColor="text1"/>
                <w:sz w:val="19"/>
                <w:szCs w:val="19"/>
              </w:rPr>
              <w:t>1246.66</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209D85D3" w14:textId="77777777" w:rsidR="00922ED9" w:rsidRPr="002141AA" w:rsidRDefault="0039171D">
            <w:pPr>
              <w:jc w:val="center"/>
              <w:rPr>
                <w:color w:val="000000" w:themeColor="text1"/>
              </w:rPr>
            </w:pPr>
            <w:r w:rsidRPr="002141AA">
              <w:rPr>
                <w:color w:val="000000" w:themeColor="text1"/>
                <w:sz w:val="19"/>
                <w:szCs w:val="19"/>
              </w:rPr>
              <w:t>1492.33</w:t>
            </w:r>
            <w:r w:rsidRPr="002141AA">
              <w:rPr>
                <w:color w:val="000000" w:themeColor="text1"/>
                <w:sz w:val="19"/>
                <w:szCs w:val="19"/>
                <w:vertAlign w:val="superscript"/>
              </w:rPr>
              <w:t>e</w:t>
            </w:r>
          </w:p>
        </w:tc>
        <w:tc>
          <w:tcPr>
            <w:tcW w:w="1300" w:type="dxa"/>
            <w:tcMar>
              <w:top w:w="50" w:type="dxa"/>
              <w:left w:w="80" w:type="dxa"/>
              <w:bottom w:w="50" w:type="dxa"/>
              <w:right w:w="80" w:type="dxa"/>
            </w:tcMar>
            <w:vAlign w:val="center"/>
          </w:tcPr>
          <w:p w14:paraId="5623C166" w14:textId="77777777" w:rsidR="00922ED9" w:rsidRPr="002141AA" w:rsidRDefault="0039171D">
            <w:pPr>
              <w:jc w:val="center"/>
              <w:rPr>
                <w:color w:val="000000" w:themeColor="text1"/>
              </w:rPr>
            </w:pPr>
            <w:r w:rsidRPr="002141AA">
              <w:rPr>
                <w:color w:val="000000" w:themeColor="text1"/>
                <w:sz w:val="19"/>
                <w:szCs w:val="19"/>
              </w:rPr>
              <w:t>1427.33</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34BF466A" w14:textId="77777777" w:rsidR="00922ED9" w:rsidRPr="002141AA" w:rsidRDefault="0039171D">
            <w:pPr>
              <w:jc w:val="center"/>
              <w:rPr>
                <w:color w:val="000000" w:themeColor="text1"/>
              </w:rPr>
            </w:pPr>
            <w:r w:rsidRPr="002141AA">
              <w:rPr>
                <w:color w:val="000000" w:themeColor="text1"/>
                <w:sz w:val="19"/>
                <w:szCs w:val="19"/>
              </w:rPr>
              <w:t>1459.50</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28FD1A9D" w14:textId="77777777" w:rsidR="00922ED9" w:rsidRPr="002141AA" w:rsidRDefault="0039171D">
            <w:pPr>
              <w:jc w:val="center"/>
              <w:rPr>
                <w:color w:val="000000" w:themeColor="text1"/>
              </w:rPr>
            </w:pPr>
            <w:r w:rsidRPr="002141AA">
              <w:rPr>
                <w:color w:val="000000" w:themeColor="text1"/>
                <w:sz w:val="19"/>
                <w:szCs w:val="19"/>
              </w:rPr>
              <w:t>1470.83</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10F2C52A" w14:textId="77777777" w:rsidR="00922ED9" w:rsidRPr="002141AA" w:rsidRDefault="0039171D">
            <w:pPr>
              <w:jc w:val="center"/>
              <w:rPr>
                <w:color w:val="000000" w:themeColor="text1"/>
              </w:rPr>
            </w:pPr>
            <w:r w:rsidRPr="002141AA">
              <w:rPr>
                <w:color w:val="000000" w:themeColor="text1"/>
                <w:sz w:val="19"/>
                <w:szCs w:val="19"/>
              </w:rPr>
              <w:t>4.35</w:t>
            </w:r>
          </w:p>
        </w:tc>
      </w:tr>
      <w:tr w:rsidR="002141AA" w:rsidRPr="002141AA" w14:paraId="1765210E" w14:textId="77777777" w:rsidTr="002141AA">
        <w:trPr>
          <w:jc w:val="center"/>
        </w:trPr>
        <w:tc>
          <w:tcPr>
            <w:tcW w:w="1700" w:type="dxa"/>
            <w:tcMar>
              <w:top w:w="50" w:type="dxa"/>
              <w:left w:w="80" w:type="dxa"/>
              <w:bottom w:w="50" w:type="dxa"/>
              <w:right w:w="80" w:type="dxa"/>
            </w:tcMar>
            <w:vAlign w:val="center"/>
          </w:tcPr>
          <w:p w14:paraId="4AF5CCC2" w14:textId="77777777" w:rsidR="00922ED9" w:rsidRPr="002141AA" w:rsidRDefault="0039171D">
            <w:pPr>
              <w:rPr>
                <w:color w:val="000000" w:themeColor="text1"/>
              </w:rPr>
            </w:pPr>
            <w:r w:rsidRPr="002141AA">
              <w:rPr>
                <w:b/>
                <w:bCs/>
                <w:color w:val="000000" w:themeColor="text1"/>
                <w:sz w:val="19"/>
                <w:szCs w:val="19"/>
              </w:rPr>
              <w:t>5 Weeks</w:t>
            </w:r>
          </w:p>
        </w:tc>
        <w:tc>
          <w:tcPr>
            <w:tcW w:w="1300" w:type="dxa"/>
            <w:tcMar>
              <w:top w:w="50" w:type="dxa"/>
              <w:left w:w="80" w:type="dxa"/>
              <w:bottom w:w="50" w:type="dxa"/>
              <w:right w:w="80" w:type="dxa"/>
            </w:tcMar>
            <w:vAlign w:val="center"/>
          </w:tcPr>
          <w:p w14:paraId="52BD04DE" w14:textId="77777777" w:rsidR="00922ED9" w:rsidRPr="002141AA" w:rsidRDefault="0039171D">
            <w:pPr>
              <w:jc w:val="center"/>
              <w:rPr>
                <w:color w:val="000000" w:themeColor="text1"/>
              </w:rPr>
            </w:pPr>
            <w:r w:rsidRPr="002141AA">
              <w:rPr>
                <w:color w:val="000000" w:themeColor="text1"/>
                <w:sz w:val="19"/>
                <w:szCs w:val="19"/>
              </w:rPr>
              <w:t>1814.91</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3870A30C" w14:textId="77777777" w:rsidR="00922ED9" w:rsidRPr="002141AA" w:rsidRDefault="0039171D">
            <w:pPr>
              <w:jc w:val="center"/>
              <w:rPr>
                <w:color w:val="000000" w:themeColor="text1"/>
              </w:rPr>
            </w:pPr>
            <w:r w:rsidRPr="002141AA">
              <w:rPr>
                <w:color w:val="000000" w:themeColor="text1"/>
                <w:sz w:val="19"/>
                <w:szCs w:val="19"/>
              </w:rPr>
              <w:t>2187.00</w:t>
            </w:r>
            <w:r w:rsidRPr="002141AA">
              <w:rPr>
                <w:color w:val="000000" w:themeColor="text1"/>
                <w:sz w:val="19"/>
                <w:szCs w:val="19"/>
                <w:vertAlign w:val="superscript"/>
              </w:rPr>
              <w:t>e</w:t>
            </w:r>
          </w:p>
        </w:tc>
        <w:tc>
          <w:tcPr>
            <w:tcW w:w="1300" w:type="dxa"/>
            <w:tcMar>
              <w:top w:w="50" w:type="dxa"/>
              <w:left w:w="80" w:type="dxa"/>
              <w:bottom w:w="50" w:type="dxa"/>
              <w:right w:w="80" w:type="dxa"/>
            </w:tcMar>
            <w:vAlign w:val="center"/>
          </w:tcPr>
          <w:p w14:paraId="542BDA80" w14:textId="77777777" w:rsidR="00922ED9" w:rsidRPr="002141AA" w:rsidRDefault="0039171D">
            <w:pPr>
              <w:jc w:val="center"/>
              <w:rPr>
                <w:color w:val="000000" w:themeColor="text1"/>
              </w:rPr>
            </w:pPr>
            <w:r w:rsidRPr="002141AA">
              <w:rPr>
                <w:color w:val="000000" w:themeColor="text1"/>
                <w:sz w:val="19"/>
                <w:szCs w:val="19"/>
              </w:rPr>
              <w:t>1985.50</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316A43DB" w14:textId="77777777" w:rsidR="00922ED9" w:rsidRPr="002141AA" w:rsidRDefault="0039171D">
            <w:pPr>
              <w:jc w:val="center"/>
              <w:rPr>
                <w:color w:val="000000" w:themeColor="text1"/>
              </w:rPr>
            </w:pPr>
            <w:r w:rsidRPr="002141AA">
              <w:rPr>
                <w:color w:val="000000" w:themeColor="text1"/>
                <w:sz w:val="19"/>
                <w:szCs w:val="19"/>
              </w:rPr>
              <w:t>2054.91</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54B9FCDA" w14:textId="77777777" w:rsidR="00922ED9" w:rsidRPr="002141AA" w:rsidRDefault="0039171D">
            <w:pPr>
              <w:jc w:val="center"/>
              <w:rPr>
                <w:color w:val="000000" w:themeColor="text1"/>
              </w:rPr>
            </w:pPr>
            <w:r w:rsidRPr="002141AA">
              <w:rPr>
                <w:color w:val="000000" w:themeColor="text1"/>
                <w:sz w:val="19"/>
                <w:szCs w:val="19"/>
              </w:rPr>
              <w:t>2084.83</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7E261E4B" w14:textId="77777777" w:rsidR="00922ED9" w:rsidRPr="002141AA" w:rsidRDefault="0039171D">
            <w:pPr>
              <w:jc w:val="center"/>
              <w:rPr>
                <w:color w:val="000000" w:themeColor="text1"/>
              </w:rPr>
            </w:pPr>
            <w:r w:rsidRPr="002141AA">
              <w:rPr>
                <w:color w:val="000000" w:themeColor="text1"/>
                <w:sz w:val="19"/>
                <w:szCs w:val="19"/>
              </w:rPr>
              <w:t>4.10</w:t>
            </w:r>
          </w:p>
        </w:tc>
      </w:tr>
      <w:tr w:rsidR="002141AA" w:rsidRPr="002141AA" w14:paraId="79FD0B23" w14:textId="77777777" w:rsidTr="002141AA">
        <w:trPr>
          <w:jc w:val="center"/>
        </w:trPr>
        <w:tc>
          <w:tcPr>
            <w:tcW w:w="1700" w:type="dxa"/>
            <w:tcMar>
              <w:top w:w="50" w:type="dxa"/>
              <w:left w:w="80" w:type="dxa"/>
              <w:bottom w:w="50" w:type="dxa"/>
              <w:right w:w="80" w:type="dxa"/>
            </w:tcMar>
            <w:vAlign w:val="center"/>
          </w:tcPr>
          <w:p w14:paraId="1DB1C8AA" w14:textId="77777777" w:rsidR="00922ED9" w:rsidRPr="002141AA" w:rsidRDefault="0039171D">
            <w:pPr>
              <w:rPr>
                <w:color w:val="000000" w:themeColor="text1"/>
              </w:rPr>
            </w:pPr>
            <w:r w:rsidRPr="002141AA">
              <w:rPr>
                <w:b/>
                <w:bCs/>
                <w:color w:val="000000" w:themeColor="text1"/>
                <w:sz w:val="19"/>
                <w:szCs w:val="19"/>
              </w:rPr>
              <w:t>Mean</w:t>
            </w:r>
          </w:p>
        </w:tc>
        <w:tc>
          <w:tcPr>
            <w:tcW w:w="1300" w:type="dxa"/>
            <w:tcMar>
              <w:top w:w="50" w:type="dxa"/>
              <w:left w:w="80" w:type="dxa"/>
              <w:bottom w:w="50" w:type="dxa"/>
              <w:right w:w="80" w:type="dxa"/>
            </w:tcMar>
            <w:vAlign w:val="center"/>
          </w:tcPr>
          <w:p w14:paraId="486BEC89" w14:textId="77777777" w:rsidR="00922ED9" w:rsidRPr="002141AA" w:rsidRDefault="0039171D">
            <w:pPr>
              <w:jc w:val="center"/>
              <w:rPr>
                <w:color w:val="000000" w:themeColor="text1"/>
              </w:rPr>
            </w:pPr>
            <w:r w:rsidRPr="002141AA">
              <w:rPr>
                <w:color w:val="000000" w:themeColor="text1"/>
                <w:sz w:val="19"/>
                <w:szCs w:val="19"/>
              </w:rPr>
              <w:t>739.51</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6F5E283F" w14:textId="77777777" w:rsidR="00922ED9" w:rsidRPr="002141AA" w:rsidRDefault="0039171D">
            <w:pPr>
              <w:jc w:val="center"/>
              <w:rPr>
                <w:color w:val="000000" w:themeColor="text1"/>
              </w:rPr>
            </w:pPr>
            <w:r w:rsidRPr="002141AA">
              <w:rPr>
                <w:color w:val="000000" w:themeColor="text1"/>
                <w:sz w:val="19"/>
                <w:szCs w:val="19"/>
              </w:rPr>
              <w:t>891.13</w:t>
            </w:r>
            <w:r w:rsidRPr="002141AA">
              <w:rPr>
                <w:color w:val="000000" w:themeColor="text1"/>
                <w:sz w:val="19"/>
                <w:szCs w:val="19"/>
                <w:vertAlign w:val="superscript"/>
              </w:rPr>
              <w:t>e</w:t>
            </w:r>
          </w:p>
        </w:tc>
        <w:tc>
          <w:tcPr>
            <w:tcW w:w="1300" w:type="dxa"/>
            <w:tcMar>
              <w:top w:w="50" w:type="dxa"/>
              <w:left w:w="80" w:type="dxa"/>
              <w:bottom w:w="50" w:type="dxa"/>
              <w:right w:w="80" w:type="dxa"/>
            </w:tcMar>
            <w:vAlign w:val="center"/>
          </w:tcPr>
          <w:p w14:paraId="0A3AE8FC" w14:textId="77777777" w:rsidR="00922ED9" w:rsidRPr="002141AA" w:rsidRDefault="0039171D">
            <w:pPr>
              <w:jc w:val="center"/>
              <w:rPr>
                <w:color w:val="000000" w:themeColor="text1"/>
              </w:rPr>
            </w:pPr>
            <w:r w:rsidRPr="002141AA">
              <w:rPr>
                <w:color w:val="000000" w:themeColor="text1"/>
                <w:sz w:val="19"/>
                <w:szCs w:val="19"/>
              </w:rPr>
              <w:t>823.94</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1108B4D6" w14:textId="77777777" w:rsidR="00922ED9" w:rsidRPr="002141AA" w:rsidRDefault="0039171D">
            <w:pPr>
              <w:jc w:val="center"/>
              <w:rPr>
                <w:color w:val="000000" w:themeColor="text1"/>
              </w:rPr>
            </w:pPr>
            <w:r w:rsidRPr="002141AA">
              <w:rPr>
                <w:color w:val="000000" w:themeColor="text1"/>
                <w:sz w:val="19"/>
                <w:szCs w:val="19"/>
              </w:rPr>
              <w:t>846.93</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160E2C71" w14:textId="77777777" w:rsidR="00922ED9" w:rsidRPr="002141AA" w:rsidRDefault="0039171D">
            <w:pPr>
              <w:jc w:val="center"/>
              <w:rPr>
                <w:color w:val="000000" w:themeColor="text1"/>
              </w:rPr>
            </w:pPr>
            <w:r w:rsidRPr="002141AA">
              <w:rPr>
                <w:color w:val="000000" w:themeColor="text1"/>
                <w:sz w:val="19"/>
                <w:szCs w:val="19"/>
              </w:rPr>
              <w:t>863.41</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38CBB575" w14:textId="77777777" w:rsidR="00922ED9" w:rsidRPr="002141AA" w:rsidRDefault="0039171D">
            <w:pPr>
              <w:jc w:val="center"/>
              <w:rPr>
                <w:color w:val="000000" w:themeColor="text1"/>
              </w:rPr>
            </w:pPr>
            <w:r w:rsidRPr="002141AA">
              <w:rPr>
                <w:color w:val="000000" w:themeColor="text1"/>
                <w:sz w:val="19"/>
                <w:szCs w:val="19"/>
              </w:rPr>
              <w:t>3.12</w:t>
            </w:r>
          </w:p>
        </w:tc>
      </w:tr>
    </w:tbl>
    <w:p w14:paraId="7BA14269" w14:textId="77777777" w:rsidR="00922ED9" w:rsidRDefault="0039171D">
      <w:pPr>
        <w:spacing w:before="60" w:after="200"/>
        <w:rPr>
          <w:i/>
          <w:iCs/>
          <w:color w:val="000000" w:themeColor="text1"/>
          <w:sz w:val="17"/>
          <w:szCs w:val="17"/>
        </w:rPr>
      </w:pPr>
      <w:r w:rsidRPr="002141AA">
        <w:rPr>
          <w:i/>
          <w:iCs/>
          <w:color w:val="000000" w:themeColor="text1"/>
          <w:sz w:val="17"/>
          <w:szCs w:val="17"/>
        </w:rPr>
        <w:t>SEM: standard error of the mean; a, b, c, d, e: values within a row bearing different superscripts differ significantly (P&lt;0.05).</w:t>
      </w:r>
    </w:p>
    <w:p w14:paraId="747DAA5B" w14:textId="77777777" w:rsidR="00493C87" w:rsidRDefault="00493C87">
      <w:pPr>
        <w:spacing w:before="60" w:after="200"/>
        <w:rPr>
          <w:i/>
          <w:iCs/>
          <w:color w:val="000000" w:themeColor="text1"/>
          <w:sz w:val="17"/>
          <w:szCs w:val="17"/>
        </w:rPr>
      </w:pPr>
    </w:p>
    <w:p w14:paraId="13FD5AC6" w14:textId="263B81B0" w:rsidR="00493C87" w:rsidRDefault="001D522F" w:rsidP="00493C87">
      <w:pPr>
        <w:spacing w:before="60" w:after="200"/>
        <w:jc w:val="center"/>
        <w:rPr>
          <w:color w:val="000000" w:themeColor="text1"/>
        </w:rPr>
      </w:pPr>
      <w:r w:rsidRPr="001D522F">
        <w:rPr>
          <w:noProof/>
          <w:color w:val="000000" w:themeColor="text1"/>
        </w:rPr>
        <mc:AlternateContent>
          <mc:Choice Requires="cx1">
            <w:drawing>
              <wp:inline distT="0" distB="0" distL="0" distR="0" wp14:anchorId="38101CEC" wp14:editId="7D5AFA26">
                <wp:extent cx="4201160" cy="2025650"/>
                <wp:effectExtent l="0" t="0" r="0" b="0"/>
                <wp:docPr id="3" name="Chart 1"/>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
                  </a:graphicData>
                </a:graphic>
              </wp:inline>
            </w:drawing>
          </mc:Choice>
          <mc:Fallback>
            <w:drawing>
              <wp:inline distT="0" distB="0" distL="0" distR="0" wp14:anchorId="38101CEC" wp14:editId="7D5AFA26">
                <wp:extent cx="4201160" cy="2025650"/>
                <wp:effectExtent l="0" t="0" r="0" b="0"/>
                <wp:docPr id="3" name="Chart 1"/>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 name="Chart 1"/>
                        <pic:cNvPicPr>
                          <a:picLocks noGrp="1" noRot="1" noChangeAspect="1" noMove="1" noResize="1" noEditPoints="1" noAdjustHandles="1" noChangeArrowheads="1" noChangeShapeType="1"/>
                        </pic:cNvPicPr>
                      </pic:nvPicPr>
                      <pic:blipFill>
                        <a:blip r:embed="rId8"/>
                        <a:stretch>
                          <a:fillRect/>
                        </a:stretch>
                      </pic:blipFill>
                      <pic:spPr>
                        <a:xfrm>
                          <a:off x="0" y="0"/>
                          <a:ext cx="4201160" cy="2025650"/>
                        </a:xfrm>
                        <a:prstGeom prst="rect">
                          <a:avLst/>
                        </a:prstGeom>
                      </pic:spPr>
                    </pic:pic>
                  </a:graphicData>
                </a:graphic>
              </wp:inline>
            </w:drawing>
          </mc:Fallback>
        </mc:AlternateContent>
      </w:r>
    </w:p>
    <w:p w14:paraId="71DA8AEF" w14:textId="77777777" w:rsidR="00C42C30" w:rsidRDefault="00C42C30" w:rsidP="002141AA">
      <w:pPr>
        <w:spacing w:after="160" w:line="300" w:lineRule="auto"/>
        <w:ind w:firstLine="720"/>
        <w:jc w:val="both"/>
        <w:rPr>
          <w:color w:val="000000" w:themeColor="text1"/>
        </w:rPr>
      </w:pPr>
      <w:r w:rsidRPr="00C42C30">
        <w:rPr>
          <w:color w:val="000000" w:themeColor="text1"/>
        </w:rPr>
        <w:t>Figure 1. Weekly body weight of broiler chickens under different dietary treatments.</w:t>
      </w:r>
    </w:p>
    <w:p w14:paraId="79901F30" w14:textId="5FD7B8D4" w:rsidR="00922ED9" w:rsidRPr="002141AA" w:rsidRDefault="0039171D" w:rsidP="002141AA">
      <w:pPr>
        <w:spacing w:after="160" w:line="300" w:lineRule="auto"/>
        <w:ind w:firstLine="720"/>
        <w:jc w:val="both"/>
        <w:rPr>
          <w:color w:val="000000" w:themeColor="text1"/>
        </w:rPr>
      </w:pPr>
      <w:r w:rsidRPr="002141AA">
        <w:rPr>
          <w:color w:val="000000" w:themeColor="text1"/>
          <w:sz w:val="22"/>
          <w:szCs w:val="22"/>
        </w:rPr>
        <w:t xml:space="preserve">The superior body weight recorded in T1 (cinnamon oil) is consistent with reports that cinnamon oil improves broiler growth through enhanced intestinal villus height and crypt depth, favourable modulation of gut </w:t>
      </w:r>
      <w:r w:rsidRPr="002141AA">
        <w:rPr>
          <w:color w:val="000000" w:themeColor="text1"/>
          <w:sz w:val="22"/>
          <w:szCs w:val="22"/>
        </w:rPr>
        <w:lastRenderedPageBreak/>
        <w:t>microbiota, and its antimicrobial and antioxidant bioactive fraction, comprising mainly cinnamaldehyde and eugenol (</w:t>
      </w:r>
      <w:r w:rsidRPr="002141AA">
        <w:rPr>
          <w:b/>
          <w:bCs/>
          <w:color w:val="000000" w:themeColor="text1"/>
          <w:sz w:val="22"/>
          <w:szCs w:val="22"/>
        </w:rPr>
        <w:t>Abd El-Hack et al., 2020; Solanki et al., 2022</w:t>
      </w:r>
      <w:r w:rsidRPr="002141AA">
        <w:rPr>
          <w:color w:val="000000" w:themeColor="text1"/>
          <w:sz w:val="22"/>
          <w:szCs w:val="22"/>
        </w:rPr>
        <w:t xml:space="preserve">). Similarly, </w:t>
      </w:r>
      <w:r w:rsidRPr="002141AA">
        <w:rPr>
          <w:b/>
          <w:bCs/>
          <w:color w:val="000000" w:themeColor="text1"/>
          <w:sz w:val="22"/>
          <w:szCs w:val="22"/>
        </w:rPr>
        <w:t>Shirzadegan et al. (2014) and Krauze et al. (2021</w:t>
      </w:r>
      <w:r w:rsidRPr="002141AA">
        <w:rPr>
          <w:color w:val="000000" w:themeColor="text1"/>
          <w:sz w:val="22"/>
          <w:szCs w:val="22"/>
        </w:rPr>
        <w:t>) reported significant improvement in body weight and growth performance of broilers supplemented with cinnamon oil or cinnamon-based phytobiotics compared with unsupplemented controls. The intermediate performance of the antibiotic (T3) group agrees with the classical growth-promoting action of tetracyclines through suppression of pathogenic and nutrient-competing gut bacteria (</w:t>
      </w:r>
      <w:r w:rsidRPr="002141AA">
        <w:rPr>
          <w:b/>
          <w:bCs/>
          <w:color w:val="000000" w:themeColor="text1"/>
          <w:sz w:val="22"/>
          <w:szCs w:val="22"/>
        </w:rPr>
        <w:t>Shah et al., 2022; Khadem et al., 2014</w:t>
      </w:r>
      <w:r w:rsidRPr="002141AA">
        <w:rPr>
          <w:color w:val="000000" w:themeColor="text1"/>
          <w:sz w:val="22"/>
          <w:szCs w:val="22"/>
        </w:rPr>
        <w:t>), though several reports note that tetracycline supplementation exerts only a modest or inconsistent effect on final body weight compared with well-formulated phytogenic alternatives (</w:t>
      </w:r>
      <w:r w:rsidRPr="002141AA">
        <w:rPr>
          <w:b/>
          <w:bCs/>
          <w:color w:val="000000" w:themeColor="text1"/>
          <w:sz w:val="22"/>
          <w:szCs w:val="22"/>
        </w:rPr>
        <w:t>Ereke et al., 2016; Peterson et al., 1991</w:t>
      </w:r>
      <w:r w:rsidRPr="002141AA">
        <w:rPr>
          <w:color w:val="000000" w:themeColor="text1"/>
          <w:sz w:val="22"/>
          <w:szCs w:val="22"/>
        </w:rPr>
        <w:t>). The lower body weight response in the clove oil (T2) group, though still significantly better than the Control, mirrors the variable dose-dependent response to clove oil/eugenol reported by Tahir et al. (2019) and Mukhtar (2011), wherein excessive eugenol inclusion suppressed feed intake and thereby moderated weight gain. Interestingly, the combined cinnamon-clove oil group (T4) did not surpass cinnamon oil alone (T1), suggesting that the two essential oils did not act synergistically at the doses tested, possibly owing to a ceiling effect on palatability or on the antimicrobial/antioxidant response once the more potent cinnamaldehyde-eugenol fraction from cinnamon oil was already active.</w:t>
      </w:r>
    </w:p>
    <w:p w14:paraId="29097CA9" w14:textId="77777777" w:rsidR="00922ED9" w:rsidRPr="002141AA" w:rsidRDefault="0039171D">
      <w:pPr>
        <w:spacing w:before="220" w:after="120"/>
        <w:rPr>
          <w:color w:val="000000" w:themeColor="text1"/>
        </w:rPr>
      </w:pPr>
      <w:r w:rsidRPr="002141AA">
        <w:rPr>
          <w:b/>
          <w:bCs/>
          <w:i/>
          <w:iCs/>
          <w:color w:val="000000" w:themeColor="text1"/>
          <w:sz w:val="23"/>
          <w:szCs w:val="23"/>
        </w:rPr>
        <w:t>3.2 Body Weight Gain</w:t>
      </w:r>
    </w:p>
    <w:p w14:paraId="6C001B8F" w14:textId="77777777" w:rsidR="00922ED9" w:rsidRPr="002141AA" w:rsidRDefault="0039171D">
      <w:pPr>
        <w:spacing w:after="160" w:line="300" w:lineRule="auto"/>
        <w:jc w:val="both"/>
        <w:rPr>
          <w:color w:val="000000" w:themeColor="text1"/>
        </w:rPr>
      </w:pPr>
      <w:r w:rsidRPr="002141AA">
        <w:rPr>
          <w:color w:val="000000" w:themeColor="text1"/>
          <w:sz w:val="22"/>
          <w:szCs w:val="22"/>
        </w:rPr>
        <w:t>Weekly body weight gain (g) differed significantly (P&lt;0.05) among treatments (Table 2). The overall mean BWG was highest in T1 (428.51 g/week), followed by T4 (408.63 g/week), T3 (402.13 g/week), T2 (387.68 g/week), and the Control (354.10 g/week).</w:t>
      </w:r>
    </w:p>
    <w:p w14:paraId="5B2E37AE" w14:textId="77777777" w:rsidR="00922ED9" w:rsidRPr="002141AA" w:rsidRDefault="0039171D">
      <w:pPr>
        <w:spacing w:before="80" w:after="60"/>
        <w:rPr>
          <w:color w:val="000000" w:themeColor="text1"/>
        </w:rPr>
      </w:pPr>
      <w:r w:rsidRPr="002141AA">
        <w:rPr>
          <w:b/>
          <w:bCs/>
          <w:color w:val="000000" w:themeColor="text1"/>
        </w:rPr>
        <w:t>Table 2. Effect of dietary treatments on weekly body weight gain (g) of broiler chicken</w:t>
      </w:r>
    </w:p>
    <w:tbl>
      <w:tblPr>
        <w:tblW w:w="9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300"/>
        <w:gridCol w:w="1300"/>
        <w:gridCol w:w="1300"/>
        <w:gridCol w:w="1300"/>
        <w:gridCol w:w="1300"/>
        <w:gridCol w:w="1300"/>
      </w:tblGrid>
      <w:tr w:rsidR="002141AA" w:rsidRPr="002141AA" w14:paraId="6184E3BA" w14:textId="77777777" w:rsidTr="002141AA">
        <w:trPr>
          <w:tblHeader/>
          <w:jc w:val="center"/>
        </w:trPr>
        <w:tc>
          <w:tcPr>
            <w:tcW w:w="1700" w:type="dxa"/>
            <w:tcBorders>
              <w:top w:val="single" w:sz="4" w:space="0" w:color="1B5E20"/>
              <w:left w:val="single" w:sz="4" w:space="0" w:color="1B5E20"/>
              <w:bottom w:val="single" w:sz="4" w:space="0" w:color="1B5E20"/>
              <w:right w:val="single" w:sz="4" w:space="0" w:color="1B5E20"/>
            </w:tcBorders>
            <w:tcMar>
              <w:top w:w="60" w:type="dxa"/>
              <w:left w:w="80" w:type="dxa"/>
              <w:bottom w:w="60" w:type="dxa"/>
              <w:right w:w="80" w:type="dxa"/>
            </w:tcMar>
            <w:vAlign w:val="center"/>
          </w:tcPr>
          <w:p w14:paraId="171AFC6F" w14:textId="77777777" w:rsidR="00922ED9" w:rsidRPr="002141AA" w:rsidRDefault="0039171D">
            <w:pPr>
              <w:jc w:val="center"/>
              <w:rPr>
                <w:color w:val="000000" w:themeColor="text1"/>
              </w:rPr>
            </w:pPr>
            <w:r w:rsidRPr="002141AA">
              <w:rPr>
                <w:b/>
                <w:bCs/>
                <w:color w:val="000000" w:themeColor="text1"/>
                <w:sz w:val="19"/>
                <w:szCs w:val="19"/>
              </w:rPr>
              <w:t>Age (weeks)</w:t>
            </w:r>
          </w:p>
        </w:tc>
        <w:tc>
          <w:tcPr>
            <w:tcW w:w="1300" w:type="dxa"/>
            <w:tcBorders>
              <w:top w:val="single" w:sz="4" w:space="0" w:color="1B5E20"/>
              <w:left w:val="single" w:sz="4" w:space="0" w:color="1B5E20"/>
              <w:bottom w:val="single" w:sz="4" w:space="0" w:color="1B5E20"/>
              <w:right w:val="single" w:sz="4" w:space="0" w:color="1B5E20"/>
            </w:tcBorders>
            <w:tcMar>
              <w:top w:w="60" w:type="dxa"/>
              <w:left w:w="80" w:type="dxa"/>
              <w:bottom w:w="60" w:type="dxa"/>
              <w:right w:w="80" w:type="dxa"/>
            </w:tcMar>
            <w:vAlign w:val="center"/>
          </w:tcPr>
          <w:p w14:paraId="0152E939" w14:textId="77777777" w:rsidR="00922ED9" w:rsidRPr="002141AA" w:rsidRDefault="0039171D">
            <w:pPr>
              <w:jc w:val="center"/>
              <w:rPr>
                <w:color w:val="000000" w:themeColor="text1"/>
              </w:rPr>
            </w:pPr>
            <w:r w:rsidRPr="002141AA">
              <w:rPr>
                <w:b/>
                <w:bCs/>
                <w:color w:val="000000" w:themeColor="text1"/>
                <w:sz w:val="19"/>
                <w:szCs w:val="19"/>
              </w:rPr>
              <w:t>Control</w:t>
            </w:r>
          </w:p>
        </w:tc>
        <w:tc>
          <w:tcPr>
            <w:tcW w:w="1300" w:type="dxa"/>
            <w:tcBorders>
              <w:top w:val="single" w:sz="4" w:space="0" w:color="1B5E20"/>
              <w:left w:val="single" w:sz="4" w:space="0" w:color="1B5E20"/>
              <w:bottom w:val="single" w:sz="4" w:space="0" w:color="1B5E20"/>
              <w:right w:val="single" w:sz="4" w:space="0" w:color="1B5E20"/>
            </w:tcBorders>
            <w:tcMar>
              <w:top w:w="60" w:type="dxa"/>
              <w:left w:w="80" w:type="dxa"/>
              <w:bottom w:w="60" w:type="dxa"/>
              <w:right w:w="80" w:type="dxa"/>
            </w:tcMar>
            <w:vAlign w:val="center"/>
          </w:tcPr>
          <w:p w14:paraId="64C9DA57" w14:textId="77777777" w:rsidR="00922ED9" w:rsidRPr="002141AA" w:rsidRDefault="0039171D">
            <w:pPr>
              <w:jc w:val="center"/>
              <w:rPr>
                <w:color w:val="000000" w:themeColor="text1"/>
              </w:rPr>
            </w:pPr>
            <w:r w:rsidRPr="002141AA">
              <w:rPr>
                <w:b/>
                <w:bCs/>
                <w:color w:val="000000" w:themeColor="text1"/>
                <w:sz w:val="19"/>
                <w:szCs w:val="19"/>
              </w:rPr>
              <w:t>T1 (Cinnamon oil)</w:t>
            </w:r>
          </w:p>
        </w:tc>
        <w:tc>
          <w:tcPr>
            <w:tcW w:w="1300" w:type="dxa"/>
            <w:tcBorders>
              <w:top w:val="single" w:sz="4" w:space="0" w:color="1B5E20"/>
              <w:left w:val="single" w:sz="4" w:space="0" w:color="1B5E20"/>
              <w:bottom w:val="single" w:sz="4" w:space="0" w:color="1B5E20"/>
              <w:right w:val="single" w:sz="4" w:space="0" w:color="1B5E20"/>
            </w:tcBorders>
            <w:tcMar>
              <w:top w:w="60" w:type="dxa"/>
              <w:left w:w="80" w:type="dxa"/>
              <w:bottom w:w="60" w:type="dxa"/>
              <w:right w:w="80" w:type="dxa"/>
            </w:tcMar>
            <w:vAlign w:val="center"/>
          </w:tcPr>
          <w:p w14:paraId="2ECA2302" w14:textId="77777777" w:rsidR="00922ED9" w:rsidRPr="002141AA" w:rsidRDefault="0039171D">
            <w:pPr>
              <w:jc w:val="center"/>
              <w:rPr>
                <w:color w:val="000000" w:themeColor="text1"/>
              </w:rPr>
            </w:pPr>
            <w:r w:rsidRPr="002141AA">
              <w:rPr>
                <w:b/>
                <w:bCs/>
                <w:color w:val="000000" w:themeColor="text1"/>
                <w:sz w:val="19"/>
                <w:szCs w:val="19"/>
              </w:rPr>
              <w:t>T2 (Clove oil)</w:t>
            </w:r>
          </w:p>
        </w:tc>
        <w:tc>
          <w:tcPr>
            <w:tcW w:w="1300" w:type="dxa"/>
            <w:tcBorders>
              <w:top w:val="single" w:sz="4" w:space="0" w:color="1B5E20"/>
              <w:left w:val="single" w:sz="4" w:space="0" w:color="1B5E20"/>
              <w:bottom w:val="single" w:sz="4" w:space="0" w:color="1B5E20"/>
              <w:right w:val="single" w:sz="4" w:space="0" w:color="1B5E20"/>
            </w:tcBorders>
            <w:tcMar>
              <w:top w:w="60" w:type="dxa"/>
              <w:left w:w="80" w:type="dxa"/>
              <w:bottom w:w="60" w:type="dxa"/>
              <w:right w:w="80" w:type="dxa"/>
            </w:tcMar>
            <w:vAlign w:val="center"/>
          </w:tcPr>
          <w:p w14:paraId="1BADDC25" w14:textId="77777777" w:rsidR="00922ED9" w:rsidRPr="002141AA" w:rsidRDefault="0039171D">
            <w:pPr>
              <w:jc w:val="center"/>
              <w:rPr>
                <w:color w:val="000000" w:themeColor="text1"/>
              </w:rPr>
            </w:pPr>
            <w:r w:rsidRPr="002141AA">
              <w:rPr>
                <w:b/>
                <w:bCs/>
                <w:color w:val="000000" w:themeColor="text1"/>
                <w:sz w:val="19"/>
                <w:szCs w:val="19"/>
              </w:rPr>
              <w:t>T3 (Antibiotic)</w:t>
            </w:r>
          </w:p>
        </w:tc>
        <w:tc>
          <w:tcPr>
            <w:tcW w:w="1300" w:type="dxa"/>
            <w:tcBorders>
              <w:top w:val="single" w:sz="4" w:space="0" w:color="1B5E20"/>
              <w:left w:val="single" w:sz="4" w:space="0" w:color="1B5E20"/>
              <w:bottom w:val="single" w:sz="4" w:space="0" w:color="1B5E20"/>
              <w:right w:val="single" w:sz="4" w:space="0" w:color="1B5E20"/>
            </w:tcBorders>
            <w:tcMar>
              <w:top w:w="60" w:type="dxa"/>
              <w:left w:w="80" w:type="dxa"/>
              <w:bottom w:w="60" w:type="dxa"/>
              <w:right w:w="80" w:type="dxa"/>
            </w:tcMar>
            <w:vAlign w:val="center"/>
          </w:tcPr>
          <w:p w14:paraId="77E337CD" w14:textId="77777777" w:rsidR="00922ED9" w:rsidRPr="002141AA" w:rsidRDefault="0039171D">
            <w:pPr>
              <w:jc w:val="center"/>
              <w:rPr>
                <w:color w:val="000000" w:themeColor="text1"/>
              </w:rPr>
            </w:pPr>
            <w:r w:rsidRPr="002141AA">
              <w:rPr>
                <w:b/>
                <w:bCs/>
                <w:color w:val="000000" w:themeColor="text1"/>
                <w:sz w:val="19"/>
                <w:szCs w:val="19"/>
              </w:rPr>
              <w:t>T4 (Cinnamon + Clove oil)</w:t>
            </w:r>
          </w:p>
        </w:tc>
        <w:tc>
          <w:tcPr>
            <w:tcW w:w="1300" w:type="dxa"/>
            <w:tcBorders>
              <w:top w:val="single" w:sz="4" w:space="0" w:color="1B5E20"/>
              <w:left w:val="single" w:sz="4" w:space="0" w:color="1B5E20"/>
              <w:bottom w:val="single" w:sz="4" w:space="0" w:color="1B5E20"/>
              <w:right w:val="single" w:sz="4" w:space="0" w:color="1B5E20"/>
            </w:tcBorders>
            <w:tcMar>
              <w:top w:w="60" w:type="dxa"/>
              <w:left w:w="80" w:type="dxa"/>
              <w:bottom w:w="60" w:type="dxa"/>
              <w:right w:w="80" w:type="dxa"/>
            </w:tcMar>
            <w:vAlign w:val="center"/>
          </w:tcPr>
          <w:p w14:paraId="62E0B4CC" w14:textId="77777777" w:rsidR="00922ED9" w:rsidRPr="002141AA" w:rsidRDefault="0039171D">
            <w:pPr>
              <w:jc w:val="center"/>
              <w:rPr>
                <w:color w:val="000000" w:themeColor="text1"/>
              </w:rPr>
            </w:pPr>
            <w:r w:rsidRPr="002141AA">
              <w:rPr>
                <w:b/>
                <w:bCs/>
                <w:color w:val="000000" w:themeColor="text1"/>
                <w:sz w:val="19"/>
                <w:szCs w:val="19"/>
              </w:rPr>
              <w:t>SEM</w:t>
            </w:r>
          </w:p>
        </w:tc>
      </w:tr>
      <w:tr w:rsidR="002141AA" w:rsidRPr="002141AA" w14:paraId="2A4E8EE0" w14:textId="77777777" w:rsidTr="002141AA">
        <w:trPr>
          <w:jc w:val="center"/>
        </w:trPr>
        <w:tc>
          <w:tcPr>
            <w:tcW w:w="17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42214CCF" w14:textId="77777777" w:rsidR="00922ED9" w:rsidRPr="002141AA" w:rsidRDefault="0039171D">
            <w:pPr>
              <w:rPr>
                <w:color w:val="000000" w:themeColor="text1"/>
              </w:rPr>
            </w:pPr>
            <w:r w:rsidRPr="002141AA">
              <w:rPr>
                <w:b/>
                <w:bCs/>
                <w:color w:val="000000" w:themeColor="text1"/>
                <w:sz w:val="19"/>
                <w:szCs w:val="19"/>
              </w:rPr>
              <w:t>1 Week</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128C6CCE" w14:textId="77777777" w:rsidR="00922ED9" w:rsidRPr="002141AA" w:rsidRDefault="0039171D">
            <w:pPr>
              <w:jc w:val="center"/>
              <w:rPr>
                <w:color w:val="000000" w:themeColor="text1"/>
              </w:rPr>
            </w:pPr>
            <w:r w:rsidRPr="002141AA">
              <w:rPr>
                <w:color w:val="000000" w:themeColor="text1"/>
                <w:sz w:val="19"/>
                <w:szCs w:val="19"/>
              </w:rPr>
              <w:t>101.50</w:t>
            </w:r>
            <w:r w:rsidRPr="002141AA">
              <w:rPr>
                <w:color w:val="000000" w:themeColor="text1"/>
                <w:sz w:val="19"/>
                <w:szCs w:val="19"/>
                <w:vertAlign w:val="superscript"/>
              </w:rPr>
              <w:t>a</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3036D8E1" w14:textId="77777777" w:rsidR="00922ED9" w:rsidRPr="002141AA" w:rsidRDefault="0039171D">
            <w:pPr>
              <w:jc w:val="center"/>
              <w:rPr>
                <w:color w:val="000000" w:themeColor="text1"/>
              </w:rPr>
            </w:pPr>
            <w:r w:rsidRPr="002141AA">
              <w:rPr>
                <w:color w:val="000000" w:themeColor="text1"/>
                <w:sz w:val="19"/>
                <w:szCs w:val="19"/>
              </w:rPr>
              <w:t>149.08</w:t>
            </w:r>
            <w:r w:rsidRPr="002141AA">
              <w:rPr>
                <w:color w:val="000000" w:themeColor="text1"/>
                <w:sz w:val="19"/>
                <w:szCs w:val="19"/>
                <w:vertAlign w:val="superscript"/>
              </w:rPr>
              <w:t>e</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432AF280" w14:textId="77777777" w:rsidR="00922ED9" w:rsidRPr="002141AA" w:rsidRDefault="0039171D">
            <w:pPr>
              <w:jc w:val="center"/>
              <w:rPr>
                <w:color w:val="000000" w:themeColor="text1"/>
              </w:rPr>
            </w:pPr>
            <w:r w:rsidRPr="002141AA">
              <w:rPr>
                <w:color w:val="000000" w:themeColor="text1"/>
                <w:sz w:val="19"/>
                <w:szCs w:val="19"/>
              </w:rPr>
              <w:t>117.50</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61A5EC45" w14:textId="77777777" w:rsidR="00922ED9" w:rsidRPr="002141AA" w:rsidRDefault="0039171D">
            <w:pPr>
              <w:jc w:val="center"/>
              <w:rPr>
                <w:color w:val="000000" w:themeColor="text1"/>
              </w:rPr>
            </w:pPr>
            <w:r w:rsidRPr="002141AA">
              <w:rPr>
                <w:color w:val="000000" w:themeColor="text1"/>
                <w:sz w:val="19"/>
                <w:szCs w:val="19"/>
              </w:rPr>
              <w:t>129.08</w:t>
            </w:r>
            <w:r w:rsidRPr="002141AA">
              <w:rPr>
                <w:color w:val="000000" w:themeColor="text1"/>
                <w:sz w:val="19"/>
                <w:szCs w:val="19"/>
                <w:vertAlign w:val="superscript"/>
              </w:rPr>
              <w:t>c</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3565EFC1" w14:textId="77777777" w:rsidR="00922ED9" w:rsidRPr="002141AA" w:rsidRDefault="0039171D">
            <w:pPr>
              <w:jc w:val="center"/>
              <w:rPr>
                <w:color w:val="000000" w:themeColor="text1"/>
              </w:rPr>
            </w:pPr>
            <w:r w:rsidRPr="002141AA">
              <w:rPr>
                <w:color w:val="000000" w:themeColor="text1"/>
                <w:sz w:val="19"/>
                <w:szCs w:val="19"/>
              </w:rPr>
              <w:t>137.83</w:t>
            </w:r>
            <w:r w:rsidRPr="002141AA">
              <w:rPr>
                <w:color w:val="000000" w:themeColor="text1"/>
                <w:sz w:val="19"/>
                <w:szCs w:val="19"/>
                <w:vertAlign w:val="superscript"/>
              </w:rPr>
              <w:t>d</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22AB8D0A" w14:textId="77777777" w:rsidR="00922ED9" w:rsidRPr="002141AA" w:rsidRDefault="0039171D">
            <w:pPr>
              <w:jc w:val="center"/>
              <w:rPr>
                <w:color w:val="000000" w:themeColor="text1"/>
              </w:rPr>
            </w:pPr>
            <w:r w:rsidRPr="002141AA">
              <w:rPr>
                <w:color w:val="000000" w:themeColor="text1"/>
                <w:sz w:val="19"/>
                <w:szCs w:val="19"/>
              </w:rPr>
              <w:t>1.16</w:t>
            </w:r>
          </w:p>
        </w:tc>
      </w:tr>
      <w:tr w:rsidR="002141AA" w:rsidRPr="002141AA" w14:paraId="334097E1" w14:textId="77777777" w:rsidTr="002141AA">
        <w:trPr>
          <w:jc w:val="center"/>
        </w:trPr>
        <w:tc>
          <w:tcPr>
            <w:tcW w:w="17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22CC03D7" w14:textId="77777777" w:rsidR="00922ED9" w:rsidRPr="002141AA" w:rsidRDefault="0039171D">
            <w:pPr>
              <w:rPr>
                <w:color w:val="000000" w:themeColor="text1"/>
              </w:rPr>
            </w:pPr>
            <w:r w:rsidRPr="002141AA">
              <w:rPr>
                <w:b/>
                <w:bCs/>
                <w:color w:val="000000" w:themeColor="text1"/>
                <w:sz w:val="19"/>
                <w:szCs w:val="19"/>
              </w:rPr>
              <w:t>2 Weeks</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07BC0821" w14:textId="77777777" w:rsidR="00922ED9" w:rsidRPr="002141AA" w:rsidRDefault="0039171D">
            <w:pPr>
              <w:jc w:val="center"/>
              <w:rPr>
                <w:color w:val="000000" w:themeColor="text1"/>
              </w:rPr>
            </w:pPr>
            <w:r w:rsidRPr="002141AA">
              <w:rPr>
                <w:color w:val="000000" w:themeColor="text1"/>
                <w:sz w:val="19"/>
                <w:szCs w:val="19"/>
              </w:rPr>
              <w:t>239.16</w:t>
            </w:r>
            <w:r w:rsidRPr="002141AA">
              <w:rPr>
                <w:color w:val="000000" w:themeColor="text1"/>
                <w:sz w:val="19"/>
                <w:szCs w:val="19"/>
                <w:vertAlign w:val="superscript"/>
              </w:rPr>
              <w:t>a</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5390963B" w14:textId="77777777" w:rsidR="00922ED9" w:rsidRPr="002141AA" w:rsidRDefault="0039171D">
            <w:pPr>
              <w:jc w:val="center"/>
              <w:rPr>
                <w:color w:val="000000" w:themeColor="text1"/>
              </w:rPr>
            </w:pPr>
            <w:r w:rsidRPr="002141AA">
              <w:rPr>
                <w:color w:val="000000" w:themeColor="text1"/>
                <w:sz w:val="19"/>
                <w:szCs w:val="19"/>
              </w:rPr>
              <w:t>297.75</w:t>
            </w:r>
            <w:r w:rsidRPr="002141AA">
              <w:rPr>
                <w:color w:val="000000" w:themeColor="text1"/>
                <w:sz w:val="19"/>
                <w:szCs w:val="19"/>
                <w:vertAlign w:val="superscript"/>
              </w:rPr>
              <w:t>c</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6CE030C5" w14:textId="77777777" w:rsidR="00922ED9" w:rsidRPr="002141AA" w:rsidRDefault="0039171D">
            <w:pPr>
              <w:jc w:val="center"/>
              <w:rPr>
                <w:color w:val="000000" w:themeColor="text1"/>
              </w:rPr>
            </w:pPr>
            <w:r w:rsidRPr="002141AA">
              <w:rPr>
                <w:color w:val="000000" w:themeColor="text1"/>
                <w:sz w:val="19"/>
                <w:szCs w:val="19"/>
              </w:rPr>
              <w:t>281.83</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6FBBDF83" w14:textId="77777777" w:rsidR="00922ED9" w:rsidRPr="002141AA" w:rsidRDefault="0039171D">
            <w:pPr>
              <w:jc w:val="center"/>
              <w:rPr>
                <w:color w:val="000000" w:themeColor="text1"/>
              </w:rPr>
            </w:pPr>
            <w:r w:rsidRPr="002141AA">
              <w:rPr>
                <w:color w:val="000000" w:themeColor="text1"/>
                <w:sz w:val="19"/>
                <w:szCs w:val="19"/>
              </w:rPr>
              <w:t>295.00</w:t>
            </w:r>
            <w:r w:rsidRPr="002141AA">
              <w:rPr>
                <w:color w:val="000000" w:themeColor="text1"/>
                <w:sz w:val="19"/>
                <w:szCs w:val="19"/>
                <w:vertAlign w:val="superscript"/>
              </w:rPr>
              <w:t>c</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157A9ECD" w14:textId="77777777" w:rsidR="00922ED9" w:rsidRPr="002141AA" w:rsidRDefault="0039171D">
            <w:pPr>
              <w:jc w:val="center"/>
              <w:rPr>
                <w:color w:val="000000" w:themeColor="text1"/>
              </w:rPr>
            </w:pPr>
            <w:r w:rsidRPr="002141AA">
              <w:rPr>
                <w:color w:val="000000" w:themeColor="text1"/>
                <w:sz w:val="19"/>
                <w:szCs w:val="19"/>
              </w:rPr>
              <w:t>297.91</w:t>
            </w:r>
            <w:r w:rsidRPr="002141AA">
              <w:rPr>
                <w:color w:val="000000" w:themeColor="text1"/>
                <w:sz w:val="19"/>
                <w:szCs w:val="19"/>
                <w:vertAlign w:val="superscript"/>
              </w:rPr>
              <w:t>c</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1C2ADBD7" w14:textId="77777777" w:rsidR="00922ED9" w:rsidRPr="002141AA" w:rsidRDefault="0039171D">
            <w:pPr>
              <w:jc w:val="center"/>
              <w:rPr>
                <w:color w:val="000000" w:themeColor="text1"/>
              </w:rPr>
            </w:pPr>
            <w:r w:rsidRPr="002141AA">
              <w:rPr>
                <w:color w:val="000000" w:themeColor="text1"/>
                <w:sz w:val="19"/>
                <w:szCs w:val="19"/>
              </w:rPr>
              <w:t>1.79</w:t>
            </w:r>
          </w:p>
        </w:tc>
      </w:tr>
      <w:tr w:rsidR="002141AA" w:rsidRPr="002141AA" w14:paraId="76566673" w14:textId="77777777" w:rsidTr="002141AA">
        <w:trPr>
          <w:jc w:val="center"/>
        </w:trPr>
        <w:tc>
          <w:tcPr>
            <w:tcW w:w="17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500F653C" w14:textId="77777777" w:rsidR="00922ED9" w:rsidRPr="002141AA" w:rsidRDefault="0039171D">
            <w:pPr>
              <w:rPr>
                <w:color w:val="000000" w:themeColor="text1"/>
              </w:rPr>
            </w:pPr>
            <w:r w:rsidRPr="002141AA">
              <w:rPr>
                <w:b/>
                <w:bCs/>
                <w:color w:val="000000" w:themeColor="text1"/>
                <w:sz w:val="19"/>
                <w:szCs w:val="19"/>
              </w:rPr>
              <w:t>3 Weeks</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79AB881C" w14:textId="77777777" w:rsidR="00922ED9" w:rsidRPr="002141AA" w:rsidRDefault="0039171D">
            <w:pPr>
              <w:jc w:val="center"/>
              <w:rPr>
                <w:color w:val="000000" w:themeColor="text1"/>
              </w:rPr>
            </w:pPr>
            <w:r w:rsidRPr="002141AA">
              <w:rPr>
                <w:color w:val="000000" w:themeColor="text1"/>
                <w:sz w:val="19"/>
                <w:szCs w:val="19"/>
              </w:rPr>
              <w:t>415.00</w:t>
            </w:r>
            <w:r w:rsidRPr="002141AA">
              <w:rPr>
                <w:color w:val="000000" w:themeColor="text1"/>
                <w:sz w:val="19"/>
                <w:szCs w:val="19"/>
                <w:vertAlign w:val="superscript"/>
              </w:rPr>
              <w:t>a</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449187CB" w14:textId="77777777" w:rsidR="00922ED9" w:rsidRPr="002141AA" w:rsidRDefault="0039171D">
            <w:pPr>
              <w:jc w:val="center"/>
              <w:rPr>
                <w:color w:val="000000" w:themeColor="text1"/>
              </w:rPr>
            </w:pPr>
            <w:r w:rsidRPr="002141AA">
              <w:rPr>
                <w:color w:val="000000" w:themeColor="text1"/>
                <w:sz w:val="19"/>
                <w:szCs w:val="19"/>
              </w:rPr>
              <w:t>442.75</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1E1346B2" w14:textId="77777777" w:rsidR="00922ED9" w:rsidRPr="002141AA" w:rsidRDefault="0039171D">
            <w:pPr>
              <w:jc w:val="center"/>
              <w:rPr>
                <w:color w:val="000000" w:themeColor="text1"/>
              </w:rPr>
            </w:pPr>
            <w:r w:rsidRPr="002141AA">
              <w:rPr>
                <w:color w:val="000000" w:themeColor="text1"/>
                <w:sz w:val="19"/>
                <w:szCs w:val="19"/>
              </w:rPr>
              <w:t>426.33</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648BED3C" w14:textId="77777777" w:rsidR="00922ED9" w:rsidRPr="002141AA" w:rsidRDefault="0039171D">
            <w:pPr>
              <w:jc w:val="center"/>
              <w:rPr>
                <w:color w:val="000000" w:themeColor="text1"/>
              </w:rPr>
            </w:pPr>
            <w:r w:rsidRPr="002141AA">
              <w:rPr>
                <w:color w:val="000000" w:themeColor="text1"/>
                <w:sz w:val="19"/>
                <w:szCs w:val="19"/>
              </w:rPr>
              <w:t>418.91</w:t>
            </w:r>
            <w:r w:rsidRPr="002141AA">
              <w:rPr>
                <w:color w:val="000000" w:themeColor="text1"/>
                <w:sz w:val="19"/>
                <w:szCs w:val="19"/>
                <w:vertAlign w:val="superscript"/>
              </w:rPr>
              <w:t>ab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6718F714" w14:textId="77777777" w:rsidR="00922ED9" w:rsidRPr="002141AA" w:rsidRDefault="0039171D">
            <w:pPr>
              <w:jc w:val="center"/>
              <w:rPr>
                <w:color w:val="000000" w:themeColor="text1"/>
              </w:rPr>
            </w:pPr>
            <w:r w:rsidRPr="002141AA">
              <w:rPr>
                <w:color w:val="000000" w:themeColor="text1"/>
                <w:sz w:val="19"/>
                <w:szCs w:val="19"/>
              </w:rPr>
              <w:t>427.00</w:t>
            </w:r>
            <w:r w:rsidRPr="002141AA">
              <w:rPr>
                <w:color w:val="000000" w:themeColor="text1"/>
                <w:sz w:val="19"/>
                <w:szCs w:val="19"/>
                <w:vertAlign w:val="superscript"/>
              </w:rPr>
              <w:t>ab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43CBA3C4" w14:textId="77777777" w:rsidR="00922ED9" w:rsidRPr="002141AA" w:rsidRDefault="0039171D">
            <w:pPr>
              <w:jc w:val="center"/>
              <w:rPr>
                <w:color w:val="000000" w:themeColor="text1"/>
              </w:rPr>
            </w:pPr>
            <w:r w:rsidRPr="002141AA">
              <w:rPr>
                <w:color w:val="000000" w:themeColor="text1"/>
                <w:sz w:val="19"/>
                <w:szCs w:val="19"/>
              </w:rPr>
              <w:t>5.11</w:t>
            </w:r>
          </w:p>
        </w:tc>
      </w:tr>
      <w:tr w:rsidR="002141AA" w:rsidRPr="002141AA" w14:paraId="21E06083" w14:textId="77777777" w:rsidTr="002141AA">
        <w:trPr>
          <w:jc w:val="center"/>
        </w:trPr>
        <w:tc>
          <w:tcPr>
            <w:tcW w:w="17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6BA53838" w14:textId="77777777" w:rsidR="00922ED9" w:rsidRPr="002141AA" w:rsidRDefault="0039171D">
            <w:pPr>
              <w:rPr>
                <w:color w:val="000000" w:themeColor="text1"/>
              </w:rPr>
            </w:pPr>
            <w:r w:rsidRPr="002141AA">
              <w:rPr>
                <w:b/>
                <w:bCs/>
                <w:color w:val="000000" w:themeColor="text1"/>
                <w:sz w:val="19"/>
                <w:szCs w:val="19"/>
              </w:rPr>
              <w:t>4 Weeks</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3C6AB2A8" w14:textId="77777777" w:rsidR="00922ED9" w:rsidRPr="002141AA" w:rsidRDefault="0039171D">
            <w:pPr>
              <w:jc w:val="center"/>
              <w:rPr>
                <w:color w:val="000000" w:themeColor="text1"/>
              </w:rPr>
            </w:pPr>
            <w:r w:rsidRPr="002141AA">
              <w:rPr>
                <w:color w:val="000000" w:themeColor="text1"/>
                <w:sz w:val="19"/>
                <w:szCs w:val="19"/>
              </w:rPr>
              <w:t>446.58</w:t>
            </w:r>
            <w:r w:rsidRPr="002141AA">
              <w:rPr>
                <w:color w:val="000000" w:themeColor="text1"/>
                <w:sz w:val="19"/>
                <w:szCs w:val="19"/>
                <w:vertAlign w:val="superscript"/>
              </w:rPr>
              <w:t>a</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6454A9AD" w14:textId="77777777" w:rsidR="00922ED9" w:rsidRPr="002141AA" w:rsidRDefault="0039171D">
            <w:pPr>
              <w:jc w:val="center"/>
              <w:rPr>
                <w:color w:val="000000" w:themeColor="text1"/>
              </w:rPr>
            </w:pPr>
            <w:r w:rsidRPr="002141AA">
              <w:rPr>
                <w:color w:val="000000" w:themeColor="text1"/>
                <w:sz w:val="19"/>
                <w:szCs w:val="19"/>
              </w:rPr>
              <w:t>557.25</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1EFE391A" w14:textId="77777777" w:rsidR="00922ED9" w:rsidRPr="002141AA" w:rsidRDefault="0039171D">
            <w:pPr>
              <w:jc w:val="center"/>
              <w:rPr>
                <w:color w:val="000000" w:themeColor="text1"/>
              </w:rPr>
            </w:pPr>
            <w:r w:rsidRPr="002141AA">
              <w:rPr>
                <w:color w:val="000000" w:themeColor="text1"/>
                <w:sz w:val="19"/>
                <w:szCs w:val="19"/>
              </w:rPr>
              <w:t>554.58</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19E15976" w14:textId="77777777" w:rsidR="00922ED9" w:rsidRPr="002141AA" w:rsidRDefault="0039171D">
            <w:pPr>
              <w:jc w:val="center"/>
              <w:rPr>
                <w:color w:val="000000" w:themeColor="text1"/>
              </w:rPr>
            </w:pPr>
            <w:r w:rsidRPr="002141AA">
              <w:rPr>
                <w:color w:val="000000" w:themeColor="text1"/>
                <w:sz w:val="19"/>
                <w:szCs w:val="19"/>
              </w:rPr>
              <w:t>561.25</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7531D47D" w14:textId="77777777" w:rsidR="00922ED9" w:rsidRPr="002141AA" w:rsidRDefault="0039171D">
            <w:pPr>
              <w:jc w:val="center"/>
              <w:rPr>
                <w:color w:val="000000" w:themeColor="text1"/>
              </w:rPr>
            </w:pPr>
            <w:r w:rsidRPr="002141AA">
              <w:rPr>
                <w:color w:val="000000" w:themeColor="text1"/>
                <w:sz w:val="19"/>
                <w:szCs w:val="19"/>
              </w:rPr>
              <w:t>560.75</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13B1AA56" w14:textId="77777777" w:rsidR="00922ED9" w:rsidRPr="002141AA" w:rsidRDefault="0039171D">
            <w:pPr>
              <w:jc w:val="center"/>
              <w:rPr>
                <w:color w:val="000000" w:themeColor="text1"/>
              </w:rPr>
            </w:pPr>
            <w:r w:rsidRPr="002141AA">
              <w:rPr>
                <w:color w:val="000000" w:themeColor="text1"/>
                <w:sz w:val="19"/>
                <w:szCs w:val="19"/>
              </w:rPr>
              <w:t>6.33</w:t>
            </w:r>
          </w:p>
        </w:tc>
      </w:tr>
      <w:tr w:rsidR="002141AA" w:rsidRPr="002141AA" w14:paraId="693FFF0C" w14:textId="77777777" w:rsidTr="002141AA">
        <w:trPr>
          <w:jc w:val="center"/>
        </w:trPr>
        <w:tc>
          <w:tcPr>
            <w:tcW w:w="17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37E34F11" w14:textId="77777777" w:rsidR="00922ED9" w:rsidRPr="002141AA" w:rsidRDefault="0039171D">
            <w:pPr>
              <w:rPr>
                <w:color w:val="000000" w:themeColor="text1"/>
              </w:rPr>
            </w:pPr>
            <w:r w:rsidRPr="002141AA">
              <w:rPr>
                <w:b/>
                <w:bCs/>
                <w:color w:val="000000" w:themeColor="text1"/>
                <w:sz w:val="19"/>
                <w:szCs w:val="19"/>
              </w:rPr>
              <w:t>5 Weeks</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265D11F9" w14:textId="77777777" w:rsidR="00922ED9" w:rsidRPr="002141AA" w:rsidRDefault="0039171D">
            <w:pPr>
              <w:jc w:val="center"/>
              <w:rPr>
                <w:color w:val="000000" w:themeColor="text1"/>
              </w:rPr>
            </w:pPr>
            <w:r w:rsidRPr="002141AA">
              <w:rPr>
                <w:color w:val="000000" w:themeColor="text1"/>
                <w:sz w:val="19"/>
                <w:szCs w:val="19"/>
              </w:rPr>
              <w:t>568.25</w:t>
            </w:r>
            <w:r w:rsidRPr="002141AA">
              <w:rPr>
                <w:color w:val="000000" w:themeColor="text1"/>
                <w:sz w:val="19"/>
                <w:szCs w:val="19"/>
                <w:vertAlign w:val="superscript"/>
              </w:rPr>
              <w:t>a</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5B874C48" w14:textId="77777777" w:rsidR="00922ED9" w:rsidRPr="002141AA" w:rsidRDefault="0039171D">
            <w:pPr>
              <w:jc w:val="center"/>
              <w:rPr>
                <w:color w:val="000000" w:themeColor="text1"/>
              </w:rPr>
            </w:pPr>
            <w:r w:rsidRPr="002141AA">
              <w:rPr>
                <w:color w:val="000000" w:themeColor="text1"/>
                <w:sz w:val="19"/>
                <w:szCs w:val="19"/>
              </w:rPr>
              <w:t>694.66</w:t>
            </w:r>
            <w:r w:rsidRPr="002141AA">
              <w:rPr>
                <w:color w:val="000000" w:themeColor="text1"/>
                <w:sz w:val="19"/>
                <w:szCs w:val="19"/>
                <w:vertAlign w:val="superscript"/>
              </w:rPr>
              <w:t>c</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7086434A" w14:textId="77777777" w:rsidR="00922ED9" w:rsidRPr="002141AA" w:rsidRDefault="0039171D">
            <w:pPr>
              <w:jc w:val="center"/>
              <w:rPr>
                <w:color w:val="000000" w:themeColor="text1"/>
              </w:rPr>
            </w:pPr>
            <w:r w:rsidRPr="002141AA">
              <w:rPr>
                <w:color w:val="000000" w:themeColor="text1"/>
                <w:sz w:val="19"/>
                <w:szCs w:val="19"/>
              </w:rPr>
              <w:t>558.16</w:t>
            </w:r>
            <w:r w:rsidRPr="002141AA">
              <w:rPr>
                <w:color w:val="000000" w:themeColor="text1"/>
                <w:sz w:val="19"/>
                <w:szCs w:val="19"/>
                <w:vertAlign w:val="superscript"/>
              </w:rPr>
              <w:t>a</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69D0659E" w14:textId="77777777" w:rsidR="00922ED9" w:rsidRPr="002141AA" w:rsidRDefault="0039171D">
            <w:pPr>
              <w:jc w:val="center"/>
              <w:rPr>
                <w:color w:val="000000" w:themeColor="text1"/>
              </w:rPr>
            </w:pPr>
            <w:r w:rsidRPr="002141AA">
              <w:rPr>
                <w:color w:val="000000" w:themeColor="text1"/>
                <w:sz w:val="19"/>
                <w:szCs w:val="19"/>
              </w:rPr>
              <w:t>605.41</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7AD7426D" w14:textId="77777777" w:rsidR="00922ED9" w:rsidRPr="002141AA" w:rsidRDefault="0039171D">
            <w:pPr>
              <w:jc w:val="center"/>
              <w:rPr>
                <w:color w:val="000000" w:themeColor="text1"/>
              </w:rPr>
            </w:pPr>
            <w:r w:rsidRPr="002141AA">
              <w:rPr>
                <w:color w:val="000000" w:themeColor="text1"/>
                <w:sz w:val="19"/>
                <w:szCs w:val="19"/>
              </w:rPr>
              <w:t>614.16</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2F1C3C3F" w14:textId="77777777" w:rsidR="00922ED9" w:rsidRPr="002141AA" w:rsidRDefault="0039171D">
            <w:pPr>
              <w:jc w:val="center"/>
              <w:rPr>
                <w:color w:val="000000" w:themeColor="text1"/>
              </w:rPr>
            </w:pPr>
            <w:r w:rsidRPr="002141AA">
              <w:rPr>
                <w:color w:val="000000" w:themeColor="text1"/>
                <w:sz w:val="19"/>
                <w:szCs w:val="19"/>
              </w:rPr>
              <w:t>6.70</w:t>
            </w:r>
          </w:p>
        </w:tc>
      </w:tr>
      <w:tr w:rsidR="002141AA" w:rsidRPr="002141AA" w14:paraId="0C84574A" w14:textId="77777777" w:rsidTr="002141AA">
        <w:trPr>
          <w:jc w:val="center"/>
        </w:trPr>
        <w:tc>
          <w:tcPr>
            <w:tcW w:w="17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5728581C" w14:textId="77777777" w:rsidR="00922ED9" w:rsidRPr="002141AA" w:rsidRDefault="0039171D">
            <w:pPr>
              <w:rPr>
                <w:color w:val="000000" w:themeColor="text1"/>
              </w:rPr>
            </w:pPr>
            <w:r w:rsidRPr="002141AA">
              <w:rPr>
                <w:b/>
                <w:bCs/>
                <w:color w:val="000000" w:themeColor="text1"/>
                <w:sz w:val="19"/>
                <w:szCs w:val="19"/>
              </w:rPr>
              <w:t>Mean</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41C90177" w14:textId="77777777" w:rsidR="00922ED9" w:rsidRPr="002141AA" w:rsidRDefault="0039171D">
            <w:pPr>
              <w:jc w:val="center"/>
              <w:rPr>
                <w:color w:val="000000" w:themeColor="text1"/>
              </w:rPr>
            </w:pPr>
            <w:r w:rsidRPr="002141AA">
              <w:rPr>
                <w:color w:val="000000" w:themeColor="text1"/>
                <w:sz w:val="19"/>
                <w:szCs w:val="19"/>
              </w:rPr>
              <w:t>354.10</w:t>
            </w:r>
            <w:r w:rsidRPr="002141AA">
              <w:rPr>
                <w:color w:val="000000" w:themeColor="text1"/>
                <w:sz w:val="19"/>
                <w:szCs w:val="19"/>
                <w:vertAlign w:val="superscript"/>
              </w:rPr>
              <w:t>a</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5749FD28" w14:textId="77777777" w:rsidR="00922ED9" w:rsidRPr="002141AA" w:rsidRDefault="0039171D">
            <w:pPr>
              <w:jc w:val="center"/>
              <w:rPr>
                <w:color w:val="000000" w:themeColor="text1"/>
              </w:rPr>
            </w:pPr>
            <w:r w:rsidRPr="002141AA">
              <w:rPr>
                <w:color w:val="000000" w:themeColor="text1"/>
                <w:sz w:val="19"/>
                <w:szCs w:val="19"/>
              </w:rPr>
              <w:t>428.51</w:t>
            </w:r>
            <w:r w:rsidRPr="002141AA">
              <w:rPr>
                <w:color w:val="000000" w:themeColor="text1"/>
                <w:sz w:val="19"/>
                <w:szCs w:val="19"/>
                <w:vertAlign w:val="superscript"/>
              </w:rPr>
              <w:t>d</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4C81D9F2" w14:textId="77777777" w:rsidR="00922ED9" w:rsidRPr="002141AA" w:rsidRDefault="0039171D">
            <w:pPr>
              <w:jc w:val="center"/>
              <w:rPr>
                <w:color w:val="000000" w:themeColor="text1"/>
              </w:rPr>
            </w:pPr>
            <w:r w:rsidRPr="002141AA">
              <w:rPr>
                <w:color w:val="000000" w:themeColor="text1"/>
                <w:sz w:val="19"/>
                <w:szCs w:val="19"/>
              </w:rPr>
              <w:t>387.68</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2C9300C4" w14:textId="77777777" w:rsidR="00922ED9" w:rsidRPr="002141AA" w:rsidRDefault="0039171D">
            <w:pPr>
              <w:jc w:val="center"/>
              <w:rPr>
                <w:color w:val="000000" w:themeColor="text1"/>
              </w:rPr>
            </w:pPr>
            <w:r w:rsidRPr="002141AA">
              <w:rPr>
                <w:color w:val="000000" w:themeColor="text1"/>
                <w:sz w:val="19"/>
                <w:szCs w:val="19"/>
              </w:rPr>
              <w:t>402.13</w:t>
            </w:r>
            <w:r w:rsidRPr="002141AA">
              <w:rPr>
                <w:color w:val="000000" w:themeColor="text1"/>
                <w:sz w:val="19"/>
                <w:szCs w:val="19"/>
                <w:vertAlign w:val="superscript"/>
              </w:rPr>
              <w:t>c</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1E912F9B" w14:textId="77777777" w:rsidR="00922ED9" w:rsidRPr="002141AA" w:rsidRDefault="0039171D">
            <w:pPr>
              <w:jc w:val="center"/>
              <w:rPr>
                <w:color w:val="000000" w:themeColor="text1"/>
              </w:rPr>
            </w:pPr>
            <w:r w:rsidRPr="002141AA">
              <w:rPr>
                <w:color w:val="000000" w:themeColor="text1"/>
                <w:sz w:val="19"/>
                <w:szCs w:val="19"/>
              </w:rPr>
              <w:t>408.63</w:t>
            </w:r>
            <w:r w:rsidRPr="002141AA">
              <w:rPr>
                <w:color w:val="000000" w:themeColor="text1"/>
                <w:sz w:val="19"/>
                <w:szCs w:val="19"/>
                <w:vertAlign w:val="superscript"/>
              </w:rPr>
              <w:t>c</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42DBFCF7" w14:textId="77777777" w:rsidR="00922ED9" w:rsidRPr="002141AA" w:rsidRDefault="0039171D">
            <w:pPr>
              <w:jc w:val="center"/>
              <w:rPr>
                <w:color w:val="000000" w:themeColor="text1"/>
              </w:rPr>
            </w:pPr>
            <w:r w:rsidRPr="002141AA">
              <w:rPr>
                <w:color w:val="000000" w:themeColor="text1"/>
                <w:sz w:val="19"/>
                <w:szCs w:val="19"/>
              </w:rPr>
              <w:t>4.22</w:t>
            </w:r>
          </w:p>
        </w:tc>
      </w:tr>
    </w:tbl>
    <w:p w14:paraId="4C157744" w14:textId="77777777" w:rsidR="00922ED9" w:rsidRDefault="0039171D">
      <w:pPr>
        <w:spacing w:before="60" w:after="200"/>
        <w:rPr>
          <w:i/>
          <w:iCs/>
          <w:color w:val="000000" w:themeColor="text1"/>
          <w:sz w:val="17"/>
          <w:szCs w:val="17"/>
        </w:rPr>
      </w:pPr>
      <w:r w:rsidRPr="002141AA">
        <w:rPr>
          <w:i/>
          <w:iCs/>
          <w:color w:val="000000" w:themeColor="text1"/>
          <w:sz w:val="17"/>
          <w:szCs w:val="17"/>
        </w:rPr>
        <w:t>SEM: standard error of the mean; a, b, c, d, e: values within a row bearing different superscripts differ significantly (P&lt;0.05).</w:t>
      </w:r>
    </w:p>
    <w:p w14:paraId="6E8D4D2F" w14:textId="263084A0" w:rsidR="00493C87" w:rsidRDefault="001D522F" w:rsidP="00493C87">
      <w:pPr>
        <w:spacing w:before="60" w:after="200"/>
        <w:jc w:val="center"/>
        <w:rPr>
          <w:color w:val="000000" w:themeColor="text1"/>
        </w:rPr>
      </w:pPr>
      <w:r w:rsidRPr="001D522F">
        <w:rPr>
          <w:noProof/>
          <w:color w:val="000000" w:themeColor="text1"/>
        </w:rPr>
        <w:lastRenderedPageBreak/>
        <mc:AlternateContent>
          <mc:Choice Requires="cx1">
            <w:drawing>
              <wp:inline distT="0" distB="0" distL="0" distR="0" wp14:anchorId="47BB1C8D" wp14:editId="5146DA46">
                <wp:extent cx="4572000" cy="2743200"/>
                <wp:effectExtent l="0" t="0" r="0" b="0"/>
                <wp:docPr id="2" name="Chart 1"/>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
                  </a:graphicData>
                </a:graphic>
              </wp:inline>
            </w:drawing>
          </mc:Choice>
          <mc:Fallback>
            <w:drawing>
              <wp:inline distT="0" distB="0" distL="0" distR="0" wp14:anchorId="47BB1C8D" wp14:editId="5146DA46">
                <wp:extent cx="4572000" cy="2743200"/>
                <wp:effectExtent l="0" t="0" r="0" b="0"/>
                <wp:docPr id="2" name="Chart 1"/>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 name="Chart 1"/>
                        <pic:cNvPicPr>
                          <a:picLocks noGrp="1" noRot="1" noChangeAspect="1" noMove="1" noResize="1" noEditPoints="1" noAdjustHandles="1" noChangeArrowheads="1" noChangeShapeType="1"/>
                        </pic:cNvPicPr>
                      </pic:nvPicPr>
                      <pic:blipFill>
                        <a:blip r:embed="rId10"/>
                        <a:stretch>
                          <a:fillRect/>
                        </a:stretch>
                      </pic:blipFill>
                      <pic:spPr>
                        <a:xfrm>
                          <a:off x="0" y="0"/>
                          <a:ext cx="4572000" cy="2743200"/>
                        </a:xfrm>
                        <a:prstGeom prst="rect">
                          <a:avLst/>
                        </a:prstGeom>
                      </pic:spPr>
                    </pic:pic>
                  </a:graphicData>
                </a:graphic>
              </wp:inline>
            </w:drawing>
          </mc:Fallback>
        </mc:AlternateContent>
      </w:r>
    </w:p>
    <w:p w14:paraId="216697D3" w14:textId="77777777" w:rsidR="00C42C30" w:rsidRDefault="00C42C30" w:rsidP="002141AA">
      <w:pPr>
        <w:spacing w:after="160" w:line="300" w:lineRule="auto"/>
        <w:ind w:firstLine="720"/>
        <w:jc w:val="both"/>
        <w:rPr>
          <w:color w:val="000000" w:themeColor="text1"/>
        </w:rPr>
      </w:pPr>
      <w:r w:rsidRPr="00C42C30">
        <w:rPr>
          <w:color w:val="000000" w:themeColor="text1"/>
        </w:rPr>
        <w:t>Figure 2. Weekly body weight gain of broiler chickens under different dietary treatments.</w:t>
      </w:r>
    </w:p>
    <w:p w14:paraId="3DD6E9FA" w14:textId="48668E1C" w:rsidR="00922ED9" w:rsidRPr="002141AA" w:rsidRDefault="0039171D" w:rsidP="002141AA">
      <w:pPr>
        <w:spacing w:after="160" w:line="300" w:lineRule="auto"/>
        <w:ind w:firstLine="720"/>
        <w:jc w:val="both"/>
        <w:rPr>
          <w:color w:val="000000" w:themeColor="text1"/>
        </w:rPr>
      </w:pPr>
      <w:r w:rsidRPr="002141AA">
        <w:rPr>
          <w:color w:val="000000" w:themeColor="text1"/>
          <w:sz w:val="22"/>
          <w:szCs w:val="22"/>
        </w:rPr>
        <w:t xml:space="preserve">The improved weight gain response with essential oil and antibiotic supplementation observed in the present study is in agreement with the findings of </w:t>
      </w:r>
      <w:r w:rsidRPr="002141AA">
        <w:rPr>
          <w:b/>
          <w:bCs/>
          <w:color w:val="000000" w:themeColor="text1"/>
          <w:sz w:val="22"/>
          <w:szCs w:val="22"/>
        </w:rPr>
        <w:t>Elbaz et al. (2023</w:t>
      </w:r>
      <w:r w:rsidRPr="002141AA">
        <w:rPr>
          <w:color w:val="000000" w:themeColor="text1"/>
          <w:sz w:val="22"/>
          <w:szCs w:val="22"/>
        </w:rPr>
        <w:t xml:space="preserve">), who reported significantly higher body weight gain in broilers supplemented with clove essential oil, and with </w:t>
      </w:r>
      <w:r w:rsidRPr="002141AA">
        <w:rPr>
          <w:b/>
          <w:bCs/>
          <w:color w:val="000000" w:themeColor="text1"/>
          <w:sz w:val="22"/>
          <w:szCs w:val="22"/>
        </w:rPr>
        <w:t>Azadegan et al. (2014),</w:t>
      </w:r>
      <w:r w:rsidRPr="002141AA">
        <w:rPr>
          <w:color w:val="000000" w:themeColor="text1"/>
          <w:sz w:val="22"/>
          <w:szCs w:val="22"/>
        </w:rPr>
        <w:t xml:space="preserve"> who observed improved body weight gain with 450 ppm clove essential oil during the finisher phase. The comparatively higher weight gain in the cinnamon oil group corroborates </w:t>
      </w:r>
      <w:r w:rsidRPr="002141AA">
        <w:rPr>
          <w:b/>
          <w:bCs/>
          <w:color w:val="000000" w:themeColor="text1"/>
          <w:sz w:val="22"/>
          <w:szCs w:val="22"/>
        </w:rPr>
        <w:t>Ciftci et al. (2010</w:t>
      </w:r>
      <w:r w:rsidRPr="002141AA">
        <w:rPr>
          <w:color w:val="000000" w:themeColor="text1"/>
          <w:sz w:val="22"/>
          <w:szCs w:val="22"/>
        </w:rPr>
        <w:t>), who reported superior performance and favourable serum lipid profile with cinnamon oil relative to an antibiotic-supplemented group. Conversely, some studies have reported no significant growth-promoting effect of cinnamon powder/oil (</w:t>
      </w:r>
      <w:r w:rsidRPr="002141AA">
        <w:rPr>
          <w:b/>
          <w:bCs/>
          <w:color w:val="000000" w:themeColor="text1"/>
          <w:sz w:val="22"/>
          <w:szCs w:val="22"/>
        </w:rPr>
        <w:t>Sampath and Atapattu, 2013; Chowlu et al., 2019),</w:t>
      </w:r>
      <w:r w:rsidRPr="002141AA">
        <w:rPr>
          <w:color w:val="000000" w:themeColor="text1"/>
          <w:sz w:val="22"/>
          <w:szCs w:val="22"/>
        </w:rPr>
        <w:t xml:space="preserve"> indicating that the response to phytogenic supplementation is influenced by the form (oil vs. powder), dose, breed, and duration of the feeding trial.</w:t>
      </w:r>
    </w:p>
    <w:p w14:paraId="78DAF6DB" w14:textId="77777777" w:rsidR="00922ED9" w:rsidRPr="002141AA" w:rsidRDefault="0039171D">
      <w:pPr>
        <w:spacing w:before="220" w:after="120"/>
        <w:rPr>
          <w:color w:val="000000" w:themeColor="text1"/>
        </w:rPr>
      </w:pPr>
      <w:r w:rsidRPr="002141AA">
        <w:rPr>
          <w:b/>
          <w:bCs/>
          <w:i/>
          <w:iCs/>
          <w:color w:val="000000" w:themeColor="text1"/>
          <w:sz w:val="23"/>
          <w:szCs w:val="23"/>
        </w:rPr>
        <w:t>3.3 Feed Consumption</w:t>
      </w:r>
    </w:p>
    <w:p w14:paraId="033D2400" w14:textId="77777777" w:rsidR="00922ED9" w:rsidRPr="002141AA" w:rsidRDefault="0039171D" w:rsidP="002141AA">
      <w:pPr>
        <w:spacing w:after="160" w:line="300" w:lineRule="auto"/>
        <w:ind w:firstLine="720"/>
        <w:jc w:val="both"/>
        <w:rPr>
          <w:color w:val="000000" w:themeColor="text1"/>
        </w:rPr>
      </w:pPr>
      <w:r w:rsidRPr="002141AA">
        <w:rPr>
          <w:color w:val="000000" w:themeColor="text1"/>
          <w:sz w:val="22"/>
          <w:szCs w:val="22"/>
        </w:rPr>
        <w:t>Weekly feed consumption (g/bird) is presented in Table 3. Feed consumption increased progressively with age in all groups; however, the Control group recorded the highest overall mean feed consumption (665.28 g), followed by T4 (653.03 g), T2 (620.70 g), T3 (592.41 g), and T1, which recorded the lowest feed consumption (580.15 g), despite achieving the highest body weight and weight gain.</w:t>
      </w:r>
    </w:p>
    <w:p w14:paraId="5B9AD1F7" w14:textId="77777777" w:rsidR="00922ED9" w:rsidRPr="002141AA" w:rsidRDefault="0039171D">
      <w:pPr>
        <w:spacing w:before="80" w:after="60"/>
        <w:rPr>
          <w:color w:val="000000" w:themeColor="text1"/>
        </w:rPr>
      </w:pPr>
      <w:r w:rsidRPr="002141AA">
        <w:rPr>
          <w:b/>
          <w:bCs/>
          <w:color w:val="000000" w:themeColor="text1"/>
        </w:rPr>
        <w:t>Table 3. Effect of dietary treatments on weekly feed consumption (g) of broiler chicken</w:t>
      </w:r>
    </w:p>
    <w:tbl>
      <w:tblPr>
        <w:tblW w:w="9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300"/>
        <w:gridCol w:w="1300"/>
        <w:gridCol w:w="1300"/>
        <w:gridCol w:w="1300"/>
        <w:gridCol w:w="1300"/>
        <w:gridCol w:w="1300"/>
      </w:tblGrid>
      <w:tr w:rsidR="002141AA" w:rsidRPr="002141AA" w14:paraId="3569A37D" w14:textId="77777777" w:rsidTr="002141AA">
        <w:trPr>
          <w:tblHeader/>
          <w:jc w:val="center"/>
        </w:trPr>
        <w:tc>
          <w:tcPr>
            <w:tcW w:w="1700" w:type="dxa"/>
            <w:tcMar>
              <w:top w:w="60" w:type="dxa"/>
              <w:left w:w="80" w:type="dxa"/>
              <w:bottom w:w="60" w:type="dxa"/>
              <w:right w:w="80" w:type="dxa"/>
            </w:tcMar>
            <w:vAlign w:val="center"/>
          </w:tcPr>
          <w:p w14:paraId="5D75D2E3" w14:textId="77777777" w:rsidR="00922ED9" w:rsidRPr="002141AA" w:rsidRDefault="0039171D">
            <w:pPr>
              <w:jc w:val="center"/>
              <w:rPr>
                <w:color w:val="000000" w:themeColor="text1"/>
              </w:rPr>
            </w:pPr>
            <w:r w:rsidRPr="002141AA">
              <w:rPr>
                <w:b/>
                <w:bCs/>
                <w:color w:val="000000" w:themeColor="text1"/>
                <w:sz w:val="19"/>
                <w:szCs w:val="19"/>
              </w:rPr>
              <w:t>Age (weeks)</w:t>
            </w:r>
          </w:p>
        </w:tc>
        <w:tc>
          <w:tcPr>
            <w:tcW w:w="1300" w:type="dxa"/>
            <w:tcMar>
              <w:top w:w="60" w:type="dxa"/>
              <w:left w:w="80" w:type="dxa"/>
              <w:bottom w:w="60" w:type="dxa"/>
              <w:right w:w="80" w:type="dxa"/>
            </w:tcMar>
            <w:vAlign w:val="center"/>
          </w:tcPr>
          <w:p w14:paraId="0C283D5D" w14:textId="77777777" w:rsidR="00922ED9" w:rsidRPr="002141AA" w:rsidRDefault="0039171D">
            <w:pPr>
              <w:jc w:val="center"/>
              <w:rPr>
                <w:color w:val="000000" w:themeColor="text1"/>
              </w:rPr>
            </w:pPr>
            <w:r w:rsidRPr="002141AA">
              <w:rPr>
                <w:b/>
                <w:bCs/>
                <w:color w:val="000000" w:themeColor="text1"/>
                <w:sz w:val="19"/>
                <w:szCs w:val="19"/>
              </w:rPr>
              <w:t>Control</w:t>
            </w:r>
          </w:p>
        </w:tc>
        <w:tc>
          <w:tcPr>
            <w:tcW w:w="1300" w:type="dxa"/>
            <w:tcMar>
              <w:top w:w="60" w:type="dxa"/>
              <w:left w:w="80" w:type="dxa"/>
              <w:bottom w:w="60" w:type="dxa"/>
              <w:right w:w="80" w:type="dxa"/>
            </w:tcMar>
            <w:vAlign w:val="center"/>
          </w:tcPr>
          <w:p w14:paraId="7EC6C5AA" w14:textId="77777777" w:rsidR="00922ED9" w:rsidRPr="002141AA" w:rsidRDefault="0039171D">
            <w:pPr>
              <w:jc w:val="center"/>
              <w:rPr>
                <w:color w:val="000000" w:themeColor="text1"/>
              </w:rPr>
            </w:pPr>
            <w:r w:rsidRPr="002141AA">
              <w:rPr>
                <w:b/>
                <w:bCs/>
                <w:color w:val="000000" w:themeColor="text1"/>
                <w:sz w:val="19"/>
                <w:szCs w:val="19"/>
              </w:rPr>
              <w:t>T1 (Cinnamon oil)</w:t>
            </w:r>
          </w:p>
        </w:tc>
        <w:tc>
          <w:tcPr>
            <w:tcW w:w="1300" w:type="dxa"/>
            <w:tcMar>
              <w:top w:w="60" w:type="dxa"/>
              <w:left w:w="80" w:type="dxa"/>
              <w:bottom w:w="60" w:type="dxa"/>
              <w:right w:w="80" w:type="dxa"/>
            </w:tcMar>
            <w:vAlign w:val="center"/>
          </w:tcPr>
          <w:p w14:paraId="2A9A0365" w14:textId="77777777" w:rsidR="00922ED9" w:rsidRPr="002141AA" w:rsidRDefault="0039171D">
            <w:pPr>
              <w:jc w:val="center"/>
              <w:rPr>
                <w:color w:val="000000" w:themeColor="text1"/>
              </w:rPr>
            </w:pPr>
            <w:r w:rsidRPr="002141AA">
              <w:rPr>
                <w:b/>
                <w:bCs/>
                <w:color w:val="000000" w:themeColor="text1"/>
                <w:sz w:val="19"/>
                <w:szCs w:val="19"/>
              </w:rPr>
              <w:t>T2 (Clove oil)</w:t>
            </w:r>
          </w:p>
        </w:tc>
        <w:tc>
          <w:tcPr>
            <w:tcW w:w="1300" w:type="dxa"/>
            <w:tcMar>
              <w:top w:w="60" w:type="dxa"/>
              <w:left w:w="80" w:type="dxa"/>
              <w:bottom w:w="60" w:type="dxa"/>
              <w:right w:w="80" w:type="dxa"/>
            </w:tcMar>
            <w:vAlign w:val="center"/>
          </w:tcPr>
          <w:p w14:paraId="7180FE40" w14:textId="77777777" w:rsidR="00922ED9" w:rsidRPr="002141AA" w:rsidRDefault="0039171D">
            <w:pPr>
              <w:jc w:val="center"/>
              <w:rPr>
                <w:color w:val="000000" w:themeColor="text1"/>
              </w:rPr>
            </w:pPr>
            <w:r w:rsidRPr="002141AA">
              <w:rPr>
                <w:b/>
                <w:bCs/>
                <w:color w:val="000000" w:themeColor="text1"/>
                <w:sz w:val="19"/>
                <w:szCs w:val="19"/>
              </w:rPr>
              <w:t>T3 (Antibiotic)</w:t>
            </w:r>
          </w:p>
        </w:tc>
        <w:tc>
          <w:tcPr>
            <w:tcW w:w="1300" w:type="dxa"/>
            <w:tcMar>
              <w:top w:w="60" w:type="dxa"/>
              <w:left w:w="80" w:type="dxa"/>
              <w:bottom w:w="60" w:type="dxa"/>
              <w:right w:w="80" w:type="dxa"/>
            </w:tcMar>
            <w:vAlign w:val="center"/>
          </w:tcPr>
          <w:p w14:paraId="7CA6BECE" w14:textId="77777777" w:rsidR="00922ED9" w:rsidRPr="002141AA" w:rsidRDefault="0039171D">
            <w:pPr>
              <w:jc w:val="center"/>
              <w:rPr>
                <w:color w:val="000000" w:themeColor="text1"/>
              </w:rPr>
            </w:pPr>
            <w:r w:rsidRPr="002141AA">
              <w:rPr>
                <w:b/>
                <w:bCs/>
                <w:color w:val="000000" w:themeColor="text1"/>
                <w:sz w:val="19"/>
                <w:szCs w:val="19"/>
              </w:rPr>
              <w:t>T4 (Cinnamon + Clove oil)</w:t>
            </w:r>
          </w:p>
        </w:tc>
        <w:tc>
          <w:tcPr>
            <w:tcW w:w="1300" w:type="dxa"/>
            <w:tcMar>
              <w:top w:w="60" w:type="dxa"/>
              <w:left w:w="80" w:type="dxa"/>
              <w:bottom w:w="60" w:type="dxa"/>
              <w:right w:w="80" w:type="dxa"/>
            </w:tcMar>
            <w:vAlign w:val="center"/>
          </w:tcPr>
          <w:p w14:paraId="23F2D1DC" w14:textId="77777777" w:rsidR="00922ED9" w:rsidRPr="002141AA" w:rsidRDefault="0039171D">
            <w:pPr>
              <w:jc w:val="center"/>
              <w:rPr>
                <w:color w:val="000000" w:themeColor="text1"/>
              </w:rPr>
            </w:pPr>
            <w:r w:rsidRPr="002141AA">
              <w:rPr>
                <w:b/>
                <w:bCs/>
                <w:color w:val="000000" w:themeColor="text1"/>
                <w:sz w:val="19"/>
                <w:szCs w:val="19"/>
              </w:rPr>
              <w:t>SEM</w:t>
            </w:r>
          </w:p>
        </w:tc>
      </w:tr>
      <w:tr w:rsidR="002141AA" w:rsidRPr="002141AA" w14:paraId="093486A8" w14:textId="77777777" w:rsidTr="002141AA">
        <w:trPr>
          <w:jc w:val="center"/>
        </w:trPr>
        <w:tc>
          <w:tcPr>
            <w:tcW w:w="1700" w:type="dxa"/>
            <w:tcMar>
              <w:top w:w="50" w:type="dxa"/>
              <w:left w:w="80" w:type="dxa"/>
              <w:bottom w:w="50" w:type="dxa"/>
              <w:right w:w="80" w:type="dxa"/>
            </w:tcMar>
            <w:vAlign w:val="center"/>
          </w:tcPr>
          <w:p w14:paraId="30B1BF96" w14:textId="77777777" w:rsidR="00922ED9" w:rsidRPr="002141AA" w:rsidRDefault="0039171D">
            <w:pPr>
              <w:rPr>
                <w:color w:val="000000" w:themeColor="text1"/>
              </w:rPr>
            </w:pPr>
            <w:r w:rsidRPr="002141AA">
              <w:rPr>
                <w:b/>
                <w:bCs/>
                <w:color w:val="000000" w:themeColor="text1"/>
                <w:sz w:val="19"/>
                <w:szCs w:val="19"/>
              </w:rPr>
              <w:t>1 Week</w:t>
            </w:r>
          </w:p>
        </w:tc>
        <w:tc>
          <w:tcPr>
            <w:tcW w:w="1300" w:type="dxa"/>
            <w:tcMar>
              <w:top w:w="50" w:type="dxa"/>
              <w:left w:w="80" w:type="dxa"/>
              <w:bottom w:w="50" w:type="dxa"/>
              <w:right w:w="80" w:type="dxa"/>
            </w:tcMar>
            <w:vAlign w:val="center"/>
          </w:tcPr>
          <w:p w14:paraId="2E0FBAC8" w14:textId="77777777" w:rsidR="00922ED9" w:rsidRPr="002141AA" w:rsidRDefault="0039171D">
            <w:pPr>
              <w:jc w:val="center"/>
              <w:rPr>
                <w:color w:val="000000" w:themeColor="text1"/>
              </w:rPr>
            </w:pPr>
            <w:r w:rsidRPr="002141AA">
              <w:rPr>
                <w:color w:val="000000" w:themeColor="text1"/>
                <w:sz w:val="19"/>
                <w:szCs w:val="19"/>
              </w:rPr>
              <w:t>185.91</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2C7D439A" w14:textId="77777777" w:rsidR="00922ED9" w:rsidRPr="002141AA" w:rsidRDefault="0039171D">
            <w:pPr>
              <w:jc w:val="center"/>
              <w:rPr>
                <w:color w:val="000000" w:themeColor="text1"/>
              </w:rPr>
            </w:pPr>
            <w:r w:rsidRPr="002141AA">
              <w:rPr>
                <w:color w:val="000000" w:themeColor="text1"/>
                <w:sz w:val="19"/>
                <w:szCs w:val="19"/>
              </w:rPr>
              <w:t>187.91</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5C974695" w14:textId="77777777" w:rsidR="00922ED9" w:rsidRPr="002141AA" w:rsidRDefault="0039171D">
            <w:pPr>
              <w:jc w:val="center"/>
              <w:rPr>
                <w:color w:val="000000" w:themeColor="text1"/>
              </w:rPr>
            </w:pPr>
            <w:r w:rsidRPr="002141AA">
              <w:rPr>
                <w:color w:val="000000" w:themeColor="text1"/>
                <w:sz w:val="19"/>
                <w:szCs w:val="19"/>
              </w:rPr>
              <w:t>191.58</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327BA197" w14:textId="77777777" w:rsidR="00922ED9" w:rsidRPr="002141AA" w:rsidRDefault="0039171D">
            <w:pPr>
              <w:jc w:val="center"/>
              <w:rPr>
                <w:color w:val="000000" w:themeColor="text1"/>
              </w:rPr>
            </w:pPr>
            <w:r w:rsidRPr="002141AA">
              <w:rPr>
                <w:color w:val="000000" w:themeColor="text1"/>
                <w:sz w:val="19"/>
                <w:szCs w:val="19"/>
              </w:rPr>
              <w:t>171.41</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4BF2E111" w14:textId="77777777" w:rsidR="00922ED9" w:rsidRPr="002141AA" w:rsidRDefault="0039171D">
            <w:pPr>
              <w:jc w:val="center"/>
              <w:rPr>
                <w:color w:val="000000" w:themeColor="text1"/>
              </w:rPr>
            </w:pPr>
            <w:r w:rsidRPr="002141AA">
              <w:rPr>
                <w:color w:val="000000" w:themeColor="text1"/>
                <w:sz w:val="19"/>
                <w:szCs w:val="19"/>
              </w:rPr>
              <w:t>191.58</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3FB12065" w14:textId="77777777" w:rsidR="00922ED9" w:rsidRPr="002141AA" w:rsidRDefault="0039171D">
            <w:pPr>
              <w:jc w:val="center"/>
              <w:rPr>
                <w:color w:val="000000" w:themeColor="text1"/>
              </w:rPr>
            </w:pPr>
            <w:r w:rsidRPr="002141AA">
              <w:rPr>
                <w:color w:val="000000" w:themeColor="text1"/>
                <w:sz w:val="19"/>
                <w:szCs w:val="19"/>
              </w:rPr>
              <w:t>2.54</w:t>
            </w:r>
          </w:p>
        </w:tc>
      </w:tr>
      <w:tr w:rsidR="002141AA" w:rsidRPr="002141AA" w14:paraId="3585D8FE" w14:textId="77777777" w:rsidTr="002141AA">
        <w:trPr>
          <w:jc w:val="center"/>
        </w:trPr>
        <w:tc>
          <w:tcPr>
            <w:tcW w:w="1700" w:type="dxa"/>
            <w:tcMar>
              <w:top w:w="50" w:type="dxa"/>
              <w:left w:w="80" w:type="dxa"/>
              <w:bottom w:w="50" w:type="dxa"/>
              <w:right w:w="80" w:type="dxa"/>
            </w:tcMar>
            <w:vAlign w:val="center"/>
          </w:tcPr>
          <w:p w14:paraId="3F1E84D7" w14:textId="77777777" w:rsidR="00922ED9" w:rsidRPr="002141AA" w:rsidRDefault="0039171D">
            <w:pPr>
              <w:rPr>
                <w:color w:val="000000" w:themeColor="text1"/>
              </w:rPr>
            </w:pPr>
            <w:r w:rsidRPr="002141AA">
              <w:rPr>
                <w:b/>
                <w:bCs/>
                <w:color w:val="000000" w:themeColor="text1"/>
                <w:sz w:val="19"/>
                <w:szCs w:val="19"/>
              </w:rPr>
              <w:t>2 Weeks</w:t>
            </w:r>
          </w:p>
        </w:tc>
        <w:tc>
          <w:tcPr>
            <w:tcW w:w="1300" w:type="dxa"/>
            <w:tcMar>
              <w:top w:w="50" w:type="dxa"/>
              <w:left w:w="80" w:type="dxa"/>
              <w:bottom w:w="50" w:type="dxa"/>
              <w:right w:w="80" w:type="dxa"/>
            </w:tcMar>
            <w:vAlign w:val="center"/>
          </w:tcPr>
          <w:p w14:paraId="10DB1396" w14:textId="77777777" w:rsidR="00922ED9" w:rsidRPr="002141AA" w:rsidRDefault="0039171D">
            <w:pPr>
              <w:jc w:val="center"/>
              <w:rPr>
                <w:color w:val="000000" w:themeColor="text1"/>
              </w:rPr>
            </w:pPr>
            <w:r w:rsidRPr="002141AA">
              <w:rPr>
                <w:color w:val="000000" w:themeColor="text1"/>
                <w:sz w:val="19"/>
                <w:szCs w:val="19"/>
              </w:rPr>
              <w:t>387.08</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3F8B0F0D" w14:textId="77777777" w:rsidR="00922ED9" w:rsidRPr="002141AA" w:rsidRDefault="0039171D">
            <w:pPr>
              <w:jc w:val="center"/>
              <w:rPr>
                <w:color w:val="000000" w:themeColor="text1"/>
              </w:rPr>
            </w:pPr>
            <w:r w:rsidRPr="002141AA">
              <w:rPr>
                <w:color w:val="000000" w:themeColor="text1"/>
                <w:sz w:val="19"/>
                <w:szCs w:val="19"/>
              </w:rPr>
              <w:t>350.66</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54CD29FB" w14:textId="77777777" w:rsidR="00922ED9" w:rsidRPr="002141AA" w:rsidRDefault="0039171D">
            <w:pPr>
              <w:jc w:val="center"/>
              <w:rPr>
                <w:color w:val="000000" w:themeColor="text1"/>
              </w:rPr>
            </w:pPr>
            <w:r w:rsidRPr="002141AA">
              <w:rPr>
                <w:color w:val="000000" w:themeColor="text1"/>
                <w:sz w:val="19"/>
                <w:szCs w:val="19"/>
              </w:rPr>
              <w:t>421.83</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5DD06E3B" w14:textId="77777777" w:rsidR="00922ED9" w:rsidRPr="002141AA" w:rsidRDefault="0039171D">
            <w:pPr>
              <w:jc w:val="center"/>
              <w:rPr>
                <w:color w:val="000000" w:themeColor="text1"/>
              </w:rPr>
            </w:pPr>
            <w:r w:rsidRPr="002141AA">
              <w:rPr>
                <w:color w:val="000000" w:themeColor="text1"/>
                <w:sz w:val="19"/>
                <w:szCs w:val="19"/>
              </w:rPr>
              <w:t>394.58</w:t>
            </w:r>
            <w:r w:rsidRPr="002141AA">
              <w:rPr>
                <w:color w:val="000000" w:themeColor="text1"/>
                <w:sz w:val="19"/>
                <w:szCs w:val="19"/>
                <w:vertAlign w:val="superscript"/>
              </w:rPr>
              <w:t>bc</w:t>
            </w:r>
          </w:p>
        </w:tc>
        <w:tc>
          <w:tcPr>
            <w:tcW w:w="1300" w:type="dxa"/>
            <w:tcMar>
              <w:top w:w="50" w:type="dxa"/>
              <w:left w:w="80" w:type="dxa"/>
              <w:bottom w:w="50" w:type="dxa"/>
              <w:right w:w="80" w:type="dxa"/>
            </w:tcMar>
            <w:vAlign w:val="center"/>
          </w:tcPr>
          <w:p w14:paraId="2021A46D" w14:textId="77777777" w:rsidR="00922ED9" w:rsidRPr="002141AA" w:rsidRDefault="0039171D">
            <w:pPr>
              <w:jc w:val="center"/>
              <w:rPr>
                <w:color w:val="000000" w:themeColor="text1"/>
              </w:rPr>
            </w:pPr>
            <w:r w:rsidRPr="002141AA">
              <w:rPr>
                <w:color w:val="000000" w:themeColor="text1"/>
                <w:sz w:val="19"/>
                <w:szCs w:val="19"/>
              </w:rPr>
              <w:t>456.00</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45ADBF04" w14:textId="77777777" w:rsidR="00922ED9" w:rsidRPr="002141AA" w:rsidRDefault="0039171D">
            <w:pPr>
              <w:jc w:val="center"/>
              <w:rPr>
                <w:color w:val="000000" w:themeColor="text1"/>
              </w:rPr>
            </w:pPr>
            <w:r w:rsidRPr="002141AA">
              <w:rPr>
                <w:color w:val="000000" w:themeColor="text1"/>
                <w:sz w:val="19"/>
                <w:szCs w:val="19"/>
              </w:rPr>
              <w:t>6.23</w:t>
            </w:r>
          </w:p>
        </w:tc>
      </w:tr>
      <w:tr w:rsidR="002141AA" w:rsidRPr="002141AA" w14:paraId="4E8F7C39" w14:textId="77777777" w:rsidTr="002141AA">
        <w:trPr>
          <w:jc w:val="center"/>
        </w:trPr>
        <w:tc>
          <w:tcPr>
            <w:tcW w:w="1700" w:type="dxa"/>
            <w:tcMar>
              <w:top w:w="50" w:type="dxa"/>
              <w:left w:w="80" w:type="dxa"/>
              <w:bottom w:w="50" w:type="dxa"/>
              <w:right w:w="80" w:type="dxa"/>
            </w:tcMar>
            <w:vAlign w:val="center"/>
          </w:tcPr>
          <w:p w14:paraId="6AE24843" w14:textId="77777777" w:rsidR="00922ED9" w:rsidRPr="002141AA" w:rsidRDefault="0039171D">
            <w:pPr>
              <w:rPr>
                <w:color w:val="000000" w:themeColor="text1"/>
              </w:rPr>
            </w:pPr>
            <w:r w:rsidRPr="002141AA">
              <w:rPr>
                <w:b/>
                <w:bCs/>
                <w:color w:val="000000" w:themeColor="text1"/>
                <w:sz w:val="19"/>
                <w:szCs w:val="19"/>
              </w:rPr>
              <w:t>3 Weeks</w:t>
            </w:r>
          </w:p>
        </w:tc>
        <w:tc>
          <w:tcPr>
            <w:tcW w:w="1300" w:type="dxa"/>
            <w:tcMar>
              <w:top w:w="50" w:type="dxa"/>
              <w:left w:w="80" w:type="dxa"/>
              <w:bottom w:w="50" w:type="dxa"/>
              <w:right w:w="80" w:type="dxa"/>
            </w:tcMar>
            <w:vAlign w:val="center"/>
          </w:tcPr>
          <w:p w14:paraId="05FB10D4" w14:textId="77777777" w:rsidR="00922ED9" w:rsidRPr="002141AA" w:rsidRDefault="0039171D">
            <w:pPr>
              <w:jc w:val="center"/>
              <w:rPr>
                <w:color w:val="000000" w:themeColor="text1"/>
              </w:rPr>
            </w:pPr>
            <w:r w:rsidRPr="002141AA">
              <w:rPr>
                <w:color w:val="000000" w:themeColor="text1"/>
                <w:sz w:val="19"/>
                <w:szCs w:val="19"/>
              </w:rPr>
              <w:t>730.08</w:t>
            </w:r>
            <w:r w:rsidRPr="002141AA">
              <w:rPr>
                <w:color w:val="000000" w:themeColor="text1"/>
                <w:sz w:val="19"/>
                <w:szCs w:val="19"/>
                <w:vertAlign w:val="superscript"/>
              </w:rPr>
              <w:t>e</w:t>
            </w:r>
          </w:p>
        </w:tc>
        <w:tc>
          <w:tcPr>
            <w:tcW w:w="1300" w:type="dxa"/>
            <w:tcMar>
              <w:top w:w="50" w:type="dxa"/>
              <w:left w:w="80" w:type="dxa"/>
              <w:bottom w:w="50" w:type="dxa"/>
              <w:right w:w="80" w:type="dxa"/>
            </w:tcMar>
            <w:vAlign w:val="center"/>
          </w:tcPr>
          <w:p w14:paraId="0BC14A71" w14:textId="77777777" w:rsidR="00922ED9" w:rsidRPr="002141AA" w:rsidRDefault="0039171D">
            <w:pPr>
              <w:jc w:val="center"/>
              <w:rPr>
                <w:color w:val="000000" w:themeColor="text1"/>
              </w:rPr>
            </w:pPr>
            <w:r w:rsidRPr="002141AA">
              <w:rPr>
                <w:color w:val="000000" w:themeColor="text1"/>
                <w:sz w:val="19"/>
                <w:szCs w:val="19"/>
              </w:rPr>
              <w:t>602.16</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11519816" w14:textId="77777777" w:rsidR="00922ED9" w:rsidRPr="002141AA" w:rsidRDefault="0039171D">
            <w:pPr>
              <w:jc w:val="center"/>
              <w:rPr>
                <w:color w:val="000000" w:themeColor="text1"/>
              </w:rPr>
            </w:pPr>
            <w:r w:rsidRPr="002141AA">
              <w:rPr>
                <w:color w:val="000000" w:themeColor="text1"/>
                <w:sz w:val="19"/>
                <w:szCs w:val="19"/>
              </w:rPr>
              <w:t>702.83</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02443EF7" w14:textId="77777777" w:rsidR="00922ED9" w:rsidRPr="002141AA" w:rsidRDefault="0039171D">
            <w:pPr>
              <w:jc w:val="center"/>
              <w:rPr>
                <w:color w:val="000000" w:themeColor="text1"/>
              </w:rPr>
            </w:pPr>
            <w:r w:rsidRPr="002141AA">
              <w:rPr>
                <w:color w:val="000000" w:themeColor="text1"/>
                <w:sz w:val="19"/>
                <w:szCs w:val="19"/>
              </w:rPr>
              <w:t>642.00</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0F303B56" w14:textId="77777777" w:rsidR="00922ED9" w:rsidRPr="002141AA" w:rsidRDefault="0039171D">
            <w:pPr>
              <w:jc w:val="center"/>
              <w:rPr>
                <w:color w:val="000000" w:themeColor="text1"/>
              </w:rPr>
            </w:pPr>
            <w:r w:rsidRPr="002141AA">
              <w:rPr>
                <w:color w:val="000000" w:themeColor="text1"/>
                <w:sz w:val="19"/>
                <w:szCs w:val="19"/>
              </w:rPr>
              <w:t>716.33</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48610F29" w14:textId="77777777" w:rsidR="00922ED9" w:rsidRPr="002141AA" w:rsidRDefault="0039171D">
            <w:pPr>
              <w:jc w:val="center"/>
              <w:rPr>
                <w:color w:val="000000" w:themeColor="text1"/>
              </w:rPr>
            </w:pPr>
            <w:r w:rsidRPr="002141AA">
              <w:rPr>
                <w:color w:val="000000" w:themeColor="text1"/>
                <w:sz w:val="19"/>
                <w:szCs w:val="19"/>
              </w:rPr>
              <w:t>1.68</w:t>
            </w:r>
          </w:p>
        </w:tc>
      </w:tr>
      <w:tr w:rsidR="002141AA" w:rsidRPr="002141AA" w14:paraId="47CD9A01" w14:textId="77777777" w:rsidTr="002141AA">
        <w:trPr>
          <w:jc w:val="center"/>
        </w:trPr>
        <w:tc>
          <w:tcPr>
            <w:tcW w:w="1700" w:type="dxa"/>
            <w:tcMar>
              <w:top w:w="50" w:type="dxa"/>
              <w:left w:w="80" w:type="dxa"/>
              <w:bottom w:w="50" w:type="dxa"/>
              <w:right w:w="80" w:type="dxa"/>
            </w:tcMar>
            <w:vAlign w:val="center"/>
          </w:tcPr>
          <w:p w14:paraId="719D78DC" w14:textId="77777777" w:rsidR="00922ED9" w:rsidRPr="002141AA" w:rsidRDefault="0039171D">
            <w:pPr>
              <w:rPr>
                <w:color w:val="000000" w:themeColor="text1"/>
              </w:rPr>
            </w:pPr>
            <w:r w:rsidRPr="002141AA">
              <w:rPr>
                <w:b/>
                <w:bCs/>
                <w:color w:val="000000" w:themeColor="text1"/>
                <w:sz w:val="19"/>
                <w:szCs w:val="19"/>
              </w:rPr>
              <w:t>4 Weeks</w:t>
            </w:r>
          </w:p>
        </w:tc>
        <w:tc>
          <w:tcPr>
            <w:tcW w:w="1300" w:type="dxa"/>
            <w:tcMar>
              <w:top w:w="50" w:type="dxa"/>
              <w:left w:w="80" w:type="dxa"/>
              <w:bottom w:w="50" w:type="dxa"/>
              <w:right w:w="80" w:type="dxa"/>
            </w:tcMar>
            <w:vAlign w:val="center"/>
          </w:tcPr>
          <w:p w14:paraId="41328E2D" w14:textId="77777777" w:rsidR="00922ED9" w:rsidRPr="002141AA" w:rsidRDefault="0039171D">
            <w:pPr>
              <w:jc w:val="center"/>
              <w:rPr>
                <w:color w:val="000000" w:themeColor="text1"/>
              </w:rPr>
            </w:pPr>
            <w:r w:rsidRPr="002141AA">
              <w:rPr>
                <w:color w:val="000000" w:themeColor="text1"/>
                <w:sz w:val="19"/>
                <w:szCs w:val="19"/>
              </w:rPr>
              <w:t>936.16</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4B8530BC" w14:textId="77777777" w:rsidR="00922ED9" w:rsidRPr="002141AA" w:rsidRDefault="0039171D">
            <w:pPr>
              <w:jc w:val="center"/>
              <w:rPr>
                <w:color w:val="000000" w:themeColor="text1"/>
              </w:rPr>
            </w:pPr>
            <w:r w:rsidRPr="002141AA">
              <w:rPr>
                <w:color w:val="000000" w:themeColor="text1"/>
                <w:sz w:val="19"/>
                <w:szCs w:val="19"/>
              </w:rPr>
              <w:t>872.08</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4FAB74B6" w14:textId="77777777" w:rsidR="00922ED9" w:rsidRPr="002141AA" w:rsidRDefault="0039171D">
            <w:pPr>
              <w:jc w:val="center"/>
              <w:rPr>
                <w:color w:val="000000" w:themeColor="text1"/>
              </w:rPr>
            </w:pPr>
            <w:r w:rsidRPr="002141AA">
              <w:rPr>
                <w:color w:val="000000" w:themeColor="text1"/>
                <w:sz w:val="19"/>
                <w:szCs w:val="19"/>
              </w:rPr>
              <w:t>850.00</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7FA950D7" w14:textId="77777777" w:rsidR="00922ED9" w:rsidRPr="002141AA" w:rsidRDefault="0039171D">
            <w:pPr>
              <w:jc w:val="center"/>
              <w:rPr>
                <w:color w:val="000000" w:themeColor="text1"/>
              </w:rPr>
            </w:pPr>
            <w:r w:rsidRPr="002141AA">
              <w:rPr>
                <w:color w:val="000000" w:themeColor="text1"/>
                <w:sz w:val="19"/>
                <w:szCs w:val="19"/>
              </w:rPr>
              <w:t>868.50</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1D8F496F" w14:textId="77777777" w:rsidR="00922ED9" w:rsidRPr="002141AA" w:rsidRDefault="0039171D">
            <w:pPr>
              <w:jc w:val="center"/>
              <w:rPr>
                <w:color w:val="000000" w:themeColor="text1"/>
              </w:rPr>
            </w:pPr>
            <w:r w:rsidRPr="002141AA">
              <w:rPr>
                <w:color w:val="000000" w:themeColor="text1"/>
                <w:sz w:val="19"/>
                <w:szCs w:val="19"/>
              </w:rPr>
              <w:t>971.25</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1D00EE95" w14:textId="77777777" w:rsidR="00922ED9" w:rsidRPr="002141AA" w:rsidRDefault="0039171D">
            <w:pPr>
              <w:jc w:val="center"/>
              <w:rPr>
                <w:color w:val="000000" w:themeColor="text1"/>
              </w:rPr>
            </w:pPr>
            <w:r w:rsidRPr="002141AA">
              <w:rPr>
                <w:color w:val="000000" w:themeColor="text1"/>
                <w:sz w:val="19"/>
                <w:szCs w:val="19"/>
              </w:rPr>
              <w:t>3.39</w:t>
            </w:r>
          </w:p>
        </w:tc>
      </w:tr>
      <w:tr w:rsidR="002141AA" w:rsidRPr="002141AA" w14:paraId="0399E7DC" w14:textId="77777777" w:rsidTr="002141AA">
        <w:trPr>
          <w:jc w:val="center"/>
        </w:trPr>
        <w:tc>
          <w:tcPr>
            <w:tcW w:w="1700" w:type="dxa"/>
            <w:tcMar>
              <w:top w:w="50" w:type="dxa"/>
              <w:left w:w="80" w:type="dxa"/>
              <w:bottom w:w="50" w:type="dxa"/>
              <w:right w:w="80" w:type="dxa"/>
            </w:tcMar>
            <w:vAlign w:val="center"/>
          </w:tcPr>
          <w:p w14:paraId="3599E3F8" w14:textId="77777777" w:rsidR="00922ED9" w:rsidRPr="002141AA" w:rsidRDefault="0039171D">
            <w:pPr>
              <w:rPr>
                <w:color w:val="000000" w:themeColor="text1"/>
              </w:rPr>
            </w:pPr>
            <w:r w:rsidRPr="002141AA">
              <w:rPr>
                <w:b/>
                <w:bCs/>
                <w:color w:val="000000" w:themeColor="text1"/>
                <w:sz w:val="19"/>
                <w:szCs w:val="19"/>
              </w:rPr>
              <w:t>5 Weeks</w:t>
            </w:r>
          </w:p>
        </w:tc>
        <w:tc>
          <w:tcPr>
            <w:tcW w:w="1300" w:type="dxa"/>
            <w:tcMar>
              <w:top w:w="50" w:type="dxa"/>
              <w:left w:w="80" w:type="dxa"/>
              <w:bottom w:w="50" w:type="dxa"/>
              <w:right w:w="80" w:type="dxa"/>
            </w:tcMar>
            <w:vAlign w:val="center"/>
          </w:tcPr>
          <w:p w14:paraId="6BCB5F22" w14:textId="77777777" w:rsidR="00922ED9" w:rsidRPr="002141AA" w:rsidRDefault="0039171D">
            <w:pPr>
              <w:jc w:val="center"/>
              <w:rPr>
                <w:color w:val="000000" w:themeColor="text1"/>
              </w:rPr>
            </w:pPr>
            <w:r w:rsidRPr="002141AA">
              <w:rPr>
                <w:color w:val="000000" w:themeColor="text1"/>
                <w:sz w:val="19"/>
                <w:szCs w:val="19"/>
              </w:rPr>
              <w:t>1087.16</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740D8479" w14:textId="77777777" w:rsidR="00922ED9" w:rsidRPr="002141AA" w:rsidRDefault="0039171D">
            <w:pPr>
              <w:jc w:val="center"/>
              <w:rPr>
                <w:color w:val="000000" w:themeColor="text1"/>
              </w:rPr>
            </w:pPr>
            <w:r w:rsidRPr="002141AA">
              <w:rPr>
                <w:color w:val="000000" w:themeColor="text1"/>
                <w:sz w:val="19"/>
                <w:szCs w:val="19"/>
              </w:rPr>
              <w:t>847.91</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45A0102A" w14:textId="77777777" w:rsidR="00922ED9" w:rsidRPr="002141AA" w:rsidRDefault="0039171D">
            <w:pPr>
              <w:jc w:val="center"/>
              <w:rPr>
                <w:color w:val="000000" w:themeColor="text1"/>
              </w:rPr>
            </w:pPr>
            <w:r w:rsidRPr="002141AA">
              <w:rPr>
                <w:color w:val="000000" w:themeColor="text1"/>
                <w:sz w:val="19"/>
                <w:szCs w:val="19"/>
              </w:rPr>
              <w:t>937.25</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2898FEFD" w14:textId="77777777" w:rsidR="00922ED9" w:rsidRPr="002141AA" w:rsidRDefault="0039171D">
            <w:pPr>
              <w:jc w:val="center"/>
              <w:rPr>
                <w:color w:val="000000" w:themeColor="text1"/>
              </w:rPr>
            </w:pPr>
            <w:r w:rsidRPr="002141AA">
              <w:rPr>
                <w:color w:val="000000" w:themeColor="text1"/>
                <w:sz w:val="19"/>
                <w:szCs w:val="19"/>
              </w:rPr>
              <w:t>885.58</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107B00B0" w14:textId="77777777" w:rsidR="00922ED9" w:rsidRPr="002141AA" w:rsidRDefault="0039171D">
            <w:pPr>
              <w:jc w:val="center"/>
              <w:rPr>
                <w:color w:val="000000" w:themeColor="text1"/>
              </w:rPr>
            </w:pPr>
            <w:r w:rsidRPr="002141AA">
              <w:rPr>
                <w:color w:val="000000" w:themeColor="text1"/>
                <w:sz w:val="19"/>
                <w:szCs w:val="19"/>
              </w:rPr>
              <w:t>930.00</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59D60C12" w14:textId="77777777" w:rsidR="00922ED9" w:rsidRPr="002141AA" w:rsidRDefault="0039171D">
            <w:pPr>
              <w:jc w:val="center"/>
              <w:rPr>
                <w:color w:val="000000" w:themeColor="text1"/>
              </w:rPr>
            </w:pPr>
            <w:r w:rsidRPr="002141AA">
              <w:rPr>
                <w:color w:val="000000" w:themeColor="text1"/>
                <w:sz w:val="19"/>
                <w:szCs w:val="19"/>
              </w:rPr>
              <w:t>2.05</w:t>
            </w:r>
          </w:p>
        </w:tc>
      </w:tr>
      <w:tr w:rsidR="002141AA" w:rsidRPr="002141AA" w14:paraId="6C1678D7" w14:textId="77777777" w:rsidTr="002141AA">
        <w:trPr>
          <w:jc w:val="center"/>
        </w:trPr>
        <w:tc>
          <w:tcPr>
            <w:tcW w:w="1700" w:type="dxa"/>
            <w:tcMar>
              <w:top w:w="50" w:type="dxa"/>
              <w:left w:w="80" w:type="dxa"/>
              <w:bottom w:w="50" w:type="dxa"/>
              <w:right w:w="80" w:type="dxa"/>
            </w:tcMar>
            <w:vAlign w:val="center"/>
          </w:tcPr>
          <w:p w14:paraId="426083D1" w14:textId="77777777" w:rsidR="00922ED9" w:rsidRPr="002141AA" w:rsidRDefault="0039171D">
            <w:pPr>
              <w:rPr>
                <w:color w:val="000000" w:themeColor="text1"/>
              </w:rPr>
            </w:pPr>
            <w:r w:rsidRPr="002141AA">
              <w:rPr>
                <w:b/>
                <w:bCs/>
                <w:color w:val="000000" w:themeColor="text1"/>
                <w:sz w:val="19"/>
                <w:szCs w:val="19"/>
              </w:rPr>
              <w:t>Mean</w:t>
            </w:r>
          </w:p>
        </w:tc>
        <w:tc>
          <w:tcPr>
            <w:tcW w:w="1300" w:type="dxa"/>
            <w:tcMar>
              <w:top w:w="50" w:type="dxa"/>
              <w:left w:w="80" w:type="dxa"/>
              <w:bottom w:w="50" w:type="dxa"/>
              <w:right w:w="80" w:type="dxa"/>
            </w:tcMar>
            <w:vAlign w:val="center"/>
          </w:tcPr>
          <w:p w14:paraId="0BADB8CE" w14:textId="77777777" w:rsidR="00922ED9" w:rsidRPr="002141AA" w:rsidRDefault="0039171D">
            <w:pPr>
              <w:jc w:val="center"/>
              <w:rPr>
                <w:color w:val="000000" w:themeColor="text1"/>
              </w:rPr>
            </w:pPr>
            <w:r w:rsidRPr="002141AA">
              <w:rPr>
                <w:color w:val="000000" w:themeColor="text1"/>
                <w:sz w:val="19"/>
                <w:szCs w:val="19"/>
              </w:rPr>
              <w:t>665.28</w:t>
            </w:r>
            <w:r w:rsidRPr="002141AA">
              <w:rPr>
                <w:color w:val="000000" w:themeColor="text1"/>
                <w:sz w:val="19"/>
                <w:szCs w:val="19"/>
                <w:vertAlign w:val="superscript"/>
              </w:rPr>
              <w:t>e</w:t>
            </w:r>
          </w:p>
        </w:tc>
        <w:tc>
          <w:tcPr>
            <w:tcW w:w="1300" w:type="dxa"/>
            <w:tcMar>
              <w:top w:w="50" w:type="dxa"/>
              <w:left w:w="80" w:type="dxa"/>
              <w:bottom w:w="50" w:type="dxa"/>
              <w:right w:w="80" w:type="dxa"/>
            </w:tcMar>
            <w:vAlign w:val="center"/>
          </w:tcPr>
          <w:p w14:paraId="22975C14" w14:textId="77777777" w:rsidR="00922ED9" w:rsidRPr="002141AA" w:rsidRDefault="0039171D">
            <w:pPr>
              <w:jc w:val="center"/>
              <w:rPr>
                <w:color w:val="000000" w:themeColor="text1"/>
              </w:rPr>
            </w:pPr>
            <w:r w:rsidRPr="002141AA">
              <w:rPr>
                <w:color w:val="000000" w:themeColor="text1"/>
                <w:sz w:val="19"/>
                <w:szCs w:val="19"/>
              </w:rPr>
              <w:t>580.15</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23B4294F" w14:textId="77777777" w:rsidR="00922ED9" w:rsidRPr="002141AA" w:rsidRDefault="0039171D">
            <w:pPr>
              <w:jc w:val="center"/>
              <w:rPr>
                <w:color w:val="000000" w:themeColor="text1"/>
              </w:rPr>
            </w:pPr>
            <w:r w:rsidRPr="002141AA">
              <w:rPr>
                <w:color w:val="000000" w:themeColor="text1"/>
                <w:sz w:val="19"/>
                <w:szCs w:val="19"/>
              </w:rPr>
              <w:t>620.70</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51A17E76" w14:textId="77777777" w:rsidR="00922ED9" w:rsidRPr="002141AA" w:rsidRDefault="0039171D">
            <w:pPr>
              <w:jc w:val="center"/>
              <w:rPr>
                <w:color w:val="000000" w:themeColor="text1"/>
              </w:rPr>
            </w:pPr>
            <w:r w:rsidRPr="002141AA">
              <w:rPr>
                <w:color w:val="000000" w:themeColor="text1"/>
                <w:sz w:val="19"/>
                <w:szCs w:val="19"/>
              </w:rPr>
              <w:t>592.41</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3B7D48A3" w14:textId="77777777" w:rsidR="00922ED9" w:rsidRPr="002141AA" w:rsidRDefault="0039171D">
            <w:pPr>
              <w:jc w:val="center"/>
              <w:rPr>
                <w:color w:val="000000" w:themeColor="text1"/>
              </w:rPr>
            </w:pPr>
            <w:r w:rsidRPr="002141AA">
              <w:rPr>
                <w:color w:val="000000" w:themeColor="text1"/>
                <w:sz w:val="19"/>
                <w:szCs w:val="19"/>
              </w:rPr>
              <w:t>653.03</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505871E7" w14:textId="77777777" w:rsidR="00922ED9" w:rsidRPr="002141AA" w:rsidRDefault="0039171D">
            <w:pPr>
              <w:jc w:val="center"/>
              <w:rPr>
                <w:color w:val="000000" w:themeColor="text1"/>
              </w:rPr>
            </w:pPr>
            <w:r w:rsidRPr="002141AA">
              <w:rPr>
                <w:color w:val="000000" w:themeColor="text1"/>
                <w:sz w:val="19"/>
                <w:szCs w:val="19"/>
              </w:rPr>
              <w:t>3.18</w:t>
            </w:r>
          </w:p>
        </w:tc>
      </w:tr>
    </w:tbl>
    <w:p w14:paraId="3526CCB6" w14:textId="77777777" w:rsidR="00922ED9" w:rsidRDefault="0039171D">
      <w:pPr>
        <w:spacing w:before="60" w:after="200"/>
        <w:rPr>
          <w:i/>
          <w:iCs/>
          <w:color w:val="000000" w:themeColor="text1"/>
          <w:sz w:val="17"/>
          <w:szCs w:val="17"/>
        </w:rPr>
      </w:pPr>
      <w:r w:rsidRPr="002141AA">
        <w:rPr>
          <w:i/>
          <w:iCs/>
          <w:color w:val="000000" w:themeColor="text1"/>
          <w:sz w:val="17"/>
          <w:szCs w:val="17"/>
        </w:rPr>
        <w:t>SEM: standard error of the mean; a, b, c, d, e: values within a row bearing different superscripts differ significantly (P&lt;0.05).</w:t>
      </w:r>
    </w:p>
    <w:p w14:paraId="2C883EA8" w14:textId="77777777" w:rsidR="00493C87" w:rsidRDefault="00493C87">
      <w:pPr>
        <w:spacing w:before="60" w:after="200"/>
        <w:rPr>
          <w:i/>
          <w:iCs/>
          <w:color w:val="000000" w:themeColor="text1"/>
          <w:sz w:val="17"/>
          <w:szCs w:val="17"/>
        </w:rPr>
      </w:pPr>
    </w:p>
    <w:p w14:paraId="01D87306" w14:textId="77777777" w:rsidR="00493C87" w:rsidRDefault="00493C87">
      <w:pPr>
        <w:spacing w:before="60" w:after="200"/>
        <w:rPr>
          <w:i/>
          <w:iCs/>
          <w:color w:val="000000" w:themeColor="text1"/>
          <w:sz w:val="17"/>
          <w:szCs w:val="17"/>
        </w:rPr>
      </w:pPr>
    </w:p>
    <w:p w14:paraId="67C1654D" w14:textId="77777777" w:rsidR="00493C87" w:rsidRDefault="00493C87" w:rsidP="00493C87">
      <w:pPr>
        <w:spacing w:before="60" w:after="200"/>
        <w:jc w:val="center"/>
        <w:rPr>
          <w:color w:val="000000" w:themeColor="text1"/>
        </w:rPr>
      </w:pPr>
      <w:r>
        <w:rPr>
          <w:noProof/>
          <w:lang w:val="en-GB" w:eastAsia="en-GB" w:bidi="ar-SA"/>
        </w:rPr>
        <w:drawing>
          <wp:inline distT="0" distB="0" distL="0" distR="0" wp14:anchorId="5222BCBC" wp14:editId="19AF5AC1">
            <wp:extent cx="3597729" cy="1807029"/>
            <wp:effectExtent l="0" t="0" r="3175" b="3175"/>
            <wp:docPr id="816222246" name="Chart 1">
              <a:extLst xmlns:a="http://schemas.openxmlformats.org/drawingml/2006/main">
                <a:ext uri="{FF2B5EF4-FFF2-40B4-BE49-F238E27FC236}">
                  <a16:creationId xmlns:a16="http://schemas.microsoft.com/office/drawing/2014/main" id="{2D21FB90-0E1B-5866-3AD1-6CAE70134F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69254C8" w14:textId="77777777" w:rsidR="00C42C30" w:rsidRDefault="00C42C30">
      <w:pPr>
        <w:spacing w:after="160" w:line="300" w:lineRule="auto"/>
        <w:jc w:val="both"/>
        <w:rPr>
          <w:color w:val="000000" w:themeColor="text1"/>
        </w:rPr>
      </w:pPr>
      <w:r w:rsidRPr="00C42C30">
        <w:rPr>
          <w:color w:val="000000" w:themeColor="text1"/>
        </w:rPr>
        <w:t>Figure 3. Weekly feed consumption of broiler chickens under different dietary treatments.</w:t>
      </w:r>
    </w:p>
    <w:p w14:paraId="015816B1" w14:textId="61CAA7C0" w:rsidR="00922ED9" w:rsidRPr="002141AA" w:rsidRDefault="0039171D">
      <w:pPr>
        <w:spacing w:after="160" w:line="300" w:lineRule="auto"/>
        <w:jc w:val="both"/>
        <w:rPr>
          <w:color w:val="000000" w:themeColor="text1"/>
        </w:rPr>
      </w:pPr>
      <w:r w:rsidRPr="002141AA">
        <w:rPr>
          <w:color w:val="000000" w:themeColor="text1"/>
          <w:sz w:val="22"/>
          <w:szCs w:val="22"/>
        </w:rPr>
        <w:t>The lower feed consumption coupled with superior growth in the cinnamon oil group (T1) reflects the digestive-stimulant and gut-health-promoting action of cinnamaldehyde and eugenol, which enhance nutrient absorption efficiency, thereby allowing birds to achieve greater weight gain from a smaller quantity of feed (Abd El-Hack et al., 2020; Brenes and Roura, 2010). This finding is consistent with Elashry et al. (2026), who reported that broilers receiving 0.3% cinnamon oil consumed less feed while recording a higher final body weight than controls. In contrast, the relatively higher feed intake but poorer growth efficiency of the Control group reflects the absence of any antimicrobial or digestive-enhancing additive to modulate gut microbial competition for nutrients.</w:t>
      </w:r>
    </w:p>
    <w:p w14:paraId="2B6B3501" w14:textId="77777777" w:rsidR="00922ED9" w:rsidRPr="002141AA" w:rsidRDefault="0039171D">
      <w:pPr>
        <w:spacing w:before="220" w:after="120"/>
        <w:rPr>
          <w:color w:val="000000" w:themeColor="text1"/>
        </w:rPr>
      </w:pPr>
      <w:r w:rsidRPr="002141AA">
        <w:rPr>
          <w:b/>
          <w:bCs/>
          <w:i/>
          <w:iCs/>
          <w:color w:val="000000" w:themeColor="text1"/>
          <w:sz w:val="23"/>
          <w:szCs w:val="23"/>
        </w:rPr>
        <w:t>3.4 Feed Conversion Ratio</w:t>
      </w:r>
    </w:p>
    <w:p w14:paraId="4ADD43C0" w14:textId="77777777" w:rsidR="00922ED9" w:rsidRPr="002141AA" w:rsidRDefault="0039171D">
      <w:pPr>
        <w:spacing w:after="160" w:line="300" w:lineRule="auto"/>
        <w:jc w:val="both"/>
        <w:rPr>
          <w:color w:val="000000" w:themeColor="text1"/>
        </w:rPr>
      </w:pPr>
      <w:r w:rsidRPr="002141AA">
        <w:rPr>
          <w:color w:val="000000" w:themeColor="text1"/>
          <w:sz w:val="22"/>
          <w:szCs w:val="22"/>
        </w:rPr>
        <w:t>The feed conversion ratio (FCR) differed significantly (P&lt;0.05) among treatment groups (Table 4). The most favourable (lowest) overall mean FCR was recorded in T1 (1.31), followed by T3 (1.44), T4 (1.56), T2 (1.60), and the Control, which recorded the poorest FCR (1.84).</w:t>
      </w:r>
    </w:p>
    <w:p w14:paraId="257D00AB" w14:textId="77777777" w:rsidR="00922ED9" w:rsidRPr="002141AA" w:rsidRDefault="0039171D">
      <w:pPr>
        <w:spacing w:before="80" w:after="60"/>
        <w:rPr>
          <w:color w:val="000000" w:themeColor="text1"/>
        </w:rPr>
      </w:pPr>
      <w:r w:rsidRPr="002141AA">
        <w:rPr>
          <w:b/>
          <w:bCs/>
          <w:color w:val="000000" w:themeColor="text1"/>
        </w:rPr>
        <w:t>Table 4. Effect of dietary treatments on weekly feed conversion ratio of broiler chicken</w:t>
      </w:r>
    </w:p>
    <w:tbl>
      <w:tblPr>
        <w:tblW w:w="9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300"/>
        <w:gridCol w:w="1300"/>
        <w:gridCol w:w="1300"/>
        <w:gridCol w:w="1300"/>
        <w:gridCol w:w="1300"/>
        <w:gridCol w:w="1300"/>
      </w:tblGrid>
      <w:tr w:rsidR="002141AA" w:rsidRPr="002141AA" w14:paraId="5FE99F08" w14:textId="77777777" w:rsidTr="002141AA">
        <w:trPr>
          <w:tblHeader/>
          <w:jc w:val="center"/>
        </w:trPr>
        <w:tc>
          <w:tcPr>
            <w:tcW w:w="1700" w:type="dxa"/>
            <w:tcMar>
              <w:top w:w="60" w:type="dxa"/>
              <w:left w:w="80" w:type="dxa"/>
              <w:bottom w:w="60" w:type="dxa"/>
              <w:right w:w="80" w:type="dxa"/>
            </w:tcMar>
            <w:vAlign w:val="center"/>
          </w:tcPr>
          <w:p w14:paraId="478F6F18" w14:textId="77777777" w:rsidR="00922ED9" w:rsidRPr="002141AA" w:rsidRDefault="0039171D">
            <w:pPr>
              <w:jc w:val="center"/>
              <w:rPr>
                <w:color w:val="000000" w:themeColor="text1"/>
              </w:rPr>
            </w:pPr>
            <w:r w:rsidRPr="002141AA">
              <w:rPr>
                <w:b/>
                <w:bCs/>
                <w:color w:val="000000" w:themeColor="text1"/>
                <w:sz w:val="19"/>
                <w:szCs w:val="19"/>
              </w:rPr>
              <w:t>Age (weeks)</w:t>
            </w:r>
          </w:p>
        </w:tc>
        <w:tc>
          <w:tcPr>
            <w:tcW w:w="1300" w:type="dxa"/>
            <w:tcMar>
              <w:top w:w="60" w:type="dxa"/>
              <w:left w:w="80" w:type="dxa"/>
              <w:bottom w:w="60" w:type="dxa"/>
              <w:right w:w="80" w:type="dxa"/>
            </w:tcMar>
            <w:vAlign w:val="center"/>
          </w:tcPr>
          <w:p w14:paraId="64A5D6CA" w14:textId="77777777" w:rsidR="00922ED9" w:rsidRPr="002141AA" w:rsidRDefault="0039171D">
            <w:pPr>
              <w:jc w:val="center"/>
              <w:rPr>
                <w:color w:val="000000" w:themeColor="text1"/>
              </w:rPr>
            </w:pPr>
            <w:r w:rsidRPr="002141AA">
              <w:rPr>
                <w:b/>
                <w:bCs/>
                <w:color w:val="000000" w:themeColor="text1"/>
                <w:sz w:val="19"/>
                <w:szCs w:val="19"/>
              </w:rPr>
              <w:t>Control</w:t>
            </w:r>
          </w:p>
        </w:tc>
        <w:tc>
          <w:tcPr>
            <w:tcW w:w="1300" w:type="dxa"/>
            <w:tcMar>
              <w:top w:w="60" w:type="dxa"/>
              <w:left w:w="80" w:type="dxa"/>
              <w:bottom w:w="60" w:type="dxa"/>
              <w:right w:w="80" w:type="dxa"/>
            </w:tcMar>
            <w:vAlign w:val="center"/>
          </w:tcPr>
          <w:p w14:paraId="492DF2E0" w14:textId="77777777" w:rsidR="00922ED9" w:rsidRPr="002141AA" w:rsidRDefault="0039171D">
            <w:pPr>
              <w:jc w:val="center"/>
              <w:rPr>
                <w:color w:val="000000" w:themeColor="text1"/>
              </w:rPr>
            </w:pPr>
            <w:r w:rsidRPr="002141AA">
              <w:rPr>
                <w:b/>
                <w:bCs/>
                <w:color w:val="000000" w:themeColor="text1"/>
                <w:sz w:val="19"/>
                <w:szCs w:val="19"/>
              </w:rPr>
              <w:t>T1 (Cinnamon oil)</w:t>
            </w:r>
          </w:p>
        </w:tc>
        <w:tc>
          <w:tcPr>
            <w:tcW w:w="1300" w:type="dxa"/>
            <w:tcMar>
              <w:top w:w="60" w:type="dxa"/>
              <w:left w:w="80" w:type="dxa"/>
              <w:bottom w:w="60" w:type="dxa"/>
              <w:right w:w="80" w:type="dxa"/>
            </w:tcMar>
            <w:vAlign w:val="center"/>
          </w:tcPr>
          <w:p w14:paraId="02CB6002" w14:textId="77777777" w:rsidR="00922ED9" w:rsidRPr="002141AA" w:rsidRDefault="0039171D">
            <w:pPr>
              <w:jc w:val="center"/>
              <w:rPr>
                <w:color w:val="000000" w:themeColor="text1"/>
              </w:rPr>
            </w:pPr>
            <w:r w:rsidRPr="002141AA">
              <w:rPr>
                <w:b/>
                <w:bCs/>
                <w:color w:val="000000" w:themeColor="text1"/>
                <w:sz w:val="19"/>
                <w:szCs w:val="19"/>
              </w:rPr>
              <w:t>T2 (Clove oil)</w:t>
            </w:r>
          </w:p>
        </w:tc>
        <w:tc>
          <w:tcPr>
            <w:tcW w:w="1300" w:type="dxa"/>
            <w:tcMar>
              <w:top w:w="60" w:type="dxa"/>
              <w:left w:w="80" w:type="dxa"/>
              <w:bottom w:w="60" w:type="dxa"/>
              <w:right w:w="80" w:type="dxa"/>
            </w:tcMar>
            <w:vAlign w:val="center"/>
          </w:tcPr>
          <w:p w14:paraId="4F2EDE07" w14:textId="77777777" w:rsidR="00922ED9" w:rsidRPr="002141AA" w:rsidRDefault="0039171D">
            <w:pPr>
              <w:jc w:val="center"/>
              <w:rPr>
                <w:color w:val="000000" w:themeColor="text1"/>
              </w:rPr>
            </w:pPr>
            <w:r w:rsidRPr="002141AA">
              <w:rPr>
                <w:b/>
                <w:bCs/>
                <w:color w:val="000000" w:themeColor="text1"/>
                <w:sz w:val="19"/>
                <w:szCs w:val="19"/>
              </w:rPr>
              <w:t>T3 (Antibiotic)</w:t>
            </w:r>
          </w:p>
        </w:tc>
        <w:tc>
          <w:tcPr>
            <w:tcW w:w="1300" w:type="dxa"/>
            <w:tcMar>
              <w:top w:w="60" w:type="dxa"/>
              <w:left w:w="80" w:type="dxa"/>
              <w:bottom w:w="60" w:type="dxa"/>
              <w:right w:w="80" w:type="dxa"/>
            </w:tcMar>
            <w:vAlign w:val="center"/>
          </w:tcPr>
          <w:p w14:paraId="5408A050" w14:textId="77777777" w:rsidR="00922ED9" w:rsidRPr="002141AA" w:rsidRDefault="0039171D">
            <w:pPr>
              <w:jc w:val="center"/>
              <w:rPr>
                <w:color w:val="000000" w:themeColor="text1"/>
              </w:rPr>
            </w:pPr>
            <w:r w:rsidRPr="002141AA">
              <w:rPr>
                <w:b/>
                <w:bCs/>
                <w:color w:val="000000" w:themeColor="text1"/>
                <w:sz w:val="19"/>
                <w:szCs w:val="19"/>
              </w:rPr>
              <w:t>T4 (Cinnamon + Clove oil)</w:t>
            </w:r>
          </w:p>
        </w:tc>
        <w:tc>
          <w:tcPr>
            <w:tcW w:w="1300" w:type="dxa"/>
            <w:tcMar>
              <w:top w:w="60" w:type="dxa"/>
              <w:left w:w="80" w:type="dxa"/>
              <w:bottom w:w="60" w:type="dxa"/>
              <w:right w:w="80" w:type="dxa"/>
            </w:tcMar>
            <w:vAlign w:val="center"/>
          </w:tcPr>
          <w:p w14:paraId="69FB11E0" w14:textId="77777777" w:rsidR="00922ED9" w:rsidRPr="002141AA" w:rsidRDefault="0039171D">
            <w:pPr>
              <w:jc w:val="center"/>
              <w:rPr>
                <w:color w:val="000000" w:themeColor="text1"/>
              </w:rPr>
            </w:pPr>
            <w:r w:rsidRPr="002141AA">
              <w:rPr>
                <w:b/>
                <w:bCs/>
                <w:color w:val="000000" w:themeColor="text1"/>
                <w:sz w:val="19"/>
                <w:szCs w:val="19"/>
              </w:rPr>
              <w:t>SEM</w:t>
            </w:r>
          </w:p>
        </w:tc>
      </w:tr>
      <w:tr w:rsidR="002141AA" w:rsidRPr="002141AA" w14:paraId="1C276DFD" w14:textId="77777777" w:rsidTr="002141AA">
        <w:trPr>
          <w:jc w:val="center"/>
        </w:trPr>
        <w:tc>
          <w:tcPr>
            <w:tcW w:w="1700" w:type="dxa"/>
            <w:tcMar>
              <w:top w:w="50" w:type="dxa"/>
              <w:left w:w="80" w:type="dxa"/>
              <w:bottom w:w="50" w:type="dxa"/>
              <w:right w:w="80" w:type="dxa"/>
            </w:tcMar>
            <w:vAlign w:val="center"/>
          </w:tcPr>
          <w:p w14:paraId="2086DBE3" w14:textId="77777777" w:rsidR="00922ED9" w:rsidRPr="002141AA" w:rsidRDefault="0039171D">
            <w:pPr>
              <w:rPr>
                <w:color w:val="000000" w:themeColor="text1"/>
              </w:rPr>
            </w:pPr>
            <w:r w:rsidRPr="002141AA">
              <w:rPr>
                <w:b/>
                <w:bCs/>
                <w:color w:val="000000" w:themeColor="text1"/>
                <w:sz w:val="19"/>
                <w:szCs w:val="19"/>
              </w:rPr>
              <w:t>1 Week</w:t>
            </w:r>
          </w:p>
        </w:tc>
        <w:tc>
          <w:tcPr>
            <w:tcW w:w="1300" w:type="dxa"/>
            <w:tcMar>
              <w:top w:w="50" w:type="dxa"/>
              <w:left w:w="80" w:type="dxa"/>
              <w:bottom w:w="50" w:type="dxa"/>
              <w:right w:w="80" w:type="dxa"/>
            </w:tcMar>
            <w:vAlign w:val="center"/>
          </w:tcPr>
          <w:p w14:paraId="70AE4F1B" w14:textId="77777777" w:rsidR="00922ED9" w:rsidRPr="002141AA" w:rsidRDefault="0039171D">
            <w:pPr>
              <w:jc w:val="center"/>
              <w:rPr>
                <w:color w:val="000000" w:themeColor="text1"/>
              </w:rPr>
            </w:pPr>
            <w:r w:rsidRPr="002141AA">
              <w:rPr>
                <w:color w:val="000000" w:themeColor="text1"/>
                <w:sz w:val="19"/>
                <w:szCs w:val="19"/>
              </w:rPr>
              <w:t>1.83</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6A1DAF20" w14:textId="77777777" w:rsidR="00922ED9" w:rsidRPr="002141AA" w:rsidRDefault="0039171D">
            <w:pPr>
              <w:jc w:val="center"/>
              <w:rPr>
                <w:color w:val="000000" w:themeColor="text1"/>
              </w:rPr>
            </w:pPr>
            <w:r w:rsidRPr="002141AA">
              <w:rPr>
                <w:color w:val="000000" w:themeColor="text1"/>
                <w:sz w:val="19"/>
                <w:szCs w:val="19"/>
              </w:rPr>
              <w:t>1.26</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0FD44342" w14:textId="77777777" w:rsidR="00922ED9" w:rsidRPr="002141AA" w:rsidRDefault="0039171D">
            <w:pPr>
              <w:jc w:val="center"/>
              <w:rPr>
                <w:color w:val="000000" w:themeColor="text1"/>
              </w:rPr>
            </w:pPr>
            <w:r w:rsidRPr="002141AA">
              <w:rPr>
                <w:color w:val="000000" w:themeColor="text1"/>
                <w:sz w:val="19"/>
                <w:szCs w:val="19"/>
              </w:rPr>
              <w:t>1.63</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5D24EC47" w14:textId="77777777" w:rsidR="00922ED9" w:rsidRPr="002141AA" w:rsidRDefault="0039171D">
            <w:pPr>
              <w:jc w:val="center"/>
              <w:rPr>
                <w:color w:val="000000" w:themeColor="text1"/>
              </w:rPr>
            </w:pPr>
            <w:r w:rsidRPr="002141AA">
              <w:rPr>
                <w:color w:val="000000" w:themeColor="text1"/>
                <w:sz w:val="19"/>
                <w:szCs w:val="19"/>
              </w:rPr>
              <w:t>1.32</w:t>
            </w:r>
            <w:r w:rsidRPr="002141AA">
              <w:rPr>
                <w:color w:val="000000" w:themeColor="text1"/>
                <w:sz w:val="19"/>
                <w:szCs w:val="19"/>
                <w:vertAlign w:val="superscript"/>
              </w:rPr>
              <w:t>ab</w:t>
            </w:r>
          </w:p>
        </w:tc>
        <w:tc>
          <w:tcPr>
            <w:tcW w:w="1300" w:type="dxa"/>
            <w:tcMar>
              <w:top w:w="50" w:type="dxa"/>
              <w:left w:w="80" w:type="dxa"/>
              <w:bottom w:w="50" w:type="dxa"/>
              <w:right w:w="80" w:type="dxa"/>
            </w:tcMar>
            <w:vAlign w:val="center"/>
          </w:tcPr>
          <w:p w14:paraId="6C894D8F" w14:textId="77777777" w:rsidR="00922ED9" w:rsidRPr="002141AA" w:rsidRDefault="0039171D">
            <w:pPr>
              <w:jc w:val="center"/>
              <w:rPr>
                <w:color w:val="000000" w:themeColor="text1"/>
              </w:rPr>
            </w:pPr>
            <w:r w:rsidRPr="002141AA">
              <w:rPr>
                <w:color w:val="000000" w:themeColor="text1"/>
                <w:sz w:val="19"/>
                <w:szCs w:val="19"/>
              </w:rPr>
              <w:t>1.39</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6A716B1F" w14:textId="77777777" w:rsidR="00922ED9" w:rsidRPr="002141AA" w:rsidRDefault="0039171D">
            <w:pPr>
              <w:jc w:val="center"/>
              <w:rPr>
                <w:color w:val="000000" w:themeColor="text1"/>
              </w:rPr>
            </w:pPr>
            <w:r w:rsidRPr="002141AA">
              <w:rPr>
                <w:color w:val="000000" w:themeColor="text1"/>
                <w:sz w:val="19"/>
                <w:szCs w:val="19"/>
              </w:rPr>
              <w:t>0.025</w:t>
            </w:r>
          </w:p>
        </w:tc>
      </w:tr>
      <w:tr w:rsidR="002141AA" w:rsidRPr="002141AA" w14:paraId="642B2FEA" w14:textId="77777777" w:rsidTr="002141AA">
        <w:trPr>
          <w:jc w:val="center"/>
        </w:trPr>
        <w:tc>
          <w:tcPr>
            <w:tcW w:w="1700" w:type="dxa"/>
            <w:tcMar>
              <w:top w:w="50" w:type="dxa"/>
              <w:left w:w="80" w:type="dxa"/>
              <w:bottom w:w="50" w:type="dxa"/>
              <w:right w:w="80" w:type="dxa"/>
            </w:tcMar>
            <w:vAlign w:val="center"/>
          </w:tcPr>
          <w:p w14:paraId="2FB341B4" w14:textId="77777777" w:rsidR="00922ED9" w:rsidRPr="002141AA" w:rsidRDefault="0039171D">
            <w:pPr>
              <w:rPr>
                <w:color w:val="000000" w:themeColor="text1"/>
              </w:rPr>
            </w:pPr>
            <w:r w:rsidRPr="002141AA">
              <w:rPr>
                <w:b/>
                <w:bCs/>
                <w:color w:val="000000" w:themeColor="text1"/>
                <w:sz w:val="19"/>
                <w:szCs w:val="19"/>
              </w:rPr>
              <w:t>2 Weeks</w:t>
            </w:r>
          </w:p>
        </w:tc>
        <w:tc>
          <w:tcPr>
            <w:tcW w:w="1300" w:type="dxa"/>
            <w:tcMar>
              <w:top w:w="50" w:type="dxa"/>
              <w:left w:w="80" w:type="dxa"/>
              <w:bottom w:w="50" w:type="dxa"/>
              <w:right w:w="80" w:type="dxa"/>
            </w:tcMar>
            <w:vAlign w:val="center"/>
          </w:tcPr>
          <w:p w14:paraId="0AEC521D" w14:textId="77777777" w:rsidR="00922ED9" w:rsidRPr="002141AA" w:rsidRDefault="0039171D">
            <w:pPr>
              <w:jc w:val="center"/>
              <w:rPr>
                <w:color w:val="000000" w:themeColor="text1"/>
              </w:rPr>
            </w:pPr>
            <w:r w:rsidRPr="002141AA">
              <w:rPr>
                <w:color w:val="000000" w:themeColor="text1"/>
                <w:sz w:val="19"/>
                <w:szCs w:val="19"/>
              </w:rPr>
              <w:t>1.61</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2716CD19" w14:textId="77777777" w:rsidR="00922ED9" w:rsidRPr="002141AA" w:rsidRDefault="0039171D">
            <w:pPr>
              <w:jc w:val="center"/>
              <w:rPr>
                <w:color w:val="000000" w:themeColor="text1"/>
              </w:rPr>
            </w:pPr>
            <w:r w:rsidRPr="002141AA">
              <w:rPr>
                <w:color w:val="000000" w:themeColor="text1"/>
                <w:sz w:val="19"/>
                <w:szCs w:val="19"/>
              </w:rPr>
              <w:t>1.17</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30C6F227" w14:textId="77777777" w:rsidR="00922ED9" w:rsidRPr="002141AA" w:rsidRDefault="0039171D">
            <w:pPr>
              <w:jc w:val="center"/>
              <w:rPr>
                <w:color w:val="000000" w:themeColor="text1"/>
              </w:rPr>
            </w:pPr>
            <w:r w:rsidRPr="002141AA">
              <w:rPr>
                <w:color w:val="000000" w:themeColor="text1"/>
                <w:sz w:val="19"/>
                <w:szCs w:val="19"/>
              </w:rPr>
              <w:t>1.49</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5B44933D" w14:textId="77777777" w:rsidR="00922ED9" w:rsidRPr="002141AA" w:rsidRDefault="0039171D">
            <w:pPr>
              <w:jc w:val="center"/>
              <w:rPr>
                <w:color w:val="000000" w:themeColor="text1"/>
              </w:rPr>
            </w:pPr>
            <w:r w:rsidRPr="002141AA">
              <w:rPr>
                <w:color w:val="000000" w:themeColor="text1"/>
                <w:sz w:val="19"/>
                <w:szCs w:val="19"/>
              </w:rPr>
              <w:t>1.33</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70D17987" w14:textId="77777777" w:rsidR="00922ED9" w:rsidRPr="002141AA" w:rsidRDefault="0039171D">
            <w:pPr>
              <w:jc w:val="center"/>
              <w:rPr>
                <w:color w:val="000000" w:themeColor="text1"/>
              </w:rPr>
            </w:pPr>
            <w:r w:rsidRPr="002141AA">
              <w:rPr>
                <w:color w:val="000000" w:themeColor="text1"/>
                <w:sz w:val="19"/>
                <w:szCs w:val="19"/>
              </w:rPr>
              <w:t>1.53</w:t>
            </w:r>
            <w:r w:rsidRPr="002141AA">
              <w:rPr>
                <w:color w:val="000000" w:themeColor="text1"/>
                <w:sz w:val="19"/>
                <w:szCs w:val="19"/>
                <w:vertAlign w:val="superscript"/>
              </w:rPr>
              <w:t>cd</w:t>
            </w:r>
          </w:p>
        </w:tc>
        <w:tc>
          <w:tcPr>
            <w:tcW w:w="1300" w:type="dxa"/>
            <w:tcMar>
              <w:top w:w="50" w:type="dxa"/>
              <w:left w:w="80" w:type="dxa"/>
              <w:bottom w:w="50" w:type="dxa"/>
              <w:right w:w="80" w:type="dxa"/>
            </w:tcMar>
            <w:vAlign w:val="center"/>
          </w:tcPr>
          <w:p w14:paraId="2F301F3D" w14:textId="77777777" w:rsidR="00922ED9" w:rsidRPr="002141AA" w:rsidRDefault="0039171D">
            <w:pPr>
              <w:jc w:val="center"/>
              <w:rPr>
                <w:color w:val="000000" w:themeColor="text1"/>
              </w:rPr>
            </w:pPr>
            <w:r w:rsidRPr="002141AA">
              <w:rPr>
                <w:color w:val="000000" w:themeColor="text1"/>
                <w:sz w:val="19"/>
                <w:szCs w:val="19"/>
              </w:rPr>
              <w:t>0.023</w:t>
            </w:r>
          </w:p>
        </w:tc>
      </w:tr>
      <w:tr w:rsidR="002141AA" w:rsidRPr="002141AA" w14:paraId="5259FB85" w14:textId="77777777" w:rsidTr="002141AA">
        <w:trPr>
          <w:jc w:val="center"/>
        </w:trPr>
        <w:tc>
          <w:tcPr>
            <w:tcW w:w="1700" w:type="dxa"/>
            <w:tcMar>
              <w:top w:w="50" w:type="dxa"/>
              <w:left w:w="80" w:type="dxa"/>
              <w:bottom w:w="50" w:type="dxa"/>
              <w:right w:w="80" w:type="dxa"/>
            </w:tcMar>
            <w:vAlign w:val="center"/>
          </w:tcPr>
          <w:p w14:paraId="67DA0C28" w14:textId="77777777" w:rsidR="00922ED9" w:rsidRPr="002141AA" w:rsidRDefault="0039171D">
            <w:pPr>
              <w:rPr>
                <w:color w:val="000000" w:themeColor="text1"/>
              </w:rPr>
            </w:pPr>
            <w:r w:rsidRPr="002141AA">
              <w:rPr>
                <w:b/>
                <w:bCs/>
                <w:color w:val="000000" w:themeColor="text1"/>
                <w:sz w:val="19"/>
                <w:szCs w:val="19"/>
              </w:rPr>
              <w:t>3 Weeks</w:t>
            </w:r>
          </w:p>
        </w:tc>
        <w:tc>
          <w:tcPr>
            <w:tcW w:w="1300" w:type="dxa"/>
            <w:tcMar>
              <w:top w:w="50" w:type="dxa"/>
              <w:left w:w="80" w:type="dxa"/>
              <w:bottom w:w="50" w:type="dxa"/>
              <w:right w:w="80" w:type="dxa"/>
            </w:tcMar>
            <w:vAlign w:val="center"/>
          </w:tcPr>
          <w:p w14:paraId="331146CE" w14:textId="77777777" w:rsidR="00922ED9" w:rsidRPr="002141AA" w:rsidRDefault="0039171D">
            <w:pPr>
              <w:jc w:val="center"/>
              <w:rPr>
                <w:color w:val="000000" w:themeColor="text1"/>
              </w:rPr>
            </w:pPr>
            <w:r w:rsidRPr="002141AA">
              <w:rPr>
                <w:color w:val="000000" w:themeColor="text1"/>
                <w:sz w:val="19"/>
                <w:szCs w:val="19"/>
              </w:rPr>
              <w:t>1.76</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38D6125F" w14:textId="77777777" w:rsidR="00922ED9" w:rsidRPr="002141AA" w:rsidRDefault="0039171D">
            <w:pPr>
              <w:jc w:val="center"/>
              <w:rPr>
                <w:color w:val="000000" w:themeColor="text1"/>
              </w:rPr>
            </w:pPr>
            <w:r w:rsidRPr="002141AA">
              <w:rPr>
                <w:color w:val="000000" w:themeColor="text1"/>
                <w:sz w:val="19"/>
                <w:szCs w:val="19"/>
              </w:rPr>
              <w:t>1.36</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078B8F92" w14:textId="77777777" w:rsidR="00922ED9" w:rsidRPr="002141AA" w:rsidRDefault="0039171D">
            <w:pPr>
              <w:jc w:val="center"/>
              <w:rPr>
                <w:color w:val="000000" w:themeColor="text1"/>
              </w:rPr>
            </w:pPr>
            <w:r w:rsidRPr="002141AA">
              <w:rPr>
                <w:color w:val="000000" w:themeColor="text1"/>
                <w:sz w:val="19"/>
                <w:szCs w:val="19"/>
              </w:rPr>
              <w:t>1.65</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100F8B57" w14:textId="77777777" w:rsidR="00922ED9" w:rsidRPr="002141AA" w:rsidRDefault="0039171D">
            <w:pPr>
              <w:jc w:val="center"/>
              <w:rPr>
                <w:color w:val="000000" w:themeColor="text1"/>
              </w:rPr>
            </w:pPr>
            <w:r w:rsidRPr="002141AA">
              <w:rPr>
                <w:color w:val="000000" w:themeColor="text1"/>
                <w:sz w:val="19"/>
                <w:szCs w:val="19"/>
              </w:rPr>
              <w:t>1.54</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3F613E08" w14:textId="77777777" w:rsidR="00922ED9" w:rsidRPr="002141AA" w:rsidRDefault="0039171D">
            <w:pPr>
              <w:jc w:val="center"/>
              <w:rPr>
                <w:color w:val="000000" w:themeColor="text1"/>
              </w:rPr>
            </w:pPr>
            <w:r w:rsidRPr="002141AA">
              <w:rPr>
                <w:color w:val="000000" w:themeColor="text1"/>
                <w:sz w:val="19"/>
                <w:szCs w:val="19"/>
              </w:rPr>
              <w:t>1.67</w:t>
            </w:r>
            <w:r w:rsidRPr="002141AA">
              <w:rPr>
                <w:color w:val="000000" w:themeColor="text1"/>
                <w:sz w:val="19"/>
                <w:szCs w:val="19"/>
                <w:vertAlign w:val="superscript"/>
              </w:rPr>
              <w:t>cd</w:t>
            </w:r>
          </w:p>
        </w:tc>
        <w:tc>
          <w:tcPr>
            <w:tcW w:w="1300" w:type="dxa"/>
            <w:tcMar>
              <w:top w:w="50" w:type="dxa"/>
              <w:left w:w="80" w:type="dxa"/>
              <w:bottom w:w="50" w:type="dxa"/>
              <w:right w:w="80" w:type="dxa"/>
            </w:tcMar>
            <w:vAlign w:val="center"/>
          </w:tcPr>
          <w:p w14:paraId="10957FF1" w14:textId="77777777" w:rsidR="00922ED9" w:rsidRPr="002141AA" w:rsidRDefault="0039171D">
            <w:pPr>
              <w:jc w:val="center"/>
              <w:rPr>
                <w:color w:val="000000" w:themeColor="text1"/>
              </w:rPr>
            </w:pPr>
            <w:r w:rsidRPr="002141AA">
              <w:rPr>
                <w:color w:val="000000" w:themeColor="text1"/>
                <w:sz w:val="19"/>
                <w:szCs w:val="19"/>
              </w:rPr>
              <w:t>0.021</w:t>
            </w:r>
          </w:p>
        </w:tc>
      </w:tr>
      <w:tr w:rsidR="002141AA" w:rsidRPr="002141AA" w14:paraId="558838D0" w14:textId="77777777" w:rsidTr="002141AA">
        <w:trPr>
          <w:jc w:val="center"/>
        </w:trPr>
        <w:tc>
          <w:tcPr>
            <w:tcW w:w="1700" w:type="dxa"/>
            <w:tcMar>
              <w:top w:w="50" w:type="dxa"/>
              <w:left w:w="80" w:type="dxa"/>
              <w:bottom w:w="50" w:type="dxa"/>
              <w:right w:w="80" w:type="dxa"/>
            </w:tcMar>
            <w:vAlign w:val="center"/>
          </w:tcPr>
          <w:p w14:paraId="6112F548" w14:textId="77777777" w:rsidR="00922ED9" w:rsidRPr="002141AA" w:rsidRDefault="0039171D">
            <w:pPr>
              <w:rPr>
                <w:color w:val="000000" w:themeColor="text1"/>
              </w:rPr>
            </w:pPr>
            <w:r w:rsidRPr="002141AA">
              <w:rPr>
                <w:b/>
                <w:bCs/>
                <w:color w:val="000000" w:themeColor="text1"/>
                <w:sz w:val="19"/>
                <w:szCs w:val="19"/>
              </w:rPr>
              <w:t>4 Weeks</w:t>
            </w:r>
          </w:p>
        </w:tc>
        <w:tc>
          <w:tcPr>
            <w:tcW w:w="1300" w:type="dxa"/>
            <w:tcMar>
              <w:top w:w="50" w:type="dxa"/>
              <w:left w:w="80" w:type="dxa"/>
              <w:bottom w:w="50" w:type="dxa"/>
              <w:right w:w="80" w:type="dxa"/>
            </w:tcMar>
            <w:vAlign w:val="center"/>
          </w:tcPr>
          <w:p w14:paraId="2F58AE70" w14:textId="77777777" w:rsidR="00922ED9" w:rsidRPr="002141AA" w:rsidRDefault="0039171D">
            <w:pPr>
              <w:jc w:val="center"/>
              <w:rPr>
                <w:color w:val="000000" w:themeColor="text1"/>
              </w:rPr>
            </w:pPr>
            <w:r w:rsidRPr="002141AA">
              <w:rPr>
                <w:color w:val="000000" w:themeColor="text1"/>
                <w:sz w:val="19"/>
                <w:szCs w:val="19"/>
              </w:rPr>
              <w:t>2.10</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7828CC03" w14:textId="77777777" w:rsidR="00922ED9" w:rsidRPr="002141AA" w:rsidRDefault="0039171D">
            <w:pPr>
              <w:jc w:val="center"/>
              <w:rPr>
                <w:color w:val="000000" w:themeColor="text1"/>
              </w:rPr>
            </w:pPr>
            <w:r w:rsidRPr="002141AA">
              <w:rPr>
                <w:color w:val="000000" w:themeColor="text1"/>
                <w:sz w:val="19"/>
                <w:szCs w:val="19"/>
              </w:rPr>
              <w:t>1.56</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50277A50" w14:textId="77777777" w:rsidR="00922ED9" w:rsidRPr="002141AA" w:rsidRDefault="0039171D">
            <w:pPr>
              <w:jc w:val="center"/>
              <w:rPr>
                <w:color w:val="000000" w:themeColor="text1"/>
              </w:rPr>
            </w:pPr>
            <w:r w:rsidRPr="002141AA">
              <w:rPr>
                <w:color w:val="000000" w:themeColor="text1"/>
                <w:sz w:val="19"/>
                <w:szCs w:val="19"/>
              </w:rPr>
              <w:t>1.53</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158C2635" w14:textId="77777777" w:rsidR="00922ED9" w:rsidRPr="002141AA" w:rsidRDefault="0039171D">
            <w:pPr>
              <w:jc w:val="center"/>
              <w:rPr>
                <w:color w:val="000000" w:themeColor="text1"/>
              </w:rPr>
            </w:pPr>
            <w:r w:rsidRPr="002141AA">
              <w:rPr>
                <w:color w:val="000000" w:themeColor="text1"/>
                <w:sz w:val="19"/>
                <w:szCs w:val="19"/>
              </w:rPr>
              <w:t>1.55</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3CA27C3F" w14:textId="77777777" w:rsidR="00922ED9" w:rsidRPr="002141AA" w:rsidRDefault="0039171D">
            <w:pPr>
              <w:jc w:val="center"/>
              <w:rPr>
                <w:color w:val="000000" w:themeColor="text1"/>
              </w:rPr>
            </w:pPr>
            <w:r w:rsidRPr="002141AA">
              <w:rPr>
                <w:color w:val="000000" w:themeColor="text1"/>
                <w:sz w:val="19"/>
                <w:szCs w:val="19"/>
              </w:rPr>
              <w:t>1.73</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4085512E" w14:textId="77777777" w:rsidR="00922ED9" w:rsidRPr="002141AA" w:rsidRDefault="0039171D">
            <w:pPr>
              <w:jc w:val="center"/>
              <w:rPr>
                <w:color w:val="000000" w:themeColor="text1"/>
              </w:rPr>
            </w:pPr>
            <w:r w:rsidRPr="002141AA">
              <w:rPr>
                <w:color w:val="000000" w:themeColor="text1"/>
                <w:sz w:val="19"/>
                <w:szCs w:val="19"/>
              </w:rPr>
              <w:t>0.024</w:t>
            </w:r>
          </w:p>
        </w:tc>
      </w:tr>
      <w:tr w:rsidR="002141AA" w:rsidRPr="002141AA" w14:paraId="2CAD1952" w14:textId="77777777" w:rsidTr="002141AA">
        <w:trPr>
          <w:jc w:val="center"/>
        </w:trPr>
        <w:tc>
          <w:tcPr>
            <w:tcW w:w="1700" w:type="dxa"/>
            <w:tcMar>
              <w:top w:w="50" w:type="dxa"/>
              <w:left w:w="80" w:type="dxa"/>
              <w:bottom w:w="50" w:type="dxa"/>
              <w:right w:w="80" w:type="dxa"/>
            </w:tcMar>
            <w:vAlign w:val="center"/>
          </w:tcPr>
          <w:p w14:paraId="65F85B00" w14:textId="77777777" w:rsidR="00922ED9" w:rsidRPr="002141AA" w:rsidRDefault="0039171D">
            <w:pPr>
              <w:rPr>
                <w:color w:val="000000" w:themeColor="text1"/>
              </w:rPr>
            </w:pPr>
            <w:r w:rsidRPr="002141AA">
              <w:rPr>
                <w:b/>
                <w:bCs/>
                <w:color w:val="000000" w:themeColor="text1"/>
                <w:sz w:val="19"/>
                <w:szCs w:val="19"/>
              </w:rPr>
              <w:t>5 Weeks</w:t>
            </w:r>
          </w:p>
        </w:tc>
        <w:tc>
          <w:tcPr>
            <w:tcW w:w="1300" w:type="dxa"/>
            <w:tcMar>
              <w:top w:w="50" w:type="dxa"/>
              <w:left w:w="80" w:type="dxa"/>
              <w:bottom w:w="50" w:type="dxa"/>
              <w:right w:w="80" w:type="dxa"/>
            </w:tcMar>
            <w:vAlign w:val="center"/>
          </w:tcPr>
          <w:p w14:paraId="03C80E3B" w14:textId="77777777" w:rsidR="00922ED9" w:rsidRPr="002141AA" w:rsidRDefault="0039171D">
            <w:pPr>
              <w:jc w:val="center"/>
              <w:rPr>
                <w:color w:val="000000" w:themeColor="text1"/>
              </w:rPr>
            </w:pPr>
            <w:r w:rsidRPr="002141AA">
              <w:rPr>
                <w:color w:val="000000" w:themeColor="text1"/>
                <w:sz w:val="19"/>
                <w:szCs w:val="19"/>
              </w:rPr>
              <w:t>1.91</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2CD6B13F" w14:textId="77777777" w:rsidR="00922ED9" w:rsidRPr="002141AA" w:rsidRDefault="0039171D">
            <w:pPr>
              <w:jc w:val="center"/>
              <w:rPr>
                <w:color w:val="000000" w:themeColor="text1"/>
              </w:rPr>
            </w:pPr>
            <w:r w:rsidRPr="002141AA">
              <w:rPr>
                <w:color w:val="000000" w:themeColor="text1"/>
                <w:sz w:val="19"/>
                <w:szCs w:val="19"/>
              </w:rPr>
              <w:t>1.22</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435A8020" w14:textId="77777777" w:rsidR="00922ED9" w:rsidRPr="002141AA" w:rsidRDefault="0039171D">
            <w:pPr>
              <w:jc w:val="center"/>
              <w:rPr>
                <w:color w:val="000000" w:themeColor="text1"/>
              </w:rPr>
            </w:pPr>
            <w:r w:rsidRPr="002141AA">
              <w:rPr>
                <w:color w:val="000000" w:themeColor="text1"/>
                <w:sz w:val="19"/>
                <w:szCs w:val="19"/>
              </w:rPr>
              <w:t>1.68</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01F214FC" w14:textId="77777777" w:rsidR="00922ED9" w:rsidRPr="002141AA" w:rsidRDefault="0039171D">
            <w:pPr>
              <w:jc w:val="center"/>
              <w:rPr>
                <w:color w:val="000000" w:themeColor="text1"/>
              </w:rPr>
            </w:pPr>
            <w:r w:rsidRPr="002141AA">
              <w:rPr>
                <w:color w:val="000000" w:themeColor="text1"/>
                <w:sz w:val="19"/>
                <w:szCs w:val="19"/>
              </w:rPr>
              <w:t>1.46</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3F1BB45B" w14:textId="77777777" w:rsidR="00922ED9" w:rsidRPr="002141AA" w:rsidRDefault="0039171D">
            <w:pPr>
              <w:jc w:val="center"/>
              <w:rPr>
                <w:color w:val="000000" w:themeColor="text1"/>
              </w:rPr>
            </w:pPr>
            <w:r w:rsidRPr="002141AA">
              <w:rPr>
                <w:color w:val="000000" w:themeColor="text1"/>
                <w:sz w:val="19"/>
                <w:szCs w:val="19"/>
              </w:rPr>
              <w:t>1.51</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24E2D25E" w14:textId="77777777" w:rsidR="00922ED9" w:rsidRPr="002141AA" w:rsidRDefault="0039171D">
            <w:pPr>
              <w:jc w:val="center"/>
              <w:rPr>
                <w:color w:val="000000" w:themeColor="text1"/>
              </w:rPr>
            </w:pPr>
            <w:r w:rsidRPr="002141AA">
              <w:rPr>
                <w:color w:val="000000" w:themeColor="text1"/>
                <w:sz w:val="19"/>
                <w:szCs w:val="19"/>
              </w:rPr>
              <w:t>0.018</w:t>
            </w:r>
          </w:p>
        </w:tc>
      </w:tr>
      <w:tr w:rsidR="002141AA" w:rsidRPr="002141AA" w14:paraId="5A342877" w14:textId="77777777" w:rsidTr="002141AA">
        <w:trPr>
          <w:jc w:val="center"/>
        </w:trPr>
        <w:tc>
          <w:tcPr>
            <w:tcW w:w="1700" w:type="dxa"/>
            <w:tcMar>
              <w:top w:w="50" w:type="dxa"/>
              <w:left w:w="80" w:type="dxa"/>
              <w:bottom w:w="50" w:type="dxa"/>
              <w:right w:w="80" w:type="dxa"/>
            </w:tcMar>
            <w:vAlign w:val="center"/>
          </w:tcPr>
          <w:p w14:paraId="07B128F9" w14:textId="77777777" w:rsidR="00922ED9" w:rsidRPr="002141AA" w:rsidRDefault="0039171D">
            <w:pPr>
              <w:rPr>
                <w:color w:val="000000" w:themeColor="text1"/>
              </w:rPr>
            </w:pPr>
            <w:r w:rsidRPr="002141AA">
              <w:rPr>
                <w:b/>
                <w:bCs/>
                <w:color w:val="000000" w:themeColor="text1"/>
                <w:sz w:val="19"/>
                <w:szCs w:val="19"/>
              </w:rPr>
              <w:t>Mean</w:t>
            </w:r>
          </w:p>
        </w:tc>
        <w:tc>
          <w:tcPr>
            <w:tcW w:w="1300" w:type="dxa"/>
            <w:tcMar>
              <w:top w:w="50" w:type="dxa"/>
              <w:left w:w="80" w:type="dxa"/>
              <w:bottom w:w="50" w:type="dxa"/>
              <w:right w:w="80" w:type="dxa"/>
            </w:tcMar>
            <w:vAlign w:val="center"/>
          </w:tcPr>
          <w:p w14:paraId="327D8531" w14:textId="77777777" w:rsidR="00922ED9" w:rsidRPr="002141AA" w:rsidRDefault="0039171D">
            <w:pPr>
              <w:jc w:val="center"/>
              <w:rPr>
                <w:color w:val="000000" w:themeColor="text1"/>
              </w:rPr>
            </w:pPr>
            <w:r w:rsidRPr="002141AA">
              <w:rPr>
                <w:color w:val="000000" w:themeColor="text1"/>
                <w:sz w:val="19"/>
                <w:szCs w:val="19"/>
              </w:rPr>
              <w:t>1.84</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146B6D23" w14:textId="77777777" w:rsidR="00922ED9" w:rsidRPr="002141AA" w:rsidRDefault="0039171D">
            <w:pPr>
              <w:jc w:val="center"/>
              <w:rPr>
                <w:color w:val="000000" w:themeColor="text1"/>
              </w:rPr>
            </w:pPr>
            <w:r w:rsidRPr="002141AA">
              <w:rPr>
                <w:color w:val="000000" w:themeColor="text1"/>
                <w:sz w:val="19"/>
                <w:szCs w:val="19"/>
              </w:rPr>
              <w:t>1.31</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7846A45D" w14:textId="77777777" w:rsidR="00922ED9" w:rsidRPr="002141AA" w:rsidRDefault="0039171D">
            <w:pPr>
              <w:jc w:val="center"/>
              <w:rPr>
                <w:color w:val="000000" w:themeColor="text1"/>
              </w:rPr>
            </w:pPr>
            <w:r w:rsidRPr="002141AA">
              <w:rPr>
                <w:color w:val="000000" w:themeColor="text1"/>
                <w:sz w:val="19"/>
                <w:szCs w:val="19"/>
              </w:rPr>
              <w:t>1.60</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491C7D05" w14:textId="77777777" w:rsidR="00922ED9" w:rsidRPr="002141AA" w:rsidRDefault="0039171D">
            <w:pPr>
              <w:jc w:val="center"/>
              <w:rPr>
                <w:color w:val="000000" w:themeColor="text1"/>
              </w:rPr>
            </w:pPr>
            <w:r w:rsidRPr="002141AA">
              <w:rPr>
                <w:color w:val="000000" w:themeColor="text1"/>
                <w:sz w:val="19"/>
                <w:szCs w:val="19"/>
              </w:rPr>
              <w:t>1.44</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64F4FEC2" w14:textId="77777777" w:rsidR="00922ED9" w:rsidRPr="002141AA" w:rsidRDefault="0039171D">
            <w:pPr>
              <w:jc w:val="center"/>
              <w:rPr>
                <w:color w:val="000000" w:themeColor="text1"/>
              </w:rPr>
            </w:pPr>
            <w:r w:rsidRPr="002141AA">
              <w:rPr>
                <w:color w:val="000000" w:themeColor="text1"/>
                <w:sz w:val="19"/>
                <w:szCs w:val="19"/>
              </w:rPr>
              <w:t>1.56</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25DE3F6E" w14:textId="77777777" w:rsidR="00922ED9" w:rsidRPr="002141AA" w:rsidRDefault="0039171D">
            <w:pPr>
              <w:jc w:val="center"/>
              <w:rPr>
                <w:color w:val="000000" w:themeColor="text1"/>
              </w:rPr>
            </w:pPr>
            <w:r w:rsidRPr="002141AA">
              <w:rPr>
                <w:color w:val="000000" w:themeColor="text1"/>
                <w:sz w:val="19"/>
                <w:szCs w:val="19"/>
              </w:rPr>
              <w:t>0.022</w:t>
            </w:r>
          </w:p>
        </w:tc>
      </w:tr>
    </w:tbl>
    <w:p w14:paraId="1E013E57" w14:textId="77777777" w:rsidR="00922ED9" w:rsidRDefault="0039171D">
      <w:pPr>
        <w:spacing w:before="60" w:after="200"/>
        <w:rPr>
          <w:i/>
          <w:iCs/>
          <w:color w:val="000000" w:themeColor="text1"/>
          <w:sz w:val="17"/>
          <w:szCs w:val="17"/>
        </w:rPr>
      </w:pPr>
      <w:r w:rsidRPr="002141AA">
        <w:rPr>
          <w:i/>
          <w:iCs/>
          <w:color w:val="000000" w:themeColor="text1"/>
          <w:sz w:val="17"/>
          <w:szCs w:val="17"/>
        </w:rPr>
        <w:t>SEM: standard error of the mean; a, b, c, d: values within a row bearing different superscripts differ significantly (P&lt;0.05).</w:t>
      </w:r>
    </w:p>
    <w:p w14:paraId="30C152AB" w14:textId="43466B38" w:rsidR="00493C87" w:rsidRDefault="001D522F" w:rsidP="00493C87">
      <w:pPr>
        <w:spacing w:before="60" w:after="200"/>
        <w:jc w:val="center"/>
        <w:rPr>
          <w:i/>
          <w:iCs/>
          <w:color w:val="000000" w:themeColor="text1"/>
          <w:sz w:val="17"/>
          <w:szCs w:val="17"/>
        </w:rPr>
      </w:pPr>
      <w:r w:rsidRPr="001D522F">
        <w:rPr>
          <w:i/>
          <w:noProof/>
          <w:color w:val="000000" w:themeColor="text1"/>
          <w:sz w:val="17"/>
          <w:szCs w:val="17"/>
        </w:rPr>
        <w:lastRenderedPageBreak/>
        <mc:AlternateContent>
          <mc:Choice Requires="cx1">
            <w:drawing>
              <wp:inline distT="0" distB="0" distL="0" distR="0" wp14:anchorId="07C965FE" wp14:editId="7EA60CCF">
                <wp:extent cx="4406900" cy="2310765"/>
                <wp:effectExtent l="0" t="0" r="0" b="0"/>
                <wp:docPr id="1" name="Chart 1"/>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2"/>
                  </a:graphicData>
                </a:graphic>
              </wp:inline>
            </w:drawing>
          </mc:Choice>
          <mc:Fallback>
            <w:drawing>
              <wp:inline distT="0" distB="0" distL="0" distR="0" wp14:anchorId="07C965FE" wp14:editId="7EA60CCF">
                <wp:extent cx="4406900" cy="2310765"/>
                <wp:effectExtent l="0" t="0" r="0" b="0"/>
                <wp:docPr id="1" name="Chart 1"/>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Chart 1"/>
                        <pic:cNvPicPr>
                          <a:picLocks noGrp="1" noRot="1" noChangeAspect="1" noMove="1" noResize="1" noEditPoints="1" noAdjustHandles="1" noChangeArrowheads="1" noChangeShapeType="1"/>
                        </pic:cNvPicPr>
                      </pic:nvPicPr>
                      <pic:blipFill>
                        <a:blip r:embed="rId13"/>
                        <a:stretch>
                          <a:fillRect/>
                        </a:stretch>
                      </pic:blipFill>
                      <pic:spPr>
                        <a:xfrm>
                          <a:off x="0" y="0"/>
                          <a:ext cx="4406900" cy="2310765"/>
                        </a:xfrm>
                        <a:prstGeom prst="rect">
                          <a:avLst/>
                        </a:prstGeom>
                      </pic:spPr>
                    </pic:pic>
                  </a:graphicData>
                </a:graphic>
              </wp:inline>
            </w:drawing>
          </mc:Fallback>
        </mc:AlternateContent>
      </w:r>
    </w:p>
    <w:p w14:paraId="038D3368" w14:textId="5A7ABDEA" w:rsidR="00493C87" w:rsidRDefault="00C42C30" w:rsidP="00493C87">
      <w:pPr>
        <w:spacing w:before="60" w:after="200"/>
        <w:jc w:val="center"/>
        <w:rPr>
          <w:color w:val="000000" w:themeColor="text1"/>
        </w:rPr>
      </w:pPr>
      <w:r w:rsidRPr="00C42C30">
        <w:rPr>
          <w:i/>
          <w:iCs/>
          <w:color w:val="000000" w:themeColor="text1"/>
          <w:sz w:val="17"/>
          <w:szCs w:val="17"/>
        </w:rPr>
        <w:t>Figure 4. Weekly feed conversion ratio of broiler chickens under different dietary treatments.</w:t>
      </w:r>
      <w:r w:rsidR="00493C87">
        <w:rPr>
          <w:noProof/>
          <w:lang w:val="en-GB" w:eastAsia="en-GB" w:bidi="ar-SA"/>
        </w:rPr>
        <w:drawing>
          <wp:inline distT="0" distB="0" distL="0" distR="0" wp14:anchorId="77396B83" wp14:editId="70DE72C7">
            <wp:extent cx="3820885" cy="2390086"/>
            <wp:effectExtent l="0" t="0" r="8255" b="0"/>
            <wp:docPr id="64565573" name="Picture 64565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cstate="print"/>
                    <a:srcRect/>
                    <a:stretch>
                      <a:fillRect/>
                    </a:stretch>
                  </pic:blipFill>
                  <pic:spPr bwMode="auto">
                    <a:xfrm>
                      <a:off x="0" y="0"/>
                      <a:ext cx="3837144" cy="2400256"/>
                    </a:xfrm>
                    <a:prstGeom prst="rect">
                      <a:avLst/>
                    </a:prstGeom>
                  </pic:spPr>
                </pic:pic>
              </a:graphicData>
            </a:graphic>
          </wp:inline>
        </w:drawing>
      </w:r>
    </w:p>
    <w:p w14:paraId="347D4E15" w14:textId="77777777" w:rsidR="00C42C30" w:rsidRDefault="00C42C30" w:rsidP="002141AA">
      <w:pPr>
        <w:spacing w:after="160" w:line="300" w:lineRule="auto"/>
        <w:ind w:firstLine="720"/>
        <w:jc w:val="both"/>
        <w:rPr>
          <w:color w:val="000000" w:themeColor="text1"/>
        </w:rPr>
      </w:pPr>
      <w:r w:rsidRPr="00C42C30">
        <w:rPr>
          <w:color w:val="000000" w:themeColor="text1"/>
        </w:rPr>
        <w:t>Figure 5. Weekly trend in feed conversion ratio of broiler chickens under different dietary treatments (Control, T1: cinnamon oil, T2: clove oil, T3: antibiotic, and T4: cinnamon + clove oil).</w:t>
      </w:r>
    </w:p>
    <w:p w14:paraId="5AF9C29E" w14:textId="6177301A" w:rsidR="00922ED9" w:rsidRPr="002141AA" w:rsidRDefault="0039171D" w:rsidP="002141AA">
      <w:pPr>
        <w:spacing w:after="160" w:line="300" w:lineRule="auto"/>
        <w:ind w:firstLine="720"/>
        <w:jc w:val="both"/>
        <w:rPr>
          <w:color w:val="000000" w:themeColor="text1"/>
        </w:rPr>
      </w:pPr>
      <w:r w:rsidRPr="002141AA">
        <w:rPr>
          <w:color w:val="000000" w:themeColor="text1"/>
          <w:sz w:val="22"/>
          <w:szCs w:val="22"/>
        </w:rPr>
        <w:t xml:space="preserve">The markedly improved FCR in the cinnamon oil group is in close agreement with </w:t>
      </w:r>
      <w:r w:rsidRPr="002141AA">
        <w:rPr>
          <w:b/>
          <w:bCs/>
          <w:color w:val="000000" w:themeColor="text1"/>
          <w:sz w:val="22"/>
          <w:szCs w:val="22"/>
        </w:rPr>
        <w:t>Tahir et al. (2019</w:t>
      </w:r>
      <w:r w:rsidRPr="002141AA">
        <w:rPr>
          <w:color w:val="000000" w:themeColor="text1"/>
          <w:sz w:val="22"/>
          <w:szCs w:val="22"/>
        </w:rPr>
        <w:t xml:space="preserve">), who reported significantly improved feed conversion in broilers supplemented with clove-derived eugenol, and with </w:t>
      </w:r>
      <w:r w:rsidRPr="002141AA">
        <w:rPr>
          <w:b/>
          <w:bCs/>
          <w:color w:val="000000" w:themeColor="text1"/>
          <w:sz w:val="22"/>
          <w:szCs w:val="22"/>
        </w:rPr>
        <w:t>Suliman et al. (2021</w:t>
      </w:r>
      <w:r w:rsidRPr="002141AA">
        <w:rPr>
          <w:color w:val="000000" w:themeColor="text1"/>
          <w:sz w:val="22"/>
          <w:szCs w:val="22"/>
        </w:rPr>
        <w:t>), who found that a 400 mg/kg dietary supplement of clove extract improved performance parameters relative to unsupplemented controls. The intermediate FCR recorded in the antibiotic group (T3) is consistent with the established, though increasingly contested, growth-promoting efficacy of tetracyclines mediated through suppression of gut pathogens (</w:t>
      </w:r>
      <w:r w:rsidRPr="002141AA">
        <w:rPr>
          <w:b/>
          <w:bCs/>
          <w:color w:val="000000" w:themeColor="text1"/>
          <w:sz w:val="22"/>
          <w:szCs w:val="22"/>
        </w:rPr>
        <w:t>Shah et al., 2022).</w:t>
      </w:r>
      <w:r w:rsidRPr="002141AA">
        <w:rPr>
          <w:color w:val="000000" w:themeColor="text1"/>
          <w:sz w:val="22"/>
          <w:szCs w:val="22"/>
        </w:rPr>
        <w:t xml:space="preserve"> The comparatively poorer FCR in the combined cinnamon-clove oil group (T4) relative to cinnamon oil alone (T1) again suggests that, at the doses evaluated, combining the two essential oils conferred no additive advantage over cinnamon oil alone, an observation warranting further dose-optimisation and mechanistic study. Overall, the results demonstrate that dietary cinnamon oil supplementation at 600 mg/kg diet offers the most favourable growth response and feed efficiency among the treatments evaluated, supporting its candidacy as a natural, residue-free alternative to antibiotic growth promoters in broiler chicken production.</w:t>
      </w:r>
    </w:p>
    <w:p w14:paraId="3AAC1D30" w14:textId="77777777" w:rsidR="00922ED9" w:rsidRPr="002141AA" w:rsidRDefault="0039171D">
      <w:pPr>
        <w:spacing w:before="300" w:after="140"/>
        <w:rPr>
          <w:color w:val="000000" w:themeColor="text1"/>
        </w:rPr>
      </w:pPr>
      <w:r w:rsidRPr="002141AA">
        <w:rPr>
          <w:b/>
          <w:bCs/>
          <w:color w:val="000000" w:themeColor="text1"/>
          <w:sz w:val="26"/>
          <w:szCs w:val="26"/>
        </w:rPr>
        <w:t>4. CONCLUSION</w:t>
      </w:r>
    </w:p>
    <w:p w14:paraId="77E88297" w14:textId="77777777" w:rsidR="00922ED9" w:rsidRDefault="0039171D" w:rsidP="002141AA">
      <w:pPr>
        <w:spacing w:after="160" w:line="300" w:lineRule="auto"/>
        <w:ind w:firstLine="720"/>
        <w:jc w:val="both"/>
        <w:rPr>
          <w:color w:val="000000" w:themeColor="text1"/>
          <w:sz w:val="22"/>
          <w:szCs w:val="22"/>
        </w:rPr>
      </w:pPr>
      <w:r w:rsidRPr="002141AA">
        <w:rPr>
          <w:color w:val="000000" w:themeColor="text1"/>
          <w:sz w:val="22"/>
          <w:szCs w:val="22"/>
        </w:rPr>
        <w:lastRenderedPageBreak/>
        <w:t>The present study demonstrated that dietary supplementation of cinnamon oil, clove oil and antibiotic (tetracycline) positively influenced the growth performance of broiler chickens relative to an unsupplemented control. Among the treatments, cinnamon oil at 600 mg/kg diet (T1) produced the highest body weight and body weight gain, the lowest feed consumption, and the most favourable feed conversion ratio, outperforming both the antibiotic-supplemented group and the combined cinnamon-clove oil group. Clove oil, though inferior to cinnamon oil, still significantly improved growth performance over the control. Based on these findings, it may be concluded that dietary cinnamon oil can be effectively used as a natural, residue-free alternative to antibiotic growth promoters to enhance the growth performance and feed efficiency of broiler chickens, while combining cinnamon and clove oils at the doses tested offers no additional advantage over cinnamon oil alone.</w:t>
      </w:r>
    </w:p>
    <w:p w14:paraId="0E1B0E0C" w14:textId="77777777" w:rsidR="00517B20" w:rsidRPr="00517B20" w:rsidRDefault="00517B20" w:rsidP="00517B20">
      <w:pPr>
        <w:rPr>
          <w:rFonts w:ascii="Arial" w:eastAsia="Calibri" w:hAnsi="Arial" w:cs="Arial"/>
          <w:b/>
          <w:lang w:bidi="ar-SA"/>
        </w:rPr>
      </w:pPr>
      <w:r w:rsidRPr="00517B20">
        <w:rPr>
          <w:rFonts w:ascii="Arial" w:eastAsia="Calibri" w:hAnsi="Arial" w:cs="Arial"/>
          <w:b/>
          <w:lang w:bidi="ar-SA"/>
        </w:rPr>
        <w:t>Declaration of AI Use</w:t>
      </w:r>
    </w:p>
    <w:p w14:paraId="3EF69C5B" w14:textId="77777777" w:rsidR="00517B20" w:rsidRPr="00517B20" w:rsidRDefault="00517B20" w:rsidP="00517B20">
      <w:pPr>
        <w:rPr>
          <w:rFonts w:ascii="Arial" w:eastAsia="Calibri" w:hAnsi="Arial" w:cs="Arial"/>
          <w:lang w:bidi="ar-SA"/>
        </w:rPr>
      </w:pPr>
    </w:p>
    <w:p w14:paraId="15D9192A" w14:textId="77777777" w:rsidR="00517B20" w:rsidRPr="00517B20" w:rsidRDefault="00517B20" w:rsidP="00517B20">
      <w:pPr>
        <w:rPr>
          <w:rFonts w:ascii="Arial" w:eastAsia="Calibri" w:hAnsi="Arial" w:cs="Arial"/>
          <w:lang w:bidi="ar-SA"/>
        </w:rPr>
      </w:pPr>
      <w:r w:rsidRPr="00517B20">
        <w:rPr>
          <w:rFonts w:ascii="Arial" w:eastAsia="Calibri" w:hAnsi="Arial" w:cs="Arial"/>
          <w:lang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4A72C63" w14:textId="77777777" w:rsidR="00517B20" w:rsidRPr="00517B20" w:rsidRDefault="00517B20" w:rsidP="00517B20">
      <w:pPr>
        <w:jc w:val="both"/>
        <w:rPr>
          <w:rFonts w:eastAsia="Calibri"/>
          <w:sz w:val="22"/>
          <w:szCs w:val="22"/>
          <w:lang w:bidi="ar-SA"/>
        </w:rPr>
      </w:pPr>
    </w:p>
    <w:p w14:paraId="5C5E9A6B" w14:textId="77777777" w:rsidR="00517B20" w:rsidRPr="00517B20" w:rsidRDefault="00517B20" w:rsidP="00517B20">
      <w:pPr>
        <w:jc w:val="both"/>
        <w:rPr>
          <w:rFonts w:eastAsia="Calibri"/>
          <w:sz w:val="22"/>
          <w:szCs w:val="22"/>
          <w:lang w:bidi="ar-SA"/>
        </w:rPr>
      </w:pPr>
    </w:p>
    <w:p w14:paraId="3456ED83" w14:textId="77777777" w:rsidR="00517B20" w:rsidRPr="00517B20" w:rsidRDefault="00517B20" w:rsidP="00517B20">
      <w:pPr>
        <w:spacing w:after="200" w:line="276" w:lineRule="auto"/>
        <w:rPr>
          <w:rFonts w:ascii="Cambria" w:hAnsi="Cambria" w:cs="Arial"/>
          <w:b/>
          <w:bCs/>
          <w:sz w:val="22"/>
          <w:szCs w:val="22"/>
          <w:lang w:val="en-GB" w:eastAsia="en-GB" w:bidi="ar-SA"/>
        </w:rPr>
      </w:pPr>
      <w:r w:rsidRPr="00517B20">
        <w:rPr>
          <w:rFonts w:ascii="Cambria" w:hAnsi="Cambria" w:cs="Arial"/>
          <w:b/>
          <w:bCs/>
          <w:sz w:val="22"/>
          <w:szCs w:val="22"/>
          <w:lang w:val="en-GB" w:eastAsia="en-GB" w:bidi="ar-SA"/>
        </w:rPr>
        <w:t>COMPETING INTERESTS DISCLAIMER:</w:t>
      </w:r>
    </w:p>
    <w:p w14:paraId="05E290FC" w14:textId="77777777" w:rsidR="00517B20" w:rsidRPr="00517B20" w:rsidRDefault="00517B20" w:rsidP="00517B20">
      <w:pPr>
        <w:spacing w:after="200" w:line="276" w:lineRule="auto"/>
        <w:rPr>
          <w:rFonts w:ascii="Cambria" w:hAnsi="Cambria"/>
          <w:sz w:val="22"/>
          <w:szCs w:val="22"/>
          <w:lang w:val="en-GB" w:eastAsia="en-GB" w:bidi="ar-SA"/>
        </w:rPr>
      </w:pPr>
      <w:r w:rsidRPr="00517B20">
        <w:rPr>
          <w:rFonts w:ascii="Cambria" w:hAnsi="Cambria" w:cs="Arial"/>
          <w:sz w:val="22"/>
          <w:szCs w:val="22"/>
          <w:lang w:val="en-GB" w:eastAsia="en-GB" w:bidi="ar-SA"/>
        </w:rPr>
        <w:t>Authors have declared that they have no known competing financial interests OR non-financial interests OR personal relationships that could have appeared to influence the work reported in this paper.</w:t>
      </w:r>
    </w:p>
    <w:p w14:paraId="4AC63CF5" w14:textId="77777777" w:rsidR="00517B20" w:rsidRPr="002141AA" w:rsidRDefault="00517B20" w:rsidP="002141AA">
      <w:pPr>
        <w:spacing w:after="160" w:line="300" w:lineRule="auto"/>
        <w:ind w:firstLine="720"/>
        <w:jc w:val="both"/>
        <w:rPr>
          <w:color w:val="000000" w:themeColor="text1"/>
        </w:rPr>
      </w:pPr>
    </w:p>
    <w:p w14:paraId="2DE6D7FD" w14:textId="77777777" w:rsidR="00922ED9" w:rsidRPr="002141AA" w:rsidRDefault="0039171D">
      <w:pPr>
        <w:spacing w:before="300" w:after="140"/>
        <w:rPr>
          <w:color w:val="000000" w:themeColor="text1"/>
        </w:rPr>
      </w:pPr>
      <w:r w:rsidRPr="002141AA">
        <w:rPr>
          <w:b/>
          <w:bCs/>
          <w:color w:val="000000" w:themeColor="text1"/>
          <w:sz w:val="26"/>
          <w:szCs w:val="26"/>
        </w:rPr>
        <w:t>REFERENCES</w:t>
      </w:r>
    </w:p>
    <w:p w14:paraId="0BF8C594"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Abd El-Hack, M. E., Alagawany, M., Abdel-Moneim, A. M. E., Mohammed, N. G., Khafaga, A. F., Bin-Jumah, M., ... &amp;Elnesr, S. S. (2020).</w:t>
      </w:r>
      <w:r w:rsidRPr="002141AA">
        <w:rPr>
          <w:color w:val="000000" w:themeColor="text1"/>
        </w:rPr>
        <w:t xml:space="preserve"> Cinnamon (Cinnamomum zeylanicum) oil as a potential alternative to antibiotics in poultry. Antibiotics, 9(5), 210.</w:t>
      </w:r>
    </w:p>
    <w:p w14:paraId="61C068E0"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Azadegan, M. M., Hassanabadi, A., Nasiri, M. H., &amp;Kermanshahi, H. (2014).</w:t>
      </w:r>
      <w:r w:rsidRPr="002141AA">
        <w:rPr>
          <w:color w:val="000000" w:themeColor="text1"/>
        </w:rPr>
        <w:t xml:space="preserve"> Supplementation of clove essential oils and probiotic to the broiler's diet on performance, carcass traits and blood components. International Journal of Advanced Biological and Biomedical Research, 2, 117–122.</w:t>
      </w:r>
    </w:p>
    <w:p w14:paraId="2D84365D"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Brenes, A., &amp; Roura, E. (2010</w:t>
      </w:r>
      <w:r w:rsidRPr="002141AA">
        <w:rPr>
          <w:color w:val="000000" w:themeColor="text1"/>
        </w:rPr>
        <w:t>). Essential oils in poultry nutrition: Main effects and modes of action. Animal Feed Science and Technology, 158(1-2), 1–14.</w:t>
      </w:r>
    </w:p>
    <w:p w14:paraId="44265138"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Chowlu, H., Vidyarthi, V., Zuyie, R., &amp; Maiti, C. (2019</w:t>
      </w:r>
      <w:r w:rsidRPr="002141AA">
        <w:rPr>
          <w:color w:val="000000" w:themeColor="text1"/>
        </w:rPr>
        <w:t>). Effect of dietary supplementation of cinnamon on the performance of broiler chicken. Livestock Research International, 7, 83–87.</w:t>
      </w:r>
    </w:p>
    <w:p w14:paraId="0D06BD78"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Ciftci, M., Simsek, U. G., Yuce, A., Yilmaz, O., &amp;Dalkilic, B. (2010</w:t>
      </w:r>
      <w:r w:rsidRPr="002141AA">
        <w:rPr>
          <w:color w:val="000000" w:themeColor="text1"/>
        </w:rPr>
        <w:t>). Effects of dietary antibiotic and cinnamon oil supplementation on antioxidant enzyme activities, cholesterol levels and fatty acid compositions of serum and meat in broiler chickens. Acta Veterinaria Brno, 79(1), 33–40.</w:t>
      </w:r>
    </w:p>
    <w:p w14:paraId="569F5C31"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Duncan, D. B. (1955</w:t>
      </w:r>
      <w:r w:rsidRPr="002141AA">
        <w:rPr>
          <w:color w:val="000000" w:themeColor="text1"/>
        </w:rPr>
        <w:t>). Multiple range and multiple F tests. Biometrics, 11(1), 1–42.</w:t>
      </w:r>
    </w:p>
    <w:p w14:paraId="3AA09519"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 xml:space="preserve">Elashry, H., Kamal, M., Mahmoud, R., Aziza, A., &amp; Ibrahim, T. (2026). </w:t>
      </w:r>
      <w:r w:rsidRPr="002141AA">
        <w:rPr>
          <w:color w:val="000000" w:themeColor="text1"/>
        </w:rPr>
        <w:t>Impact of cinnamon oil supplementation on broiler performance, intestinal health, gene expression, antioxidant capacity, and hematological parameters. Open Veterinary Journal, 16(1), 201.</w:t>
      </w:r>
    </w:p>
    <w:p w14:paraId="3D84BCFE"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Elbaz, A. M., Ashmawy, E. S., Ali, S. A., Mourad, D. M., El-Samahy, H. S., Badri, F. B., &amp; Thabet, H. A. (2023</w:t>
      </w:r>
      <w:r w:rsidRPr="002141AA">
        <w:rPr>
          <w:color w:val="000000" w:themeColor="text1"/>
        </w:rPr>
        <w:t>). Effectiveness of probiotics and clove essential oils in improving growth performance, immuno-antioxidant status, ileum morphometric, and microbial community structure for heat-stressed broilers. Scientific Reports, 13(1), 18846.</w:t>
      </w:r>
    </w:p>
    <w:p w14:paraId="28533F1B"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lastRenderedPageBreak/>
        <w:t>Ereke, S. O., Samuel, F. U., Okorie, A. U., Erakpotobor, G. T., Gadzama, I. U., Magaji, H. J., &amp; Anosike, F. U. (2016</w:t>
      </w:r>
      <w:r w:rsidRPr="002141AA">
        <w:rPr>
          <w:color w:val="000000" w:themeColor="text1"/>
        </w:rPr>
        <w:t>). Effect of tetracycline inclusion in starter diet on haematological and serum biochemical profile of broiler chicks. Journal of Animal Production Research, 28, 49–54.</w:t>
      </w:r>
    </w:p>
    <w:p w14:paraId="1CA8B8B1"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Khadem, A., Soler, L., Everaert, N., &amp; Niewold, T. A. (</w:t>
      </w:r>
      <w:r w:rsidRPr="002141AA">
        <w:rPr>
          <w:color w:val="000000" w:themeColor="text1"/>
        </w:rPr>
        <w:t>2014). Growth promotion in broilers by both oxytetracycline and Macleaya cordata extract is based on their anti-inflammatory properties. British Journal of Nutrition, 112(7), 1110–1118.</w:t>
      </w:r>
    </w:p>
    <w:p w14:paraId="0FC21587"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Krauze, M., Cendrowska-Pinkosz, M., Matusevičius, P., Stępniowska, A., Jurczak, P., &amp;Ognik, K. (2021</w:t>
      </w:r>
      <w:r w:rsidRPr="002141AA">
        <w:rPr>
          <w:color w:val="000000" w:themeColor="text1"/>
        </w:rPr>
        <w:t>). The effect of administration of a phytobiotic containing cinnamon oil and citric acid on the metabolism, immunity, and growth performance of broiler chickens. Animals, 11(2), 399.</w:t>
      </w:r>
    </w:p>
    <w:p w14:paraId="23C08A80"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 xml:space="preserve">Mohammadi Gheisar, M., Hosseindoust, A., &amp; Kim, I. H. (2014). </w:t>
      </w:r>
      <w:r w:rsidRPr="002141AA">
        <w:rPr>
          <w:color w:val="000000" w:themeColor="text1"/>
        </w:rPr>
        <w:t>Evaluating the effect of clove oil supplementation on growth performance of broiler chickens. Journal of Applied Poultry Research, 23, 260–265.</w:t>
      </w:r>
    </w:p>
    <w:p w14:paraId="2C8E1BA8"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Mukhtar, M. A. (2011</w:t>
      </w:r>
      <w:r w:rsidRPr="002141AA">
        <w:rPr>
          <w:color w:val="000000" w:themeColor="text1"/>
        </w:rPr>
        <w:t>). The effect of dietary clove oil on broiler performance. Egyptian Poultry Science Journal, 31, 49–51.</w:t>
      </w:r>
    </w:p>
    <w:p w14:paraId="62C7B6A0"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NRC (1994</w:t>
      </w:r>
      <w:r w:rsidRPr="002141AA">
        <w:rPr>
          <w:color w:val="000000" w:themeColor="text1"/>
        </w:rPr>
        <w:t>). Nutrient Requirements of Poultry (9th rev. ed.). National Academy Press, Washington, D.C.</w:t>
      </w:r>
    </w:p>
    <w:p w14:paraId="22B5F39D"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Peterson, R. A., Carpenter, G. H., Jones, W. T., &amp; Kula, J. A. (1991</w:t>
      </w:r>
      <w:r w:rsidRPr="002141AA">
        <w:rPr>
          <w:color w:val="000000" w:themeColor="text1"/>
        </w:rPr>
        <w:t>). Research note: Effect of tetracycline hydrochloride and oxytetracycline hydrochloride given via drinking water on early mortality of broiler chicks from twenty-eight-week-old dams. Poultry Science, 70(4), 1040–1042.</w:t>
      </w:r>
    </w:p>
    <w:p w14:paraId="394F9F8F"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Qaid, M. M., Al-Mufarrej, S. I., Azzam, M. M., Al-Garadi, M. A., Alqhtani, A. H., Al-Abdullatif, A. A., Hussein, E. O., &amp; Suliman, G. M. (2022</w:t>
      </w:r>
      <w:r w:rsidRPr="002141AA">
        <w:rPr>
          <w:color w:val="000000" w:themeColor="text1"/>
        </w:rPr>
        <w:t>). Dietary cinnamon bark affects growth performance, carcass characteristics, and breast meat quality in broiler infected with Eimeria tenella oocysts. Animals, 12(2), 166.</w:t>
      </w:r>
    </w:p>
    <w:p w14:paraId="3EA8FC67"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Reda, F. M., Kamal, M., Mahmoud, H. K., Rudayni, H. A., Allam, A. A., Khafaga, A. F., ... &amp; Mohamed, R. S. (2025).</w:t>
      </w:r>
      <w:r w:rsidRPr="002141AA">
        <w:rPr>
          <w:color w:val="000000" w:themeColor="text1"/>
        </w:rPr>
        <w:t xml:space="preserve"> Effect of a mixture of peppermint and clove oils on growth performance, carcass traits, blood parameters, and gut microbiota in broiler chickens. Poultry Science, 104(11), 105718.</w:t>
      </w:r>
    </w:p>
    <w:p w14:paraId="73E7D1E2"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Sampath, H. K. R., &amp; Atapattu, N. S. B. M. (2013).</w:t>
      </w:r>
      <w:r w:rsidRPr="002141AA">
        <w:rPr>
          <w:color w:val="000000" w:themeColor="text1"/>
        </w:rPr>
        <w:t xml:space="preserve"> Effects of cinnamon (Cinnamomum zeylanicum) bark powder on growth performance, carcass fat and serum cholesterol levels of broiler chicken. Tropical Agricultural Research, 24(4), 322–329.</w:t>
      </w:r>
    </w:p>
    <w:p w14:paraId="1F6BBC78"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 xml:space="preserve">Satapathy, D., Panigrahi, M. K., &amp; Behera, S. (2017). </w:t>
      </w:r>
      <w:r w:rsidRPr="002141AA">
        <w:rPr>
          <w:color w:val="000000" w:themeColor="text1"/>
        </w:rPr>
        <w:t>Growth and instability in poultry production in India. Indian Journal of Animal Sciences, 87, 234–239.</w:t>
      </w:r>
    </w:p>
    <w:p w14:paraId="032A1AB1"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Shah, S. H. A., Sheikh, I. S., Samad, A., Taj, M. K., Tariq, M. M., Rafeeq, M., ... &amp; Asadullah. (2022</w:t>
      </w:r>
      <w:r w:rsidRPr="002141AA">
        <w:rPr>
          <w:color w:val="000000" w:themeColor="text1"/>
        </w:rPr>
        <w:t>). Effectiveness of Oxytetracycline and Tylosin phosphate on growth of broiler chicken. Pure and Applied Biology, 11(2), 456–463.</w:t>
      </w:r>
    </w:p>
    <w:p w14:paraId="014EBCA4"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Shirzadegan, K. (2014</w:t>
      </w:r>
      <w:r w:rsidRPr="002141AA">
        <w:rPr>
          <w:color w:val="000000" w:themeColor="text1"/>
        </w:rPr>
        <w:t>). Reactions of modern broiler chickens to administration of cinnamon powder in the diet. Global Veterinaria, 12(5), 620–625.</w:t>
      </w:r>
    </w:p>
    <w:p w14:paraId="44A785DE"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Siegel, P. B. (2014).</w:t>
      </w:r>
      <w:r w:rsidRPr="002141AA">
        <w:rPr>
          <w:color w:val="000000" w:themeColor="text1"/>
        </w:rPr>
        <w:t xml:space="preserve"> Evolution of the modern broiler and feed efficiency. Annual Review of Animal Biosciences, 2, 375–385.</w:t>
      </w:r>
    </w:p>
    <w:p w14:paraId="69C77F84"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Snedecor, G. W., &amp; Cochran, W. G. (1994).</w:t>
      </w:r>
      <w:r w:rsidRPr="002141AA">
        <w:rPr>
          <w:color w:val="000000" w:themeColor="text1"/>
        </w:rPr>
        <w:t xml:space="preserve"> Statistical Methods (8th ed.). Iowa State University Press, Ames, Iowa.</w:t>
      </w:r>
    </w:p>
    <w:p w14:paraId="2573CAF0"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 xml:space="preserve">Solanki, D. M., Dave, C. J., Bhanderi, B. B., Sheth, A. L., &amp;Ghodasara, D. J. (2022). </w:t>
      </w:r>
      <w:r w:rsidRPr="002141AA">
        <w:rPr>
          <w:color w:val="000000" w:themeColor="text1"/>
        </w:rPr>
        <w:t>Effect of cinnamon (Cinnamomum zeylanicum) essential oil as an alternative to antibiotic growth promoter in broilers. Indian Journal of Veterinary Sciences &amp; Biotechnology, 18, 73–80.</w:t>
      </w:r>
    </w:p>
    <w:p w14:paraId="663D26D0" w14:textId="77777777" w:rsidR="00922ED9" w:rsidRPr="002141AA" w:rsidRDefault="0039171D">
      <w:pPr>
        <w:spacing w:after="140" w:line="276" w:lineRule="auto"/>
        <w:ind w:left="360" w:hanging="360"/>
        <w:jc w:val="both"/>
        <w:rPr>
          <w:color w:val="000000" w:themeColor="text1"/>
        </w:rPr>
      </w:pPr>
      <w:r w:rsidRPr="002141AA">
        <w:rPr>
          <w:b/>
          <w:bCs/>
          <w:color w:val="000000" w:themeColor="text1"/>
        </w:rPr>
        <w:t>Sreejith, S., Shajahan, S., Prathiush, P. R., Anjana, V. M., Viswanathan, A., Chandran, V., ... &amp; Radhakrishnan, E. K. (2020).</w:t>
      </w:r>
      <w:r w:rsidRPr="002141AA">
        <w:rPr>
          <w:color w:val="000000" w:themeColor="text1"/>
        </w:rPr>
        <w:t xml:space="preserve"> Healthy broilers disseminate antibiotic resistance in response to tetracycline input in feed concentrates. Microbial Pathogenesis, 149, 104562.</w:t>
      </w:r>
    </w:p>
    <w:p w14:paraId="5306DA4B" w14:textId="77777777" w:rsidR="00922ED9" w:rsidRPr="002141AA" w:rsidRDefault="0039171D">
      <w:pPr>
        <w:spacing w:after="140" w:line="276" w:lineRule="auto"/>
        <w:ind w:left="360" w:hanging="360"/>
        <w:jc w:val="both"/>
        <w:rPr>
          <w:color w:val="000000" w:themeColor="text1"/>
        </w:rPr>
      </w:pPr>
      <w:r w:rsidRPr="002D751A">
        <w:rPr>
          <w:b/>
          <w:bCs/>
          <w:color w:val="000000" w:themeColor="text1"/>
        </w:rPr>
        <w:t>Suliman, G. M., Alowaimer, A. N., Al-Mufarrej, S. I., Hussein, E. O., Fazea, E. H., Naiel, M. A., ... &amp;Swelum, A. A. (2021).</w:t>
      </w:r>
      <w:r w:rsidRPr="002141AA">
        <w:rPr>
          <w:color w:val="000000" w:themeColor="text1"/>
        </w:rPr>
        <w:t xml:space="preserve"> The effects of clove seed (Syzygium aromaticum) dietary administration on carcass characteristics, meat quality, and sensory attributes of broiler chickens. Poultry Science, 100(3), 100904.</w:t>
      </w:r>
    </w:p>
    <w:p w14:paraId="48F15C31" w14:textId="77777777" w:rsidR="00922ED9" w:rsidRPr="002141AA" w:rsidRDefault="0039171D">
      <w:pPr>
        <w:spacing w:after="140" w:line="276" w:lineRule="auto"/>
        <w:ind w:left="360" w:hanging="360"/>
        <w:jc w:val="both"/>
        <w:rPr>
          <w:color w:val="000000" w:themeColor="text1"/>
        </w:rPr>
      </w:pPr>
      <w:r w:rsidRPr="002D751A">
        <w:rPr>
          <w:b/>
          <w:bCs/>
          <w:color w:val="000000" w:themeColor="text1"/>
        </w:rPr>
        <w:lastRenderedPageBreak/>
        <w:t>Tahir, M., Chuzaemi, S., &amp; Widodo, E. (2019</w:t>
      </w:r>
      <w:r w:rsidRPr="002141AA">
        <w:rPr>
          <w:color w:val="000000" w:themeColor="text1"/>
        </w:rPr>
        <w:t>). The performance of broilers given eugenol of clove leaf essential oil as a feed additive. Russian Journal of Agricultural and Socio-Economic Sciences, 95(11), 200–205.</w:t>
      </w:r>
    </w:p>
    <w:p w14:paraId="6E6AA1AF" w14:textId="77777777" w:rsidR="00922ED9" w:rsidRPr="002141AA" w:rsidRDefault="0039171D">
      <w:pPr>
        <w:spacing w:after="140" w:line="276" w:lineRule="auto"/>
        <w:ind w:left="360" w:hanging="360"/>
        <w:jc w:val="both"/>
        <w:rPr>
          <w:color w:val="000000" w:themeColor="text1"/>
        </w:rPr>
      </w:pPr>
      <w:r w:rsidRPr="002D751A">
        <w:rPr>
          <w:b/>
          <w:bCs/>
          <w:color w:val="000000" w:themeColor="text1"/>
        </w:rPr>
        <w:t>Tallentire, C. W., Leinonen, I., &amp;Kyriazakis, I. (2016</w:t>
      </w:r>
      <w:r w:rsidRPr="002141AA">
        <w:rPr>
          <w:color w:val="000000" w:themeColor="text1"/>
        </w:rPr>
        <w:t>). Breeding for efficiency in the broiler chicken: A review. Agronomy for Sustainable Development, 36, 66.</w:t>
      </w:r>
    </w:p>
    <w:p w14:paraId="0BC9A745" w14:textId="77777777" w:rsidR="00922ED9" w:rsidRPr="002141AA" w:rsidRDefault="0039171D">
      <w:pPr>
        <w:spacing w:after="140" w:line="276" w:lineRule="auto"/>
        <w:ind w:left="360" w:hanging="360"/>
        <w:jc w:val="both"/>
        <w:rPr>
          <w:color w:val="000000" w:themeColor="text1"/>
        </w:rPr>
      </w:pPr>
      <w:r w:rsidRPr="002D751A">
        <w:rPr>
          <w:b/>
          <w:bCs/>
          <w:color w:val="000000" w:themeColor="text1"/>
        </w:rPr>
        <w:t>Untari, T., Herawati, O., Anggita, M., Asmara, W., Wahyuni, A. E. T. H., &amp; Wibowo, M. H. (2021).</w:t>
      </w:r>
      <w:r w:rsidRPr="002141AA">
        <w:rPr>
          <w:color w:val="000000" w:themeColor="text1"/>
        </w:rPr>
        <w:t xml:space="preserve"> The effect of antibiotic growth promoters (AGP) on antibiotic resistance and the digestive system of broiler chicken in Sleman, Yogyakarta. BIO Web of Conferences, 33, 04005.</w:t>
      </w:r>
    </w:p>
    <w:sectPr w:rsidR="00922ED9" w:rsidRPr="002141AA" w:rsidSect="0044291A">
      <w:headerReference w:type="even" r:id="rId15"/>
      <w:headerReference w:type="default" r:id="rId16"/>
      <w:footerReference w:type="even" r:id="rId17"/>
      <w:footerReference w:type="default" r:id="rId18"/>
      <w:headerReference w:type="first" r:id="rId19"/>
      <w:footerReference w:type="first" r:id="rId2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F4763" w14:textId="77777777" w:rsidR="000A28D8" w:rsidRDefault="000A28D8" w:rsidP="001D522F">
      <w:r>
        <w:separator/>
      </w:r>
    </w:p>
  </w:endnote>
  <w:endnote w:type="continuationSeparator" w:id="0">
    <w:p w14:paraId="54C1A0F9" w14:textId="77777777" w:rsidR="000A28D8" w:rsidRDefault="000A28D8" w:rsidP="001D5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98D28" w14:textId="77777777" w:rsidR="001D522F" w:rsidRDefault="001D52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3AC1F" w14:textId="77777777" w:rsidR="001D522F" w:rsidRDefault="001D52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34B4D" w14:textId="77777777" w:rsidR="001D522F" w:rsidRDefault="001D52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25B6F" w14:textId="77777777" w:rsidR="000A28D8" w:rsidRDefault="000A28D8" w:rsidP="001D522F">
      <w:r>
        <w:separator/>
      </w:r>
    </w:p>
  </w:footnote>
  <w:footnote w:type="continuationSeparator" w:id="0">
    <w:p w14:paraId="3903AC6D" w14:textId="77777777" w:rsidR="000A28D8" w:rsidRDefault="000A28D8" w:rsidP="001D5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52F5" w14:textId="4C62F67B" w:rsidR="001D522F" w:rsidRDefault="001D522F">
    <w:pPr>
      <w:pStyle w:val="Header"/>
    </w:pPr>
    <w:r>
      <w:rPr>
        <w:noProof/>
      </w:rPr>
      <w:pict w14:anchorId="6FF2B0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7160641" o:spid="_x0000_s1026" type="#_x0000_t136" style="position:absolute;margin-left:0;margin-top:0;width:639.45pt;height:71.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4C51D" w14:textId="4C90DB61" w:rsidR="001D522F" w:rsidRDefault="001D522F">
    <w:pPr>
      <w:pStyle w:val="Header"/>
    </w:pPr>
    <w:r>
      <w:rPr>
        <w:noProof/>
      </w:rPr>
      <w:pict w14:anchorId="5A1401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7160642" o:spid="_x0000_s1027" type="#_x0000_t136" style="position:absolute;margin-left:0;margin-top:0;width:639.45pt;height:71.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F9FD6" w14:textId="2011B07E" w:rsidR="001D522F" w:rsidRDefault="001D522F">
    <w:pPr>
      <w:pStyle w:val="Header"/>
    </w:pPr>
    <w:r>
      <w:rPr>
        <w:noProof/>
      </w:rPr>
      <w:pict w14:anchorId="541AB8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7160640" o:spid="_x0000_s1025" type="#_x0000_t136" style="position:absolute;margin-left:0;margin-top:0;width:639.45pt;height:71.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93F52"/>
    <w:multiLevelType w:val="hybridMultilevel"/>
    <w:tmpl w:val="2D72CA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001AB2"/>
    <w:multiLevelType w:val="hybridMultilevel"/>
    <w:tmpl w:val="BCE2A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4C0B17"/>
    <w:multiLevelType w:val="hybridMultilevel"/>
    <w:tmpl w:val="21A62C6A"/>
    <w:lvl w:ilvl="0" w:tplc="23EC5CA8">
      <w:start w:val="1"/>
      <w:numFmt w:val="bullet"/>
      <w:lvlText w:val="●"/>
      <w:lvlJc w:val="left"/>
      <w:pPr>
        <w:ind w:left="720" w:hanging="360"/>
      </w:pPr>
    </w:lvl>
    <w:lvl w:ilvl="1" w:tplc="2FE02C46">
      <w:start w:val="1"/>
      <w:numFmt w:val="bullet"/>
      <w:lvlText w:val="○"/>
      <w:lvlJc w:val="left"/>
      <w:pPr>
        <w:ind w:left="1440" w:hanging="360"/>
      </w:pPr>
    </w:lvl>
    <w:lvl w:ilvl="2" w:tplc="D7A2DE20">
      <w:start w:val="1"/>
      <w:numFmt w:val="bullet"/>
      <w:lvlText w:val="■"/>
      <w:lvlJc w:val="left"/>
      <w:pPr>
        <w:ind w:left="2160" w:hanging="360"/>
      </w:pPr>
    </w:lvl>
    <w:lvl w:ilvl="3" w:tplc="F476DF10">
      <w:start w:val="1"/>
      <w:numFmt w:val="bullet"/>
      <w:lvlText w:val="●"/>
      <w:lvlJc w:val="left"/>
      <w:pPr>
        <w:ind w:left="2880" w:hanging="360"/>
      </w:pPr>
    </w:lvl>
    <w:lvl w:ilvl="4" w:tplc="E7D2E674">
      <w:start w:val="1"/>
      <w:numFmt w:val="bullet"/>
      <w:lvlText w:val="○"/>
      <w:lvlJc w:val="left"/>
      <w:pPr>
        <w:ind w:left="3600" w:hanging="360"/>
      </w:pPr>
    </w:lvl>
    <w:lvl w:ilvl="5" w:tplc="B7527810">
      <w:start w:val="1"/>
      <w:numFmt w:val="bullet"/>
      <w:lvlText w:val="■"/>
      <w:lvlJc w:val="left"/>
      <w:pPr>
        <w:ind w:left="4320" w:hanging="360"/>
      </w:pPr>
    </w:lvl>
    <w:lvl w:ilvl="6" w:tplc="858E3880">
      <w:start w:val="1"/>
      <w:numFmt w:val="bullet"/>
      <w:lvlText w:val="●"/>
      <w:lvlJc w:val="left"/>
      <w:pPr>
        <w:ind w:left="5040" w:hanging="360"/>
      </w:pPr>
    </w:lvl>
    <w:lvl w:ilvl="7" w:tplc="F2CAECC0">
      <w:start w:val="1"/>
      <w:numFmt w:val="bullet"/>
      <w:lvlText w:val="●"/>
      <w:lvlJc w:val="left"/>
      <w:pPr>
        <w:ind w:left="5760" w:hanging="360"/>
      </w:pPr>
    </w:lvl>
    <w:lvl w:ilvl="8" w:tplc="00143D74">
      <w:start w:val="1"/>
      <w:numFmt w:val="bullet"/>
      <w:lvlText w:val="●"/>
      <w:lvlJc w:val="left"/>
      <w:pPr>
        <w:ind w:left="6480" w:hanging="360"/>
      </w:pPr>
    </w:lvl>
  </w:abstractNum>
  <w:abstractNum w:abstractNumId="3" w15:restartNumberingAfterBreak="0">
    <w:nsid w:val="7A6F34AE"/>
    <w:multiLevelType w:val="hybridMultilevel"/>
    <w:tmpl w:val="5FE68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9037554">
    <w:abstractNumId w:val="2"/>
    <w:lvlOverride w:ilvl="0">
      <w:startOverride w:val="1"/>
    </w:lvlOverride>
  </w:num>
  <w:num w:numId="2" w16cid:durableId="373775503">
    <w:abstractNumId w:val="3"/>
  </w:num>
  <w:num w:numId="3" w16cid:durableId="1425149489">
    <w:abstractNumId w:val="1"/>
  </w:num>
  <w:num w:numId="4" w16cid:durableId="309486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22ED9"/>
    <w:rsid w:val="000A28D8"/>
    <w:rsid w:val="000E53A2"/>
    <w:rsid w:val="00161030"/>
    <w:rsid w:val="001D522F"/>
    <w:rsid w:val="002141AA"/>
    <w:rsid w:val="002A7FE9"/>
    <w:rsid w:val="002D751A"/>
    <w:rsid w:val="002E08CD"/>
    <w:rsid w:val="0038390F"/>
    <w:rsid w:val="0039171D"/>
    <w:rsid w:val="003C62CD"/>
    <w:rsid w:val="0044291A"/>
    <w:rsid w:val="00493C87"/>
    <w:rsid w:val="00517B20"/>
    <w:rsid w:val="005273C1"/>
    <w:rsid w:val="00601BEC"/>
    <w:rsid w:val="006229EA"/>
    <w:rsid w:val="0067533A"/>
    <w:rsid w:val="006E7CC9"/>
    <w:rsid w:val="007652C1"/>
    <w:rsid w:val="007B5C58"/>
    <w:rsid w:val="007D39D1"/>
    <w:rsid w:val="0080034B"/>
    <w:rsid w:val="008538D1"/>
    <w:rsid w:val="00922ED9"/>
    <w:rsid w:val="00993389"/>
    <w:rsid w:val="009F68F2"/>
    <w:rsid w:val="00A1249C"/>
    <w:rsid w:val="00B56425"/>
    <w:rsid w:val="00BE2FC6"/>
    <w:rsid w:val="00BF4689"/>
    <w:rsid w:val="00C1630D"/>
    <w:rsid w:val="00C42C30"/>
    <w:rsid w:val="00E44B5B"/>
    <w:rsid w:val="00F30935"/>
    <w:rsid w:val="00FF271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2068E"/>
  <w15:docId w15:val="{EED417BF-3B22-4E20-85A8-61FA47468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91A"/>
  </w:style>
  <w:style w:type="paragraph" w:styleId="Heading1">
    <w:name w:val="heading 1"/>
    <w:uiPriority w:val="9"/>
    <w:qFormat/>
    <w:rsid w:val="0044291A"/>
    <w:pPr>
      <w:outlineLvl w:val="0"/>
    </w:pPr>
    <w:rPr>
      <w:color w:val="2E74B5"/>
      <w:sz w:val="32"/>
      <w:szCs w:val="32"/>
    </w:rPr>
  </w:style>
  <w:style w:type="paragraph" w:styleId="Heading2">
    <w:name w:val="heading 2"/>
    <w:uiPriority w:val="9"/>
    <w:semiHidden/>
    <w:unhideWhenUsed/>
    <w:qFormat/>
    <w:rsid w:val="0044291A"/>
    <w:pPr>
      <w:outlineLvl w:val="1"/>
    </w:pPr>
    <w:rPr>
      <w:color w:val="2E74B5"/>
      <w:sz w:val="26"/>
      <w:szCs w:val="26"/>
    </w:rPr>
  </w:style>
  <w:style w:type="paragraph" w:styleId="Heading3">
    <w:name w:val="heading 3"/>
    <w:uiPriority w:val="9"/>
    <w:semiHidden/>
    <w:unhideWhenUsed/>
    <w:qFormat/>
    <w:rsid w:val="0044291A"/>
    <w:pPr>
      <w:outlineLvl w:val="2"/>
    </w:pPr>
    <w:rPr>
      <w:color w:val="1F4D78"/>
      <w:sz w:val="24"/>
      <w:szCs w:val="24"/>
    </w:rPr>
  </w:style>
  <w:style w:type="paragraph" w:styleId="Heading4">
    <w:name w:val="heading 4"/>
    <w:uiPriority w:val="9"/>
    <w:semiHidden/>
    <w:unhideWhenUsed/>
    <w:qFormat/>
    <w:rsid w:val="0044291A"/>
    <w:pPr>
      <w:outlineLvl w:val="3"/>
    </w:pPr>
    <w:rPr>
      <w:i/>
      <w:iCs/>
      <w:color w:val="2E74B5"/>
    </w:rPr>
  </w:style>
  <w:style w:type="paragraph" w:styleId="Heading5">
    <w:name w:val="heading 5"/>
    <w:uiPriority w:val="9"/>
    <w:semiHidden/>
    <w:unhideWhenUsed/>
    <w:qFormat/>
    <w:rsid w:val="0044291A"/>
    <w:pPr>
      <w:outlineLvl w:val="4"/>
    </w:pPr>
    <w:rPr>
      <w:color w:val="2E74B5"/>
    </w:rPr>
  </w:style>
  <w:style w:type="paragraph" w:styleId="Heading6">
    <w:name w:val="heading 6"/>
    <w:uiPriority w:val="9"/>
    <w:semiHidden/>
    <w:unhideWhenUsed/>
    <w:qFormat/>
    <w:rsid w:val="0044291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44291A"/>
    <w:rPr>
      <w:sz w:val="56"/>
      <w:szCs w:val="56"/>
    </w:rPr>
  </w:style>
  <w:style w:type="paragraph" w:customStyle="1" w:styleId="Strong1">
    <w:name w:val="Strong1"/>
    <w:qFormat/>
    <w:rsid w:val="0044291A"/>
    <w:rPr>
      <w:b/>
      <w:bCs/>
    </w:rPr>
  </w:style>
  <w:style w:type="paragraph" w:styleId="ListParagraph">
    <w:name w:val="List Paragraph"/>
    <w:uiPriority w:val="34"/>
    <w:qFormat/>
    <w:rsid w:val="0044291A"/>
  </w:style>
  <w:style w:type="character" w:styleId="Hyperlink">
    <w:name w:val="Hyperlink"/>
    <w:uiPriority w:val="99"/>
    <w:unhideWhenUsed/>
    <w:rsid w:val="0044291A"/>
    <w:rPr>
      <w:color w:val="0563C1"/>
      <w:u w:val="single"/>
    </w:rPr>
  </w:style>
  <w:style w:type="character" w:styleId="FootnoteReference">
    <w:name w:val="footnote reference"/>
    <w:uiPriority w:val="99"/>
    <w:semiHidden/>
    <w:unhideWhenUsed/>
    <w:rsid w:val="0044291A"/>
    <w:rPr>
      <w:vertAlign w:val="superscript"/>
    </w:rPr>
  </w:style>
  <w:style w:type="paragraph" w:styleId="FootnoteText">
    <w:name w:val="footnote text"/>
    <w:link w:val="FootnoteTextChar"/>
    <w:uiPriority w:val="99"/>
    <w:semiHidden/>
    <w:unhideWhenUsed/>
    <w:rsid w:val="0044291A"/>
  </w:style>
  <w:style w:type="character" w:customStyle="1" w:styleId="FootnoteTextChar">
    <w:name w:val="Footnote Text Char"/>
    <w:link w:val="FootnoteText"/>
    <w:uiPriority w:val="99"/>
    <w:semiHidden/>
    <w:unhideWhenUsed/>
    <w:rsid w:val="0044291A"/>
    <w:rPr>
      <w:sz w:val="20"/>
      <w:szCs w:val="20"/>
    </w:rPr>
  </w:style>
  <w:style w:type="character" w:styleId="EndnoteReference">
    <w:name w:val="endnote reference"/>
    <w:uiPriority w:val="99"/>
    <w:semiHidden/>
    <w:unhideWhenUsed/>
    <w:rsid w:val="0044291A"/>
    <w:rPr>
      <w:vertAlign w:val="superscript"/>
    </w:rPr>
  </w:style>
  <w:style w:type="paragraph" w:styleId="EndnoteText">
    <w:name w:val="endnote text"/>
    <w:link w:val="EndnoteTextChar"/>
    <w:uiPriority w:val="99"/>
    <w:semiHidden/>
    <w:unhideWhenUsed/>
    <w:rsid w:val="0044291A"/>
  </w:style>
  <w:style w:type="character" w:customStyle="1" w:styleId="EndnoteTextChar">
    <w:name w:val="Endnote Text Char"/>
    <w:link w:val="EndnoteText"/>
    <w:uiPriority w:val="99"/>
    <w:semiHidden/>
    <w:unhideWhenUsed/>
    <w:rsid w:val="0044291A"/>
    <w:rPr>
      <w:sz w:val="20"/>
      <w:szCs w:val="20"/>
    </w:rPr>
  </w:style>
  <w:style w:type="paragraph" w:styleId="BalloonText">
    <w:name w:val="Balloon Text"/>
    <w:basedOn w:val="Normal"/>
    <w:link w:val="BalloonTextChar"/>
    <w:uiPriority w:val="99"/>
    <w:semiHidden/>
    <w:unhideWhenUsed/>
    <w:rsid w:val="007B5C58"/>
    <w:rPr>
      <w:rFonts w:ascii="Tahoma" w:hAnsi="Tahoma" w:cs="Mangal"/>
      <w:sz w:val="16"/>
      <w:szCs w:val="14"/>
    </w:rPr>
  </w:style>
  <w:style w:type="character" w:customStyle="1" w:styleId="BalloonTextChar">
    <w:name w:val="Balloon Text Char"/>
    <w:basedOn w:val="DefaultParagraphFont"/>
    <w:link w:val="BalloonText"/>
    <w:uiPriority w:val="99"/>
    <w:semiHidden/>
    <w:rsid w:val="007B5C58"/>
    <w:rPr>
      <w:rFonts w:ascii="Tahoma" w:hAnsi="Tahoma" w:cs="Mangal"/>
      <w:sz w:val="16"/>
      <w:szCs w:val="14"/>
    </w:rPr>
  </w:style>
  <w:style w:type="character" w:styleId="UnresolvedMention">
    <w:name w:val="Unresolved Mention"/>
    <w:basedOn w:val="DefaultParagraphFont"/>
    <w:uiPriority w:val="99"/>
    <w:semiHidden/>
    <w:unhideWhenUsed/>
    <w:rsid w:val="00B56425"/>
    <w:rPr>
      <w:color w:val="605E5C"/>
      <w:shd w:val="clear" w:color="auto" w:fill="E1DFDD"/>
    </w:rPr>
  </w:style>
  <w:style w:type="paragraph" w:styleId="Header">
    <w:name w:val="header"/>
    <w:basedOn w:val="Normal"/>
    <w:link w:val="HeaderChar"/>
    <w:uiPriority w:val="99"/>
    <w:unhideWhenUsed/>
    <w:rsid w:val="001D522F"/>
    <w:pPr>
      <w:tabs>
        <w:tab w:val="center" w:pos="4680"/>
        <w:tab w:val="right" w:pos="9360"/>
      </w:tabs>
    </w:pPr>
    <w:rPr>
      <w:rFonts w:cs="Mangal"/>
      <w:szCs w:val="18"/>
    </w:rPr>
  </w:style>
  <w:style w:type="character" w:customStyle="1" w:styleId="HeaderChar">
    <w:name w:val="Header Char"/>
    <w:basedOn w:val="DefaultParagraphFont"/>
    <w:link w:val="Header"/>
    <w:uiPriority w:val="99"/>
    <w:rsid w:val="001D522F"/>
    <w:rPr>
      <w:rFonts w:cs="Mangal"/>
      <w:szCs w:val="18"/>
    </w:rPr>
  </w:style>
  <w:style w:type="paragraph" w:styleId="Footer">
    <w:name w:val="footer"/>
    <w:basedOn w:val="Normal"/>
    <w:link w:val="FooterChar"/>
    <w:uiPriority w:val="99"/>
    <w:unhideWhenUsed/>
    <w:rsid w:val="001D522F"/>
    <w:pPr>
      <w:tabs>
        <w:tab w:val="center" w:pos="4680"/>
        <w:tab w:val="right" w:pos="9360"/>
      </w:tabs>
    </w:pPr>
    <w:rPr>
      <w:rFonts w:cs="Mangal"/>
      <w:szCs w:val="18"/>
    </w:rPr>
  </w:style>
  <w:style w:type="character" w:customStyle="1" w:styleId="FooterChar">
    <w:name w:val="Footer Char"/>
    <w:basedOn w:val="DefaultParagraphFont"/>
    <w:link w:val="Footer"/>
    <w:uiPriority w:val="99"/>
    <w:rsid w:val="001D522F"/>
    <w:rPr>
      <w:rFonts w:cs="Mangal"/>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microsoft.com/office/2014/relationships/chartEx" Target="charts/chartEx1.xml"/><Relationship Id="rId12" Type="http://schemas.microsoft.com/office/2014/relationships/chartEx" Target="charts/chartEx3.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webSettings" Target="webSettings.xml"/><Relationship Id="rId9" Type="http://schemas.microsoft.com/office/2014/relationships/chartEx" Target="charts/chartEx2.xml"/><Relationship Id="rId14" Type="http://schemas.openxmlformats.org/officeDocument/2006/relationships/image" Target="media/image4.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CER\Desktop\Sonu%20Singh\sonu%20graph.xlsx"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CER\Desktop\Sonu%20Singh\sonu%20graph.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CER\Desktop\Sonu%20Singh\sonu%20graph.xlsx"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CER\Desktop\Sonu%20Singh\sonu%20grap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Sheet1!$H$37:$H$38</c:f>
              <c:strCache>
                <c:ptCount val="2"/>
                <c:pt idx="0">
                  <c:v>Treatment</c:v>
                </c:pt>
                <c:pt idx="1">
                  <c:v>SEM</c:v>
                </c:pt>
              </c:strCache>
            </c:strRef>
          </c:tx>
          <c:spPr>
            <a:solidFill>
              <a:schemeClr val="accent1"/>
            </a:solidFill>
            <a:ln>
              <a:noFill/>
            </a:ln>
            <a:effectLst/>
          </c:spPr>
          <c:invertIfNegative val="0"/>
          <c:cat>
            <c:strRef>
              <c:f>Sheet1!$B$39:$B$44</c:f>
              <c:strCache>
                <c:ptCount val="6"/>
                <c:pt idx="0">
                  <c:v>1 Weeks</c:v>
                </c:pt>
                <c:pt idx="1">
                  <c:v>2 Weeks</c:v>
                </c:pt>
                <c:pt idx="2">
                  <c:v>3 Weeks</c:v>
                </c:pt>
                <c:pt idx="3">
                  <c:v>4 Weeks</c:v>
                </c:pt>
                <c:pt idx="4">
                  <c:v>5 Weeks</c:v>
                </c:pt>
                <c:pt idx="5">
                  <c:v>Mean</c:v>
                </c:pt>
              </c:strCache>
              <c:extLst/>
            </c:strRef>
          </c:cat>
          <c:val>
            <c:numRef>
              <c:f>Sheet1!$H$39:$H$44</c:f>
              <c:numCache>
                <c:formatCode>General</c:formatCode>
                <c:ptCount val="6"/>
                <c:pt idx="0">
                  <c:v>2.54</c:v>
                </c:pt>
                <c:pt idx="1">
                  <c:v>6.23</c:v>
                </c:pt>
                <c:pt idx="2">
                  <c:v>1.6800000000000022</c:v>
                </c:pt>
                <c:pt idx="3">
                  <c:v>3.3899999999999997</c:v>
                </c:pt>
                <c:pt idx="4">
                  <c:v>2.0499999999999998</c:v>
                </c:pt>
                <c:pt idx="5">
                  <c:v>3.18</c:v>
                </c:pt>
              </c:numCache>
            </c:numRef>
          </c:val>
          <c:extLst>
            <c:ext xmlns:c16="http://schemas.microsoft.com/office/drawing/2014/chart" uri="{C3380CC4-5D6E-409C-BE32-E72D297353CC}">
              <c16:uniqueId val="{00000000-E2AC-4EDB-89E1-EF99D9C9AB45}"/>
            </c:ext>
          </c:extLst>
        </c:ser>
        <c:dLbls>
          <c:showLegendKey val="0"/>
          <c:showVal val="0"/>
          <c:showCatName val="0"/>
          <c:showSerName val="0"/>
          <c:showPercent val="0"/>
          <c:showBubbleSize val="0"/>
        </c:dLbls>
        <c:gapWidth val="182"/>
        <c:axId val="99894784"/>
        <c:axId val="115434240"/>
      </c:barChart>
      <c:catAx>
        <c:axId val="99894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5434240"/>
        <c:crosses val="autoZero"/>
        <c:auto val="1"/>
        <c:lblAlgn val="ctr"/>
        <c:lblOffset val="100"/>
        <c:noMultiLvlLbl val="0"/>
      </c:catAx>
      <c:valAx>
        <c:axId val="1154342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9894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Sheet1!$B$5:$G$11</cx:f>
        <cx:lvl ptCount="7">
          <cx:pt idx="0">44.5</cx:pt>
          <cx:pt idx="1">185.00d</cx:pt>
          <cx:pt idx="2">482.91d</cx:pt>
          <cx:pt idx="3">909.91c</cx:pt>
          <cx:pt idx="4">1470.83d</cx:pt>
          <cx:pt idx="5">2084.83d</cx:pt>
          <cx:pt idx="6">863.41d</cx:pt>
        </cx:lvl>
        <cx:lvl ptCount="7">
          <cx:pt idx="0">44.17</cx:pt>
          <cx:pt idx="1">174.33c</cx:pt>
          <cx:pt idx="2">469.33c</cx:pt>
          <cx:pt idx="3">888.25bc</cx:pt>
          <cx:pt idx="4">1459.50c</cx:pt>
          <cx:pt idx="5">2054.91c</cx:pt>
          <cx:pt idx="6">846.93c</cx:pt>
        </cx:lvl>
        <cx:lvl ptCount="7">
          <cx:pt idx="0">45.08</cx:pt>
          <cx:pt idx="1">164.85b</cx:pt>
          <cx:pt idx="2">446.41b</cx:pt>
          <cx:pt idx="3">872.75b</cx:pt>
          <cx:pt idx="4">1427.33b</cx:pt>
          <cx:pt idx="5">1985.50b</cx:pt>
          <cx:pt idx="6">823.94b</cx:pt>
        </cx:lvl>
        <cx:lvl ptCount="7">
          <cx:pt idx="0">44.42</cx:pt>
          <cx:pt idx="1">194.58e</cx:pt>
          <cx:pt idx="2">492.33e</cx:pt>
          <cx:pt idx="3">935.08d</cx:pt>
          <cx:pt idx="4">1492.33e</cx:pt>
          <cx:pt idx="5">2187.00e</cx:pt>
          <cx:pt idx="6">891.13e</cx:pt>
        </cx:lvl>
        <cx:lvl ptCount="7">
          <cx:pt idx="0">44.75</cx:pt>
          <cx:pt idx="1">145.91a</cx:pt>
          <cx:pt idx="2">385.08a</cx:pt>
          <cx:pt idx="3">800.08a</cx:pt>
          <cx:pt idx="4">1246.66a</cx:pt>
          <cx:pt idx="5">1814.91a</cx:pt>
          <cx:pt idx="6">739.51a</cx:pt>
        </cx:lvl>
        <cx:lvl ptCount="7">
          <cx:pt idx="0">Day old</cx:pt>
          <cx:pt idx="1">1Weeks</cx:pt>
          <cx:pt idx="2">2Weeks</cx:pt>
          <cx:pt idx="3">3Weeks</cx:pt>
          <cx:pt idx="4">4Weeks</cx:pt>
          <cx:pt idx="5">5Weeks</cx:pt>
          <cx:pt idx="6">Mean</cx:pt>
        </cx:lvl>
      </cx:strDim>
      <cx:numDim type="val">
        <cx:f>Sheet1!$H$5:$H$11</cx:f>
        <cx:lvl ptCount="7" formatCode="General">
          <cx:pt idx="0">0.81000000000000005</cx:pt>
          <cx:pt idx="1">0.89000000000000001</cx:pt>
          <cx:pt idx="2">1.6100000000000001</cx:pt>
          <cx:pt idx="3">4.6799999999999997</cx:pt>
          <cx:pt idx="4">4.3499999999999996</cx:pt>
          <cx:pt idx="5">4.0999999999999996</cx:pt>
          <cx:pt idx="6">3.1200000000000001</cx:pt>
        </cx:lvl>
      </cx:numDim>
    </cx:data>
  </cx:chartData>
  <cx:chart>
    <cx:title pos="t" align="ctr" overlay="0">
      <cx:tx>
        <cx:rich>
          <a:bodyPr spcFirstLastPara="1" vertOverflow="ellipsis" horzOverflow="overflow" wrap="square" lIns="0" tIns="0" rIns="0" bIns="0" anchor="ctr" anchorCtr="1"/>
          <a:lstStyle/>
          <a:p>
            <a:r>
              <a:rPr lang="en-GB" sz="1400">
                <a:effectLst/>
              </a:rPr>
              <a:t>Weekly Body Weight</a:t>
            </a:r>
            <a:endParaRPr lang="en-US" sz="1400">
              <a:effectLst/>
            </a:endParaRPr>
          </a:p>
        </cx:rich>
      </cx:tx>
    </cx:title>
    <cx:plotArea>
      <cx:plotAreaRegion>
        <cx:series layoutId="clusteredColumn" uniqueId="{3EFEF2E9-AA46-4A1A-B8E6-590259138FC0}">
          <cx:tx>
            <cx:txData>
              <cx:f>Sheet1!$H$3:$H$4</cx:f>
              <cx:v>SEM</cx:v>
            </cx:txData>
          </cx:tx>
          <cx:dataLabels pos="inEnd">
            <cx:visibility seriesName="0" categoryName="0" value="1"/>
          </cx:dataLabels>
          <cx:dataId val="0"/>
          <cx:layoutPr>
            <cx:aggregation/>
          </cx:layoutPr>
          <cx:axisId val="1"/>
        </cx:series>
        <cx:series layoutId="paretoLine" ownerIdx="0" uniqueId="{E6CC733E-FE50-4F66-8F17-6DF5F37730BA}">
          <cx:axisId val="2"/>
        </cx:series>
      </cx:plotAreaRegion>
      <cx:axis id="0">
        <cx:catScaling gapWidth="0"/>
        <cx:tickLabels/>
      </cx:axis>
      <cx:axis id="1">
        <cx:valScaling/>
        <cx:majorGridlines/>
        <cx:tickLabels/>
      </cx:axis>
      <cx:axis id="2">
        <cx:valScaling max="1" min="0"/>
        <cx:units unit="percentage"/>
        <cx:tickLabels/>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Sheet1!$B$25:$G$30</cx:f>
        <cx:lvl ptCount="6">
          <cx:pt idx="0">137.83d</cx:pt>
          <cx:pt idx="1">297.91c</cx:pt>
          <cx:pt idx="2">427.00ab</cx:pt>
          <cx:pt idx="3">560.75b</cx:pt>
          <cx:pt idx="4">614.16b</cx:pt>
          <cx:pt idx="5">408.63c</cx:pt>
        </cx:lvl>
        <cx:lvl ptCount="6">
          <cx:pt idx="0">129.08c</cx:pt>
          <cx:pt idx="1">295.00c</cx:pt>
          <cx:pt idx="2">418.91ab</cx:pt>
          <cx:pt idx="3">561.25b</cx:pt>
          <cx:pt idx="4">605.41b</cx:pt>
          <cx:pt idx="5">402.13c</cx:pt>
        </cx:lvl>
        <cx:lvl ptCount="6">
          <cx:pt idx="0">117.50b</cx:pt>
          <cx:pt idx="1">281.83b</cx:pt>
          <cx:pt idx="2">426.33b</cx:pt>
          <cx:pt idx="3">554.58b</cx:pt>
          <cx:pt idx="4">558.16a</cx:pt>
          <cx:pt idx="5">387.68b</cx:pt>
        </cx:lvl>
        <cx:lvl ptCount="6">
          <cx:pt idx="0">149.08e</cx:pt>
          <cx:pt idx="1">297.75c</cx:pt>
          <cx:pt idx="2">442.75b</cx:pt>
          <cx:pt idx="3">557.25b</cx:pt>
          <cx:pt idx="4">694.66c</cx:pt>
          <cx:pt idx="5">428.51d</cx:pt>
        </cx:lvl>
        <cx:lvl ptCount="6">
          <cx:pt idx="0">101.50a</cx:pt>
          <cx:pt idx="1">239.16a</cx:pt>
          <cx:pt idx="2">415.00a</cx:pt>
          <cx:pt idx="3">446.58a</cx:pt>
          <cx:pt idx="4">568.25a</cx:pt>
          <cx:pt idx="5">354.10a</cx:pt>
        </cx:lvl>
        <cx:lvl ptCount="6">
          <cx:pt idx="0">1 Weeks</cx:pt>
          <cx:pt idx="1">2 Weeks</cx:pt>
          <cx:pt idx="2">3 Weeks</cx:pt>
          <cx:pt idx="3">4 Weeks</cx:pt>
          <cx:pt idx="4">5 Weeks</cx:pt>
          <cx:pt idx="5">Mean</cx:pt>
        </cx:lvl>
      </cx:strDim>
      <cx:numDim type="val">
        <cx:f>Sheet1!$H$25:$H$30</cx:f>
        <cx:lvl ptCount="6" formatCode="General">
          <cx:pt idx="0">1.1599999999999999</cx:pt>
          <cx:pt idx="1">1.79</cx:pt>
          <cx:pt idx="2">5.1100000000000003</cx:pt>
          <cx:pt idx="3">6.3300000000000001</cx:pt>
          <cx:pt idx="4">6.7000000000000002</cx:pt>
          <cx:pt idx="5">4.2199999999999998</cx:pt>
        </cx:lvl>
      </cx:numDim>
    </cx:data>
  </cx:chartData>
  <cx:chart>
    <cx:title pos="t" align="ctr" overlay="0">
      <cx:tx>
        <cx:rich>
          <a:bodyPr spcFirstLastPara="1" vertOverflow="ellipsis" horzOverflow="overflow" wrap="square" lIns="0" tIns="0" rIns="0" bIns="0" anchor="ctr" anchorCtr="1"/>
          <a:lstStyle/>
          <a:p>
            <a:r>
              <a:rPr lang="en-GB" sz="1200">
                <a:effectLst/>
              </a:rPr>
              <a:t>Weekly Body Weight Gain</a:t>
            </a:r>
            <a:endParaRPr lang="en-US" sz="1200">
              <a:effectLst/>
            </a:endParaRPr>
          </a:p>
        </cx:rich>
      </cx:tx>
    </cx:title>
    <cx:plotArea>
      <cx:plotAreaRegion>
        <cx:series layoutId="clusteredColumn" uniqueId="{9CD0D87D-D920-43B3-ACEC-0766530E5268}">
          <cx:tx>
            <cx:txData>
              <cx:f>Sheet1!$H$23:$H$24</cx:f>
              <cx:v>SEM</cx:v>
            </cx:txData>
          </cx:tx>
          <cx:dataId val="0"/>
          <cx:layoutPr>
            <cx:aggregation/>
          </cx:layoutPr>
          <cx:axisId val="1"/>
        </cx:series>
        <cx:series layoutId="paretoLine" ownerIdx="0" uniqueId="{7B381FF4-2801-40AD-AA4E-06D811BE1AB9}">
          <cx:axisId val="2"/>
        </cx:series>
      </cx:plotAreaRegion>
      <cx:axis id="0">
        <cx:catScaling gapWidth="0"/>
        <cx:tickLabels/>
      </cx:axis>
      <cx:axis id="1">
        <cx:valScaling/>
        <cx:majorGridlines/>
        <cx:tickLabels/>
      </cx:axis>
      <cx:axis id="2">
        <cx:valScaling max="1" min="0"/>
        <cx:units unit="percentage"/>
        <cx:tickLabels/>
      </cx:axis>
    </cx:plotArea>
  </cx:chart>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Sheet1!$B$50:$G$55</cx:f>
        <cx:lvl ptCount="6">
          <cx:pt idx="0">1.39b</cx:pt>
          <cx:pt idx="1">1.53cd</cx:pt>
          <cx:pt idx="2">1.67cd</cx:pt>
          <cx:pt idx="3">1.73b</cx:pt>
          <cx:pt idx="4">1.51b</cx:pt>
          <cx:pt idx="5">1.56c</cx:pt>
        </cx:lvl>
        <cx:lvl ptCount="6">
          <cx:pt idx="0">1.32ab</cx:pt>
          <cx:pt idx="1">1.33b</cx:pt>
          <cx:pt idx="2">1.54b</cx:pt>
          <cx:pt idx="3">1.55a</cx:pt>
          <cx:pt idx="4">1.46b</cx:pt>
          <cx:pt idx="5">1.44b</cx:pt>
        </cx:lvl>
        <cx:lvl ptCount="6">
          <cx:pt idx="0">1.63c</cx:pt>
          <cx:pt idx="1">1.49c</cx:pt>
          <cx:pt idx="2">1.65c</cx:pt>
          <cx:pt idx="3">1.53a</cx:pt>
          <cx:pt idx="4">1.68c</cx:pt>
          <cx:pt idx="5">1.60c</cx:pt>
        </cx:lvl>
        <cx:lvl ptCount="6">
          <cx:pt idx="0">1.26a</cx:pt>
          <cx:pt idx="1">1.17a</cx:pt>
          <cx:pt idx="2">1.36a</cx:pt>
          <cx:pt idx="3">1.56a</cx:pt>
          <cx:pt idx="4">1.22a</cx:pt>
          <cx:pt idx="5">1.31a</cx:pt>
        </cx:lvl>
        <cx:lvl ptCount="6">
          <cx:pt idx="0">1.83d</cx:pt>
          <cx:pt idx="1">1.61d</cx:pt>
          <cx:pt idx="2">1.76d</cx:pt>
          <cx:pt idx="3">2.10c</cx:pt>
          <cx:pt idx="4">1.91d</cx:pt>
          <cx:pt idx="5">1.84d</cx:pt>
        </cx:lvl>
        <cx:lvl ptCount="6">
          <cx:pt idx="0">1 Weeks</cx:pt>
          <cx:pt idx="1">2 Weeks</cx:pt>
          <cx:pt idx="2">3 Weeks</cx:pt>
          <cx:pt idx="3">4 Weeks</cx:pt>
          <cx:pt idx="4">5 Weeks</cx:pt>
          <cx:pt idx="5">Mean</cx:pt>
        </cx:lvl>
      </cx:strDim>
      <cx:numDim type="val">
        <cx:f>Sheet1!$H$50:$H$55</cx:f>
        <cx:lvl ptCount="6" formatCode="General">
          <cx:pt idx="0">0.025000000000000001</cx:pt>
          <cx:pt idx="1">0.023</cx:pt>
          <cx:pt idx="2">0.021000000000000001</cx:pt>
          <cx:pt idx="3">0.024</cx:pt>
          <cx:pt idx="4">0.017999999999999999</cx:pt>
          <cx:pt idx="5">0.021999999999999999</cx:pt>
        </cx:lvl>
      </cx:numDim>
    </cx:data>
  </cx:chartData>
  <cx:chart>
    <cx:title pos="t" align="ctr" overlay="0">
      <cx:tx>
        <cx:rich>
          <a:bodyPr spcFirstLastPara="1" vertOverflow="ellipsis" horzOverflow="overflow" wrap="square" lIns="0" tIns="0" rIns="0" bIns="0"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a:pPr>
            <a:r>
              <a:rPr lang="en-GB" sz="12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Feed Conversion Ratio</a:t>
            </a:r>
            <a:endParaRPr lang="en-US" sz="12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endParaRPr>
          </a:p>
        </cx:rich>
      </cx:tx>
    </cx:title>
    <cx:plotArea>
      <cx:plotAreaRegion>
        <cx:series layoutId="clusteredColumn" uniqueId="{1E1369FD-A798-41A4-97CE-A37A239FE447}">
          <cx:tx>
            <cx:txData>
              <cx:f>Sheet1!$H$48:$H$49</cx:f>
              <cx:v>SEM</cx:v>
            </cx:txData>
          </cx:tx>
          <cx:dataId val="0"/>
          <cx:layoutPr>
            <cx:aggregation/>
          </cx:layoutPr>
          <cx:axisId val="1"/>
        </cx:series>
        <cx:series layoutId="paretoLine" ownerIdx="0" uniqueId="{A89C0D23-4098-497F-8468-A2B0DA438327}">
          <cx:axisId val="2"/>
        </cx:series>
      </cx:plotAreaRegion>
      <cx:axis id="0">
        <cx:catScaling gapWidth="0"/>
        <cx:tickLabels/>
      </cx:axis>
      <cx:axis id="1">
        <cx:valScaling/>
        <cx:majorGridlines/>
        <cx:tickLabels/>
      </cx:axis>
      <cx:axis id="2">
        <cx:valScaling max="1" min="0"/>
        <cx:units unit="percentage"/>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11</Pages>
  <Words>4248</Words>
  <Characters>24216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18</cp:revision>
  <dcterms:created xsi:type="dcterms:W3CDTF">2026-09-24T08:49:00Z</dcterms:created>
  <dcterms:modified xsi:type="dcterms:W3CDTF">2026-09-28T12:11:00Z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c1e22729-0a09-46fa-a094-469922cbd4f4</vt:lpwstr>
  </property>
</Properties>
</file>