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8CCF2" w14:textId="77777777" w:rsidR="00285028" w:rsidRDefault="00842715" w:rsidP="005251E5">
      <w:pPr>
        <w:pStyle w:val="Title"/>
        <w:spacing w:before="0" w:after="0" w:line="360" w:lineRule="auto"/>
        <w:contextualSpacing/>
        <w:rPr>
          <w:rFonts w:ascii="Times New Roman Regular" w:hAnsi="Times New Roman Regular" w:cs="Times New Roman Regular"/>
          <w:i/>
          <w:color w:val="FF0000"/>
          <w:spacing w:val="-4"/>
          <w:sz w:val="28"/>
          <w:szCs w:val="28"/>
        </w:rPr>
      </w:pPr>
      <w:r>
        <w:rPr>
          <w:rFonts w:ascii="Times New Roman Regular" w:hAnsi="Times New Roman Regular" w:cs="Times New Roman Regular"/>
          <w:sz w:val="28"/>
          <w:szCs w:val="28"/>
        </w:rPr>
        <w:t xml:space="preserve">Effect of Ascorbic Acid against </w:t>
      </w:r>
      <w:r>
        <w:rPr>
          <w:rFonts w:ascii="Times New Roman Regular" w:hAnsi="Times New Roman Regular" w:cs="Times New Roman Regular"/>
          <w:spacing w:val="-8"/>
          <w:sz w:val="28"/>
          <w:szCs w:val="28"/>
        </w:rPr>
        <w:t xml:space="preserve">Organophosphate Pesticide </w:t>
      </w:r>
      <w:r>
        <w:rPr>
          <w:rFonts w:ascii="Times New Roman Regular" w:hAnsi="Times New Roman Regular" w:cs="Times New Roman Regular"/>
          <w:sz w:val="28"/>
          <w:szCs w:val="28"/>
        </w:rPr>
        <w:t xml:space="preserve">Dimethoate Induced in Freshwater Fish </w:t>
      </w:r>
      <w:r>
        <w:rPr>
          <w:rFonts w:ascii="Times New Roman Regular" w:hAnsi="Times New Roman Regular" w:cs="Times New Roman Regular"/>
          <w:i/>
          <w:sz w:val="28"/>
          <w:szCs w:val="28"/>
        </w:rPr>
        <w:t>Channa punctatus</w:t>
      </w:r>
    </w:p>
    <w:p w14:paraId="4A431608" w14:textId="77777777" w:rsidR="003B4EB3" w:rsidRDefault="003B4EB3" w:rsidP="008149B1">
      <w:pPr>
        <w:spacing w:after="0" w:line="360" w:lineRule="auto"/>
        <w:contextualSpacing/>
        <w:jc w:val="both"/>
        <w:rPr>
          <w:rFonts w:ascii="Times New Roman Regular" w:hAnsi="Times New Roman Regular" w:cs="Times New Roman Regular"/>
          <w:b/>
          <w:bCs/>
        </w:rPr>
      </w:pPr>
    </w:p>
    <w:p w14:paraId="459CCB8F" w14:textId="77777777" w:rsidR="003B4EB3" w:rsidRDefault="003B4EB3" w:rsidP="008149B1">
      <w:pPr>
        <w:spacing w:after="0" w:line="360" w:lineRule="auto"/>
        <w:contextualSpacing/>
        <w:jc w:val="both"/>
        <w:rPr>
          <w:rFonts w:ascii="Times New Roman Regular" w:hAnsi="Times New Roman Regular" w:cs="Times New Roman Regular"/>
          <w:b/>
          <w:bCs/>
        </w:rPr>
      </w:pPr>
    </w:p>
    <w:p w14:paraId="6DA9A6B5" w14:textId="0AB10F18" w:rsidR="00285028" w:rsidRDefault="00842715" w:rsidP="008149B1">
      <w:pPr>
        <w:spacing w:after="0" w:line="360" w:lineRule="auto"/>
        <w:contextualSpacing/>
        <w:jc w:val="both"/>
        <w:rPr>
          <w:rFonts w:ascii="Times New Roman Regular" w:hAnsi="Times New Roman Regular" w:cs="Times New Roman Regular"/>
          <w:b/>
          <w:bCs/>
        </w:rPr>
      </w:pPr>
      <w:r>
        <w:rPr>
          <w:rFonts w:ascii="Times New Roman Regular" w:hAnsi="Times New Roman Regular" w:cs="Times New Roman Regular"/>
          <w:b/>
          <w:bCs/>
        </w:rPr>
        <w:t>ABSTRACT</w:t>
      </w:r>
    </w:p>
    <w:p w14:paraId="3A5D2A63" w14:textId="71AF0DA6" w:rsidR="008149B1" w:rsidRDefault="008149B1" w:rsidP="008149B1">
      <w:pPr>
        <w:spacing w:after="0" w:line="360" w:lineRule="auto"/>
        <w:contextualSpacing/>
        <w:jc w:val="both"/>
        <w:rPr>
          <w:rFonts w:ascii="Times New Roman Regular" w:eastAsia="SimSun" w:hAnsi="Times New Roman Regular" w:cs="Times New Roman Regular" w:hint="eastAsia"/>
          <w:color w:val="000000"/>
          <w:sz w:val="24"/>
          <w:szCs w:val="24"/>
          <w:lang w:eastAsia="zh-CN" w:bidi="mr-IN"/>
        </w:rPr>
      </w:pPr>
      <w:r>
        <w:rPr>
          <w:rFonts w:ascii="Times New Roman Regular" w:eastAsia="SimSun" w:hAnsi="Times New Roman Regular" w:cs="Times New Roman Regular" w:hint="eastAsia"/>
          <w:color w:val="000000"/>
          <w:sz w:val="24"/>
          <w:szCs w:val="24"/>
          <w:lang w:eastAsia="zh-CN" w:bidi="mr-IN"/>
        </w:rPr>
        <w:t xml:space="preserve">Biochemical homeostasis in freshwater fish might be disturbed by pesticide contamination; however, tissue-specific responses of antioxidant metabolites to prolonged dimethoate exposure are not well understood. In the present study, changes in ascorbic acid in the liver, gills, and muscle tissues of Channa punctatus exposed to three sublethal concentrations of dimethoate (53.4, 26.6, and 17.8 ppm) were examined. A colorimetric hydrazine-based technique was used to quantify ascorbic acid in dried tissues, and responses were compared with control tissues without ascorbic acid treatment. Dimethoate caused significant, tissue-specific changes in ascorbic acid. Hepatic concentrations increased significantly from 5.6487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0.4048 mg/100 mg dry weight in controls to 7.6054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0.3092, 7.4705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0.2024, and 7.4300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0.2142 mg/100 mg at 53.4, 26.6, and 17.8 ppm, respectively. Muscle concentrations also increased, reaching 7.2681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0.4048 mg/100 mg at the highest exposure. Gills, on the other hand, were significantly lower and worst affected at 53.4 ppm. These different responses demonstrate exquisite tissue specificity in ascorbate homeostasis during chronic sublethal pesticide stress. The results extend the usefulness of tissue-resolved ascorbic acid responses as informative biochemical indicators to assess dimethoate-induced stress in freshwater fish and suggest a potential for using this type of antioxidant biomarker in combination with other ecotoxicological assessments of freshwater contamination.</w:t>
      </w:r>
    </w:p>
    <w:p w14:paraId="1E8AFF7F" w14:textId="60265A25" w:rsidR="00285028" w:rsidRDefault="00842715" w:rsidP="008149B1">
      <w:pPr>
        <w:spacing w:after="0" w:line="360" w:lineRule="auto"/>
        <w:contextualSpacing/>
        <w:jc w:val="both"/>
        <w:rPr>
          <w:rFonts w:ascii="Times New Roman Regular" w:hAnsi="Times New Roman Regular" w:cs="Times New Roman Regular"/>
        </w:rPr>
      </w:pPr>
      <w:r>
        <w:rPr>
          <w:rFonts w:ascii="Times New Roman" w:hAnsi="Times New Roman" w:cs="Times New Roman"/>
          <w:b/>
          <w:bCs/>
          <w:iCs/>
          <w:sz w:val="24"/>
          <w:szCs w:val="24"/>
        </w:rPr>
        <w:t>Keywords</w:t>
      </w:r>
      <w:r>
        <w:rPr>
          <w:rFonts w:ascii="Times New Roman" w:hAnsi="Times New Roman" w:cs="Times New Roman"/>
          <w:i/>
          <w:sz w:val="24"/>
          <w:szCs w:val="24"/>
        </w:rPr>
        <w:t>:</w:t>
      </w:r>
      <w:r>
        <w:rPr>
          <w:rFonts w:ascii="Times New Roman" w:hAnsi="Times New Roman" w:cs="Times New Roman"/>
          <w:i/>
          <w:spacing w:val="-5"/>
          <w:sz w:val="24"/>
          <w:szCs w:val="24"/>
        </w:rPr>
        <w:t xml:space="preserve"> </w:t>
      </w:r>
      <w:r>
        <w:rPr>
          <w:rFonts w:ascii="Times New Roman" w:hAnsi="Times New Roman" w:cs="Times New Roman"/>
          <w:iCs/>
          <w:sz w:val="24"/>
          <w:szCs w:val="24"/>
        </w:rPr>
        <w:t>Ascorbic</w:t>
      </w:r>
      <w:r>
        <w:rPr>
          <w:rFonts w:ascii="Times New Roman" w:hAnsi="Times New Roman" w:cs="Times New Roman"/>
          <w:iCs/>
          <w:spacing w:val="-5"/>
          <w:sz w:val="24"/>
          <w:szCs w:val="24"/>
        </w:rPr>
        <w:t xml:space="preserve"> </w:t>
      </w:r>
      <w:r>
        <w:rPr>
          <w:rFonts w:ascii="Times New Roman" w:hAnsi="Times New Roman" w:cs="Times New Roman"/>
          <w:iCs/>
          <w:sz w:val="24"/>
          <w:szCs w:val="24"/>
        </w:rPr>
        <w:t>acid, Liver,</w:t>
      </w:r>
      <w:r>
        <w:rPr>
          <w:rFonts w:ascii="Times New Roman" w:hAnsi="Times New Roman" w:cs="Times New Roman"/>
          <w:iCs/>
          <w:spacing w:val="-7"/>
          <w:sz w:val="24"/>
          <w:szCs w:val="24"/>
        </w:rPr>
        <w:t xml:space="preserve"> </w:t>
      </w:r>
      <w:r>
        <w:rPr>
          <w:rFonts w:ascii="Times New Roman" w:hAnsi="Times New Roman" w:cs="Times New Roman"/>
          <w:iCs/>
          <w:sz w:val="24"/>
          <w:szCs w:val="24"/>
        </w:rPr>
        <w:t xml:space="preserve">Muscle, </w:t>
      </w:r>
      <w:r>
        <w:rPr>
          <w:rFonts w:ascii="Times New Roman" w:hAnsi="Times New Roman" w:cs="Times New Roman"/>
          <w:iCs/>
          <w:spacing w:val="-2"/>
          <w:sz w:val="24"/>
          <w:szCs w:val="24"/>
        </w:rPr>
        <w:t xml:space="preserve">Gills, </w:t>
      </w:r>
      <w:r>
        <w:rPr>
          <w:rFonts w:ascii="Times New Roman" w:hAnsi="Times New Roman" w:cs="Times New Roman"/>
          <w:iCs/>
          <w:sz w:val="24"/>
          <w:szCs w:val="24"/>
        </w:rPr>
        <w:t>Dimethoate</w:t>
      </w:r>
      <w:r>
        <w:rPr>
          <w:rFonts w:ascii="Times New Roman" w:hAnsi="Times New Roman" w:cs="Times New Roman"/>
          <w:iCs/>
          <w:spacing w:val="-2"/>
          <w:sz w:val="24"/>
          <w:szCs w:val="24"/>
        </w:rPr>
        <w:t xml:space="preserve"> and </w:t>
      </w:r>
      <w:r>
        <w:rPr>
          <w:rFonts w:ascii="Times New Roman" w:hAnsi="Times New Roman" w:cs="Times New Roman"/>
          <w:i/>
          <w:sz w:val="24"/>
          <w:szCs w:val="24"/>
        </w:rPr>
        <w:t>Channa punctatus.</w:t>
      </w:r>
    </w:p>
    <w:p w14:paraId="11349737" w14:textId="77777777" w:rsidR="008149B1" w:rsidRDefault="008149B1" w:rsidP="008149B1">
      <w:pPr>
        <w:spacing w:after="0" w:line="360" w:lineRule="auto"/>
        <w:contextualSpacing/>
        <w:jc w:val="both"/>
        <w:rPr>
          <w:rFonts w:ascii="Times New Roman Regular" w:hAnsi="Times New Roman Regular" w:cs="Times New Roman Regular"/>
          <w:b/>
          <w:bCs/>
          <w:sz w:val="24"/>
          <w:szCs w:val="24"/>
        </w:rPr>
      </w:pPr>
    </w:p>
    <w:p w14:paraId="0E8FDBCC" w14:textId="77777777" w:rsidR="008149B1" w:rsidRDefault="008149B1" w:rsidP="008149B1">
      <w:pPr>
        <w:spacing w:after="0" w:line="360" w:lineRule="auto"/>
        <w:contextualSpacing/>
        <w:jc w:val="both"/>
        <w:rPr>
          <w:rFonts w:ascii="Times New Roman Regular" w:hAnsi="Times New Roman Regular" w:cs="Times New Roman Regular"/>
          <w:b/>
          <w:bCs/>
          <w:sz w:val="24"/>
          <w:szCs w:val="24"/>
        </w:rPr>
      </w:pPr>
    </w:p>
    <w:p w14:paraId="6F288B3F" w14:textId="77777777" w:rsidR="008149B1" w:rsidRDefault="008149B1" w:rsidP="008149B1">
      <w:pPr>
        <w:spacing w:after="0" w:line="360" w:lineRule="auto"/>
        <w:contextualSpacing/>
        <w:jc w:val="both"/>
        <w:rPr>
          <w:rFonts w:ascii="Times New Roman Regular" w:hAnsi="Times New Roman Regular" w:cs="Times New Roman Regular"/>
          <w:b/>
          <w:bCs/>
          <w:sz w:val="24"/>
          <w:szCs w:val="24"/>
        </w:rPr>
      </w:pPr>
    </w:p>
    <w:p w14:paraId="7469DAED" w14:textId="3FEFD76F" w:rsidR="00285028" w:rsidRDefault="00842715" w:rsidP="008149B1">
      <w:pPr>
        <w:spacing w:after="0" w:line="360" w:lineRule="auto"/>
        <w:contextualSpacing/>
        <w:jc w:val="both"/>
        <w:rPr>
          <w:rFonts w:ascii="Times New Roman Regular" w:hAnsi="Times New Roman Regular" w:cs="Times New Roman Regular"/>
          <w:b/>
          <w:bCs/>
          <w:sz w:val="24"/>
          <w:szCs w:val="24"/>
        </w:rPr>
      </w:pPr>
      <w:r>
        <w:rPr>
          <w:rFonts w:ascii="Times New Roman Regular" w:hAnsi="Times New Roman Regular" w:cs="Times New Roman Regular"/>
          <w:b/>
          <w:bCs/>
          <w:sz w:val="24"/>
          <w:szCs w:val="24"/>
        </w:rPr>
        <w:t>1. Introduction</w:t>
      </w:r>
    </w:p>
    <w:p w14:paraId="7E7C3214" w14:textId="77777777" w:rsidR="00271A11" w:rsidRDefault="00271A11" w:rsidP="008149B1">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Agricultural contaminants are constantly introduced into freshwater ecosystems, and pesticides are a major contributor to anthropogenic stressors because their environmental persistence, transport, and biological uptake can create long-term chemical stress for non-target aquatic organisms (</w:t>
      </w:r>
      <w:proofErr w:type="spellStart"/>
      <w:r>
        <w:rPr>
          <w:rFonts w:ascii="Times New Roman" w:hAnsi="Times New Roman" w:cs="Times New Roman"/>
          <w:sz w:val="24"/>
          <w:szCs w:val="24"/>
        </w:rPr>
        <w:t>Mojiri</w:t>
      </w:r>
      <w:proofErr w:type="spellEnd"/>
      <w:r>
        <w:rPr>
          <w:rFonts w:ascii="Times New Roman" w:hAnsi="Times New Roman" w:cs="Times New Roman"/>
          <w:sz w:val="24"/>
          <w:szCs w:val="24"/>
        </w:rPr>
        <w:t xml:space="preserve"> et al., 2020). Fish are </w:t>
      </w:r>
      <w:r>
        <w:rPr>
          <w:rFonts w:ascii="Times New Roman" w:hAnsi="Times New Roman" w:cs="Times New Roman"/>
          <w:sz w:val="24"/>
          <w:szCs w:val="24"/>
        </w:rPr>
        <w:lastRenderedPageBreak/>
        <w:t xml:space="preserve">especially sensitive indicator species, as they can provide evidence of contamination at the biochemical, physiological, hematological, and tissue levels of organismal stress (Bojarski &amp; </w:t>
      </w:r>
      <w:proofErr w:type="spellStart"/>
      <w:r>
        <w:rPr>
          <w:rFonts w:ascii="Times New Roman" w:hAnsi="Times New Roman" w:cs="Times New Roman"/>
          <w:sz w:val="24"/>
          <w:szCs w:val="24"/>
        </w:rPr>
        <w:t>Witeska</w:t>
      </w:r>
      <w:proofErr w:type="spellEnd"/>
      <w:r>
        <w:rPr>
          <w:rFonts w:ascii="Times New Roman" w:hAnsi="Times New Roman" w:cs="Times New Roman"/>
          <w:sz w:val="24"/>
          <w:szCs w:val="24"/>
        </w:rPr>
        <w:t xml:space="preserve">, 2020). Moreover, modern research consistently shows that pesticides have toxic effects on fish, not only through acute mortality but also by causing cellular lesions and damage to organs and tissues, as well as oxidative imbalance and genotoxicity (Rana et al., 2024). </w:t>
      </w:r>
    </w:p>
    <w:p w14:paraId="7D9A30A8" w14:textId="77777777" w:rsidR="00271A11" w:rsidRDefault="00271A11" w:rsidP="008149B1">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toxicity of organophosphate pesticides is especially alarming because it disrupts basic biological processes in non-target species (George &amp; Shukla, 2011). Due to its organophosphate group activity, dimethoate is therefore germane to freshwater ecotoxicology, as a recent laboratory study on the fish Channa punctatus has shown that its effects are concentration-dependent and that this species exhibits high levels of behavioral response after exposure (Chandra &amp; Rishita, 2025). Exposure to other organophosphates in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further shows that toxicity can induce complex hematological, histopathological, and genotoxic disturbances across multiple levels of biological function; this research confirms that toxicity extends in time (duration) and in space (across several biological functions) (Ahmed et al., 2025). Likewise, biochemical endpoints are highly sensitive to the stress encountered during exposure to chlorpyrifos, demonstrating altered protein metabolism even in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(Naik, 2025). </w:t>
      </w:r>
    </w:p>
    <w:p w14:paraId="1F49A5ED" w14:textId="77777777" w:rsidR="00271A11" w:rsidRDefault="00271A11" w:rsidP="008149B1">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Disruption of cellular redox homeostasis is increasingly linked to toxic effects and to pesticide toxicity. There is an association between pesticide exposure in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and changes in biochemical indices, as well as altered expression of molecular biomarkers related to oxidative and endoplasmic reticulum stress pathways (Khan et al., 2024). Thus, EXPs and chronic pesticide exposure may also contribute to oxidative injury in physiologically specialized tissues, such as reproductive organs, where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showed reduced ovarian development associated with redox-mediated injury (Jain et al., 2025). These observations support the view that the endogenous antioxidant response should be considered a biologically informative measure of pesticide-induced stress, not merely a consequence of pesticide toxicity. </w:t>
      </w:r>
    </w:p>
    <w:p w14:paraId="676F498A" w14:textId="77777777" w:rsidR="00271A11" w:rsidRDefault="00271A11" w:rsidP="008149B1">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Given the role of ascorbic acid in antioxidant defense and cellular homeostasis, it is especially interesting and has precedent for investigating its role as a biochemical modulator of the stress imposed on fish by pesticides. Ascorbic acid supplementation was found to reduce the stress effects of deltamethrin in Clarias </w:t>
      </w:r>
      <w:proofErr w:type="spellStart"/>
      <w:r>
        <w:rPr>
          <w:rFonts w:ascii="Times New Roman" w:hAnsi="Times New Roman" w:cs="Times New Roman"/>
          <w:sz w:val="24"/>
          <w:szCs w:val="24"/>
        </w:rPr>
        <w:t>gariepinus</w:t>
      </w:r>
      <w:proofErr w:type="spellEnd"/>
      <w:r>
        <w:rPr>
          <w:rFonts w:ascii="Times New Roman" w:hAnsi="Times New Roman" w:cs="Times New Roman"/>
          <w:sz w:val="24"/>
          <w:szCs w:val="24"/>
        </w:rPr>
        <w:t xml:space="preserve">, which may </w:t>
      </w:r>
      <w:r>
        <w:rPr>
          <w:rFonts w:ascii="Times New Roman" w:hAnsi="Times New Roman" w:cs="Times New Roman"/>
          <w:sz w:val="24"/>
          <w:szCs w:val="24"/>
        </w:rPr>
        <w:lastRenderedPageBreak/>
        <w:t xml:space="preserve">indicate the need to introduce vitamin C to help normalize the stress that pesticides create in fish (Datta &amp; Kaviraj, 2003). Similar protective effects have been observed following </w:t>
      </w:r>
      <w:proofErr w:type="spellStart"/>
      <w:r>
        <w:rPr>
          <w:rFonts w:ascii="Times New Roman" w:hAnsi="Times New Roman" w:cs="Times New Roman"/>
          <w:sz w:val="24"/>
          <w:szCs w:val="24"/>
        </w:rPr>
        <w:t>fenvalerate</w:t>
      </w:r>
      <w:proofErr w:type="spellEnd"/>
      <w:r>
        <w:rPr>
          <w:rFonts w:ascii="Times New Roman" w:hAnsi="Times New Roman" w:cs="Times New Roman"/>
          <w:sz w:val="24"/>
          <w:szCs w:val="24"/>
        </w:rPr>
        <w:t xml:space="preserve"> exposure, with dietary ascorbic acid treatment reducing chronic toxicity in C. </w:t>
      </w:r>
      <w:proofErr w:type="spellStart"/>
      <w:r>
        <w:rPr>
          <w:rFonts w:ascii="Times New Roman" w:hAnsi="Times New Roman" w:cs="Times New Roman"/>
          <w:sz w:val="24"/>
          <w:szCs w:val="24"/>
        </w:rPr>
        <w:t>gariepinus</w:t>
      </w:r>
      <w:proofErr w:type="spellEnd"/>
      <w:r>
        <w:rPr>
          <w:rFonts w:ascii="Times New Roman" w:hAnsi="Times New Roman" w:cs="Times New Roman"/>
          <w:sz w:val="24"/>
          <w:szCs w:val="24"/>
        </w:rPr>
        <w:t xml:space="preserve"> (Datta &amp; Kaviraj, 2006). Experimental evidence further suggests that ascorbic acid can reduce the toxicity-inducing effects of pesticides in Clarias </w:t>
      </w:r>
      <w:proofErr w:type="spellStart"/>
      <w:r>
        <w:rPr>
          <w:rFonts w:ascii="Times New Roman" w:hAnsi="Times New Roman" w:cs="Times New Roman"/>
          <w:sz w:val="24"/>
          <w:szCs w:val="24"/>
        </w:rPr>
        <w:t>batrachus</w:t>
      </w:r>
      <w:proofErr w:type="spellEnd"/>
      <w:r>
        <w:rPr>
          <w:rFonts w:ascii="Times New Roman" w:hAnsi="Times New Roman" w:cs="Times New Roman"/>
          <w:sz w:val="24"/>
          <w:szCs w:val="24"/>
        </w:rPr>
        <w:t xml:space="preserve"> and thus is a pertinent candidate for the most relevant antioxidant intervention in aquatic toxicology (</w:t>
      </w:r>
      <w:proofErr w:type="spellStart"/>
      <w:r>
        <w:rPr>
          <w:rFonts w:ascii="Times New Roman" w:hAnsi="Times New Roman" w:cs="Times New Roman"/>
          <w:sz w:val="24"/>
          <w:szCs w:val="24"/>
        </w:rPr>
        <w:t>Jigyasu</w:t>
      </w:r>
      <w:proofErr w:type="spellEnd"/>
      <w:r>
        <w:rPr>
          <w:rFonts w:ascii="Times New Roman" w:hAnsi="Times New Roman" w:cs="Times New Roman"/>
          <w:sz w:val="24"/>
          <w:szCs w:val="24"/>
        </w:rPr>
        <w:t xml:space="preserve"> &amp; Paul, 2020). </w:t>
      </w:r>
    </w:p>
    <w:p w14:paraId="3365282C" w14:textId="77777777" w:rsidR="00271A11" w:rsidRDefault="00271A11" w:rsidP="008149B1">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Although advances have been made, a significant gap remains in the mechanistic picture. Alterations in ascorbic acid levels have been studied in a tissue-specific manner in adult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following pesticide exposure, whereas comparatively less focus has been placed on genotoxic, histopathological, and reproductive changes arising from pesticide exposure, despite recent studies. Tissue-specific ascorbic acid dynamics after pesticide exposure in adult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have been comparatively understudied, and recent years have seen studies on genotoxicity, histopathological, and reproductive changes arising from pesticide exposure. This distinction is significant because the liver, gills, and muscle are structurally distinct compartments with different metabolic profiles and exposure interfaces; thus, they might show different antioxidant responses. Previous studies in freshwater fish exposed to dimethoate indicate that ascorbic acid levels in the gills could decrease, whereas they may increase in liver and muscle tissues, suggesting a differential tissue response that may serve as a sensitive biochemical indicator of pesticide stress (Bhandare et al., 2023). However, the physiological stress caused by dimethoate in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and the interrelationship between this stress, specific tissues, and a reproductive response have yet to be sufficiently resolved. </w:t>
      </w:r>
    </w:p>
    <w:p w14:paraId="4AC2EF2F" w14:textId="77777777" w:rsidR="00271A11" w:rsidRPr="00266C61" w:rsidRDefault="00271A11" w:rsidP="008149B1">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In view of this, the present study was designed to investigate the tissue-specific response to ascorbic acid in the liver, gills, and muscle of </w:t>
      </w:r>
      <w:r w:rsidRPr="00266C61">
        <w:rPr>
          <w:rFonts w:ascii="Times New Roman" w:hAnsi="Times New Roman" w:cs="Times New Roman"/>
          <w:i/>
          <w:iCs/>
          <w:sz w:val="24"/>
          <w:szCs w:val="24"/>
        </w:rPr>
        <w:t>C. punctatus</w:t>
      </w:r>
      <w:r>
        <w:rPr>
          <w:rFonts w:ascii="Times New Roman" w:hAnsi="Times New Roman" w:cs="Times New Roman"/>
          <w:sz w:val="24"/>
          <w:szCs w:val="24"/>
        </w:rPr>
        <w:t xml:space="preserve"> after sublethal exposure to dimethoate, with special attention to differential tissue biochemical responses and the role of ascorbic acid in the antioxidant defense of pesticide-stressed fish. This method is intended to provide a biochemically focused interpretation of pesticide toxicity in aquatic tissues and to help integrate antioxidants into a comprehensive aquatic ecotoxicological indicator set.</w:t>
      </w:r>
    </w:p>
    <w:p w14:paraId="380B24B6" w14:textId="77777777" w:rsidR="00285028" w:rsidRDefault="00842715" w:rsidP="008149B1">
      <w:pPr>
        <w:autoSpaceDE w:val="0"/>
        <w:autoSpaceDN w:val="0"/>
        <w:adjustRightInd w:val="0"/>
        <w:spacing w:after="0" w:line="360" w:lineRule="auto"/>
        <w:contextualSpacing/>
        <w:jc w:val="both"/>
        <w:rPr>
          <w:rFonts w:ascii="Times New Roman Regular" w:hAnsi="Times New Roman Regular" w:cs="Times New Roman Regular"/>
          <w:b/>
          <w:color w:val="000000" w:themeColor="text1"/>
          <w:sz w:val="24"/>
          <w:szCs w:val="24"/>
        </w:rPr>
      </w:pPr>
      <w:r>
        <w:rPr>
          <w:rFonts w:ascii="Times New Roman Regular" w:hAnsi="Times New Roman Regular" w:cs="Times New Roman Regular"/>
          <w:b/>
          <w:color w:val="000000" w:themeColor="text1"/>
          <w:sz w:val="24"/>
          <w:szCs w:val="24"/>
        </w:rPr>
        <w:t>2. Material And Methods</w:t>
      </w:r>
    </w:p>
    <w:p w14:paraId="1E8C3814" w14:textId="77777777" w:rsidR="00285028" w:rsidRDefault="00842715" w:rsidP="008149B1">
      <w:pPr>
        <w:spacing w:after="0" w:line="360" w:lineRule="auto"/>
        <w:contextualSpacing/>
        <w:jc w:val="both"/>
        <w:rPr>
          <w:rFonts w:ascii="Times New Roman Regular" w:eastAsia="SimSun" w:hAnsi="Times New Roman Regular" w:cs="Times New Roman Regular" w:hint="eastAsia"/>
          <w:b/>
          <w:bCs/>
          <w:color w:val="000000" w:themeColor="text1"/>
          <w:sz w:val="24"/>
          <w:szCs w:val="24"/>
          <w:lang w:eastAsia="zh-CN" w:bidi="ar"/>
        </w:rPr>
      </w:pPr>
      <w:r>
        <w:rPr>
          <w:rFonts w:ascii="Times New Roman Regular" w:eastAsia="SimSun" w:hAnsi="Times New Roman Regular" w:cs="Times New Roman Regular"/>
          <w:b/>
          <w:bCs/>
          <w:color w:val="000000" w:themeColor="text1"/>
          <w:sz w:val="24"/>
          <w:szCs w:val="24"/>
          <w:lang w:eastAsia="zh-CN" w:bidi="ar"/>
        </w:rPr>
        <w:t>2.1 Sample Collection</w:t>
      </w:r>
    </w:p>
    <w:p w14:paraId="04502891" w14:textId="77777777" w:rsidR="00285028" w:rsidRDefault="00842715" w:rsidP="008149B1">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pPr>
      <w:r>
        <w:rPr>
          <w:rFonts w:ascii="Times New Roman Regular" w:eastAsia="SimSun" w:hAnsi="Times New Roman Regular" w:cs="Times New Roman Regular"/>
          <w:color w:val="000000" w:themeColor="text1"/>
          <w:sz w:val="24"/>
          <w:szCs w:val="24"/>
          <w:lang w:eastAsia="zh-CN" w:bidi="ar"/>
        </w:rPr>
        <w:lastRenderedPageBreak/>
        <w:t xml:space="preserve">The live </w:t>
      </w:r>
      <w:r>
        <w:rPr>
          <w:rFonts w:ascii="Times New Roman Italic" w:eastAsia="SimSun" w:hAnsi="Times New Roman Italic" w:cs="Times New Roman Italic"/>
          <w:i/>
          <w:iCs/>
          <w:color w:val="000000" w:themeColor="text1"/>
          <w:sz w:val="24"/>
          <w:szCs w:val="24"/>
          <w:lang w:eastAsia="zh-CN" w:bidi="ar"/>
        </w:rPr>
        <w:t>Channa punctatus</w:t>
      </w:r>
      <w:r>
        <w:rPr>
          <w:rFonts w:ascii="Times New Roman Regular" w:eastAsia="SimSun" w:hAnsi="Times New Roman Regular" w:cs="Times New Roman Regular"/>
          <w:color w:val="000000" w:themeColor="text1"/>
          <w:sz w:val="24"/>
          <w:szCs w:val="24"/>
          <w:lang w:eastAsia="zh-CN" w:bidi="ar"/>
        </w:rPr>
        <w:t xml:space="preserve"> specimens were obtained for the biochemical study from the Shivana river near </w:t>
      </w:r>
      <w:proofErr w:type="spellStart"/>
      <w:r>
        <w:rPr>
          <w:rFonts w:ascii="Times New Roman Regular" w:eastAsia="SimSun" w:hAnsi="Times New Roman Regular" w:cs="Times New Roman Regular"/>
          <w:color w:val="000000" w:themeColor="text1"/>
          <w:sz w:val="24"/>
          <w:szCs w:val="24"/>
          <w:lang w:eastAsia="zh-CN" w:bidi="ar"/>
        </w:rPr>
        <w:t>Dhoregaon</w:t>
      </w:r>
      <w:proofErr w:type="spellEnd"/>
      <w:r>
        <w:rPr>
          <w:rFonts w:ascii="Times New Roman Regular" w:eastAsia="SimSun" w:hAnsi="Times New Roman Regular" w:cs="Times New Roman Regular"/>
          <w:color w:val="000000" w:themeColor="text1"/>
          <w:sz w:val="24"/>
          <w:szCs w:val="24"/>
          <w:lang w:eastAsia="zh-CN" w:bidi="ar"/>
        </w:rPr>
        <w:t xml:space="preserve">, which is 26 km away from Ch. Sambhaji Nagar (M.S.), and then transported to the laboratory. The fish underwent a four-week acclimatization period while housed in glass aquariums. Fish that were healthy and had typical behavior after acclimation were chosen for biochemical evaluations. </w:t>
      </w:r>
      <w:r>
        <w:rPr>
          <w:rFonts w:ascii="Times New Roman Regular" w:hAnsi="Times New Roman Regular" w:cs="Times New Roman Regular"/>
          <w:color w:val="000000"/>
          <w:sz w:val="24"/>
          <w:szCs w:val="24"/>
        </w:rPr>
        <w:t xml:space="preserve">The fishes, </w:t>
      </w:r>
      <w:r>
        <w:rPr>
          <w:rFonts w:ascii="Times New Roman Regular" w:hAnsi="Times New Roman Regular" w:cs="Times New Roman Regular"/>
          <w:i/>
          <w:color w:val="000000"/>
          <w:sz w:val="24"/>
          <w:szCs w:val="24"/>
        </w:rPr>
        <w:t>Channa punctatus</w:t>
      </w:r>
      <w:r>
        <w:rPr>
          <w:rFonts w:ascii="Times New Roman Regular" w:hAnsi="Times New Roman Regular" w:cs="Times New Roman Regular"/>
          <w:color w:val="000000"/>
          <w:sz w:val="24"/>
          <w:szCs w:val="24"/>
        </w:rPr>
        <w:t xml:space="preserve"> were selected for the tests. The fishes, </w:t>
      </w:r>
      <w:r>
        <w:rPr>
          <w:rFonts w:ascii="Times New Roman Regular" w:hAnsi="Times New Roman Regular" w:cs="Times New Roman Regular"/>
          <w:i/>
          <w:color w:val="000000"/>
          <w:sz w:val="24"/>
          <w:szCs w:val="24"/>
        </w:rPr>
        <w:t>Channa punctatus</w:t>
      </w:r>
      <w:r>
        <w:rPr>
          <w:rFonts w:ascii="Times New Roman Regular" w:hAnsi="Times New Roman Regular" w:cs="Times New Roman Regular"/>
          <w:color w:val="000000"/>
          <w:sz w:val="24"/>
          <w:szCs w:val="24"/>
        </w:rPr>
        <w:t xml:space="preserve"> ranged from 13 to 15 cm in length and 30 to 32 gm in weight </w:t>
      </w:r>
      <w:r>
        <w:rPr>
          <w:rFonts w:ascii="Times New Roman Regular" w:eastAsia="SimSun" w:hAnsi="Times New Roman Regular" w:cs="Times New Roman Regular"/>
          <w:color w:val="000000" w:themeColor="text1"/>
          <w:sz w:val="24"/>
          <w:szCs w:val="24"/>
          <w:lang w:eastAsia="zh-CN" w:bidi="ar"/>
        </w:rPr>
        <w:t>(Fig. 1)</w:t>
      </w:r>
      <w:r>
        <w:rPr>
          <w:rFonts w:ascii="Times New Roman Regular" w:hAnsi="Times New Roman Regular" w:cs="Times New Roman Regular"/>
          <w:color w:val="000000"/>
          <w:sz w:val="24"/>
          <w:szCs w:val="24"/>
        </w:rPr>
        <w:t>.</w:t>
      </w:r>
    </w:p>
    <w:p w14:paraId="1230F93A" w14:textId="77777777" w:rsidR="00285028" w:rsidRDefault="00842715" w:rsidP="005251E5">
      <w:pPr>
        <w:spacing w:after="0" w:line="360" w:lineRule="auto"/>
        <w:contextualSpacing/>
        <w:jc w:val="center"/>
        <w:rPr>
          <w:sz w:val="24"/>
          <w:szCs w:val="24"/>
        </w:rPr>
      </w:pPr>
      <w:r>
        <w:rPr>
          <w:noProof/>
          <w:sz w:val="24"/>
          <w:szCs w:val="24"/>
        </w:rPr>
        <w:drawing>
          <wp:inline distT="0" distB="0" distL="114300" distR="114300" wp14:anchorId="076B768C" wp14:editId="40AF8751">
            <wp:extent cx="2760345" cy="1771650"/>
            <wp:effectExtent l="0" t="0" r="8255" b="6350"/>
            <wp:docPr id="76805" name="Picture 76804" descr="DSC0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5" name="Picture 76804" descr="DSC03999"/>
                    <pic:cNvPicPr>
                      <a:picLocks noChangeAspect="1"/>
                    </pic:cNvPicPr>
                  </pic:nvPicPr>
                  <pic:blipFill>
                    <a:blip r:embed="rId7">
                      <a:lum bright="24000" contrast="42000"/>
                    </a:blip>
                    <a:srcRect b="7489"/>
                    <a:stretch>
                      <a:fillRect/>
                    </a:stretch>
                  </pic:blipFill>
                  <pic:spPr>
                    <a:xfrm>
                      <a:off x="0" y="0"/>
                      <a:ext cx="2760345" cy="1771650"/>
                    </a:xfrm>
                    <a:prstGeom prst="rect">
                      <a:avLst/>
                    </a:prstGeom>
                    <a:noFill/>
                    <a:ln w="57150" cap="flat" cmpd="thinThick">
                      <a:noFill/>
                      <a:prstDash val="solid"/>
                      <a:miter/>
                      <a:headEnd type="none" w="med" len="med"/>
                      <a:tailEnd type="none" w="med" len="med"/>
                    </a:ln>
                  </pic:spPr>
                </pic:pic>
              </a:graphicData>
            </a:graphic>
          </wp:inline>
        </w:drawing>
      </w:r>
    </w:p>
    <w:p w14:paraId="7BD5E289" w14:textId="2C8FBE3E" w:rsidR="00285028" w:rsidRDefault="00842715" w:rsidP="005251E5">
      <w:pPr>
        <w:spacing w:after="0" w:line="360" w:lineRule="auto"/>
        <w:contextualSpacing/>
        <w:jc w:val="center"/>
        <w:rPr>
          <w:rFonts w:ascii="Times New Roman Regular" w:eastAsia="SimSun" w:hAnsi="Times New Roman Regular" w:cs="Times New Roman Regular" w:hint="eastAsia"/>
          <w:color w:val="000000" w:themeColor="text1"/>
          <w:sz w:val="24"/>
          <w:szCs w:val="24"/>
          <w:lang w:eastAsia="zh-CN" w:bidi="ar"/>
        </w:rPr>
      </w:pPr>
      <w:r>
        <w:rPr>
          <w:rFonts w:ascii="Times New Roman Regular" w:hAnsi="Times New Roman Regular" w:cs="Times New Roman Regular"/>
          <w:sz w:val="24"/>
          <w:szCs w:val="24"/>
        </w:rPr>
        <w:t xml:space="preserve">Fig. </w:t>
      </w:r>
      <w:proofErr w:type="gramStart"/>
      <w:r>
        <w:rPr>
          <w:rFonts w:ascii="Times New Roman Regular" w:hAnsi="Times New Roman Regular" w:cs="Times New Roman Regular"/>
          <w:sz w:val="24"/>
          <w:szCs w:val="24"/>
        </w:rPr>
        <w:t>1.</w:t>
      </w:r>
      <w:r>
        <w:rPr>
          <w:rFonts w:ascii="Times New Roman Italic" w:eastAsia="SimSun" w:hAnsi="Times New Roman Italic" w:cs="Times New Roman Italic"/>
          <w:i/>
          <w:iCs/>
          <w:sz w:val="24"/>
          <w:szCs w:val="24"/>
          <w:lang w:eastAsia="zh-CN" w:bidi="ar"/>
        </w:rPr>
        <w:t>Channa</w:t>
      </w:r>
      <w:proofErr w:type="gramEnd"/>
      <w:r>
        <w:rPr>
          <w:rFonts w:ascii="Times New Roman Italic" w:eastAsia="SimSun" w:hAnsi="Times New Roman Italic" w:cs="Times New Roman Italic"/>
          <w:i/>
          <w:iCs/>
          <w:sz w:val="24"/>
          <w:szCs w:val="24"/>
          <w:lang w:eastAsia="zh-CN" w:bidi="ar"/>
        </w:rPr>
        <w:t xml:space="preserve"> punctatus</w:t>
      </w:r>
      <w:r>
        <w:rPr>
          <w:rFonts w:ascii="Times New Roman" w:eastAsia="SimSun" w:hAnsi="Times New Roman" w:cs="Times New Roman"/>
          <w:sz w:val="24"/>
          <w:szCs w:val="24"/>
          <w:lang w:eastAsia="zh-CN" w:bidi="ar"/>
        </w:rPr>
        <w:t xml:space="preserve"> fish in </w:t>
      </w:r>
      <w:proofErr w:type="gramStart"/>
      <w:r>
        <w:rPr>
          <w:rFonts w:ascii="Times New Roman Regular" w:eastAsia="SimSun" w:hAnsi="Times New Roman Regular" w:cs="Times New Roman Regular"/>
          <w:color w:val="000000" w:themeColor="text1"/>
          <w:sz w:val="24"/>
          <w:szCs w:val="24"/>
          <w:lang w:eastAsia="zh-CN" w:bidi="ar"/>
        </w:rPr>
        <w:t>Shivana river</w:t>
      </w:r>
      <w:proofErr w:type="gramEnd"/>
      <w:r>
        <w:rPr>
          <w:rFonts w:ascii="Times New Roman Regular" w:eastAsia="SimSun" w:hAnsi="Times New Roman Regular" w:cs="Times New Roman Regular"/>
          <w:color w:val="000000" w:themeColor="text1"/>
          <w:sz w:val="24"/>
          <w:szCs w:val="24"/>
          <w:lang w:eastAsia="zh-CN" w:bidi="ar"/>
        </w:rPr>
        <w:t>.</w:t>
      </w:r>
    </w:p>
    <w:p w14:paraId="57609203" w14:textId="77777777" w:rsidR="00285028" w:rsidRDefault="00842715" w:rsidP="008149B1">
      <w:pPr>
        <w:spacing w:after="0" w:line="360" w:lineRule="auto"/>
        <w:contextualSpacing/>
        <w:jc w:val="both"/>
        <w:rPr>
          <w:rFonts w:ascii="Times New Roman Regular" w:eastAsia="SimSun" w:hAnsi="Times New Roman Regular" w:cs="Times New Roman Regular" w:hint="eastAsia"/>
          <w:b/>
          <w:bCs/>
          <w:color w:val="000000" w:themeColor="text1"/>
          <w:sz w:val="24"/>
          <w:szCs w:val="24"/>
          <w:lang w:eastAsia="zh-CN" w:bidi="ar"/>
        </w:rPr>
      </w:pPr>
      <w:r>
        <w:rPr>
          <w:rFonts w:ascii="Times New Roman Regular" w:eastAsia="SimSun" w:hAnsi="Times New Roman Regular" w:cs="Times New Roman Regular"/>
          <w:b/>
          <w:bCs/>
          <w:color w:val="000000" w:themeColor="text1"/>
          <w:sz w:val="24"/>
          <w:szCs w:val="24"/>
          <w:lang w:eastAsia="zh-CN" w:bidi="ar"/>
        </w:rPr>
        <w:t>2.2 Methodology</w:t>
      </w:r>
    </w:p>
    <w:p w14:paraId="2ECE5AD4" w14:textId="77777777" w:rsidR="00285028" w:rsidRDefault="00842715" w:rsidP="008149B1">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pPr>
      <w:r>
        <w:rPr>
          <w:rFonts w:ascii="Times New Roman Regular" w:hAnsi="Times New Roman Regular" w:cs="Times New Roman Regular"/>
          <w:color w:val="000000"/>
          <w:sz w:val="24"/>
          <w:szCs w:val="24"/>
        </w:rPr>
        <w:t>For the selection of test concentration, some pilot tests were carried out as it is essential to determine the range of toxicity of a particular pesticide. The range of concentration selected was resulted in zero to hundred, percent mortality. In order to maintain the level of the toxicant in the water, water was changed at every 24 hours during the short term or 96 hours exposure.</w:t>
      </w:r>
    </w:p>
    <w:p w14:paraId="3D7F3369" w14:textId="77777777" w:rsidR="00285028" w:rsidRDefault="00842715" w:rsidP="008149B1">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pPr>
      <w:r>
        <w:rPr>
          <w:rFonts w:ascii="Times New Roman Regular" w:eastAsia="SimSun" w:hAnsi="Times New Roman Regular" w:cs="Times New Roman Regular"/>
          <w:color w:val="000000" w:themeColor="text1"/>
          <w:sz w:val="24"/>
          <w:szCs w:val="24"/>
          <w:lang w:eastAsia="zh-CN" w:bidi="ar"/>
        </w:rPr>
        <w:t xml:space="preserve">For 30 days, three sublethal doses of dimethoate were given to the test fish, </w:t>
      </w:r>
      <w:r>
        <w:rPr>
          <w:rFonts w:ascii="Times New Roman Italic" w:eastAsia="SimSun" w:hAnsi="Times New Roman Italic" w:cs="Times New Roman Italic"/>
          <w:i/>
          <w:iCs/>
          <w:color w:val="000000" w:themeColor="text1"/>
          <w:sz w:val="24"/>
          <w:szCs w:val="24"/>
          <w:lang w:eastAsia="zh-CN" w:bidi="ar"/>
        </w:rPr>
        <w:t>Channa Punctatus</w:t>
      </w:r>
      <w:r>
        <w:rPr>
          <w:rFonts w:ascii="Times New Roman Regular" w:eastAsia="SimSun" w:hAnsi="Times New Roman Regular" w:cs="Times New Roman Regular"/>
          <w:color w:val="000000" w:themeColor="text1"/>
          <w:sz w:val="24"/>
          <w:szCs w:val="24"/>
          <w:lang w:eastAsia="zh-CN" w:bidi="ar"/>
        </w:rPr>
        <w:t xml:space="preserve">. A control aquarium was also kept up to date at the same time. Fish from each experimental group were sacrificed on the thirty-first day of exposure, and their liver, gills, and muscle were dried in an oven at 75℃ to 80℃ until a constant weight was reached. The material was then ground into a dry powder. The ascorbic acid was estimated using this powder. The following are the estimating techniques used. </w:t>
      </w:r>
    </w:p>
    <w:p w14:paraId="53E4060E" w14:textId="7532D540" w:rsidR="00285028" w:rsidRDefault="00842715" w:rsidP="008149B1">
      <w:pPr>
        <w:spacing w:after="0" w:line="360" w:lineRule="auto"/>
        <w:contextualSpacing/>
        <w:jc w:val="both"/>
        <w:rPr>
          <w:rFonts w:ascii="Times New Roman" w:eastAsia="Helvetica Neue" w:hAnsi="Times New Roman" w:cs="Times New Roman"/>
          <w:iCs/>
          <w:color w:val="212121"/>
          <w:sz w:val="16"/>
          <w:szCs w:val="16"/>
          <w:shd w:val="clear" w:color="auto" w:fill="FFFFFF"/>
          <w:lang w:eastAsia="zh-CN" w:bidi="ar"/>
        </w:rPr>
      </w:pPr>
      <w:r>
        <w:rPr>
          <w:rFonts w:ascii="Times New Roman Regular" w:eastAsia="SimSun" w:hAnsi="Times New Roman Regular" w:cs="Times New Roman Regular"/>
          <w:b/>
          <w:bCs/>
          <w:color w:val="000000" w:themeColor="text1"/>
          <w:sz w:val="24"/>
          <w:szCs w:val="24"/>
          <w:lang w:eastAsia="zh-CN" w:bidi="ar"/>
        </w:rPr>
        <w:t>2.3 Ascorbic acid estimation</w:t>
      </w:r>
      <w:r>
        <w:rPr>
          <w:rFonts w:ascii="Times New Roman Regular" w:eastAsia="SimSun" w:hAnsi="Times New Roman Regular" w:cs="Times New Roman Regular"/>
          <w:color w:val="000000" w:themeColor="text1"/>
          <w:sz w:val="24"/>
          <w:szCs w:val="24"/>
          <w:lang w:eastAsia="zh-CN" w:bidi="ar"/>
        </w:rPr>
        <w:br/>
        <w:t>Rose's (1967) app</w:t>
      </w:r>
      <w:r w:rsidR="00E87699">
        <w:rPr>
          <w:rFonts w:ascii="Times New Roman Regular" w:eastAsia="SimSun" w:hAnsi="Times New Roman Regular" w:cs="Times New Roman Regular"/>
          <w:color w:val="000000" w:themeColor="text1"/>
          <w:sz w:val="24"/>
          <w:szCs w:val="24"/>
          <w:lang w:eastAsia="zh-CN" w:bidi="ar"/>
        </w:rPr>
        <w:t xml:space="preserve"> </w:t>
      </w:r>
      <w:r>
        <w:rPr>
          <w:rFonts w:ascii="Times New Roman Regular" w:eastAsia="SimSun" w:hAnsi="Times New Roman Regular" w:cs="Times New Roman Regular"/>
          <w:color w:val="000000" w:themeColor="text1"/>
          <w:sz w:val="24"/>
          <w:szCs w:val="24"/>
          <w:lang w:eastAsia="zh-CN" w:bidi="ar"/>
        </w:rPr>
        <w:t>roach was used to estimate ascorbic acid. After the homogenate was previously centrifuged, 1.0 ml of the supernatant was transferred to a test tube. An aliquot of 0.25 ml hydrazine regent was applied to each test tubes. For fifteen minutes, the reaction mixture was submerged in a bath of boiling water. After cooling, 3.0 ml of ice-cold 85% H</w:t>
      </w:r>
      <w:r>
        <w:rPr>
          <w:rFonts w:ascii="Times New Roman Regular" w:eastAsia="SimSun" w:hAnsi="Times New Roman Regular" w:cs="Times New Roman Regular"/>
          <w:color w:val="000000" w:themeColor="text1"/>
          <w:sz w:val="24"/>
          <w:szCs w:val="24"/>
          <w:vertAlign w:val="subscript"/>
          <w:lang w:eastAsia="zh-CN" w:bidi="ar"/>
        </w:rPr>
        <w:t>2</w:t>
      </w:r>
      <w:r>
        <w:rPr>
          <w:rFonts w:ascii="Times New Roman Regular" w:eastAsia="SimSun" w:hAnsi="Times New Roman Regular" w:cs="Times New Roman Regular"/>
          <w:color w:val="000000" w:themeColor="text1"/>
          <w:sz w:val="24"/>
          <w:szCs w:val="24"/>
          <w:lang w:eastAsia="zh-CN" w:bidi="ar"/>
        </w:rPr>
        <w:t>SO</w:t>
      </w:r>
      <w:r>
        <w:rPr>
          <w:rFonts w:ascii="Times New Roman Regular" w:eastAsia="SimSun" w:hAnsi="Times New Roman Regular" w:cs="Times New Roman Regular"/>
          <w:color w:val="000000" w:themeColor="text1"/>
          <w:sz w:val="24"/>
          <w:szCs w:val="24"/>
          <w:vertAlign w:val="subscript"/>
          <w:lang w:eastAsia="zh-CN" w:bidi="ar"/>
        </w:rPr>
        <w:t>4</w:t>
      </w:r>
      <w:r>
        <w:rPr>
          <w:rFonts w:ascii="Times New Roman Regular" w:eastAsia="SimSun" w:hAnsi="Times New Roman Regular" w:cs="Times New Roman Regular"/>
          <w:color w:val="000000" w:themeColor="text1"/>
          <w:sz w:val="24"/>
          <w:szCs w:val="24"/>
          <w:lang w:eastAsia="zh-CN" w:bidi="ar"/>
        </w:rPr>
        <w:t xml:space="preserve"> was added dropwise while being continuously stirred. For thirty </w:t>
      </w:r>
      <w:r>
        <w:rPr>
          <w:rFonts w:ascii="Times New Roman Regular" w:eastAsia="SimSun" w:hAnsi="Times New Roman Regular" w:cs="Times New Roman Regular"/>
          <w:color w:val="000000" w:themeColor="text1"/>
          <w:sz w:val="24"/>
          <w:szCs w:val="24"/>
          <w:lang w:eastAsia="zh-CN" w:bidi="ar"/>
        </w:rPr>
        <w:lastRenderedPageBreak/>
        <w:t xml:space="preserve">minutes, the reaction mixture was maintained at room temperature. Optical density (O.D.) was measured at 530 nm (Devi </w:t>
      </w:r>
      <w:r>
        <w:rPr>
          <w:rFonts w:ascii="Times New Roman Italic" w:eastAsia="SimSun" w:hAnsi="Times New Roman Italic" w:cs="Times New Roman Italic"/>
          <w:i/>
          <w:iCs/>
          <w:color w:val="000000" w:themeColor="text1"/>
          <w:sz w:val="24"/>
          <w:szCs w:val="24"/>
          <w:lang w:eastAsia="zh-CN" w:bidi="ar"/>
        </w:rPr>
        <w:t>et al.</w:t>
      </w:r>
      <w:r>
        <w:rPr>
          <w:rFonts w:ascii="Times New Roman" w:eastAsia="SimSun" w:hAnsi="Times New Roman" w:cs="Times New Roman"/>
          <w:color w:val="000000" w:themeColor="text1"/>
          <w:sz w:val="24"/>
          <w:szCs w:val="24"/>
          <w:lang w:eastAsia="zh-CN" w:bidi="ar"/>
        </w:rPr>
        <w:t xml:space="preserve"> 2017</w:t>
      </w:r>
      <w:r>
        <w:rPr>
          <w:rFonts w:ascii="Times New Roman Regular" w:eastAsia="SimSun" w:hAnsi="Times New Roman Regular" w:cs="Times New Roman Regular"/>
          <w:color w:val="000000" w:themeColor="text1"/>
          <w:sz w:val="24"/>
          <w:szCs w:val="24"/>
          <w:lang w:eastAsia="zh-CN" w:bidi="ar"/>
        </w:rPr>
        <w:t>). Ascorbic acid was utilized as the standard, while a 1.0 ml 10% TCA prepared in a similar manner served as the blank. Standard graphical figures were used to calculate the amount of ascorbic acid present in various tissues</w:t>
      </w:r>
      <w:r>
        <w:rPr>
          <w:rFonts w:ascii="Times New Roman Regular" w:hAnsi="Times New Roman Regular" w:cs="Times New Roman Regular"/>
          <w:color w:val="000000" w:themeColor="text1"/>
          <w:sz w:val="24"/>
          <w:szCs w:val="24"/>
        </w:rPr>
        <w:t xml:space="preserve">. It was expressed as mg of ascorbic acid per 100 mg of dry tissue. </w:t>
      </w:r>
    </w:p>
    <w:p w14:paraId="6DC928CA" w14:textId="77777777" w:rsidR="00285028" w:rsidRDefault="00842715" w:rsidP="008149B1">
      <w:pPr>
        <w:spacing w:after="0" w:line="360" w:lineRule="auto"/>
        <w:contextualSpacing/>
        <w:jc w:val="both"/>
        <w:rPr>
          <w:rFonts w:ascii="Times New Roman Regular" w:hAnsi="Times New Roman Regular" w:cs="Times New Roman Regular"/>
          <w:b/>
          <w:sz w:val="24"/>
          <w:szCs w:val="24"/>
        </w:rPr>
      </w:pPr>
      <w:r>
        <w:rPr>
          <w:rFonts w:ascii="Times New Roman Regular" w:hAnsi="Times New Roman Regular" w:cs="Times New Roman Regular"/>
          <w:b/>
          <w:sz w:val="24"/>
          <w:szCs w:val="24"/>
        </w:rPr>
        <w:t>3. Results</w:t>
      </w:r>
    </w:p>
    <w:p w14:paraId="627D6569" w14:textId="23C1A6CD" w:rsidR="001F4071" w:rsidRDefault="001F4071" w:rsidP="008149B1">
      <w:pPr>
        <w:spacing w:after="0" w:line="360" w:lineRule="auto"/>
        <w:contextualSpacing/>
        <w:jc w:val="both"/>
        <w:rPr>
          <w:rFonts w:ascii="Times New Roman Regular" w:eastAsia="SimSun" w:hAnsi="Times New Roman Regular" w:cs="Times New Roman Regular" w:hint="eastAsia"/>
          <w:sz w:val="24"/>
          <w:szCs w:val="24"/>
          <w:lang w:eastAsia="zh-CN" w:bidi="ar"/>
        </w:rPr>
      </w:pPr>
      <w:r>
        <w:rPr>
          <w:rFonts w:ascii="Times New Roman Regular" w:eastAsia="SimSun" w:hAnsi="Times New Roman Regular" w:cs="Times New Roman Regular" w:hint="eastAsia"/>
          <w:sz w:val="24"/>
          <w:szCs w:val="24"/>
          <w:lang w:eastAsia="zh-CN" w:bidi="ar"/>
        </w:rPr>
        <w:t xml:space="preserve">Three biochemical constituents, namely protein, glycogen, and lipid, and ascorbic acid levels were evaluated in the tissues of </w:t>
      </w:r>
      <w:r w:rsidRPr="001F4071">
        <w:rPr>
          <w:rFonts w:ascii="Times New Roman Regular" w:eastAsia="SimSun" w:hAnsi="Times New Roman Regular" w:cs="Times New Roman Regular" w:hint="eastAsia"/>
          <w:i/>
          <w:iCs/>
          <w:sz w:val="24"/>
          <w:szCs w:val="24"/>
          <w:lang w:eastAsia="zh-CN" w:bidi="ar"/>
        </w:rPr>
        <w:t>C. punctatus</w:t>
      </w:r>
      <w:r>
        <w:rPr>
          <w:rFonts w:ascii="Times New Roman Regular" w:eastAsia="SimSun" w:hAnsi="Times New Roman Regular" w:cs="Times New Roman Regular" w:hint="eastAsia"/>
          <w:sz w:val="24"/>
          <w:szCs w:val="24"/>
          <w:lang w:eastAsia="zh-CN" w:bidi="ar"/>
        </w:rPr>
        <w:t xml:space="preserve"> to assess the biochemical response after a 30-day exposure to a sublethal concentration of dimethoate. Changes in the above parameters were reported as percentages of their respective control values. The mean, standard deviation (SD), and standard error of the mean (SEM) were computed as appropriate. Student's t-test was used to detect statistically significant differences between the experimental and control groups. Significance levels were determined using the procedure first laid out by Fisher and Yates (1963), with significance levels of P&lt;0.10, P&lt;0.05, P&lt;0.01, and P&lt;0.001.</w:t>
      </w:r>
    </w:p>
    <w:p w14:paraId="74DE7689" w14:textId="4A52B883" w:rsidR="00C80CD5" w:rsidRPr="001F4071" w:rsidRDefault="00C80CD5" w:rsidP="008149B1">
      <w:pPr>
        <w:spacing w:after="0" w:line="360" w:lineRule="auto"/>
        <w:contextualSpacing/>
        <w:jc w:val="both"/>
        <w:rPr>
          <w:rFonts w:ascii="Times New Roman Regular" w:eastAsia="SimSun" w:hAnsi="Times New Roman Regular" w:cs="Times New Roman Regular" w:hint="eastAsia"/>
          <w:sz w:val="24"/>
          <w:szCs w:val="24"/>
          <w:lang w:eastAsia="zh-CN" w:bidi="ar"/>
        </w:rPr>
      </w:pPr>
      <w:r w:rsidRPr="00C80CD5">
        <w:rPr>
          <w:rFonts w:ascii="Times New Roman Regular" w:eastAsia="SimSun" w:hAnsi="Times New Roman Regular" w:cs="Times New Roman Regular"/>
          <w:b/>
          <w:bCs/>
          <w:sz w:val="24"/>
          <w:szCs w:val="24"/>
          <w:lang w:eastAsia="zh-CN" w:bidi="ar"/>
        </w:rPr>
        <w:t>3.1 Tissue-specific response of ascorbic acid to dimethoate exposure</w:t>
      </w:r>
    </w:p>
    <w:p w14:paraId="036E8443" w14:textId="3358E88F" w:rsidR="00C80CD5" w:rsidRDefault="006F2A33" w:rsidP="008149B1">
      <w:pPr>
        <w:spacing w:after="0" w:line="360" w:lineRule="auto"/>
        <w:contextualSpacing/>
        <w:jc w:val="both"/>
        <w:rPr>
          <w:rFonts w:ascii="Times New Roman Regular" w:eastAsia="SimSun" w:hAnsi="Times New Roman Regular" w:cs="Times New Roman Regular" w:hint="eastAsia"/>
          <w:sz w:val="24"/>
          <w:szCs w:val="24"/>
          <w:lang w:eastAsia="zh-CN" w:bidi="ar"/>
        </w:rPr>
      </w:pPr>
      <w:r w:rsidRPr="006F2A33">
        <w:rPr>
          <w:rFonts w:ascii="Times New Roman Regular" w:eastAsia="SimSun" w:hAnsi="Times New Roman Regular" w:cs="Times New Roman Regular"/>
          <w:sz w:val="24"/>
          <w:szCs w:val="24"/>
          <w:lang w:eastAsia="zh-CN" w:bidi="ar"/>
        </w:rPr>
        <w:t xml:space="preserve">Exposure to sublethal concentration of dimethoate for 30-days resulted in significant difference in ascorbic acid concentration in various tissues of fish Channa punctatus (Table 1; Fig. 2). In control fish, ascorbic acid concentrations were 5.6487 ± 0.4048 mg/100 mg dry weight in the liver, 3.8269 ± 0.2024 mg/100 mg dry weight in the gills, and 3.0173 ± 0.2024 mg/100 mg dry weight in the muscle. As a result, the ascorbic acid concentration was highest in the liver followed by the gills and muscle in control condition. </w:t>
      </w:r>
    </w:p>
    <w:p w14:paraId="5ED4BFF2" w14:textId="77777777" w:rsidR="00C80CD5" w:rsidRDefault="006F2A33" w:rsidP="008149B1">
      <w:pPr>
        <w:spacing w:after="0" w:line="360" w:lineRule="auto"/>
        <w:contextualSpacing/>
        <w:jc w:val="both"/>
        <w:rPr>
          <w:rFonts w:ascii="Times New Roman Regular" w:eastAsia="SimSun" w:hAnsi="Times New Roman Regular" w:cs="Times New Roman Regular" w:hint="eastAsia"/>
          <w:sz w:val="24"/>
          <w:szCs w:val="24"/>
          <w:lang w:eastAsia="zh-CN" w:bidi="ar"/>
        </w:rPr>
      </w:pPr>
      <w:r w:rsidRPr="006F2A33">
        <w:rPr>
          <w:rFonts w:ascii="Times New Roman Regular" w:eastAsia="SimSun" w:hAnsi="Times New Roman Regular" w:cs="Times New Roman Regular"/>
          <w:sz w:val="24"/>
          <w:szCs w:val="24"/>
          <w:lang w:eastAsia="zh-CN" w:bidi="ar"/>
        </w:rPr>
        <w:t xml:space="preserve">Exposure to dimethoate caused a marked increase in ascorbic acid in the liver at all three doses tested. At 53.4 ppm (1/5 concentration), the hepatic concentration increased to 7.6054 ± 0.3092 mg/100 mg dry weight (P &lt; 0.005), whereas exposure to 26.6 ppm (1/10 concentration) and 17.8 ppm (1/15 concentration) resulted in concentrations of 7.4705 ± 0.2024 and 7.4300 ± 0.2142 mg/100 mg dry weight, respectively (P &lt; 0.005). The percentage reduction is observed as −34.6399%, −32.2509% and −31.5343%, respectively. The negative sign denotes the direction convention that the increase in the original dataset reported. </w:t>
      </w:r>
    </w:p>
    <w:p w14:paraId="4CDAE39B" w14:textId="2182117D" w:rsidR="00C80CD5" w:rsidRDefault="006F2A33" w:rsidP="008149B1">
      <w:pPr>
        <w:spacing w:after="0" w:line="360" w:lineRule="auto"/>
        <w:contextualSpacing/>
        <w:jc w:val="both"/>
        <w:rPr>
          <w:rFonts w:ascii="Times New Roman Regular" w:eastAsia="SimSun" w:hAnsi="Times New Roman Regular" w:cs="Times New Roman Regular" w:hint="eastAsia"/>
          <w:sz w:val="24"/>
          <w:szCs w:val="24"/>
          <w:lang w:eastAsia="zh-CN" w:bidi="ar"/>
        </w:rPr>
      </w:pPr>
      <w:r w:rsidRPr="006F2A33">
        <w:rPr>
          <w:rFonts w:ascii="Times New Roman Regular" w:eastAsia="SimSun" w:hAnsi="Times New Roman Regular" w:cs="Times New Roman Regular"/>
          <w:sz w:val="24"/>
          <w:szCs w:val="24"/>
          <w:lang w:eastAsia="zh-CN" w:bidi="ar"/>
        </w:rPr>
        <w:t xml:space="preserve">Unlike the hepatic response, the gill ascorbic acid content significantly decreased from exposure with dimethoate. The concentration decreased from 3.8269 ± 0.2024 mg/100 </w:t>
      </w:r>
      <w:r w:rsidRPr="006F2A33">
        <w:rPr>
          <w:rFonts w:ascii="Times New Roman Regular" w:eastAsia="SimSun" w:hAnsi="Times New Roman Regular" w:cs="Times New Roman Regular"/>
          <w:sz w:val="24"/>
          <w:szCs w:val="24"/>
          <w:lang w:eastAsia="zh-CN" w:bidi="ar"/>
        </w:rPr>
        <w:lastRenderedPageBreak/>
        <w:t xml:space="preserve">mg dry weight in controls to 2.0052 ± 0.4048 mg/100 mg dry weight at 53.4 ppm, 2.6124 ± 0.2024 mg/100 mg dry weight at 26.6 ppm, and 2.6799 ± 0.1168 mg/100 mg dry weight at 17.8 ppm. </w:t>
      </w:r>
      <w:r w:rsidR="00C80CD5">
        <w:rPr>
          <w:rFonts w:ascii="Times New Roman Regular" w:eastAsia="SimSun" w:hAnsi="Times New Roman Regular" w:cs="Times New Roman Regular" w:hint="eastAsia"/>
          <w:sz w:val="24"/>
          <w:szCs w:val="24"/>
          <w:lang w:eastAsia="zh-CN" w:bidi="ar"/>
        </w:rPr>
        <w:t>All</w:t>
      </w:r>
      <w:r w:rsidRPr="006F2A33">
        <w:rPr>
          <w:rFonts w:ascii="Times New Roman Regular" w:eastAsia="SimSun" w:hAnsi="Times New Roman Regular" w:cs="Times New Roman Regular"/>
          <w:sz w:val="24"/>
          <w:szCs w:val="24"/>
          <w:lang w:eastAsia="zh-CN" w:bidi="ar"/>
        </w:rPr>
        <w:t xml:space="preserve"> three responses were statistically significant (P&lt;0.01). The reported percentage change</w:t>
      </w:r>
      <w:r w:rsidR="005251E5">
        <w:rPr>
          <w:rFonts w:ascii="Times New Roman Regular" w:eastAsia="SimSun" w:hAnsi="Times New Roman Regular" w:cs="Times New Roman Regular"/>
          <w:sz w:val="24"/>
          <w:szCs w:val="24"/>
          <w:lang w:eastAsia="zh-CN" w:bidi="ar"/>
        </w:rPr>
        <w:t>s</w:t>
      </w:r>
      <w:r w:rsidRPr="006F2A33">
        <w:rPr>
          <w:rFonts w:ascii="Times New Roman Regular" w:eastAsia="SimSun" w:hAnsi="Times New Roman Regular" w:cs="Times New Roman Regular"/>
          <w:sz w:val="24"/>
          <w:szCs w:val="24"/>
          <w:lang w:eastAsia="zh-CN" w:bidi="ar"/>
        </w:rPr>
        <w:t xml:space="preserve"> were 47.6035%, 31.3757% and 29.9726% of these, respectively, were relative to the control. It is observed that in the conditions of highest concentration of dimethoate it is the most depleted. </w:t>
      </w:r>
    </w:p>
    <w:p w14:paraId="18C78450" w14:textId="22D47D62" w:rsidR="00C80CD5" w:rsidRDefault="006F2A33" w:rsidP="008149B1">
      <w:pPr>
        <w:spacing w:after="0" w:line="360" w:lineRule="auto"/>
        <w:contextualSpacing/>
        <w:jc w:val="both"/>
        <w:rPr>
          <w:rFonts w:ascii="Times New Roman Regular" w:eastAsia="SimSun" w:hAnsi="Times New Roman Regular" w:cs="Times New Roman Regular" w:hint="eastAsia"/>
          <w:sz w:val="24"/>
          <w:szCs w:val="24"/>
          <w:lang w:eastAsia="zh-CN" w:bidi="ar"/>
        </w:rPr>
      </w:pPr>
      <w:r w:rsidRPr="006F2A33">
        <w:rPr>
          <w:rFonts w:ascii="Times New Roman Regular" w:eastAsia="SimSun" w:hAnsi="Times New Roman Regular" w:cs="Times New Roman Regular"/>
          <w:sz w:val="24"/>
          <w:szCs w:val="24"/>
          <w:lang w:eastAsia="zh-CN" w:bidi="ar"/>
        </w:rPr>
        <w:t xml:space="preserve">The ascorbic acid level showed the highest numerical rise in muscle tissue among all tissues studied. Concentrations increased from 3.0173 ± 0.2024 mg/100 mg dry weight in controls to 7.2681 ± 0.4048 mg/100 mg dry weight at 53.4 ppm (P &lt; 0.001), 4.9740 ± 0.2337 mg/100 mg dry weight at 26.6 ppm (P &lt; 0.01), and 3.8269 ± 0.2024 mg/100 mg dry weight at 17.8 ppm (P &lt; 0.005). The corresponding reported percentage changes were −140.8816%, −64.8502% and −26.8345%, respectively. </w:t>
      </w:r>
    </w:p>
    <w:p w14:paraId="20264AF9" w14:textId="41D4B8EF" w:rsidR="00285028" w:rsidRDefault="006F2A33" w:rsidP="008149B1">
      <w:pPr>
        <w:spacing w:after="0" w:line="360" w:lineRule="auto"/>
        <w:contextualSpacing/>
        <w:jc w:val="both"/>
        <w:rPr>
          <w:rFonts w:ascii="Bookman Old Style" w:hAnsi="Bookman Old Style"/>
          <w:b/>
          <w:sz w:val="24"/>
          <w:szCs w:val="24"/>
        </w:rPr>
      </w:pPr>
      <w:r w:rsidRPr="006F2A33">
        <w:rPr>
          <w:rFonts w:ascii="Times New Roman Regular" w:eastAsia="SimSun" w:hAnsi="Times New Roman Regular" w:cs="Times New Roman Regular"/>
          <w:sz w:val="24"/>
          <w:szCs w:val="24"/>
          <w:lang w:eastAsia="zh-CN" w:bidi="ar"/>
        </w:rPr>
        <w:t xml:space="preserve">Overall, the pattern of responses was highly tissue specific. Increased concentrations of ascorbic acid were observed in liver and muscle after exposure to dimethoate, while exposure of gill tissue resulted in a decrease at all concentrations tested. However, response in the liver was relatively same in all three applied concentrations and response in muscle progressively decreased with reducing dimethoate concentration. The highest reduction occurred at 53.4 ppm in the gills and partial recovery was observed during the lower concentrations with values remaining lower than the control. </w:t>
      </w:r>
      <w:r w:rsidR="00C80CD5">
        <w:rPr>
          <w:rFonts w:ascii="Times New Roman Regular" w:eastAsia="SimSun" w:hAnsi="Times New Roman Regular" w:cs="Times New Roman Regular" w:hint="eastAsia"/>
          <w:sz w:val="24"/>
          <w:szCs w:val="24"/>
          <w:lang w:eastAsia="zh-CN" w:bidi="ar"/>
        </w:rPr>
        <w:t>Fig. 2 and Table 1 illustrate these tissue-specific changes</w:t>
      </w:r>
      <w:r w:rsidRPr="006F2A33">
        <w:rPr>
          <w:rFonts w:ascii="Times New Roman Regular" w:eastAsia="SimSun" w:hAnsi="Times New Roman Regular" w:cs="Times New Roman Regular"/>
          <w:sz w:val="24"/>
          <w:szCs w:val="24"/>
          <w:lang w:eastAsia="zh-CN" w:bidi="ar"/>
        </w:rPr>
        <w:t>.</w:t>
      </w:r>
    </w:p>
    <w:p w14:paraId="7816FD88" w14:textId="77777777" w:rsidR="00285028" w:rsidRDefault="00842715" w:rsidP="005251E5">
      <w:pPr>
        <w:spacing w:after="0" w:line="360" w:lineRule="auto"/>
        <w:contextualSpacing/>
        <w:jc w:val="center"/>
        <w:rPr>
          <w:rFonts w:ascii="Bookman Old Style" w:hAnsi="Bookman Old Style"/>
          <w:b/>
          <w:sz w:val="28"/>
          <w:szCs w:val="28"/>
        </w:rPr>
      </w:pPr>
      <w:r>
        <w:rPr>
          <w:noProof/>
        </w:rPr>
        <w:drawing>
          <wp:inline distT="0" distB="0" distL="0" distR="0" wp14:anchorId="28E6F995" wp14:editId="3A839B37">
            <wp:extent cx="4572000" cy="268948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cstate="print"/>
                    <a:srcRect/>
                    <a:stretch>
                      <a:fillRect/>
                    </a:stretch>
                  </pic:blipFill>
                  <pic:spPr>
                    <a:xfrm>
                      <a:off x="0" y="0"/>
                      <a:ext cx="4572706" cy="2689903"/>
                    </a:xfrm>
                    <a:prstGeom prst="rect">
                      <a:avLst/>
                    </a:prstGeom>
                    <a:noFill/>
                    <a:ln w="9525">
                      <a:noFill/>
                      <a:miter lim="800000"/>
                      <a:headEnd/>
                      <a:tailEnd/>
                    </a:ln>
                  </pic:spPr>
                </pic:pic>
              </a:graphicData>
            </a:graphic>
          </wp:inline>
        </w:drawing>
      </w:r>
    </w:p>
    <w:p w14:paraId="25094AC3" w14:textId="1F36ADBF" w:rsidR="00285028" w:rsidRDefault="00842715" w:rsidP="008149B1">
      <w:pPr>
        <w:spacing w:after="0" w:line="360" w:lineRule="auto"/>
        <w:contextualSpacing/>
        <w:jc w:val="both"/>
        <w:rPr>
          <w:rFonts w:ascii="Times New Roman Regular" w:hAnsi="Times New Roman Regular" w:cs="Times New Roman Regular"/>
          <w:bCs/>
          <w:color w:val="000000" w:themeColor="text1"/>
          <w:sz w:val="24"/>
          <w:szCs w:val="24"/>
        </w:rPr>
      </w:pPr>
      <w:r w:rsidRPr="00C80CD5">
        <w:rPr>
          <w:rFonts w:ascii="Times New Roman Regular" w:hAnsi="Times New Roman Regular" w:cs="Times New Roman Regular"/>
          <w:b/>
          <w:color w:val="000000" w:themeColor="text1"/>
          <w:sz w:val="24"/>
          <w:szCs w:val="24"/>
        </w:rPr>
        <w:t>Fig</w:t>
      </w:r>
      <w:r w:rsidR="00C80CD5" w:rsidRPr="00C80CD5">
        <w:rPr>
          <w:rFonts w:ascii="Times New Roman Regular" w:hAnsi="Times New Roman Regular" w:cs="Times New Roman Regular"/>
          <w:b/>
          <w:color w:val="000000" w:themeColor="text1"/>
          <w:sz w:val="24"/>
          <w:szCs w:val="24"/>
        </w:rPr>
        <w:t>ure-</w:t>
      </w:r>
      <w:r w:rsidRPr="00C80CD5">
        <w:rPr>
          <w:rFonts w:ascii="Times New Roman Regular" w:hAnsi="Times New Roman Regular" w:cs="Times New Roman Regular"/>
          <w:b/>
          <w:color w:val="000000" w:themeColor="text1"/>
          <w:sz w:val="24"/>
          <w:szCs w:val="24"/>
        </w:rPr>
        <w:t>2</w:t>
      </w:r>
      <w:r w:rsidR="00C80CD5" w:rsidRPr="00C80CD5">
        <w:rPr>
          <w:rFonts w:ascii="Times New Roman Regular" w:hAnsi="Times New Roman Regular" w:cs="Times New Roman Regular"/>
          <w:b/>
          <w:color w:val="000000" w:themeColor="text1"/>
          <w:sz w:val="24"/>
          <w:szCs w:val="24"/>
        </w:rPr>
        <w:t>:</w:t>
      </w:r>
      <w:r>
        <w:rPr>
          <w:rFonts w:ascii="Times New Roman Regular" w:hAnsi="Times New Roman Regular" w:cs="Times New Roman Regular"/>
          <w:bCs/>
          <w:color w:val="000000" w:themeColor="text1"/>
          <w:sz w:val="24"/>
          <w:szCs w:val="24"/>
        </w:rPr>
        <w:t xml:space="preserve"> Effect of dimethoate on ascorbic acid content in different tissues of freshwater fish </w:t>
      </w:r>
      <w:r>
        <w:rPr>
          <w:rFonts w:ascii="Times New Roman Italic" w:hAnsi="Times New Roman Italic" w:cs="Times New Roman Italic"/>
          <w:bCs/>
          <w:i/>
          <w:iCs/>
          <w:color w:val="000000" w:themeColor="text1"/>
          <w:sz w:val="24"/>
          <w:szCs w:val="24"/>
        </w:rPr>
        <w:t>C</w:t>
      </w:r>
      <w:r w:rsidR="00C80CD5">
        <w:rPr>
          <w:rFonts w:ascii="Times New Roman Italic" w:hAnsi="Times New Roman Italic" w:cs="Times New Roman Italic"/>
          <w:bCs/>
          <w:i/>
          <w:iCs/>
          <w:color w:val="000000" w:themeColor="text1"/>
          <w:sz w:val="24"/>
          <w:szCs w:val="24"/>
        </w:rPr>
        <w:t>.</w:t>
      </w:r>
      <w:r>
        <w:rPr>
          <w:rFonts w:ascii="Times New Roman Italic" w:hAnsi="Times New Roman Italic" w:cs="Times New Roman Italic"/>
          <w:bCs/>
          <w:i/>
          <w:iCs/>
          <w:color w:val="000000" w:themeColor="text1"/>
          <w:sz w:val="24"/>
          <w:szCs w:val="24"/>
        </w:rPr>
        <w:t xml:space="preserve"> punctatus</w:t>
      </w:r>
      <w:r>
        <w:rPr>
          <w:rFonts w:ascii="Times New Roman Regular" w:hAnsi="Times New Roman Regular" w:cs="Times New Roman Regular"/>
          <w:bCs/>
          <w:color w:val="000000" w:themeColor="text1"/>
          <w:sz w:val="24"/>
          <w:szCs w:val="24"/>
        </w:rPr>
        <w:t xml:space="preserve"> after exposure to sublethal concentrations for 30 days.</w:t>
      </w:r>
    </w:p>
    <w:p w14:paraId="77C02F65" w14:textId="7A4AA776" w:rsidR="00C80CD5" w:rsidRPr="00C80CD5" w:rsidRDefault="00C80CD5" w:rsidP="008149B1">
      <w:pPr>
        <w:spacing w:after="0" w:line="360" w:lineRule="auto"/>
        <w:contextualSpacing/>
        <w:jc w:val="both"/>
        <w:rPr>
          <w:rFonts w:ascii="Times New Roman Regular" w:eastAsia="SimSun" w:hAnsi="Times New Roman Regular" w:cs="Times New Roman Regular" w:hint="eastAsia"/>
          <w:i/>
          <w:iCs/>
          <w:color w:val="000000" w:themeColor="text1"/>
          <w:sz w:val="24"/>
          <w:szCs w:val="24"/>
          <w:lang w:eastAsia="zh-CN" w:bidi="ar"/>
        </w:rPr>
      </w:pPr>
      <w:r w:rsidRPr="00C80CD5">
        <w:rPr>
          <w:rFonts w:ascii="Times New Roman Regular" w:hAnsi="Times New Roman Regular" w:cs="Times New Roman Regular"/>
          <w:b/>
          <w:color w:val="000000" w:themeColor="text1"/>
          <w:sz w:val="24"/>
          <w:szCs w:val="24"/>
        </w:rPr>
        <w:lastRenderedPageBreak/>
        <w:t>Caption:</w:t>
      </w:r>
      <w:r>
        <w:rPr>
          <w:rFonts w:ascii="Times New Roman Regular" w:hAnsi="Times New Roman Regular" w:cs="Times New Roman Regular"/>
          <w:bCs/>
          <w:color w:val="000000" w:themeColor="text1"/>
          <w:sz w:val="24"/>
          <w:szCs w:val="24"/>
        </w:rPr>
        <w:t xml:space="preserve"> </w:t>
      </w:r>
      <w:r w:rsidRPr="00C80CD5">
        <w:rPr>
          <w:rFonts w:ascii="Times New Roman Regular" w:hAnsi="Times New Roman Regular" w:cs="Times New Roman Regular"/>
          <w:i/>
          <w:iCs/>
          <w:color w:val="000000" w:themeColor="text1"/>
          <w:sz w:val="24"/>
          <w:szCs w:val="24"/>
        </w:rPr>
        <w:t>Tissue-specific variation in ascorbic acid content in the liver, gills, and muscle of Channa punctatus following 30-day exposure to sublethal concentrations of dimethoate. Values represent ascorbic acid content expressed as mg/100 mg dry tissue. The figure illustrates the differential tissue responses, with increased ascorbic acid levels in liver and muscle and a reduction in gill tissue relative to the control.</w:t>
      </w:r>
    </w:p>
    <w:p w14:paraId="3534B73C" w14:textId="77777777" w:rsidR="00C80CD5" w:rsidRDefault="00C80CD5" w:rsidP="008149B1">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sectPr w:rsidR="00C80CD5">
          <w:headerReference w:type="even" r:id="rId9"/>
          <w:headerReference w:type="default" r:id="rId10"/>
          <w:footerReference w:type="even" r:id="rId11"/>
          <w:footerReference w:type="default" r:id="rId12"/>
          <w:headerReference w:type="first" r:id="rId13"/>
          <w:footerReference w:type="first" r:id="rId14"/>
          <w:pgSz w:w="11905" w:h="16837"/>
          <w:pgMar w:top="1440" w:right="1800" w:bottom="1440" w:left="1800" w:header="720" w:footer="720" w:gutter="0"/>
          <w:cols w:space="0"/>
          <w:docGrid w:linePitch="360"/>
        </w:sectPr>
      </w:pPr>
    </w:p>
    <w:p w14:paraId="7085D428" w14:textId="5CC18E4E" w:rsidR="00285028" w:rsidRDefault="00842715" w:rsidP="008149B1">
      <w:pPr>
        <w:spacing w:after="0" w:line="360" w:lineRule="auto"/>
        <w:contextualSpacing/>
        <w:jc w:val="both"/>
        <w:rPr>
          <w:rFonts w:ascii="Times New Roman Regular" w:hAnsi="Times New Roman Regular" w:cs="Times New Roman Regular"/>
          <w:color w:val="000000" w:themeColor="text1"/>
          <w:sz w:val="24"/>
          <w:szCs w:val="24"/>
        </w:rPr>
      </w:pPr>
      <w:r w:rsidRPr="00C80CD5">
        <w:rPr>
          <w:rFonts w:ascii="Times New Roman Regular" w:eastAsia="SimSun" w:hAnsi="Times New Roman Regular" w:cs="Times New Roman Regular"/>
          <w:b/>
          <w:bCs/>
          <w:color w:val="000000" w:themeColor="text1"/>
          <w:sz w:val="24"/>
          <w:szCs w:val="24"/>
          <w:lang w:eastAsia="zh-CN" w:bidi="ar"/>
        </w:rPr>
        <w:lastRenderedPageBreak/>
        <w:t>Table</w:t>
      </w:r>
      <w:r w:rsidR="00C80CD5">
        <w:rPr>
          <w:rFonts w:ascii="Times New Roman Regular" w:eastAsia="SimSun" w:hAnsi="Times New Roman Regular" w:cs="Times New Roman Regular"/>
          <w:b/>
          <w:bCs/>
          <w:color w:val="000000" w:themeColor="text1"/>
          <w:sz w:val="24"/>
          <w:szCs w:val="24"/>
          <w:lang w:eastAsia="zh-CN" w:bidi="ar"/>
        </w:rPr>
        <w:t>-</w:t>
      </w:r>
      <w:r w:rsidRPr="00C80CD5">
        <w:rPr>
          <w:rFonts w:ascii="Times New Roman Regular" w:eastAsia="SimSun" w:hAnsi="Times New Roman Regular" w:cs="Times New Roman Regular"/>
          <w:b/>
          <w:bCs/>
          <w:color w:val="000000" w:themeColor="text1"/>
          <w:sz w:val="24"/>
          <w:szCs w:val="24"/>
          <w:lang w:eastAsia="zh-CN" w:bidi="ar"/>
        </w:rPr>
        <w:t>1</w:t>
      </w:r>
      <w:r w:rsidR="00C80CD5">
        <w:rPr>
          <w:rFonts w:ascii="Times New Roman Regular" w:eastAsia="SimSun" w:hAnsi="Times New Roman Regular" w:cs="Times New Roman Regular"/>
          <w:b/>
          <w:bCs/>
          <w:color w:val="000000" w:themeColor="text1"/>
          <w:sz w:val="24"/>
          <w:szCs w:val="24"/>
          <w:lang w:eastAsia="zh-CN" w:bidi="ar"/>
        </w:rPr>
        <w:t>:</w:t>
      </w:r>
      <w:r>
        <w:rPr>
          <w:rFonts w:ascii="Times New Roman Regular" w:eastAsia="SimSun" w:hAnsi="Times New Roman Regular" w:cs="Times New Roman Regular"/>
          <w:color w:val="000000" w:themeColor="text1"/>
          <w:sz w:val="24"/>
          <w:szCs w:val="24"/>
          <w:lang w:eastAsia="zh-CN" w:bidi="ar"/>
        </w:rPr>
        <w:t xml:space="preserve"> </w:t>
      </w:r>
      <w:r>
        <w:rPr>
          <w:rFonts w:ascii="Times New Roman Regular" w:hAnsi="Times New Roman Regular" w:cs="Times New Roman Regular"/>
          <w:color w:val="000000" w:themeColor="text1"/>
          <w:sz w:val="24"/>
          <w:szCs w:val="24"/>
        </w:rPr>
        <w:t xml:space="preserve">Effect of dimethoate on ascorbic acid content in different tissues of freshwater fish, </w:t>
      </w:r>
      <w:r>
        <w:rPr>
          <w:rFonts w:ascii="Times New Roman Regular" w:hAnsi="Times New Roman Regular" w:cs="Times New Roman Regular"/>
          <w:i/>
          <w:color w:val="000000" w:themeColor="text1"/>
          <w:sz w:val="24"/>
          <w:szCs w:val="24"/>
        </w:rPr>
        <w:t>C</w:t>
      </w:r>
      <w:r w:rsidR="00C80CD5">
        <w:rPr>
          <w:rFonts w:ascii="Times New Roman Regular" w:hAnsi="Times New Roman Regular" w:cs="Times New Roman Regular"/>
          <w:i/>
          <w:color w:val="000000" w:themeColor="text1"/>
          <w:sz w:val="24"/>
          <w:szCs w:val="24"/>
        </w:rPr>
        <w:t>.</w:t>
      </w:r>
      <w:r>
        <w:rPr>
          <w:rFonts w:ascii="Times New Roman Regular" w:hAnsi="Times New Roman Regular" w:cs="Times New Roman Regular"/>
          <w:i/>
          <w:color w:val="000000" w:themeColor="text1"/>
          <w:sz w:val="24"/>
          <w:szCs w:val="24"/>
        </w:rPr>
        <w:t xml:space="preserve"> punctatus </w:t>
      </w:r>
      <w:r>
        <w:rPr>
          <w:rFonts w:ascii="Times New Roman Regular" w:hAnsi="Times New Roman Regular" w:cs="Times New Roman Regular"/>
          <w:color w:val="000000" w:themeColor="text1"/>
          <w:sz w:val="24"/>
          <w:szCs w:val="24"/>
        </w:rPr>
        <w:t>after exposure to sublethal concentrations for 30 days</w:t>
      </w:r>
    </w:p>
    <w:tbl>
      <w:tblPr>
        <w:tblStyle w:val="TableGrid"/>
        <w:tblW w:w="12302" w:type="dxa"/>
        <w:jc w:val="center"/>
        <w:tblLayout w:type="fixed"/>
        <w:tblLook w:val="04A0" w:firstRow="1" w:lastRow="0" w:firstColumn="1" w:lastColumn="0" w:noHBand="0" w:noVBand="1"/>
      </w:tblPr>
      <w:tblGrid>
        <w:gridCol w:w="1134"/>
        <w:gridCol w:w="1245"/>
        <w:gridCol w:w="1276"/>
        <w:gridCol w:w="1330"/>
        <w:gridCol w:w="1450"/>
        <w:gridCol w:w="1385"/>
        <w:gridCol w:w="1559"/>
        <w:gridCol w:w="1276"/>
        <w:gridCol w:w="1647"/>
      </w:tblGrid>
      <w:tr w:rsidR="00285028" w14:paraId="277F2E72" w14:textId="77777777" w:rsidTr="001F4071">
        <w:trPr>
          <w:trHeight w:val="1008"/>
          <w:jc w:val="center"/>
        </w:trPr>
        <w:tc>
          <w:tcPr>
            <w:tcW w:w="1134" w:type="dxa"/>
            <w:vAlign w:val="center"/>
          </w:tcPr>
          <w:p w14:paraId="59290102" w14:textId="77777777" w:rsidR="00285028" w:rsidRDefault="00842715"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Sr. No.</w:t>
            </w:r>
          </w:p>
        </w:tc>
        <w:tc>
          <w:tcPr>
            <w:tcW w:w="1245" w:type="dxa"/>
            <w:vAlign w:val="center"/>
          </w:tcPr>
          <w:p w14:paraId="15189AF2" w14:textId="77777777" w:rsidR="00285028" w:rsidRDefault="00842715"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Tissues</w:t>
            </w:r>
          </w:p>
        </w:tc>
        <w:tc>
          <w:tcPr>
            <w:tcW w:w="1276" w:type="dxa"/>
            <w:vAlign w:val="center"/>
          </w:tcPr>
          <w:p w14:paraId="6BFCFAFF" w14:textId="77777777" w:rsidR="00285028" w:rsidRDefault="00842715"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Control</w:t>
            </w:r>
          </w:p>
        </w:tc>
        <w:tc>
          <w:tcPr>
            <w:tcW w:w="1330" w:type="dxa"/>
            <w:vAlign w:val="center"/>
          </w:tcPr>
          <w:p w14:paraId="6335F49B" w14:textId="77777777" w:rsidR="00285028" w:rsidRDefault="00842715"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53.4 ppm (1/5)</w:t>
            </w:r>
          </w:p>
        </w:tc>
        <w:tc>
          <w:tcPr>
            <w:tcW w:w="1450" w:type="dxa"/>
            <w:vAlign w:val="center"/>
          </w:tcPr>
          <w:p w14:paraId="27F5D4C6" w14:textId="0CD2EBA6" w:rsidR="00285028" w:rsidRDefault="00C80CD5"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 Changes</w:t>
            </w:r>
          </w:p>
        </w:tc>
        <w:tc>
          <w:tcPr>
            <w:tcW w:w="1385" w:type="dxa"/>
            <w:vAlign w:val="center"/>
          </w:tcPr>
          <w:p w14:paraId="1CF06A14" w14:textId="77777777" w:rsidR="00285028" w:rsidRDefault="00842715"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26.6 ppm (1/10)</w:t>
            </w:r>
          </w:p>
        </w:tc>
        <w:tc>
          <w:tcPr>
            <w:tcW w:w="1559" w:type="dxa"/>
            <w:vAlign w:val="center"/>
          </w:tcPr>
          <w:p w14:paraId="4E2232F1" w14:textId="27567E69" w:rsidR="00285028" w:rsidRDefault="001F4071"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 Changes</w:t>
            </w:r>
          </w:p>
        </w:tc>
        <w:tc>
          <w:tcPr>
            <w:tcW w:w="1276" w:type="dxa"/>
            <w:vAlign w:val="center"/>
          </w:tcPr>
          <w:p w14:paraId="110931CD" w14:textId="77777777" w:rsidR="00285028" w:rsidRDefault="00842715"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17.8 ppm (1/15)</w:t>
            </w:r>
          </w:p>
        </w:tc>
        <w:tc>
          <w:tcPr>
            <w:tcW w:w="1647" w:type="dxa"/>
            <w:vAlign w:val="center"/>
          </w:tcPr>
          <w:p w14:paraId="28C84EAE" w14:textId="6ED05030" w:rsidR="00285028" w:rsidRDefault="001F4071" w:rsidP="008149B1">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 Changes</w:t>
            </w:r>
          </w:p>
        </w:tc>
      </w:tr>
      <w:tr w:rsidR="00285028" w14:paraId="2A218DF3" w14:textId="77777777" w:rsidTr="001F4071">
        <w:trPr>
          <w:trHeight w:val="1008"/>
          <w:jc w:val="center"/>
        </w:trPr>
        <w:tc>
          <w:tcPr>
            <w:tcW w:w="1134" w:type="dxa"/>
            <w:vAlign w:val="center"/>
          </w:tcPr>
          <w:p w14:paraId="55259EF5"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1</w:t>
            </w:r>
          </w:p>
        </w:tc>
        <w:tc>
          <w:tcPr>
            <w:tcW w:w="1245" w:type="dxa"/>
            <w:vAlign w:val="center"/>
          </w:tcPr>
          <w:p w14:paraId="1F500B27"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Liver</w:t>
            </w:r>
          </w:p>
        </w:tc>
        <w:tc>
          <w:tcPr>
            <w:tcW w:w="1276" w:type="dxa"/>
            <w:vAlign w:val="center"/>
          </w:tcPr>
          <w:p w14:paraId="5CC88B18"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5.6487</w:t>
            </w:r>
          </w:p>
          <w:p w14:paraId="148CECD7"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0.4048</w:t>
            </w:r>
          </w:p>
        </w:tc>
        <w:tc>
          <w:tcPr>
            <w:tcW w:w="1330" w:type="dxa"/>
            <w:vAlign w:val="center"/>
          </w:tcPr>
          <w:p w14:paraId="7D66B4C4"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7.6054*</w:t>
            </w:r>
          </w:p>
          <w:p w14:paraId="6831BA0A"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0.3092</w:t>
            </w:r>
          </w:p>
        </w:tc>
        <w:tc>
          <w:tcPr>
            <w:tcW w:w="1450" w:type="dxa"/>
            <w:vAlign w:val="center"/>
          </w:tcPr>
          <w:p w14:paraId="56BAEEC5"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-34.6399</w:t>
            </w:r>
          </w:p>
        </w:tc>
        <w:tc>
          <w:tcPr>
            <w:tcW w:w="1385" w:type="dxa"/>
            <w:vAlign w:val="center"/>
          </w:tcPr>
          <w:p w14:paraId="5C66CCF0"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7.4705*</w:t>
            </w:r>
          </w:p>
          <w:p w14:paraId="6ED0F710"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559" w:type="dxa"/>
            <w:vAlign w:val="center"/>
          </w:tcPr>
          <w:p w14:paraId="61A325E2"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-32.2509</w:t>
            </w:r>
          </w:p>
        </w:tc>
        <w:tc>
          <w:tcPr>
            <w:tcW w:w="1276" w:type="dxa"/>
            <w:vAlign w:val="center"/>
          </w:tcPr>
          <w:p w14:paraId="4AF13FB8"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7.4300*</w:t>
            </w:r>
          </w:p>
          <w:p w14:paraId="24264FE9"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0.2142</w:t>
            </w:r>
          </w:p>
        </w:tc>
        <w:tc>
          <w:tcPr>
            <w:tcW w:w="1647" w:type="dxa"/>
            <w:vAlign w:val="center"/>
          </w:tcPr>
          <w:p w14:paraId="6CD45DDB"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-31.5343</w:t>
            </w:r>
          </w:p>
        </w:tc>
      </w:tr>
      <w:tr w:rsidR="00285028" w14:paraId="3FBC7F99" w14:textId="77777777" w:rsidTr="001F4071">
        <w:trPr>
          <w:trHeight w:val="1008"/>
          <w:jc w:val="center"/>
        </w:trPr>
        <w:tc>
          <w:tcPr>
            <w:tcW w:w="1134" w:type="dxa"/>
            <w:vAlign w:val="center"/>
          </w:tcPr>
          <w:p w14:paraId="644F72A0"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w:t>
            </w:r>
          </w:p>
        </w:tc>
        <w:tc>
          <w:tcPr>
            <w:tcW w:w="1245" w:type="dxa"/>
            <w:vAlign w:val="center"/>
          </w:tcPr>
          <w:p w14:paraId="56ED4BAD"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Gill</w:t>
            </w:r>
          </w:p>
        </w:tc>
        <w:tc>
          <w:tcPr>
            <w:tcW w:w="1276" w:type="dxa"/>
            <w:vAlign w:val="center"/>
          </w:tcPr>
          <w:p w14:paraId="687D06BC"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3.8269</w:t>
            </w:r>
          </w:p>
          <w:p w14:paraId="1F7840CD"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330" w:type="dxa"/>
            <w:vAlign w:val="center"/>
          </w:tcPr>
          <w:p w14:paraId="635ABE87"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2.0052**</w:t>
            </w:r>
          </w:p>
          <w:p w14:paraId="2B4C3AE1"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0.4048</w:t>
            </w:r>
          </w:p>
        </w:tc>
        <w:tc>
          <w:tcPr>
            <w:tcW w:w="1450" w:type="dxa"/>
            <w:vAlign w:val="center"/>
          </w:tcPr>
          <w:p w14:paraId="267B8A8E"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47.6035</w:t>
            </w:r>
          </w:p>
        </w:tc>
        <w:tc>
          <w:tcPr>
            <w:tcW w:w="1385" w:type="dxa"/>
            <w:vAlign w:val="center"/>
          </w:tcPr>
          <w:p w14:paraId="6C7F21A1"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2.6124**</w:t>
            </w:r>
          </w:p>
          <w:p w14:paraId="643A1898"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559" w:type="dxa"/>
            <w:vAlign w:val="center"/>
          </w:tcPr>
          <w:p w14:paraId="23CE69D8"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31.3757</w:t>
            </w:r>
          </w:p>
        </w:tc>
        <w:tc>
          <w:tcPr>
            <w:tcW w:w="1276" w:type="dxa"/>
            <w:vAlign w:val="center"/>
          </w:tcPr>
          <w:p w14:paraId="40BF4927"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2.6799**</w:t>
            </w:r>
          </w:p>
          <w:p w14:paraId="0566342A"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0.1168</w:t>
            </w:r>
          </w:p>
        </w:tc>
        <w:tc>
          <w:tcPr>
            <w:tcW w:w="1647" w:type="dxa"/>
            <w:vAlign w:val="center"/>
          </w:tcPr>
          <w:p w14:paraId="3CEBDE50"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29.9726</w:t>
            </w:r>
          </w:p>
        </w:tc>
      </w:tr>
      <w:tr w:rsidR="00285028" w14:paraId="742DE33A" w14:textId="77777777" w:rsidTr="001F4071">
        <w:trPr>
          <w:trHeight w:val="1008"/>
          <w:jc w:val="center"/>
        </w:trPr>
        <w:tc>
          <w:tcPr>
            <w:tcW w:w="1134" w:type="dxa"/>
            <w:vAlign w:val="center"/>
          </w:tcPr>
          <w:p w14:paraId="3D77F6EF"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w:t>
            </w:r>
          </w:p>
        </w:tc>
        <w:tc>
          <w:tcPr>
            <w:tcW w:w="1245" w:type="dxa"/>
            <w:vAlign w:val="center"/>
          </w:tcPr>
          <w:p w14:paraId="3E490D4F"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Muscle</w:t>
            </w:r>
          </w:p>
        </w:tc>
        <w:tc>
          <w:tcPr>
            <w:tcW w:w="1276" w:type="dxa"/>
            <w:vAlign w:val="center"/>
          </w:tcPr>
          <w:p w14:paraId="13906B6A"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3.0173</w:t>
            </w:r>
          </w:p>
          <w:p w14:paraId="26758193"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330" w:type="dxa"/>
            <w:vAlign w:val="center"/>
          </w:tcPr>
          <w:p w14:paraId="04F8A37F"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7.2681***</w:t>
            </w:r>
          </w:p>
          <w:p w14:paraId="51A4F05D"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0.4048</w:t>
            </w:r>
          </w:p>
        </w:tc>
        <w:tc>
          <w:tcPr>
            <w:tcW w:w="1450" w:type="dxa"/>
            <w:vAlign w:val="center"/>
          </w:tcPr>
          <w:p w14:paraId="3FA60696"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-140.8816</w:t>
            </w:r>
          </w:p>
        </w:tc>
        <w:tc>
          <w:tcPr>
            <w:tcW w:w="1385" w:type="dxa"/>
            <w:vAlign w:val="center"/>
          </w:tcPr>
          <w:p w14:paraId="5F578A6C"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4.9740**</w:t>
            </w:r>
          </w:p>
          <w:p w14:paraId="3C663A96"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0.2337</w:t>
            </w:r>
          </w:p>
        </w:tc>
        <w:tc>
          <w:tcPr>
            <w:tcW w:w="1559" w:type="dxa"/>
            <w:vAlign w:val="center"/>
          </w:tcPr>
          <w:p w14:paraId="38E24ECE"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-64.8502</w:t>
            </w:r>
          </w:p>
        </w:tc>
        <w:tc>
          <w:tcPr>
            <w:tcW w:w="1276" w:type="dxa"/>
            <w:vAlign w:val="center"/>
          </w:tcPr>
          <w:p w14:paraId="5CF60528"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3.8269*</w:t>
            </w:r>
          </w:p>
          <w:p w14:paraId="6530C4F1"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647" w:type="dxa"/>
            <w:vAlign w:val="center"/>
          </w:tcPr>
          <w:p w14:paraId="1B004398" w14:textId="77777777" w:rsidR="00285028" w:rsidRDefault="00842715" w:rsidP="008149B1">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-26.8345</w:t>
            </w:r>
          </w:p>
        </w:tc>
      </w:tr>
    </w:tbl>
    <w:p w14:paraId="1F730D13" w14:textId="77777777" w:rsidR="00285028" w:rsidRDefault="00842715" w:rsidP="008149B1">
      <w:pPr>
        <w:spacing w:after="0" w:line="360" w:lineRule="auto"/>
        <w:contextualSpacing/>
        <w:jc w:val="both"/>
        <w:rPr>
          <w:rFonts w:ascii="Times New Roman Regular" w:hAnsi="Times New Roman Regular" w:cs="Times New Roman Regular"/>
          <w:color w:val="000000" w:themeColor="text1"/>
          <w:sz w:val="24"/>
          <w:szCs w:val="32"/>
        </w:rPr>
      </w:pPr>
      <w:r>
        <w:rPr>
          <w:rFonts w:ascii="Times New Roman Regular" w:hAnsi="Times New Roman Regular" w:cs="Times New Roman Regular"/>
          <w:color w:val="000000" w:themeColor="text1"/>
          <w:sz w:val="24"/>
          <w:szCs w:val="32"/>
        </w:rPr>
        <w:t xml:space="preserve">1. The values are expressed in mg/100 mg dry weight (mean ± S.D). </w:t>
      </w:r>
    </w:p>
    <w:p w14:paraId="1BC9660D" w14:textId="77777777" w:rsidR="00285028" w:rsidRDefault="00842715" w:rsidP="008149B1">
      <w:pPr>
        <w:spacing w:after="0" w:line="360" w:lineRule="auto"/>
        <w:contextualSpacing/>
        <w:jc w:val="both"/>
        <w:rPr>
          <w:rFonts w:ascii="Times New Roman Regular" w:hAnsi="Times New Roman Regular" w:cs="Times New Roman Regular"/>
          <w:color w:val="000000" w:themeColor="text1"/>
          <w:sz w:val="24"/>
          <w:szCs w:val="32"/>
        </w:rPr>
      </w:pPr>
      <w:r>
        <w:rPr>
          <w:rFonts w:ascii="Times New Roman Regular" w:hAnsi="Times New Roman Regular" w:cs="Times New Roman Regular"/>
          <w:color w:val="000000" w:themeColor="text1"/>
          <w:sz w:val="24"/>
          <w:szCs w:val="32"/>
        </w:rPr>
        <w:t xml:space="preserve">2. ± indicates S.D. </w:t>
      </w:r>
    </w:p>
    <w:p w14:paraId="426644C6" w14:textId="70CF4C0C" w:rsidR="00C80CD5" w:rsidRDefault="00842715" w:rsidP="008149B1">
      <w:pPr>
        <w:spacing w:after="0" w:line="360" w:lineRule="auto"/>
        <w:contextualSpacing/>
        <w:jc w:val="both"/>
        <w:rPr>
          <w:rFonts w:ascii="Times New Roman Regular" w:hAnsi="Times New Roman Regular" w:cs="Times New Roman Regular"/>
          <w:color w:val="000000" w:themeColor="text1"/>
          <w:sz w:val="24"/>
          <w:szCs w:val="32"/>
        </w:rPr>
        <w:sectPr w:rsidR="00C80CD5" w:rsidSect="00C80CD5">
          <w:pgSz w:w="16837" w:h="11905" w:orient="landscape"/>
          <w:pgMar w:top="1797" w:right="1440" w:bottom="1797" w:left="1440" w:header="720" w:footer="720" w:gutter="0"/>
          <w:cols w:space="0"/>
          <w:docGrid w:linePitch="360"/>
        </w:sectPr>
      </w:pPr>
      <w:r>
        <w:rPr>
          <w:rFonts w:ascii="Times New Roman Regular" w:hAnsi="Times New Roman Regular" w:cs="Times New Roman Regular"/>
          <w:color w:val="000000" w:themeColor="text1"/>
          <w:sz w:val="24"/>
          <w:szCs w:val="32"/>
        </w:rPr>
        <w:t>3. *P &lt; 0.005, **P &lt; 0.01, ***P &lt; 0.0</w:t>
      </w:r>
    </w:p>
    <w:p w14:paraId="375FFB5D" w14:textId="77777777" w:rsidR="00285028" w:rsidRDefault="00285028" w:rsidP="008149B1">
      <w:pPr>
        <w:spacing w:after="0" w:line="360" w:lineRule="auto"/>
        <w:contextualSpacing/>
        <w:jc w:val="both"/>
        <w:rPr>
          <w:rFonts w:ascii="Times New Roman Regular" w:hAnsi="Times New Roman Regular" w:cs="Times New Roman Regular"/>
          <w:color w:val="000000" w:themeColor="text1"/>
          <w:sz w:val="24"/>
          <w:szCs w:val="32"/>
        </w:rPr>
      </w:pPr>
    </w:p>
    <w:p w14:paraId="783AF6E6" w14:textId="77777777" w:rsidR="00285028" w:rsidRDefault="00842715" w:rsidP="008149B1">
      <w:pPr>
        <w:spacing w:after="0" w:line="360" w:lineRule="auto"/>
        <w:contextualSpacing/>
        <w:jc w:val="both"/>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4. Discussion</w:t>
      </w:r>
    </w:p>
    <w:p w14:paraId="22AF0E28" w14:textId="77777777" w:rsid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t xml:space="preserve">The present study reveals a significant tissue-specific responsiveness of ascorbic acid in prolonged sublethal exposure of dimethoate in Channa punctatus. Changes in ascorbic acid were shown to be variable between tissues: an increase occurred in liver and muscle while a progressive decrease occurred in the gills after 30 days. These biochemical differences are similar to those that are routinely used to assess physiological stress caused by pesticides in fish using tissue-specific biomarkers (Bojarski &amp; </w:t>
      </w:r>
      <w:proofErr w:type="spellStart"/>
      <w:r w:rsidRPr="00BC0119">
        <w:rPr>
          <w:rFonts w:ascii="Times New Roman Regular" w:hAnsi="Times New Roman Regular" w:cs="Times New Roman Regular"/>
          <w:iCs/>
          <w:color w:val="000000" w:themeColor="text1"/>
          <w:sz w:val="24"/>
          <w:szCs w:val="24"/>
        </w:rPr>
        <w:t>Witeska</w:t>
      </w:r>
      <w:proofErr w:type="spellEnd"/>
      <w:r w:rsidRPr="00BC0119">
        <w:rPr>
          <w:rFonts w:ascii="Times New Roman Regular" w:hAnsi="Times New Roman Regular" w:cs="Times New Roman Regular"/>
          <w:iCs/>
          <w:color w:val="000000" w:themeColor="text1"/>
          <w:sz w:val="24"/>
          <w:szCs w:val="24"/>
        </w:rPr>
        <w:t xml:space="preserve">, 2020). </w:t>
      </w:r>
    </w:p>
    <w:p w14:paraId="446EA30B" w14:textId="77777777" w:rsid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t>The most prominent response occurred in the liver, where ascorbic acid increased from 5.6487 ± 0.4048 mg/100 mg dry weight in controls to 7.6054 ± 0.3092, 7.4705 ± 0.2024 and 7.4300 ± 0.2142 mg/100 mg dry weight at 53.4, 26.6 and 17.8 ppm, respectively. This elevation shows a change in hepatic antioxidant status in the face of prolonged chemical stresses. The liver is of special interest with regard to toxicity of pesticides because of the pivotal role it plays in the metabolism and detoxification of the pesticides and a previous study has reported increased hepatic ascorbic acid after pesticide exposure (Sayeed et al., 2003). The hepatic response is also similar to previous results of changes in ascorbic-acid homeostasis in fish that reported exposure to pesticides.</w:t>
      </w:r>
    </w:p>
    <w:p w14:paraId="0A62BADF" w14:textId="04AF704D" w:rsid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t xml:space="preserve">Higher amount of ascorbic acid was found in liver tissue as compared to muscle tissue of Puntius </w:t>
      </w:r>
      <w:proofErr w:type="spellStart"/>
      <w:r w:rsidRPr="00BC0119">
        <w:rPr>
          <w:rFonts w:ascii="Times New Roman Regular" w:hAnsi="Times New Roman Regular" w:cs="Times New Roman Regular"/>
          <w:iCs/>
          <w:color w:val="000000" w:themeColor="text1"/>
          <w:sz w:val="24"/>
          <w:szCs w:val="24"/>
        </w:rPr>
        <w:t>ticto</w:t>
      </w:r>
      <w:proofErr w:type="spellEnd"/>
      <w:r w:rsidRPr="00BC0119">
        <w:rPr>
          <w:rFonts w:ascii="Times New Roman Regular" w:hAnsi="Times New Roman Regular" w:cs="Times New Roman Regular"/>
          <w:iCs/>
          <w:color w:val="000000" w:themeColor="text1"/>
          <w:sz w:val="24"/>
          <w:szCs w:val="24"/>
        </w:rPr>
        <w:t xml:space="preserve"> as reported by Wagh and </w:t>
      </w:r>
      <w:proofErr w:type="spellStart"/>
      <w:r w:rsidRPr="00BC0119">
        <w:rPr>
          <w:rFonts w:ascii="Times New Roman Regular" w:hAnsi="Times New Roman Regular" w:cs="Times New Roman Regular"/>
          <w:iCs/>
          <w:color w:val="000000" w:themeColor="text1"/>
          <w:sz w:val="24"/>
          <w:szCs w:val="24"/>
        </w:rPr>
        <w:t>Khillare</w:t>
      </w:r>
      <w:proofErr w:type="spellEnd"/>
      <w:r w:rsidRPr="00BC0119">
        <w:rPr>
          <w:rFonts w:ascii="Times New Roman Regular" w:hAnsi="Times New Roman Regular" w:cs="Times New Roman Regular"/>
          <w:iCs/>
          <w:color w:val="000000" w:themeColor="text1"/>
          <w:sz w:val="24"/>
          <w:szCs w:val="24"/>
        </w:rPr>
        <w:t xml:space="preserve"> (1985). Specifically, Bhandare et al. (2023) reported increased ascorbic acid in the liver and muscle as compared to gills of Puntius </w:t>
      </w:r>
      <w:proofErr w:type="spellStart"/>
      <w:r w:rsidRPr="00BC0119">
        <w:rPr>
          <w:rFonts w:ascii="Times New Roman Regular" w:hAnsi="Times New Roman Regular" w:cs="Times New Roman Regular"/>
          <w:iCs/>
          <w:color w:val="000000" w:themeColor="text1"/>
          <w:sz w:val="24"/>
          <w:szCs w:val="24"/>
        </w:rPr>
        <w:t>ticto</w:t>
      </w:r>
      <w:proofErr w:type="spellEnd"/>
      <w:r w:rsidRPr="00BC0119">
        <w:rPr>
          <w:rFonts w:ascii="Times New Roman Regular" w:hAnsi="Times New Roman Regular" w:cs="Times New Roman Regular"/>
          <w:iCs/>
          <w:color w:val="000000" w:themeColor="text1"/>
          <w:sz w:val="24"/>
          <w:szCs w:val="24"/>
        </w:rPr>
        <w:t xml:space="preserve"> treated with dimethoate, this trend was similar to that of </w:t>
      </w:r>
      <w:r w:rsidRPr="00BC0119">
        <w:rPr>
          <w:rFonts w:ascii="Times New Roman Regular" w:hAnsi="Times New Roman Regular" w:cs="Times New Roman Regular"/>
          <w:i/>
          <w:iCs/>
          <w:color w:val="000000" w:themeColor="text1"/>
          <w:sz w:val="24"/>
          <w:szCs w:val="24"/>
        </w:rPr>
        <w:t>C. punctatus</w:t>
      </w:r>
      <w:r w:rsidRPr="00BC0119">
        <w:rPr>
          <w:rFonts w:ascii="Times New Roman Regular" w:hAnsi="Times New Roman Regular" w:cs="Times New Roman Regular"/>
          <w:iCs/>
          <w:color w:val="000000" w:themeColor="text1"/>
          <w:sz w:val="24"/>
          <w:szCs w:val="24"/>
        </w:rPr>
        <w:t xml:space="preserve"> in the current study. The highest concentration of ascorbic acid in the enhanced muscle was measured at 53.4 ppm (7.2681 ± 0.4048 mg/100 mg dry weight) as compared to 3.0173 ± 0.2024 mg/100 mg dry weight in the controls. The response declined progressively at 26.6 and 17.8 ppm, yielding values of 4.9740 ± 0.2337 and 3.8269 ± 0.2024 mg/100 mg dry weight, respectively. The exposure response indicated in this concentration associated pattern suggests that ascorbic-acid status in muscle is sensitive to dimethoate exposure. This enhancement in ascorbic acid was also confirmed from the previous observations in the fish exposed to pesticides where certain organs showed differential antioxidant response to the pesticide stress (Datta &amp; Kaviraj, 2006). In contrast, the gills exhibited a consistent depletion of ascorbic acid, declining from 3.8269 ± 0.2024 mg/100 mg dry weight in controls to 2.0052 ± 0.4048, 2.6124 ± 0.2024 </w:t>
      </w:r>
      <w:r w:rsidRPr="00BC0119">
        <w:rPr>
          <w:rFonts w:ascii="Times New Roman Regular" w:hAnsi="Times New Roman Regular" w:cs="Times New Roman Regular"/>
          <w:iCs/>
          <w:color w:val="000000" w:themeColor="text1"/>
          <w:sz w:val="24"/>
          <w:szCs w:val="24"/>
        </w:rPr>
        <w:lastRenderedPageBreak/>
        <w:t xml:space="preserve">and 2.6799 ± 0.1168 mg/100 mg dry weight at 53.4, 26.6 and 17.8 ppm, respectively. The marked decrease observed at the highest concentration suggests it had a more profound effect on antioxidant status in gills when exposed to a higher level of dimethoate. Compared to no treatment control, the reduction in gill ascorbic acid levels after being exposed to dimethoate is similar to what was previously observed in Puntius </w:t>
      </w:r>
      <w:proofErr w:type="spellStart"/>
      <w:r w:rsidRPr="00BC0119">
        <w:rPr>
          <w:rFonts w:ascii="Times New Roman Regular" w:hAnsi="Times New Roman Regular" w:cs="Times New Roman Regular"/>
          <w:iCs/>
          <w:color w:val="000000" w:themeColor="text1"/>
          <w:sz w:val="24"/>
          <w:szCs w:val="24"/>
        </w:rPr>
        <w:t>ticto</w:t>
      </w:r>
      <w:proofErr w:type="spellEnd"/>
      <w:r w:rsidRPr="00BC0119">
        <w:rPr>
          <w:rFonts w:ascii="Times New Roman Regular" w:hAnsi="Times New Roman Regular" w:cs="Times New Roman Regular"/>
          <w:iCs/>
          <w:color w:val="000000" w:themeColor="text1"/>
          <w:sz w:val="24"/>
          <w:szCs w:val="24"/>
        </w:rPr>
        <w:t xml:space="preserve"> (Bhandare et al., 2023) and confirms this tissue-specific response. </w:t>
      </w:r>
    </w:p>
    <w:p w14:paraId="38579AAD" w14:textId="13D5C13B" w:rsid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t xml:space="preserve">In response to pesticide exposure, there are differential responses in the liver and gill, suggesting differences in ascorbate homeostasis among tissues. The earlier work on Barbus </w:t>
      </w:r>
      <w:proofErr w:type="spellStart"/>
      <w:r w:rsidRPr="00BC0119">
        <w:rPr>
          <w:rFonts w:ascii="Times New Roman Regular" w:hAnsi="Times New Roman Regular" w:cs="Times New Roman Regular"/>
          <w:iCs/>
          <w:color w:val="000000" w:themeColor="text1"/>
          <w:sz w:val="24"/>
          <w:szCs w:val="24"/>
        </w:rPr>
        <w:t>ticto</w:t>
      </w:r>
      <w:proofErr w:type="spellEnd"/>
      <w:r w:rsidRPr="00BC0119">
        <w:rPr>
          <w:rFonts w:ascii="Times New Roman Regular" w:hAnsi="Times New Roman Regular" w:cs="Times New Roman Regular"/>
          <w:iCs/>
          <w:color w:val="000000" w:themeColor="text1"/>
          <w:sz w:val="24"/>
          <w:szCs w:val="24"/>
        </w:rPr>
        <w:t xml:space="preserve"> also showed that there were divergent changes in the levels of ascorbic acid in different tissues – rise in some and decrease in the other tissues in the fish under the effect of pesticides (</w:t>
      </w:r>
      <w:proofErr w:type="spellStart"/>
      <w:r w:rsidRPr="00BC0119">
        <w:rPr>
          <w:rFonts w:ascii="Times New Roman Regular" w:hAnsi="Times New Roman Regular" w:cs="Times New Roman Regular"/>
          <w:iCs/>
          <w:color w:val="000000" w:themeColor="text1"/>
          <w:sz w:val="24"/>
          <w:szCs w:val="24"/>
        </w:rPr>
        <w:t>Bhusari</w:t>
      </w:r>
      <w:proofErr w:type="spellEnd"/>
      <w:r w:rsidRPr="00BC0119">
        <w:rPr>
          <w:rFonts w:ascii="Times New Roman Regular" w:hAnsi="Times New Roman Regular" w:cs="Times New Roman Regular"/>
          <w:iCs/>
          <w:color w:val="000000" w:themeColor="text1"/>
          <w:sz w:val="24"/>
          <w:szCs w:val="24"/>
        </w:rPr>
        <w:t xml:space="preserve">, 1985). Likewise, exposure of T. </w:t>
      </w:r>
      <w:proofErr w:type="spellStart"/>
      <w:r w:rsidRPr="00BC0119">
        <w:rPr>
          <w:rFonts w:ascii="Times New Roman Regular" w:hAnsi="Times New Roman Regular" w:cs="Times New Roman Regular"/>
          <w:iCs/>
          <w:color w:val="000000" w:themeColor="text1"/>
          <w:sz w:val="24"/>
          <w:szCs w:val="24"/>
        </w:rPr>
        <w:t>sandkhol</w:t>
      </w:r>
      <w:proofErr w:type="spellEnd"/>
      <w:r w:rsidRPr="00BC0119">
        <w:rPr>
          <w:rFonts w:ascii="Times New Roman Regular" w:hAnsi="Times New Roman Regular" w:cs="Times New Roman Regular"/>
          <w:iCs/>
          <w:color w:val="000000" w:themeColor="text1"/>
          <w:sz w:val="24"/>
          <w:szCs w:val="24"/>
        </w:rPr>
        <w:t xml:space="preserve"> to dimethoate and other pesticides also resulted in an increase in ascorbic acid in liver and muscle, and a decrease in gills implying that this response is similar to that of in the present study (</w:t>
      </w:r>
      <w:proofErr w:type="spellStart"/>
      <w:r w:rsidRPr="00BC0119">
        <w:rPr>
          <w:rFonts w:ascii="Times New Roman Regular" w:hAnsi="Times New Roman Regular" w:cs="Times New Roman Regular"/>
          <w:iCs/>
          <w:color w:val="000000" w:themeColor="text1"/>
          <w:sz w:val="24"/>
          <w:szCs w:val="24"/>
        </w:rPr>
        <w:t>Davane</w:t>
      </w:r>
      <w:proofErr w:type="spellEnd"/>
      <w:r w:rsidRPr="00BC0119">
        <w:rPr>
          <w:rFonts w:ascii="Times New Roman Regular" w:hAnsi="Times New Roman Regular" w:cs="Times New Roman Regular"/>
          <w:iCs/>
          <w:color w:val="000000" w:themeColor="text1"/>
          <w:sz w:val="24"/>
          <w:szCs w:val="24"/>
        </w:rPr>
        <w:t xml:space="preserve">, 1991). </w:t>
      </w:r>
    </w:p>
    <w:p w14:paraId="43182722" w14:textId="10A22AFB" w:rsid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t xml:space="preserve">Experimental evidence indicates that the antioxidant significance of these responses can be demonstrated when ascorbic-acid were supplemented on pesticides induced stress in fish. In fish of the species Clarias </w:t>
      </w:r>
      <w:proofErr w:type="spellStart"/>
      <w:r w:rsidRPr="00BC0119">
        <w:rPr>
          <w:rFonts w:ascii="Times New Roman Regular" w:hAnsi="Times New Roman Regular" w:cs="Times New Roman Regular"/>
          <w:iCs/>
          <w:color w:val="000000" w:themeColor="text1"/>
          <w:sz w:val="24"/>
          <w:szCs w:val="24"/>
        </w:rPr>
        <w:t>gariepinus</w:t>
      </w:r>
      <w:proofErr w:type="spellEnd"/>
      <w:r w:rsidRPr="00BC0119">
        <w:rPr>
          <w:rFonts w:ascii="Times New Roman Regular" w:hAnsi="Times New Roman Regular" w:cs="Times New Roman Regular"/>
          <w:iCs/>
          <w:color w:val="000000" w:themeColor="text1"/>
          <w:sz w:val="24"/>
          <w:szCs w:val="24"/>
        </w:rPr>
        <w:t xml:space="preserve">, ascorbic acid in the diet during chemical stress reduced the stress reactions induced by deltamethrin demonstrating the influence of ascorbic acid status on the fishes under chemical stress (Datta &amp; Kaviraj, 2003). Similar evidence was derived in chronically exposed treatment to the dietary ascorbic acid which was tested for its ability to reduce the toxicity of pesticides (Datta &amp; Kaviraj, 2006). </w:t>
      </w:r>
    </w:p>
    <w:p w14:paraId="0FFEEE9B" w14:textId="30695E7F" w:rsid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t xml:space="preserve">Recently, vitamin-C is also being </w:t>
      </w:r>
      <w:proofErr w:type="spellStart"/>
      <w:r w:rsidRPr="00BC0119">
        <w:rPr>
          <w:rFonts w:ascii="Times New Roman Regular" w:hAnsi="Times New Roman Regular" w:cs="Times New Roman Regular"/>
          <w:iCs/>
          <w:color w:val="000000" w:themeColor="text1"/>
          <w:sz w:val="24"/>
          <w:szCs w:val="24"/>
        </w:rPr>
        <w:t>recognised</w:t>
      </w:r>
      <w:proofErr w:type="spellEnd"/>
      <w:r w:rsidRPr="00BC0119">
        <w:rPr>
          <w:rFonts w:ascii="Times New Roman Regular" w:hAnsi="Times New Roman Regular" w:cs="Times New Roman Regular"/>
          <w:iCs/>
          <w:color w:val="000000" w:themeColor="text1"/>
          <w:sz w:val="24"/>
          <w:szCs w:val="24"/>
        </w:rPr>
        <w:t xml:space="preserve"> as a having a modulating effect on pesticide-induced oxidative damage in fish under multiple pesticide stressors (Waheed et al., 2026). The recent report of other biochemistry and cellular effects in </w:t>
      </w:r>
      <w:r w:rsidRPr="00BC0119">
        <w:rPr>
          <w:rFonts w:ascii="Times New Roman Regular" w:hAnsi="Times New Roman Regular" w:cs="Times New Roman Regular"/>
          <w:i/>
          <w:iCs/>
          <w:color w:val="000000" w:themeColor="text1"/>
          <w:sz w:val="24"/>
          <w:szCs w:val="24"/>
        </w:rPr>
        <w:t>C. punctatus</w:t>
      </w:r>
      <w:r w:rsidRPr="00BC0119">
        <w:rPr>
          <w:rFonts w:ascii="Times New Roman Regular" w:hAnsi="Times New Roman Regular" w:cs="Times New Roman Regular"/>
          <w:iCs/>
          <w:color w:val="000000" w:themeColor="text1"/>
          <w:sz w:val="24"/>
          <w:szCs w:val="24"/>
        </w:rPr>
        <w:t xml:space="preserve"> induced by pesticide toxicity is very pertinent to the present findings. In the same species, the effects of exposure to Mancozeb have been correlated with changes in activities of biochemical indicators and redox status of liver (Khan et al., 2024). Recent studies also have reported histopathological, </w:t>
      </w:r>
      <w:proofErr w:type="spellStart"/>
      <w:r w:rsidRPr="00BC0119">
        <w:rPr>
          <w:rFonts w:ascii="Times New Roman Regular" w:hAnsi="Times New Roman Regular" w:cs="Times New Roman Regular"/>
          <w:iCs/>
          <w:color w:val="000000" w:themeColor="text1"/>
          <w:sz w:val="24"/>
          <w:szCs w:val="24"/>
        </w:rPr>
        <w:t>haematological</w:t>
      </w:r>
      <w:proofErr w:type="spellEnd"/>
      <w:r w:rsidRPr="00BC0119">
        <w:rPr>
          <w:rFonts w:ascii="Times New Roman Regular" w:hAnsi="Times New Roman Regular" w:cs="Times New Roman Regular"/>
          <w:iCs/>
          <w:color w:val="000000" w:themeColor="text1"/>
          <w:sz w:val="24"/>
          <w:szCs w:val="24"/>
        </w:rPr>
        <w:t xml:space="preserve"> and genotoxic changes after organophosphate exposure, illustrating that organophosphate stress goes beyond individual biochemical responses (Ahmed et al., 2025). Acute exposure to dimethoate has also been reported to cause dose-dependent </w:t>
      </w:r>
      <w:proofErr w:type="spellStart"/>
      <w:r w:rsidRPr="00BC0119">
        <w:rPr>
          <w:rFonts w:ascii="Times New Roman Regular" w:hAnsi="Times New Roman Regular" w:cs="Times New Roman Regular"/>
          <w:iCs/>
          <w:color w:val="000000" w:themeColor="text1"/>
          <w:sz w:val="24"/>
          <w:szCs w:val="24"/>
        </w:rPr>
        <w:t>behavioural</w:t>
      </w:r>
      <w:proofErr w:type="spellEnd"/>
      <w:r w:rsidRPr="00BC0119">
        <w:rPr>
          <w:rFonts w:ascii="Times New Roman Regular" w:hAnsi="Times New Roman Regular" w:cs="Times New Roman Regular"/>
          <w:iCs/>
          <w:color w:val="000000" w:themeColor="text1"/>
          <w:sz w:val="24"/>
          <w:szCs w:val="24"/>
        </w:rPr>
        <w:t xml:space="preserve"> and toxicological effects in </w:t>
      </w:r>
      <w:r w:rsidRPr="00BC0119">
        <w:rPr>
          <w:rFonts w:ascii="Times New Roman Regular" w:hAnsi="Times New Roman Regular" w:cs="Times New Roman Regular"/>
          <w:i/>
          <w:iCs/>
          <w:color w:val="000000" w:themeColor="text1"/>
          <w:sz w:val="24"/>
          <w:szCs w:val="24"/>
        </w:rPr>
        <w:t>C. punctatus</w:t>
      </w:r>
      <w:r w:rsidRPr="00BC0119">
        <w:rPr>
          <w:rFonts w:ascii="Times New Roman Regular" w:hAnsi="Times New Roman Regular" w:cs="Times New Roman Regular"/>
          <w:iCs/>
          <w:color w:val="000000" w:themeColor="text1"/>
          <w:sz w:val="24"/>
          <w:szCs w:val="24"/>
        </w:rPr>
        <w:t xml:space="preserve"> (Chandra &amp; Rishita, 2025). </w:t>
      </w:r>
    </w:p>
    <w:p w14:paraId="234D874E" w14:textId="77777777" w:rsid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lastRenderedPageBreak/>
        <w:t>The present data suggest that ascorbic-acid status is a measurable biochemical response that can occur in a tissue specific manner to chronic sub-Hz exposure of dimethoate. This simultaneous decrease in gills and rise in liver and muscle suggests that potential tissue-specific differences in antioxidant response might be altogether masked by a whole-animal antioxidant response. The findings of this study extend the tissue-resolved biochemical component of a pesticide stress assessment framework that has been increasingly supported by recent research in fish.</w:t>
      </w:r>
    </w:p>
    <w:p w14:paraId="16D61A6B" w14:textId="42146402" w:rsidR="00BC0119" w:rsidRPr="00BC0119" w:rsidRDefault="00BC0119" w:rsidP="008149B1">
      <w:pPr>
        <w:spacing w:after="0" w:line="360" w:lineRule="auto"/>
        <w:contextualSpacing/>
        <w:jc w:val="both"/>
        <w:rPr>
          <w:rFonts w:ascii="Times New Roman Regular" w:hAnsi="Times New Roman Regular" w:cs="Times New Roman Regular"/>
          <w:iCs/>
          <w:color w:val="000000" w:themeColor="text1"/>
          <w:sz w:val="24"/>
          <w:szCs w:val="24"/>
        </w:rPr>
      </w:pPr>
      <w:r w:rsidRPr="00BC0119">
        <w:rPr>
          <w:rFonts w:ascii="Times New Roman Regular" w:hAnsi="Times New Roman Regular" w:cs="Times New Roman Regular"/>
          <w:iCs/>
          <w:color w:val="000000" w:themeColor="text1"/>
          <w:sz w:val="24"/>
          <w:szCs w:val="24"/>
        </w:rPr>
        <w:t>Recent research helps support integrated biomarker approaches for assessing pesticide stress in fish; findings of this study contribute a tissue-resolved biochemical dimension to this framework (Kumari, 2026). Therefore, further work exploring the ascorbic-acid dynamics in conjunction with the other biomarkers (reduction, histopathology and molecular) was warranted to consider the possibility of using tissue-specific vitamin C responses to the dimethoate contamination in freshwater systems.</w:t>
      </w:r>
    </w:p>
    <w:p w14:paraId="41B56F52" w14:textId="3B8AC8B0" w:rsidR="00285028" w:rsidRDefault="00842715" w:rsidP="008149B1">
      <w:pPr>
        <w:spacing w:after="0" w:line="360" w:lineRule="auto"/>
        <w:contextualSpacing/>
        <w:jc w:val="both"/>
        <w:rPr>
          <w:rFonts w:ascii="Times New Roman Regular" w:hAnsi="Times New Roman Regular" w:cs="Times New Roman Regular"/>
          <w:b/>
          <w:bCs/>
          <w:iCs/>
          <w:color w:val="000000" w:themeColor="text1"/>
          <w:sz w:val="24"/>
          <w:szCs w:val="24"/>
        </w:rPr>
      </w:pPr>
      <w:r>
        <w:rPr>
          <w:rFonts w:ascii="Times New Roman Regular" w:hAnsi="Times New Roman Regular" w:cs="Times New Roman Regular"/>
          <w:b/>
          <w:bCs/>
          <w:iCs/>
          <w:color w:val="000000" w:themeColor="text1"/>
          <w:sz w:val="24"/>
          <w:szCs w:val="24"/>
        </w:rPr>
        <w:t>Conclusion</w:t>
      </w:r>
    </w:p>
    <w:p w14:paraId="357D03A0" w14:textId="3CC98CE6" w:rsidR="00A24767" w:rsidRDefault="00A24767" w:rsidP="008149B1">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The present study shows that sublethal exposure to dimethoate causes significant tissue-specific aberrations in ascorbic acid levels in C. punctatus. Liver and muscle ascorbic acid concentrations rose during the 30-day exposure, with the greatest change at the highest exposure, while the gill showed a consistent decrease across all exposures. The divergent pattern suggests that the antioxidant response to pesticide stress is strongly determined not only by tissue function but also by the challenge interface. The results also confirm ascorbic acid status as a sensitive biochemical marker of chronic stress induced by dimethoate in tissues. Significant inter-organ (between liver and gill) variability, especially in liver and gill responses, illustrates the necessity of obtaining a more precise understanding of organ-specific biochemical variation when studying pesticide toxicity. This work collectively reinforces the relevance of ascorbic acid dynamics within the context of integrated biomarker strategies for fish and will serve as a foundation for examining the correlation between ascorbic acid homeostasis and redox imbalance, histopathological injury, and molecular responses in freshwater fish during chronic pesticide exposure.</w:t>
      </w:r>
    </w:p>
    <w:p w14:paraId="6CBFD451" w14:textId="77777777" w:rsidR="00AA0044" w:rsidRDefault="00AA0044" w:rsidP="008149B1">
      <w:pPr>
        <w:spacing w:after="0" w:line="360" w:lineRule="auto"/>
        <w:contextualSpacing/>
        <w:jc w:val="both"/>
        <w:rPr>
          <w:rFonts w:ascii="Times New Roman Regular" w:hAnsi="Times New Roman Regular" w:cs="Times New Roman Regular"/>
          <w:iCs/>
          <w:color w:val="000000" w:themeColor="text1"/>
          <w:sz w:val="24"/>
          <w:szCs w:val="24"/>
        </w:rPr>
      </w:pPr>
    </w:p>
    <w:p w14:paraId="430D5D48" w14:textId="77777777" w:rsidR="00AA0044" w:rsidRPr="00AA0044" w:rsidRDefault="00AA0044" w:rsidP="00AA0044">
      <w:pPr>
        <w:spacing w:after="0" w:line="240" w:lineRule="auto"/>
        <w:rPr>
          <w:rFonts w:ascii="Arial" w:eastAsia="Calibri" w:hAnsi="Arial" w:cs="Arial"/>
          <w:b/>
          <w:sz w:val="20"/>
          <w:szCs w:val="20"/>
        </w:rPr>
      </w:pPr>
      <w:r w:rsidRPr="00AA0044">
        <w:rPr>
          <w:rFonts w:ascii="Arial" w:eastAsia="Calibri" w:hAnsi="Arial" w:cs="Arial"/>
          <w:b/>
          <w:sz w:val="20"/>
          <w:szCs w:val="20"/>
        </w:rPr>
        <w:t>Declaration of AI Use</w:t>
      </w:r>
    </w:p>
    <w:p w14:paraId="72C07C5A" w14:textId="77777777" w:rsidR="00AA0044" w:rsidRPr="00AA0044" w:rsidRDefault="00AA0044" w:rsidP="00AA0044">
      <w:pPr>
        <w:spacing w:after="0" w:line="240" w:lineRule="auto"/>
        <w:rPr>
          <w:rFonts w:ascii="Arial" w:eastAsia="Calibri" w:hAnsi="Arial" w:cs="Arial"/>
          <w:sz w:val="20"/>
          <w:szCs w:val="20"/>
        </w:rPr>
      </w:pPr>
    </w:p>
    <w:p w14:paraId="5D6F89CC" w14:textId="77777777" w:rsidR="00AA0044" w:rsidRPr="00AA0044" w:rsidRDefault="00AA0044" w:rsidP="00AA0044">
      <w:pPr>
        <w:spacing w:after="0" w:line="240" w:lineRule="auto"/>
        <w:rPr>
          <w:rFonts w:ascii="Arial" w:eastAsia="Calibri" w:hAnsi="Arial" w:cs="Arial"/>
          <w:sz w:val="20"/>
          <w:szCs w:val="20"/>
        </w:rPr>
      </w:pPr>
      <w:r w:rsidRPr="00AA0044">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w:t>
      </w:r>
      <w:r w:rsidRPr="00AA0044">
        <w:rPr>
          <w:rFonts w:ascii="Arial" w:eastAsia="Calibri" w:hAnsi="Arial" w:cs="Arial"/>
          <w:sz w:val="20"/>
          <w:szCs w:val="20"/>
        </w:rPr>
        <w:lastRenderedPageBreak/>
        <w:t>during manuscript revision. The author(s) accept full responsibility for the accuracy, integrity, and final content of the manuscript.</w:t>
      </w:r>
    </w:p>
    <w:p w14:paraId="1B062FC1" w14:textId="77777777" w:rsidR="00AA0044" w:rsidRPr="00AA0044" w:rsidRDefault="00AA0044" w:rsidP="00AA0044">
      <w:pPr>
        <w:spacing w:after="0" w:line="240" w:lineRule="auto"/>
        <w:jc w:val="both"/>
        <w:rPr>
          <w:rFonts w:ascii="Times New Roman" w:eastAsia="Calibri" w:hAnsi="Times New Roman" w:cs="Times New Roman"/>
        </w:rPr>
      </w:pPr>
    </w:p>
    <w:p w14:paraId="5762AE04" w14:textId="77777777" w:rsidR="00AA0044" w:rsidRPr="00AA0044" w:rsidRDefault="00AA0044" w:rsidP="00AA0044">
      <w:pPr>
        <w:spacing w:after="0" w:line="240" w:lineRule="auto"/>
        <w:jc w:val="both"/>
        <w:rPr>
          <w:rFonts w:ascii="Times New Roman" w:eastAsia="Calibri" w:hAnsi="Times New Roman" w:cs="Times New Roman"/>
        </w:rPr>
      </w:pPr>
    </w:p>
    <w:p w14:paraId="7FBAC46A" w14:textId="77777777" w:rsidR="00AA0044" w:rsidRPr="00AA0044" w:rsidRDefault="00AA0044" w:rsidP="00AA0044">
      <w:pPr>
        <w:rPr>
          <w:rFonts w:ascii="Cambria" w:eastAsia="Times New Roman" w:hAnsi="Cambria" w:cs="Arial"/>
          <w:b/>
          <w:bCs/>
          <w:lang w:val="en-GB" w:eastAsia="en-GB"/>
        </w:rPr>
      </w:pPr>
      <w:r w:rsidRPr="00AA0044">
        <w:rPr>
          <w:rFonts w:ascii="Cambria" w:eastAsia="Times New Roman" w:hAnsi="Cambria" w:cs="Arial"/>
          <w:b/>
          <w:bCs/>
          <w:lang w:val="en-GB" w:eastAsia="en-GB"/>
        </w:rPr>
        <w:t>COMPETING INTERESTS DISCLAIMER:</w:t>
      </w:r>
    </w:p>
    <w:p w14:paraId="3B0E051A" w14:textId="77777777" w:rsidR="00AA0044" w:rsidRPr="00AA0044" w:rsidRDefault="00AA0044" w:rsidP="00AA0044">
      <w:pPr>
        <w:rPr>
          <w:rFonts w:ascii="Cambria" w:eastAsia="Times New Roman" w:hAnsi="Cambria" w:cs="Times New Roman"/>
          <w:lang w:val="en-GB" w:eastAsia="en-GB"/>
        </w:rPr>
      </w:pPr>
      <w:r w:rsidRPr="00AA0044">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7CEB462" w14:textId="77777777" w:rsidR="00AA0044" w:rsidRDefault="00AA0044" w:rsidP="008149B1">
      <w:pPr>
        <w:spacing w:after="0" w:line="360" w:lineRule="auto"/>
        <w:contextualSpacing/>
        <w:jc w:val="both"/>
        <w:rPr>
          <w:rFonts w:ascii="Times New Roman Regular" w:hAnsi="Times New Roman Regular" w:cs="Times New Roman Regular"/>
          <w:iCs/>
          <w:color w:val="000000" w:themeColor="text1"/>
          <w:sz w:val="24"/>
          <w:szCs w:val="24"/>
        </w:rPr>
      </w:pPr>
    </w:p>
    <w:p w14:paraId="5D4FC1FA" w14:textId="77777777" w:rsidR="004616F7" w:rsidRDefault="004616F7" w:rsidP="008149B1">
      <w:pPr>
        <w:spacing w:after="0" w:line="360" w:lineRule="auto"/>
        <w:contextualSpacing/>
        <w:jc w:val="both"/>
        <w:rPr>
          <w:rFonts w:ascii="Times New Roman Regular" w:hAnsi="Times New Roman Regular" w:cs="Times New Roman Regular"/>
          <w:iCs/>
          <w:color w:val="000000" w:themeColor="text1"/>
          <w:sz w:val="24"/>
          <w:szCs w:val="24"/>
        </w:rPr>
      </w:pPr>
    </w:p>
    <w:p w14:paraId="196B726E" w14:textId="77777777" w:rsidR="004616F7" w:rsidRDefault="004616F7" w:rsidP="008149B1">
      <w:pPr>
        <w:spacing w:after="0" w:line="360" w:lineRule="auto"/>
        <w:contextualSpacing/>
        <w:jc w:val="both"/>
        <w:rPr>
          <w:rFonts w:ascii="Times New Roman Regular" w:hAnsi="Times New Roman Regular" w:cs="Times New Roman Regular"/>
          <w:iCs/>
          <w:color w:val="000000" w:themeColor="text1"/>
          <w:sz w:val="24"/>
          <w:szCs w:val="24"/>
        </w:rPr>
      </w:pPr>
    </w:p>
    <w:p w14:paraId="220F9A27" w14:textId="77777777" w:rsidR="004616F7" w:rsidRDefault="004616F7" w:rsidP="008149B1">
      <w:pPr>
        <w:spacing w:after="0" w:line="360" w:lineRule="auto"/>
        <w:contextualSpacing/>
        <w:jc w:val="both"/>
        <w:rPr>
          <w:rFonts w:ascii="Times New Roman Regular" w:hAnsi="Times New Roman Regular" w:cs="Times New Roman Regular"/>
          <w:iCs/>
          <w:color w:val="000000" w:themeColor="text1"/>
          <w:sz w:val="24"/>
          <w:szCs w:val="24"/>
        </w:rPr>
      </w:pPr>
    </w:p>
    <w:p w14:paraId="5C981C0A" w14:textId="77777777" w:rsidR="004616F7" w:rsidRDefault="004616F7" w:rsidP="008149B1">
      <w:pPr>
        <w:spacing w:after="0" w:line="360" w:lineRule="auto"/>
        <w:contextualSpacing/>
        <w:jc w:val="both"/>
        <w:rPr>
          <w:rFonts w:ascii="Times New Roman Regular" w:hAnsi="Times New Roman Regular" w:cs="Times New Roman Regular"/>
          <w:iCs/>
          <w:color w:val="000000" w:themeColor="text1"/>
          <w:sz w:val="24"/>
          <w:szCs w:val="24"/>
        </w:rPr>
      </w:pPr>
    </w:p>
    <w:p w14:paraId="125E7030" w14:textId="221DD49A" w:rsidR="004616F7" w:rsidRPr="004616F7" w:rsidRDefault="004616F7" w:rsidP="008149B1">
      <w:pPr>
        <w:spacing w:after="0" w:line="360" w:lineRule="auto"/>
        <w:contextualSpacing/>
        <w:jc w:val="both"/>
        <w:rPr>
          <w:rFonts w:ascii="Times New Roman Regular" w:hAnsi="Times New Roman Regular" w:cs="Times New Roman Regular"/>
          <w:b/>
          <w:bCs/>
          <w:iCs/>
          <w:color w:val="000000" w:themeColor="text1"/>
          <w:sz w:val="24"/>
          <w:szCs w:val="24"/>
        </w:rPr>
      </w:pPr>
      <w:r w:rsidRPr="004616F7">
        <w:rPr>
          <w:rFonts w:ascii="Times New Roman Regular" w:hAnsi="Times New Roman Regular" w:cs="Times New Roman Regular"/>
          <w:b/>
          <w:bCs/>
          <w:iCs/>
          <w:color w:val="000000" w:themeColor="text1"/>
          <w:sz w:val="24"/>
          <w:szCs w:val="24"/>
        </w:rPr>
        <w:t>Reference</w:t>
      </w:r>
    </w:p>
    <w:p w14:paraId="1B7508BB" w14:textId="32B0AF34"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Ahmed, A., Mech, B., </w:t>
      </w:r>
      <w:proofErr w:type="spellStart"/>
      <w:r w:rsidRPr="004616F7">
        <w:rPr>
          <w:rFonts w:ascii="Times New Roman Regular" w:hAnsi="Times New Roman Regular" w:cs="Times New Roman Regular"/>
          <w:iCs/>
          <w:color w:val="000000" w:themeColor="text1"/>
          <w:sz w:val="24"/>
          <w:szCs w:val="24"/>
        </w:rPr>
        <w:t>Parbin</w:t>
      </w:r>
      <w:proofErr w:type="spellEnd"/>
      <w:r w:rsidRPr="004616F7">
        <w:rPr>
          <w:rFonts w:ascii="Times New Roman Regular" w:hAnsi="Times New Roman Regular" w:cs="Times New Roman Regular"/>
          <w:iCs/>
          <w:color w:val="000000" w:themeColor="text1"/>
          <w:sz w:val="24"/>
          <w:szCs w:val="24"/>
        </w:rPr>
        <w:t xml:space="preserve">, H., Begum, T., Rasid, S. S., &amp; Hussain, M. A. (2025). Histopathological, hematological and genotoxic study on Channa punctata (Bloch 1793) treated with a sub-lethal dose of organophosphate pesticide malathion. International Journal of Ecology and Environmental Sciences. </w:t>
      </w:r>
      <w:hyperlink r:id="rId15" w:history="1">
        <w:r w:rsidRPr="004616F7">
          <w:rPr>
            <w:rStyle w:val="Hyperlink"/>
            <w:rFonts w:ascii="Times New Roman Regular" w:hAnsi="Times New Roman Regular" w:cs="Times New Roman Regular"/>
            <w:iCs/>
            <w:sz w:val="24"/>
            <w:szCs w:val="24"/>
          </w:rPr>
          <w:t>https://doi.org/10.55863/ijees.2025.0632</w:t>
        </w:r>
      </w:hyperlink>
      <w:r w:rsidRPr="004616F7">
        <w:rPr>
          <w:rFonts w:ascii="Times New Roman Regular" w:hAnsi="Times New Roman Regular" w:cs="Times New Roman Regular"/>
          <w:iCs/>
          <w:color w:val="000000" w:themeColor="text1"/>
          <w:sz w:val="24"/>
          <w:szCs w:val="24"/>
        </w:rPr>
        <w:t xml:space="preserve"> </w:t>
      </w:r>
    </w:p>
    <w:p w14:paraId="73DCBF14" w14:textId="3F3E3ED9"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Bhandare, R. Y., </w:t>
      </w:r>
      <w:proofErr w:type="spellStart"/>
      <w:r w:rsidRPr="004616F7">
        <w:rPr>
          <w:rFonts w:ascii="Times New Roman Regular" w:hAnsi="Times New Roman Regular" w:cs="Times New Roman Regular"/>
          <w:iCs/>
          <w:color w:val="000000" w:themeColor="text1"/>
          <w:sz w:val="24"/>
          <w:szCs w:val="24"/>
        </w:rPr>
        <w:t>Paithane</w:t>
      </w:r>
      <w:proofErr w:type="spellEnd"/>
      <w:r w:rsidRPr="004616F7">
        <w:rPr>
          <w:rFonts w:ascii="Times New Roman Regular" w:hAnsi="Times New Roman Regular" w:cs="Times New Roman Regular"/>
          <w:iCs/>
          <w:color w:val="000000" w:themeColor="text1"/>
          <w:sz w:val="24"/>
          <w:szCs w:val="24"/>
        </w:rPr>
        <w:t xml:space="preserve">, K. T., Kharat, K. S., &amp; Pathan, T. S. (2023). Changes in ascorbic acid in liver, muscle and gills due to dimethoate-induced in freshwater fish Puntius </w:t>
      </w:r>
      <w:proofErr w:type="spellStart"/>
      <w:r w:rsidRPr="004616F7">
        <w:rPr>
          <w:rFonts w:ascii="Times New Roman Regular" w:hAnsi="Times New Roman Regular" w:cs="Times New Roman Regular"/>
          <w:iCs/>
          <w:color w:val="000000" w:themeColor="text1"/>
          <w:sz w:val="24"/>
          <w:szCs w:val="24"/>
        </w:rPr>
        <w:t>ticto</w:t>
      </w:r>
      <w:proofErr w:type="spellEnd"/>
      <w:r w:rsidRPr="004616F7">
        <w:rPr>
          <w:rFonts w:ascii="Times New Roman Regular" w:hAnsi="Times New Roman Regular" w:cs="Times New Roman Regular"/>
          <w:iCs/>
          <w:color w:val="000000" w:themeColor="text1"/>
          <w:sz w:val="24"/>
          <w:szCs w:val="24"/>
        </w:rPr>
        <w:t xml:space="preserve">. Uttar Pradesh Journal of Zoology, 44(18), 71–77. </w:t>
      </w:r>
    </w:p>
    <w:p w14:paraId="769B631A" w14:textId="51FDE652"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proofErr w:type="spellStart"/>
      <w:r w:rsidRPr="004616F7">
        <w:rPr>
          <w:rFonts w:ascii="Times New Roman Regular" w:hAnsi="Times New Roman Regular" w:cs="Times New Roman Regular"/>
          <w:iCs/>
          <w:color w:val="000000" w:themeColor="text1"/>
          <w:sz w:val="24"/>
          <w:szCs w:val="24"/>
        </w:rPr>
        <w:t>Bhusari</w:t>
      </w:r>
      <w:proofErr w:type="spellEnd"/>
      <w:r w:rsidRPr="004616F7">
        <w:rPr>
          <w:rFonts w:ascii="Times New Roman Regular" w:hAnsi="Times New Roman Regular" w:cs="Times New Roman Regular"/>
          <w:iCs/>
          <w:color w:val="000000" w:themeColor="text1"/>
          <w:sz w:val="24"/>
          <w:szCs w:val="24"/>
        </w:rPr>
        <w:t>, N. B. (1985). Studies on the effect of pesticide on freshwater fish of Marathwada region [Doctoral dissertation, Dr. Babasaheb Ambedkar Marathwada University].</w:t>
      </w:r>
    </w:p>
    <w:p w14:paraId="4235D634" w14:textId="1479A950"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Bojarski, B., &amp; </w:t>
      </w:r>
      <w:proofErr w:type="spellStart"/>
      <w:r w:rsidRPr="004616F7">
        <w:rPr>
          <w:rFonts w:ascii="Times New Roman Regular" w:hAnsi="Times New Roman Regular" w:cs="Times New Roman Regular"/>
          <w:iCs/>
          <w:color w:val="000000" w:themeColor="text1"/>
          <w:sz w:val="24"/>
          <w:szCs w:val="24"/>
        </w:rPr>
        <w:t>Witeska</w:t>
      </w:r>
      <w:proofErr w:type="spellEnd"/>
      <w:r w:rsidRPr="004616F7">
        <w:rPr>
          <w:rFonts w:ascii="Times New Roman Regular" w:hAnsi="Times New Roman Regular" w:cs="Times New Roman Regular"/>
          <w:iCs/>
          <w:color w:val="000000" w:themeColor="text1"/>
          <w:sz w:val="24"/>
          <w:szCs w:val="24"/>
        </w:rPr>
        <w:t xml:space="preserve">, M. (2020). Blood biomarkers of herbicide, insecticide, and fungicide toxicity to fish: A review. Environmental Science and Pollution Research. </w:t>
      </w:r>
      <w:hyperlink r:id="rId16" w:history="1">
        <w:r w:rsidRPr="004616F7">
          <w:rPr>
            <w:rStyle w:val="Hyperlink"/>
            <w:rFonts w:ascii="Times New Roman Regular" w:hAnsi="Times New Roman Regular" w:cs="Times New Roman Regular"/>
            <w:iCs/>
            <w:sz w:val="24"/>
            <w:szCs w:val="24"/>
          </w:rPr>
          <w:t>https://doi.org/10.1007/s11356-020-08248-8</w:t>
        </w:r>
      </w:hyperlink>
      <w:r w:rsidRPr="004616F7">
        <w:rPr>
          <w:rFonts w:ascii="Times New Roman Regular" w:hAnsi="Times New Roman Regular" w:cs="Times New Roman Regular"/>
          <w:iCs/>
          <w:color w:val="000000" w:themeColor="text1"/>
          <w:sz w:val="24"/>
          <w:szCs w:val="24"/>
        </w:rPr>
        <w:t xml:space="preserve"> </w:t>
      </w:r>
    </w:p>
    <w:p w14:paraId="2667692D" w14:textId="1A612D85"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Chandra, S., &amp; Rishita, S. (2025). Acute toxicity and ethological responses of Channa punctatus (Bloch) exposed to an organophosphorus insecticide, dimethoate. International Journal of Zoological Investigations. </w:t>
      </w:r>
      <w:hyperlink r:id="rId17" w:history="1">
        <w:r w:rsidRPr="004616F7">
          <w:rPr>
            <w:rStyle w:val="Hyperlink"/>
            <w:rFonts w:ascii="Times New Roman Regular" w:hAnsi="Times New Roman Regular" w:cs="Times New Roman Regular"/>
            <w:iCs/>
            <w:sz w:val="24"/>
            <w:szCs w:val="24"/>
          </w:rPr>
          <w:t>https://doi.org/10.33745/ijzi.2025.v11i02.035</w:t>
        </w:r>
      </w:hyperlink>
      <w:r w:rsidRPr="004616F7">
        <w:rPr>
          <w:rFonts w:ascii="Times New Roman Regular" w:hAnsi="Times New Roman Regular" w:cs="Times New Roman Regular"/>
          <w:iCs/>
          <w:color w:val="000000" w:themeColor="text1"/>
          <w:sz w:val="24"/>
          <w:szCs w:val="24"/>
        </w:rPr>
        <w:t xml:space="preserve"> </w:t>
      </w:r>
    </w:p>
    <w:p w14:paraId="683AA67B" w14:textId="1D1BF76C"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Datta, M., &amp; Kaviraj, A. (2003). Ascorbic acid supplementation of diet for reduction of deltamethrin-induced stress in freshwater catfish Clarias </w:t>
      </w:r>
      <w:proofErr w:type="spellStart"/>
      <w:r w:rsidRPr="004616F7">
        <w:rPr>
          <w:rFonts w:ascii="Times New Roman Regular" w:hAnsi="Times New Roman Regular" w:cs="Times New Roman Regular"/>
          <w:iCs/>
          <w:color w:val="000000" w:themeColor="text1"/>
          <w:sz w:val="24"/>
          <w:szCs w:val="24"/>
        </w:rPr>
        <w:t>gariepinus</w:t>
      </w:r>
      <w:proofErr w:type="spellEnd"/>
      <w:r w:rsidRPr="004616F7">
        <w:rPr>
          <w:rFonts w:ascii="Times New Roman Regular" w:hAnsi="Times New Roman Regular" w:cs="Times New Roman Regular"/>
          <w:iCs/>
          <w:color w:val="000000" w:themeColor="text1"/>
          <w:sz w:val="24"/>
          <w:szCs w:val="24"/>
        </w:rPr>
        <w:t xml:space="preserve">. Chemosphere, 53, 883–888. </w:t>
      </w:r>
    </w:p>
    <w:p w14:paraId="2D11B34C" w14:textId="54EFB53D"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lastRenderedPageBreak/>
        <w:t xml:space="preserve">Datta, M., &amp; Kaviraj, A. (2006). Dietary ascorbic acid supplement to ameliorate chronic toxicity of </w:t>
      </w:r>
      <w:proofErr w:type="spellStart"/>
      <w:r w:rsidRPr="004616F7">
        <w:rPr>
          <w:rFonts w:ascii="Times New Roman Regular" w:hAnsi="Times New Roman Regular" w:cs="Times New Roman Regular"/>
          <w:iCs/>
          <w:color w:val="000000" w:themeColor="text1"/>
          <w:sz w:val="24"/>
          <w:szCs w:val="24"/>
        </w:rPr>
        <w:t>fenvalerate</w:t>
      </w:r>
      <w:proofErr w:type="spellEnd"/>
      <w:r w:rsidRPr="004616F7">
        <w:rPr>
          <w:rFonts w:ascii="Times New Roman Regular" w:hAnsi="Times New Roman Regular" w:cs="Times New Roman Regular"/>
          <w:iCs/>
          <w:color w:val="000000" w:themeColor="text1"/>
          <w:sz w:val="24"/>
          <w:szCs w:val="24"/>
        </w:rPr>
        <w:t xml:space="preserve"> to Clarias </w:t>
      </w:r>
      <w:proofErr w:type="spellStart"/>
      <w:r w:rsidRPr="004616F7">
        <w:rPr>
          <w:rFonts w:ascii="Times New Roman Regular" w:hAnsi="Times New Roman Regular" w:cs="Times New Roman Regular"/>
          <w:iCs/>
          <w:color w:val="000000" w:themeColor="text1"/>
          <w:sz w:val="24"/>
          <w:szCs w:val="24"/>
        </w:rPr>
        <w:t>gariepinus</w:t>
      </w:r>
      <w:proofErr w:type="spellEnd"/>
      <w:r w:rsidRPr="004616F7">
        <w:rPr>
          <w:rFonts w:ascii="Times New Roman Regular" w:hAnsi="Times New Roman Regular" w:cs="Times New Roman Regular"/>
          <w:iCs/>
          <w:color w:val="000000" w:themeColor="text1"/>
          <w:sz w:val="24"/>
          <w:szCs w:val="24"/>
        </w:rPr>
        <w:t xml:space="preserve">. Australian Journal of Ecotoxicology, 12, 129–134. </w:t>
      </w:r>
    </w:p>
    <w:p w14:paraId="1B1832B1" w14:textId="0B08B82F"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Davane, P. M. (1991). Impact assessment of pesticides in aquatic animals: Special reference with fishes [Doctoral dissertation, Dr. Babasaheb Ambedkar Marathwada University]. </w:t>
      </w:r>
    </w:p>
    <w:p w14:paraId="0A5D801A" w14:textId="688EA070"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George, J., &amp; Shukla, Y. (2011). Pesticides and cancer: Insights into </w:t>
      </w:r>
      <w:proofErr w:type="spellStart"/>
      <w:r w:rsidRPr="004616F7">
        <w:rPr>
          <w:rFonts w:ascii="Times New Roman Regular" w:hAnsi="Times New Roman Regular" w:cs="Times New Roman Regular"/>
          <w:iCs/>
          <w:color w:val="000000" w:themeColor="text1"/>
          <w:sz w:val="24"/>
          <w:szCs w:val="24"/>
        </w:rPr>
        <w:t>toxicoproteomic</w:t>
      </w:r>
      <w:proofErr w:type="spellEnd"/>
      <w:r w:rsidRPr="004616F7">
        <w:rPr>
          <w:rFonts w:ascii="Times New Roman Regular" w:hAnsi="Times New Roman Regular" w:cs="Times New Roman Regular"/>
          <w:iCs/>
          <w:color w:val="000000" w:themeColor="text1"/>
          <w:sz w:val="24"/>
          <w:szCs w:val="24"/>
        </w:rPr>
        <w:t xml:space="preserve">-based findings. Journal of Proteomics, 74(12), 2713–2722. </w:t>
      </w:r>
      <w:hyperlink r:id="rId18" w:history="1">
        <w:r w:rsidRPr="004616F7">
          <w:rPr>
            <w:rStyle w:val="Hyperlink"/>
            <w:rFonts w:ascii="Times New Roman Regular" w:hAnsi="Times New Roman Regular" w:cs="Times New Roman Regular"/>
            <w:iCs/>
            <w:sz w:val="24"/>
            <w:szCs w:val="24"/>
          </w:rPr>
          <w:t>https://doi.org/10.1016/j.jprot.2011.09.024</w:t>
        </w:r>
      </w:hyperlink>
      <w:r w:rsidRPr="004616F7">
        <w:rPr>
          <w:rFonts w:ascii="Times New Roman Regular" w:hAnsi="Times New Roman Regular" w:cs="Times New Roman Regular"/>
          <w:iCs/>
          <w:color w:val="000000" w:themeColor="text1"/>
          <w:sz w:val="24"/>
          <w:szCs w:val="24"/>
        </w:rPr>
        <w:t xml:space="preserve"> </w:t>
      </w:r>
    </w:p>
    <w:p w14:paraId="40082A14" w14:textId="42ADDFD3"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Jain, A., Singh, S., Yadav, S., Dubey, A., Awasthi, Y., Tiwari, V., Kumar, V., Dubey, I., Trivedi, S. P., &amp; Kumar, M. (2025). Oxidative toxicity mediated oophoritis alters ovarian growth in Channa punctatus under prolonged exposure to herbicide, paraquat dichloride. Scientific Reports, 15. </w:t>
      </w:r>
      <w:hyperlink r:id="rId19" w:history="1">
        <w:r w:rsidRPr="004616F7">
          <w:rPr>
            <w:rStyle w:val="Hyperlink"/>
            <w:rFonts w:ascii="Times New Roman Regular" w:hAnsi="Times New Roman Regular" w:cs="Times New Roman Regular"/>
            <w:iCs/>
            <w:sz w:val="24"/>
            <w:szCs w:val="24"/>
          </w:rPr>
          <w:t>https://doi.org/10.1038/s41598-025-85555-5</w:t>
        </w:r>
      </w:hyperlink>
      <w:r w:rsidRPr="004616F7">
        <w:rPr>
          <w:rFonts w:ascii="Times New Roman Regular" w:hAnsi="Times New Roman Regular" w:cs="Times New Roman Regular"/>
          <w:iCs/>
          <w:color w:val="000000" w:themeColor="text1"/>
          <w:sz w:val="24"/>
          <w:szCs w:val="24"/>
        </w:rPr>
        <w:t xml:space="preserve"> </w:t>
      </w:r>
    </w:p>
    <w:p w14:paraId="144329CB" w14:textId="23707427"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Jigyasu, S. K., &amp; Paul, D. K. (2020). Protective effect of ascorbic acid against </w:t>
      </w:r>
      <w:proofErr w:type="spellStart"/>
      <w:r w:rsidRPr="004616F7">
        <w:rPr>
          <w:rFonts w:ascii="Times New Roman Regular" w:hAnsi="Times New Roman Regular" w:cs="Times New Roman Regular"/>
          <w:iCs/>
          <w:color w:val="000000" w:themeColor="text1"/>
          <w:sz w:val="24"/>
          <w:szCs w:val="24"/>
        </w:rPr>
        <w:t>fenvalerate</w:t>
      </w:r>
      <w:proofErr w:type="spellEnd"/>
      <w:r w:rsidRPr="004616F7">
        <w:rPr>
          <w:rFonts w:ascii="Times New Roman Regular" w:hAnsi="Times New Roman Regular" w:cs="Times New Roman Regular"/>
          <w:iCs/>
          <w:color w:val="000000" w:themeColor="text1"/>
          <w:sz w:val="24"/>
          <w:szCs w:val="24"/>
        </w:rPr>
        <w:t xml:space="preserve">-induced toxicity in air-breathing fish Clarias </w:t>
      </w:r>
      <w:proofErr w:type="spellStart"/>
      <w:r w:rsidRPr="004616F7">
        <w:rPr>
          <w:rFonts w:ascii="Times New Roman Regular" w:hAnsi="Times New Roman Regular" w:cs="Times New Roman Regular"/>
          <w:iCs/>
          <w:color w:val="000000" w:themeColor="text1"/>
          <w:sz w:val="24"/>
          <w:szCs w:val="24"/>
        </w:rPr>
        <w:t>batrachus</w:t>
      </w:r>
      <w:proofErr w:type="spellEnd"/>
      <w:r w:rsidRPr="004616F7">
        <w:rPr>
          <w:rFonts w:ascii="Times New Roman Regular" w:hAnsi="Times New Roman Regular" w:cs="Times New Roman Regular"/>
          <w:iCs/>
          <w:color w:val="000000" w:themeColor="text1"/>
          <w:sz w:val="24"/>
          <w:szCs w:val="24"/>
        </w:rPr>
        <w:t xml:space="preserve">. Journal of Applied and Natural Science, 12(3), 380–387. </w:t>
      </w:r>
    </w:p>
    <w:p w14:paraId="6FA71321" w14:textId="2C24AF1F"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Khan, A., Dwivedi, S., Singh, S., Kumar, M., &amp; Trivedi, S. P. (2024). Perturbations in redox status, biochemical indices, and expression of XBP1s and NOX4 in the livers of Channa punctatus following exposure to mancozeb. Gene Expression. </w:t>
      </w:r>
      <w:hyperlink r:id="rId20" w:history="1">
        <w:r w:rsidRPr="004616F7">
          <w:rPr>
            <w:rStyle w:val="Hyperlink"/>
            <w:rFonts w:ascii="Times New Roman Regular" w:hAnsi="Times New Roman Regular" w:cs="Times New Roman Regular"/>
            <w:iCs/>
            <w:sz w:val="24"/>
            <w:szCs w:val="24"/>
          </w:rPr>
          <w:t>https://doi.org/10.14218/ge.2023.00049</w:t>
        </w:r>
      </w:hyperlink>
      <w:r w:rsidRPr="004616F7">
        <w:rPr>
          <w:rFonts w:ascii="Times New Roman Regular" w:hAnsi="Times New Roman Regular" w:cs="Times New Roman Regular"/>
          <w:iCs/>
          <w:color w:val="000000" w:themeColor="text1"/>
          <w:sz w:val="24"/>
          <w:szCs w:val="24"/>
        </w:rPr>
        <w:t xml:space="preserve"> </w:t>
      </w:r>
    </w:p>
    <w:p w14:paraId="7795D6A4" w14:textId="165EFF85"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Kumar, M., Singh, V., Narain, G., Dubey, A., Yadav, S., Jain, A., &amp; Singh, S. (2025). Acute exposure of cypermethrin and malathion induces genotoxicity, hematological, and histopathological alterations in snakehead </w:t>
      </w:r>
      <w:proofErr w:type="spellStart"/>
      <w:r w:rsidRPr="004616F7">
        <w:rPr>
          <w:rFonts w:ascii="Times New Roman Regular" w:hAnsi="Times New Roman Regular" w:cs="Times New Roman Regular"/>
          <w:iCs/>
          <w:color w:val="000000" w:themeColor="text1"/>
          <w:sz w:val="24"/>
          <w:szCs w:val="24"/>
        </w:rPr>
        <w:t>murrel</w:t>
      </w:r>
      <w:proofErr w:type="spellEnd"/>
      <w:r w:rsidRPr="004616F7">
        <w:rPr>
          <w:rFonts w:ascii="Times New Roman Regular" w:hAnsi="Times New Roman Regular" w:cs="Times New Roman Regular"/>
          <w:iCs/>
          <w:color w:val="000000" w:themeColor="text1"/>
          <w:sz w:val="24"/>
          <w:szCs w:val="24"/>
        </w:rPr>
        <w:t xml:space="preserve">, Channa punctata. Chemistry and Ecology, 41, 1090–1114. </w:t>
      </w:r>
      <w:hyperlink r:id="rId21" w:history="1">
        <w:r w:rsidRPr="004616F7">
          <w:rPr>
            <w:rStyle w:val="Hyperlink"/>
            <w:rFonts w:ascii="Times New Roman Regular" w:hAnsi="Times New Roman Regular" w:cs="Times New Roman Regular"/>
            <w:iCs/>
            <w:sz w:val="24"/>
            <w:szCs w:val="24"/>
          </w:rPr>
          <w:t>https://doi.org/10.1080/02757540.2025.2517861</w:t>
        </w:r>
      </w:hyperlink>
      <w:r w:rsidRPr="004616F7">
        <w:rPr>
          <w:rFonts w:ascii="Times New Roman Regular" w:hAnsi="Times New Roman Regular" w:cs="Times New Roman Regular"/>
          <w:iCs/>
          <w:color w:val="000000" w:themeColor="text1"/>
          <w:sz w:val="24"/>
          <w:szCs w:val="24"/>
        </w:rPr>
        <w:t xml:space="preserve"> </w:t>
      </w:r>
    </w:p>
    <w:p w14:paraId="4A5842F2" w14:textId="557D6130"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Kumari, P. (2026). Integrated biomarker assessment of chronic toxicity of pyriproxyfen 05% + </w:t>
      </w:r>
      <w:proofErr w:type="spellStart"/>
      <w:r w:rsidRPr="004616F7">
        <w:rPr>
          <w:rFonts w:ascii="Times New Roman Regular" w:hAnsi="Times New Roman Regular" w:cs="Times New Roman Regular"/>
          <w:iCs/>
          <w:color w:val="000000" w:themeColor="text1"/>
          <w:sz w:val="24"/>
          <w:szCs w:val="24"/>
        </w:rPr>
        <w:t>fenpropathrin</w:t>
      </w:r>
      <w:proofErr w:type="spellEnd"/>
      <w:r w:rsidRPr="004616F7">
        <w:rPr>
          <w:rFonts w:ascii="Times New Roman Regular" w:hAnsi="Times New Roman Regular" w:cs="Times New Roman Regular"/>
          <w:iCs/>
          <w:color w:val="000000" w:themeColor="text1"/>
          <w:sz w:val="24"/>
          <w:szCs w:val="24"/>
        </w:rPr>
        <w:t xml:space="preserve"> 15% EC in Channa punctatus (Bloch): Implications for biomonitoring of freshwater pollution. International Journal of Versatile Research and Analysis, 4(7). </w:t>
      </w:r>
      <w:hyperlink r:id="rId22" w:history="1">
        <w:r w:rsidRPr="004616F7">
          <w:rPr>
            <w:rStyle w:val="Hyperlink"/>
            <w:rFonts w:ascii="Times New Roman Regular" w:hAnsi="Times New Roman Regular" w:cs="Times New Roman Regular"/>
            <w:iCs/>
            <w:sz w:val="24"/>
            <w:szCs w:val="24"/>
          </w:rPr>
          <w:t>https://doi.org/10.56975/ijvra.v4i7.709326</w:t>
        </w:r>
      </w:hyperlink>
      <w:r w:rsidRPr="004616F7">
        <w:rPr>
          <w:rFonts w:ascii="Times New Roman Regular" w:hAnsi="Times New Roman Regular" w:cs="Times New Roman Regular"/>
          <w:iCs/>
          <w:color w:val="000000" w:themeColor="text1"/>
          <w:sz w:val="24"/>
          <w:szCs w:val="24"/>
        </w:rPr>
        <w:t xml:space="preserve"> </w:t>
      </w:r>
    </w:p>
    <w:p w14:paraId="370D1103" w14:textId="46066067"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proofErr w:type="spellStart"/>
      <w:r w:rsidRPr="004616F7">
        <w:rPr>
          <w:rFonts w:ascii="Times New Roman Regular" w:hAnsi="Times New Roman Regular" w:cs="Times New Roman Regular"/>
          <w:iCs/>
          <w:color w:val="000000" w:themeColor="text1"/>
          <w:sz w:val="24"/>
          <w:szCs w:val="24"/>
        </w:rPr>
        <w:t>Mojiri</w:t>
      </w:r>
      <w:proofErr w:type="spellEnd"/>
      <w:r w:rsidRPr="004616F7">
        <w:rPr>
          <w:rFonts w:ascii="Times New Roman Regular" w:hAnsi="Times New Roman Regular" w:cs="Times New Roman Regular"/>
          <w:iCs/>
          <w:color w:val="000000" w:themeColor="text1"/>
          <w:sz w:val="24"/>
          <w:szCs w:val="24"/>
        </w:rPr>
        <w:t xml:space="preserve">, A., Zhou, J. L., Robinson, B., Ohashi, A., Ozaki, N., Kindaichi, T., &amp; Vakili, M. (2020). Pesticides in aquatic environments and their removal by adsorption </w:t>
      </w:r>
      <w:r w:rsidRPr="004616F7">
        <w:rPr>
          <w:rFonts w:ascii="Times New Roman Regular" w:hAnsi="Times New Roman Regular" w:cs="Times New Roman Regular"/>
          <w:iCs/>
          <w:color w:val="000000" w:themeColor="text1"/>
          <w:sz w:val="24"/>
          <w:szCs w:val="24"/>
        </w:rPr>
        <w:lastRenderedPageBreak/>
        <w:t xml:space="preserve">methods. Chemosphere, 126646. </w:t>
      </w:r>
      <w:hyperlink r:id="rId23" w:history="1">
        <w:r w:rsidRPr="004616F7">
          <w:rPr>
            <w:rStyle w:val="Hyperlink"/>
            <w:rFonts w:ascii="Times New Roman Regular" w:hAnsi="Times New Roman Regular" w:cs="Times New Roman Regular"/>
            <w:iCs/>
            <w:sz w:val="24"/>
            <w:szCs w:val="24"/>
          </w:rPr>
          <w:t>https://doi.org/10.1016/j.chemosphere.2020.126646</w:t>
        </w:r>
      </w:hyperlink>
      <w:r w:rsidRPr="004616F7">
        <w:rPr>
          <w:rFonts w:ascii="Times New Roman Regular" w:hAnsi="Times New Roman Regular" w:cs="Times New Roman Regular"/>
          <w:iCs/>
          <w:color w:val="000000" w:themeColor="text1"/>
          <w:sz w:val="24"/>
          <w:szCs w:val="24"/>
        </w:rPr>
        <w:t xml:space="preserve"> </w:t>
      </w:r>
    </w:p>
    <w:p w14:paraId="0B52646E" w14:textId="7DAD33D2"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Naik, R. (2025). Biochemical alterations as total proteins (TP), aspartate aminotransferases (AAT) and alanine aminotransferases (ALAT) induced by chlorpyrifos (an organophosphate) in the fish Channa punctata (Bloch). International Journal of Advanced Research. </w:t>
      </w:r>
      <w:hyperlink r:id="rId24" w:history="1">
        <w:r w:rsidRPr="004616F7">
          <w:rPr>
            <w:rStyle w:val="Hyperlink"/>
            <w:rFonts w:ascii="Times New Roman Regular" w:hAnsi="Times New Roman Regular" w:cs="Times New Roman Regular"/>
            <w:iCs/>
            <w:sz w:val="24"/>
            <w:szCs w:val="24"/>
          </w:rPr>
          <w:t>https://doi.org/10.21474/ijar01/21380</w:t>
        </w:r>
      </w:hyperlink>
      <w:r w:rsidRPr="004616F7">
        <w:rPr>
          <w:rFonts w:ascii="Times New Roman Regular" w:hAnsi="Times New Roman Regular" w:cs="Times New Roman Regular"/>
          <w:iCs/>
          <w:color w:val="000000" w:themeColor="text1"/>
          <w:sz w:val="24"/>
          <w:szCs w:val="24"/>
        </w:rPr>
        <w:t xml:space="preserve"> </w:t>
      </w:r>
    </w:p>
    <w:p w14:paraId="72E3763F" w14:textId="78A9E869"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Rana, I., Kumar, R., &amp; Sharma, S. (2024). A review on toxic effects of pesticides on physiological aspects of fish. Asian Journal of Biology. </w:t>
      </w:r>
      <w:hyperlink r:id="rId25" w:history="1">
        <w:r w:rsidRPr="004616F7">
          <w:rPr>
            <w:rStyle w:val="Hyperlink"/>
            <w:rFonts w:ascii="Times New Roman Regular" w:hAnsi="Times New Roman Regular" w:cs="Times New Roman Regular"/>
            <w:iCs/>
            <w:sz w:val="24"/>
            <w:szCs w:val="24"/>
          </w:rPr>
          <w:t>https://doi.org/10.9734/ajob/2024/v20i8430</w:t>
        </w:r>
      </w:hyperlink>
      <w:r w:rsidRPr="004616F7">
        <w:rPr>
          <w:rFonts w:ascii="Times New Roman Regular" w:hAnsi="Times New Roman Regular" w:cs="Times New Roman Regular"/>
          <w:iCs/>
          <w:color w:val="000000" w:themeColor="text1"/>
          <w:sz w:val="24"/>
          <w:szCs w:val="24"/>
        </w:rPr>
        <w:t xml:space="preserve"> </w:t>
      </w:r>
    </w:p>
    <w:p w14:paraId="1B3C4820" w14:textId="2945FE5B"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Sayeed, I., Parvez, S., Pandey, S., Bin-Hafeez, B., Haque, R., &amp; Raisuddin, S. (2003). Oxidative stress biomarkers of exposure to deltamethrin in freshwater fish, Channa punctatus. Ecotoxicology and Environmental Safety, 56, 295–</w:t>
      </w:r>
      <w:proofErr w:type="gramStart"/>
      <w:r w:rsidRPr="004616F7">
        <w:rPr>
          <w:rFonts w:ascii="Times New Roman Regular" w:hAnsi="Times New Roman Regular" w:cs="Times New Roman Regular"/>
          <w:iCs/>
          <w:color w:val="000000" w:themeColor="text1"/>
          <w:sz w:val="24"/>
          <w:szCs w:val="24"/>
        </w:rPr>
        <w:t>301 .</w:t>
      </w:r>
      <w:proofErr w:type="gramEnd"/>
    </w:p>
    <w:p w14:paraId="72A7A334" w14:textId="7D3BA66C"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Wagh, S. B., &amp; </w:t>
      </w:r>
      <w:proofErr w:type="spellStart"/>
      <w:r w:rsidRPr="004616F7">
        <w:rPr>
          <w:rFonts w:ascii="Times New Roman Regular" w:hAnsi="Times New Roman Regular" w:cs="Times New Roman Regular"/>
          <w:iCs/>
          <w:color w:val="000000" w:themeColor="text1"/>
          <w:sz w:val="24"/>
          <w:szCs w:val="24"/>
        </w:rPr>
        <w:t>Khillare</w:t>
      </w:r>
      <w:proofErr w:type="spellEnd"/>
      <w:r w:rsidRPr="004616F7">
        <w:rPr>
          <w:rFonts w:ascii="Times New Roman Regular" w:hAnsi="Times New Roman Regular" w:cs="Times New Roman Regular"/>
          <w:iCs/>
          <w:color w:val="000000" w:themeColor="text1"/>
          <w:sz w:val="24"/>
          <w:szCs w:val="24"/>
        </w:rPr>
        <w:t xml:space="preserve">, Y. K. (1985). Effect of malathion on level of ascorbic acid in the freshwater fish, Puntius </w:t>
      </w:r>
      <w:proofErr w:type="spellStart"/>
      <w:r w:rsidRPr="004616F7">
        <w:rPr>
          <w:rFonts w:ascii="Times New Roman Regular" w:hAnsi="Times New Roman Regular" w:cs="Times New Roman Regular"/>
          <w:iCs/>
          <w:color w:val="000000" w:themeColor="text1"/>
          <w:sz w:val="24"/>
          <w:szCs w:val="24"/>
        </w:rPr>
        <w:t>ticto</w:t>
      </w:r>
      <w:proofErr w:type="spellEnd"/>
      <w:r w:rsidRPr="004616F7">
        <w:rPr>
          <w:rFonts w:ascii="Times New Roman Regular" w:hAnsi="Times New Roman Regular" w:cs="Times New Roman Regular"/>
          <w:iCs/>
          <w:color w:val="000000" w:themeColor="text1"/>
          <w:sz w:val="24"/>
          <w:szCs w:val="24"/>
        </w:rPr>
        <w:t xml:space="preserve"> (Ham.). Marathwada University Journal of Science, 24–25(17–18), 85–</w:t>
      </w:r>
      <w:proofErr w:type="gramStart"/>
      <w:r w:rsidRPr="004616F7">
        <w:rPr>
          <w:rFonts w:ascii="Times New Roman Regular" w:hAnsi="Times New Roman Regular" w:cs="Times New Roman Regular"/>
          <w:iCs/>
          <w:color w:val="000000" w:themeColor="text1"/>
          <w:sz w:val="24"/>
          <w:szCs w:val="24"/>
        </w:rPr>
        <w:t>87 .</w:t>
      </w:r>
      <w:proofErr w:type="gramEnd"/>
      <w:r w:rsidRPr="004616F7">
        <w:rPr>
          <w:rFonts w:ascii="Times New Roman Regular" w:hAnsi="Times New Roman Regular" w:cs="Times New Roman Regular"/>
          <w:iCs/>
          <w:color w:val="000000" w:themeColor="text1"/>
          <w:sz w:val="24"/>
          <w:szCs w:val="24"/>
        </w:rPr>
        <w:t xml:space="preserve"> </w:t>
      </w:r>
    </w:p>
    <w:p w14:paraId="242CE8D8" w14:textId="746C745E" w:rsidR="004616F7" w:rsidRPr="004616F7" w:rsidRDefault="004616F7" w:rsidP="004616F7">
      <w:pPr>
        <w:pStyle w:val="ListParagraph"/>
        <w:numPr>
          <w:ilvl w:val="0"/>
          <w:numId w:val="12"/>
        </w:numPr>
        <w:spacing w:after="0" w:line="360" w:lineRule="auto"/>
        <w:jc w:val="both"/>
        <w:rPr>
          <w:rFonts w:ascii="Times New Roman Regular" w:hAnsi="Times New Roman Regular" w:cs="Times New Roman Regular"/>
          <w:iCs/>
          <w:color w:val="000000" w:themeColor="text1"/>
          <w:sz w:val="24"/>
          <w:szCs w:val="24"/>
        </w:rPr>
      </w:pPr>
      <w:r w:rsidRPr="004616F7">
        <w:rPr>
          <w:rFonts w:ascii="Times New Roman Regular" w:hAnsi="Times New Roman Regular" w:cs="Times New Roman Regular"/>
          <w:iCs/>
          <w:color w:val="000000" w:themeColor="text1"/>
          <w:sz w:val="24"/>
          <w:szCs w:val="24"/>
        </w:rPr>
        <w:t xml:space="preserve">Waheed, N., Naseer, A., Hanif, A., Raziq, S., Iqbal, K. J., Ahmad, Z., Atta, A., &amp; Goli, V. S. N. S. (2026). A </w:t>
      </w:r>
      <w:proofErr w:type="spellStart"/>
      <w:r w:rsidRPr="004616F7">
        <w:rPr>
          <w:rFonts w:ascii="Times New Roman Regular" w:hAnsi="Times New Roman Regular" w:cs="Times New Roman Regular"/>
          <w:iCs/>
          <w:color w:val="000000" w:themeColor="text1"/>
          <w:sz w:val="24"/>
          <w:szCs w:val="24"/>
        </w:rPr>
        <w:t>multibiomarker</w:t>
      </w:r>
      <w:proofErr w:type="spellEnd"/>
      <w:r w:rsidRPr="004616F7">
        <w:rPr>
          <w:rFonts w:ascii="Times New Roman Regular" w:hAnsi="Times New Roman Regular" w:cs="Times New Roman Regular"/>
          <w:iCs/>
          <w:color w:val="000000" w:themeColor="text1"/>
          <w:sz w:val="24"/>
          <w:szCs w:val="24"/>
        </w:rPr>
        <w:t xml:space="preserve"> assessment of the mitigative effects of vitamin C against bifenthrin and tebuconazole toxicity in </w:t>
      </w:r>
      <w:proofErr w:type="spellStart"/>
      <w:r w:rsidRPr="004616F7">
        <w:rPr>
          <w:rFonts w:ascii="Times New Roman Regular" w:hAnsi="Times New Roman Regular" w:cs="Times New Roman Regular"/>
          <w:iCs/>
          <w:color w:val="000000" w:themeColor="text1"/>
          <w:sz w:val="24"/>
          <w:szCs w:val="24"/>
        </w:rPr>
        <w:t>Ctenopharyngodon</w:t>
      </w:r>
      <w:proofErr w:type="spellEnd"/>
      <w:r w:rsidRPr="004616F7">
        <w:rPr>
          <w:rFonts w:ascii="Times New Roman Regular" w:hAnsi="Times New Roman Regular" w:cs="Times New Roman Regular"/>
          <w:iCs/>
          <w:color w:val="000000" w:themeColor="text1"/>
          <w:sz w:val="24"/>
          <w:szCs w:val="24"/>
        </w:rPr>
        <w:t xml:space="preserve"> </w:t>
      </w:r>
      <w:proofErr w:type="spellStart"/>
      <w:r w:rsidRPr="004616F7">
        <w:rPr>
          <w:rFonts w:ascii="Times New Roman Regular" w:hAnsi="Times New Roman Regular" w:cs="Times New Roman Regular"/>
          <w:iCs/>
          <w:color w:val="000000" w:themeColor="text1"/>
          <w:sz w:val="24"/>
          <w:szCs w:val="24"/>
        </w:rPr>
        <w:t>idella</w:t>
      </w:r>
      <w:proofErr w:type="spellEnd"/>
      <w:r w:rsidRPr="004616F7">
        <w:rPr>
          <w:rFonts w:ascii="Times New Roman Regular" w:hAnsi="Times New Roman Regular" w:cs="Times New Roman Regular"/>
          <w:iCs/>
          <w:color w:val="000000" w:themeColor="text1"/>
          <w:sz w:val="24"/>
          <w:szCs w:val="24"/>
        </w:rPr>
        <w:t xml:space="preserve">. Process Safety and Environmental Protection. </w:t>
      </w:r>
      <w:hyperlink r:id="rId26" w:history="1">
        <w:r w:rsidRPr="004616F7">
          <w:rPr>
            <w:rStyle w:val="Hyperlink"/>
            <w:rFonts w:ascii="Times New Roman Regular" w:hAnsi="Times New Roman Regular" w:cs="Times New Roman Regular"/>
            <w:iCs/>
            <w:sz w:val="24"/>
            <w:szCs w:val="24"/>
          </w:rPr>
          <w:t>https://doi.org/10.1016/j.psep.2026.109538</w:t>
        </w:r>
      </w:hyperlink>
      <w:r w:rsidRPr="004616F7">
        <w:rPr>
          <w:rFonts w:ascii="Times New Roman Regular" w:hAnsi="Times New Roman Regular" w:cs="Times New Roman Regular"/>
          <w:iCs/>
          <w:color w:val="000000" w:themeColor="text1"/>
          <w:sz w:val="24"/>
          <w:szCs w:val="24"/>
        </w:rPr>
        <w:t xml:space="preserve"> </w:t>
      </w:r>
    </w:p>
    <w:p w14:paraId="055D086A" w14:textId="3BAA612B" w:rsidR="004616F7" w:rsidRPr="00A24767" w:rsidRDefault="004616F7" w:rsidP="008149B1">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 xml:space="preserve"> </w:t>
      </w:r>
    </w:p>
    <w:p w14:paraId="772AC588" w14:textId="547552A9" w:rsidR="00285028" w:rsidRDefault="00285028" w:rsidP="008149B1">
      <w:pPr>
        <w:spacing w:after="0" w:line="360" w:lineRule="auto"/>
        <w:contextualSpacing/>
        <w:jc w:val="both"/>
        <w:rPr>
          <w:rFonts w:ascii="Times New Roman Regular" w:hAnsi="Times New Roman Regular" w:cs="Times New Roman Regular"/>
          <w:sz w:val="24"/>
          <w:szCs w:val="24"/>
        </w:rPr>
      </w:pPr>
    </w:p>
    <w:sectPr w:rsidR="00285028">
      <w:pgSz w:w="11905" w:h="16837"/>
      <w:pgMar w:top="1440" w:right="1800" w:bottom="1440" w:left="180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8BE95" w14:textId="77777777" w:rsidR="00687608" w:rsidRDefault="00687608">
      <w:pPr>
        <w:spacing w:line="240" w:lineRule="auto"/>
      </w:pPr>
      <w:r>
        <w:separator/>
      </w:r>
    </w:p>
  </w:endnote>
  <w:endnote w:type="continuationSeparator" w:id="0">
    <w:p w14:paraId="2DFCF290" w14:textId="77777777" w:rsidR="00687608" w:rsidRDefault="006876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Regular">
    <w:altName w:val="Times New Roman"/>
    <w:charset w:val="00"/>
    <w:family w:val="auto"/>
    <w:pitch w:val="default"/>
  </w:font>
  <w:font w:name="Times New Roman Italic">
    <w:panose1 w:val="02020503050405090304"/>
    <w:charset w:val="00"/>
    <w:family w:val="auto"/>
    <w:pitch w:val="default"/>
  </w:font>
  <w:font w:name="Helvetica Neue">
    <w:altName w:val="SimSu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5641" w14:textId="77777777" w:rsidR="003B4EB3" w:rsidRDefault="003B4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2F23" w14:textId="77777777" w:rsidR="003B4EB3" w:rsidRDefault="003B4E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32CC" w14:textId="77777777" w:rsidR="003B4EB3" w:rsidRDefault="003B4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4ED0C" w14:textId="77777777" w:rsidR="00687608" w:rsidRDefault="00687608">
      <w:pPr>
        <w:spacing w:after="0"/>
      </w:pPr>
      <w:r>
        <w:separator/>
      </w:r>
    </w:p>
  </w:footnote>
  <w:footnote w:type="continuationSeparator" w:id="0">
    <w:p w14:paraId="74032D4D" w14:textId="77777777" w:rsidR="00687608" w:rsidRDefault="006876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0A23" w14:textId="22EAA620" w:rsidR="003B4EB3" w:rsidRDefault="003B4EB3">
    <w:pPr>
      <w:pStyle w:val="Header"/>
    </w:pPr>
    <w:r>
      <w:rPr>
        <w:noProof/>
      </w:rPr>
      <w:pict w14:anchorId="770F5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6157" o:spid="_x0000_s1026" type="#_x0000_t136" style="position:absolute;margin-left:0;margin-top:0;width:492.95pt;height:92.4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D050" w14:textId="18DEBD8A" w:rsidR="008149B1" w:rsidRDefault="003B4EB3">
    <w:pPr>
      <w:pStyle w:val="Header"/>
      <w:pBdr>
        <w:bottom w:val="single" w:sz="4" w:space="1" w:color="D9D9D9" w:themeColor="background1" w:themeShade="D9"/>
      </w:pBdr>
      <w:jc w:val="right"/>
      <w:rPr>
        <w:b/>
        <w:bCs/>
      </w:rPr>
    </w:pPr>
    <w:r>
      <w:rPr>
        <w:noProof/>
      </w:rPr>
      <w:pict w14:anchorId="466482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6158" o:spid="_x0000_s1027" type="#_x0000_t136" style="position:absolute;left:0;text-align:left;margin-left:0;margin-top:0;width:492.95pt;height:92.4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sdt>
      <w:sdtPr>
        <w:rPr>
          <w:color w:val="7F7F7F" w:themeColor="background1" w:themeShade="7F"/>
          <w:spacing w:val="60"/>
        </w:rPr>
        <w:id w:val="1300574767"/>
        <w:docPartObj>
          <w:docPartGallery w:val="Page Numbers (Top of Page)"/>
          <w:docPartUnique/>
        </w:docPartObj>
      </w:sdtPr>
      <w:sdtEndPr>
        <w:rPr>
          <w:b/>
          <w:bCs/>
          <w:noProof/>
          <w:color w:val="auto"/>
          <w:spacing w:val="0"/>
        </w:rPr>
      </w:sdtEndPr>
      <w:sdtContent>
        <w:r w:rsidR="008149B1">
          <w:rPr>
            <w:color w:val="7F7F7F" w:themeColor="background1" w:themeShade="7F"/>
            <w:spacing w:val="60"/>
          </w:rPr>
          <w:t>Page</w:t>
        </w:r>
        <w:r w:rsidR="008149B1">
          <w:t xml:space="preserve"> | </w:t>
        </w:r>
        <w:r w:rsidR="008149B1">
          <w:fldChar w:fldCharType="begin"/>
        </w:r>
        <w:r w:rsidR="008149B1">
          <w:instrText xml:space="preserve"> PAGE   \* MERGEFORMAT </w:instrText>
        </w:r>
        <w:r w:rsidR="008149B1">
          <w:fldChar w:fldCharType="separate"/>
        </w:r>
        <w:r w:rsidR="008149B1">
          <w:rPr>
            <w:b/>
            <w:bCs/>
            <w:noProof/>
          </w:rPr>
          <w:t>2</w:t>
        </w:r>
        <w:r w:rsidR="008149B1">
          <w:rPr>
            <w:b/>
            <w:bCs/>
            <w:noProof/>
          </w:rPr>
          <w:fldChar w:fldCharType="end"/>
        </w:r>
      </w:sdtContent>
    </w:sdt>
  </w:p>
  <w:p w14:paraId="6BD18921" w14:textId="77777777" w:rsidR="008149B1" w:rsidRDefault="00814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9B4A" w14:textId="7AA05010" w:rsidR="003B4EB3" w:rsidRDefault="003B4EB3">
    <w:pPr>
      <w:pStyle w:val="Header"/>
    </w:pPr>
    <w:r>
      <w:rPr>
        <w:noProof/>
      </w:rPr>
      <w:pict w14:anchorId="69A1AE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6156" o:spid="_x0000_s1025" type="#_x0000_t136" style="position:absolute;margin-left:0;margin-top:0;width:492.95pt;height:92.4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2A495E0C"/>
    <w:multiLevelType w:val="hybridMultilevel"/>
    <w:tmpl w:val="551EF9F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2B812A10"/>
    <w:multiLevelType w:val="hybridMultilevel"/>
    <w:tmpl w:val="DA34A98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13093688">
    <w:abstractNumId w:val="9"/>
  </w:num>
  <w:num w:numId="2" w16cid:durableId="599992200">
    <w:abstractNumId w:val="7"/>
  </w:num>
  <w:num w:numId="3" w16cid:durableId="1769883338">
    <w:abstractNumId w:val="6"/>
  </w:num>
  <w:num w:numId="4" w16cid:durableId="2024163247">
    <w:abstractNumId w:val="5"/>
  </w:num>
  <w:num w:numId="5" w16cid:durableId="1920139378">
    <w:abstractNumId w:val="4"/>
  </w:num>
  <w:num w:numId="6" w16cid:durableId="1344089470">
    <w:abstractNumId w:val="8"/>
  </w:num>
  <w:num w:numId="7" w16cid:durableId="1780947">
    <w:abstractNumId w:val="3"/>
  </w:num>
  <w:num w:numId="8" w16cid:durableId="1303537165">
    <w:abstractNumId w:val="2"/>
  </w:num>
  <w:num w:numId="9" w16cid:durableId="1816138876">
    <w:abstractNumId w:val="1"/>
  </w:num>
  <w:num w:numId="10" w16cid:durableId="1977760371">
    <w:abstractNumId w:val="0"/>
  </w:num>
  <w:num w:numId="11" w16cid:durableId="1598557185">
    <w:abstractNumId w:val="11"/>
  </w:num>
  <w:num w:numId="12" w16cid:durableId="11858211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EEC4CAE"/>
    <w:rsid w:val="00050A31"/>
    <w:rsid w:val="00064F87"/>
    <w:rsid w:val="000716D2"/>
    <w:rsid w:val="00071AAB"/>
    <w:rsid w:val="0009385D"/>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F4071"/>
    <w:rsid w:val="00201333"/>
    <w:rsid w:val="00210FA7"/>
    <w:rsid w:val="002151C7"/>
    <w:rsid w:val="00216417"/>
    <w:rsid w:val="00225CB0"/>
    <w:rsid w:val="0026631D"/>
    <w:rsid w:val="00271A11"/>
    <w:rsid w:val="00277CEF"/>
    <w:rsid w:val="00285028"/>
    <w:rsid w:val="002A72BB"/>
    <w:rsid w:val="002C2F53"/>
    <w:rsid w:val="00304B7F"/>
    <w:rsid w:val="0033518C"/>
    <w:rsid w:val="003437C2"/>
    <w:rsid w:val="00361552"/>
    <w:rsid w:val="00377186"/>
    <w:rsid w:val="003A1C03"/>
    <w:rsid w:val="003B4EB3"/>
    <w:rsid w:val="00414627"/>
    <w:rsid w:val="00425D63"/>
    <w:rsid w:val="004616F7"/>
    <w:rsid w:val="004643D8"/>
    <w:rsid w:val="00497C24"/>
    <w:rsid w:val="004C7BA5"/>
    <w:rsid w:val="004E7628"/>
    <w:rsid w:val="004F48F2"/>
    <w:rsid w:val="005149B1"/>
    <w:rsid w:val="005251E5"/>
    <w:rsid w:val="005647F2"/>
    <w:rsid w:val="005662D1"/>
    <w:rsid w:val="00573A09"/>
    <w:rsid w:val="005A4526"/>
    <w:rsid w:val="005C1B16"/>
    <w:rsid w:val="005E0C2C"/>
    <w:rsid w:val="005E53D0"/>
    <w:rsid w:val="006002EB"/>
    <w:rsid w:val="006128EF"/>
    <w:rsid w:val="006264B4"/>
    <w:rsid w:val="00643033"/>
    <w:rsid w:val="00644CC3"/>
    <w:rsid w:val="00661468"/>
    <w:rsid w:val="006649F0"/>
    <w:rsid w:val="0067245D"/>
    <w:rsid w:val="0068470E"/>
    <w:rsid w:val="00687608"/>
    <w:rsid w:val="00695DCD"/>
    <w:rsid w:val="006A05CC"/>
    <w:rsid w:val="006A35A7"/>
    <w:rsid w:val="006F2A33"/>
    <w:rsid w:val="007152D7"/>
    <w:rsid w:val="007452ED"/>
    <w:rsid w:val="00746C14"/>
    <w:rsid w:val="00760882"/>
    <w:rsid w:val="00763333"/>
    <w:rsid w:val="007C2C59"/>
    <w:rsid w:val="00801F23"/>
    <w:rsid w:val="008149B1"/>
    <w:rsid w:val="00837632"/>
    <w:rsid w:val="00842715"/>
    <w:rsid w:val="0085640F"/>
    <w:rsid w:val="008567AA"/>
    <w:rsid w:val="00892712"/>
    <w:rsid w:val="008A680A"/>
    <w:rsid w:val="008B0BB0"/>
    <w:rsid w:val="008C51F3"/>
    <w:rsid w:val="008E6C4B"/>
    <w:rsid w:val="008F18C0"/>
    <w:rsid w:val="00907648"/>
    <w:rsid w:val="00930FDE"/>
    <w:rsid w:val="0095073C"/>
    <w:rsid w:val="00984C93"/>
    <w:rsid w:val="00987CE1"/>
    <w:rsid w:val="0099405C"/>
    <w:rsid w:val="009B4E96"/>
    <w:rsid w:val="009C600F"/>
    <w:rsid w:val="009D3723"/>
    <w:rsid w:val="009E04F2"/>
    <w:rsid w:val="00A03B7B"/>
    <w:rsid w:val="00A200C9"/>
    <w:rsid w:val="00A24767"/>
    <w:rsid w:val="00A250D5"/>
    <w:rsid w:val="00A32F56"/>
    <w:rsid w:val="00A36028"/>
    <w:rsid w:val="00A91424"/>
    <w:rsid w:val="00AA0044"/>
    <w:rsid w:val="00AA2C77"/>
    <w:rsid w:val="00AC3FB9"/>
    <w:rsid w:val="00AC702A"/>
    <w:rsid w:val="00AD226F"/>
    <w:rsid w:val="00B13A52"/>
    <w:rsid w:val="00B24CF4"/>
    <w:rsid w:val="00B26993"/>
    <w:rsid w:val="00B4570C"/>
    <w:rsid w:val="00B5208C"/>
    <w:rsid w:val="00B74876"/>
    <w:rsid w:val="00BB7C2B"/>
    <w:rsid w:val="00BC0119"/>
    <w:rsid w:val="00BC1664"/>
    <w:rsid w:val="00BC2546"/>
    <w:rsid w:val="00C05085"/>
    <w:rsid w:val="00C1593D"/>
    <w:rsid w:val="00C56C7E"/>
    <w:rsid w:val="00C776A4"/>
    <w:rsid w:val="00C80CD5"/>
    <w:rsid w:val="00CA2C6C"/>
    <w:rsid w:val="00CB73CB"/>
    <w:rsid w:val="00CC0600"/>
    <w:rsid w:val="00CC78AC"/>
    <w:rsid w:val="00CF1302"/>
    <w:rsid w:val="00CF7953"/>
    <w:rsid w:val="00D07232"/>
    <w:rsid w:val="00D10245"/>
    <w:rsid w:val="00D21BDD"/>
    <w:rsid w:val="00D65F07"/>
    <w:rsid w:val="00D92BB7"/>
    <w:rsid w:val="00DC76D2"/>
    <w:rsid w:val="00DD30ED"/>
    <w:rsid w:val="00DE12F0"/>
    <w:rsid w:val="00E13CD9"/>
    <w:rsid w:val="00E624D0"/>
    <w:rsid w:val="00E64C21"/>
    <w:rsid w:val="00E87699"/>
    <w:rsid w:val="00EC24C6"/>
    <w:rsid w:val="00EF2933"/>
    <w:rsid w:val="00F05146"/>
    <w:rsid w:val="00F1115D"/>
    <w:rsid w:val="00F3513C"/>
    <w:rsid w:val="00F465C5"/>
    <w:rsid w:val="00F5180D"/>
    <w:rsid w:val="00F51B21"/>
    <w:rsid w:val="00F51D87"/>
    <w:rsid w:val="00F8455C"/>
    <w:rsid w:val="02A7C15E"/>
    <w:rsid w:val="05F198D2"/>
    <w:rsid w:val="06BF72D9"/>
    <w:rsid w:val="0FF14FEC"/>
    <w:rsid w:val="13BFB4A2"/>
    <w:rsid w:val="16C50947"/>
    <w:rsid w:val="16CD9588"/>
    <w:rsid w:val="17EF343F"/>
    <w:rsid w:val="1B3FAEA2"/>
    <w:rsid w:val="1BDF7004"/>
    <w:rsid w:val="1DBC8582"/>
    <w:rsid w:val="1DED5E2A"/>
    <w:rsid w:val="1DF20B17"/>
    <w:rsid w:val="1DF7277F"/>
    <w:rsid w:val="1F432259"/>
    <w:rsid w:val="1FFFF09A"/>
    <w:rsid w:val="20B63F52"/>
    <w:rsid w:val="20F92E90"/>
    <w:rsid w:val="2EFFC73F"/>
    <w:rsid w:val="2F654774"/>
    <w:rsid w:val="2FFD49E4"/>
    <w:rsid w:val="2FFD569C"/>
    <w:rsid w:val="32A77385"/>
    <w:rsid w:val="32BBDDCA"/>
    <w:rsid w:val="33FF06C0"/>
    <w:rsid w:val="34FF81DE"/>
    <w:rsid w:val="36BF94C1"/>
    <w:rsid w:val="376BA250"/>
    <w:rsid w:val="37F782BC"/>
    <w:rsid w:val="37FBE02F"/>
    <w:rsid w:val="38E61790"/>
    <w:rsid w:val="39BCC900"/>
    <w:rsid w:val="3AFD75AB"/>
    <w:rsid w:val="3AFFD1CA"/>
    <w:rsid w:val="3BD73AEF"/>
    <w:rsid w:val="3BD78F07"/>
    <w:rsid w:val="3BED2315"/>
    <w:rsid w:val="3C7B4A17"/>
    <w:rsid w:val="3CAD481C"/>
    <w:rsid w:val="3CE5112B"/>
    <w:rsid w:val="3DCB7F01"/>
    <w:rsid w:val="3DEBB88D"/>
    <w:rsid w:val="3DF11A79"/>
    <w:rsid w:val="3DF7AF46"/>
    <w:rsid w:val="3DFF6ADA"/>
    <w:rsid w:val="3E7BF33D"/>
    <w:rsid w:val="3E7E19DA"/>
    <w:rsid w:val="3EDB4B14"/>
    <w:rsid w:val="3EEC4CAE"/>
    <w:rsid w:val="3EFADF31"/>
    <w:rsid w:val="3F19CDC1"/>
    <w:rsid w:val="3F2D7CB8"/>
    <w:rsid w:val="3F6F6F1A"/>
    <w:rsid w:val="3F9DF427"/>
    <w:rsid w:val="3FA2154C"/>
    <w:rsid w:val="3FBF02A7"/>
    <w:rsid w:val="3FDDFD14"/>
    <w:rsid w:val="3FEBFD9C"/>
    <w:rsid w:val="3FED1E5F"/>
    <w:rsid w:val="3FEF8678"/>
    <w:rsid w:val="3FFBAF71"/>
    <w:rsid w:val="3FFF12E7"/>
    <w:rsid w:val="3FFF1DF3"/>
    <w:rsid w:val="3FFF71CC"/>
    <w:rsid w:val="45FE969D"/>
    <w:rsid w:val="47616A37"/>
    <w:rsid w:val="47CBEE87"/>
    <w:rsid w:val="48C3AF6C"/>
    <w:rsid w:val="49BEF4F2"/>
    <w:rsid w:val="49D38E9E"/>
    <w:rsid w:val="4DBFB912"/>
    <w:rsid w:val="4DD4A564"/>
    <w:rsid w:val="4DFEE09F"/>
    <w:rsid w:val="4F319D74"/>
    <w:rsid w:val="4FF60FC1"/>
    <w:rsid w:val="51FE6992"/>
    <w:rsid w:val="521FA3E9"/>
    <w:rsid w:val="52A81635"/>
    <w:rsid w:val="52CFF368"/>
    <w:rsid w:val="53792B5E"/>
    <w:rsid w:val="54FD6B8A"/>
    <w:rsid w:val="553DA0BE"/>
    <w:rsid w:val="555FFC22"/>
    <w:rsid w:val="55A76723"/>
    <w:rsid w:val="567FF4B7"/>
    <w:rsid w:val="56A7B89D"/>
    <w:rsid w:val="579D3B26"/>
    <w:rsid w:val="57BF90B3"/>
    <w:rsid w:val="57D283D9"/>
    <w:rsid w:val="57FAB8C4"/>
    <w:rsid w:val="57FFD136"/>
    <w:rsid w:val="58BF722A"/>
    <w:rsid w:val="591FC5AA"/>
    <w:rsid w:val="59BEE56D"/>
    <w:rsid w:val="5A44D7DE"/>
    <w:rsid w:val="5AC65318"/>
    <w:rsid w:val="5AFED262"/>
    <w:rsid w:val="5BBF884C"/>
    <w:rsid w:val="5BDF7CF3"/>
    <w:rsid w:val="5BFB9B81"/>
    <w:rsid w:val="5BFF9934"/>
    <w:rsid w:val="5CFB98E2"/>
    <w:rsid w:val="5CFC2252"/>
    <w:rsid w:val="5D77E523"/>
    <w:rsid w:val="5D9C93CB"/>
    <w:rsid w:val="5DD38A34"/>
    <w:rsid w:val="5DFF813B"/>
    <w:rsid w:val="5E12D974"/>
    <w:rsid w:val="5EFC9F40"/>
    <w:rsid w:val="5EFDFB67"/>
    <w:rsid w:val="5EFFA096"/>
    <w:rsid w:val="5F1D52F9"/>
    <w:rsid w:val="5F4710F9"/>
    <w:rsid w:val="5F6E032C"/>
    <w:rsid w:val="5F6E3BB1"/>
    <w:rsid w:val="5F7D4284"/>
    <w:rsid w:val="5F7F3B26"/>
    <w:rsid w:val="5F7F89B7"/>
    <w:rsid w:val="5FA604CC"/>
    <w:rsid w:val="5FD44865"/>
    <w:rsid w:val="5FE7B663"/>
    <w:rsid w:val="5FF72CD3"/>
    <w:rsid w:val="5FF73360"/>
    <w:rsid w:val="5FFE875A"/>
    <w:rsid w:val="5FFEEF7A"/>
    <w:rsid w:val="5FFF2880"/>
    <w:rsid w:val="61BDC2E9"/>
    <w:rsid w:val="63AC869F"/>
    <w:rsid w:val="64EF50E9"/>
    <w:rsid w:val="65FB404C"/>
    <w:rsid w:val="65FF98AC"/>
    <w:rsid w:val="66FFA7E0"/>
    <w:rsid w:val="673AF665"/>
    <w:rsid w:val="675A87AC"/>
    <w:rsid w:val="67673322"/>
    <w:rsid w:val="6783A0F5"/>
    <w:rsid w:val="67AFEA12"/>
    <w:rsid w:val="67BF32D9"/>
    <w:rsid w:val="67BFE710"/>
    <w:rsid w:val="67C82B6E"/>
    <w:rsid w:val="67EF5D2D"/>
    <w:rsid w:val="67EFA7F3"/>
    <w:rsid w:val="67F27793"/>
    <w:rsid w:val="67FF279B"/>
    <w:rsid w:val="68E950E5"/>
    <w:rsid w:val="6ABB63D5"/>
    <w:rsid w:val="6AFF1636"/>
    <w:rsid w:val="6B633B36"/>
    <w:rsid w:val="6B7F4BAD"/>
    <w:rsid w:val="6BCD4800"/>
    <w:rsid w:val="6BDF667B"/>
    <w:rsid w:val="6BF7B7BB"/>
    <w:rsid w:val="6BFE759E"/>
    <w:rsid w:val="6BFEDF84"/>
    <w:rsid w:val="6BFFFB25"/>
    <w:rsid w:val="6CEEA28F"/>
    <w:rsid w:val="6CF7BA61"/>
    <w:rsid w:val="6CFD5795"/>
    <w:rsid w:val="6DAFB736"/>
    <w:rsid w:val="6DFFBAAB"/>
    <w:rsid w:val="6E758B43"/>
    <w:rsid w:val="6E7732E9"/>
    <w:rsid w:val="6E79AF14"/>
    <w:rsid w:val="6ED7A28F"/>
    <w:rsid w:val="6EEF1260"/>
    <w:rsid w:val="6F450A61"/>
    <w:rsid w:val="6F62E177"/>
    <w:rsid w:val="6F77764E"/>
    <w:rsid w:val="6FBBA1B8"/>
    <w:rsid w:val="6FBD6B27"/>
    <w:rsid w:val="6FEBB040"/>
    <w:rsid w:val="6FEF94D9"/>
    <w:rsid w:val="6FFB599D"/>
    <w:rsid w:val="6FFCDC5B"/>
    <w:rsid w:val="6FFEA345"/>
    <w:rsid w:val="7173D612"/>
    <w:rsid w:val="71BE9C37"/>
    <w:rsid w:val="72BEE0BC"/>
    <w:rsid w:val="73F75DA2"/>
    <w:rsid w:val="73F7C26B"/>
    <w:rsid w:val="73FBE191"/>
    <w:rsid w:val="73FF6869"/>
    <w:rsid w:val="74FEA916"/>
    <w:rsid w:val="756F00AC"/>
    <w:rsid w:val="75DF3AE7"/>
    <w:rsid w:val="75F76384"/>
    <w:rsid w:val="75FEEFEB"/>
    <w:rsid w:val="766FA6A0"/>
    <w:rsid w:val="7677F247"/>
    <w:rsid w:val="76A90768"/>
    <w:rsid w:val="76BFF776"/>
    <w:rsid w:val="76D75CFB"/>
    <w:rsid w:val="76FF087C"/>
    <w:rsid w:val="76FF42F2"/>
    <w:rsid w:val="76FFAC18"/>
    <w:rsid w:val="775FF5DB"/>
    <w:rsid w:val="77769159"/>
    <w:rsid w:val="777B4ABE"/>
    <w:rsid w:val="77AE4382"/>
    <w:rsid w:val="77B2409D"/>
    <w:rsid w:val="77B35375"/>
    <w:rsid w:val="77DB4280"/>
    <w:rsid w:val="77DD93F7"/>
    <w:rsid w:val="77E7011D"/>
    <w:rsid w:val="77E75C71"/>
    <w:rsid w:val="77EBBD2A"/>
    <w:rsid w:val="77EF33B3"/>
    <w:rsid w:val="77F76BA8"/>
    <w:rsid w:val="77F9B634"/>
    <w:rsid w:val="77F9F9F1"/>
    <w:rsid w:val="77FD9FC5"/>
    <w:rsid w:val="77FE95C7"/>
    <w:rsid w:val="77FF2B71"/>
    <w:rsid w:val="77FF4D10"/>
    <w:rsid w:val="77FF8187"/>
    <w:rsid w:val="7877A4A9"/>
    <w:rsid w:val="78BC035B"/>
    <w:rsid w:val="79DBFBA8"/>
    <w:rsid w:val="7A79D06C"/>
    <w:rsid w:val="7AB8B9C9"/>
    <w:rsid w:val="7AE145A4"/>
    <w:rsid w:val="7AF68117"/>
    <w:rsid w:val="7AFC306D"/>
    <w:rsid w:val="7AFF4062"/>
    <w:rsid w:val="7AFF7ADC"/>
    <w:rsid w:val="7B3FA417"/>
    <w:rsid w:val="7B7B8619"/>
    <w:rsid w:val="7B7E29F4"/>
    <w:rsid w:val="7B7FE14C"/>
    <w:rsid w:val="7B7FE88B"/>
    <w:rsid w:val="7B7FF48D"/>
    <w:rsid w:val="7B9F69C2"/>
    <w:rsid w:val="7BD5DCCA"/>
    <w:rsid w:val="7BEADBC0"/>
    <w:rsid w:val="7BEDA25C"/>
    <w:rsid w:val="7BEF0280"/>
    <w:rsid w:val="7BEF8BD9"/>
    <w:rsid w:val="7BF11044"/>
    <w:rsid w:val="7BF4DC86"/>
    <w:rsid w:val="7BF6C637"/>
    <w:rsid w:val="7BF9BF77"/>
    <w:rsid w:val="7BFF5AB2"/>
    <w:rsid w:val="7BFFB726"/>
    <w:rsid w:val="7C7FDAEA"/>
    <w:rsid w:val="7CAAECCB"/>
    <w:rsid w:val="7CBE2A0C"/>
    <w:rsid w:val="7CDEDB82"/>
    <w:rsid w:val="7CF3C7FF"/>
    <w:rsid w:val="7CF998BB"/>
    <w:rsid w:val="7D25E4F8"/>
    <w:rsid w:val="7D3D3705"/>
    <w:rsid w:val="7D5FFBF3"/>
    <w:rsid w:val="7D72C36A"/>
    <w:rsid w:val="7D7DC109"/>
    <w:rsid w:val="7D9AF410"/>
    <w:rsid w:val="7DA4EFF6"/>
    <w:rsid w:val="7DBF8364"/>
    <w:rsid w:val="7DD52A25"/>
    <w:rsid w:val="7DF33A6B"/>
    <w:rsid w:val="7DF79496"/>
    <w:rsid w:val="7DFA8E72"/>
    <w:rsid w:val="7DFE1D34"/>
    <w:rsid w:val="7DFFC1D3"/>
    <w:rsid w:val="7E72B0E4"/>
    <w:rsid w:val="7E7E4329"/>
    <w:rsid w:val="7E7F5E46"/>
    <w:rsid w:val="7E9D912E"/>
    <w:rsid w:val="7E9DA49D"/>
    <w:rsid w:val="7EBDA46B"/>
    <w:rsid w:val="7EBF763F"/>
    <w:rsid w:val="7EBFE8D3"/>
    <w:rsid w:val="7ED63DF0"/>
    <w:rsid w:val="7EDCF916"/>
    <w:rsid w:val="7EDDDA97"/>
    <w:rsid w:val="7EDF7E42"/>
    <w:rsid w:val="7EE3F209"/>
    <w:rsid w:val="7EE7064C"/>
    <w:rsid w:val="7EE9D141"/>
    <w:rsid w:val="7EF39ECC"/>
    <w:rsid w:val="7EF7A72B"/>
    <w:rsid w:val="7EF7F0BE"/>
    <w:rsid w:val="7EFB90FD"/>
    <w:rsid w:val="7EFF3643"/>
    <w:rsid w:val="7EFF7183"/>
    <w:rsid w:val="7EFFA39C"/>
    <w:rsid w:val="7F139A67"/>
    <w:rsid w:val="7F1DCF28"/>
    <w:rsid w:val="7F2F028C"/>
    <w:rsid w:val="7F33DC86"/>
    <w:rsid w:val="7F3F73B4"/>
    <w:rsid w:val="7F4575CF"/>
    <w:rsid w:val="7F4F1E31"/>
    <w:rsid w:val="7F5FCA2C"/>
    <w:rsid w:val="7F5FDBE3"/>
    <w:rsid w:val="7F7A69B6"/>
    <w:rsid w:val="7F7B2A3D"/>
    <w:rsid w:val="7F7E6D18"/>
    <w:rsid w:val="7F7F08EE"/>
    <w:rsid w:val="7F7F1CB8"/>
    <w:rsid w:val="7F7F21F1"/>
    <w:rsid w:val="7F7F2298"/>
    <w:rsid w:val="7F7F6179"/>
    <w:rsid w:val="7F7FFDB9"/>
    <w:rsid w:val="7FB76C82"/>
    <w:rsid w:val="7FBF3AFE"/>
    <w:rsid w:val="7FBF79B9"/>
    <w:rsid w:val="7FDCBA03"/>
    <w:rsid w:val="7FEF3947"/>
    <w:rsid w:val="7FEF4E89"/>
    <w:rsid w:val="7FEFB141"/>
    <w:rsid w:val="7FEFC50D"/>
    <w:rsid w:val="7FEFF44F"/>
    <w:rsid w:val="7FF5A316"/>
    <w:rsid w:val="7FF6F258"/>
    <w:rsid w:val="7FF71656"/>
    <w:rsid w:val="7FF794D8"/>
    <w:rsid w:val="7FFD297E"/>
    <w:rsid w:val="7FFE32CD"/>
    <w:rsid w:val="7FFEDE76"/>
    <w:rsid w:val="7FFEFCF5"/>
    <w:rsid w:val="7FFF8ACC"/>
    <w:rsid w:val="7FFFB713"/>
    <w:rsid w:val="7FFFBAB0"/>
    <w:rsid w:val="7FFFD595"/>
    <w:rsid w:val="7FFFD9D5"/>
    <w:rsid w:val="7FFFF31E"/>
    <w:rsid w:val="833E3A41"/>
    <w:rsid w:val="87F6784B"/>
    <w:rsid w:val="87F78F24"/>
    <w:rsid w:val="893B9F07"/>
    <w:rsid w:val="8975D558"/>
    <w:rsid w:val="8A5F8C43"/>
    <w:rsid w:val="8FC36782"/>
    <w:rsid w:val="91BF97A4"/>
    <w:rsid w:val="95FE172D"/>
    <w:rsid w:val="973EDDFF"/>
    <w:rsid w:val="976E2498"/>
    <w:rsid w:val="97FF0F07"/>
    <w:rsid w:val="9A662D4B"/>
    <w:rsid w:val="9BFE8ABD"/>
    <w:rsid w:val="9DDFB26B"/>
    <w:rsid w:val="9DFF1BB3"/>
    <w:rsid w:val="9DFFAEEE"/>
    <w:rsid w:val="9E8F384E"/>
    <w:rsid w:val="9EAEED4A"/>
    <w:rsid w:val="9EE2ED1F"/>
    <w:rsid w:val="9FB5B844"/>
    <w:rsid w:val="9FBF9D3F"/>
    <w:rsid w:val="9FDFB76A"/>
    <w:rsid w:val="9FF2B5D8"/>
    <w:rsid w:val="AAFFBF4E"/>
    <w:rsid w:val="AD776CB0"/>
    <w:rsid w:val="AEDB0B7A"/>
    <w:rsid w:val="AEF1C0AD"/>
    <w:rsid w:val="AFE76CC3"/>
    <w:rsid w:val="AFEFE692"/>
    <w:rsid w:val="AFF699AB"/>
    <w:rsid w:val="AFF9486B"/>
    <w:rsid w:val="B33E366B"/>
    <w:rsid w:val="B5BC5B85"/>
    <w:rsid w:val="B5EF1BCF"/>
    <w:rsid w:val="B6CE4C3B"/>
    <w:rsid w:val="B73744B4"/>
    <w:rsid w:val="B75DB491"/>
    <w:rsid w:val="B777598B"/>
    <w:rsid w:val="B77F7373"/>
    <w:rsid w:val="B7BBFDFC"/>
    <w:rsid w:val="B7BF1F15"/>
    <w:rsid w:val="B7EF6BB3"/>
    <w:rsid w:val="B7EFC340"/>
    <w:rsid w:val="B7FF295D"/>
    <w:rsid w:val="B9BF61E7"/>
    <w:rsid w:val="B9C978EB"/>
    <w:rsid w:val="BAB67039"/>
    <w:rsid w:val="BADFC808"/>
    <w:rsid w:val="BBF2E41F"/>
    <w:rsid w:val="BBFF7C35"/>
    <w:rsid w:val="BCF20D62"/>
    <w:rsid w:val="BCF67FD9"/>
    <w:rsid w:val="BCFF9E30"/>
    <w:rsid w:val="BD7DDA2C"/>
    <w:rsid w:val="BDDF049F"/>
    <w:rsid w:val="BDEFAC95"/>
    <w:rsid w:val="BE1F0238"/>
    <w:rsid w:val="BE3F17AE"/>
    <w:rsid w:val="BE5AC1BE"/>
    <w:rsid w:val="BE9BFFFE"/>
    <w:rsid w:val="BEAEF57C"/>
    <w:rsid w:val="BEAFFE9F"/>
    <w:rsid w:val="BEBF7EA9"/>
    <w:rsid w:val="BECCDD99"/>
    <w:rsid w:val="BECEA86D"/>
    <w:rsid w:val="BEDFEFF8"/>
    <w:rsid w:val="BEF75FAA"/>
    <w:rsid w:val="BEF90876"/>
    <w:rsid w:val="BEFD7B6F"/>
    <w:rsid w:val="BF5BB73F"/>
    <w:rsid w:val="BF5DC2C7"/>
    <w:rsid w:val="BF5F6384"/>
    <w:rsid w:val="BF7EA7C1"/>
    <w:rsid w:val="BFAF3735"/>
    <w:rsid w:val="BFDEE8B4"/>
    <w:rsid w:val="BFDF4A40"/>
    <w:rsid w:val="BFEBB1C4"/>
    <w:rsid w:val="BFEF5103"/>
    <w:rsid w:val="BFF9BA01"/>
    <w:rsid w:val="BFFDAACE"/>
    <w:rsid w:val="BFFE5940"/>
    <w:rsid w:val="BFFF9B50"/>
    <w:rsid w:val="C1FF19CC"/>
    <w:rsid w:val="C1FF81E4"/>
    <w:rsid w:val="C27FEA22"/>
    <w:rsid w:val="C3F76E12"/>
    <w:rsid w:val="C5BD3A1B"/>
    <w:rsid w:val="C6F26CEF"/>
    <w:rsid w:val="C77ED702"/>
    <w:rsid w:val="C7B09C87"/>
    <w:rsid w:val="CAFF049C"/>
    <w:rsid w:val="CB771363"/>
    <w:rsid w:val="CBFA22BD"/>
    <w:rsid w:val="CDFE4A11"/>
    <w:rsid w:val="CDFF8C33"/>
    <w:rsid w:val="CEB733FE"/>
    <w:rsid w:val="CEFFB084"/>
    <w:rsid w:val="CF7E0A3B"/>
    <w:rsid w:val="CFD7B400"/>
    <w:rsid w:val="CFE76C42"/>
    <w:rsid w:val="CFF7C255"/>
    <w:rsid w:val="CFFCBFC3"/>
    <w:rsid w:val="D249C03F"/>
    <w:rsid w:val="D36CD4D3"/>
    <w:rsid w:val="D590C95C"/>
    <w:rsid w:val="D7BBA761"/>
    <w:rsid w:val="D7BECBC4"/>
    <w:rsid w:val="D7D7EEA6"/>
    <w:rsid w:val="D7EF8B79"/>
    <w:rsid w:val="D7F331E0"/>
    <w:rsid w:val="D7FF6D5B"/>
    <w:rsid w:val="D7FF8827"/>
    <w:rsid w:val="D97F5B5B"/>
    <w:rsid w:val="DAB66592"/>
    <w:rsid w:val="DADB5198"/>
    <w:rsid w:val="DAEF3291"/>
    <w:rsid w:val="DB757DC8"/>
    <w:rsid w:val="DB7F2E8E"/>
    <w:rsid w:val="DB9DBD9E"/>
    <w:rsid w:val="DBA9DB83"/>
    <w:rsid w:val="DBBB119E"/>
    <w:rsid w:val="DBBD6873"/>
    <w:rsid w:val="DBEF4AFF"/>
    <w:rsid w:val="DBF799A2"/>
    <w:rsid w:val="DBFCE3F0"/>
    <w:rsid w:val="DCAE9960"/>
    <w:rsid w:val="DDCF245E"/>
    <w:rsid w:val="DDDEAA6F"/>
    <w:rsid w:val="DDF6806D"/>
    <w:rsid w:val="DEBE96BF"/>
    <w:rsid w:val="DED4AA6C"/>
    <w:rsid w:val="DEECDF6A"/>
    <w:rsid w:val="DEF691D2"/>
    <w:rsid w:val="DF6B2FB4"/>
    <w:rsid w:val="DF777CDA"/>
    <w:rsid w:val="DFAD1822"/>
    <w:rsid w:val="DFBF408F"/>
    <w:rsid w:val="DFBF6167"/>
    <w:rsid w:val="DFDED7E8"/>
    <w:rsid w:val="DFE66EB7"/>
    <w:rsid w:val="DFE7CF1E"/>
    <w:rsid w:val="DFEAD706"/>
    <w:rsid w:val="DFF48580"/>
    <w:rsid w:val="DFF4B75B"/>
    <w:rsid w:val="DFF735F6"/>
    <w:rsid w:val="DFFA9C08"/>
    <w:rsid w:val="DFFBA34F"/>
    <w:rsid w:val="DFFF2A4B"/>
    <w:rsid w:val="E147999B"/>
    <w:rsid w:val="E29F21A1"/>
    <w:rsid w:val="E39715BF"/>
    <w:rsid w:val="E59FA662"/>
    <w:rsid w:val="E5BFD89E"/>
    <w:rsid w:val="E5EF30C1"/>
    <w:rsid w:val="E5FF66DB"/>
    <w:rsid w:val="E65F56DC"/>
    <w:rsid w:val="E77AC69E"/>
    <w:rsid w:val="E77F9E02"/>
    <w:rsid w:val="E7BB5B66"/>
    <w:rsid w:val="E7E9813F"/>
    <w:rsid w:val="E7FFCB4F"/>
    <w:rsid w:val="E8F80824"/>
    <w:rsid w:val="E96FE3C0"/>
    <w:rsid w:val="E9EDB2D9"/>
    <w:rsid w:val="E9FB1963"/>
    <w:rsid w:val="E9FF0378"/>
    <w:rsid w:val="EBCC8C28"/>
    <w:rsid w:val="EBD837D2"/>
    <w:rsid w:val="EBEBEB72"/>
    <w:rsid w:val="EBF60AE3"/>
    <w:rsid w:val="EBFC0D5F"/>
    <w:rsid w:val="ED347F41"/>
    <w:rsid w:val="ED7ED76B"/>
    <w:rsid w:val="EDEF938E"/>
    <w:rsid w:val="EDEFED6A"/>
    <w:rsid w:val="EDFFAEA5"/>
    <w:rsid w:val="EE5F3FBA"/>
    <w:rsid w:val="EEBF9B38"/>
    <w:rsid w:val="EEEEAB57"/>
    <w:rsid w:val="EEFD91A5"/>
    <w:rsid w:val="EF5DAD26"/>
    <w:rsid w:val="EF7D9874"/>
    <w:rsid w:val="EFB68BC0"/>
    <w:rsid w:val="EFBD8A36"/>
    <w:rsid w:val="EFBFED30"/>
    <w:rsid w:val="EFD769B8"/>
    <w:rsid w:val="EFDF7595"/>
    <w:rsid w:val="EFF3AE94"/>
    <w:rsid w:val="EFFF296D"/>
    <w:rsid w:val="EFFF3949"/>
    <w:rsid w:val="EFFF9162"/>
    <w:rsid w:val="EFFF93B7"/>
    <w:rsid w:val="EFFFDD9E"/>
    <w:rsid w:val="F125A65F"/>
    <w:rsid w:val="F12B6C46"/>
    <w:rsid w:val="F1AD3D55"/>
    <w:rsid w:val="F1B7AAFD"/>
    <w:rsid w:val="F1CE6FE7"/>
    <w:rsid w:val="F1EE68F2"/>
    <w:rsid w:val="F1FF0088"/>
    <w:rsid w:val="F2FD5FDA"/>
    <w:rsid w:val="F35FAA59"/>
    <w:rsid w:val="F3AAB30C"/>
    <w:rsid w:val="F3D3651F"/>
    <w:rsid w:val="F3F705D9"/>
    <w:rsid w:val="F3FD7CB2"/>
    <w:rsid w:val="F3FF436D"/>
    <w:rsid w:val="F4DFB282"/>
    <w:rsid w:val="F51E25D4"/>
    <w:rsid w:val="F527BAF4"/>
    <w:rsid w:val="F56DBA31"/>
    <w:rsid w:val="F57B5010"/>
    <w:rsid w:val="F5BF43C7"/>
    <w:rsid w:val="F5C67557"/>
    <w:rsid w:val="F5CCA793"/>
    <w:rsid w:val="F5F7D19A"/>
    <w:rsid w:val="F5FF8AC2"/>
    <w:rsid w:val="F69E0F70"/>
    <w:rsid w:val="F6E57D99"/>
    <w:rsid w:val="F6EF8206"/>
    <w:rsid w:val="F7379A2C"/>
    <w:rsid w:val="F7635D2F"/>
    <w:rsid w:val="F79B628F"/>
    <w:rsid w:val="F7BF10EC"/>
    <w:rsid w:val="F7BFDCCB"/>
    <w:rsid w:val="F7BFE373"/>
    <w:rsid w:val="F7CD4623"/>
    <w:rsid w:val="F7D99BDC"/>
    <w:rsid w:val="F7DE1DE4"/>
    <w:rsid w:val="F7DEDD2A"/>
    <w:rsid w:val="F7DF51C3"/>
    <w:rsid w:val="F7EBA8C0"/>
    <w:rsid w:val="F7EF4337"/>
    <w:rsid w:val="F7FB61E0"/>
    <w:rsid w:val="F7FF75F2"/>
    <w:rsid w:val="F8F7AC35"/>
    <w:rsid w:val="F93FF32F"/>
    <w:rsid w:val="F9BBD841"/>
    <w:rsid w:val="F9BF012C"/>
    <w:rsid w:val="F9E5FCEF"/>
    <w:rsid w:val="F9F7DD6A"/>
    <w:rsid w:val="F9FF5F3C"/>
    <w:rsid w:val="FA1FA0E0"/>
    <w:rsid w:val="FA9DCFF4"/>
    <w:rsid w:val="FAE151F2"/>
    <w:rsid w:val="FAF41D51"/>
    <w:rsid w:val="FAF67E1C"/>
    <w:rsid w:val="FAFF3749"/>
    <w:rsid w:val="FB3ED106"/>
    <w:rsid w:val="FB7710A8"/>
    <w:rsid w:val="FBBFAD27"/>
    <w:rsid w:val="FBEC407D"/>
    <w:rsid w:val="FBEFE142"/>
    <w:rsid w:val="FBEFF71D"/>
    <w:rsid w:val="FBEFFC04"/>
    <w:rsid w:val="FBF341EB"/>
    <w:rsid w:val="FBFD00A3"/>
    <w:rsid w:val="FBFD3D8D"/>
    <w:rsid w:val="FBFFDC66"/>
    <w:rsid w:val="FC6F3009"/>
    <w:rsid w:val="FC9F66E3"/>
    <w:rsid w:val="FCB3CB34"/>
    <w:rsid w:val="FCCB24CC"/>
    <w:rsid w:val="FCF7920E"/>
    <w:rsid w:val="FCF7D128"/>
    <w:rsid w:val="FCFA4B59"/>
    <w:rsid w:val="FCFAAB4F"/>
    <w:rsid w:val="FD5FD684"/>
    <w:rsid w:val="FD6F51B7"/>
    <w:rsid w:val="FD7AAF39"/>
    <w:rsid w:val="FD7FAD3A"/>
    <w:rsid w:val="FD8FDC2F"/>
    <w:rsid w:val="FDBB2C4A"/>
    <w:rsid w:val="FDBC38B0"/>
    <w:rsid w:val="FDBFFB71"/>
    <w:rsid w:val="FDBFFF2B"/>
    <w:rsid w:val="FDF6ACD4"/>
    <w:rsid w:val="FDFE1020"/>
    <w:rsid w:val="FE2A0BAD"/>
    <w:rsid w:val="FE5E1F9B"/>
    <w:rsid w:val="FE75804B"/>
    <w:rsid w:val="FE7E0418"/>
    <w:rsid w:val="FE7F7521"/>
    <w:rsid w:val="FE9F41B4"/>
    <w:rsid w:val="FEBA5F59"/>
    <w:rsid w:val="FEBF0365"/>
    <w:rsid w:val="FED6A5B8"/>
    <w:rsid w:val="FEE750C1"/>
    <w:rsid w:val="FEEBACB6"/>
    <w:rsid w:val="FEFC8C40"/>
    <w:rsid w:val="FEFF9830"/>
    <w:rsid w:val="FEFFB3D1"/>
    <w:rsid w:val="FF271C73"/>
    <w:rsid w:val="FF2D6938"/>
    <w:rsid w:val="FF2FF0B7"/>
    <w:rsid w:val="FF33991E"/>
    <w:rsid w:val="FF3495EB"/>
    <w:rsid w:val="FF3BF57B"/>
    <w:rsid w:val="FF472287"/>
    <w:rsid w:val="FF56C3F3"/>
    <w:rsid w:val="FF57E4B7"/>
    <w:rsid w:val="FF5F530E"/>
    <w:rsid w:val="FF5FF8DE"/>
    <w:rsid w:val="FF6788E3"/>
    <w:rsid w:val="FF6EE07C"/>
    <w:rsid w:val="FF7572E3"/>
    <w:rsid w:val="FF795FA2"/>
    <w:rsid w:val="FF7B5C2E"/>
    <w:rsid w:val="FF8E5F61"/>
    <w:rsid w:val="FF97AEE3"/>
    <w:rsid w:val="FFAEF16C"/>
    <w:rsid w:val="FFB269D3"/>
    <w:rsid w:val="FFBABF80"/>
    <w:rsid w:val="FFBB1196"/>
    <w:rsid w:val="FFBC999E"/>
    <w:rsid w:val="FFBE1C1D"/>
    <w:rsid w:val="FFBF3A49"/>
    <w:rsid w:val="FFBF8A17"/>
    <w:rsid w:val="FFBFB2B6"/>
    <w:rsid w:val="FFCF1681"/>
    <w:rsid w:val="FFD3F164"/>
    <w:rsid w:val="FFDF1514"/>
    <w:rsid w:val="FFDF37F4"/>
    <w:rsid w:val="FFE49714"/>
    <w:rsid w:val="FFE52A54"/>
    <w:rsid w:val="FFEB5AA3"/>
    <w:rsid w:val="FFEB9585"/>
    <w:rsid w:val="FFEB9961"/>
    <w:rsid w:val="FFEE33C5"/>
    <w:rsid w:val="FFEE822D"/>
    <w:rsid w:val="FFEFF42A"/>
    <w:rsid w:val="FFF76376"/>
    <w:rsid w:val="FFF785CB"/>
    <w:rsid w:val="FFFD0EC2"/>
    <w:rsid w:val="FFFD7FF9"/>
    <w:rsid w:val="FFFDDD2A"/>
    <w:rsid w:val="FFFF65B3"/>
    <w:rsid w:val="FFFF8A7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9A1BB"/>
  <w15:docId w15:val="{5E6DB415-1C7E-42E7-B631-D65BF5A1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mr-IN"/>
      </w:rPr>
    </w:rPrDefault>
    <w:pPrDefault/>
  </w:docDefaults>
  <w:latentStyles w:defLockedState="0" w:defUIPriority="0" w:defSemiHidden="0" w:defUnhideWhenUsed="0" w:defQFormat="1" w:count="376">
    <w:lsdException w:name="heading 2" w:unhideWhenUsed="1"/>
    <w:lsdException w:name="heading 3"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header" w:uiPriority="99"/>
    <w:lsdException w:name="caption" w:semiHidden="1" w:unhideWhenUsed="1"/>
    <w:lsdException w:name="Default Paragraph Font" w:semiHidden="1"/>
    <w:lsdException w:name="HTML Top of Form" w:semiHidden="1" w:uiPriority="99" w:unhideWhenUsed="1" w:qFormat="0"/>
    <w:lsdException w:name="HTML Bottom of Form" w:semiHidden="1" w:uiPriority="99" w:unhideWhenUsed="1"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34"/>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eastAsia="en-US" w:bidi="ar-SA"/>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unhideWhenUsed/>
    <w:qFormat/>
    <w:pPr>
      <w:keepNext/>
      <w:keepLines/>
      <w:spacing w:before="260" w:after="260" w:line="416" w:lineRule="auto"/>
      <w:outlineLvl w:val="1"/>
    </w:pPr>
    <w:rPr>
      <w:b/>
      <w:bCs/>
      <w:sz w:val="32"/>
      <w:szCs w:val="32"/>
    </w:rPr>
  </w:style>
  <w:style w:type="paragraph" w:styleId="Heading3">
    <w:name w:val="heading 3"/>
    <w:basedOn w:val="Normal"/>
    <w:next w:val="Normal"/>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val="en-US" w:eastAsia="zh-CN" w:bidi="ar-SA"/>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qFormat/>
    <w:pPr>
      <w:spacing w:beforeAutospacing="1" w:afterAutospacing="1"/>
    </w:pPr>
    <w:rPr>
      <w:rFonts w:cs="Mangal"/>
      <w:sz w:val="24"/>
      <w:szCs w:val="24"/>
      <w:lang w:val="en-US"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p1">
    <w:name w:val="p1"/>
    <w:qFormat/>
    <w:pPr>
      <w:jc w:val="both"/>
    </w:pPr>
    <w:rPr>
      <w:rFonts w:ascii="Helvetica" w:eastAsia="Helvetica" w:hAnsi="Helvetica" w:cs="Mangal"/>
      <w:sz w:val="24"/>
      <w:szCs w:val="24"/>
      <w:lang w:val="en-US" w:eastAsia="zh-CN"/>
    </w:rPr>
  </w:style>
  <w:style w:type="paragraph" w:customStyle="1" w:styleId="Default">
    <w:name w:val="Default"/>
    <w:qFormat/>
    <w:pPr>
      <w:autoSpaceDE w:val="0"/>
      <w:autoSpaceDN w:val="0"/>
      <w:adjustRightInd w:val="0"/>
    </w:pPr>
    <w:rPr>
      <w:rFonts w:eastAsiaTheme="minorHAnsi"/>
      <w:color w:val="000000"/>
      <w:sz w:val="24"/>
      <w:szCs w:val="24"/>
      <w:lang w:val="en-US" w:eastAsia="en-US" w:bidi="ar-SA"/>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sid w:val="008149B1"/>
    <w:rPr>
      <w:rFonts w:asciiTheme="minorHAnsi" w:eastAsiaTheme="minorHAnsi" w:hAnsiTheme="minorHAnsi" w:cstheme="minorBidi"/>
      <w:sz w:val="18"/>
      <w:szCs w:val="18"/>
      <w:lang w:val="en-US" w:eastAsia="en-US" w:bidi="ar-SA"/>
    </w:rPr>
  </w:style>
  <w:style w:type="character" w:styleId="UnresolvedMention">
    <w:name w:val="Unresolved Mention"/>
    <w:basedOn w:val="DefaultParagraphFont"/>
    <w:uiPriority w:val="99"/>
    <w:semiHidden/>
    <w:unhideWhenUsed/>
    <w:rsid w:val="00461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hyperlink" Target="https://doi.org/10.1016/j.jprot.2011.09.024" TargetMode="External"/><Relationship Id="rId26" Type="http://schemas.openxmlformats.org/officeDocument/2006/relationships/hyperlink" Target="https://doi.org/10.1016/j.psep.2026.109538" TargetMode="External"/><Relationship Id="rId3" Type="http://schemas.openxmlformats.org/officeDocument/2006/relationships/settings" Target="settings.xml"/><Relationship Id="rId21" Type="http://schemas.openxmlformats.org/officeDocument/2006/relationships/hyperlink" Target="https://doi.org/10.1080/02757540.2025.2517861" TargetMode="Externa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s://doi.org/10.33745/ijzi.2025.v11i02.035" TargetMode="External"/><Relationship Id="rId25" Type="http://schemas.openxmlformats.org/officeDocument/2006/relationships/hyperlink" Target="https://doi.org/10.9734/ajob/2024/v20i8430" TargetMode="External"/><Relationship Id="rId2" Type="http://schemas.openxmlformats.org/officeDocument/2006/relationships/styles" Target="styles.xml"/><Relationship Id="rId16" Type="http://schemas.openxmlformats.org/officeDocument/2006/relationships/hyperlink" Target="https://doi.org/10.1007/s11356-020-08248-8" TargetMode="External"/><Relationship Id="rId20" Type="http://schemas.openxmlformats.org/officeDocument/2006/relationships/hyperlink" Target="https://doi.org/10.14218/ge.2023.0004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doi.org/10.21474/ijar01/21380" TargetMode="External"/><Relationship Id="rId5" Type="http://schemas.openxmlformats.org/officeDocument/2006/relationships/footnotes" Target="footnotes.xml"/><Relationship Id="rId15" Type="http://schemas.openxmlformats.org/officeDocument/2006/relationships/hyperlink" Target="https://doi.org/10.55863/ijees.2025.0632" TargetMode="External"/><Relationship Id="rId23" Type="http://schemas.openxmlformats.org/officeDocument/2006/relationships/hyperlink" Target="https://doi.org/10.1016/j.chemosphere.2020.126646"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oi.org/10.1038/s41598-025-85555-5"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56975/ijvra.v4i7.709326"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14</Pages>
  <Words>4260</Words>
  <Characters>24287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sagardpalwe</dc:creator>
  <cp:lastModifiedBy>SDI 1166</cp:lastModifiedBy>
  <cp:revision>7</cp:revision>
  <dcterms:created xsi:type="dcterms:W3CDTF">2026-09-23T09:31:00Z</dcterms:created>
  <dcterms:modified xsi:type="dcterms:W3CDTF">2026-09-24T07:48:00Z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y fmtid="{D5CDD505-2E9C-101B-9397-08002B2CF9AE}" pid="3" name="GrammarlyDocumentId">
    <vt:lpwstr>84d611eb-ff77-412f-960c-9d81bc4a7914</vt:lpwstr>
  </property>
</Properties>
</file>