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D9928" w14:textId="77777777" w:rsidR="007B203C" w:rsidRDefault="00000000">
      <w:pPr>
        <w:spacing w:after="360" w:line="360" w:lineRule="auto"/>
        <w:jc w:val="center"/>
        <w:rPr>
          <w:b/>
          <w:bCs/>
          <w:sz w:val="32"/>
          <w:szCs w:val="32"/>
        </w:rPr>
      </w:pPr>
      <w:r>
        <w:rPr>
          <w:b/>
          <w:bCs/>
          <w:sz w:val="32"/>
          <w:szCs w:val="32"/>
        </w:rPr>
        <w:t>Climate-Smart Integrated Pest Management for Insect Pests under Warming and Climatic Variability: A Critical Narrative Review</w:t>
      </w:r>
    </w:p>
    <w:p w14:paraId="1290828A" w14:textId="77777777" w:rsidR="00471890" w:rsidRDefault="00471890">
      <w:pPr>
        <w:spacing w:after="360" w:line="360" w:lineRule="auto"/>
        <w:jc w:val="center"/>
      </w:pPr>
    </w:p>
    <w:p w14:paraId="75D97D2D" w14:textId="77777777" w:rsidR="007B203C" w:rsidRDefault="00000000">
      <w:pPr>
        <w:keepNext/>
        <w:spacing w:after="120" w:line="360" w:lineRule="auto"/>
      </w:pPr>
      <w:r>
        <w:rPr>
          <w:b/>
          <w:bCs/>
          <w:sz w:val="26"/>
          <w:szCs w:val="26"/>
        </w:rPr>
        <w:t>Abstract</w:t>
      </w:r>
    </w:p>
    <w:p w14:paraId="33A42BE6" w14:textId="77777777" w:rsidR="007B203C" w:rsidRDefault="00000000">
      <w:pPr>
        <w:spacing w:after="160" w:line="360" w:lineRule="auto"/>
        <w:jc w:val="both"/>
      </w:pPr>
      <w:r>
        <w:t xml:space="preserve">Insect pests already remove a substantial share of attainable crop yield, and climate change is altering the conditions under which integrated pest management (IPM) was designed to operate. Rising mean temperatures, greater thermal variability, more frequent heat and drought extremes, and elevated atmospheric carbon dioxide act simultaneously on pest development, host-plant quality, natural enemies and the performance of control tactics. This critical narrative review evaluates whether, and under what conditions, IPM can be redesigned to remain effective in a warming and increasingly variable climate, and examines what the concept of climate-smart pest management adds to established IPM principles. Peer-reviewed literature and authoritative institutional reports were identified through structured searches of multidisciplinary and life-science indexes, supplemented by citation tracking, and were appraised for design, scale, ecological realism and relevance to decision-making. The synthesis indicates that evidence is strongest for temperature-driven acceleration of development, additional generations per season and poleward or upslope range change in many pests, although responses are heterogeneous and frequently non-linear. Evidence is weaker and more context-dependent for the net effects of warming on biological control, where thermal asymmetry and phenological mismatch between pests and their natural enemies can erode suppression in some systems but not in others. Laboratory studies consistently show that temperature and its daily fluctuation modify insecticide toxicity, whereas field-scale consequences for control failure and resistance evolution remain poorly quantified. Diversified cropping, push–pull systems, shade trees and complex landscapes show promise as adaptation measures, yet most supporting studies are short-term and geographically concentrated. The principal unresolved problems concern the reliability of forecasting tools that ignore thermal variability, the absence of climate-responsive economic thresholds, and weak evaluation of adoption, equity and long-term outcomes. The review concludes that climate-smart IPM is best understood not as a new paradigm but as a demanding re-specification of prevention, </w:t>
      </w:r>
      <w:r>
        <w:lastRenderedPageBreak/>
        <w:t>monitoring, decision rules and evaluation, whose credibility will depend on multi-season, multi-site field evidence rather than on conceptual endorsement.</w:t>
      </w:r>
    </w:p>
    <w:p w14:paraId="3C34D678" w14:textId="77777777" w:rsidR="007B203C" w:rsidRDefault="00000000">
      <w:pPr>
        <w:spacing w:after="360" w:line="360" w:lineRule="auto"/>
      </w:pPr>
      <w:r>
        <w:rPr>
          <w:b/>
          <w:bCs/>
        </w:rPr>
        <w:t xml:space="preserve">Keywords: </w:t>
      </w:r>
      <w:r>
        <w:t>climate adaptation; thermal ecology; biological control; insecticide efficacy; pest forecasting; phenological mismatch; agroecological diversification; decision support</w:t>
      </w:r>
    </w:p>
    <w:p w14:paraId="5214911C" w14:textId="77777777" w:rsidR="007B203C" w:rsidRDefault="00000000">
      <w:pPr>
        <w:pStyle w:val="Heading1"/>
        <w:keepNext/>
        <w:spacing w:before="240" w:after="120" w:line="360" w:lineRule="auto"/>
      </w:pPr>
      <w:r>
        <w:t>1. Introduction</w:t>
      </w:r>
    </w:p>
    <w:p w14:paraId="7A0FBF00" w14:textId="77777777" w:rsidR="007B203C" w:rsidRDefault="00000000">
      <w:pPr>
        <w:spacing w:after="160" w:line="360" w:lineRule="auto"/>
        <w:jc w:val="both"/>
      </w:pPr>
      <w:r>
        <w:t>Insect pests remain among the most persistent constraints on crop production. Global assessments place losses attributable to animal pests at roughly 18% of attainable yield across major crops (Oerke, 2006), and an expert-based survey of pathogens and pests estimated combined yield losses of approximately 17–30% for wheat, rice, maize, potato and soybean, with the heaviest burdens in food-deficit regions (Savary et al., 2019). These losses are not static. Because insects are ectotherms, their metabolism, feeding, development and reproduction depend directly on temperature, and temperature has long been recognised as the dominant abiotic factor governing their responses to climate change (Bale et al., 2002). A widely cited modelling analysis projected that global yield losses of wheat, rice and maize to insect pests would rise by about 10–25% per degree of global mean surface warming, with the largest increases in temperate grain-producing regions where warming raises both metabolic demand and population growth (Deutsch et al., 2018). Observational records show that the reported distributions of crop pests and pathogens have been moving polewards at an average of roughly 2.7 km per year since 1960, although detection effort confounds part of that signal (Bebber et al., 2013).</w:t>
      </w:r>
    </w:p>
    <w:p w14:paraId="491F6F6A" w14:textId="77777777" w:rsidR="007B203C" w:rsidRDefault="00000000">
      <w:pPr>
        <w:spacing w:after="160" w:line="360" w:lineRule="auto"/>
        <w:jc w:val="both"/>
      </w:pPr>
      <w:r>
        <w:t xml:space="preserve">Integrated pest management (IPM) emerged as a response to the ecological and economic failures of calendar-based insecticide use. The integrated control concept of Stern et al. (1959) combined chemical and biological control through economic thresholds, and later formulations broadened IPM into a decision framework built on prevention, monitoring, threshold-based intervention and the preferential use of non-chemical tactics (Barzman et al., 2015; Kogan, 1998). The economic injury level, which links pest density to the cost of intervention and the value of the crop, provided the quantitative core of this framework (Pedigo et al., 1986). Every one of these components rests on assumptions about the environment: that pest phenology is sufficiently regular to schedule monitoring, that relationships between pest density and yield loss are stable, that natural enemies remain synchronised with their hosts, and that pesticides </w:t>
      </w:r>
      <w:r>
        <w:lastRenderedPageBreak/>
        <w:t>perform consistently across the conditions under which they are applied. Climate change weakens each assumption.</w:t>
      </w:r>
    </w:p>
    <w:p w14:paraId="56021EA2" w14:textId="77777777" w:rsidR="007B203C" w:rsidRDefault="00000000">
      <w:pPr>
        <w:spacing w:after="160" w:line="360" w:lineRule="auto"/>
        <w:jc w:val="both"/>
      </w:pPr>
      <w:r>
        <w:t>Evidence that pest pressure will change under warming is now substantial but far from uniform. Reviews document range expansion, increased overwintering survival, additional generations and altered host-plant interactions in many agricultural pests (Lehmann et al., 2020; Skendžić et al., 2021), but they also record neutral or negative responses, particularly where warming pushes tropical species beyond their thermal optima (Deutsch et al., 2008; Schneider et al., 2022). Temperature extremes may produce outbreak and collapse cycles rather than smooth trends (Harvey et al., 2020), and the evidence base on insects and climate change as a whole is characterised by marked taxonomic and geographical imbalance (Harvey et al., 2023). For pest managers, the consequence is not merely that pest pressure may increase, but that it becomes less predictable in timing, location and intensity.</w:t>
      </w:r>
    </w:p>
    <w:p w14:paraId="2A5E009F" w14:textId="77777777" w:rsidR="007B203C" w:rsidRDefault="00000000">
      <w:pPr>
        <w:spacing w:after="160" w:line="360" w:lineRule="auto"/>
        <w:jc w:val="both"/>
      </w:pPr>
      <w:r>
        <w:t>The concept of climate-smart agriculture, framed around the objectives of sustainably raising productivity and incomes, adapting and building resilience, and reducing greenhouse gas emissions where possible (Lipper et al., 2014), has been extended to crop protection. Heeb et al. (2019) proposed climate-smart pest management as a cross-sectoral approach intended to reduce pest-related losses while strengthening the resilience of farms and landscapes, and subsequent reviews have elaborated its technological and institutional components (Bouri et al., 2023). Eigenbrode and Adhikari (2023) argued for an expanded framework of climate-smart integrated pest and pollinator management, recognising that climate change also alters beneficial insects and that farmers' adaptive changes in cropping systems may affect pests as strongly as climate itself. The International Plant Protection Convention has similarly identified climate change as a driver of plant pest risk that demands stronger surveillance and preventive capacity (IPPC Secretariat, 2021). The climate-smart agriculture label has itself attracted criticism for conceptual vagueness and for obscuring trade-offs and questions of power behind an assumed triple win (Taylor, 2018).</w:t>
      </w:r>
    </w:p>
    <w:p w14:paraId="734AB072" w14:textId="77777777" w:rsidR="007B203C" w:rsidRDefault="00000000">
      <w:pPr>
        <w:spacing w:after="160" w:line="360" w:lineRule="auto"/>
        <w:jc w:val="both"/>
      </w:pPr>
      <w:r>
        <w:t xml:space="preserve">Existing reviews therefore approach the topic from different directions. Some summarise the biological impacts of climate change on pests (Lehmann et al., 2020; Skendžić et al., 2021), some focus on specific control tactics such as biological control or pesticides (Furlong &amp; Zalucki, 2017; Matzrafi, 2019), and a recent synthesis evaluated how temperature affects insecticides, mating disruption, entomopathogens and entomophagous natural enemies (Perrin et al., 2025). Critiques of IPM itself have shown that, in practice, it has often been reduced to </w:t>
      </w:r>
      <w:r>
        <w:lastRenderedPageBreak/>
        <w:t>rationalised pesticide use rather than the ecologically based system originally envisaged (Deguine et al., 2021; Parsa et al., 2014). What remains insufficiently examined is how these strands intersect: how the biological mechanisms by which climate alters pest pressure propagate through each decision layer of IPM, where the evidence for proposed adaptations is robust or fragile, and which methodological weaknesses prevent confident redesign. This review addresses that intersection.</w:t>
      </w:r>
    </w:p>
    <w:p w14:paraId="135FF9B5" w14:textId="77777777" w:rsidR="007B203C" w:rsidRDefault="00000000">
      <w:pPr>
        <w:pStyle w:val="Heading2"/>
        <w:keepNext/>
        <w:spacing w:before="160" w:after="100" w:line="360" w:lineRule="auto"/>
      </w:pPr>
      <w:r>
        <w:t>1.1 Scope, Research Gap and Objectives</w:t>
      </w:r>
    </w:p>
    <w:p w14:paraId="63FB44A2" w14:textId="77777777" w:rsidR="007B203C" w:rsidRDefault="00000000">
      <w:pPr>
        <w:spacing w:after="160" w:line="360" w:lineRule="auto"/>
        <w:jc w:val="both"/>
      </w:pPr>
      <w:r>
        <w:t>This review concerns insect pests of field and horticultural crops and the redesign of IPM under climate change, with emphasis on rising mean temperatures, increased thermal variability and extremes, altered precipitation and drought regimes, and elevated atmospheric carbon dioxide. Mites, weeds, plant pathogens, stored-product pests, forest pests and vectors of human or animal disease are excluded as primary subjects, although evidence from these fields is used where it clarifies mechanisms directly relevant to crop insect pests. The review examines both biological mechanisms and management components, including prediction and monitoring, decision thresholds, biological control, chemical control and resistance management, cultural and agroecological tactics, host-plant resistance, and the institutional conditions for adoption.</w:t>
      </w:r>
    </w:p>
    <w:p w14:paraId="3984D750" w14:textId="77777777" w:rsidR="007B203C" w:rsidRDefault="00000000">
      <w:pPr>
        <w:spacing w:after="160" w:line="360" w:lineRule="auto"/>
        <w:jc w:val="both"/>
      </w:pPr>
      <w:r>
        <w:t>The specific knowledge gap is the absence of an integrated, critically appraised account that links climate-driven changes in pest biology to the operational decision layers of IPM, distinguishes strongly supported conclusions from mechanistically plausible but weakly tested claims, and identifies the methodological reasons for disagreement across studies. Existing syntheses tend either to catalogue impacts on pests or to evaluate single control tactics, and the climate-smart pest management literature has advanced conceptual frameworks faster than it has accumulated field evaluations.</w:t>
      </w:r>
    </w:p>
    <w:p w14:paraId="3844F772" w14:textId="77777777" w:rsidR="007B203C" w:rsidRDefault="00000000">
      <w:pPr>
        <w:spacing w:after="160" w:line="360" w:lineRule="auto"/>
        <w:jc w:val="both"/>
      </w:pPr>
      <w:r>
        <w:t>The objectives are fourfold. The first is to evaluate the strength and consistency of evidence on how warming, variability and associated stressors alter pest pressure. The second is to assess how these changes affect the reliability of forecasting, monitoring and threshold-based decisions. The third is to appraise the climate sensitivity and adaptive potential of biological, chemical, cultural and host-plant resistance tactics. The fourth is to examine what the climate-smart framing adds to established IPM and what evidence standards are needed to judge it. The intended contribution is a critical synthesis and a set of prioritised research directions rather than an exhaustive inventory of pest species or regions.</w:t>
      </w:r>
    </w:p>
    <w:p w14:paraId="48D5B305" w14:textId="77777777" w:rsidR="007B203C" w:rsidRDefault="00000000">
      <w:pPr>
        <w:pStyle w:val="Heading1"/>
        <w:keepNext/>
        <w:spacing w:before="240" w:after="120" w:line="360" w:lineRule="auto"/>
      </w:pPr>
      <w:r>
        <w:lastRenderedPageBreak/>
        <w:t>2. Methods for Literature Selection</w:t>
      </w:r>
    </w:p>
    <w:p w14:paraId="4941A227" w14:textId="77777777" w:rsidR="007B203C" w:rsidRDefault="00000000">
      <w:pPr>
        <w:pStyle w:val="Heading2"/>
        <w:keepNext/>
        <w:spacing w:before="160" w:after="100" w:line="360" w:lineRule="auto"/>
      </w:pPr>
      <w:r>
        <w:t>2.1 Review Design and Rationale</w:t>
      </w:r>
    </w:p>
    <w:p w14:paraId="75F69C1D" w14:textId="77777777" w:rsidR="007B203C" w:rsidRDefault="00000000">
      <w:pPr>
        <w:spacing w:after="160" w:line="360" w:lineRule="auto"/>
        <w:jc w:val="both"/>
      </w:pPr>
      <w:r>
        <w:t>A critical narrative review design was adopted because the review question spans physiology, population ecology, crop protection, modelling and agricultural economics, and because the relevant evidence consists of laboratory experiments, field trials, long-term monitoring records, species distribution and process-based models, meta-analyses and policy analyses. Such heterogeneity in designs, outcomes and scales precludes meaningful statistical pooling and would force a systematic review to adopt either an excessively narrow question or an unworkable set of outcome definitions. Narrative reviews are well suited to interpretive synthesis across disparate evidence when they are conducted transparently and critically (Greenhalgh et al., 2018). The conduct and reporting of this review were guided by the quality criteria of the Scale for the Assessment of Narrative Review Articles, which emphasises justification of the topic, explicit aims, description of the literature search, referencing, scientific reasoning and appropriate presentation of data (Baethge et al., 2019). The narrative design does not remove the need for explicit search procedures, stated eligibility criteria or critical appraisal, each of which is described below.</w:t>
      </w:r>
    </w:p>
    <w:p w14:paraId="10CFFE99" w14:textId="77777777" w:rsidR="007B203C" w:rsidRDefault="00000000">
      <w:pPr>
        <w:pStyle w:val="Heading2"/>
        <w:keepNext/>
        <w:spacing w:before="160" w:after="100" w:line="360" w:lineRule="auto"/>
      </w:pPr>
      <w:r>
        <w:t>2.2 Information Sources</w:t>
      </w:r>
    </w:p>
    <w:p w14:paraId="1666E304" w14:textId="77777777" w:rsidR="007B203C" w:rsidRDefault="00000000">
      <w:pPr>
        <w:spacing w:after="160" w:line="360" w:lineRule="auto"/>
        <w:jc w:val="both"/>
      </w:pPr>
      <w:r>
        <w:t>Literature was identified through Crossref, Europe PMC, PubMed, OpenAIRE, the Directory of Open Access Journals (DOAJ), Semantic Scholar and Google Scholar. Crossref and OpenAIRE provided broad multidisciplinary coverage of journal literature in agriculture, ecology and entomology, while Europe PMC and PubMed were used for life-science literature on insect physiology, ecotoxicology and resistance. DOAJ was searched to improve coverage of open-access journals, including those published in low- and middle-income countries. Authoritative institutional sources, notably reports of the Food and Agriculture Organization of the United Nations and the International Plant Protection Convention Secretariat, were consulted for policy context. Database searching was supplemented by backward citation searching of recent high-quality reviews, forward citation tracking of seminal studies and screening of related-article suggestions. Records were also checked for corrections, errata and retraction notices before final inclusion.</w:t>
      </w:r>
    </w:p>
    <w:p w14:paraId="041FC31C" w14:textId="77777777" w:rsidR="007B203C" w:rsidRDefault="00000000">
      <w:pPr>
        <w:pStyle w:val="Heading2"/>
        <w:keepNext/>
        <w:spacing w:before="160" w:after="100" w:line="360" w:lineRule="auto"/>
      </w:pPr>
      <w:r>
        <w:t>2.3 Search Strategy and Search Period</w:t>
      </w:r>
    </w:p>
    <w:p w14:paraId="518CB48E" w14:textId="77777777" w:rsidR="007B203C" w:rsidRDefault="00000000">
      <w:pPr>
        <w:spacing w:after="160" w:line="360" w:lineRule="auto"/>
        <w:jc w:val="both"/>
      </w:pPr>
      <w:r>
        <w:t xml:space="preserve">Search strategies combined four concept blocks: climate drivers (for example, warming, temperature variability, heat waves, drought and elevated carbon dioxide), the insect pest </w:t>
      </w:r>
      <w:r>
        <w:lastRenderedPageBreak/>
        <w:t>domain (insect pests, herbivores and crop pests), management components (integrated pest management, biological control, natural enemies, insecticides, resistance, forecasting, monitoring, economic thresholds, intercropping, push–pull and host-plant resistance) and implementation dimensions (adoption, farmer field schools, decision support and climate-smart agriculture). Free-text terms were adapted to the syntax of each source, and representative strings are presented in Table 1. The search period extended from 1 January 2000 to 26 July 2026. The starting year was chosen because systematic research on direct temperature effects on insect herbivores and on climate-related pest risk began to consolidate at around this time, and because contemporary IPM principles had by then been codified. Foundational publications predating this window, including the original integrated control concept and the theory of economic injury levels, were retained where they were necessary to explain the conceptual basis of IPM.</w:t>
      </w:r>
    </w:p>
    <w:p w14:paraId="1DF78BF2" w14:textId="77777777" w:rsidR="007B203C" w:rsidRDefault="00000000">
      <w:pPr>
        <w:pStyle w:val="Heading2"/>
        <w:keepNext/>
        <w:spacing w:before="160" w:after="100" w:line="360" w:lineRule="auto"/>
      </w:pPr>
      <w:r>
        <w:t>2.4 Eligibility Criteria</w:t>
      </w:r>
    </w:p>
    <w:p w14:paraId="3CC08D05" w14:textId="77777777" w:rsidR="007B203C" w:rsidRDefault="00000000">
      <w:pPr>
        <w:spacing w:after="160" w:line="360" w:lineRule="auto"/>
        <w:jc w:val="both"/>
      </w:pPr>
      <w:r>
        <w:t>Eligible sources were peer-reviewed original research articles, reviews, meta-analyses and perspective articles published in English that addressed the effects of climate variables on insect pests of crops, their natural enemies, their host plants or the tactics used to manage them, or that addressed the design, adoption or evaluation of IPM in relation to climate change. Studies on non-crop taxa such as damselflies, springtails or forest insects were eligible only where they provided mechanistic evidence directly transferable to crop pest management, for example on temperature-dependent pesticide toxicity or drought effects on herbivores. Institutional reports were included when issued by recognised intergovernmental bodies. Excluded were conference abstracts, non-peer-reviewed preprints, trade publications, commercial material, sources whose bibliographic details could not be confirmed, studies concerned solely with plant pathogens, weeds or disease vectors, and articles in which climate was mentioned only incidentally. No geographical restriction was applied, and evidence from Africa and Asia was actively sought to counterbalance the dominance of temperate studies.</w:t>
      </w:r>
    </w:p>
    <w:p w14:paraId="41EEC4F2" w14:textId="77777777" w:rsidR="007B203C" w:rsidRDefault="00000000">
      <w:pPr>
        <w:pStyle w:val="Heading2"/>
        <w:keepNext/>
        <w:spacing w:before="160" w:after="100" w:line="360" w:lineRule="auto"/>
      </w:pPr>
      <w:r>
        <w:t>2.5 Screening, Duplicate Handling and Study Selection</w:t>
      </w:r>
    </w:p>
    <w:p w14:paraId="00064060" w14:textId="77777777" w:rsidR="007B203C" w:rsidRDefault="00000000">
      <w:pPr>
        <w:spacing w:after="160" w:line="360" w:lineRule="auto"/>
        <w:jc w:val="both"/>
      </w:pPr>
      <w:r>
        <w:t xml:space="preserve">Titles and abstracts retrieved from each source were screened for relevance to the review objectives, and potentially eligible records were assessed in full text or, where full text was inaccessible, through the abstract and publisher metadata when these were sufficient to establish the claim for which the source would be cited. Duplicates across sources were identified by Digital Object Identifier and, where necessary, by comparison of title, first author </w:t>
      </w:r>
      <w:r>
        <w:lastRenderedPageBreak/>
        <w:t>and year. Every retained reference was checked against its registered metadata, and sources for which authorship, pagination or identifiers could not be confirmed were excluded. Because selection was iterative and oriented to conceptual coverage rather than exhaustive enumeration, record counts are not reported and no flow diagram is presented, consistent with the narrative design.</w:t>
      </w:r>
    </w:p>
    <w:p w14:paraId="0AE048CB" w14:textId="77777777" w:rsidR="007B203C" w:rsidRDefault="00000000">
      <w:pPr>
        <w:pStyle w:val="Heading2"/>
        <w:keepNext/>
        <w:spacing w:before="160" w:after="100" w:line="360" w:lineRule="auto"/>
      </w:pPr>
      <w:r>
        <w:t>2.6 Critical Appraisal and Evidence Synthesis</w:t>
      </w:r>
    </w:p>
    <w:p w14:paraId="595543C6" w14:textId="77777777" w:rsidR="007B203C" w:rsidRDefault="00000000">
      <w:pPr>
        <w:spacing w:after="160" w:line="360" w:lineRule="auto"/>
        <w:jc w:val="both"/>
      </w:pPr>
      <w:r>
        <w:t>Sources were appraised according to study design, spatial and temporal scale, ecological realism of experimental conditions, replication, treatment of confounding factors, transparency of modelling assumptions and relevance to management decisions. Particular attention was paid to whether laboratory results had been tested under fluctuating or field conditions, whether modelling studies had been validated against independent data, and whether field studies spanned more than one season or site. No formal risk-of-bias scores were assigned because no single appraisal instrument is valid across the range of designs considered. Themes were developed inductively from the evidence and organised around the decision layers of IPM. Where studies disagreed, possible explanations such as differences in thermal baselines, taxa, life stages, exposure regimes or spatial scale were examined explicitly, and confidence in each conclusion was graded qualitatively according to the consistency, independence and ecological realism of supporting evidence.</w:t>
      </w:r>
    </w:p>
    <w:p w14:paraId="3715FAFC" w14:textId="77777777" w:rsidR="007B203C" w:rsidRDefault="00000000">
      <w:pPr>
        <w:spacing w:after="160" w:line="360" w:lineRule="auto"/>
        <w:jc w:val="both"/>
      </w:pPr>
      <w:r>
        <w:t>Table 1 summarises the concept blocks and representative search strings used to structure the literature search. The strings are illustrative rather than exhaustive, and in practice were combined with citation tracking, which proved particularly important for retrieving mechanistic studies that did not use the vocabulary of pest management.</w:t>
      </w:r>
    </w:p>
    <w:p w14:paraId="614A6711" w14:textId="77777777" w:rsidR="007B203C" w:rsidRDefault="00000000">
      <w:pPr>
        <w:keepNext/>
        <w:spacing w:before="120" w:after="80" w:line="360" w:lineRule="auto"/>
      </w:pPr>
      <w:r>
        <w:rPr>
          <w:b/>
          <w:bCs/>
          <w:sz w:val="22"/>
          <w:szCs w:val="22"/>
        </w:rPr>
        <w:t xml:space="preserve">Table 1. </w:t>
      </w:r>
      <w:r>
        <w:rPr>
          <w:sz w:val="22"/>
          <w:szCs w:val="22"/>
        </w:rPr>
        <w:t>Search concept blocks and representative search strings used to identify literature on climate-smart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2300"/>
        <w:gridCol w:w="3526"/>
        <w:gridCol w:w="1700"/>
      </w:tblGrid>
      <w:tr w:rsidR="007B203C" w14:paraId="699198D2" w14:textId="77777777">
        <w:trPr>
          <w:tblHeader/>
        </w:trPr>
        <w:tc>
          <w:tcPr>
            <w:tcW w:w="1500" w:type="dxa"/>
            <w:shd w:val="clear" w:color="auto" w:fill="E7E6E6"/>
            <w:tcMar>
              <w:top w:w="50" w:type="dxa"/>
              <w:left w:w="80" w:type="dxa"/>
              <w:bottom w:w="50" w:type="dxa"/>
              <w:right w:w="80" w:type="dxa"/>
            </w:tcMar>
          </w:tcPr>
          <w:p w14:paraId="7E60E8FD" w14:textId="77777777" w:rsidR="007B203C" w:rsidRDefault="00000000">
            <w:pPr>
              <w:spacing w:after="40"/>
            </w:pPr>
            <w:r>
              <w:rPr>
                <w:b/>
                <w:bCs/>
                <w:sz w:val="17"/>
                <w:szCs w:val="17"/>
              </w:rPr>
              <w:t>Concept block</w:t>
            </w:r>
          </w:p>
        </w:tc>
        <w:tc>
          <w:tcPr>
            <w:tcW w:w="2300" w:type="dxa"/>
            <w:shd w:val="clear" w:color="auto" w:fill="E7E6E6"/>
            <w:tcMar>
              <w:top w:w="50" w:type="dxa"/>
              <w:left w:w="80" w:type="dxa"/>
              <w:bottom w:w="50" w:type="dxa"/>
              <w:right w:w="80" w:type="dxa"/>
            </w:tcMar>
          </w:tcPr>
          <w:p w14:paraId="66D72EBD" w14:textId="77777777" w:rsidR="007B203C" w:rsidRDefault="00000000">
            <w:pPr>
              <w:spacing w:after="40"/>
            </w:pPr>
            <w:r>
              <w:rPr>
                <w:b/>
                <w:bCs/>
                <w:sz w:val="17"/>
                <w:szCs w:val="17"/>
              </w:rPr>
              <w:t>Representative terms</w:t>
            </w:r>
          </w:p>
        </w:tc>
        <w:tc>
          <w:tcPr>
            <w:tcW w:w="3526" w:type="dxa"/>
            <w:shd w:val="clear" w:color="auto" w:fill="E7E6E6"/>
            <w:tcMar>
              <w:top w:w="50" w:type="dxa"/>
              <w:left w:w="80" w:type="dxa"/>
              <w:bottom w:w="50" w:type="dxa"/>
              <w:right w:w="80" w:type="dxa"/>
            </w:tcMar>
          </w:tcPr>
          <w:p w14:paraId="6828FA2D" w14:textId="77777777" w:rsidR="007B203C" w:rsidRDefault="00000000">
            <w:pPr>
              <w:spacing w:after="40"/>
            </w:pPr>
            <w:r>
              <w:rPr>
                <w:b/>
                <w:bCs/>
                <w:sz w:val="17"/>
                <w:szCs w:val="17"/>
              </w:rPr>
              <w:t>Example search string</w:t>
            </w:r>
          </w:p>
        </w:tc>
        <w:tc>
          <w:tcPr>
            <w:tcW w:w="1700" w:type="dxa"/>
            <w:shd w:val="clear" w:color="auto" w:fill="E7E6E6"/>
            <w:tcMar>
              <w:top w:w="50" w:type="dxa"/>
              <w:left w:w="80" w:type="dxa"/>
              <w:bottom w:w="50" w:type="dxa"/>
              <w:right w:w="80" w:type="dxa"/>
            </w:tcMar>
          </w:tcPr>
          <w:p w14:paraId="0712714F" w14:textId="77777777" w:rsidR="007B203C" w:rsidRDefault="00000000">
            <w:pPr>
              <w:spacing w:after="40"/>
            </w:pPr>
            <w:r>
              <w:rPr>
                <w:b/>
                <w:bCs/>
                <w:sz w:val="17"/>
                <w:szCs w:val="17"/>
              </w:rPr>
              <w:t>Supporting references</w:t>
            </w:r>
          </w:p>
        </w:tc>
      </w:tr>
      <w:tr w:rsidR="007B203C" w14:paraId="6A89B59B" w14:textId="77777777">
        <w:tc>
          <w:tcPr>
            <w:tcW w:w="1500" w:type="dxa"/>
            <w:tcMar>
              <w:top w:w="50" w:type="dxa"/>
              <w:left w:w="80" w:type="dxa"/>
              <w:bottom w:w="50" w:type="dxa"/>
              <w:right w:w="80" w:type="dxa"/>
            </w:tcMar>
          </w:tcPr>
          <w:p w14:paraId="11A0A82D" w14:textId="77777777" w:rsidR="007B203C" w:rsidRDefault="00000000">
            <w:pPr>
              <w:spacing w:after="40"/>
            </w:pPr>
            <w:r>
              <w:rPr>
                <w:sz w:val="17"/>
                <w:szCs w:val="17"/>
              </w:rPr>
              <w:t>Climate drivers</w:t>
            </w:r>
          </w:p>
        </w:tc>
        <w:tc>
          <w:tcPr>
            <w:tcW w:w="2300" w:type="dxa"/>
            <w:tcMar>
              <w:top w:w="50" w:type="dxa"/>
              <w:left w:w="80" w:type="dxa"/>
              <w:bottom w:w="50" w:type="dxa"/>
              <w:right w:w="80" w:type="dxa"/>
            </w:tcMar>
          </w:tcPr>
          <w:p w14:paraId="5B6091CD" w14:textId="77777777" w:rsidR="007B203C" w:rsidRDefault="00000000">
            <w:pPr>
              <w:spacing w:after="40"/>
            </w:pPr>
            <w:r>
              <w:rPr>
                <w:sz w:val="17"/>
                <w:szCs w:val="17"/>
              </w:rPr>
              <w:t>warming; temperature variability; heat wave; extreme temperature; drought; elevated CO</w:t>
            </w:r>
            <w:r>
              <w:rPr>
                <w:sz w:val="17"/>
                <w:szCs w:val="17"/>
                <w:vertAlign w:val="subscript"/>
              </w:rPr>
              <w:t>2</w:t>
            </w:r>
          </w:p>
        </w:tc>
        <w:tc>
          <w:tcPr>
            <w:tcW w:w="3526" w:type="dxa"/>
            <w:tcMar>
              <w:top w:w="50" w:type="dxa"/>
              <w:left w:w="80" w:type="dxa"/>
              <w:bottom w:w="50" w:type="dxa"/>
              <w:right w:w="80" w:type="dxa"/>
            </w:tcMar>
          </w:tcPr>
          <w:p w14:paraId="22C63BF1" w14:textId="77777777" w:rsidR="007B203C" w:rsidRDefault="00000000">
            <w:pPr>
              <w:spacing w:after="40"/>
            </w:pPr>
            <w:r>
              <w:rPr>
                <w:sz w:val="17"/>
                <w:szCs w:val="17"/>
              </w:rPr>
              <w:t>("climate change" OR warming OR "heat wave" OR drought OR "elevated CO2") AND (insect* OR pest*)</w:t>
            </w:r>
          </w:p>
        </w:tc>
        <w:tc>
          <w:tcPr>
            <w:tcW w:w="1700" w:type="dxa"/>
            <w:tcMar>
              <w:top w:w="50" w:type="dxa"/>
              <w:left w:w="80" w:type="dxa"/>
              <w:bottom w:w="50" w:type="dxa"/>
              <w:right w:w="80" w:type="dxa"/>
            </w:tcMar>
          </w:tcPr>
          <w:p w14:paraId="29F6578E" w14:textId="77777777" w:rsidR="007B203C" w:rsidRDefault="00000000">
            <w:pPr>
              <w:spacing w:after="40"/>
            </w:pPr>
            <w:r>
              <w:rPr>
                <w:sz w:val="17"/>
                <w:szCs w:val="17"/>
              </w:rPr>
              <w:t>Bale et al. (2002); Harvey et al. (2020)</w:t>
            </w:r>
          </w:p>
        </w:tc>
      </w:tr>
      <w:tr w:rsidR="007B203C" w14:paraId="27FBA96E" w14:textId="77777777">
        <w:tc>
          <w:tcPr>
            <w:tcW w:w="1500" w:type="dxa"/>
            <w:tcMar>
              <w:top w:w="50" w:type="dxa"/>
              <w:left w:w="80" w:type="dxa"/>
              <w:bottom w:w="50" w:type="dxa"/>
              <w:right w:w="80" w:type="dxa"/>
            </w:tcMar>
          </w:tcPr>
          <w:p w14:paraId="4008DF0A" w14:textId="77777777" w:rsidR="007B203C" w:rsidRDefault="00000000">
            <w:pPr>
              <w:spacing w:after="40"/>
            </w:pPr>
            <w:r>
              <w:rPr>
                <w:sz w:val="17"/>
                <w:szCs w:val="17"/>
              </w:rPr>
              <w:t>Pest biology and host plants</w:t>
            </w:r>
          </w:p>
        </w:tc>
        <w:tc>
          <w:tcPr>
            <w:tcW w:w="2300" w:type="dxa"/>
            <w:tcMar>
              <w:top w:w="50" w:type="dxa"/>
              <w:left w:w="80" w:type="dxa"/>
              <w:bottom w:w="50" w:type="dxa"/>
              <w:right w:w="80" w:type="dxa"/>
            </w:tcMar>
          </w:tcPr>
          <w:p w14:paraId="2F615368" w14:textId="77777777" w:rsidR="007B203C" w:rsidRDefault="00000000">
            <w:pPr>
              <w:spacing w:after="40"/>
            </w:pPr>
            <w:r>
              <w:rPr>
                <w:sz w:val="17"/>
                <w:szCs w:val="17"/>
              </w:rPr>
              <w:t>development rate; voltinism; phenology; range shift; thermal tolerance; plant defence</w:t>
            </w:r>
          </w:p>
        </w:tc>
        <w:tc>
          <w:tcPr>
            <w:tcW w:w="3526" w:type="dxa"/>
            <w:tcMar>
              <w:top w:w="50" w:type="dxa"/>
              <w:left w:w="80" w:type="dxa"/>
              <w:bottom w:w="50" w:type="dxa"/>
              <w:right w:w="80" w:type="dxa"/>
            </w:tcMar>
          </w:tcPr>
          <w:p w14:paraId="43C98F47" w14:textId="77777777" w:rsidR="007B203C" w:rsidRDefault="00000000">
            <w:pPr>
              <w:spacing w:after="40"/>
            </w:pPr>
            <w:r>
              <w:rPr>
                <w:sz w:val="17"/>
                <w:szCs w:val="17"/>
              </w:rPr>
              <w:t>("insect pest*" OR herbivor*) AND (voltinism OR phenology OR "thermal tolerance" OR "range expansion") AND (warming OR temperature)</w:t>
            </w:r>
          </w:p>
        </w:tc>
        <w:tc>
          <w:tcPr>
            <w:tcW w:w="1700" w:type="dxa"/>
            <w:tcMar>
              <w:top w:w="50" w:type="dxa"/>
              <w:left w:w="80" w:type="dxa"/>
              <w:bottom w:w="50" w:type="dxa"/>
              <w:right w:w="80" w:type="dxa"/>
            </w:tcMar>
          </w:tcPr>
          <w:p w14:paraId="268A701C" w14:textId="77777777" w:rsidR="007B203C" w:rsidRDefault="00000000">
            <w:pPr>
              <w:spacing w:after="40"/>
            </w:pPr>
            <w:r>
              <w:rPr>
                <w:sz w:val="17"/>
                <w:szCs w:val="17"/>
              </w:rPr>
              <w:t>Lehmann et al. (2020); Skendžić et al. (2021)</w:t>
            </w:r>
          </w:p>
        </w:tc>
      </w:tr>
      <w:tr w:rsidR="007B203C" w14:paraId="17BAD0E1" w14:textId="77777777">
        <w:tc>
          <w:tcPr>
            <w:tcW w:w="1500" w:type="dxa"/>
            <w:tcMar>
              <w:top w:w="50" w:type="dxa"/>
              <w:left w:w="80" w:type="dxa"/>
              <w:bottom w:w="50" w:type="dxa"/>
              <w:right w:w="80" w:type="dxa"/>
            </w:tcMar>
          </w:tcPr>
          <w:p w14:paraId="7C9FB0D5" w14:textId="77777777" w:rsidR="007B203C" w:rsidRDefault="00000000">
            <w:pPr>
              <w:spacing w:after="40"/>
            </w:pPr>
            <w:r>
              <w:rPr>
                <w:sz w:val="17"/>
                <w:szCs w:val="17"/>
              </w:rPr>
              <w:t>Management tactics</w:t>
            </w:r>
          </w:p>
        </w:tc>
        <w:tc>
          <w:tcPr>
            <w:tcW w:w="2300" w:type="dxa"/>
            <w:tcMar>
              <w:top w:w="50" w:type="dxa"/>
              <w:left w:w="80" w:type="dxa"/>
              <w:bottom w:w="50" w:type="dxa"/>
              <w:right w:w="80" w:type="dxa"/>
            </w:tcMar>
          </w:tcPr>
          <w:p w14:paraId="154FCD59" w14:textId="77777777" w:rsidR="007B203C" w:rsidRDefault="00000000">
            <w:pPr>
              <w:spacing w:after="40"/>
            </w:pPr>
            <w:r>
              <w:rPr>
                <w:sz w:val="17"/>
                <w:szCs w:val="17"/>
              </w:rPr>
              <w:t xml:space="preserve">integrated pest management; biological control; natural enemies; insecticide efficacy; </w:t>
            </w:r>
            <w:r>
              <w:rPr>
                <w:sz w:val="17"/>
                <w:szCs w:val="17"/>
              </w:rPr>
              <w:lastRenderedPageBreak/>
              <w:t>resistance; push–pull; intercropping</w:t>
            </w:r>
          </w:p>
        </w:tc>
        <w:tc>
          <w:tcPr>
            <w:tcW w:w="3526" w:type="dxa"/>
            <w:tcMar>
              <w:top w:w="50" w:type="dxa"/>
              <w:left w:w="80" w:type="dxa"/>
              <w:bottom w:w="50" w:type="dxa"/>
              <w:right w:w="80" w:type="dxa"/>
            </w:tcMar>
          </w:tcPr>
          <w:p w14:paraId="31858D73" w14:textId="77777777" w:rsidR="007B203C" w:rsidRDefault="00000000">
            <w:pPr>
              <w:spacing w:after="40"/>
            </w:pPr>
            <w:r>
              <w:rPr>
                <w:sz w:val="17"/>
                <w:szCs w:val="17"/>
              </w:rPr>
              <w:lastRenderedPageBreak/>
              <w:t>("integrated pest management" OR "biological control" OR insecticide* OR "push-pull") AND ("climate change" OR warming)</w:t>
            </w:r>
          </w:p>
        </w:tc>
        <w:tc>
          <w:tcPr>
            <w:tcW w:w="1700" w:type="dxa"/>
            <w:tcMar>
              <w:top w:w="50" w:type="dxa"/>
              <w:left w:w="80" w:type="dxa"/>
              <w:bottom w:w="50" w:type="dxa"/>
              <w:right w:w="80" w:type="dxa"/>
            </w:tcMar>
          </w:tcPr>
          <w:p w14:paraId="6B903E81" w14:textId="77777777" w:rsidR="007B203C" w:rsidRDefault="00000000">
            <w:pPr>
              <w:spacing w:after="40"/>
            </w:pPr>
            <w:r>
              <w:rPr>
                <w:sz w:val="17"/>
                <w:szCs w:val="17"/>
              </w:rPr>
              <w:t>Perrin et al. (2025); Barzman et al. (2015)</w:t>
            </w:r>
          </w:p>
        </w:tc>
      </w:tr>
      <w:tr w:rsidR="007B203C" w14:paraId="31A15F9E" w14:textId="77777777">
        <w:tc>
          <w:tcPr>
            <w:tcW w:w="1500" w:type="dxa"/>
            <w:tcMar>
              <w:top w:w="50" w:type="dxa"/>
              <w:left w:w="80" w:type="dxa"/>
              <w:bottom w:w="50" w:type="dxa"/>
              <w:right w:w="80" w:type="dxa"/>
            </w:tcMar>
          </w:tcPr>
          <w:p w14:paraId="74EBFE82" w14:textId="77777777" w:rsidR="007B203C" w:rsidRDefault="00000000">
            <w:pPr>
              <w:spacing w:after="40"/>
            </w:pPr>
            <w:r>
              <w:rPr>
                <w:sz w:val="17"/>
                <w:szCs w:val="17"/>
              </w:rPr>
              <w:t>Prediction and decision-making</w:t>
            </w:r>
          </w:p>
        </w:tc>
        <w:tc>
          <w:tcPr>
            <w:tcW w:w="2300" w:type="dxa"/>
            <w:tcMar>
              <w:top w:w="50" w:type="dxa"/>
              <w:left w:w="80" w:type="dxa"/>
              <w:bottom w:w="50" w:type="dxa"/>
              <w:right w:w="80" w:type="dxa"/>
            </w:tcMar>
          </w:tcPr>
          <w:p w14:paraId="1C8FB8F7" w14:textId="77777777" w:rsidR="007B203C" w:rsidRDefault="00000000">
            <w:pPr>
              <w:spacing w:after="40"/>
            </w:pPr>
            <w:r>
              <w:rPr>
                <w:sz w:val="17"/>
                <w:szCs w:val="17"/>
              </w:rPr>
              <w:t>forecasting; degree-day model; species distribution model; monitoring; economic threshold; decision support</w:t>
            </w:r>
          </w:p>
        </w:tc>
        <w:tc>
          <w:tcPr>
            <w:tcW w:w="3526" w:type="dxa"/>
            <w:tcMar>
              <w:top w:w="50" w:type="dxa"/>
              <w:left w:w="80" w:type="dxa"/>
              <w:bottom w:w="50" w:type="dxa"/>
              <w:right w:w="80" w:type="dxa"/>
            </w:tcMar>
          </w:tcPr>
          <w:p w14:paraId="50B79965" w14:textId="77777777" w:rsidR="007B203C" w:rsidRDefault="00000000">
            <w:pPr>
              <w:spacing w:after="40"/>
            </w:pPr>
            <w:r>
              <w:rPr>
                <w:sz w:val="17"/>
                <w:szCs w:val="17"/>
              </w:rPr>
              <w:t>(forecast* OR "degree-day" OR "species distribution model" OR "economic threshold") AND pest* AND "climate change"</w:t>
            </w:r>
          </w:p>
        </w:tc>
        <w:tc>
          <w:tcPr>
            <w:tcW w:w="1700" w:type="dxa"/>
            <w:tcMar>
              <w:top w:w="50" w:type="dxa"/>
              <w:left w:w="80" w:type="dxa"/>
              <w:bottom w:w="50" w:type="dxa"/>
              <w:right w:w="80" w:type="dxa"/>
            </w:tcMar>
          </w:tcPr>
          <w:p w14:paraId="2E84A457" w14:textId="77777777" w:rsidR="007B203C" w:rsidRDefault="00000000">
            <w:pPr>
              <w:spacing w:after="40"/>
            </w:pPr>
            <w:r>
              <w:rPr>
                <w:sz w:val="17"/>
                <w:szCs w:val="17"/>
              </w:rPr>
              <w:t>Early et al. (2022); Merrill and Peairs (2017)</w:t>
            </w:r>
          </w:p>
        </w:tc>
      </w:tr>
      <w:tr w:rsidR="007B203C" w14:paraId="1604254C" w14:textId="77777777">
        <w:tc>
          <w:tcPr>
            <w:tcW w:w="1500" w:type="dxa"/>
            <w:tcMar>
              <w:top w:w="50" w:type="dxa"/>
              <w:left w:w="80" w:type="dxa"/>
              <w:bottom w:w="50" w:type="dxa"/>
              <w:right w:w="80" w:type="dxa"/>
            </w:tcMar>
          </w:tcPr>
          <w:p w14:paraId="16DE0B37" w14:textId="77777777" w:rsidR="007B203C" w:rsidRDefault="00000000">
            <w:pPr>
              <w:spacing w:after="40"/>
            </w:pPr>
            <w:r>
              <w:rPr>
                <w:sz w:val="17"/>
                <w:szCs w:val="17"/>
              </w:rPr>
              <w:t>Implementation and policy</w:t>
            </w:r>
          </w:p>
        </w:tc>
        <w:tc>
          <w:tcPr>
            <w:tcW w:w="2300" w:type="dxa"/>
            <w:tcMar>
              <w:top w:w="50" w:type="dxa"/>
              <w:left w:w="80" w:type="dxa"/>
              <w:bottom w:w="50" w:type="dxa"/>
              <w:right w:w="80" w:type="dxa"/>
            </w:tcMar>
          </w:tcPr>
          <w:p w14:paraId="5F60F626" w14:textId="77777777" w:rsidR="007B203C" w:rsidRDefault="00000000">
            <w:pPr>
              <w:spacing w:after="40"/>
            </w:pPr>
            <w:r>
              <w:rPr>
                <w:sz w:val="17"/>
                <w:szCs w:val="17"/>
              </w:rPr>
              <w:t>climate-smart agriculture; climate-smart pest management; adoption; farmer field school; equity</w:t>
            </w:r>
          </w:p>
        </w:tc>
        <w:tc>
          <w:tcPr>
            <w:tcW w:w="3526" w:type="dxa"/>
            <w:tcMar>
              <w:top w:w="50" w:type="dxa"/>
              <w:left w:w="80" w:type="dxa"/>
              <w:bottom w:w="50" w:type="dxa"/>
              <w:right w:w="80" w:type="dxa"/>
            </w:tcMar>
          </w:tcPr>
          <w:p w14:paraId="25D00059" w14:textId="77777777" w:rsidR="007B203C" w:rsidRDefault="00000000">
            <w:pPr>
              <w:spacing w:after="40"/>
            </w:pPr>
            <w:r>
              <w:rPr>
                <w:sz w:val="17"/>
                <w:szCs w:val="17"/>
              </w:rPr>
              <w:t>("climate-smart pest management" OR "climate-smart agriculture" OR "IPM adoption" OR "farmer field school*")</w:t>
            </w:r>
          </w:p>
        </w:tc>
        <w:tc>
          <w:tcPr>
            <w:tcW w:w="1700" w:type="dxa"/>
            <w:tcMar>
              <w:top w:w="50" w:type="dxa"/>
              <w:left w:w="80" w:type="dxa"/>
              <w:bottom w:w="50" w:type="dxa"/>
              <w:right w:w="80" w:type="dxa"/>
            </w:tcMar>
          </w:tcPr>
          <w:p w14:paraId="37AA296E" w14:textId="77777777" w:rsidR="007B203C" w:rsidRDefault="00000000">
            <w:pPr>
              <w:spacing w:after="40"/>
            </w:pPr>
            <w:r>
              <w:rPr>
                <w:sz w:val="17"/>
                <w:szCs w:val="17"/>
              </w:rPr>
              <w:t>Heeb et al. (2019); Parsa et al. (2014)</w:t>
            </w:r>
          </w:p>
        </w:tc>
      </w:tr>
    </w:tbl>
    <w:p w14:paraId="3817A143"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IPM, integrated pest management. Strings were adapted to the syntax of each information source; the asterisk denotes truncation. The references listed exemplify the concepts that informed each block.</w:t>
      </w:r>
    </w:p>
    <w:p w14:paraId="7D925A35" w14:textId="77777777" w:rsidR="007B203C" w:rsidRDefault="00000000">
      <w:pPr>
        <w:pStyle w:val="Heading1"/>
        <w:keepNext/>
        <w:spacing w:before="240" w:after="120" w:line="360" w:lineRule="auto"/>
      </w:pPr>
      <w:r>
        <w:t>3. How Warming and Variability Reshape Pest Pressure</w:t>
      </w:r>
    </w:p>
    <w:p w14:paraId="729B9F68" w14:textId="77777777" w:rsidR="007B203C" w:rsidRDefault="00000000">
      <w:pPr>
        <w:spacing w:after="160" w:line="360" w:lineRule="auto"/>
        <w:jc w:val="both"/>
      </w:pPr>
      <w:r>
        <w:t>The first design problem for climate-smart IPM is to understand which components of climate change alter pest pressure, in which direction and with what reliability. This section evaluates four linked mechanisms: responses to rising mean temperature, responses to thermal variability and extremes, host-plant mediated effects, and the sources of heterogeneity that make outcomes difficult to generalise.</w:t>
      </w:r>
    </w:p>
    <w:p w14:paraId="573F583C" w14:textId="77777777" w:rsidR="007B203C" w:rsidRDefault="00000000">
      <w:pPr>
        <w:pStyle w:val="Heading2"/>
        <w:keepNext/>
        <w:spacing w:before="160" w:after="100" w:line="360" w:lineRule="auto"/>
      </w:pPr>
      <w:r>
        <w:t>3.1 Mean Warming, Development, Voltinism and Range Dynamics</w:t>
      </w:r>
    </w:p>
    <w:p w14:paraId="3428CE97" w14:textId="77777777" w:rsidR="007B203C" w:rsidRDefault="00000000">
      <w:pPr>
        <w:spacing w:after="160" w:line="360" w:lineRule="auto"/>
        <w:jc w:val="both"/>
      </w:pPr>
      <w:r>
        <w:t xml:space="preserve">The most consistent evidence concerns development rate. Within the range between lower developmental thresholds and thermal optima, insect development accelerates with temperature, which shortens generation time and, in multivoltine species, increases the number of generations completed per season (Bale et al., 2002; Régnière et al., 2012). Long-term records support this expectation. Across Central European Lepidoptera, the frequency of additional generations increased after 1980 in parallel with warming (Altermatt, 2010), and analysis of the European suction-trap network showed that aphid flight phenology has advanced with warmer winter temperatures (Harrington et al., 2007). Process-based projections for codling moth, </w:t>
      </w:r>
      <w:r>
        <w:rPr>
          <w:i/>
          <w:iCs/>
        </w:rPr>
        <w:t>Cydia pomonella</w:t>
      </w:r>
      <w:r>
        <w:t xml:space="preserve"> (L.), in Switzerland indicated that warming will increase the probability of an additional generation and alter diapause induction, with direct implications for the number and timing of control interventions in apple orchards (Stoeckli et al., 2012). Comparable shifts in phenology and voltinism have been documented or projected for grapevine pests and their natural enemies (Reineke &amp; Thiéry, 2016).</w:t>
      </w:r>
    </w:p>
    <w:p w14:paraId="1C8A33B3" w14:textId="77777777" w:rsidR="007B203C" w:rsidRDefault="00000000">
      <w:pPr>
        <w:spacing w:after="160" w:line="360" w:lineRule="auto"/>
        <w:jc w:val="both"/>
      </w:pPr>
      <w:r>
        <w:t xml:space="preserve">Warming also relaxes cold constraints at range margins. Improved overwintering survival allows species to persist in regions they previously colonised only seasonally, and this change matters beyond simple presence or absence. For the diamondback moth, </w:t>
      </w:r>
      <w:r>
        <w:rPr>
          <w:i/>
          <w:iCs/>
        </w:rPr>
        <w:t>Plutella xylostella</w:t>
      </w:r>
      <w:r>
        <w:t xml:space="preserve"> </w:t>
      </w:r>
      <w:r>
        <w:lastRenderedPageBreak/>
        <w:t>(L.), experimentally parameterised and field-tested models indicated that climate change over the past 50 years expanded the overwintering range by approximately 2.4 million km², and mean pesticide resistance in overwintering sites was estimated to be about 158 times higher than in sites with only seasonal occurrence (C.-S. Ma, Zhang, et al., 2021). The association between year-round persistence and resistance is correlational at the global scale, but it identifies a plausible pathway by which climate alters not only pest abundance but also the efficacy of existing management.</w:t>
      </w:r>
    </w:p>
    <w:p w14:paraId="7CEE2062" w14:textId="77777777" w:rsidR="007B203C" w:rsidRDefault="00000000">
      <w:pPr>
        <w:spacing w:after="160" w:line="360" w:lineRule="auto"/>
        <w:jc w:val="both"/>
      </w:pPr>
      <w:r>
        <w:t>Aggregate projections of yield loss depend heavily on assumptions about how metabolic rate and population growth scale with temperature. The projection of 10–25% additional loss per degree of warming for three cereals rests on generalised thermal performance relationships rather than species-specific population data (Deutsch et al., 2018), and complementary analyses caution that tropical insects already living close to their thermal optima may experience reduced fitness under further warming (Deutsch et al., 2008). A review across biomes concluded that temperate regions are more likely than tropical regions to face increased pest attack, although substantial differences exist among species (Schneider et al., 2022). The direction of change is therefore reasonably well supported for many temperate multivoltine pests, whereas its magnitude remains uncertain everywhere, and its sign is uncertain for pests in hot tropical environments.</w:t>
      </w:r>
    </w:p>
    <w:p w14:paraId="565D3EF2" w14:textId="77777777" w:rsidR="007B203C" w:rsidRDefault="00000000">
      <w:pPr>
        <w:pStyle w:val="Heading2"/>
        <w:keepNext/>
        <w:spacing w:before="160" w:after="100" w:line="360" w:lineRule="auto"/>
      </w:pPr>
      <w:r>
        <w:t>3.2 Thermal Variability and Extremes: From Averages to Exposure</w:t>
      </w:r>
    </w:p>
    <w:p w14:paraId="5244A0C1" w14:textId="77777777" w:rsidR="007B203C" w:rsidRDefault="00000000">
      <w:pPr>
        <w:spacing w:after="160" w:line="360" w:lineRule="auto"/>
        <w:jc w:val="both"/>
      </w:pPr>
      <w:r>
        <w:t xml:space="preserve">A central weakness of much climate–pest research is its reliance on mean temperatures. Because thermal performance curves are non-linear, a fluctuating regime with the same mean as a constant one can produce markedly different development and survival, a consequence of Jensen's inequality (Colinet et al., 2015). Theoretical and empirical analysis across ectotherms suggested that increases in temperature variation can pose a greater risk to species than increases in the mean (Vasseur et al., 2014). Experiments with the English grain aphid, </w:t>
      </w:r>
      <w:r>
        <w:rPr>
          <w:i/>
          <w:iCs/>
        </w:rPr>
        <w:t>Sitobion avenae</w:t>
      </w:r>
      <w:r>
        <w:t xml:space="preserve"> (Fabricius), showed that predictions based on daily mean temperature underestimated the negative effects of hot daytime maxima on performance, whereas predictions based on maxima alone overestimated them because they ignored recovery during milder nights (G. Ma et al., 2015). The practical lesson is that neither means nor maxima are adequate surrogates for exposure; the temporal pattern of temperature matters.</w:t>
      </w:r>
    </w:p>
    <w:p w14:paraId="2DD7F9F6" w14:textId="77777777" w:rsidR="007B203C" w:rsidRDefault="00000000">
      <w:pPr>
        <w:spacing w:after="160" w:line="360" w:lineRule="auto"/>
        <w:jc w:val="both"/>
      </w:pPr>
      <w:r>
        <w:t xml:space="preserve">Extreme heat events can depress pest populations directly. Insects may escape or buffer extremes through behavioural thermoregulation, microhabitat selection and life-history </w:t>
      </w:r>
      <w:r>
        <w:lastRenderedPageBreak/>
        <w:t>adjustment (C.-S. Ma, Ma, &amp; Pincebourde, 2021), and the microclimates that insects actually occupy on leaves, in canopies and in soil can differ substantially from standard meteorological measurements (Pincebourde &amp; Woods, 2020). The capacity for physiological acclimation appears limited. A meta-analysis of 1374 effect sizes from 74 studies found that critical thermal maxima increased by only 0.09 °C per 1 °C rise in acclimation temperature, indicating that plasticity in heat tolerance is pervasive but weak (Weaving et al., 2022), which accords with earlier conclusions that plasticity is unlikely to buffer insects substantially against extreme heat (Sgrò et al., 2016).</w:t>
      </w:r>
    </w:p>
    <w:p w14:paraId="519D10C8" w14:textId="77777777" w:rsidR="007B203C" w:rsidRDefault="00000000">
      <w:pPr>
        <w:spacing w:after="160" w:line="360" w:lineRule="auto"/>
        <w:jc w:val="both"/>
      </w:pPr>
      <w:r>
        <w:t>At the community level, temperature extremes can push herbivores and their natural enemies to or beyond their adaptive limits at different rates, generating phenological disruptions and potentially outbreak–breakdown cycles rather than smooth trends (Harvey et al., 2020). This proposition is theoretically well grounded, but it has been tested mainly through short-term experiments and inferred from sporadic observations. Confidence in the general claim that variability matters is high; confidence in predictions of how particular extremes will alter particular pest outbreaks is low.</w:t>
      </w:r>
    </w:p>
    <w:p w14:paraId="1199AE43" w14:textId="77777777" w:rsidR="007B203C" w:rsidRDefault="00000000">
      <w:pPr>
        <w:pStyle w:val="Heading2"/>
        <w:keepNext/>
        <w:spacing w:before="160" w:after="100" w:line="360" w:lineRule="auto"/>
      </w:pPr>
      <w:r>
        <w:t>3.3 Host-Plant Mediation: Carbon Dioxide, Drought and Plant Resistance</w:t>
      </w:r>
    </w:p>
    <w:p w14:paraId="4FBEFF81" w14:textId="77777777" w:rsidR="007B203C" w:rsidRDefault="00000000">
      <w:pPr>
        <w:spacing w:after="160" w:line="360" w:lineRule="auto"/>
        <w:jc w:val="both"/>
      </w:pPr>
      <w:r>
        <w:t>Climate change also acts on pests indirectly through their host plants. Elevated carbon dioxide typically dilutes foliar nitrogen and alters secondary chemistry. A meta-analytical review found that arthropod responses to elevated carbon dioxide differed among feeding guilds and were strongly modified by interacting environmental and biological variables, which limits the transferability of single-factor experiments (Robinson et al., 2012). Mechanistic work on soybean showed that elevated carbon dioxide can downregulate jasmonate-related defences and increase susceptibility to invasive beetles (Zavala et al., 2008), and carbon dioxide enrichment has been argued to influence pest biology and pesticide performance in ways that require monitoring and adjustment of management (Ziska &amp; McConnell, 2016).</w:t>
      </w:r>
    </w:p>
    <w:p w14:paraId="6D5CD66C" w14:textId="77777777" w:rsidR="007B203C" w:rsidRDefault="00000000">
      <w:pPr>
        <w:spacing w:after="160" w:line="360" w:lineRule="auto"/>
        <w:jc w:val="both"/>
      </w:pPr>
      <w:r>
        <w:t xml:space="preserve">Drought effects are similarly guild-specific. The pressure-stress synthesis of Huberty and Denno (2004) proposed that sap-feeding insects are generally disadvantaged by continuous water stress but may benefit from intermittent stress through pulses of improved nitrogen availability. Subsequent syntheses have reinforced this context dependence, showing that herbivore responses depend on feeding guild and on the intensity and duration of drought (Gely et al., 2020; Jactel et al., 2019). Combined stressors can reinforce each other; warming and drought together increased the fitness of a scale insect pest on urban trees more than either </w:t>
      </w:r>
      <w:r>
        <w:lastRenderedPageBreak/>
        <w:t xml:space="preserve">factor alone (Dale &amp; Frank, 2017). A further, practically important pathway is the stability of host-plant resistance. When rice near-isogenic lines carrying resistance genes against the brown planthopper, </w:t>
      </w:r>
      <w:r>
        <w:rPr>
          <w:i/>
          <w:iCs/>
        </w:rPr>
        <w:t>Nilaparvata lugens</w:t>
      </w:r>
      <w:r>
        <w:t xml:space="preserve"> (Stål), were exposed to temperature and carbon dioxide conditions projected for 2050 and 2100, only some single-gene lines retained resistance, whereas lines with pyramided genes were more stable (Kuang et al., 2021). This finding is based on controlled environments and a single pest–crop system, but it signals that resistant cultivars cannot be assumed to be climate-neutral.</w:t>
      </w:r>
    </w:p>
    <w:p w14:paraId="1D9ACFEB" w14:textId="77777777" w:rsidR="007B203C" w:rsidRDefault="00000000">
      <w:pPr>
        <w:pStyle w:val="Heading2"/>
        <w:keepNext/>
        <w:spacing w:before="160" w:after="100" w:line="360" w:lineRule="auto"/>
      </w:pPr>
      <w:r>
        <w:t>3.4 Heterogeneity of Outcomes: Why Pest Responses Diverge</w:t>
      </w:r>
    </w:p>
    <w:p w14:paraId="57272663" w14:textId="77777777" w:rsidR="007B203C" w:rsidRDefault="00000000">
      <w:pPr>
        <w:spacing w:after="160" w:line="360" w:lineRule="auto"/>
        <w:jc w:val="both"/>
      </w:pPr>
      <w:r>
        <w:t>When the evidence is taken together, the principal pattern is heterogeneity rather than a uniform increase in pest pressure. A synthesis of responses among globally important pest species showed a mixture of range expansion, increased damage potential, neutral responses and declines, and emphasised that responses depend on life history, host range, dispersal ability and thermal baseline (Lehmann et al., 2020). Forest pest responses were characterised as not so simple for similar reasons (Jactel et al., 2019). Several factors explain the divergence. Species differ in thermal performance breadth and in how close they currently live to their optima (Deutsch et al., 2008). Responses to mean change and to variability can operate in opposite directions (Vasseur et al., 2014). Host-plant and natural-enemy responses add indirect effects that may amplify or offset direct ones (Chidawanyika et al., 2019). Finally, many predictions rely on species distribution models that omit behavioural thermoregulation, microclimatic refugia and evolutionary change, which may cause them to overestimate negative impacts on invasive pests while underestimating range expansion (G. Ma &amp; Ma, 2022).</w:t>
      </w:r>
    </w:p>
    <w:p w14:paraId="13F890C4" w14:textId="77777777" w:rsidR="007B203C" w:rsidRDefault="00000000">
      <w:pPr>
        <w:spacing w:after="160" w:line="360" w:lineRule="auto"/>
        <w:jc w:val="both"/>
      </w:pPr>
      <w:r>
        <w:t>The methodological limitations are consistent across this literature. Laboratory studies often use constant temperatures, single life stages and a single population, whereas field studies are commonly short and observational. Long-term datasets exist mainly for temperate regions and for well-monitored taxa such as aphids and Lepidoptera. Mechanistic projections for tropical smallholder systems are comparatively scarce, although these are the systems in which yield losses are already highest (Savary et al., 2019). For IPM, the implication is that climate-smart design must be built on local evidence and on explicit treatment of uncertainty, rather than on general expectations of more pests everywhere.</w:t>
      </w:r>
    </w:p>
    <w:p w14:paraId="41D658CA" w14:textId="77777777" w:rsidR="007B203C" w:rsidRDefault="00000000">
      <w:pPr>
        <w:spacing w:after="160" w:line="360" w:lineRule="auto"/>
        <w:jc w:val="both"/>
      </w:pPr>
      <w:r>
        <w:t xml:space="preserve">Table 2 condenses the mechanisms discussed in this section, indicating the typical direction of effect, the strength of available evidence and the corresponding implication for IPM design. </w:t>
      </w:r>
      <w:r>
        <w:lastRenderedPageBreak/>
        <w:t>The confidence ratings are qualitative judgements based on the consistency, scale and ecological realism of the cited evidence.</w:t>
      </w:r>
    </w:p>
    <w:p w14:paraId="57190FF4" w14:textId="77777777" w:rsidR="007B203C" w:rsidRDefault="00000000">
      <w:pPr>
        <w:keepNext/>
        <w:spacing w:before="120" w:after="80" w:line="360" w:lineRule="auto"/>
      </w:pPr>
      <w:r>
        <w:rPr>
          <w:b/>
          <w:bCs/>
          <w:sz w:val="22"/>
          <w:szCs w:val="22"/>
        </w:rPr>
        <w:t xml:space="preserve">Table 2. </w:t>
      </w:r>
      <w:r>
        <w:rPr>
          <w:sz w:val="22"/>
          <w:szCs w:val="22"/>
        </w:rPr>
        <w:t>Principal mechanisms by which climate change alters insect pest pressure, strength of evidence and implications for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69E4CDD4" w14:textId="77777777">
        <w:trPr>
          <w:tblHeader/>
        </w:trPr>
        <w:tc>
          <w:tcPr>
            <w:tcW w:w="1600" w:type="dxa"/>
            <w:shd w:val="clear" w:color="auto" w:fill="E7E6E6"/>
            <w:tcMar>
              <w:top w:w="50" w:type="dxa"/>
              <w:left w:w="80" w:type="dxa"/>
              <w:bottom w:w="50" w:type="dxa"/>
              <w:right w:w="80" w:type="dxa"/>
            </w:tcMar>
          </w:tcPr>
          <w:p w14:paraId="7785E3EC" w14:textId="77777777" w:rsidR="007B203C" w:rsidRDefault="00000000">
            <w:pPr>
              <w:spacing w:after="40"/>
            </w:pPr>
            <w:r>
              <w:rPr>
                <w:b/>
                <w:bCs/>
                <w:sz w:val="17"/>
                <w:szCs w:val="17"/>
              </w:rPr>
              <w:t>Mechanism</w:t>
            </w:r>
          </w:p>
        </w:tc>
        <w:tc>
          <w:tcPr>
            <w:tcW w:w="1800" w:type="dxa"/>
            <w:shd w:val="clear" w:color="auto" w:fill="E7E6E6"/>
            <w:tcMar>
              <w:top w:w="50" w:type="dxa"/>
              <w:left w:w="80" w:type="dxa"/>
              <w:bottom w:w="50" w:type="dxa"/>
              <w:right w:w="80" w:type="dxa"/>
            </w:tcMar>
          </w:tcPr>
          <w:p w14:paraId="6685BE3B" w14:textId="77777777" w:rsidR="007B203C" w:rsidRDefault="00000000">
            <w:pPr>
              <w:spacing w:after="40"/>
            </w:pPr>
            <w:r>
              <w:rPr>
                <w:b/>
                <w:bCs/>
                <w:sz w:val="17"/>
                <w:szCs w:val="17"/>
              </w:rPr>
              <w:t>Typical direction of effect</w:t>
            </w:r>
          </w:p>
        </w:tc>
        <w:tc>
          <w:tcPr>
            <w:tcW w:w="2200" w:type="dxa"/>
            <w:shd w:val="clear" w:color="auto" w:fill="E7E6E6"/>
            <w:tcMar>
              <w:top w:w="50" w:type="dxa"/>
              <w:left w:w="80" w:type="dxa"/>
              <w:bottom w:w="50" w:type="dxa"/>
              <w:right w:w="80" w:type="dxa"/>
            </w:tcMar>
          </w:tcPr>
          <w:p w14:paraId="33DFD40C" w14:textId="77777777" w:rsidR="007B203C" w:rsidRDefault="00000000">
            <w:pPr>
              <w:spacing w:after="40"/>
            </w:pPr>
            <w:r>
              <w:rPr>
                <w:b/>
                <w:bCs/>
                <w:sz w:val="17"/>
                <w:szCs w:val="17"/>
              </w:rPr>
              <w:t>Strength of evidence and main limitations</w:t>
            </w:r>
          </w:p>
        </w:tc>
        <w:tc>
          <w:tcPr>
            <w:tcW w:w="1900" w:type="dxa"/>
            <w:shd w:val="clear" w:color="auto" w:fill="E7E6E6"/>
            <w:tcMar>
              <w:top w:w="50" w:type="dxa"/>
              <w:left w:w="80" w:type="dxa"/>
              <w:bottom w:w="50" w:type="dxa"/>
              <w:right w:w="80" w:type="dxa"/>
            </w:tcMar>
          </w:tcPr>
          <w:p w14:paraId="2CD69871" w14:textId="77777777" w:rsidR="007B203C" w:rsidRDefault="00000000">
            <w:pPr>
              <w:spacing w:after="40"/>
            </w:pPr>
            <w:r>
              <w:rPr>
                <w:b/>
                <w:bCs/>
                <w:sz w:val="17"/>
                <w:szCs w:val="17"/>
              </w:rPr>
              <w:t>Implication for IPM design</w:t>
            </w:r>
          </w:p>
        </w:tc>
        <w:tc>
          <w:tcPr>
            <w:tcW w:w="1526" w:type="dxa"/>
            <w:shd w:val="clear" w:color="auto" w:fill="E7E6E6"/>
            <w:tcMar>
              <w:top w:w="50" w:type="dxa"/>
              <w:left w:w="80" w:type="dxa"/>
              <w:bottom w:w="50" w:type="dxa"/>
              <w:right w:w="80" w:type="dxa"/>
            </w:tcMar>
          </w:tcPr>
          <w:p w14:paraId="3FA2F6DA" w14:textId="77777777" w:rsidR="007B203C" w:rsidRDefault="00000000">
            <w:pPr>
              <w:spacing w:after="40"/>
            </w:pPr>
            <w:r>
              <w:rPr>
                <w:b/>
                <w:bCs/>
                <w:sz w:val="17"/>
                <w:szCs w:val="17"/>
              </w:rPr>
              <w:t>Supporting references</w:t>
            </w:r>
          </w:p>
        </w:tc>
      </w:tr>
      <w:tr w:rsidR="007B203C" w14:paraId="0B61186B" w14:textId="77777777">
        <w:tc>
          <w:tcPr>
            <w:tcW w:w="1600" w:type="dxa"/>
            <w:tcMar>
              <w:top w:w="50" w:type="dxa"/>
              <w:left w:w="80" w:type="dxa"/>
              <w:bottom w:w="50" w:type="dxa"/>
              <w:right w:w="80" w:type="dxa"/>
            </w:tcMar>
          </w:tcPr>
          <w:p w14:paraId="09B9268B" w14:textId="77777777" w:rsidR="007B203C" w:rsidRDefault="00000000">
            <w:pPr>
              <w:spacing w:after="40"/>
            </w:pPr>
            <w:r>
              <w:rPr>
                <w:sz w:val="17"/>
                <w:szCs w:val="17"/>
              </w:rPr>
              <w:t>Accelerated development and additional generations</w:t>
            </w:r>
          </w:p>
        </w:tc>
        <w:tc>
          <w:tcPr>
            <w:tcW w:w="1800" w:type="dxa"/>
            <w:tcMar>
              <w:top w:w="50" w:type="dxa"/>
              <w:left w:w="80" w:type="dxa"/>
              <w:bottom w:w="50" w:type="dxa"/>
              <w:right w:w="80" w:type="dxa"/>
            </w:tcMar>
          </w:tcPr>
          <w:p w14:paraId="1F0864E3" w14:textId="77777777" w:rsidR="007B203C" w:rsidRDefault="00000000">
            <w:pPr>
              <w:spacing w:after="40"/>
            </w:pPr>
            <w:r>
              <w:rPr>
                <w:sz w:val="17"/>
                <w:szCs w:val="17"/>
              </w:rPr>
              <w:t>Increased pest pressure in temperate multivoltine species</w:t>
            </w:r>
          </w:p>
        </w:tc>
        <w:tc>
          <w:tcPr>
            <w:tcW w:w="2200" w:type="dxa"/>
            <w:tcMar>
              <w:top w:w="50" w:type="dxa"/>
              <w:left w:w="80" w:type="dxa"/>
              <w:bottom w:w="50" w:type="dxa"/>
              <w:right w:w="80" w:type="dxa"/>
            </w:tcMar>
          </w:tcPr>
          <w:p w14:paraId="20130965" w14:textId="77777777" w:rsidR="007B203C" w:rsidRDefault="00000000">
            <w:pPr>
              <w:spacing w:after="40"/>
            </w:pPr>
            <w:r>
              <w:rPr>
                <w:sz w:val="17"/>
                <w:szCs w:val="17"/>
              </w:rPr>
              <w:t>Strong; consistent laboratory and long-term records, but concentrated in temperate Europe and North America</w:t>
            </w:r>
          </w:p>
        </w:tc>
        <w:tc>
          <w:tcPr>
            <w:tcW w:w="1900" w:type="dxa"/>
            <w:tcMar>
              <w:top w:w="50" w:type="dxa"/>
              <w:left w:w="80" w:type="dxa"/>
              <w:bottom w:w="50" w:type="dxa"/>
              <w:right w:w="80" w:type="dxa"/>
            </w:tcMar>
          </w:tcPr>
          <w:p w14:paraId="155C329F" w14:textId="77777777" w:rsidR="007B203C" w:rsidRDefault="00000000">
            <w:pPr>
              <w:spacing w:after="40"/>
            </w:pPr>
            <w:r>
              <w:rPr>
                <w:sz w:val="17"/>
                <w:szCs w:val="17"/>
              </w:rPr>
              <w:t>Revise monitoring calendars and number of intervention windows; anticipate extra generations</w:t>
            </w:r>
          </w:p>
        </w:tc>
        <w:tc>
          <w:tcPr>
            <w:tcW w:w="1526" w:type="dxa"/>
            <w:tcMar>
              <w:top w:w="50" w:type="dxa"/>
              <w:left w:w="80" w:type="dxa"/>
              <w:bottom w:w="50" w:type="dxa"/>
              <w:right w:w="80" w:type="dxa"/>
            </w:tcMar>
          </w:tcPr>
          <w:p w14:paraId="0D0EC9D1" w14:textId="77777777" w:rsidR="007B203C" w:rsidRDefault="00000000">
            <w:pPr>
              <w:spacing w:after="40"/>
            </w:pPr>
            <w:r>
              <w:rPr>
                <w:sz w:val="17"/>
                <w:szCs w:val="17"/>
              </w:rPr>
              <w:t>Altermatt (2010); Harrington et al. (2007); Stoeckli et al. (2012)</w:t>
            </w:r>
          </w:p>
        </w:tc>
      </w:tr>
      <w:tr w:rsidR="007B203C" w14:paraId="046C1944" w14:textId="77777777">
        <w:tc>
          <w:tcPr>
            <w:tcW w:w="1600" w:type="dxa"/>
            <w:tcMar>
              <w:top w:w="50" w:type="dxa"/>
              <w:left w:w="80" w:type="dxa"/>
              <w:bottom w:w="50" w:type="dxa"/>
              <w:right w:w="80" w:type="dxa"/>
            </w:tcMar>
          </w:tcPr>
          <w:p w14:paraId="26F26AE8" w14:textId="77777777" w:rsidR="007B203C" w:rsidRDefault="00000000">
            <w:pPr>
              <w:spacing w:after="40"/>
            </w:pPr>
            <w:r>
              <w:rPr>
                <w:sz w:val="17"/>
                <w:szCs w:val="17"/>
              </w:rPr>
              <w:t>Relaxed cold limits and range change</w:t>
            </w:r>
          </w:p>
        </w:tc>
        <w:tc>
          <w:tcPr>
            <w:tcW w:w="1800" w:type="dxa"/>
            <w:tcMar>
              <w:top w:w="50" w:type="dxa"/>
              <w:left w:w="80" w:type="dxa"/>
              <w:bottom w:w="50" w:type="dxa"/>
              <w:right w:w="80" w:type="dxa"/>
            </w:tcMar>
          </w:tcPr>
          <w:p w14:paraId="3CFC1C4D" w14:textId="77777777" w:rsidR="007B203C" w:rsidRDefault="00000000">
            <w:pPr>
              <w:spacing w:after="40"/>
            </w:pPr>
            <w:r>
              <w:rPr>
                <w:sz w:val="17"/>
                <w:szCs w:val="17"/>
              </w:rPr>
              <w:t>Poleward or upslope expansion; year-round persistence</w:t>
            </w:r>
          </w:p>
        </w:tc>
        <w:tc>
          <w:tcPr>
            <w:tcW w:w="2200" w:type="dxa"/>
            <w:tcMar>
              <w:top w:w="50" w:type="dxa"/>
              <w:left w:w="80" w:type="dxa"/>
              <w:bottom w:w="50" w:type="dxa"/>
              <w:right w:w="80" w:type="dxa"/>
            </w:tcMar>
          </w:tcPr>
          <w:p w14:paraId="2ED67D88" w14:textId="77777777" w:rsidR="007B203C" w:rsidRDefault="00000000">
            <w:pPr>
              <w:spacing w:after="40"/>
            </w:pPr>
            <w:r>
              <w:rPr>
                <w:sz w:val="17"/>
                <w:szCs w:val="17"/>
              </w:rPr>
              <w:t>Moderate to strong; observational records affected by detection bias</w:t>
            </w:r>
          </w:p>
        </w:tc>
        <w:tc>
          <w:tcPr>
            <w:tcW w:w="1900" w:type="dxa"/>
            <w:tcMar>
              <w:top w:w="50" w:type="dxa"/>
              <w:left w:w="80" w:type="dxa"/>
              <w:bottom w:w="50" w:type="dxa"/>
              <w:right w:w="80" w:type="dxa"/>
            </w:tcMar>
          </w:tcPr>
          <w:p w14:paraId="759A8FC9" w14:textId="77777777" w:rsidR="007B203C" w:rsidRDefault="00000000">
            <w:pPr>
              <w:spacing w:after="40"/>
            </w:pPr>
            <w:r>
              <w:rPr>
                <w:sz w:val="17"/>
                <w:szCs w:val="17"/>
              </w:rPr>
              <w:t>Strengthen surveillance at range margins; plan for resident rather than migrant populations</w:t>
            </w:r>
          </w:p>
        </w:tc>
        <w:tc>
          <w:tcPr>
            <w:tcW w:w="1526" w:type="dxa"/>
            <w:tcMar>
              <w:top w:w="50" w:type="dxa"/>
              <w:left w:w="80" w:type="dxa"/>
              <w:bottom w:w="50" w:type="dxa"/>
              <w:right w:w="80" w:type="dxa"/>
            </w:tcMar>
          </w:tcPr>
          <w:p w14:paraId="458B19DD" w14:textId="77777777" w:rsidR="007B203C" w:rsidRDefault="00000000">
            <w:pPr>
              <w:spacing w:after="40"/>
            </w:pPr>
            <w:r>
              <w:rPr>
                <w:sz w:val="17"/>
                <w:szCs w:val="17"/>
              </w:rPr>
              <w:t>Bebber et al. (2013); C.-S. Ma, Zhang, et al. (2021)</w:t>
            </w:r>
          </w:p>
        </w:tc>
      </w:tr>
      <w:tr w:rsidR="007B203C" w14:paraId="19CBE965" w14:textId="77777777">
        <w:tc>
          <w:tcPr>
            <w:tcW w:w="1600" w:type="dxa"/>
            <w:tcMar>
              <w:top w:w="50" w:type="dxa"/>
              <w:left w:w="80" w:type="dxa"/>
              <w:bottom w:w="50" w:type="dxa"/>
              <w:right w:w="80" w:type="dxa"/>
            </w:tcMar>
          </w:tcPr>
          <w:p w14:paraId="42120159" w14:textId="77777777" w:rsidR="007B203C" w:rsidRDefault="00000000">
            <w:pPr>
              <w:spacing w:after="40"/>
            </w:pPr>
            <w:r>
              <w:rPr>
                <w:sz w:val="17"/>
                <w:szCs w:val="17"/>
              </w:rPr>
              <w:t>Exceedance of thermal optima in warm regions</w:t>
            </w:r>
          </w:p>
        </w:tc>
        <w:tc>
          <w:tcPr>
            <w:tcW w:w="1800" w:type="dxa"/>
            <w:tcMar>
              <w:top w:w="50" w:type="dxa"/>
              <w:left w:w="80" w:type="dxa"/>
              <w:bottom w:w="50" w:type="dxa"/>
              <w:right w:w="80" w:type="dxa"/>
            </w:tcMar>
          </w:tcPr>
          <w:p w14:paraId="47CA7D49" w14:textId="77777777" w:rsidR="007B203C" w:rsidRDefault="00000000">
            <w:pPr>
              <w:spacing w:after="40"/>
            </w:pPr>
            <w:r>
              <w:rPr>
                <w:sz w:val="17"/>
                <w:szCs w:val="17"/>
              </w:rPr>
              <w:t>Reduced fitness of some tropical pests</w:t>
            </w:r>
          </w:p>
        </w:tc>
        <w:tc>
          <w:tcPr>
            <w:tcW w:w="2200" w:type="dxa"/>
            <w:tcMar>
              <w:top w:w="50" w:type="dxa"/>
              <w:left w:w="80" w:type="dxa"/>
              <w:bottom w:w="50" w:type="dxa"/>
              <w:right w:w="80" w:type="dxa"/>
            </w:tcMar>
          </w:tcPr>
          <w:p w14:paraId="3E353E13" w14:textId="77777777" w:rsidR="007B203C" w:rsidRDefault="00000000">
            <w:pPr>
              <w:spacing w:after="40"/>
            </w:pPr>
            <w:r>
              <w:rPr>
                <w:sz w:val="17"/>
                <w:szCs w:val="17"/>
              </w:rPr>
              <w:t>Moderate; based mainly on thermal performance models</w:t>
            </w:r>
          </w:p>
        </w:tc>
        <w:tc>
          <w:tcPr>
            <w:tcW w:w="1900" w:type="dxa"/>
            <w:tcMar>
              <w:top w:w="50" w:type="dxa"/>
              <w:left w:w="80" w:type="dxa"/>
              <w:bottom w:w="50" w:type="dxa"/>
              <w:right w:w="80" w:type="dxa"/>
            </w:tcMar>
          </w:tcPr>
          <w:p w14:paraId="1B9B2F9A" w14:textId="77777777" w:rsidR="007B203C" w:rsidRDefault="00000000">
            <w:pPr>
              <w:spacing w:after="40"/>
            </w:pPr>
            <w:r>
              <w:rPr>
                <w:sz w:val="17"/>
                <w:szCs w:val="17"/>
              </w:rPr>
              <w:t>Avoid assuming uniform increases; prioritise local thermal data</w:t>
            </w:r>
          </w:p>
        </w:tc>
        <w:tc>
          <w:tcPr>
            <w:tcW w:w="1526" w:type="dxa"/>
            <w:tcMar>
              <w:top w:w="50" w:type="dxa"/>
              <w:left w:w="80" w:type="dxa"/>
              <w:bottom w:w="50" w:type="dxa"/>
              <w:right w:w="80" w:type="dxa"/>
            </w:tcMar>
          </w:tcPr>
          <w:p w14:paraId="2B7DF27A" w14:textId="77777777" w:rsidR="007B203C" w:rsidRDefault="00000000">
            <w:pPr>
              <w:spacing w:after="40"/>
            </w:pPr>
            <w:r>
              <w:rPr>
                <w:sz w:val="17"/>
                <w:szCs w:val="17"/>
              </w:rPr>
              <w:t>Deutsch et al. (2008); Schneider et al. (2022)</w:t>
            </w:r>
          </w:p>
        </w:tc>
      </w:tr>
      <w:tr w:rsidR="007B203C" w14:paraId="62524094" w14:textId="77777777">
        <w:tc>
          <w:tcPr>
            <w:tcW w:w="1600" w:type="dxa"/>
            <w:tcMar>
              <w:top w:w="50" w:type="dxa"/>
              <w:left w:w="80" w:type="dxa"/>
              <w:bottom w:w="50" w:type="dxa"/>
              <w:right w:w="80" w:type="dxa"/>
            </w:tcMar>
          </w:tcPr>
          <w:p w14:paraId="3EC58E93" w14:textId="77777777" w:rsidR="007B203C" w:rsidRDefault="00000000">
            <w:pPr>
              <w:spacing w:after="40"/>
            </w:pPr>
            <w:r>
              <w:rPr>
                <w:sz w:val="17"/>
                <w:szCs w:val="17"/>
              </w:rPr>
              <w:t>Thermal variability and extremes</w:t>
            </w:r>
          </w:p>
        </w:tc>
        <w:tc>
          <w:tcPr>
            <w:tcW w:w="1800" w:type="dxa"/>
            <w:tcMar>
              <w:top w:w="50" w:type="dxa"/>
              <w:left w:w="80" w:type="dxa"/>
              <w:bottom w:w="50" w:type="dxa"/>
              <w:right w:w="80" w:type="dxa"/>
            </w:tcMar>
          </w:tcPr>
          <w:p w14:paraId="3BFB70CC" w14:textId="77777777" w:rsidR="007B203C" w:rsidRDefault="00000000">
            <w:pPr>
              <w:spacing w:after="40"/>
            </w:pPr>
            <w:r>
              <w:rPr>
                <w:sz w:val="17"/>
                <w:szCs w:val="17"/>
              </w:rPr>
              <w:t>Non-linear; may suppress populations or trigger outbreak–breakdown cycles</w:t>
            </w:r>
          </w:p>
        </w:tc>
        <w:tc>
          <w:tcPr>
            <w:tcW w:w="2200" w:type="dxa"/>
            <w:tcMar>
              <w:top w:w="50" w:type="dxa"/>
              <w:left w:w="80" w:type="dxa"/>
              <w:bottom w:w="50" w:type="dxa"/>
              <w:right w:w="80" w:type="dxa"/>
            </w:tcMar>
          </w:tcPr>
          <w:p w14:paraId="38232251" w14:textId="77777777" w:rsidR="007B203C" w:rsidRDefault="00000000">
            <w:pPr>
              <w:spacing w:after="40"/>
            </w:pPr>
            <w:r>
              <w:rPr>
                <w:sz w:val="17"/>
                <w:szCs w:val="17"/>
              </w:rPr>
              <w:t>Moderate for mechanisms; weak for predicting specific outbreaks</w:t>
            </w:r>
          </w:p>
        </w:tc>
        <w:tc>
          <w:tcPr>
            <w:tcW w:w="1900" w:type="dxa"/>
            <w:tcMar>
              <w:top w:w="50" w:type="dxa"/>
              <w:left w:w="80" w:type="dxa"/>
              <w:bottom w:w="50" w:type="dxa"/>
              <w:right w:w="80" w:type="dxa"/>
            </w:tcMar>
          </w:tcPr>
          <w:p w14:paraId="36E85FF5" w14:textId="77777777" w:rsidR="007B203C" w:rsidRDefault="00000000">
            <w:pPr>
              <w:spacing w:after="40"/>
            </w:pPr>
            <w:r>
              <w:rPr>
                <w:sz w:val="17"/>
                <w:szCs w:val="17"/>
              </w:rPr>
              <w:t>Use fluctuating-temperature inputs; incorporate extreme-event scenarios</w:t>
            </w:r>
          </w:p>
        </w:tc>
        <w:tc>
          <w:tcPr>
            <w:tcW w:w="1526" w:type="dxa"/>
            <w:tcMar>
              <w:top w:w="50" w:type="dxa"/>
              <w:left w:w="80" w:type="dxa"/>
              <w:bottom w:w="50" w:type="dxa"/>
              <w:right w:w="80" w:type="dxa"/>
            </w:tcMar>
          </w:tcPr>
          <w:p w14:paraId="0BB60E60" w14:textId="77777777" w:rsidR="007B203C" w:rsidRDefault="00000000">
            <w:pPr>
              <w:spacing w:after="40"/>
            </w:pPr>
            <w:r>
              <w:rPr>
                <w:sz w:val="17"/>
                <w:szCs w:val="17"/>
              </w:rPr>
              <w:t>Colinet et al. (2015); G. Ma et al. (2015); Harvey et al. (2020)</w:t>
            </w:r>
          </w:p>
        </w:tc>
      </w:tr>
      <w:tr w:rsidR="007B203C" w14:paraId="1C8726BE" w14:textId="77777777">
        <w:tc>
          <w:tcPr>
            <w:tcW w:w="1600" w:type="dxa"/>
            <w:tcMar>
              <w:top w:w="50" w:type="dxa"/>
              <w:left w:w="80" w:type="dxa"/>
              <w:bottom w:w="50" w:type="dxa"/>
              <w:right w:w="80" w:type="dxa"/>
            </w:tcMar>
          </w:tcPr>
          <w:p w14:paraId="08846774" w14:textId="77777777" w:rsidR="007B203C" w:rsidRDefault="00000000">
            <w:pPr>
              <w:spacing w:after="40"/>
            </w:pPr>
            <w:r>
              <w:rPr>
                <w:sz w:val="17"/>
                <w:szCs w:val="17"/>
              </w:rPr>
              <w:t>Limited thermal plasticity</w:t>
            </w:r>
          </w:p>
        </w:tc>
        <w:tc>
          <w:tcPr>
            <w:tcW w:w="1800" w:type="dxa"/>
            <w:tcMar>
              <w:top w:w="50" w:type="dxa"/>
              <w:left w:w="80" w:type="dxa"/>
              <w:bottom w:w="50" w:type="dxa"/>
              <w:right w:w="80" w:type="dxa"/>
            </w:tcMar>
          </w:tcPr>
          <w:p w14:paraId="5A818004" w14:textId="77777777" w:rsidR="007B203C" w:rsidRDefault="00000000">
            <w:pPr>
              <w:spacing w:after="40"/>
            </w:pPr>
            <w:r>
              <w:rPr>
                <w:sz w:val="17"/>
                <w:szCs w:val="17"/>
              </w:rPr>
              <w:t>Little physiological buffering against heat</w:t>
            </w:r>
          </w:p>
        </w:tc>
        <w:tc>
          <w:tcPr>
            <w:tcW w:w="2200" w:type="dxa"/>
            <w:tcMar>
              <w:top w:w="50" w:type="dxa"/>
              <w:left w:w="80" w:type="dxa"/>
              <w:bottom w:w="50" w:type="dxa"/>
              <w:right w:w="80" w:type="dxa"/>
            </w:tcMar>
          </w:tcPr>
          <w:p w14:paraId="3519001B" w14:textId="77777777" w:rsidR="007B203C" w:rsidRDefault="00000000">
            <w:pPr>
              <w:spacing w:after="40"/>
            </w:pPr>
            <w:r>
              <w:rPr>
                <w:sz w:val="17"/>
                <w:szCs w:val="17"/>
              </w:rPr>
              <w:t>Strong at the meta-analytical level; few tropical taxa</w:t>
            </w:r>
          </w:p>
        </w:tc>
        <w:tc>
          <w:tcPr>
            <w:tcW w:w="1900" w:type="dxa"/>
            <w:tcMar>
              <w:top w:w="50" w:type="dxa"/>
              <w:left w:w="80" w:type="dxa"/>
              <w:bottom w:w="50" w:type="dxa"/>
              <w:right w:w="80" w:type="dxa"/>
            </w:tcMar>
          </w:tcPr>
          <w:p w14:paraId="1B25DFCE" w14:textId="77777777" w:rsidR="007B203C" w:rsidRDefault="00000000">
            <w:pPr>
              <w:spacing w:after="40"/>
            </w:pPr>
            <w:r>
              <w:rPr>
                <w:sz w:val="17"/>
                <w:szCs w:val="17"/>
              </w:rPr>
              <w:t>Behavioural and microclimatic refugia may matter more than acclimation</w:t>
            </w:r>
          </w:p>
        </w:tc>
        <w:tc>
          <w:tcPr>
            <w:tcW w:w="1526" w:type="dxa"/>
            <w:tcMar>
              <w:top w:w="50" w:type="dxa"/>
              <w:left w:w="80" w:type="dxa"/>
              <w:bottom w:w="50" w:type="dxa"/>
              <w:right w:w="80" w:type="dxa"/>
            </w:tcMar>
          </w:tcPr>
          <w:p w14:paraId="1707AD11" w14:textId="77777777" w:rsidR="007B203C" w:rsidRDefault="00000000">
            <w:pPr>
              <w:spacing w:after="40"/>
            </w:pPr>
            <w:r>
              <w:rPr>
                <w:sz w:val="17"/>
                <w:szCs w:val="17"/>
              </w:rPr>
              <w:t>Weaving et al. (2022); Pincebourde and Woods (2020)</w:t>
            </w:r>
          </w:p>
        </w:tc>
      </w:tr>
      <w:tr w:rsidR="007B203C" w14:paraId="7F0C5497" w14:textId="77777777">
        <w:tc>
          <w:tcPr>
            <w:tcW w:w="1600" w:type="dxa"/>
            <w:tcMar>
              <w:top w:w="50" w:type="dxa"/>
              <w:left w:w="80" w:type="dxa"/>
              <w:bottom w:w="50" w:type="dxa"/>
              <w:right w:w="80" w:type="dxa"/>
            </w:tcMar>
          </w:tcPr>
          <w:p w14:paraId="07E5F808" w14:textId="77777777" w:rsidR="007B203C" w:rsidRDefault="00000000">
            <w:pPr>
              <w:spacing w:after="40"/>
            </w:pPr>
            <w:r>
              <w:rPr>
                <w:sz w:val="17"/>
                <w:szCs w:val="17"/>
              </w:rPr>
              <w:t>Elevated CO</w:t>
            </w:r>
            <w:r>
              <w:rPr>
                <w:sz w:val="17"/>
                <w:szCs w:val="17"/>
                <w:vertAlign w:val="subscript"/>
              </w:rPr>
              <w:t>2</w:t>
            </w:r>
            <w:r>
              <w:rPr>
                <w:sz w:val="17"/>
                <w:szCs w:val="17"/>
              </w:rPr>
              <w:t xml:space="preserve"> and altered plant quality</w:t>
            </w:r>
          </w:p>
        </w:tc>
        <w:tc>
          <w:tcPr>
            <w:tcW w:w="1800" w:type="dxa"/>
            <w:tcMar>
              <w:top w:w="50" w:type="dxa"/>
              <w:left w:w="80" w:type="dxa"/>
              <w:bottom w:w="50" w:type="dxa"/>
              <w:right w:w="80" w:type="dxa"/>
            </w:tcMar>
          </w:tcPr>
          <w:p w14:paraId="1C68F671" w14:textId="77777777" w:rsidR="007B203C" w:rsidRDefault="00000000">
            <w:pPr>
              <w:spacing w:after="40"/>
            </w:pPr>
            <w:r>
              <w:rPr>
                <w:sz w:val="17"/>
                <w:szCs w:val="17"/>
              </w:rPr>
              <w:t>Guild-dependent; increased consumption by some chewers</w:t>
            </w:r>
          </w:p>
        </w:tc>
        <w:tc>
          <w:tcPr>
            <w:tcW w:w="2200" w:type="dxa"/>
            <w:tcMar>
              <w:top w:w="50" w:type="dxa"/>
              <w:left w:w="80" w:type="dxa"/>
              <w:bottom w:w="50" w:type="dxa"/>
              <w:right w:w="80" w:type="dxa"/>
            </w:tcMar>
          </w:tcPr>
          <w:p w14:paraId="01C314FC" w14:textId="77777777" w:rsidR="007B203C" w:rsidRDefault="00000000">
            <w:pPr>
              <w:spacing w:after="40"/>
            </w:pPr>
            <w:r>
              <w:rPr>
                <w:sz w:val="17"/>
                <w:szCs w:val="17"/>
              </w:rPr>
              <w:t>Moderate; strong interaction with other variables</w:t>
            </w:r>
          </w:p>
        </w:tc>
        <w:tc>
          <w:tcPr>
            <w:tcW w:w="1900" w:type="dxa"/>
            <w:tcMar>
              <w:top w:w="50" w:type="dxa"/>
              <w:left w:w="80" w:type="dxa"/>
              <w:bottom w:w="50" w:type="dxa"/>
              <w:right w:w="80" w:type="dxa"/>
            </w:tcMar>
          </w:tcPr>
          <w:p w14:paraId="3408C969" w14:textId="77777777" w:rsidR="007B203C" w:rsidRDefault="00000000">
            <w:pPr>
              <w:spacing w:after="40"/>
            </w:pPr>
            <w:r>
              <w:rPr>
                <w:sz w:val="17"/>
                <w:szCs w:val="17"/>
              </w:rPr>
              <w:t>Evaluate resistance and thresholds under combined stressors</w:t>
            </w:r>
          </w:p>
        </w:tc>
        <w:tc>
          <w:tcPr>
            <w:tcW w:w="1526" w:type="dxa"/>
            <w:tcMar>
              <w:top w:w="50" w:type="dxa"/>
              <w:left w:w="80" w:type="dxa"/>
              <w:bottom w:w="50" w:type="dxa"/>
              <w:right w:w="80" w:type="dxa"/>
            </w:tcMar>
          </w:tcPr>
          <w:p w14:paraId="50238E06" w14:textId="77777777" w:rsidR="007B203C" w:rsidRDefault="00000000">
            <w:pPr>
              <w:spacing w:after="40"/>
            </w:pPr>
            <w:r>
              <w:rPr>
                <w:sz w:val="17"/>
                <w:szCs w:val="17"/>
              </w:rPr>
              <w:t>Robinson et al. (2012); Zavala et al. (2008)</w:t>
            </w:r>
          </w:p>
        </w:tc>
      </w:tr>
      <w:tr w:rsidR="007B203C" w14:paraId="2A9B132B" w14:textId="77777777">
        <w:tc>
          <w:tcPr>
            <w:tcW w:w="1600" w:type="dxa"/>
            <w:tcMar>
              <w:top w:w="50" w:type="dxa"/>
              <w:left w:w="80" w:type="dxa"/>
              <w:bottom w:w="50" w:type="dxa"/>
              <w:right w:w="80" w:type="dxa"/>
            </w:tcMar>
          </w:tcPr>
          <w:p w14:paraId="171631F3" w14:textId="77777777" w:rsidR="007B203C" w:rsidRDefault="00000000">
            <w:pPr>
              <w:spacing w:after="40"/>
            </w:pPr>
            <w:r>
              <w:rPr>
                <w:sz w:val="17"/>
                <w:szCs w:val="17"/>
              </w:rPr>
              <w:t>Drought stress</w:t>
            </w:r>
          </w:p>
        </w:tc>
        <w:tc>
          <w:tcPr>
            <w:tcW w:w="1800" w:type="dxa"/>
            <w:tcMar>
              <w:top w:w="50" w:type="dxa"/>
              <w:left w:w="80" w:type="dxa"/>
              <w:bottom w:w="50" w:type="dxa"/>
              <w:right w:w="80" w:type="dxa"/>
            </w:tcMar>
          </w:tcPr>
          <w:p w14:paraId="4986EBF4" w14:textId="77777777" w:rsidR="007B203C" w:rsidRDefault="00000000">
            <w:pPr>
              <w:spacing w:after="40"/>
            </w:pPr>
            <w:r>
              <w:rPr>
                <w:sz w:val="17"/>
                <w:szCs w:val="17"/>
              </w:rPr>
              <w:t>Guild- and intensity-dependent</w:t>
            </w:r>
          </w:p>
        </w:tc>
        <w:tc>
          <w:tcPr>
            <w:tcW w:w="2200" w:type="dxa"/>
            <w:tcMar>
              <w:top w:w="50" w:type="dxa"/>
              <w:left w:w="80" w:type="dxa"/>
              <w:bottom w:w="50" w:type="dxa"/>
              <w:right w:w="80" w:type="dxa"/>
            </w:tcMar>
          </w:tcPr>
          <w:p w14:paraId="5816BDB7" w14:textId="77777777" w:rsidR="007B203C" w:rsidRDefault="00000000">
            <w:pPr>
              <w:spacing w:after="40"/>
            </w:pPr>
            <w:r>
              <w:rPr>
                <w:sz w:val="17"/>
                <w:szCs w:val="17"/>
              </w:rPr>
              <w:t>Moderate; mostly tree and model systems</w:t>
            </w:r>
          </w:p>
        </w:tc>
        <w:tc>
          <w:tcPr>
            <w:tcW w:w="1900" w:type="dxa"/>
            <w:tcMar>
              <w:top w:w="50" w:type="dxa"/>
              <w:left w:w="80" w:type="dxa"/>
              <w:bottom w:w="50" w:type="dxa"/>
              <w:right w:w="80" w:type="dxa"/>
            </w:tcMar>
          </w:tcPr>
          <w:p w14:paraId="7B78F9A8" w14:textId="77777777" w:rsidR="007B203C" w:rsidRDefault="00000000">
            <w:pPr>
              <w:spacing w:after="40"/>
            </w:pPr>
            <w:r>
              <w:rPr>
                <w:sz w:val="17"/>
                <w:szCs w:val="17"/>
              </w:rPr>
              <w:t>Integrate water-stress status into risk assessment</w:t>
            </w:r>
          </w:p>
        </w:tc>
        <w:tc>
          <w:tcPr>
            <w:tcW w:w="1526" w:type="dxa"/>
            <w:tcMar>
              <w:top w:w="50" w:type="dxa"/>
              <w:left w:w="80" w:type="dxa"/>
              <w:bottom w:w="50" w:type="dxa"/>
              <w:right w:w="80" w:type="dxa"/>
            </w:tcMar>
          </w:tcPr>
          <w:p w14:paraId="6B0E9C9D" w14:textId="77777777" w:rsidR="007B203C" w:rsidRDefault="00000000">
            <w:pPr>
              <w:spacing w:after="40"/>
            </w:pPr>
            <w:r>
              <w:rPr>
                <w:sz w:val="17"/>
                <w:szCs w:val="17"/>
              </w:rPr>
              <w:t>Huberty and Denno (2004); Gely et al. (2020); Dale and Frank (2017)</w:t>
            </w:r>
          </w:p>
        </w:tc>
      </w:tr>
      <w:tr w:rsidR="007B203C" w14:paraId="194BE3C4" w14:textId="77777777">
        <w:tc>
          <w:tcPr>
            <w:tcW w:w="1600" w:type="dxa"/>
            <w:tcMar>
              <w:top w:w="50" w:type="dxa"/>
              <w:left w:w="80" w:type="dxa"/>
              <w:bottom w:w="50" w:type="dxa"/>
              <w:right w:w="80" w:type="dxa"/>
            </w:tcMar>
          </w:tcPr>
          <w:p w14:paraId="1A3B3443" w14:textId="77777777" w:rsidR="007B203C" w:rsidRDefault="00000000">
            <w:pPr>
              <w:spacing w:after="40"/>
            </w:pPr>
            <w:r>
              <w:rPr>
                <w:sz w:val="17"/>
                <w:szCs w:val="17"/>
              </w:rPr>
              <w:t>Instability of host-plant resistance</w:t>
            </w:r>
          </w:p>
        </w:tc>
        <w:tc>
          <w:tcPr>
            <w:tcW w:w="1800" w:type="dxa"/>
            <w:tcMar>
              <w:top w:w="50" w:type="dxa"/>
              <w:left w:w="80" w:type="dxa"/>
              <w:bottom w:w="50" w:type="dxa"/>
              <w:right w:w="80" w:type="dxa"/>
            </w:tcMar>
          </w:tcPr>
          <w:p w14:paraId="6C50A76F" w14:textId="77777777" w:rsidR="007B203C" w:rsidRDefault="00000000">
            <w:pPr>
              <w:spacing w:after="40"/>
            </w:pPr>
            <w:r>
              <w:rPr>
                <w:sz w:val="17"/>
                <w:szCs w:val="17"/>
              </w:rPr>
              <w:t>Loss of resistance for some genes</w:t>
            </w:r>
          </w:p>
        </w:tc>
        <w:tc>
          <w:tcPr>
            <w:tcW w:w="2200" w:type="dxa"/>
            <w:tcMar>
              <w:top w:w="50" w:type="dxa"/>
              <w:left w:w="80" w:type="dxa"/>
              <w:bottom w:w="50" w:type="dxa"/>
              <w:right w:w="80" w:type="dxa"/>
            </w:tcMar>
          </w:tcPr>
          <w:p w14:paraId="6D3436E5" w14:textId="77777777" w:rsidR="007B203C" w:rsidRDefault="00000000">
            <w:pPr>
              <w:spacing w:after="40"/>
            </w:pPr>
            <w:r>
              <w:rPr>
                <w:sz w:val="17"/>
                <w:szCs w:val="17"/>
              </w:rPr>
              <w:t>Preliminary; controlled environments, single system</w:t>
            </w:r>
          </w:p>
        </w:tc>
        <w:tc>
          <w:tcPr>
            <w:tcW w:w="1900" w:type="dxa"/>
            <w:tcMar>
              <w:top w:w="50" w:type="dxa"/>
              <w:left w:w="80" w:type="dxa"/>
              <w:bottom w:w="50" w:type="dxa"/>
              <w:right w:w="80" w:type="dxa"/>
            </w:tcMar>
          </w:tcPr>
          <w:p w14:paraId="072AECDA" w14:textId="77777777" w:rsidR="007B203C" w:rsidRDefault="00000000">
            <w:pPr>
              <w:spacing w:after="40"/>
            </w:pPr>
            <w:r>
              <w:rPr>
                <w:sz w:val="17"/>
                <w:szCs w:val="17"/>
              </w:rPr>
              <w:t>Prefer pyramided resistance; test cultivars under future conditions</w:t>
            </w:r>
          </w:p>
        </w:tc>
        <w:tc>
          <w:tcPr>
            <w:tcW w:w="1526" w:type="dxa"/>
            <w:tcMar>
              <w:top w:w="50" w:type="dxa"/>
              <w:left w:w="80" w:type="dxa"/>
              <w:bottom w:w="50" w:type="dxa"/>
              <w:right w:w="80" w:type="dxa"/>
            </w:tcMar>
          </w:tcPr>
          <w:p w14:paraId="14CD0BD7" w14:textId="77777777" w:rsidR="007B203C" w:rsidRDefault="00000000">
            <w:pPr>
              <w:spacing w:after="40"/>
            </w:pPr>
            <w:r>
              <w:rPr>
                <w:sz w:val="17"/>
                <w:szCs w:val="17"/>
              </w:rPr>
              <w:t>Kuang et al. (2021)</w:t>
            </w:r>
          </w:p>
        </w:tc>
      </w:tr>
    </w:tbl>
    <w:p w14:paraId="0F6D9393"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IPM, integrated pest management. Confidence ratings are qualitative and reflect the consistency, scale and ecological realism of the cited evidence rather than a formal grading system.</w:t>
      </w:r>
    </w:p>
    <w:p w14:paraId="79C318CF" w14:textId="77777777" w:rsidR="007B203C" w:rsidRDefault="00000000">
      <w:pPr>
        <w:pStyle w:val="Heading1"/>
        <w:keepNext/>
        <w:spacing w:before="240" w:after="120" w:line="360" w:lineRule="auto"/>
      </w:pPr>
      <w:r>
        <w:t>4. Prevention and Prediction: Rebuilding the Information Base of IPM</w:t>
      </w:r>
    </w:p>
    <w:p w14:paraId="4C9BB60F" w14:textId="77777777" w:rsidR="007B203C" w:rsidRDefault="00000000">
      <w:pPr>
        <w:spacing w:after="160" w:line="360" w:lineRule="auto"/>
        <w:jc w:val="both"/>
      </w:pPr>
      <w:r>
        <w:t>If pest pressure becomes less regular, the value of IPM depends increasingly on its information base. Forecasting, surveillance and decision rules determine whether preventive and curative tactics are deployed at the right time and place. This section appraises the tools used for these purposes and asks whether they are fit for variable climates.</w:t>
      </w:r>
    </w:p>
    <w:p w14:paraId="0CA436D8" w14:textId="77777777" w:rsidR="007B203C" w:rsidRDefault="00000000">
      <w:pPr>
        <w:pStyle w:val="Heading2"/>
        <w:keepNext/>
        <w:spacing w:before="160" w:after="100" w:line="360" w:lineRule="auto"/>
      </w:pPr>
      <w:r>
        <w:lastRenderedPageBreak/>
        <w:t>4.1 Phenology Models and Degree-Day Tools under Variable Climates</w:t>
      </w:r>
    </w:p>
    <w:p w14:paraId="12D8A455" w14:textId="77777777" w:rsidR="007B203C" w:rsidRDefault="00000000">
      <w:pPr>
        <w:spacing w:after="160" w:line="360" w:lineRule="auto"/>
        <w:jc w:val="both"/>
      </w:pPr>
      <w:r>
        <w:t xml:space="preserve">Degree-day and development-rate models underpin many pest advisory systems. Their theoretical basis is sound within the linear portion of the thermal response, but their reliability declines as temperatures approach or exceed optimal and upper limits, where development rate responds non-linearly (Rebaudo &amp; Rabhi, 2018; Régnière et al., 2012). The choice of temperature input is equally consequential. In a phenological model for the sunflower stem weevil, </w:t>
      </w:r>
      <w:r>
        <w:rPr>
          <w:i/>
          <w:iCs/>
        </w:rPr>
        <w:t>Cylindrocopturus adspersus</w:t>
      </w:r>
      <w:r>
        <w:t xml:space="preserve"> (LeConte), predicted dates of adult emergence differed by an average of 11 days depending on whether scale-appropriate temperature variability was included, a difference larger than that attributable to the choice of emission scenario (Merrill &amp; Peairs, 2017). For operational IPM, an 11-day error can determine whether a spray or release coincides with a susceptible life stage.</w:t>
      </w:r>
    </w:p>
    <w:p w14:paraId="1C251CA2" w14:textId="77777777" w:rsidR="007B203C" w:rsidRDefault="00000000">
      <w:pPr>
        <w:spacing w:after="160" w:line="360" w:lineRule="auto"/>
        <w:jc w:val="both"/>
      </w:pPr>
      <w:r>
        <w:t xml:space="preserve">Seasonal carryover adds a further layer of uncertainty that phenology tools rarely address. Diapause induction is typically governed by photoperiod, which does not change with climate, whereas development is governed by temperature, which does. As a consequence, warming can create situations in which an additional generation is initiated late in the season but cannot complete development before winter, a mechanism projected for </w:t>
      </w:r>
      <w:r>
        <w:rPr>
          <w:i/>
          <w:iCs/>
        </w:rPr>
        <w:t>C. pomonella</w:t>
      </w:r>
      <w:r>
        <w:t xml:space="preserve"> in Switzerland (Stoeckli et al., 2012). Whether such partial generations increase damage or act as population sinks depends on local conditions, and the answer determines whether late-season interventions are worthwhile. Similarly, warmer winters may advance the spring appearance of migrant or overwintering populations, as documented for aphids across Europe (Harrington et al., 2007), shifting the start of the monitoring season. Development-rate models that treat each generation independently and ignore diapause and overwintering survival therefore provide only a partial basis for seasonal planning (Bale et al., 2002; Régnière et al., 2012).</w:t>
      </w:r>
    </w:p>
    <w:p w14:paraId="56C83ED4" w14:textId="77777777" w:rsidR="007B203C" w:rsidRDefault="00000000">
      <w:pPr>
        <w:spacing w:after="160" w:line="360" w:lineRule="auto"/>
        <w:jc w:val="both"/>
      </w:pPr>
      <w:r>
        <w:t>These findings suggest that the transition from mean-based to variability-aware phenology models is not a technical refinement but a precondition for climate-smart decision support. Few operational systems yet incorporate hourly or sub-daily temperature data, microclimatic correction or explicit representation of upper thresholds. Validation against independent field phenology data under warmer conditions is uncommon, and the evidence that improved models change management outcomes, rather than predictions, is largely absent.</w:t>
      </w:r>
    </w:p>
    <w:p w14:paraId="5B1F2BE6" w14:textId="77777777" w:rsidR="007B203C" w:rsidRDefault="00000000">
      <w:pPr>
        <w:pStyle w:val="Heading2"/>
        <w:keepNext/>
        <w:spacing w:before="160" w:after="100" w:line="360" w:lineRule="auto"/>
      </w:pPr>
      <w:r>
        <w:t>4.2 Distribution and Invasion Forecasting</w:t>
      </w:r>
    </w:p>
    <w:p w14:paraId="55E3EB13" w14:textId="77777777" w:rsidR="007B203C" w:rsidRDefault="00000000">
      <w:pPr>
        <w:spacing w:after="160" w:line="360" w:lineRule="auto"/>
        <w:jc w:val="both"/>
      </w:pPr>
      <w:r>
        <w:t xml:space="preserve">Invasive species amplify the challenge, because newly arrived pests encounter agroecosystems without adapted natural enemies or management experience. Global analyses indicate that </w:t>
      </w:r>
      <w:r>
        <w:lastRenderedPageBreak/>
        <w:t xml:space="preserve">developing countries, and sub-Saharan Africa in particular, are highly vulnerable to invasive agricultural species (Paini et al., 2016), and the global costs of invasive insects have been estimated at a minimum of US$70 billion per year, a figure the authors regarded as a substantial underestimate (Bradshaw et al., 2016). The arrival of the fall armyworm, </w:t>
      </w:r>
      <w:r>
        <w:rPr>
          <w:i/>
          <w:iCs/>
        </w:rPr>
        <w:t>Spodoptera frugiperda</w:t>
      </w:r>
      <w:r>
        <w:t xml:space="preserve"> (J. E. Smith), in West and Central Africa in 2016 (Goergen et al., 2016) and its subsequent spread across Africa and Asia illustrates how rapidly a pest can exploit climatically suitable regions. Distribution modelling projected that year-round persistence was possible across much of sub-Saharan Africa, with seasonal migration able to extend the affected area (Early et al., 2018), and modelling of multigenerational migration in North America demonstrated how winter breeding areas feed seasonal expansion (Westbrook et al., 2019).</w:t>
      </w:r>
    </w:p>
    <w:p w14:paraId="23BE0D8C" w14:textId="77777777" w:rsidR="007B203C" w:rsidRDefault="00000000">
      <w:pPr>
        <w:spacing w:after="160" w:line="360" w:lineRule="auto"/>
        <w:jc w:val="both"/>
      </w:pPr>
      <w:r>
        <w:t xml:space="preserve">The predictive tools used for such forecasts differ in their assumptions. Correlative species distribution models can incorporate many environmental variables and be evaluated statistically, whereas ecophysiological models such as CLIMEX encode expert knowledge of thermal and moisture tolerances and can represent seasonal population growth. A comparison for the tomato leafminer, </w:t>
      </w:r>
      <w:r>
        <w:rPr>
          <w:i/>
          <w:iCs/>
        </w:rPr>
        <w:t>Tuta absoluta</w:t>
      </w:r>
      <w:r>
        <w:t xml:space="preserve"> (Meyrick), found that the best statistical models outperformed CLIMEX and that an ensemble approach enlarged the projected potential range in Africa, the Arabian Peninsula, Central Asia and Australia (Early et al., 2022). A recent East African study of vegetable pests found that model performance depended on the variable-selection strategy and differed among species, with consistent projected expansion for </w:t>
      </w:r>
      <w:r>
        <w:rPr>
          <w:i/>
          <w:iCs/>
        </w:rPr>
        <w:t>P. xylostella</w:t>
      </w:r>
      <w:r>
        <w:t xml:space="preserve"> but localised and uncertain shifts for the cabbage aphid, </w:t>
      </w:r>
      <w:r>
        <w:rPr>
          <w:i/>
          <w:iCs/>
        </w:rPr>
        <w:t>Brevicoryne brassicae</w:t>
      </w:r>
      <w:r>
        <w:t xml:space="preserve"> (L.), and the legume pod borer, </w:t>
      </w:r>
      <w:r>
        <w:rPr>
          <w:i/>
          <w:iCs/>
        </w:rPr>
        <w:t>Maruca vitrata</w:t>
      </w:r>
      <w:r>
        <w:t xml:space="preserve"> (Fabricius) (Agbodjan et al., 2026). These studies imply that forecast uncertainty arises as much from modelling choices as from climate scenarios, and that single-model outputs should not be treated as risk maps without evaluation.</w:t>
      </w:r>
    </w:p>
    <w:p w14:paraId="4D1A7EF0" w14:textId="77777777" w:rsidR="007B203C" w:rsidRDefault="00000000">
      <w:pPr>
        <w:spacing w:after="160" w:line="360" w:lineRule="auto"/>
        <w:jc w:val="both"/>
      </w:pPr>
      <w:r>
        <w:t>A further limitation is that most distribution models project climatic suitability rather than yield loss. Coupling pest population models with crop models, so that pest variables affect crop growth and crop variables affect pests, has been proposed as a route to forecasting yield losses under climate change (Tonnang et al., 2022). Such coupling has long been recognised as difficult because of limited data on damage mechanisms and the separate development of pest and crop modelling communities (Donatelli et al., 2017). Physiologically based demographic models of tritrophic systems have shown that climate change effects can propagate through plant, herbivore and natural-enemy levels (Gutierrez et al., 2008), but such models remain data-intensive and have been parameterised for relatively few systems.</w:t>
      </w:r>
    </w:p>
    <w:p w14:paraId="0C84972E" w14:textId="77777777" w:rsidR="007B203C" w:rsidRDefault="00000000">
      <w:pPr>
        <w:pStyle w:val="Heading2"/>
        <w:keepNext/>
        <w:spacing w:before="160" w:after="100" w:line="360" w:lineRule="auto"/>
      </w:pPr>
      <w:r>
        <w:lastRenderedPageBreak/>
        <w:t>4.3 Surveillance, Sensing and Decision Support</w:t>
      </w:r>
    </w:p>
    <w:p w14:paraId="55A878F5" w14:textId="77777777" w:rsidR="007B203C" w:rsidRDefault="00000000">
      <w:pPr>
        <w:spacing w:after="160" w:line="360" w:lineRule="auto"/>
        <w:jc w:val="both"/>
      </w:pPr>
      <w:r>
        <w:t>Improved monitoring is a prerequisite for adapting to irregular pest dynamics. Camera-equipped traps and automated identification offer continuous, remotely accessible data and could, in principle, reduce the labour that limits conventional trap monitoring. A review of such systems identified strengths in temporal resolution and data sharing, but also limitations in image quality, identification of target species among non-targets, power supply and cost (Preti et al., 2021). Deep learning and computer vision have been argued to have transformative potential for entomology, particularly for high-throughput identification and population monitoring (Høye et al., 2021). The evidence for these technologies in climate-smart IPM remains primarily about technical performance; few studies demonstrate that automated monitoring improves intervention timing, reduces pesticide use or preserves yield in farmers' fields, and their costs and infrastructure requirements may widen gaps between well-resourced and smallholder systems.</w:t>
      </w:r>
    </w:p>
    <w:p w14:paraId="3B352027" w14:textId="77777777" w:rsidR="007B203C" w:rsidRDefault="00000000">
      <w:pPr>
        <w:spacing w:after="160" w:line="360" w:lineRule="auto"/>
        <w:jc w:val="both"/>
      </w:pPr>
      <w:r>
        <w:t>Surveillance also has a regional dimension that technology does not replace. Climate-driven range change and invasion call for coordinated national and transboundary surveillance, diagnostic capacity and information sharing (IPPC Secretariat, 2021; Sutherst et al., 2011). The response to the fall armyworm in parts of Asia illustrates the cost of reactive management. In Yunnan, China, smallholder maize growers relied primarily on pesticides after the pest's arrival and increased application frequency roughly threefold within two years, with a corresponding increase in the cost of crop protection, although use shifted over time toward more selective compounds (Yang et al., 2021). By contrast, surveys in maize agroecosystems of north-eastern India found more than 26 species of natural enemies attacking the fall armyworm, with 56.6–73.1% of larvae parasitised or infected by entomopathogens across locations (Firake &amp; Behere, 2020). These contrasting observations underline that surveillance should include natural enemies, not only pests, if it is to inform preventive rather than reactive responses.</w:t>
      </w:r>
    </w:p>
    <w:p w14:paraId="001F4726" w14:textId="77777777" w:rsidR="007B203C" w:rsidRDefault="00000000">
      <w:pPr>
        <w:pStyle w:val="Heading2"/>
        <w:keepNext/>
        <w:spacing w:before="160" w:after="100" w:line="360" w:lineRule="auto"/>
      </w:pPr>
      <w:r>
        <w:t>4.4 Economic Thresholds as Moving Targets</w:t>
      </w:r>
    </w:p>
    <w:p w14:paraId="4AF91B26" w14:textId="77777777" w:rsidR="007B203C" w:rsidRDefault="00000000">
      <w:pPr>
        <w:spacing w:after="160" w:line="360" w:lineRule="auto"/>
        <w:jc w:val="both"/>
      </w:pPr>
      <w:r>
        <w:t xml:space="preserve">The economic injury level integrates management cost, crop value, injury per pest and damage per unit injury (Pedigo et al., 1986). Climate change can alter at least three of these components simultaneously. Warming may increase feeding rates and the number of generations, changing injury per pest over a season; drought and heat can reduce the capacity of crops to compensate for injury; and temperature-dependent pesticide efficacy may change the cost of achieving a given level of control. Despite the centrality of thresholds to IPM, no study retrieved in this </w:t>
      </w:r>
      <w:r>
        <w:lastRenderedPageBreak/>
        <w:t xml:space="preserve">review had validated climate-responsive economic thresholds against yield outcomes across multiple seasons and sites. Some studies presented under the climate-smart label have estimated cultivar-specific economic thresholds and the time required for populations to reach them, as for </w:t>
      </w:r>
      <w:r>
        <w:rPr>
          <w:i/>
          <w:iCs/>
        </w:rPr>
        <w:t>Spilosoma obliqua</w:t>
      </w:r>
      <w:r>
        <w:t xml:space="preserve"> Walker on sesame, </w:t>
      </w:r>
      <w:r>
        <w:rPr>
          <w:i/>
          <w:iCs/>
        </w:rPr>
        <w:t>Sesamum indicum</w:t>
      </w:r>
      <w:r>
        <w:t xml:space="preserve"> L., but these estimates derive from a single season and do not model how thresholds shift with temperature (Roy, 2022). Thresholds in most advisory systems therefore remain static values derived under historical conditions. This represents one of the clearest gaps between the conceptual ambition of climate-smart pest management and its operational practice.</w:t>
      </w:r>
    </w:p>
    <w:p w14:paraId="5193704C" w14:textId="77777777" w:rsidR="007B203C" w:rsidRDefault="00000000">
      <w:pPr>
        <w:spacing w:after="160" w:line="360" w:lineRule="auto"/>
        <w:jc w:val="both"/>
      </w:pPr>
      <w:r>
        <w:t>Taken together, the evidence in this section indicates that the information base of IPM is being challenged at every level, from phenology models and distribution forecasts to monitoring and decision thresholds. Improvements are technically feasible, but their contribution to management outcomes has rarely been evaluated. The following section turns to the tactic most exposed to climate-driven disruption of ecological relationships: biological control.</w:t>
      </w:r>
    </w:p>
    <w:p w14:paraId="204806A0" w14:textId="77777777" w:rsidR="007B203C" w:rsidRDefault="00000000">
      <w:pPr>
        <w:pStyle w:val="Heading1"/>
        <w:keepNext/>
        <w:spacing w:before="240" w:after="120" w:line="360" w:lineRule="auto"/>
      </w:pPr>
      <w:r>
        <w:t>5. Biological Control in a Warming World</w:t>
      </w:r>
    </w:p>
    <w:p w14:paraId="0632FB00" w14:textId="77777777" w:rsidR="007B203C" w:rsidRDefault="00000000">
      <w:pPr>
        <w:spacing w:after="160" w:line="360" w:lineRule="auto"/>
        <w:jc w:val="both"/>
      </w:pPr>
      <w:r>
        <w:t>Biological control, whether through conservation of resident natural enemies, augmentative releases or classical introductions, is the ecological foundation of IPM. Its value is considerable; ecological pest control has been estimated to contribute substantially to agricultural output and economic growth in Asia–Pacific economies (Wyckhuys et al., 2020). Yet biological control depends on interactions between organisms that may respond differently to climate. This section evaluates the evidence that warming weakens, strengthens or reorganises natural pest suppression.</w:t>
      </w:r>
    </w:p>
    <w:p w14:paraId="6CD3DE6D" w14:textId="77777777" w:rsidR="007B203C" w:rsidRDefault="00000000">
      <w:pPr>
        <w:pStyle w:val="Heading2"/>
        <w:keepNext/>
        <w:spacing w:before="160" w:after="100" w:line="360" w:lineRule="auto"/>
      </w:pPr>
      <w:r>
        <w:t>5.1 Thermal Asymmetry between Pests and Natural Enemies</w:t>
      </w:r>
    </w:p>
    <w:p w14:paraId="1708FAFB" w14:textId="77777777" w:rsidR="007B203C" w:rsidRDefault="00000000">
      <w:pPr>
        <w:spacing w:after="160" w:line="360" w:lineRule="auto"/>
        <w:jc w:val="both"/>
      </w:pPr>
      <w:r>
        <w:t xml:space="preserve">A recurring hypothesis holds that natural enemies, particularly parasitoids at higher trophic levels, are more sensitive to heat than their hosts, so that warming will tilt interactions in favour of pests (Furlong &amp; Zalucki, 2017; Hance et al., 2007). Several comparative studies support this asymmetry. Field-collected populations of the parasitoid </w:t>
      </w:r>
      <w:r>
        <w:rPr>
          <w:i/>
          <w:iCs/>
        </w:rPr>
        <w:t>Cotesia vestalis</w:t>
      </w:r>
      <w:r>
        <w:t xml:space="preserve"> (Haliday) in southern Africa had significantly lower critical thermal limits, shorter heat knockdown times and lower survival at temperature extremes than their host, </w:t>
      </w:r>
      <w:r>
        <w:rPr>
          <w:i/>
          <w:iCs/>
        </w:rPr>
        <w:t>P. xylostella</w:t>
      </w:r>
      <w:r>
        <w:t xml:space="preserve"> (Machekano et al., 2018). In cereal stemborer systems, mean critical thermal maxima ranged from 46.8 to 48.5 °C for the stemborers </w:t>
      </w:r>
      <w:r>
        <w:rPr>
          <w:i/>
          <w:iCs/>
        </w:rPr>
        <w:t>Chilo partellus</w:t>
      </w:r>
      <w:r>
        <w:t xml:space="preserve"> (Swinhoe), </w:t>
      </w:r>
      <w:r>
        <w:rPr>
          <w:i/>
          <w:iCs/>
        </w:rPr>
        <w:t>Busseola fusca</w:t>
      </w:r>
      <w:r>
        <w:t xml:space="preserve"> (Fuller) and </w:t>
      </w:r>
      <w:r>
        <w:rPr>
          <w:i/>
          <w:iCs/>
        </w:rPr>
        <w:t>Sesamia calamistis</w:t>
      </w:r>
      <w:r>
        <w:t xml:space="preserve"> Hampson, but only from 39.5 to 44.6 °C for their endoparasitoids </w:t>
      </w:r>
      <w:r>
        <w:rPr>
          <w:i/>
          <w:iCs/>
        </w:rPr>
        <w:t>Cotesia sesamiae</w:t>
      </w:r>
      <w:r>
        <w:t xml:space="preserve"> (Cameron) and </w:t>
      </w:r>
      <w:r>
        <w:rPr>
          <w:i/>
          <w:iCs/>
        </w:rPr>
        <w:t>Cotesia flavipes</w:t>
      </w:r>
      <w:r>
        <w:t xml:space="preserve"> Cameron, and distribution modelling suggested that future suitability of </w:t>
      </w:r>
      <w:r>
        <w:lastRenderedPageBreak/>
        <w:t>host and parasitoid ranges may diverge (Mutamiswa et al., 2022). Elevated temperature and drought interacted to reduce the effectiveness of a parasitoid in suppressing its aphid host in a controlled experiment (Romo &amp; Tylianakis, 2013).</w:t>
      </w:r>
    </w:p>
    <w:p w14:paraId="4E911A91" w14:textId="77777777" w:rsidR="007B203C" w:rsidRDefault="00000000">
      <w:pPr>
        <w:spacing w:after="160" w:line="360" w:lineRule="auto"/>
        <w:jc w:val="both"/>
      </w:pPr>
      <w:r>
        <w:t xml:space="preserve">The asymmetry is not universal. In the whitefly </w:t>
      </w:r>
      <w:r>
        <w:rPr>
          <w:i/>
          <w:iCs/>
        </w:rPr>
        <w:t>Bemisia tabaci</w:t>
      </w:r>
      <w:r>
        <w:t xml:space="preserve"> (Gennadius) system, </w:t>
      </w:r>
      <w:r>
        <w:rPr>
          <w:i/>
          <w:iCs/>
        </w:rPr>
        <w:t>Encarsia formosa</w:t>
      </w:r>
      <w:r>
        <w:t xml:space="preserve"> Gahan developed faster at higher temperatures but its survival declined sharply above 32 °C, whereas </w:t>
      </w:r>
      <w:r>
        <w:rPr>
          <w:i/>
          <w:iCs/>
        </w:rPr>
        <w:t>Eretmocerus hayati</w:t>
      </w:r>
      <w:r>
        <w:t xml:space="preserve"> Zolnerowich &amp; Rose maintained high survival up to 32 °C and outperformed both the pest and the other parasitoid at 35 °C (Chen et al., 2026). A synthesis of the effects of temperature on pest control tactics concluded that the outcome of warming for entomophagous biological control is highly context-dependent because it depends on the relative thermal ranges of the interacting species, on changes in their behaviour and physiology, and on community composition (Perrin et al., 2025). The appropriate conclusion is therefore not that warming degrades biological control in general, but that thermal mismatch is a recurrent risk whose occurrence can be anticipated by comparing thermal traits of the species involved.</w:t>
      </w:r>
    </w:p>
    <w:p w14:paraId="2FB50D09" w14:textId="77777777" w:rsidR="007B203C" w:rsidRDefault="00000000">
      <w:pPr>
        <w:spacing w:after="160" w:line="360" w:lineRule="auto"/>
        <w:jc w:val="both"/>
      </w:pPr>
      <w:r>
        <w:t>The comparative studies share important limitations. Most measure critical thermal limits of single populations under laboratory ramping protocols, which do not capture sublethal effects on searching, host acceptance and fecundity, or behavioural avoidance of heat in the field. Few link thermal-trait differences to measured changes in parasitism or pest density in crops over multiple seasons. The asymmetry hypothesis is mechanistically plausible and repeatedly supported in the laboratory, but its consequences for field-level pest suppression remain weakly demonstrated.</w:t>
      </w:r>
    </w:p>
    <w:p w14:paraId="4FC1DC5F" w14:textId="77777777" w:rsidR="007B203C" w:rsidRDefault="00000000">
      <w:pPr>
        <w:pStyle w:val="Heading2"/>
        <w:keepNext/>
        <w:spacing w:before="160" w:after="100" w:line="360" w:lineRule="auto"/>
      </w:pPr>
      <w:r>
        <w:t>5.2 Phenological Mismatch</w:t>
      </w:r>
    </w:p>
    <w:p w14:paraId="5B301B00" w14:textId="77777777" w:rsidR="007B203C" w:rsidRDefault="00000000">
      <w:pPr>
        <w:spacing w:after="160" w:line="360" w:lineRule="auto"/>
        <w:jc w:val="both"/>
      </w:pPr>
      <w:r>
        <w:t xml:space="preserve">A second pathway operates through timing. If pests and natural enemies respond to different cues or with different thermal sensitivities, warming can desynchronise them. The clearest field evidence comes from a ten-year study of the cereal leaf beetle, </w:t>
      </w:r>
      <w:r>
        <w:rPr>
          <w:i/>
          <w:iCs/>
        </w:rPr>
        <w:t>Oulema melanopus</w:t>
      </w:r>
      <w:r>
        <w:t xml:space="preserve"> (L.), in western North America. In warmer springs, beetle larval development shifted relative to the activity of its principal parasitoid, </w:t>
      </w:r>
      <w:r>
        <w:rPr>
          <w:i/>
          <w:iCs/>
        </w:rPr>
        <w:t>Tetrastichus julis</w:t>
      </w:r>
      <w:r>
        <w:t xml:space="preserve"> (Walker), whose phenology varied little in relation to accumulated degree-days, and parasitism was reduced (Evans et al., 2013). In an urban setting, a scale insect pest developed earlier under warmer conditions whereas the phenology of its parasitoid community did not advance correspondingly, and the mismatch was associated with greater pest egg production (Meineke et al., 2014).</w:t>
      </w:r>
    </w:p>
    <w:p w14:paraId="5F88BDD1" w14:textId="77777777" w:rsidR="007B203C" w:rsidRDefault="00000000">
      <w:pPr>
        <w:spacing w:after="160" w:line="360" w:lineRule="auto"/>
        <w:jc w:val="both"/>
      </w:pPr>
      <w:r>
        <w:lastRenderedPageBreak/>
        <w:t>Reviews of host–parasitoid systems identify phenological mismatch as a likely consequence of warming and emphasise that stage-specific susceptibility windows make parasitism particularly vulnerable to small timing shifts (Jeffs &amp; Lewis, 2013; Ramos Aguila et al., 2023). These studies are among the most ecologically realistic in the biological-control literature, but they concern few systems, and urban warming is an imperfect proxy for agricultural climate change. Whether mismatch is common enough to alter pest pressure at landscape or regional scales remains unknown, and generalist predators, which can switch prey and tolerate asynchrony, may be less susceptible than specialist parasitoids.</w:t>
      </w:r>
    </w:p>
    <w:p w14:paraId="1BE6ED92" w14:textId="77777777" w:rsidR="007B203C" w:rsidRDefault="00000000">
      <w:pPr>
        <w:pStyle w:val="Heading2"/>
        <w:keepNext/>
        <w:spacing w:before="160" w:after="100" w:line="360" w:lineRule="auto"/>
      </w:pPr>
      <w:r>
        <w:t>5.3 Habitat, Landscape and Response Diversity</w:t>
      </w:r>
    </w:p>
    <w:p w14:paraId="0534AA12" w14:textId="77777777" w:rsidR="007B203C" w:rsidRDefault="00000000">
      <w:pPr>
        <w:spacing w:after="160" w:line="360" w:lineRule="auto"/>
        <w:jc w:val="both"/>
      </w:pPr>
      <w:r>
        <w:t>If individual natural-enemy species are vulnerable, communities with diverse thermal responses may provide more stable suppression. This insurance hypothesis received direct support from work that developed an index of thermal resilience for predator communities providing biological pest control. Predator species differed in their temperature-dependent activity, assemblages with higher thermal resilience delivered more stable pest control when temperature was experimentally varied, and landscapes containing more non-crop habitat patches were more likely to support thermally resilient predator communities (Feit et al., 2021). A global synthesis likewise showed that landscape simplification reduces pest control and pollination services through losses in the richness of service-providing organisms, with consequences for crop production (Dainese et al., 2019).</w:t>
      </w:r>
    </w:p>
    <w:p w14:paraId="506D3893" w14:textId="77777777" w:rsidR="007B203C" w:rsidRDefault="00000000">
      <w:pPr>
        <w:spacing w:after="160" w:line="360" w:lineRule="auto"/>
        <w:jc w:val="both"/>
      </w:pPr>
      <w:r>
        <w:t>The landscape evidence is not uniformly positive. An analysis of a large global database found that crop pests and their natural enemies responded inconsistently to surrounding landscape composition, and natural habitat did not reliably enhance pest control (Karp et al., 2018). Five explanations have been proposed for such failures: the absence of effective natural enemies, natural habitat acting as a source of pests, crops providing more resources than natural habitat, insufficient amount or suitability of habitat, and management practices that counteract the benefits (Tscharntke et al., 2016). These explanations are consistent with the thermal-resilience findings; habitat can provide insurance only if it supports natural enemies that are effective against the relevant pests under the relevant conditions. Thomson et al. (2010) argued that predicting climate effects on natural enemies requires combining physiological tolerances with knowledge of community interactions, and that enhancing natural-enemy diversity may be a robust hedging strategy. The evidence supports this principle, but the specific habitat configurations that deliver thermal resilience in different cropping systems remain largely unquantified.</w:t>
      </w:r>
    </w:p>
    <w:p w14:paraId="0920368C" w14:textId="77777777" w:rsidR="007B203C" w:rsidRDefault="00000000">
      <w:pPr>
        <w:pStyle w:val="Heading2"/>
        <w:keepNext/>
        <w:spacing w:before="160" w:after="100" w:line="360" w:lineRule="auto"/>
      </w:pPr>
      <w:r>
        <w:lastRenderedPageBreak/>
        <w:t>5.4 Agent Selection, Evolutionary Potential and Microbial Agents</w:t>
      </w:r>
    </w:p>
    <w:p w14:paraId="33D955DA" w14:textId="77777777" w:rsidR="007B203C" w:rsidRDefault="00000000">
      <w:pPr>
        <w:spacing w:after="160" w:line="360" w:lineRule="auto"/>
        <w:jc w:val="both"/>
      </w:pPr>
      <w:r>
        <w:t>Augmentative and classical biological control offer the possibility of deliberately selecting agents for climatic fit. Proposals include combining agents with complementary thermal preferences, selecting strains adapted to harsh conditions and improving agents through artificial selection (Perrin et al., 2025). Evolutionary perspectives on biological control stress that heritable variation, selection strength and stochastic processes shape agent performance, and that evolutionary optimisation of local agents may become more important as the use of exotic agents and pesticides is restricted (Sentis et al., 2022). Machekano et al. (2018) similarly recommended building climate resilience into biological control programmes by enhancing the evolutionary potential of natural enemies. These proposals are well reasoned, but documented cases in which thermally selected agents improved field control under warming are rare.</w:t>
      </w:r>
    </w:p>
    <w:p w14:paraId="33BF607E" w14:textId="77777777" w:rsidR="007B203C" w:rsidRDefault="00000000">
      <w:pPr>
        <w:spacing w:after="160" w:line="360" w:lineRule="auto"/>
        <w:jc w:val="both"/>
      </w:pPr>
      <w:r>
        <w:t xml:space="preserve">Microbial agents present a different profile. Higher temperatures can enhance the infectivity and pathogenicity of entomopathogens, although insect immune responses to warming are unpredictable (Perrin et al., 2025). Ensemble distribution modelling suggested that most areas currently suitable for </w:t>
      </w:r>
      <w:r>
        <w:rPr>
          <w:i/>
          <w:iCs/>
        </w:rPr>
        <w:t>Bacillus thuringiensis</w:t>
      </w:r>
      <w:r>
        <w:t xml:space="preserve"> are likely to remain suitable, with projected gains in some countries and losses in others (Ejaz et al., 2025), although such modelling of a bacterium's environmental distribution says little about the field efficacy of formulated products. Multi-stressor experiments add a further complication. In vineyards, warming and copper-based fungicides interacted to affect both the European grapevine moth, </w:t>
      </w:r>
      <w:r>
        <w:rPr>
          <w:i/>
          <w:iCs/>
        </w:rPr>
        <w:t>Lobesia botrana</w:t>
      </w:r>
      <w:r>
        <w:t xml:space="preserve"> (Denis &amp; Schiffermüller), and its egg parasitoid </w:t>
      </w:r>
      <w:r>
        <w:rPr>
          <w:i/>
          <w:iCs/>
        </w:rPr>
        <w:t>Trichogramma oleae</w:t>
      </w:r>
      <w:r>
        <w:t xml:space="preserve"> Voegelé &amp; Pointel; warmer regimes improved pest survival, whereas parasitoid emergence and development were impaired by the combination of warming and copper (Nusillard et al., 2024). Warming also increased the tolerance of </w:t>
      </w:r>
      <w:r>
        <w:rPr>
          <w:i/>
          <w:iCs/>
        </w:rPr>
        <w:t>L. botrana</w:t>
      </w:r>
      <w:r>
        <w:t xml:space="preserve"> to copper through temperature-mediated hormesis (Iltis et al., 2022). These studies show that the chemical environment of a crop can shift the thermal balance between pests and their natural enemies.</w:t>
      </w:r>
    </w:p>
    <w:p w14:paraId="4FE58283" w14:textId="77777777" w:rsidR="007B203C" w:rsidRDefault="00000000">
      <w:pPr>
        <w:spacing w:after="160" w:line="360" w:lineRule="auto"/>
        <w:jc w:val="both"/>
      </w:pPr>
      <w:r>
        <w:t>The evidence reviewed in this section is summarised in Table 3, which contrasts the principal pathways by which climate can alter biological control with the strength of evidence and the adaptive options proposed. The table illustrates that adaptive options are, at present, largely inferred from mechanism rather than validated through field outcomes.</w:t>
      </w:r>
    </w:p>
    <w:p w14:paraId="32CCB308" w14:textId="77777777" w:rsidR="007B203C" w:rsidRDefault="00000000">
      <w:pPr>
        <w:keepNext/>
        <w:spacing w:before="120" w:after="80" w:line="360" w:lineRule="auto"/>
      </w:pPr>
      <w:r>
        <w:rPr>
          <w:b/>
          <w:bCs/>
          <w:sz w:val="22"/>
          <w:szCs w:val="22"/>
        </w:rPr>
        <w:lastRenderedPageBreak/>
        <w:t xml:space="preserve">Table 3. </w:t>
      </w:r>
      <w:r>
        <w:rPr>
          <w:sz w:val="22"/>
          <w:szCs w:val="22"/>
        </w:rPr>
        <w:t>Climate-related pathways affecting biological control of insect pests, representative evidence and adaptive options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00146B41" w14:textId="77777777">
        <w:trPr>
          <w:tblHeader/>
        </w:trPr>
        <w:tc>
          <w:tcPr>
            <w:tcW w:w="1600" w:type="dxa"/>
            <w:shd w:val="clear" w:color="auto" w:fill="E7E6E6"/>
            <w:tcMar>
              <w:top w:w="50" w:type="dxa"/>
              <w:left w:w="80" w:type="dxa"/>
              <w:bottom w:w="50" w:type="dxa"/>
              <w:right w:w="80" w:type="dxa"/>
            </w:tcMar>
          </w:tcPr>
          <w:p w14:paraId="71FD12C5" w14:textId="77777777" w:rsidR="007B203C" w:rsidRDefault="00000000">
            <w:pPr>
              <w:spacing w:after="40"/>
            </w:pPr>
            <w:r>
              <w:rPr>
                <w:b/>
                <w:bCs/>
                <w:sz w:val="17"/>
                <w:szCs w:val="17"/>
              </w:rPr>
              <w:t>Pathway</w:t>
            </w:r>
          </w:p>
        </w:tc>
        <w:tc>
          <w:tcPr>
            <w:tcW w:w="1800" w:type="dxa"/>
            <w:shd w:val="clear" w:color="auto" w:fill="E7E6E6"/>
            <w:tcMar>
              <w:top w:w="50" w:type="dxa"/>
              <w:left w:w="80" w:type="dxa"/>
              <w:bottom w:w="50" w:type="dxa"/>
              <w:right w:w="80" w:type="dxa"/>
            </w:tcMar>
          </w:tcPr>
          <w:p w14:paraId="14C5F9BE" w14:textId="77777777" w:rsidR="007B203C" w:rsidRDefault="00000000">
            <w:pPr>
              <w:spacing w:after="40"/>
            </w:pPr>
            <w:r>
              <w:rPr>
                <w:b/>
                <w:bCs/>
                <w:sz w:val="17"/>
                <w:szCs w:val="17"/>
              </w:rPr>
              <w:t>Representative evidence</w:t>
            </w:r>
          </w:p>
        </w:tc>
        <w:tc>
          <w:tcPr>
            <w:tcW w:w="2200" w:type="dxa"/>
            <w:shd w:val="clear" w:color="auto" w:fill="E7E6E6"/>
            <w:tcMar>
              <w:top w:w="50" w:type="dxa"/>
              <w:left w:w="80" w:type="dxa"/>
              <w:bottom w:w="50" w:type="dxa"/>
              <w:right w:w="80" w:type="dxa"/>
            </w:tcMar>
          </w:tcPr>
          <w:p w14:paraId="0A0AB057" w14:textId="77777777" w:rsidR="007B203C" w:rsidRDefault="00000000">
            <w:pPr>
              <w:spacing w:after="40"/>
            </w:pPr>
            <w:r>
              <w:rPr>
                <w:b/>
                <w:bCs/>
                <w:sz w:val="17"/>
                <w:szCs w:val="17"/>
              </w:rPr>
              <w:t>Evidence type and limitations</w:t>
            </w:r>
          </w:p>
        </w:tc>
        <w:tc>
          <w:tcPr>
            <w:tcW w:w="1900" w:type="dxa"/>
            <w:shd w:val="clear" w:color="auto" w:fill="E7E6E6"/>
            <w:tcMar>
              <w:top w:w="50" w:type="dxa"/>
              <w:left w:w="80" w:type="dxa"/>
              <w:bottom w:w="50" w:type="dxa"/>
              <w:right w:w="80" w:type="dxa"/>
            </w:tcMar>
          </w:tcPr>
          <w:p w14:paraId="571BA390" w14:textId="77777777" w:rsidR="007B203C" w:rsidRDefault="00000000">
            <w:pPr>
              <w:spacing w:after="40"/>
            </w:pPr>
            <w:r>
              <w:rPr>
                <w:b/>
                <w:bCs/>
                <w:sz w:val="17"/>
                <w:szCs w:val="17"/>
              </w:rPr>
              <w:t>Proposed adaptive options</w:t>
            </w:r>
          </w:p>
        </w:tc>
        <w:tc>
          <w:tcPr>
            <w:tcW w:w="1526" w:type="dxa"/>
            <w:shd w:val="clear" w:color="auto" w:fill="E7E6E6"/>
            <w:tcMar>
              <w:top w:w="50" w:type="dxa"/>
              <w:left w:w="80" w:type="dxa"/>
              <w:bottom w:w="50" w:type="dxa"/>
              <w:right w:w="80" w:type="dxa"/>
            </w:tcMar>
          </w:tcPr>
          <w:p w14:paraId="5A5EC0B9" w14:textId="77777777" w:rsidR="007B203C" w:rsidRDefault="00000000">
            <w:pPr>
              <w:spacing w:after="40"/>
            </w:pPr>
            <w:r>
              <w:rPr>
                <w:b/>
                <w:bCs/>
                <w:sz w:val="17"/>
                <w:szCs w:val="17"/>
              </w:rPr>
              <w:t>Supporting references</w:t>
            </w:r>
          </w:p>
        </w:tc>
      </w:tr>
      <w:tr w:rsidR="007B203C" w14:paraId="09F45B37" w14:textId="77777777">
        <w:tc>
          <w:tcPr>
            <w:tcW w:w="1600" w:type="dxa"/>
            <w:tcMar>
              <w:top w:w="50" w:type="dxa"/>
              <w:left w:w="80" w:type="dxa"/>
              <w:bottom w:w="50" w:type="dxa"/>
              <w:right w:w="80" w:type="dxa"/>
            </w:tcMar>
          </w:tcPr>
          <w:p w14:paraId="2A633B43" w14:textId="77777777" w:rsidR="007B203C" w:rsidRDefault="00000000">
            <w:pPr>
              <w:spacing w:after="40"/>
            </w:pPr>
            <w:r>
              <w:rPr>
                <w:sz w:val="17"/>
                <w:szCs w:val="17"/>
              </w:rPr>
              <w:t>Lower heat tolerance of parasitoids than hosts</w:t>
            </w:r>
          </w:p>
        </w:tc>
        <w:tc>
          <w:tcPr>
            <w:tcW w:w="1800" w:type="dxa"/>
            <w:tcMar>
              <w:top w:w="50" w:type="dxa"/>
              <w:left w:w="80" w:type="dxa"/>
              <w:bottom w:w="50" w:type="dxa"/>
              <w:right w:w="80" w:type="dxa"/>
            </w:tcMar>
          </w:tcPr>
          <w:p w14:paraId="3BE537FB" w14:textId="77777777" w:rsidR="007B203C" w:rsidRDefault="00000000">
            <w:pPr>
              <w:spacing w:after="40"/>
            </w:pPr>
            <w:r>
              <w:rPr>
                <w:sz w:val="17"/>
                <w:szCs w:val="17"/>
              </w:rPr>
              <w:t xml:space="preserve">Lower critical thermal limits in </w:t>
            </w:r>
            <w:r>
              <w:rPr>
                <w:i/>
                <w:iCs/>
                <w:sz w:val="17"/>
                <w:szCs w:val="17"/>
              </w:rPr>
              <w:t>Cotesia</w:t>
            </w:r>
            <w:r>
              <w:rPr>
                <w:sz w:val="17"/>
                <w:szCs w:val="17"/>
              </w:rPr>
              <w:t xml:space="preserve"> spp. than in </w:t>
            </w:r>
            <w:r>
              <w:rPr>
                <w:i/>
                <w:iCs/>
                <w:sz w:val="17"/>
                <w:szCs w:val="17"/>
              </w:rPr>
              <w:t>Plutella xylostella</w:t>
            </w:r>
            <w:r>
              <w:rPr>
                <w:sz w:val="17"/>
                <w:szCs w:val="17"/>
              </w:rPr>
              <w:t xml:space="preserve"> and cereal stemborers</w:t>
            </w:r>
          </w:p>
        </w:tc>
        <w:tc>
          <w:tcPr>
            <w:tcW w:w="2200" w:type="dxa"/>
            <w:tcMar>
              <w:top w:w="50" w:type="dxa"/>
              <w:left w:w="80" w:type="dxa"/>
              <w:bottom w:w="50" w:type="dxa"/>
              <w:right w:w="80" w:type="dxa"/>
            </w:tcMar>
          </w:tcPr>
          <w:p w14:paraId="63A179F7" w14:textId="77777777" w:rsidR="007B203C" w:rsidRDefault="00000000">
            <w:pPr>
              <w:spacing w:after="40"/>
            </w:pPr>
            <w:r>
              <w:rPr>
                <w:sz w:val="17"/>
                <w:szCs w:val="17"/>
              </w:rPr>
              <w:t>Laboratory thermal assays; single populations; few links to field parasitism</w:t>
            </w:r>
          </w:p>
        </w:tc>
        <w:tc>
          <w:tcPr>
            <w:tcW w:w="1900" w:type="dxa"/>
            <w:tcMar>
              <w:top w:w="50" w:type="dxa"/>
              <w:left w:w="80" w:type="dxa"/>
              <w:bottom w:w="50" w:type="dxa"/>
              <w:right w:w="80" w:type="dxa"/>
            </w:tcMar>
          </w:tcPr>
          <w:p w14:paraId="44D0D425" w14:textId="77777777" w:rsidR="007B203C" w:rsidRDefault="00000000">
            <w:pPr>
              <w:spacing w:after="40"/>
            </w:pPr>
            <w:r>
              <w:rPr>
                <w:sz w:val="17"/>
                <w:szCs w:val="17"/>
              </w:rPr>
              <w:t>Screen agents for thermal traits; favour heat-tolerant species or strains</w:t>
            </w:r>
          </w:p>
        </w:tc>
        <w:tc>
          <w:tcPr>
            <w:tcW w:w="1526" w:type="dxa"/>
            <w:tcMar>
              <w:top w:w="50" w:type="dxa"/>
              <w:left w:w="80" w:type="dxa"/>
              <w:bottom w:w="50" w:type="dxa"/>
              <w:right w:w="80" w:type="dxa"/>
            </w:tcMar>
          </w:tcPr>
          <w:p w14:paraId="1A6759FF" w14:textId="77777777" w:rsidR="007B203C" w:rsidRDefault="00000000">
            <w:pPr>
              <w:spacing w:after="40"/>
            </w:pPr>
            <w:r>
              <w:rPr>
                <w:sz w:val="17"/>
                <w:szCs w:val="17"/>
              </w:rPr>
              <w:t>Machekano et al. (2018); Mutamiswa et al. (2022); Furlong and Zalucki (2017)</w:t>
            </w:r>
          </w:p>
        </w:tc>
      </w:tr>
      <w:tr w:rsidR="007B203C" w14:paraId="496B3C00" w14:textId="77777777">
        <w:tc>
          <w:tcPr>
            <w:tcW w:w="1600" w:type="dxa"/>
            <w:tcMar>
              <w:top w:w="50" w:type="dxa"/>
              <w:left w:w="80" w:type="dxa"/>
              <w:bottom w:w="50" w:type="dxa"/>
              <w:right w:w="80" w:type="dxa"/>
            </w:tcMar>
          </w:tcPr>
          <w:p w14:paraId="7E5BFCB5" w14:textId="77777777" w:rsidR="007B203C" w:rsidRDefault="00000000">
            <w:pPr>
              <w:spacing w:after="40"/>
            </w:pPr>
            <w:r>
              <w:rPr>
                <w:sz w:val="17"/>
                <w:szCs w:val="17"/>
              </w:rPr>
              <w:t>Species-specific thermal responses among agents</w:t>
            </w:r>
          </w:p>
        </w:tc>
        <w:tc>
          <w:tcPr>
            <w:tcW w:w="1800" w:type="dxa"/>
            <w:tcMar>
              <w:top w:w="50" w:type="dxa"/>
              <w:left w:w="80" w:type="dxa"/>
              <w:bottom w:w="50" w:type="dxa"/>
              <w:right w:w="80" w:type="dxa"/>
            </w:tcMar>
          </w:tcPr>
          <w:p w14:paraId="29FAA0A5" w14:textId="77777777" w:rsidR="007B203C" w:rsidRDefault="00000000">
            <w:pPr>
              <w:spacing w:after="40"/>
            </w:pPr>
            <w:r>
              <w:rPr>
                <w:i/>
                <w:iCs/>
                <w:sz w:val="17"/>
                <w:szCs w:val="17"/>
              </w:rPr>
              <w:t>Eretmocerus hayati</w:t>
            </w:r>
            <w:r>
              <w:rPr>
                <w:sz w:val="17"/>
                <w:szCs w:val="17"/>
              </w:rPr>
              <w:t xml:space="preserve"> outperformed </w:t>
            </w:r>
            <w:r>
              <w:rPr>
                <w:i/>
                <w:iCs/>
                <w:sz w:val="17"/>
                <w:szCs w:val="17"/>
              </w:rPr>
              <w:t>Encarsia formosa</w:t>
            </w:r>
            <w:r>
              <w:rPr>
                <w:sz w:val="17"/>
                <w:szCs w:val="17"/>
              </w:rPr>
              <w:t xml:space="preserve"> at high temperature</w:t>
            </w:r>
          </w:p>
        </w:tc>
        <w:tc>
          <w:tcPr>
            <w:tcW w:w="2200" w:type="dxa"/>
            <w:tcMar>
              <w:top w:w="50" w:type="dxa"/>
              <w:left w:w="80" w:type="dxa"/>
              <w:bottom w:w="50" w:type="dxa"/>
              <w:right w:w="80" w:type="dxa"/>
            </w:tcMar>
          </w:tcPr>
          <w:p w14:paraId="0EF19B35" w14:textId="77777777" w:rsidR="007B203C" w:rsidRDefault="00000000">
            <w:pPr>
              <w:spacing w:after="40"/>
            </w:pPr>
            <w:r>
              <w:rPr>
                <w:sz w:val="17"/>
                <w:szCs w:val="17"/>
              </w:rPr>
              <w:t>Controlled experiments across a thermal gradient</w:t>
            </w:r>
          </w:p>
        </w:tc>
        <w:tc>
          <w:tcPr>
            <w:tcW w:w="1900" w:type="dxa"/>
            <w:tcMar>
              <w:top w:w="50" w:type="dxa"/>
              <w:left w:w="80" w:type="dxa"/>
              <w:bottom w:w="50" w:type="dxa"/>
              <w:right w:w="80" w:type="dxa"/>
            </w:tcMar>
          </w:tcPr>
          <w:p w14:paraId="65DBFBBF" w14:textId="77777777" w:rsidR="007B203C" w:rsidRDefault="00000000">
            <w:pPr>
              <w:spacing w:after="40"/>
            </w:pPr>
            <w:r>
              <w:rPr>
                <w:sz w:val="17"/>
                <w:szCs w:val="17"/>
              </w:rPr>
              <w:t>Combine agents with complementary thermal niches</w:t>
            </w:r>
          </w:p>
        </w:tc>
        <w:tc>
          <w:tcPr>
            <w:tcW w:w="1526" w:type="dxa"/>
            <w:tcMar>
              <w:top w:w="50" w:type="dxa"/>
              <w:left w:w="80" w:type="dxa"/>
              <w:bottom w:w="50" w:type="dxa"/>
              <w:right w:w="80" w:type="dxa"/>
            </w:tcMar>
          </w:tcPr>
          <w:p w14:paraId="4355B0C5" w14:textId="77777777" w:rsidR="007B203C" w:rsidRDefault="00000000">
            <w:pPr>
              <w:spacing w:after="40"/>
            </w:pPr>
            <w:r>
              <w:rPr>
                <w:sz w:val="17"/>
                <w:szCs w:val="17"/>
              </w:rPr>
              <w:t>Chen et al. (2026); Perrin et al. (2025)</w:t>
            </w:r>
          </w:p>
        </w:tc>
      </w:tr>
      <w:tr w:rsidR="007B203C" w14:paraId="22DBE166" w14:textId="77777777">
        <w:tc>
          <w:tcPr>
            <w:tcW w:w="1600" w:type="dxa"/>
            <w:tcMar>
              <w:top w:w="50" w:type="dxa"/>
              <w:left w:w="80" w:type="dxa"/>
              <w:bottom w:w="50" w:type="dxa"/>
              <w:right w:w="80" w:type="dxa"/>
            </w:tcMar>
          </w:tcPr>
          <w:p w14:paraId="31E99BF3" w14:textId="77777777" w:rsidR="007B203C" w:rsidRDefault="00000000">
            <w:pPr>
              <w:spacing w:after="40"/>
            </w:pPr>
            <w:r>
              <w:rPr>
                <w:sz w:val="17"/>
                <w:szCs w:val="17"/>
              </w:rPr>
              <w:t>Combined heat and drought stress</w:t>
            </w:r>
          </w:p>
        </w:tc>
        <w:tc>
          <w:tcPr>
            <w:tcW w:w="1800" w:type="dxa"/>
            <w:tcMar>
              <w:top w:w="50" w:type="dxa"/>
              <w:left w:w="80" w:type="dxa"/>
              <w:bottom w:w="50" w:type="dxa"/>
              <w:right w:w="80" w:type="dxa"/>
            </w:tcMar>
          </w:tcPr>
          <w:p w14:paraId="6A108BD9" w14:textId="77777777" w:rsidR="007B203C" w:rsidRDefault="00000000">
            <w:pPr>
              <w:spacing w:after="40"/>
            </w:pPr>
            <w:r>
              <w:rPr>
                <w:sz w:val="17"/>
                <w:szCs w:val="17"/>
              </w:rPr>
              <w:t>Reduced parasitoid suppression of aphids under warming and drought</w:t>
            </w:r>
          </w:p>
        </w:tc>
        <w:tc>
          <w:tcPr>
            <w:tcW w:w="2200" w:type="dxa"/>
            <w:tcMar>
              <w:top w:w="50" w:type="dxa"/>
              <w:left w:w="80" w:type="dxa"/>
              <w:bottom w:w="50" w:type="dxa"/>
              <w:right w:w="80" w:type="dxa"/>
            </w:tcMar>
          </w:tcPr>
          <w:p w14:paraId="17D1E41E" w14:textId="77777777" w:rsidR="007B203C" w:rsidRDefault="00000000">
            <w:pPr>
              <w:spacing w:after="40"/>
            </w:pPr>
            <w:r>
              <w:rPr>
                <w:sz w:val="17"/>
                <w:szCs w:val="17"/>
              </w:rPr>
              <w:t>Single controlled experiment</w:t>
            </w:r>
          </w:p>
        </w:tc>
        <w:tc>
          <w:tcPr>
            <w:tcW w:w="1900" w:type="dxa"/>
            <w:tcMar>
              <w:top w:w="50" w:type="dxa"/>
              <w:left w:w="80" w:type="dxa"/>
              <w:bottom w:w="50" w:type="dxa"/>
              <w:right w:w="80" w:type="dxa"/>
            </w:tcMar>
          </w:tcPr>
          <w:p w14:paraId="6A291608" w14:textId="77777777" w:rsidR="007B203C" w:rsidRDefault="00000000">
            <w:pPr>
              <w:spacing w:after="40"/>
            </w:pPr>
            <w:r>
              <w:rPr>
                <w:sz w:val="17"/>
                <w:szCs w:val="17"/>
              </w:rPr>
              <w:t>Consider water stress in biological-control planning</w:t>
            </w:r>
          </w:p>
        </w:tc>
        <w:tc>
          <w:tcPr>
            <w:tcW w:w="1526" w:type="dxa"/>
            <w:tcMar>
              <w:top w:w="50" w:type="dxa"/>
              <w:left w:w="80" w:type="dxa"/>
              <w:bottom w:w="50" w:type="dxa"/>
              <w:right w:w="80" w:type="dxa"/>
            </w:tcMar>
          </w:tcPr>
          <w:p w14:paraId="453F2785" w14:textId="77777777" w:rsidR="007B203C" w:rsidRDefault="00000000">
            <w:pPr>
              <w:spacing w:after="40"/>
            </w:pPr>
            <w:r>
              <w:rPr>
                <w:sz w:val="17"/>
                <w:szCs w:val="17"/>
              </w:rPr>
              <w:t>Romo and Tylianakis (2013)</w:t>
            </w:r>
          </w:p>
        </w:tc>
      </w:tr>
      <w:tr w:rsidR="007B203C" w14:paraId="0A70628D" w14:textId="77777777">
        <w:tc>
          <w:tcPr>
            <w:tcW w:w="1600" w:type="dxa"/>
            <w:tcMar>
              <w:top w:w="50" w:type="dxa"/>
              <w:left w:w="80" w:type="dxa"/>
              <w:bottom w:w="50" w:type="dxa"/>
              <w:right w:w="80" w:type="dxa"/>
            </w:tcMar>
          </w:tcPr>
          <w:p w14:paraId="6862D5DA" w14:textId="77777777" w:rsidR="007B203C" w:rsidRDefault="00000000">
            <w:pPr>
              <w:spacing w:after="40"/>
            </w:pPr>
            <w:r>
              <w:rPr>
                <w:sz w:val="17"/>
                <w:szCs w:val="17"/>
              </w:rPr>
              <w:t>Phenological mismatch</w:t>
            </w:r>
          </w:p>
        </w:tc>
        <w:tc>
          <w:tcPr>
            <w:tcW w:w="1800" w:type="dxa"/>
            <w:tcMar>
              <w:top w:w="50" w:type="dxa"/>
              <w:left w:w="80" w:type="dxa"/>
              <w:bottom w:w="50" w:type="dxa"/>
              <w:right w:w="80" w:type="dxa"/>
            </w:tcMar>
          </w:tcPr>
          <w:p w14:paraId="32B2F732" w14:textId="77777777" w:rsidR="007B203C" w:rsidRDefault="00000000">
            <w:pPr>
              <w:spacing w:after="40"/>
            </w:pPr>
            <w:r>
              <w:rPr>
                <w:sz w:val="17"/>
                <w:szCs w:val="17"/>
              </w:rPr>
              <w:t xml:space="preserve">Reduced parasitism of </w:t>
            </w:r>
            <w:r>
              <w:rPr>
                <w:i/>
                <w:iCs/>
                <w:sz w:val="17"/>
                <w:szCs w:val="17"/>
              </w:rPr>
              <w:t>Oulema melanopus</w:t>
            </w:r>
            <w:r>
              <w:rPr>
                <w:sz w:val="17"/>
                <w:szCs w:val="17"/>
              </w:rPr>
              <w:t xml:space="preserve"> in warm springs; urban warming mismatch in scale insects</w:t>
            </w:r>
          </w:p>
        </w:tc>
        <w:tc>
          <w:tcPr>
            <w:tcW w:w="2200" w:type="dxa"/>
            <w:tcMar>
              <w:top w:w="50" w:type="dxa"/>
              <w:left w:w="80" w:type="dxa"/>
              <w:bottom w:w="50" w:type="dxa"/>
              <w:right w:w="80" w:type="dxa"/>
            </w:tcMar>
          </w:tcPr>
          <w:p w14:paraId="16C1FB54" w14:textId="77777777" w:rsidR="007B203C" w:rsidRDefault="00000000">
            <w:pPr>
              <w:spacing w:after="40"/>
            </w:pPr>
            <w:r>
              <w:rPr>
                <w:sz w:val="17"/>
                <w:szCs w:val="17"/>
              </w:rPr>
              <w:t>Multi-year field data; few systems; urban proxy</w:t>
            </w:r>
          </w:p>
        </w:tc>
        <w:tc>
          <w:tcPr>
            <w:tcW w:w="1900" w:type="dxa"/>
            <w:tcMar>
              <w:top w:w="50" w:type="dxa"/>
              <w:left w:w="80" w:type="dxa"/>
              <w:bottom w:w="50" w:type="dxa"/>
              <w:right w:w="80" w:type="dxa"/>
            </w:tcMar>
          </w:tcPr>
          <w:p w14:paraId="2AD387E7" w14:textId="77777777" w:rsidR="007B203C" w:rsidRDefault="00000000">
            <w:pPr>
              <w:spacing w:after="40"/>
            </w:pPr>
            <w:r>
              <w:rPr>
                <w:sz w:val="17"/>
                <w:szCs w:val="17"/>
              </w:rPr>
              <w:t>Adjust release timing; favour generalist predators where mismatch is likely</w:t>
            </w:r>
          </w:p>
        </w:tc>
        <w:tc>
          <w:tcPr>
            <w:tcW w:w="1526" w:type="dxa"/>
            <w:tcMar>
              <w:top w:w="50" w:type="dxa"/>
              <w:left w:w="80" w:type="dxa"/>
              <w:bottom w:w="50" w:type="dxa"/>
              <w:right w:w="80" w:type="dxa"/>
            </w:tcMar>
          </w:tcPr>
          <w:p w14:paraId="10118036" w14:textId="77777777" w:rsidR="007B203C" w:rsidRDefault="00000000">
            <w:pPr>
              <w:spacing w:after="40"/>
            </w:pPr>
            <w:r>
              <w:rPr>
                <w:sz w:val="17"/>
                <w:szCs w:val="17"/>
              </w:rPr>
              <w:t>Evans et al. (2013); Meineke et al. (2014); Ramos Aguila et al. (2023)</w:t>
            </w:r>
          </w:p>
        </w:tc>
      </w:tr>
      <w:tr w:rsidR="007B203C" w14:paraId="0DA4CDF0" w14:textId="77777777">
        <w:tc>
          <w:tcPr>
            <w:tcW w:w="1600" w:type="dxa"/>
            <w:tcMar>
              <w:top w:w="50" w:type="dxa"/>
              <w:left w:w="80" w:type="dxa"/>
              <w:bottom w:w="50" w:type="dxa"/>
              <w:right w:w="80" w:type="dxa"/>
            </w:tcMar>
          </w:tcPr>
          <w:p w14:paraId="148160EA" w14:textId="77777777" w:rsidR="007B203C" w:rsidRDefault="00000000">
            <w:pPr>
              <w:spacing w:after="40"/>
            </w:pPr>
            <w:r>
              <w:rPr>
                <w:sz w:val="17"/>
                <w:szCs w:val="17"/>
              </w:rPr>
              <w:t>Loss of landscape-level response diversity</w:t>
            </w:r>
          </w:p>
        </w:tc>
        <w:tc>
          <w:tcPr>
            <w:tcW w:w="1800" w:type="dxa"/>
            <w:tcMar>
              <w:top w:w="50" w:type="dxa"/>
              <w:left w:w="80" w:type="dxa"/>
              <w:bottom w:w="50" w:type="dxa"/>
              <w:right w:w="80" w:type="dxa"/>
            </w:tcMar>
          </w:tcPr>
          <w:p w14:paraId="426FB27F" w14:textId="77777777" w:rsidR="007B203C" w:rsidRDefault="00000000">
            <w:pPr>
              <w:spacing w:after="40"/>
            </w:pPr>
            <w:r>
              <w:rPr>
                <w:sz w:val="17"/>
                <w:szCs w:val="17"/>
              </w:rPr>
              <w:t>Thermally resilient predator communities more common in complex landscapes</w:t>
            </w:r>
          </w:p>
        </w:tc>
        <w:tc>
          <w:tcPr>
            <w:tcW w:w="2200" w:type="dxa"/>
            <w:tcMar>
              <w:top w:w="50" w:type="dxa"/>
              <w:left w:w="80" w:type="dxa"/>
              <w:bottom w:w="50" w:type="dxa"/>
              <w:right w:w="80" w:type="dxa"/>
            </w:tcMar>
          </w:tcPr>
          <w:p w14:paraId="521F8289" w14:textId="77777777" w:rsidR="007B203C" w:rsidRDefault="00000000">
            <w:pPr>
              <w:spacing w:after="40"/>
            </w:pPr>
            <w:r>
              <w:rPr>
                <w:sz w:val="17"/>
                <w:szCs w:val="17"/>
              </w:rPr>
              <w:t>Field assays and microcosms; one region</w:t>
            </w:r>
          </w:p>
        </w:tc>
        <w:tc>
          <w:tcPr>
            <w:tcW w:w="1900" w:type="dxa"/>
            <w:tcMar>
              <w:top w:w="50" w:type="dxa"/>
              <w:left w:w="80" w:type="dxa"/>
              <w:bottom w:w="50" w:type="dxa"/>
              <w:right w:w="80" w:type="dxa"/>
            </w:tcMar>
          </w:tcPr>
          <w:p w14:paraId="1DDF97CA" w14:textId="77777777" w:rsidR="007B203C" w:rsidRDefault="00000000">
            <w:pPr>
              <w:spacing w:after="40"/>
            </w:pPr>
            <w:r>
              <w:rPr>
                <w:sz w:val="17"/>
                <w:szCs w:val="17"/>
              </w:rPr>
              <w:t>Conserve and restore non-crop habitat; manage for functional diversity</w:t>
            </w:r>
          </w:p>
        </w:tc>
        <w:tc>
          <w:tcPr>
            <w:tcW w:w="1526" w:type="dxa"/>
            <w:tcMar>
              <w:top w:w="50" w:type="dxa"/>
              <w:left w:w="80" w:type="dxa"/>
              <w:bottom w:w="50" w:type="dxa"/>
              <w:right w:w="80" w:type="dxa"/>
            </w:tcMar>
          </w:tcPr>
          <w:p w14:paraId="25CEE7F1" w14:textId="77777777" w:rsidR="007B203C" w:rsidRDefault="00000000">
            <w:pPr>
              <w:spacing w:after="40"/>
            </w:pPr>
            <w:r>
              <w:rPr>
                <w:sz w:val="17"/>
                <w:szCs w:val="17"/>
              </w:rPr>
              <w:t>Feit et al. (2021); Dainese et al. (2019)</w:t>
            </w:r>
          </w:p>
        </w:tc>
      </w:tr>
      <w:tr w:rsidR="007B203C" w14:paraId="05B179D9" w14:textId="77777777">
        <w:tc>
          <w:tcPr>
            <w:tcW w:w="1600" w:type="dxa"/>
            <w:tcMar>
              <w:top w:w="50" w:type="dxa"/>
              <w:left w:w="80" w:type="dxa"/>
              <w:bottom w:w="50" w:type="dxa"/>
              <w:right w:w="80" w:type="dxa"/>
            </w:tcMar>
          </w:tcPr>
          <w:p w14:paraId="067D2B4F" w14:textId="77777777" w:rsidR="007B203C" w:rsidRDefault="00000000">
            <w:pPr>
              <w:spacing w:after="40"/>
            </w:pPr>
            <w:r>
              <w:rPr>
                <w:sz w:val="17"/>
                <w:szCs w:val="17"/>
              </w:rPr>
              <w:t>Inconsistent landscape effects</w:t>
            </w:r>
          </w:p>
        </w:tc>
        <w:tc>
          <w:tcPr>
            <w:tcW w:w="1800" w:type="dxa"/>
            <w:tcMar>
              <w:top w:w="50" w:type="dxa"/>
              <w:left w:w="80" w:type="dxa"/>
              <w:bottom w:w="50" w:type="dxa"/>
              <w:right w:w="80" w:type="dxa"/>
            </w:tcMar>
          </w:tcPr>
          <w:p w14:paraId="0AF3353E" w14:textId="77777777" w:rsidR="007B203C" w:rsidRDefault="00000000">
            <w:pPr>
              <w:spacing w:after="40"/>
            </w:pPr>
            <w:r>
              <w:rPr>
                <w:sz w:val="17"/>
                <w:szCs w:val="17"/>
              </w:rPr>
              <w:t>Natural habitat did not reliably increase pest control</w:t>
            </w:r>
          </w:p>
        </w:tc>
        <w:tc>
          <w:tcPr>
            <w:tcW w:w="2200" w:type="dxa"/>
            <w:tcMar>
              <w:top w:w="50" w:type="dxa"/>
              <w:left w:w="80" w:type="dxa"/>
              <w:bottom w:w="50" w:type="dxa"/>
              <w:right w:w="80" w:type="dxa"/>
            </w:tcMar>
          </w:tcPr>
          <w:p w14:paraId="2F4E4033" w14:textId="77777777" w:rsidR="007B203C" w:rsidRDefault="00000000">
            <w:pPr>
              <w:spacing w:after="40"/>
            </w:pPr>
            <w:r>
              <w:rPr>
                <w:sz w:val="17"/>
                <w:szCs w:val="17"/>
              </w:rPr>
              <w:t>Global database; observational</w:t>
            </w:r>
          </w:p>
        </w:tc>
        <w:tc>
          <w:tcPr>
            <w:tcW w:w="1900" w:type="dxa"/>
            <w:tcMar>
              <w:top w:w="50" w:type="dxa"/>
              <w:left w:w="80" w:type="dxa"/>
              <w:bottom w:w="50" w:type="dxa"/>
              <w:right w:w="80" w:type="dxa"/>
            </w:tcMar>
          </w:tcPr>
          <w:p w14:paraId="6801B29A" w14:textId="77777777" w:rsidR="007B203C" w:rsidRDefault="00000000">
            <w:pPr>
              <w:spacing w:after="40"/>
            </w:pPr>
            <w:r>
              <w:rPr>
                <w:sz w:val="17"/>
                <w:szCs w:val="17"/>
              </w:rPr>
              <w:t>Diagnose local causes of failure before investing in habitat</w:t>
            </w:r>
          </w:p>
        </w:tc>
        <w:tc>
          <w:tcPr>
            <w:tcW w:w="1526" w:type="dxa"/>
            <w:tcMar>
              <w:top w:w="50" w:type="dxa"/>
              <w:left w:w="80" w:type="dxa"/>
              <w:bottom w:w="50" w:type="dxa"/>
              <w:right w:w="80" w:type="dxa"/>
            </w:tcMar>
          </w:tcPr>
          <w:p w14:paraId="242DA220" w14:textId="77777777" w:rsidR="007B203C" w:rsidRDefault="00000000">
            <w:pPr>
              <w:spacing w:after="40"/>
            </w:pPr>
            <w:r>
              <w:rPr>
                <w:sz w:val="17"/>
                <w:szCs w:val="17"/>
              </w:rPr>
              <w:t>Karp et al. (2018); Tscharntke et al. (2016)</w:t>
            </w:r>
          </w:p>
        </w:tc>
      </w:tr>
      <w:tr w:rsidR="007B203C" w14:paraId="5DBE492C" w14:textId="77777777">
        <w:tc>
          <w:tcPr>
            <w:tcW w:w="1600" w:type="dxa"/>
            <w:tcMar>
              <w:top w:w="50" w:type="dxa"/>
              <w:left w:w="80" w:type="dxa"/>
              <w:bottom w:w="50" w:type="dxa"/>
              <w:right w:w="80" w:type="dxa"/>
            </w:tcMar>
          </w:tcPr>
          <w:p w14:paraId="049C339B" w14:textId="77777777" w:rsidR="007B203C" w:rsidRDefault="00000000">
            <w:pPr>
              <w:spacing w:after="40"/>
            </w:pPr>
            <w:r>
              <w:rPr>
                <w:sz w:val="17"/>
                <w:szCs w:val="17"/>
              </w:rPr>
              <w:t>Multi-stressor interactions with agrochemicals</w:t>
            </w:r>
          </w:p>
        </w:tc>
        <w:tc>
          <w:tcPr>
            <w:tcW w:w="1800" w:type="dxa"/>
            <w:tcMar>
              <w:top w:w="50" w:type="dxa"/>
              <w:left w:w="80" w:type="dxa"/>
              <w:bottom w:w="50" w:type="dxa"/>
              <w:right w:w="80" w:type="dxa"/>
            </w:tcMar>
          </w:tcPr>
          <w:p w14:paraId="77747681" w14:textId="77777777" w:rsidR="007B203C" w:rsidRDefault="00000000">
            <w:pPr>
              <w:spacing w:after="40"/>
            </w:pPr>
            <w:r>
              <w:rPr>
                <w:sz w:val="17"/>
                <w:szCs w:val="17"/>
              </w:rPr>
              <w:t xml:space="preserve">Warming and copper affected </w:t>
            </w:r>
            <w:r>
              <w:rPr>
                <w:i/>
                <w:iCs/>
                <w:sz w:val="17"/>
                <w:szCs w:val="17"/>
              </w:rPr>
              <w:t>Lobesia botrana</w:t>
            </w:r>
            <w:r>
              <w:rPr>
                <w:sz w:val="17"/>
                <w:szCs w:val="17"/>
              </w:rPr>
              <w:t xml:space="preserve"> and </w:t>
            </w:r>
            <w:r>
              <w:rPr>
                <w:i/>
                <w:iCs/>
                <w:sz w:val="17"/>
                <w:szCs w:val="17"/>
              </w:rPr>
              <w:t>Trichogramma oleae</w:t>
            </w:r>
            <w:r>
              <w:rPr>
                <w:sz w:val="17"/>
                <w:szCs w:val="17"/>
              </w:rPr>
              <w:t xml:space="preserve"> differently</w:t>
            </w:r>
          </w:p>
        </w:tc>
        <w:tc>
          <w:tcPr>
            <w:tcW w:w="2200" w:type="dxa"/>
            <w:tcMar>
              <w:top w:w="50" w:type="dxa"/>
              <w:left w:w="80" w:type="dxa"/>
              <w:bottom w:w="50" w:type="dxa"/>
              <w:right w:w="80" w:type="dxa"/>
            </w:tcMar>
          </w:tcPr>
          <w:p w14:paraId="49F331B7" w14:textId="77777777" w:rsidR="007B203C" w:rsidRDefault="00000000">
            <w:pPr>
              <w:spacing w:after="40"/>
            </w:pPr>
            <w:r>
              <w:rPr>
                <w:sz w:val="17"/>
                <w:szCs w:val="17"/>
              </w:rPr>
              <w:t>Laboratory experiments</w:t>
            </w:r>
          </w:p>
        </w:tc>
        <w:tc>
          <w:tcPr>
            <w:tcW w:w="1900" w:type="dxa"/>
            <w:tcMar>
              <w:top w:w="50" w:type="dxa"/>
              <w:left w:w="80" w:type="dxa"/>
              <w:bottom w:w="50" w:type="dxa"/>
              <w:right w:w="80" w:type="dxa"/>
            </w:tcMar>
          </w:tcPr>
          <w:p w14:paraId="11C72741" w14:textId="77777777" w:rsidR="007B203C" w:rsidRDefault="00000000">
            <w:pPr>
              <w:spacing w:after="40"/>
            </w:pPr>
            <w:r>
              <w:rPr>
                <w:sz w:val="17"/>
                <w:szCs w:val="17"/>
              </w:rPr>
              <w:t>Reduce agrochemical stress on natural enemies in warm seasons</w:t>
            </w:r>
          </w:p>
        </w:tc>
        <w:tc>
          <w:tcPr>
            <w:tcW w:w="1526" w:type="dxa"/>
            <w:tcMar>
              <w:top w:w="50" w:type="dxa"/>
              <w:left w:w="80" w:type="dxa"/>
              <w:bottom w:w="50" w:type="dxa"/>
              <w:right w:w="80" w:type="dxa"/>
            </w:tcMar>
          </w:tcPr>
          <w:p w14:paraId="2039A010" w14:textId="77777777" w:rsidR="007B203C" w:rsidRDefault="00000000">
            <w:pPr>
              <w:spacing w:after="40"/>
            </w:pPr>
            <w:r>
              <w:rPr>
                <w:sz w:val="17"/>
                <w:szCs w:val="17"/>
              </w:rPr>
              <w:t>Nusillard et al. (2024); Iltis et al. (2022)</w:t>
            </w:r>
          </w:p>
        </w:tc>
      </w:tr>
      <w:tr w:rsidR="007B203C" w14:paraId="0A93E15F" w14:textId="77777777">
        <w:tc>
          <w:tcPr>
            <w:tcW w:w="1600" w:type="dxa"/>
            <w:tcMar>
              <w:top w:w="50" w:type="dxa"/>
              <w:left w:w="80" w:type="dxa"/>
              <w:bottom w:w="50" w:type="dxa"/>
              <w:right w:w="80" w:type="dxa"/>
            </w:tcMar>
          </w:tcPr>
          <w:p w14:paraId="680A0223" w14:textId="77777777" w:rsidR="007B203C" w:rsidRDefault="00000000">
            <w:pPr>
              <w:spacing w:after="40"/>
            </w:pPr>
            <w:r>
              <w:rPr>
                <w:sz w:val="17"/>
                <w:szCs w:val="17"/>
              </w:rPr>
              <w:t>Evolutionary improvement of agents</w:t>
            </w:r>
          </w:p>
        </w:tc>
        <w:tc>
          <w:tcPr>
            <w:tcW w:w="1800" w:type="dxa"/>
            <w:tcMar>
              <w:top w:w="50" w:type="dxa"/>
              <w:left w:w="80" w:type="dxa"/>
              <w:bottom w:w="50" w:type="dxa"/>
              <w:right w:w="80" w:type="dxa"/>
            </w:tcMar>
          </w:tcPr>
          <w:p w14:paraId="6300DACB" w14:textId="77777777" w:rsidR="007B203C" w:rsidRDefault="00000000">
            <w:pPr>
              <w:spacing w:after="40"/>
            </w:pPr>
            <w:r>
              <w:rPr>
                <w:sz w:val="17"/>
                <w:szCs w:val="17"/>
              </w:rPr>
              <w:t>Arguments for artificial selection and use of local adapted agents</w:t>
            </w:r>
          </w:p>
        </w:tc>
        <w:tc>
          <w:tcPr>
            <w:tcW w:w="2200" w:type="dxa"/>
            <w:tcMar>
              <w:top w:w="50" w:type="dxa"/>
              <w:left w:w="80" w:type="dxa"/>
              <w:bottom w:w="50" w:type="dxa"/>
              <w:right w:w="80" w:type="dxa"/>
            </w:tcMar>
          </w:tcPr>
          <w:p w14:paraId="32D69508" w14:textId="77777777" w:rsidR="007B203C" w:rsidRDefault="00000000">
            <w:pPr>
              <w:spacing w:after="40"/>
            </w:pPr>
            <w:r>
              <w:rPr>
                <w:sz w:val="17"/>
                <w:szCs w:val="17"/>
              </w:rPr>
              <w:t>Conceptual and review evidence</w:t>
            </w:r>
          </w:p>
        </w:tc>
        <w:tc>
          <w:tcPr>
            <w:tcW w:w="1900" w:type="dxa"/>
            <w:tcMar>
              <w:top w:w="50" w:type="dxa"/>
              <w:left w:w="80" w:type="dxa"/>
              <w:bottom w:w="50" w:type="dxa"/>
              <w:right w:w="80" w:type="dxa"/>
            </w:tcMar>
          </w:tcPr>
          <w:p w14:paraId="6D203456" w14:textId="77777777" w:rsidR="007B203C" w:rsidRDefault="00000000">
            <w:pPr>
              <w:spacing w:after="40"/>
            </w:pPr>
            <w:r>
              <w:rPr>
                <w:sz w:val="17"/>
                <w:szCs w:val="17"/>
              </w:rPr>
              <w:t>Selection programmes for thermal tolerance; conservation of genetic variation</w:t>
            </w:r>
          </w:p>
        </w:tc>
        <w:tc>
          <w:tcPr>
            <w:tcW w:w="1526" w:type="dxa"/>
            <w:tcMar>
              <w:top w:w="50" w:type="dxa"/>
              <w:left w:w="80" w:type="dxa"/>
              <w:bottom w:w="50" w:type="dxa"/>
              <w:right w:w="80" w:type="dxa"/>
            </w:tcMar>
          </w:tcPr>
          <w:p w14:paraId="0784BEAF" w14:textId="77777777" w:rsidR="007B203C" w:rsidRDefault="00000000">
            <w:pPr>
              <w:spacing w:after="40"/>
            </w:pPr>
            <w:r>
              <w:rPr>
                <w:sz w:val="17"/>
                <w:szCs w:val="17"/>
              </w:rPr>
              <w:t>Sentis et al. (2022); Perrin et al. (2025)</w:t>
            </w:r>
          </w:p>
        </w:tc>
      </w:tr>
    </w:tbl>
    <w:p w14:paraId="6639A9EA" w14:textId="77777777" w:rsidR="007B203C" w:rsidRDefault="00000000">
      <w:pPr>
        <w:spacing w:before="60" w:after="240" w:line="360" w:lineRule="auto"/>
      </w:pPr>
      <w:r>
        <w:rPr>
          <w:i/>
          <w:iCs/>
          <w:sz w:val="18"/>
          <w:szCs w:val="18"/>
        </w:rPr>
        <w:t xml:space="preserve">Note. </w:t>
      </w:r>
      <w:r>
        <w:rPr>
          <w:sz w:val="18"/>
          <w:szCs w:val="18"/>
        </w:rPr>
        <w:t>Genus names are abbreviated in the text after first mention but are given in full in this table for clarity. Evidence types refer to the principal designs of the cited studies and do not imply exhaustive coverage of each pathway.</w:t>
      </w:r>
    </w:p>
    <w:p w14:paraId="4D385CE2" w14:textId="77777777" w:rsidR="007B203C" w:rsidRDefault="00000000">
      <w:pPr>
        <w:pStyle w:val="Heading1"/>
        <w:keepNext/>
        <w:spacing w:before="240" w:after="120" w:line="360" w:lineRule="auto"/>
      </w:pPr>
      <w:r>
        <w:t>6. Chemical Control, Resistance and Interacting Stressors</w:t>
      </w:r>
    </w:p>
    <w:p w14:paraId="06503301" w14:textId="77777777" w:rsidR="007B203C" w:rsidRDefault="00000000">
      <w:pPr>
        <w:spacing w:after="160" w:line="360" w:lineRule="auto"/>
        <w:jc w:val="both"/>
      </w:pPr>
      <w:r>
        <w:t>Insecticides remain the dominant curative tactic in most cropping systems, and climate change is expected to increase their use because pest populations and the number of generations requiring control are likely to rise in many regions (Delcour et al., 2015; Perrin et al., 2025). This section examines whether insecticides will work as expected under warmer and more variable conditions and how climate interacts with resistance evolution.</w:t>
      </w:r>
    </w:p>
    <w:p w14:paraId="4DC16C3A" w14:textId="77777777" w:rsidR="007B203C" w:rsidRDefault="00000000">
      <w:pPr>
        <w:pStyle w:val="Heading2"/>
        <w:keepNext/>
        <w:spacing w:before="160" w:after="100" w:line="360" w:lineRule="auto"/>
      </w:pPr>
      <w:r>
        <w:lastRenderedPageBreak/>
        <w:t>6.1 Temperature-Dependent Efficacy</w:t>
      </w:r>
    </w:p>
    <w:p w14:paraId="1061D61F" w14:textId="77777777" w:rsidR="007B203C" w:rsidRDefault="00000000">
      <w:pPr>
        <w:spacing w:after="160" w:line="360" w:lineRule="auto"/>
        <w:jc w:val="both"/>
      </w:pPr>
      <w:r>
        <w:t>The toxicity of insecticides to target insects varies with temperature, but the direction of this relationship depends on the compound, the pest and the exposure regime (Perrin et al., 2025). Climate change can also alter the environmental fate of pesticides through changes in degradation, volatilisation and wash-off, with implications for dose and application frequency (Delcour et al., 2015). Matzrafi (2019) introduced the concept of conditional resistance to describe reduced pesticide sensitivity under changed environmental conditions such as elevated temperature and carbon dioxide, arguing that some reports of resistance by farmers may reflect applications followed by unfavourable conditions rather than genetic change, and that similar detoxification mechanisms may underlie both phenomena.</w:t>
      </w:r>
    </w:p>
    <w:p w14:paraId="14603011" w14:textId="77777777" w:rsidR="007B203C" w:rsidRDefault="00000000">
      <w:pPr>
        <w:spacing w:after="160" w:line="360" w:lineRule="auto"/>
        <w:jc w:val="both"/>
      </w:pPr>
      <w:r>
        <w:t xml:space="preserve">The role of thermal variability has recently received particular attention. A review concluded that daily temperature fluctuations frequently increase the negative effects of pesticides on insects, especially mortality, through mechanisms linked to Jensen's inequality and to increased energetic costs and metabolic activation at high temperatures (Verheyen et al., 2022). In larvae of the damselfly </w:t>
      </w:r>
      <w:r>
        <w:rPr>
          <w:i/>
          <w:iCs/>
        </w:rPr>
        <w:t>Ischnura elegans</w:t>
      </w:r>
      <w:r>
        <w:t xml:space="preserve"> (Vander Linden), chlorpyrifos caused no mortality at a constant temperature but increased mortality approximately sixfold when daily fluctuations were imposed around the same mean (Verheyen &amp; Stoks, 2019). In the pest moth </w:t>
      </w:r>
      <w:r>
        <w:rPr>
          <w:i/>
          <w:iCs/>
        </w:rPr>
        <w:t>Spodoptera littoralis</w:t>
      </w:r>
      <w:r>
        <w:t xml:space="preserve"> (Boisduval), daily fluctuation increased the larval mortality caused by chlorpyrifos and deltamethrin, but the response to the pyrethroid depended on the interaction between fluctuation amplitude and mean temperature (Bagni et al., 2024). Work on the springtail </w:t>
      </w:r>
      <w:r>
        <w:rPr>
          <w:i/>
          <w:iCs/>
        </w:rPr>
        <w:t>Hypogastrura viatica</w:t>
      </w:r>
      <w:r>
        <w:t xml:space="preserve"> (Tullberg) showed that sublethal imidacloprid concentrations became lethal as temperature increased and that thermal adaptation of populations modified this response (Kristiansen et al., 2024).</w:t>
      </w:r>
    </w:p>
    <w:p w14:paraId="4920B69F" w14:textId="77777777" w:rsidR="007B203C" w:rsidRDefault="00000000">
      <w:pPr>
        <w:spacing w:after="160" w:line="360" w:lineRule="auto"/>
        <w:jc w:val="both"/>
      </w:pPr>
      <w:r>
        <w:t>These studies agree that temperature regime modifies toxicity and that constant-temperature bioassays can mislead. They are, however, mostly conducted on non-target organisms or on a small number of pest species, under laboratory exposure. For pest management, increased toxicity under fluctuating temperatures could imply greater efficacy against pests, but the same mechanism would increase harm to natural enemies and pollinators, potentially offsetting any benefit through reduced biological control. Field studies relating spray timing, weather and control outcomes are rare. Consequently, confidence is high that labels and recommendations based on standard bioassays do not capture climate-dependent efficacy, but low regarding the net direction of change for any particular pest–insecticide combination in the field.</w:t>
      </w:r>
    </w:p>
    <w:p w14:paraId="070ABF51" w14:textId="77777777" w:rsidR="007B203C" w:rsidRDefault="00000000">
      <w:pPr>
        <w:pStyle w:val="Heading2"/>
        <w:keepNext/>
        <w:spacing w:before="160" w:after="100" w:line="360" w:lineRule="auto"/>
      </w:pPr>
      <w:r>
        <w:lastRenderedPageBreak/>
        <w:t>6.2 Climate and the Evolution of Resistance</w:t>
      </w:r>
    </w:p>
    <w:p w14:paraId="425A39D4" w14:textId="77777777" w:rsidR="007B203C" w:rsidRDefault="00000000">
      <w:pPr>
        <w:spacing w:after="160" w:line="360" w:lineRule="auto"/>
        <w:jc w:val="both"/>
      </w:pPr>
      <w:r>
        <w:t xml:space="preserve">Climate can influence resistance evolution through several routes. More generations per year increase the number of selection events, and increased pest pressure may lead to more frequent applications. Across Australian pest arthropods, climatic variables helped explain the incidence of pesticide resistance, consistent with climate influencing the rate at which resistance evolves (Maino et al., 2018). The global association between overwintering range and resistance levels in </w:t>
      </w:r>
      <w:r>
        <w:rPr>
          <w:i/>
          <w:iCs/>
        </w:rPr>
        <w:t>P. xylostella</w:t>
      </w:r>
      <w:r>
        <w:t xml:space="preserve"> suggests that year-round local persistence under warming may reinforce resistance by allowing continuous selection (C.-S. Ma, Zhang, et al., 2021). At the genetic level, some genes involved in thermotolerance and desiccation resistance have pleiotropic effects on insecticide resistance, so that adaptation to climate change may either facilitate or trade off against resistance (Pu et al., 2020). Cross-protection, in which exposure to one stressor increases tolerance of another, may link heat stress and insecticide tolerance through shared physiological and epigenetic responses (Bueno et al., 2023).</w:t>
      </w:r>
    </w:p>
    <w:p w14:paraId="1A6944B9" w14:textId="77777777" w:rsidR="007B203C" w:rsidRDefault="00000000">
      <w:pPr>
        <w:spacing w:after="160" w:line="360" w:lineRule="auto"/>
        <w:jc w:val="both"/>
      </w:pPr>
      <w:r>
        <w:t>A recent synthesis concluded that climate change can either facilitate or suppress resistance, depending on the thermal ecology and buffering capacity of the pest, the dominant resistance mechanism, the temperature–toxicity relationship of each mode of action, and the distinction between short-term phenotypic tolerance and multi-generational evolution (C.-S. Ma et al., 2026). This conclusion accurately reflects the state of evidence: the mechanisms are credible and the correlational patterns are suggestive, but experimental evolution studies under realistic thermal regimes and longitudinal field monitoring of resistance alongside climate data are scarce. For resistance management, the practical implication is that rotation schedules and refuge strategies calibrated on historical generation numbers may underestimate selection pressure where voltinism increases.</w:t>
      </w:r>
    </w:p>
    <w:p w14:paraId="537E245A" w14:textId="77777777" w:rsidR="007B203C" w:rsidRDefault="00000000">
      <w:pPr>
        <w:pStyle w:val="Heading2"/>
        <w:keepNext/>
        <w:spacing w:before="160" w:after="100" w:line="360" w:lineRule="auto"/>
      </w:pPr>
      <w:r>
        <w:t>6.3 Reactive Pesticide Use as an Amplifier of Climate Risk</w:t>
      </w:r>
    </w:p>
    <w:p w14:paraId="294584E9" w14:textId="77777777" w:rsidR="007B203C" w:rsidRDefault="00000000">
      <w:pPr>
        <w:spacing w:after="160" w:line="360" w:lineRule="auto"/>
        <w:jc w:val="both"/>
      </w:pPr>
      <w:r>
        <w:t xml:space="preserve">The history of IPM provides a cautionary lesson that is directly relevant to climate adaptation. Outbreaks of the brown planthopper in tropical Asian rice have repeatedly been linked to insecticide misuse that destroys natural enemies and induces resurgence, together with the widespread cultivation of susceptible high-yielding varieties (Bottrell &amp; Schoenly, 2012). If climate change increases the frequency of unexpected pest pressure, reactive and prophylactic spraying may become more common, as observed after the arrival of the fall armyworm in China (Yang et al., 2021). Such responses risk degrading the biological control that climate-smart approaches seek to preserve, accelerating resistance and increasing costs. The evidence </w:t>
      </w:r>
      <w:r>
        <w:lastRenderedPageBreak/>
        <w:t>reviewed here therefore supports a cautious conclusion: chemical control will remain necessary, but its role in climate-smart IPM should be defined by selectivity, temperature-informed timing and resistance management rather than by increased frequency.</w:t>
      </w:r>
    </w:p>
    <w:p w14:paraId="6B08ADEB" w14:textId="77777777" w:rsidR="007B203C" w:rsidRDefault="00000000">
      <w:pPr>
        <w:pStyle w:val="Heading1"/>
        <w:keepNext/>
        <w:spacing w:before="240" w:after="120" w:line="360" w:lineRule="auto"/>
      </w:pPr>
      <w:r>
        <w:t>7. Cultural, Agroecological and Host-Plant Resistance Tactics as Adaptation</w:t>
      </w:r>
    </w:p>
    <w:p w14:paraId="4704F0F4" w14:textId="77777777" w:rsidR="007B203C" w:rsidRDefault="00000000">
      <w:pPr>
        <w:spacing w:after="160" w:line="360" w:lineRule="auto"/>
        <w:jc w:val="both"/>
      </w:pPr>
      <w:r>
        <w:t>Preventive tactics that make crops and landscapes less favourable to pests have always been central to IPM, and several of them may also buffer crops against climatic stress. The question is whether they deliver pest suppression and resilience reliably enough under climate change to justify their prominence in climate-smart frameworks.</w:t>
      </w:r>
    </w:p>
    <w:p w14:paraId="239C9FBA" w14:textId="77777777" w:rsidR="007B203C" w:rsidRDefault="00000000">
      <w:pPr>
        <w:pStyle w:val="Heading2"/>
        <w:keepNext/>
        <w:spacing w:before="160" w:after="100" w:line="360" w:lineRule="auto"/>
      </w:pPr>
      <w:r>
        <w:t>7.1 Diversification of Crops and Landscapes</w:t>
      </w:r>
    </w:p>
    <w:p w14:paraId="4AA8694D" w14:textId="77777777" w:rsidR="007B203C" w:rsidRDefault="00000000">
      <w:pPr>
        <w:spacing w:after="160" w:line="360" w:lineRule="auto"/>
        <w:jc w:val="both"/>
      </w:pPr>
      <w:r>
        <w:t>Meta-analytical evidence indicates that plant diversification within fields generally increases natural-enemy abundance and reduces herbivore abundance and crop damage, although yield outcomes are less consistent because diversified crops may compete with the main crop (Letourneau et al., 2011). A broader synthesis of agricultural diversification practices found that diversification enhanced multiple ecosystem services, including pest regulation, without compromising yield in most cases (Tamburini et al., 2020). These syntheses were not designed to test climate adaptation, and their constituent studies were mostly conducted under historical conditions. The link to climate resilience is therefore inferential: diversification strengthens processes, such as natural-enemy support, that are expected to buffer pest outbreaks, and it may also moderate microclimate and soil moisture.</w:t>
      </w:r>
    </w:p>
    <w:p w14:paraId="39DC9ACC" w14:textId="77777777" w:rsidR="007B203C" w:rsidRDefault="00000000">
      <w:pPr>
        <w:spacing w:after="160" w:line="360" w:lineRule="auto"/>
        <w:jc w:val="both"/>
      </w:pPr>
      <w:r>
        <w:t>Shade and tree cover illustrate this dual role. In Kenyan kale fields, shade trees reduced the abundance of aphids and caterpillars and increased the abundance of spiders and predatory beetles, but did not change predation or parasitism rates; the authors attributed part of the pest reduction to microclimatic effects on pest performance and to changes in plant quality and soil conditions (Guenat et al., 2019). This finding is instructive because it shows that agroforestry can suppress pests through pathways other than biological control, but it is based on a single region and crop, and the potential costs of shade to crop yield were not the focus of the study.</w:t>
      </w:r>
    </w:p>
    <w:p w14:paraId="5F2B4632" w14:textId="77777777" w:rsidR="007B203C" w:rsidRDefault="00000000">
      <w:pPr>
        <w:pStyle w:val="Heading2"/>
        <w:keepNext/>
        <w:spacing w:before="160" w:after="100" w:line="360" w:lineRule="auto"/>
      </w:pPr>
      <w:r>
        <w:t>7.2 Push–Pull and Habitat Manipulation in Smallholder Systems</w:t>
      </w:r>
    </w:p>
    <w:p w14:paraId="1A30CDF3" w14:textId="77777777" w:rsidR="007B203C" w:rsidRDefault="00000000">
      <w:pPr>
        <w:spacing w:after="160" w:line="360" w:lineRule="auto"/>
        <w:jc w:val="both"/>
      </w:pPr>
      <w:r>
        <w:t xml:space="preserve">The push–pull system developed in East Africa, in which an intercrop repels stemborers and a border crop attracts them, is among the best-documented habitat-manipulation technologies for smallholders, and its scaling has been pursued with the explicit goal of improving food security </w:t>
      </w:r>
      <w:r>
        <w:lastRenderedPageBreak/>
        <w:t xml:space="preserve">for large numbers of farmers (Khan et al., 2014). A climate-adapted version using drought-tolerant </w:t>
      </w:r>
      <w:r>
        <w:rPr>
          <w:i/>
          <w:iCs/>
        </w:rPr>
        <w:t>Desmodium</w:t>
      </w:r>
      <w:r>
        <w:t xml:space="preserve"> and </w:t>
      </w:r>
      <w:r>
        <w:rPr>
          <w:i/>
          <w:iCs/>
        </w:rPr>
        <w:t>Brachiaria</w:t>
      </w:r>
      <w:r>
        <w:t xml:space="preserve"> companion plants was evaluated against the fall armyworm on farms in East Africa and was associated with substantially lower larval densities and plant damage and higher maize yields than maize monoculture (Midega et al., 2018). In southern Ethiopia, push–pull farms scored higher than comparable non-push–pull farms on eight of 13 agroecosystem indicators of climate resilience assessed with a standardised self-evaluation tool of the Food and Agriculture Organization of the United Nations (Gugissa et al., 2022).</w:t>
      </w:r>
    </w:p>
    <w:p w14:paraId="5D599853" w14:textId="77777777" w:rsidR="007B203C" w:rsidRDefault="00000000">
      <w:pPr>
        <w:spacing w:after="160" w:line="360" w:lineRule="auto"/>
        <w:jc w:val="both"/>
      </w:pPr>
      <w:r>
        <w:t xml:space="preserve">Although these results are encouraging, their design limits causal inference. The fall armyworm evaluation compared push–pull and maize monoculture plots on the farms of existing adopters over a limited number of seasons, and adopters may differ systematically from non-adopters in skills, resources and land quality. The Ethiopian resilience assessment was cross-sectional and relied on indicator scores rather than measured pest or yield outcomes under climatic shocks. Push–pull is also knowledge- and labour-intensive and depends on seed supply for companion plants. For the fall armyworm more generally, reviews of management in a changing climate emphasise intercropping, agronomic practices, parasitoids and viruses as promising components (Zanzana et al., 2024), and similar integrated prospects have been outlined for </w:t>
      </w:r>
      <w:r>
        <w:rPr>
          <w:i/>
          <w:iCs/>
        </w:rPr>
        <w:t>T. absoluta</w:t>
      </w:r>
      <w:r>
        <w:t xml:space="preserve"> in Africa (Tarusikirwa et al., 2020). These reviews synthesise promising options, but the number of multi-season, randomised or quasi-experimental field evaluations remains small.</w:t>
      </w:r>
    </w:p>
    <w:p w14:paraId="51359912" w14:textId="77777777" w:rsidR="007B203C" w:rsidRDefault="00000000">
      <w:pPr>
        <w:pStyle w:val="Heading2"/>
        <w:keepNext/>
        <w:spacing w:before="160" w:after="100" w:line="360" w:lineRule="auto"/>
      </w:pPr>
      <w:r>
        <w:t>7.3 Host-Plant Resistance under Changing Conditions</w:t>
      </w:r>
    </w:p>
    <w:p w14:paraId="103E171E" w14:textId="77777777" w:rsidR="007B203C" w:rsidRDefault="00000000">
      <w:pPr>
        <w:spacing w:after="160" w:line="360" w:lineRule="auto"/>
        <w:jc w:val="both"/>
      </w:pPr>
      <w:r>
        <w:t>Resistant cultivars are attractive in climate-smart IPM because they require little additional knowledge from farmers and are compatible with biological control. Climate change may nonetheless alter their performance. The rice near-isogenic line study described earlier showed that some brown planthopper resistance genes lost effectiveness under simulated future conditions whereas pyramided genes were more stable (Kuang et al., 2021). Changes in plant chemistry under elevated carbon dioxide (Zavala et al., 2008) and under drought (Huberty &amp; Denno, 2004) provide mechanistic reasons to expect that both native and introduced resistance traits may vary with environmental conditions. It has been argued that climate change may affect the expression of resistance and the efficacy of transgenic crops as well as the status of pests more broadly (Sharma, 2014). Evidence that resistance traits fail under field-level climate variation is still limited, but the precautionary implications for breeding programmes are clear: screening under projected thermal and carbon dioxide conditions and a preference for multiple resistance mechanisms.</w:t>
      </w:r>
    </w:p>
    <w:p w14:paraId="390989A1" w14:textId="77777777" w:rsidR="007B203C" w:rsidRDefault="00000000">
      <w:pPr>
        <w:pStyle w:val="Heading2"/>
        <w:keepNext/>
        <w:spacing w:before="160" w:after="100" w:line="360" w:lineRule="auto"/>
      </w:pPr>
      <w:r>
        <w:lastRenderedPageBreak/>
        <w:t>7.4 Combining Tactics as a Portfolio under Uncertainty</w:t>
      </w:r>
    </w:p>
    <w:p w14:paraId="3DF1B403" w14:textId="77777777" w:rsidR="007B203C" w:rsidRDefault="00000000">
      <w:pPr>
        <w:spacing w:after="160" w:line="360" w:lineRule="auto"/>
        <w:jc w:val="both"/>
      </w:pPr>
      <w:r>
        <w:t>Because the direction and magnitude of climate effects vary among pests, regions and seasons, the case for relying on any single tactic is weak. The principles of IPM already favour combining preventive and curative measures and evaluating their joint performance (Barzman et al., 2015), and climate change strengthens the argument for treating the set of tactics as a portfolio. Tactics that respond differently to heat, drought or variability can offset each other's weaknesses; for example, combining biological control agents with different thermal preferences has been proposed to maintain suppression across a wider range of conditions (Perrin et al., 2025), and diverse predator communities have been shown to deliver more stable control under fluctuating temperatures (Feit et al., 2021). Diversified cropping and habitat management may provide background suppression, host-plant resistance can reduce the pest growth rate on which other tactics act, and selective insecticides can be retained as a contingency when forecasts or monitoring indicate that thresholds are likely to be exceeded.</w:t>
      </w:r>
    </w:p>
    <w:p w14:paraId="7C93BEB6" w14:textId="77777777" w:rsidR="007B203C" w:rsidRDefault="00000000">
      <w:pPr>
        <w:spacing w:after="160" w:line="360" w:lineRule="auto"/>
        <w:jc w:val="both"/>
      </w:pPr>
      <w:r>
        <w:t>The portfolio logic is conceptually appealing but empirically underdeveloped. Few studies have evaluated how combinations of tactics perform across contrasting climatic years, and interactions among tactics can be negative as well as positive, as when insecticides or fungicides used under warm conditions impair natural enemies (Nusillard et al., 2024). Adaptation planning for pest risks has long emphasised the need to combine monitoring, modelling and flexible management (Sutherst et al., 2011), and critics of IPM practice have argued that meaningful integration requires redesign of cropping systems rather than incremental substitution of inputs (Deguine et al., 2021). The implication for climate-smart IPM is that tactics should be selected and evaluated as combinations, with explicit attention to how each component responds to climatic stress and how components interact.</w:t>
      </w:r>
    </w:p>
    <w:p w14:paraId="4B085456" w14:textId="77777777" w:rsidR="007B203C" w:rsidRDefault="00000000">
      <w:pPr>
        <w:spacing w:after="160" w:line="360" w:lineRule="auto"/>
        <w:jc w:val="both"/>
      </w:pPr>
      <w:r>
        <w:t>Table 4 compares the principal IPM tactics with respect to their climate sensitivity, the strength of evidence for their effectiveness under climate change and the trade-offs that may constrain their use. The comparison shows that tactics with the strongest mechanistic rationale for resilience are not necessarily those with the strongest field evidence.</w:t>
      </w:r>
    </w:p>
    <w:p w14:paraId="199849C7" w14:textId="77777777" w:rsidR="007B203C" w:rsidRDefault="00000000">
      <w:pPr>
        <w:keepNext/>
        <w:spacing w:before="120" w:after="80" w:line="360" w:lineRule="auto"/>
      </w:pPr>
      <w:r>
        <w:rPr>
          <w:b/>
          <w:bCs/>
          <w:sz w:val="22"/>
          <w:szCs w:val="22"/>
        </w:rPr>
        <w:t xml:space="preserve">Table 4. </w:t>
      </w:r>
      <w:r>
        <w:rPr>
          <w:sz w:val="22"/>
          <w:szCs w:val="22"/>
        </w:rPr>
        <w:t>Comparison of integrated pest management tactics with respect to climate sensitivity, evidence under climate change and principal trade-offs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705381B8" w14:textId="77777777">
        <w:trPr>
          <w:tblHeader/>
        </w:trPr>
        <w:tc>
          <w:tcPr>
            <w:tcW w:w="1600" w:type="dxa"/>
            <w:shd w:val="clear" w:color="auto" w:fill="E7E6E6"/>
            <w:tcMar>
              <w:top w:w="50" w:type="dxa"/>
              <w:left w:w="80" w:type="dxa"/>
              <w:bottom w:w="50" w:type="dxa"/>
              <w:right w:w="80" w:type="dxa"/>
            </w:tcMar>
          </w:tcPr>
          <w:p w14:paraId="0253054E" w14:textId="77777777" w:rsidR="007B203C" w:rsidRDefault="00000000">
            <w:pPr>
              <w:spacing w:after="40"/>
            </w:pPr>
            <w:r>
              <w:rPr>
                <w:b/>
                <w:bCs/>
                <w:sz w:val="17"/>
                <w:szCs w:val="17"/>
              </w:rPr>
              <w:t>Tactic</w:t>
            </w:r>
          </w:p>
        </w:tc>
        <w:tc>
          <w:tcPr>
            <w:tcW w:w="1800" w:type="dxa"/>
            <w:shd w:val="clear" w:color="auto" w:fill="E7E6E6"/>
            <w:tcMar>
              <w:top w:w="50" w:type="dxa"/>
              <w:left w:w="80" w:type="dxa"/>
              <w:bottom w:w="50" w:type="dxa"/>
              <w:right w:w="80" w:type="dxa"/>
            </w:tcMar>
          </w:tcPr>
          <w:p w14:paraId="45FF22AE" w14:textId="77777777" w:rsidR="007B203C" w:rsidRDefault="00000000">
            <w:pPr>
              <w:spacing w:after="40"/>
            </w:pPr>
            <w:r>
              <w:rPr>
                <w:b/>
                <w:bCs/>
                <w:sz w:val="17"/>
                <w:szCs w:val="17"/>
              </w:rPr>
              <w:t>Main climate sensitivities</w:t>
            </w:r>
          </w:p>
        </w:tc>
        <w:tc>
          <w:tcPr>
            <w:tcW w:w="2200" w:type="dxa"/>
            <w:shd w:val="clear" w:color="auto" w:fill="E7E6E6"/>
            <w:tcMar>
              <w:top w:w="50" w:type="dxa"/>
              <w:left w:w="80" w:type="dxa"/>
              <w:bottom w:w="50" w:type="dxa"/>
              <w:right w:w="80" w:type="dxa"/>
            </w:tcMar>
          </w:tcPr>
          <w:p w14:paraId="67E24088" w14:textId="77777777" w:rsidR="007B203C" w:rsidRDefault="00000000">
            <w:pPr>
              <w:spacing w:after="40"/>
            </w:pPr>
            <w:r>
              <w:rPr>
                <w:b/>
                <w:bCs/>
                <w:sz w:val="17"/>
                <w:szCs w:val="17"/>
              </w:rPr>
              <w:t>Evidence for effectiveness under climate change</w:t>
            </w:r>
          </w:p>
        </w:tc>
        <w:tc>
          <w:tcPr>
            <w:tcW w:w="1900" w:type="dxa"/>
            <w:shd w:val="clear" w:color="auto" w:fill="E7E6E6"/>
            <w:tcMar>
              <w:top w:w="50" w:type="dxa"/>
              <w:left w:w="80" w:type="dxa"/>
              <w:bottom w:w="50" w:type="dxa"/>
              <w:right w:w="80" w:type="dxa"/>
            </w:tcMar>
          </w:tcPr>
          <w:p w14:paraId="6DD291A5" w14:textId="77777777" w:rsidR="007B203C" w:rsidRDefault="00000000">
            <w:pPr>
              <w:spacing w:after="40"/>
            </w:pPr>
            <w:r>
              <w:rPr>
                <w:b/>
                <w:bCs/>
                <w:sz w:val="17"/>
                <w:szCs w:val="17"/>
              </w:rPr>
              <w:t>Principal trade-offs and constraints</w:t>
            </w:r>
          </w:p>
        </w:tc>
        <w:tc>
          <w:tcPr>
            <w:tcW w:w="1526" w:type="dxa"/>
            <w:shd w:val="clear" w:color="auto" w:fill="E7E6E6"/>
            <w:tcMar>
              <w:top w:w="50" w:type="dxa"/>
              <w:left w:w="80" w:type="dxa"/>
              <w:bottom w:w="50" w:type="dxa"/>
              <w:right w:w="80" w:type="dxa"/>
            </w:tcMar>
          </w:tcPr>
          <w:p w14:paraId="422A6AE4" w14:textId="77777777" w:rsidR="007B203C" w:rsidRDefault="00000000">
            <w:pPr>
              <w:spacing w:after="40"/>
            </w:pPr>
            <w:r>
              <w:rPr>
                <w:b/>
                <w:bCs/>
                <w:sz w:val="17"/>
                <w:szCs w:val="17"/>
              </w:rPr>
              <w:t>Supporting references</w:t>
            </w:r>
          </w:p>
        </w:tc>
      </w:tr>
      <w:tr w:rsidR="007B203C" w14:paraId="00E674B3" w14:textId="77777777">
        <w:tc>
          <w:tcPr>
            <w:tcW w:w="1600" w:type="dxa"/>
            <w:tcMar>
              <w:top w:w="50" w:type="dxa"/>
              <w:left w:w="80" w:type="dxa"/>
              <w:bottom w:w="50" w:type="dxa"/>
              <w:right w:w="80" w:type="dxa"/>
            </w:tcMar>
          </w:tcPr>
          <w:p w14:paraId="4EA46854" w14:textId="77777777" w:rsidR="007B203C" w:rsidRDefault="00000000">
            <w:pPr>
              <w:spacing w:after="40"/>
            </w:pPr>
            <w:r>
              <w:rPr>
                <w:sz w:val="17"/>
                <w:szCs w:val="17"/>
              </w:rPr>
              <w:t>Synthetic insecticides</w:t>
            </w:r>
          </w:p>
        </w:tc>
        <w:tc>
          <w:tcPr>
            <w:tcW w:w="1800" w:type="dxa"/>
            <w:tcMar>
              <w:top w:w="50" w:type="dxa"/>
              <w:left w:w="80" w:type="dxa"/>
              <w:bottom w:w="50" w:type="dxa"/>
              <w:right w:w="80" w:type="dxa"/>
            </w:tcMar>
          </w:tcPr>
          <w:p w14:paraId="14433B5B" w14:textId="77777777" w:rsidR="007B203C" w:rsidRDefault="00000000">
            <w:pPr>
              <w:spacing w:after="40"/>
            </w:pPr>
            <w:r>
              <w:rPr>
                <w:sz w:val="17"/>
                <w:szCs w:val="17"/>
              </w:rPr>
              <w:t xml:space="preserve">Temperature-dependent toxicity; altered degradation and fate; </w:t>
            </w:r>
            <w:r>
              <w:rPr>
                <w:sz w:val="17"/>
                <w:szCs w:val="17"/>
              </w:rPr>
              <w:lastRenderedPageBreak/>
              <w:t>increased application frequency</w:t>
            </w:r>
          </w:p>
        </w:tc>
        <w:tc>
          <w:tcPr>
            <w:tcW w:w="2200" w:type="dxa"/>
            <w:tcMar>
              <w:top w:w="50" w:type="dxa"/>
              <w:left w:w="80" w:type="dxa"/>
              <w:bottom w:w="50" w:type="dxa"/>
              <w:right w:w="80" w:type="dxa"/>
            </w:tcMar>
          </w:tcPr>
          <w:p w14:paraId="7248C78E" w14:textId="77777777" w:rsidR="007B203C" w:rsidRDefault="00000000">
            <w:pPr>
              <w:spacing w:after="40"/>
            </w:pPr>
            <w:r>
              <w:rPr>
                <w:sz w:val="17"/>
                <w:szCs w:val="17"/>
              </w:rPr>
              <w:lastRenderedPageBreak/>
              <w:t xml:space="preserve">Laboratory evidence strong for temperature effects; field </w:t>
            </w:r>
            <w:r>
              <w:rPr>
                <w:sz w:val="17"/>
                <w:szCs w:val="17"/>
              </w:rPr>
              <w:lastRenderedPageBreak/>
              <w:t>evidence on efficacy under variability scarce</w:t>
            </w:r>
          </w:p>
        </w:tc>
        <w:tc>
          <w:tcPr>
            <w:tcW w:w="1900" w:type="dxa"/>
            <w:tcMar>
              <w:top w:w="50" w:type="dxa"/>
              <w:left w:w="80" w:type="dxa"/>
              <w:bottom w:w="50" w:type="dxa"/>
              <w:right w:w="80" w:type="dxa"/>
            </w:tcMar>
          </w:tcPr>
          <w:p w14:paraId="6D1C86F2" w14:textId="77777777" w:rsidR="007B203C" w:rsidRDefault="00000000">
            <w:pPr>
              <w:spacing w:after="40"/>
            </w:pPr>
            <w:r>
              <w:rPr>
                <w:sz w:val="17"/>
                <w:szCs w:val="17"/>
              </w:rPr>
              <w:lastRenderedPageBreak/>
              <w:t>Resistance evolution; harm to natural enemies and pollinators; cost</w:t>
            </w:r>
          </w:p>
        </w:tc>
        <w:tc>
          <w:tcPr>
            <w:tcW w:w="1526" w:type="dxa"/>
            <w:tcMar>
              <w:top w:w="50" w:type="dxa"/>
              <w:left w:w="80" w:type="dxa"/>
              <w:bottom w:w="50" w:type="dxa"/>
              <w:right w:w="80" w:type="dxa"/>
            </w:tcMar>
          </w:tcPr>
          <w:p w14:paraId="7A71F58F" w14:textId="77777777" w:rsidR="007B203C" w:rsidRDefault="00000000">
            <w:pPr>
              <w:spacing w:after="40"/>
            </w:pPr>
            <w:r>
              <w:rPr>
                <w:sz w:val="17"/>
                <w:szCs w:val="17"/>
              </w:rPr>
              <w:t xml:space="preserve">Delcour et al. (2015); Matzrafi </w:t>
            </w:r>
            <w:r>
              <w:rPr>
                <w:sz w:val="17"/>
                <w:szCs w:val="17"/>
              </w:rPr>
              <w:lastRenderedPageBreak/>
              <w:t>(2019); Verheyen et al. (2022)</w:t>
            </w:r>
          </w:p>
        </w:tc>
      </w:tr>
      <w:tr w:rsidR="007B203C" w14:paraId="1DB1AD76" w14:textId="77777777">
        <w:tc>
          <w:tcPr>
            <w:tcW w:w="1600" w:type="dxa"/>
            <w:tcMar>
              <w:top w:w="50" w:type="dxa"/>
              <w:left w:w="80" w:type="dxa"/>
              <w:bottom w:w="50" w:type="dxa"/>
              <w:right w:w="80" w:type="dxa"/>
            </w:tcMar>
          </w:tcPr>
          <w:p w14:paraId="2417B359" w14:textId="77777777" w:rsidR="007B203C" w:rsidRDefault="00000000">
            <w:pPr>
              <w:spacing w:after="40"/>
            </w:pPr>
            <w:r>
              <w:rPr>
                <w:sz w:val="17"/>
                <w:szCs w:val="17"/>
              </w:rPr>
              <w:lastRenderedPageBreak/>
              <w:t>Conservation biological control</w:t>
            </w:r>
          </w:p>
        </w:tc>
        <w:tc>
          <w:tcPr>
            <w:tcW w:w="1800" w:type="dxa"/>
            <w:tcMar>
              <w:top w:w="50" w:type="dxa"/>
              <w:left w:w="80" w:type="dxa"/>
              <w:bottom w:w="50" w:type="dxa"/>
              <w:right w:w="80" w:type="dxa"/>
            </w:tcMar>
          </w:tcPr>
          <w:p w14:paraId="3C481947" w14:textId="77777777" w:rsidR="007B203C" w:rsidRDefault="00000000">
            <w:pPr>
              <w:spacing w:after="40"/>
            </w:pPr>
            <w:r>
              <w:rPr>
                <w:sz w:val="17"/>
                <w:szCs w:val="17"/>
              </w:rPr>
              <w:t>Thermal asymmetry; phenological mismatch; habitat quality</w:t>
            </w:r>
          </w:p>
        </w:tc>
        <w:tc>
          <w:tcPr>
            <w:tcW w:w="2200" w:type="dxa"/>
            <w:tcMar>
              <w:top w:w="50" w:type="dxa"/>
              <w:left w:w="80" w:type="dxa"/>
              <w:bottom w:w="50" w:type="dxa"/>
              <w:right w:w="80" w:type="dxa"/>
            </w:tcMar>
          </w:tcPr>
          <w:p w14:paraId="34FE83C2" w14:textId="77777777" w:rsidR="007B203C" w:rsidRDefault="00000000">
            <w:pPr>
              <w:spacing w:after="40"/>
            </w:pPr>
            <w:r>
              <w:rPr>
                <w:sz w:val="17"/>
                <w:szCs w:val="17"/>
              </w:rPr>
              <w:t>Mechanisms well supported; field outcomes variable</w:t>
            </w:r>
          </w:p>
        </w:tc>
        <w:tc>
          <w:tcPr>
            <w:tcW w:w="1900" w:type="dxa"/>
            <w:tcMar>
              <w:top w:w="50" w:type="dxa"/>
              <w:left w:w="80" w:type="dxa"/>
              <w:bottom w:w="50" w:type="dxa"/>
              <w:right w:w="80" w:type="dxa"/>
            </w:tcMar>
          </w:tcPr>
          <w:p w14:paraId="23118C3C" w14:textId="77777777" w:rsidR="007B203C" w:rsidRDefault="00000000">
            <w:pPr>
              <w:spacing w:after="40"/>
            </w:pPr>
            <w:r>
              <w:rPr>
                <w:sz w:val="17"/>
                <w:szCs w:val="17"/>
              </w:rPr>
              <w:t>Requires landscape coordination; benefits context-dependent</w:t>
            </w:r>
          </w:p>
        </w:tc>
        <w:tc>
          <w:tcPr>
            <w:tcW w:w="1526" w:type="dxa"/>
            <w:tcMar>
              <w:top w:w="50" w:type="dxa"/>
              <w:left w:w="80" w:type="dxa"/>
              <w:bottom w:w="50" w:type="dxa"/>
              <w:right w:w="80" w:type="dxa"/>
            </w:tcMar>
          </w:tcPr>
          <w:p w14:paraId="733D9CB4" w14:textId="77777777" w:rsidR="007B203C" w:rsidRDefault="00000000">
            <w:pPr>
              <w:spacing w:after="40"/>
            </w:pPr>
            <w:r>
              <w:rPr>
                <w:sz w:val="17"/>
                <w:szCs w:val="17"/>
              </w:rPr>
              <w:t>Feit et al. (2021); Karp et al. (2018); Evans et al. (2013)</w:t>
            </w:r>
          </w:p>
        </w:tc>
      </w:tr>
      <w:tr w:rsidR="007B203C" w14:paraId="0C328450" w14:textId="77777777">
        <w:tc>
          <w:tcPr>
            <w:tcW w:w="1600" w:type="dxa"/>
            <w:tcMar>
              <w:top w:w="50" w:type="dxa"/>
              <w:left w:w="80" w:type="dxa"/>
              <w:bottom w:w="50" w:type="dxa"/>
              <w:right w:w="80" w:type="dxa"/>
            </w:tcMar>
          </w:tcPr>
          <w:p w14:paraId="44585C50" w14:textId="77777777" w:rsidR="007B203C" w:rsidRDefault="00000000">
            <w:pPr>
              <w:spacing w:after="40"/>
            </w:pPr>
            <w:r>
              <w:rPr>
                <w:sz w:val="17"/>
                <w:szCs w:val="17"/>
              </w:rPr>
              <w:t>Augmentative and classical biological control</w:t>
            </w:r>
          </w:p>
        </w:tc>
        <w:tc>
          <w:tcPr>
            <w:tcW w:w="1800" w:type="dxa"/>
            <w:tcMar>
              <w:top w:w="50" w:type="dxa"/>
              <w:left w:w="80" w:type="dxa"/>
              <w:bottom w:w="50" w:type="dxa"/>
              <w:right w:w="80" w:type="dxa"/>
            </w:tcMar>
          </w:tcPr>
          <w:p w14:paraId="0CDA37BE" w14:textId="77777777" w:rsidR="007B203C" w:rsidRDefault="00000000">
            <w:pPr>
              <w:spacing w:after="40"/>
            </w:pPr>
            <w:r>
              <w:rPr>
                <w:sz w:val="17"/>
                <w:szCs w:val="17"/>
              </w:rPr>
              <w:t>Agent thermal range; release timing</w:t>
            </w:r>
          </w:p>
        </w:tc>
        <w:tc>
          <w:tcPr>
            <w:tcW w:w="2200" w:type="dxa"/>
            <w:tcMar>
              <w:top w:w="50" w:type="dxa"/>
              <w:left w:w="80" w:type="dxa"/>
              <w:bottom w:w="50" w:type="dxa"/>
              <w:right w:w="80" w:type="dxa"/>
            </w:tcMar>
          </w:tcPr>
          <w:p w14:paraId="2A991CDC" w14:textId="77777777" w:rsidR="007B203C" w:rsidRDefault="00000000">
            <w:pPr>
              <w:spacing w:after="40"/>
            </w:pPr>
            <w:r>
              <w:rPr>
                <w:sz w:val="17"/>
                <w:szCs w:val="17"/>
              </w:rPr>
              <w:t>Mostly laboratory and modelling</w:t>
            </w:r>
          </w:p>
        </w:tc>
        <w:tc>
          <w:tcPr>
            <w:tcW w:w="1900" w:type="dxa"/>
            <w:tcMar>
              <w:top w:w="50" w:type="dxa"/>
              <w:left w:w="80" w:type="dxa"/>
              <w:bottom w:w="50" w:type="dxa"/>
              <w:right w:w="80" w:type="dxa"/>
            </w:tcMar>
          </w:tcPr>
          <w:p w14:paraId="4EF4FD89" w14:textId="77777777" w:rsidR="007B203C" w:rsidRDefault="00000000">
            <w:pPr>
              <w:spacing w:after="40"/>
            </w:pPr>
            <w:r>
              <w:rPr>
                <w:sz w:val="17"/>
                <w:szCs w:val="17"/>
              </w:rPr>
              <w:t>Production costs; need for thermal screening</w:t>
            </w:r>
          </w:p>
        </w:tc>
        <w:tc>
          <w:tcPr>
            <w:tcW w:w="1526" w:type="dxa"/>
            <w:tcMar>
              <w:top w:w="50" w:type="dxa"/>
              <w:left w:w="80" w:type="dxa"/>
              <w:bottom w:w="50" w:type="dxa"/>
              <w:right w:w="80" w:type="dxa"/>
            </w:tcMar>
          </w:tcPr>
          <w:p w14:paraId="27AF53E7" w14:textId="77777777" w:rsidR="007B203C" w:rsidRDefault="00000000">
            <w:pPr>
              <w:spacing w:after="40"/>
            </w:pPr>
            <w:r>
              <w:rPr>
                <w:sz w:val="17"/>
                <w:szCs w:val="17"/>
              </w:rPr>
              <w:t>Perrin et al. (2025); Sentis et al. (2022)</w:t>
            </w:r>
          </w:p>
        </w:tc>
      </w:tr>
      <w:tr w:rsidR="007B203C" w14:paraId="47359C8F" w14:textId="77777777">
        <w:tc>
          <w:tcPr>
            <w:tcW w:w="1600" w:type="dxa"/>
            <w:tcMar>
              <w:top w:w="50" w:type="dxa"/>
              <w:left w:w="80" w:type="dxa"/>
              <w:bottom w:w="50" w:type="dxa"/>
              <w:right w:w="80" w:type="dxa"/>
            </w:tcMar>
          </w:tcPr>
          <w:p w14:paraId="090A97CE" w14:textId="77777777" w:rsidR="007B203C" w:rsidRDefault="00000000">
            <w:pPr>
              <w:spacing w:after="40"/>
            </w:pPr>
            <w:r>
              <w:rPr>
                <w:sz w:val="17"/>
                <w:szCs w:val="17"/>
              </w:rPr>
              <w:t>Entomopathogens and microbial products</w:t>
            </w:r>
          </w:p>
        </w:tc>
        <w:tc>
          <w:tcPr>
            <w:tcW w:w="1800" w:type="dxa"/>
            <w:tcMar>
              <w:top w:w="50" w:type="dxa"/>
              <w:left w:w="80" w:type="dxa"/>
              <w:bottom w:w="50" w:type="dxa"/>
              <w:right w:w="80" w:type="dxa"/>
            </w:tcMar>
          </w:tcPr>
          <w:p w14:paraId="766E69C9" w14:textId="77777777" w:rsidR="007B203C" w:rsidRDefault="00000000">
            <w:pPr>
              <w:spacing w:after="40"/>
            </w:pPr>
            <w:r>
              <w:rPr>
                <w:sz w:val="17"/>
                <w:szCs w:val="17"/>
              </w:rPr>
              <w:t>Temperature-dependent infectivity; persistence under heat and ultraviolet exposure</w:t>
            </w:r>
          </w:p>
        </w:tc>
        <w:tc>
          <w:tcPr>
            <w:tcW w:w="2200" w:type="dxa"/>
            <w:tcMar>
              <w:top w:w="50" w:type="dxa"/>
              <w:left w:w="80" w:type="dxa"/>
              <w:bottom w:w="50" w:type="dxa"/>
              <w:right w:w="80" w:type="dxa"/>
            </w:tcMar>
          </w:tcPr>
          <w:p w14:paraId="04DD4DD1" w14:textId="77777777" w:rsidR="007B203C" w:rsidRDefault="00000000">
            <w:pPr>
              <w:spacing w:after="40"/>
            </w:pPr>
            <w:r>
              <w:rPr>
                <w:sz w:val="17"/>
                <w:szCs w:val="17"/>
              </w:rPr>
              <w:t>Mixed; possible gains in infectivity at higher temperatures</w:t>
            </w:r>
          </w:p>
        </w:tc>
        <w:tc>
          <w:tcPr>
            <w:tcW w:w="1900" w:type="dxa"/>
            <w:tcMar>
              <w:top w:w="50" w:type="dxa"/>
              <w:left w:w="80" w:type="dxa"/>
              <w:bottom w:w="50" w:type="dxa"/>
              <w:right w:w="80" w:type="dxa"/>
            </w:tcMar>
          </w:tcPr>
          <w:p w14:paraId="38FEFFE7" w14:textId="77777777" w:rsidR="007B203C" w:rsidRDefault="00000000">
            <w:pPr>
              <w:spacing w:after="40"/>
            </w:pPr>
            <w:r>
              <w:rPr>
                <w:sz w:val="17"/>
                <w:szCs w:val="17"/>
              </w:rPr>
              <w:t>Shelf life; formulation; variable field persistence</w:t>
            </w:r>
          </w:p>
        </w:tc>
        <w:tc>
          <w:tcPr>
            <w:tcW w:w="1526" w:type="dxa"/>
            <w:tcMar>
              <w:top w:w="50" w:type="dxa"/>
              <w:left w:w="80" w:type="dxa"/>
              <w:bottom w:w="50" w:type="dxa"/>
              <w:right w:w="80" w:type="dxa"/>
            </w:tcMar>
          </w:tcPr>
          <w:p w14:paraId="29AC0481" w14:textId="77777777" w:rsidR="007B203C" w:rsidRDefault="00000000">
            <w:pPr>
              <w:spacing w:after="40"/>
            </w:pPr>
            <w:r>
              <w:rPr>
                <w:sz w:val="17"/>
                <w:szCs w:val="17"/>
              </w:rPr>
              <w:t>Perrin et al. (2025); Ejaz et al. (2025)</w:t>
            </w:r>
          </w:p>
        </w:tc>
      </w:tr>
      <w:tr w:rsidR="007B203C" w14:paraId="30B35941" w14:textId="77777777">
        <w:tc>
          <w:tcPr>
            <w:tcW w:w="1600" w:type="dxa"/>
            <w:tcMar>
              <w:top w:w="50" w:type="dxa"/>
              <w:left w:w="80" w:type="dxa"/>
              <w:bottom w:w="50" w:type="dxa"/>
              <w:right w:w="80" w:type="dxa"/>
            </w:tcMar>
          </w:tcPr>
          <w:p w14:paraId="6EC3EFAA" w14:textId="77777777" w:rsidR="007B203C" w:rsidRDefault="00000000">
            <w:pPr>
              <w:spacing w:after="40"/>
            </w:pPr>
            <w:r>
              <w:rPr>
                <w:sz w:val="17"/>
                <w:szCs w:val="17"/>
              </w:rPr>
              <w:t>Within-field diversification and intercropping</w:t>
            </w:r>
          </w:p>
        </w:tc>
        <w:tc>
          <w:tcPr>
            <w:tcW w:w="1800" w:type="dxa"/>
            <w:tcMar>
              <w:top w:w="50" w:type="dxa"/>
              <w:left w:w="80" w:type="dxa"/>
              <w:bottom w:w="50" w:type="dxa"/>
              <w:right w:w="80" w:type="dxa"/>
            </w:tcMar>
          </w:tcPr>
          <w:p w14:paraId="6DCE452A" w14:textId="77777777" w:rsidR="007B203C" w:rsidRDefault="00000000">
            <w:pPr>
              <w:spacing w:after="40"/>
            </w:pPr>
            <w:r>
              <w:rPr>
                <w:sz w:val="17"/>
                <w:szCs w:val="17"/>
              </w:rPr>
              <w:t>Microclimate moderation; natural-enemy support</w:t>
            </w:r>
          </w:p>
        </w:tc>
        <w:tc>
          <w:tcPr>
            <w:tcW w:w="2200" w:type="dxa"/>
            <w:tcMar>
              <w:top w:w="50" w:type="dxa"/>
              <w:left w:w="80" w:type="dxa"/>
              <w:bottom w:w="50" w:type="dxa"/>
              <w:right w:w="80" w:type="dxa"/>
            </w:tcMar>
          </w:tcPr>
          <w:p w14:paraId="1D405891" w14:textId="77777777" w:rsidR="007B203C" w:rsidRDefault="00000000">
            <w:pPr>
              <w:spacing w:after="40"/>
            </w:pPr>
            <w:r>
              <w:rPr>
                <w:sz w:val="17"/>
                <w:szCs w:val="17"/>
              </w:rPr>
              <w:t>Meta-analyses support pest reduction under historical conditions</w:t>
            </w:r>
          </w:p>
        </w:tc>
        <w:tc>
          <w:tcPr>
            <w:tcW w:w="1900" w:type="dxa"/>
            <w:tcMar>
              <w:top w:w="50" w:type="dxa"/>
              <w:left w:w="80" w:type="dxa"/>
              <w:bottom w:w="50" w:type="dxa"/>
              <w:right w:w="80" w:type="dxa"/>
            </w:tcMar>
          </w:tcPr>
          <w:p w14:paraId="48927357" w14:textId="77777777" w:rsidR="007B203C" w:rsidRDefault="00000000">
            <w:pPr>
              <w:spacing w:after="40"/>
            </w:pPr>
            <w:r>
              <w:rPr>
                <w:sz w:val="17"/>
                <w:szCs w:val="17"/>
              </w:rPr>
              <w:t>Possible yield competition; labour</w:t>
            </w:r>
          </w:p>
        </w:tc>
        <w:tc>
          <w:tcPr>
            <w:tcW w:w="1526" w:type="dxa"/>
            <w:tcMar>
              <w:top w:w="50" w:type="dxa"/>
              <w:left w:w="80" w:type="dxa"/>
              <w:bottom w:w="50" w:type="dxa"/>
              <w:right w:w="80" w:type="dxa"/>
            </w:tcMar>
          </w:tcPr>
          <w:p w14:paraId="355FA114" w14:textId="77777777" w:rsidR="007B203C" w:rsidRDefault="00000000">
            <w:pPr>
              <w:spacing w:after="40"/>
            </w:pPr>
            <w:r>
              <w:rPr>
                <w:sz w:val="17"/>
                <w:szCs w:val="17"/>
              </w:rPr>
              <w:t>Letourneau et al. (2011); Tamburini et al. (2020)</w:t>
            </w:r>
          </w:p>
        </w:tc>
      </w:tr>
      <w:tr w:rsidR="007B203C" w14:paraId="180737A6" w14:textId="77777777">
        <w:tc>
          <w:tcPr>
            <w:tcW w:w="1600" w:type="dxa"/>
            <w:tcMar>
              <w:top w:w="50" w:type="dxa"/>
              <w:left w:w="80" w:type="dxa"/>
              <w:bottom w:w="50" w:type="dxa"/>
              <w:right w:w="80" w:type="dxa"/>
            </w:tcMar>
          </w:tcPr>
          <w:p w14:paraId="6B73D60C" w14:textId="77777777" w:rsidR="007B203C" w:rsidRDefault="00000000">
            <w:pPr>
              <w:spacing w:after="40"/>
            </w:pPr>
            <w:r>
              <w:rPr>
                <w:sz w:val="17"/>
                <w:szCs w:val="17"/>
              </w:rPr>
              <w:t>Push–pull systems</w:t>
            </w:r>
          </w:p>
        </w:tc>
        <w:tc>
          <w:tcPr>
            <w:tcW w:w="1800" w:type="dxa"/>
            <w:tcMar>
              <w:top w:w="50" w:type="dxa"/>
              <w:left w:w="80" w:type="dxa"/>
              <w:bottom w:w="50" w:type="dxa"/>
              <w:right w:w="80" w:type="dxa"/>
            </w:tcMar>
          </w:tcPr>
          <w:p w14:paraId="55E7767B" w14:textId="77777777" w:rsidR="007B203C" w:rsidRDefault="00000000">
            <w:pPr>
              <w:spacing w:after="40"/>
            </w:pPr>
            <w:r>
              <w:rPr>
                <w:sz w:val="17"/>
                <w:szCs w:val="17"/>
              </w:rPr>
              <w:t>Drought tolerance of companion plants</w:t>
            </w:r>
          </w:p>
        </w:tc>
        <w:tc>
          <w:tcPr>
            <w:tcW w:w="2200" w:type="dxa"/>
            <w:tcMar>
              <w:top w:w="50" w:type="dxa"/>
              <w:left w:w="80" w:type="dxa"/>
              <w:bottom w:w="50" w:type="dxa"/>
              <w:right w:w="80" w:type="dxa"/>
            </w:tcMar>
          </w:tcPr>
          <w:p w14:paraId="2BB92AB8" w14:textId="77777777" w:rsidR="007B203C" w:rsidRDefault="00000000">
            <w:pPr>
              <w:spacing w:after="40"/>
            </w:pPr>
            <w:r>
              <w:rPr>
                <w:sz w:val="17"/>
                <w:szCs w:val="17"/>
              </w:rPr>
              <w:t>Encouraging on-farm results; limited causal designs</w:t>
            </w:r>
          </w:p>
        </w:tc>
        <w:tc>
          <w:tcPr>
            <w:tcW w:w="1900" w:type="dxa"/>
            <w:tcMar>
              <w:top w:w="50" w:type="dxa"/>
              <w:left w:w="80" w:type="dxa"/>
              <w:bottom w:w="50" w:type="dxa"/>
              <w:right w:w="80" w:type="dxa"/>
            </w:tcMar>
          </w:tcPr>
          <w:p w14:paraId="79A8AD1B" w14:textId="77777777" w:rsidR="007B203C" w:rsidRDefault="00000000">
            <w:pPr>
              <w:spacing w:after="40"/>
            </w:pPr>
            <w:r>
              <w:rPr>
                <w:sz w:val="17"/>
                <w:szCs w:val="17"/>
              </w:rPr>
              <w:t>Knowledge and labour intensity; seed supply</w:t>
            </w:r>
          </w:p>
        </w:tc>
        <w:tc>
          <w:tcPr>
            <w:tcW w:w="1526" w:type="dxa"/>
            <w:tcMar>
              <w:top w:w="50" w:type="dxa"/>
              <w:left w:w="80" w:type="dxa"/>
              <w:bottom w:w="50" w:type="dxa"/>
              <w:right w:w="80" w:type="dxa"/>
            </w:tcMar>
          </w:tcPr>
          <w:p w14:paraId="5705E3F6" w14:textId="77777777" w:rsidR="007B203C" w:rsidRDefault="00000000">
            <w:pPr>
              <w:spacing w:after="40"/>
            </w:pPr>
            <w:r>
              <w:rPr>
                <w:sz w:val="17"/>
                <w:szCs w:val="17"/>
              </w:rPr>
              <w:t>Midega et al. (2018); Gugissa et al. (2022); Khan et al. (2014)</w:t>
            </w:r>
          </w:p>
        </w:tc>
      </w:tr>
      <w:tr w:rsidR="007B203C" w14:paraId="2BD12EE2" w14:textId="77777777">
        <w:tc>
          <w:tcPr>
            <w:tcW w:w="1600" w:type="dxa"/>
            <w:tcMar>
              <w:top w:w="50" w:type="dxa"/>
              <w:left w:w="80" w:type="dxa"/>
              <w:bottom w:w="50" w:type="dxa"/>
              <w:right w:w="80" w:type="dxa"/>
            </w:tcMar>
          </w:tcPr>
          <w:p w14:paraId="67EEA8A1" w14:textId="77777777" w:rsidR="007B203C" w:rsidRDefault="00000000">
            <w:pPr>
              <w:spacing w:after="40"/>
            </w:pPr>
            <w:r>
              <w:rPr>
                <w:sz w:val="17"/>
                <w:szCs w:val="17"/>
              </w:rPr>
              <w:t>Agroforestry and shade</w:t>
            </w:r>
          </w:p>
        </w:tc>
        <w:tc>
          <w:tcPr>
            <w:tcW w:w="1800" w:type="dxa"/>
            <w:tcMar>
              <w:top w:w="50" w:type="dxa"/>
              <w:left w:w="80" w:type="dxa"/>
              <w:bottom w:w="50" w:type="dxa"/>
              <w:right w:w="80" w:type="dxa"/>
            </w:tcMar>
          </w:tcPr>
          <w:p w14:paraId="49C813B6" w14:textId="77777777" w:rsidR="007B203C" w:rsidRDefault="00000000">
            <w:pPr>
              <w:spacing w:after="40"/>
            </w:pPr>
            <w:r>
              <w:rPr>
                <w:sz w:val="17"/>
                <w:szCs w:val="17"/>
              </w:rPr>
              <w:t>Microclimate buffering</w:t>
            </w:r>
          </w:p>
        </w:tc>
        <w:tc>
          <w:tcPr>
            <w:tcW w:w="2200" w:type="dxa"/>
            <w:tcMar>
              <w:top w:w="50" w:type="dxa"/>
              <w:left w:w="80" w:type="dxa"/>
              <w:bottom w:w="50" w:type="dxa"/>
              <w:right w:w="80" w:type="dxa"/>
            </w:tcMar>
          </w:tcPr>
          <w:p w14:paraId="1BA90430" w14:textId="77777777" w:rsidR="007B203C" w:rsidRDefault="00000000">
            <w:pPr>
              <w:spacing w:after="40"/>
            </w:pPr>
            <w:r>
              <w:rPr>
                <w:sz w:val="17"/>
                <w:szCs w:val="17"/>
              </w:rPr>
              <w:t>Single-system evidence of pest reduction</w:t>
            </w:r>
          </w:p>
        </w:tc>
        <w:tc>
          <w:tcPr>
            <w:tcW w:w="1900" w:type="dxa"/>
            <w:tcMar>
              <w:top w:w="50" w:type="dxa"/>
              <w:left w:w="80" w:type="dxa"/>
              <w:bottom w:w="50" w:type="dxa"/>
              <w:right w:w="80" w:type="dxa"/>
            </w:tcMar>
          </w:tcPr>
          <w:p w14:paraId="3E125B76" w14:textId="77777777" w:rsidR="007B203C" w:rsidRDefault="00000000">
            <w:pPr>
              <w:spacing w:after="40"/>
            </w:pPr>
            <w:r>
              <w:rPr>
                <w:sz w:val="17"/>
                <w:szCs w:val="17"/>
              </w:rPr>
              <w:t>Potential shading effects on yield; long establishment time</w:t>
            </w:r>
          </w:p>
        </w:tc>
        <w:tc>
          <w:tcPr>
            <w:tcW w:w="1526" w:type="dxa"/>
            <w:tcMar>
              <w:top w:w="50" w:type="dxa"/>
              <w:left w:w="80" w:type="dxa"/>
              <w:bottom w:w="50" w:type="dxa"/>
              <w:right w:w="80" w:type="dxa"/>
            </w:tcMar>
          </w:tcPr>
          <w:p w14:paraId="614B9648" w14:textId="77777777" w:rsidR="007B203C" w:rsidRDefault="00000000">
            <w:pPr>
              <w:spacing w:after="40"/>
            </w:pPr>
            <w:r>
              <w:rPr>
                <w:sz w:val="17"/>
                <w:szCs w:val="17"/>
              </w:rPr>
              <w:t>Guenat et al. (2019)</w:t>
            </w:r>
          </w:p>
        </w:tc>
      </w:tr>
      <w:tr w:rsidR="007B203C" w14:paraId="6E4AA4B6" w14:textId="77777777">
        <w:tc>
          <w:tcPr>
            <w:tcW w:w="1600" w:type="dxa"/>
            <w:tcMar>
              <w:top w:w="50" w:type="dxa"/>
              <w:left w:w="80" w:type="dxa"/>
              <w:bottom w:w="50" w:type="dxa"/>
              <w:right w:w="80" w:type="dxa"/>
            </w:tcMar>
          </w:tcPr>
          <w:p w14:paraId="13006F11" w14:textId="77777777" w:rsidR="007B203C" w:rsidRDefault="00000000">
            <w:pPr>
              <w:spacing w:after="40"/>
            </w:pPr>
            <w:r>
              <w:rPr>
                <w:sz w:val="17"/>
                <w:szCs w:val="17"/>
              </w:rPr>
              <w:t>Host-plant resistance</w:t>
            </w:r>
          </w:p>
        </w:tc>
        <w:tc>
          <w:tcPr>
            <w:tcW w:w="1800" w:type="dxa"/>
            <w:tcMar>
              <w:top w:w="50" w:type="dxa"/>
              <w:left w:w="80" w:type="dxa"/>
              <w:bottom w:w="50" w:type="dxa"/>
              <w:right w:w="80" w:type="dxa"/>
            </w:tcMar>
          </w:tcPr>
          <w:p w14:paraId="12B1A649" w14:textId="77777777" w:rsidR="007B203C" w:rsidRDefault="00000000">
            <w:pPr>
              <w:spacing w:after="40"/>
            </w:pPr>
            <w:r>
              <w:rPr>
                <w:sz w:val="17"/>
                <w:szCs w:val="17"/>
              </w:rPr>
              <w:t>Trait expression under heat, drought and elevated CO</w:t>
            </w:r>
            <w:r>
              <w:rPr>
                <w:sz w:val="17"/>
                <w:szCs w:val="17"/>
                <w:vertAlign w:val="subscript"/>
              </w:rPr>
              <w:t>2</w:t>
            </w:r>
          </w:p>
        </w:tc>
        <w:tc>
          <w:tcPr>
            <w:tcW w:w="2200" w:type="dxa"/>
            <w:tcMar>
              <w:top w:w="50" w:type="dxa"/>
              <w:left w:w="80" w:type="dxa"/>
              <w:bottom w:w="50" w:type="dxa"/>
              <w:right w:w="80" w:type="dxa"/>
            </w:tcMar>
          </w:tcPr>
          <w:p w14:paraId="44450075" w14:textId="77777777" w:rsidR="007B203C" w:rsidRDefault="00000000">
            <w:pPr>
              <w:spacing w:after="40"/>
            </w:pPr>
            <w:r>
              <w:rPr>
                <w:sz w:val="17"/>
                <w:szCs w:val="17"/>
              </w:rPr>
              <w:t>Preliminary controlled-environment evidence</w:t>
            </w:r>
          </w:p>
        </w:tc>
        <w:tc>
          <w:tcPr>
            <w:tcW w:w="1900" w:type="dxa"/>
            <w:tcMar>
              <w:top w:w="50" w:type="dxa"/>
              <w:left w:w="80" w:type="dxa"/>
              <w:bottom w:w="50" w:type="dxa"/>
              <w:right w:w="80" w:type="dxa"/>
            </w:tcMar>
          </w:tcPr>
          <w:p w14:paraId="262F5C5A" w14:textId="77777777" w:rsidR="007B203C" w:rsidRDefault="00000000">
            <w:pPr>
              <w:spacing w:after="40"/>
            </w:pPr>
            <w:r>
              <w:rPr>
                <w:sz w:val="17"/>
                <w:szCs w:val="17"/>
              </w:rPr>
              <w:t>Breeding time; need to screen under future conditions</w:t>
            </w:r>
          </w:p>
        </w:tc>
        <w:tc>
          <w:tcPr>
            <w:tcW w:w="1526" w:type="dxa"/>
            <w:tcMar>
              <w:top w:w="50" w:type="dxa"/>
              <w:left w:w="80" w:type="dxa"/>
              <w:bottom w:w="50" w:type="dxa"/>
              <w:right w:w="80" w:type="dxa"/>
            </w:tcMar>
          </w:tcPr>
          <w:p w14:paraId="01F6A5FE" w14:textId="77777777" w:rsidR="007B203C" w:rsidRDefault="00000000">
            <w:pPr>
              <w:spacing w:after="40"/>
            </w:pPr>
            <w:r>
              <w:rPr>
                <w:sz w:val="17"/>
                <w:szCs w:val="17"/>
              </w:rPr>
              <w:t>Kuang et al. (2021); Sharma (2014)</w:t>
            </w:r>
          </w:p>
        </w:tc>
      </w:tr>
      <w:tr w:rsidR="007B203C" w14:paraId="2557A3E4" w14:textId="77777777">
        <w:tc>
          <w:tcPr>
            <w:tcW w:w="1600" w:type="dxa"/>
            <w:tcMar>
              <w:top w:w="50" w:type="dxa"/>
              <w:left w:w="80" w:type="dxa"/>
              <w:bottom w:w="50" w:type="dxa"/>
              <w:right w:w="80" w:type="dxa"/>
            </w:tcMar>
          </w:tcPr>
          <w:p w14:paraId="409DD71A" w14:textId="77777777" w:rsidR="007B203C" w:rsidRDefault="00000000">
            <w:pPr>
              <w:spacing w:after="40"/>
            </w:pPr>
            <w:r>
              <w:rPr>
                <w:sz w:val="17"/>
                <w:szCs w:val="17"/>
              </w:rPr>
              <w:t>Forecast-based timing and decision support</w:t>
            </w:r>
          </w:p>
        </w:tc>
        <w:tc>
          <w:tcPr>
            <w:tcW w:w="1800" w:type="dxa"/>
            <w:tcMar>
              <w:top w:w="50" w:type="dxa"/>
              <w:left w:w="80" w:type="dxa"/>
              <w:bottom w:w="50" w:type="dxa"/>
              <w:right w:w="80" w:type="dxa"/>
            </w:tcMar>
          </w:tcPr>
          <w:p w14:paraId="0251CA1B" w14:textId="77777777" w:rsidR="007B203C" w:rsidRDefault="00000000">
            <w:pPr>
              <w:spacing w:after="40"/>
            </w:pPr>
            <w:r>
              <w:rPr>
                <w:sz w:val="17"/>
                <w:szCs w:val="17"/>
              </w:rPr>
              <w:t>Model error under variability; data availability</w:t>
            </w:r>
          </w:p>
        </w:tc>
        <w:tc>
          <w:tcPr>
            <w:tcW w:w="2200" w:type="dxa"/>
            <w:tcMar>
              <w:top w:w="50" w:type="dxa"/>
              <w:left w:w="80" w:type="dxa"/>
              <w:bottom w:w="50" w:type="dxa"/>
              <w:right w:w="80" w:type="dxa"/>
            </w:tcMar>
          </w:tcPr>
          <w:p w14:paraId="16C31021" w14:textId="77777777" w:rsidR="007B203C" w:rsidRDefault="00000000">
            <w:pPr>
              <w:spacing w:after="40"/>
            </w:pPr>
            <w:r>
              <w:rPr>
                <w:sz w:val="17"/>
                <w:szCs w:val="17"/>
              </w:rPr>
              <w:t>Predictive gains demonstrated; management gains rarely evaluated</w:t>
            </w:r>
          </w:p>
        </w:tc>
        <w:tc>
          <w:tcPr>
            <w:tcW w:w="1900" w:type="dxa"/>
            <w:tcMar>
              <w:top w:w="50" w:type="dxa"/>
              <w:left w:w="80" w:type="dxa"/>
              <w:bottom w:w="50" w:type="dxa"/>
              <w:right w:w="80" w:type="dxa"/>
            </w:tcMar>
          </w:tcPr>
          <w:p w14:paraId="544E7CCF" w14:textId="77777777" w:rsidR="007B203C" w:rsidRDefault="00000000">
            <w:pPr>
              <w:spacing w:after="40"/>
            </w:pPr>
            <w:r>
              <w:rPr>
                <w:sz w:val="17"/>
                <w:szCs w:val="17"/>
              </w:rPr>
              <w:t>Infrastructure and cost; equity of access</w:t>
            </w:r>
          </w:p>
        </w:tc>
        <w:tc>
          <w:tcPr>
            <w:tcW w:w="1526" w:type="dxa"/>
            <w:tcMar>
              <w:top w:w="50" w:type="dxa"/>
              <w:left w:w="80" w:type="dxa"/>
              <w:bottom w:w="50" w:type="dxa"/>
              <w:right w:w="80" w:type="dxa"/>
            </w:tcMar>
          </w:tcPr>
          <w:p w14:paraId="6216F23B" w14:textId="77777777" w:rsidR="007B203C" w:rsidRDefault="00000000">
            <w:pPr>
              <w:spacing w:after="40"/>
            </w:pPr>
            <w:r>
              <w:rPr>
                <w:sz w:val="17"/>
                <w:szCs w:val="17"/>
              </w:rPr>
              <w:t>Merrill and Peairs (2017); Preti et al. (2021); Early et al. (2022)</w:t>
            </w:r>
          </w:p>
        </w:tc>
      </w:tr>
    </w:tbl>
    <w:p w14:paraId="2E372F3B" w14:textId="77777777" w:rsidR="007B203C" w:rsidRDefault="00000000">
      <w:pPr>
        <w:spacing w:before="60" w:after="240" w:line="360" w:lineRule="auto"/>
      </w:pPr>
      <w:r>
        <w:rPr>
          <w:i/>
          <w:iCs/>
          <w:sz w:val="18"/>
          <w:szCs w:val="18"/>
        </w:rPr>
        <w:t xml:space="preserve">Note. </w:t>
      </w:r>
      <w:r>
        <w:rPr>
          <w:sz w:val="18"/>
          <w:szCs w:val="18"/>
        </w:rPr>
        <w:t>CO</w:t>
      </w:r>
      <w:r>
        <w:rPr>
          <w:sz w:val="18"/>
          <w:szCs w:val="18"/>
          <w:vertAlign w:val="subscript"/>
        </w:rPr>
        <w:t>2</w:t>
      </w:r>
      <w:r>
        <w:rPr>
          <w:sz w:val="18"/>
          <w:szCs w:val="18"/>
        </w:rPr>
        <w:t>, carbon dioxide. Evidence ratings are qualitative syntheses of the cited studies and are not derived from a formal grading instrument.</w:t>
      </w:r>
    </w:p>
    <w:p w14:paraId="161BB644" w14:textId="77777777" w:rsidR="007B203C" w:rsidRDefault="00000000">
      <w:pPr>
        <w:pStyle w:val="Heading1"/>
        <w:keepNext/>
        <w:spacing w:before="240" w:after="120" w:line="360" w:lineRule="auto"/>
      </w:pPr>
      <w:r>
        <w:t>8. From Concept to Practice: Implementation, Equity and Evaluation</w:t>
      </w:r>
    </w:p>
    <w:p w14:paraId="402BFB49" w14:textId="77777777" w:rsidR="007B203C" w:rsidRDefault="00000000">
      <w:pPr>
        <w:spacing w:after="160" w:line="360" w:lineRule="auto"/>
        <w:jc w:val="both"/>
      </w:pPr>
      <w:r>
        <w:t>A climate-smart IPM system is only as effective as its uptake and its capacity to learn from outcomes. This section considers what the climate-smart framing adds to established IPM, the constraints on adoption and the standards of evidence needed to judge success.</w:t>
      </w:r>
    </w:p>
    <w:p w14:paraId="7253FC47" w14:textId="77777777" w:rsidR="007B203C" w:rsidRDefault="00000000">
      <w:pPr>
        <w:pStyle w:val="Heading2"/>
        <w:keepNext/>
        <w:spacing w:before="160" w:after="100" w:line="360" w:lineRule="auto"/>
      </w:pPr>
      <w:r>
        <w:t>8.1 What the Climate-Smart Framing Adds</w:t>
      </w:r>
    </w:p>
    <w:p w14:paraId="1B022B0D" w14:textId="77777777" w:rsidR="007B203C" w:rsidRDefault="00000000">
      <w:pPr>
        <w:spacing w:after="160" w:line="360" w:lineRule="auto"/>
        <w:jc w:val="both"/>
      </w:pPr>
      <w:r>
        <w:t xml:space="preserve">The core objectives of climate-smart pest management, reducing pest-related losses while building resilience and contributing to mitigation where possible (Heeb et al., 2019), map closely onto the principles of IPM, which already emphasise prevention, monitoring, informed decisions, non-chemical methods, selective products, reduced use, resistance management and evaluation (Barzman et al., 2015). What the climate-smart framing adds is principally a change of timescale and spatial scale. It requires IPM decisions to account for non-stationary conditions, longer planning horizons and landscape-level coordination, consistent with calls to </w:t>
      </w:r>
      <w:r>
        <w:lastRenderedPageBreak/>
        <w:t>move from climate-smart agriculture at the field level to climate-smart landscapes (Scherr et al., 2012). It also draws attention to interactions with pollinators and other beneficial insects (Eigenbrode &amp; Adhikari, 2023).</w:t>
      </w:r>
    </w:p>
    <w:p w14:paraId="3D3A63EB" w14:textId="77777777" w:rsidR="007B203C" w:rsidRDefault="00000000">
      <w:pPr>
        <w:spacing w:after="160" w:line="360" w:lineRule="auto"/>
        <w:jc w:val="both"/>
      </w:pPr>
      <w:r>
        <w:t>The framing carries risks. Climate-smart agriculture has been criticised for vagueness that allows almost any practice to be labelled climate-smart and for depoliticising questions of who bears the costs of adaptation (Taylor, 2018). The same risk applies to crop protection if new technologies or products are promoted as climate-smart without evidence that they improve resilience. Reviews of climate-smart pest management identify implementation and decision-making as the principal challenges and highlight shortcomings in technology and coordination (Bouri et al., 2023). The mitigation pillar is particularly underdeveloped for pest management; beyond the plausible argument that reduced pesticide manufacture and application lower emissions, few studies quantify the greenhouse gas implications of alternative IPM strategies.</w:t>
      </w:r>
    </w:p>
    <w:p w14:paraId="0418122E" w14:textId="77777777" w:rsidR="007B203C" w:rsidRDefault="00000000">
      <w:pPr>
        <w:pStyle w:val="Heading2"/>
        <w:keepNext/>
        <w:spacing w:before="160" w:after="100" w:line="360" w:lineRule="auto"/>
      </w:pPr>
      <w:r>
        <w:t>8.2 Adoption, Knowledge Intensity and Equity</w:t>
      </w:r>
    </w:p>
    <w:p w14:paraId="2A7E2017" w14:textId="77777777" w:rsidR="007B203C" w:rsidRDefault="00000000">
      <w:pPr>
        <w:spacing w:after="160" w:line="360" w:lineRule="auto"/>
        <w:jc w:val="both"/>
      </w:pPr>
      <w:r>
        <w:t>The obstacles that have limited IPM adoption for decades are likely to be accentuated by climate change. An international survey of IPM specialists identified insufficient technical support and training for farmers, together with the knowledge intensity of IPM, among the most important obstacles in developing countries (Parsa et al., 2014). The critique that IPM has often been reduced to threshold-based pesticide use reflects these constraints as much as conceptual shortcomings (Deguine et al., 2021). Climate-smart IPM is more demanding still, because it requires farmers and advisers to interpret forecasts under uncertainty, adjust thresholds and coordinate habitat management beyond individual farms.</w:t>
      </w:r>
    </w:p>
    <w:p w14:paraId="43A1E0BB" w14:textId="77777777" w:rsidR="007B203C" w:rsidRDefault="00000000">
      <w:pPr>
        <w:spacing w:after="160" w:line="360" w:lineRule="auto"/>
        <w:jc w:val="both"/>
      </w:pPr>
      <w:r>
        <w:t xml:space="preserve">Regional evidence gaps compound these constraints. In South Asia and sub-Saharan Africa, where warming, recurrent drought and biological invasions coincide, the evidence base on climate effects on pests and on the performance of IPM tactics remains thin relative to the scale of risk (Sharma, 2014). Two invasive pests illustrate the pattern. The fall armyworm spread across Africa and Asia after its detection in West and Central Africa in 2016 (Goergen et al., 2016), and the tomato leafminer has expanded across much of Africa (Tarusikirwa et al., 2020). In the case of the fall armyworm, initial reliance on pesticides proved ineffective and contributed to resistance problems before integrated options suited to local conditions were assembled (Zanzana et al., 2024). Local studies, such as the survey of natural enemies attacking the fall armyworm in north-eastern India (Firake &amp; Behere, 2020), show that indigenous natural-enemy complexes can adapt to new pests relatively quickly, but such studies are few, </w:t>
      </w:r>
      <w:r>
        <w:lastRenderedPageBreak/>
        <w:t>short and rarely linked to climate variables. Strengthening regional research capacity is therefore not only a question of equity but a prerequisite for climate-smart IPM grounded in local evidence.</w:t>
      </w:r>
    </w:p>
    <w:p w14:paraId="34373FA0" w14:textId="77777777" w:rsidR="007B203C" w:rsidRDefault="00000000">
      <w:pPr>
        <w:spacing w:after="160" w:line="360" w:lineRule="auto"/>
        <w:jc w:val="both"/>
      </w:pPr>
      <w:r>
        <w:t>There is also evidence that the potential rewards are substantial. A review of IPM projects in Asia and Africa reported reductions in pesticide use alongside yield gains in many cases (Pretty &amp; Bharucha, 2015), and an analysis of a large network of French arable farms indicated that low pesticide use was compatible with high productivity and profitability on most farms (Lechenet et al., 2017). The evaluation of farmer field schools, one of the principal vehicles for IPM learning, has been complicated by selection bias, spillovers and inconsistent outcome measures, and methodological improvements have been proposed to strengthen economic assessments (Rejesus &amp; Jones, 2020; Sanglestsawai et al., 2015). Equity concerns follow directly. Smallholders in the tropics face the highest current losses (Savary et al., 2019) and the greatest vulnerability to invasive pests (Paini et al., 2016), yet they have the least access to automated monitoring, forecasting services and specialised biological control products.</w:t>
      </w:r>
    </w:p>
    <w:p w14:paraId="4690A0DC" w14:textId="77777777" w:rsidR="007B203C" w:rsidRDefault="00000000">
      <w:pPr>
        <w:pStyle w:val="Heading2"/>
        <w:keepNext/>
        <w:spacing w:before="160" w:after="100" w:line="360" w:lineRule="auto"/>
      </w:pPr>
      <w:r>
        <w:t>8.3 Evidence Standards for Climate-Smart IPM</w:t>
      </w:r>
    </w:p>
    <w:p w14:paraId="3577F98E" w14:textId="77777777" w:rsidR="007B203C" w:rsidRDefault="00000000">
      <w:pPr>
        <w:spacing w:after="160" w:line="360" w:lineRule="auto"/>
        <w:jc w:val="both"/>
      </w:pPr>
      <w:r>
        <w:t>The review identifies an asymmetry in evidence. Mechanistic studies of how climate alters pests and natural enemies are numerous, and conceptual frameworks for climate-smart pest management are well developed, but evaluations of redesigned IPM systems against climatic variability are rare. Robust evaluation would require multi-season, multi-site trials or quasi-experimental designs that compare management strategies under contrasting weather, using outcomes that include pest density, natural-enemy activity, yield stability, pesticide use, costs and returns. Resilience should be measured as the capacity of pest suppression and yield to withstand or recover from climatic shocks rather than inferred from indicator scores. Models used for decision support should be validated against independent field data and evaluated for their effect on management outcomes, not only predictive accuracy.</w:t>
      </w:r>
    </w:p>
    <w:p w14:paraId="56AD8A10" w14:textId="77777777" w:rsidR="007B203C" w:rsidRDefault="00000000">
      <w:pPr>
        <w:spacing w:after="160" w:line="360" w:lineRule="auto"/>
        <w:jc w:val="both"/>
      </w:pPr>
      <w:r>
        <w:t xml:space="preserve">Synthesising the preceding sections, climate-smart IPM can be understood as a layered system in which climate drivers act on pest biology, host plants and natural enemies, and these changes propagate to the information base of IPM, to the performance of tactics and to decision rules. Relationships with strong empirical support include temperature effects on development and voltinism, the weakness of thermal plasticity and the modification of pesticide toxicity by temperature regime. Relationships that remain hypothesised or conditional include the net effect of warming on biological control, the capacity of diversified landscapes to provide </w:t>
      </w:r>
      <w:r>
        <w:lastRenderedPageBreak/>
        <w:t>thermal resilience across regions, and the stability of host-plant resistance. A credible redesign would treat these relationships explicitly as testable hypotheses within adaptive management rather than as settled premises.</w:t>
      </w:r>
    </w:p>
    <w:p w14:paraId="5A965A9B" w14:textId="77777777" w:rsidR="007B203C" w:rsidRDefault="00000000">
      <w:pPr>
        <w:pStyle w:val="Heading1"/>
        <w:keepNext/>
        <w:spacing w:before="240" w:after="120" w:line="360" w:lineRule="auto"/>
      </w:pPr>
      <w:r>
        <w:t>9. Future Directions</w:t>
      </w:r>
    </w:p>
    <w:p w14:paraId="551EE17F" w14:textId="77777777" w:rsidR="007B203C" w:rsidRDefault="00000000">
      <w:pPr>
        <w:spacing w:after="160" w:line="360" w:lineRule="auto"/>
        <w:jc w:val="both"/>
      </w:pPr>
      <w:r>
        <w:t>The first immediate priority is to replace mean-based decision tools with variability-aware ones. Current phenology and degree-day models often ignore sub-daily temperature variation, microclimate and non-linear responses near upper thresholds, which can generate timing errors large enough to compromise interventions (Merrill &amp; Peairs, 2017). Studies are needed that parameterise development and survival under fluctuating regimes, correct meteorological data for crop microclimate and validate predictions against field phenology across several seasons and sites. The key outcomes should include not only prediction error but also changes in the timing, number and efficacy of interventions. Such work would enable advisory services to issue forecasts that remain reliable as climate variability increases.</w:t>
      </w:r>
    </w:p>
    <w:p w14:paraId="1CBDA246" w14:textId="77777777" w:rsidR="007B203C" w:rsidRDefault="00000000">
      <w:pPr>
        <w:spacing w:after="160" w:line="360" w:lineRule="auto"/>
        <w:jc w:val="both"/>
      </w:pPr>
      <w:r>
        <w:t>A second immediate priority is to develop and test climate-responsive economic thresholds. Because injury rates, crop compensation and control costs can all shift under climate change, static thresholds may lead to either unnecessary or delayed interventions. Field experiments that measure damage functions under contrasting temperature and water regimes, combined with bioeconomic models, would allow thresholds to be expressed as functions of weather and crop condition. This work should focus first on major multivoltine pests of staple crops in regions experiencing rapid warming, including smallholder systems in which the consequences of mistimed interventions are most severe.</w:t>
      </w:r>
    </w:p>
    <w:p w14:paraId="320728CE" w14:textId="77777777" w:rsidR="007B203C" w:rsidRDefault="00000000">
      <w:pPr>
        <w:spacing w:after="160" w:line="360" w:lineRule="auto"/>
        <w:jc w:val="both"/>
      </w:pPr>
      <w:r>
        <w:t>A third priority concerns biological control under thermal stress. Comparative studies of thermal traits in pests and natural enemies are accumulating, but they rarely connect to field suppression (Machekano et al., 2018; Mutamiswa et al., 2022). Research should combine thermal-trait measurements with multi-season field monitoring of parasitism and predation, manipulative experiments that impose realistic heat events in field enclosures, and landscape studies that test whether habitat complexity confers thermal resilience across regions and cropping systems (Feit et al., 2021). Programmes for augmentative and classical biological control should incorporate thermal screening and, where feasible, selection for heat tolerance, with evaluation of trade-offs in other traits.</w:t>
      </w:r>
    </w:p>
    <w:p w14:paraId="57B5245A" w14:textId="77777777" w:rsidR="007B203C" w:rsidRDefault="00000000">
      <w:pPr>
        <w:spacing w:after="160" w:line="360" w:lineRule="auto"/>
        <w:jc w:val="both"/>
      </w:pPr>
      <w:r>
        <w:lastRenderedPageBreak/>
        <w:t>A fourth priority is to establish field-relevant evidence on insecticide performance and resistance under climate change. Laboratory findings that temperature fluctuations alter toxicity (Verheyen et al., 2022) need to be tested with target pests and natural enemies under field-realistic exposure, and resistance monitoring should be linked to climatic and voltinism data over time to test the hypotheses advanced by recent syntheses (C.-S. Ma et al., 2026). The outcomes of interest include control efficacy, frequency of applications, resistance allele frequencies and effects on natural enemies. The findings would inform label recommendations, spray timing advice and resistance-management strategies.</w:t>
      </w:r>
    </w:p>
    <w:p w14:paraId="5B406F67" w14:textId="77777777" w:rsidR="007B203C" w:rsidRDefault="00000000">
      <w:pPr>
        <w:spacing w:after="160" w:line="360" w:lineRule="auto"/>
        <w:jc w:val="both"/>
      </w:pPr>
      <w:r>
        <w:t>Longer-term priorities concern whole-system evaluation and equity. Redesigned IPM systems, including diversified cropping, push–pull and agroforestry, require long-term, multi-site evaluation under natural climatic variability using designs that support causal inference, such as randomised or stepped rollout, matched comparisons and panel data. Outcomes should include yield stability, pest suppression during climatic shocks, profitability, labour demand and distributional effects by gender and farm size. Research on institutions is equally necessary, including how surveillance networks, extension systems and farmer organisations can coordinate landscape-scale actions and how access to forecasting and biological control products can be widened. Without such evidence, climate-smart pest management risks remaining a label rather than a demonstrably effective practice.</w:t>
      </w:r>
    </w:p>
    <w:p w14:paraId="51FEB309" w14:textId="77777777" w:rsidR="007B203C" w:rsidRDefault="00000000">
      <w:pPr>
        <w:spacing w:after="160" w:line="360" w:lineRule="auto"/>
        <w:jc w:val="both"/>
      </w:pPr>
      <w:r>
        <w:t>Table 5 prioritises these research needs, distinguishing immediate from longer-term priorities and specifying appropriate designs and outcome measures. The table is intended as a guide for research planning and does not rank all possible questions in the field.</w:t>
      </w:r>
    </w:p>
    <w:p w14:paraId="33273A56" w14:textId="77777777" w:rsidR="007B203C" w:rsidRDefault="00000000">
      <w:pPr>
        <w:keepNext/>
        <w:spacing w:before="120" w:after="80" w:line="360" w:lineRule="auto"/>
      </w:pPr>
      <w:r>
        <w:rPr>
          <w:b/>
          <w:bCs/>
          <w:sz w:val="22"/>
          <w:szCs w:val="22"/>
        </w:rPr>
        <w:t xml:space="preserve">Table 5. </w:t>
      </w:r>
      <w:r>
        <w:rPr>
          <w:sz w:val="22"/>
          <w:szCs w:val="22"/>
        </w:rPr>
        <w:t>Prioritised research agenda for climate-smart integrated pest management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1800"/>
        <w:gridCol w:w="2200"/>
        <w:gridCol w:w="1900"/>
        <w:gridCol w:w="1526"/>
      </w:tblGrid>
      <w:tr w:rsidR="007B203C" w14:paraId="3A19B1E1" w14:textId="77777777">
        <w:trPr>
          <w:tblHeader/>
        </w:trPr>
        <w:tc>
          <w:tcPr>
            <w:tcW w:w="1600" w:type="dxa"/>
            <w:shd w:val="clear" w:color="auto" w:fill="E7E6E6"/>
            <w:tcMar>
              <w:top w:w="50" w:type="dxa"/>
              <w:left w:w="80" w:type="dxa"/>
              <w:bottom w:w="50" w:type="dxa"/>
              <w:right w:w="80" w:type="dxa"/>
            </w:tcMar>
          </w:tcPr>
          <w:p w14:paraId="02F5B576" w14:textId="77777777" w:rsidR="007B203C" w:rsidRDefault="00000000">
            <w:pPr>
              <w:spacing w:after="40"/>
            </w:pPr>
            <w:r>
              <w:rPr>
                <w:b/>
                <w:bCs/>
                <w:sz w:val="17"/>
                <w:szCs w:val="17"/>
              </w:rPr>
              <w:t>Priority and timescale</w:t>
            </w:r>
          </w:p>
        </w:tc>
        <w:tc>
          <w:tcPr>
            <w:tcW w:w="1800" w:type="dxa"/>
            <w:shd w:val="clear" w:color="auto" w:fill="E7E6E6"/>
            <w:tcMar>
              <w:top w:w="50" w:type="dxa"/>
              <w:left w:w="80" w:type="dxa"/>
              <w:bottom w:w="50" w:type="dxa"/>
              <w:right w:w="80" w:type="dxa"/>
            </w:tcMar>
          </w:tcPr>
          <w:p w14:paraId="273F1688" w14:textId="77777777" w:rsidR="007B203C" w:rsidRDefault="00000000">
            <w:pPr>
              <w:spacing w:after="40"/>
            </w:pPr>
            <w:r>
              <w:rPr>
                <w:b/>
                <w:bCs/>
                <w:sz w:val="17"/>
                <w:szCs w:val="17"/>
              </w:rPr>
              <w:t>Unresolved problem</w:t>
            </w:r>
          </w:p>
        </w:tc>
        <w:tc>
          <w:tcPr>
            <w:tcW w:w="2200" w:type="dxa"/>
            <w:shd w:val="clear" w:color="auto" w:fill="E7E6E6"/>
            <w:tcMar>
              <w:top w:w="50" w:type="dxa"/>
              <w:left w:w="80" w:type="dxa"/>
              <w:bottom w:w="50" w:type="dxa"/>
              <w:right w:w="80" w:type="dxa"/>
            </w:tcMar>
          </w:tcPr>
          <w:p w14:paraId="3A502EC2" w14:textId="77777777" w:rsidR="007B203C" w:rsidRDefault="00000000">
            <w:pPr>
              <w:spacing w:after="40"/>
            </w:pPr>
            <w:r>
              <w:rPr>
                <w:b/>
                <w:bCs/>
                <w:sz w:val="17"/>
                <w:szCs w:val="17"/>
              </w:rPr>
              <w:t>Recommended design</w:t>
            </w:r>
          </w:p>
        </w:tc>
        <w:tc>
          <w:tcPr>
            <w:tcW w:w="1900" w:type="dxa"/>
            <w:shd w:val="clear" w:color="auto" w:fill="E7E6E6"/>
            <w:tcMar>
              <w:top w:w="50" w:type="dxa"/>
              <w:left w:w="80" w:type="dxa"/>
              <w:bottom w:w="50" w:type="dxa"/>
              <w:right w:w="80" w:type="dxa"/>
            </w:tcMar>
          </w:tcPr>
          <w:p w14:paraId="311EA0AB" w14:textId="77777777" w:rsidR="007B203C" w:rsidRDefault="00000000">
            <w:pPr>
              <w:spacing w:after="40"/>
            </w:pPr>
            <w:r>
              <w:rPr>
                <w:b/>
                <w:bCs/>
                <w:sz w:val="17"/>
                <w:szCs w:val="17"/>
              </w:rPr>
              <w:t>Key outcome measures</w:t>
            </w:r>
          </w:p>
        </w:tc>
        <w:tc>
          <w:tcPr>
            <w:tcW w:w="1526" w:type="dxa"/>
            <w:shd w:val="clear" w:color="auto" w:fill="E7E6E6"/>
            <w:tcMar>
              <w:top w:w="50" w:type="dxa"/>
              <w:left w:w="80" w:type="dxa"/>
              <w:bottom w:w="50" w:type="dxa"/>
              <w:right w:w="80" w:type="dxa"/>
            </w:tcMar>
          </w:tcPr>
          <w:p w14:paraId="7F0691F0" w14:textId="77777777" w:rsidR="007B203C" w:rsidRDefault="00000000">
            <w:pPr>
              <w:spacing w:after="40"/>
            </w:pPr>
            <w:r>
              <w:rPr>
                <w:b/>
                <w:bCs/>
                <w:sz w:val="17"/>
                <w:szCs w:val="17"/>
              </w:rPr>
              <w:t>Supporting references</w:t>
            </w:r>
          </w:p>
        </w:tc>
      </w:tr>
      <w:tr w:rsidR="007B203C" w14:paraId="18D6B4B9" w14:textId="77777777">
        <w:tc>
          <w:tcPr>
            <w:tcW w:w="1600" w:type="dxa"/>
            <w:tcMar>
              <w:top w:w="50" w:type="dxa"/>
              <w:left w:w="80" w:type="dxa"/>
              <w:bottom w:w="50" w:type="dxa"/>
              <w:right w:w="80" w:type="dxa"/>
            </w:tcMar>
          </w:tcPr>
          <w:p w14:paraId="06C9CACD" w14:textId="77777777" w:rsidR="007B203C" w:rsidRDefault="00000000">
            <w:pPr>
              <w:spacing w:after="40"/>
            </w:pPr>
            <w:r>
              <w:rPr>
                <w:sz w:val="17"/>
                <w:szCs w:val="17"/>
              </w:rPr>
              <w:t>Variability-aware phenology models (immediate)</w:t>
            </w:r>
          </w:p>
        </w:tc>
        <w:tc>
          <w:tcPr>
            <w:tcW w:w="1800" w:type="dxa"/>
            <w:tcMar>
              <w:top w:w="50" w:type="dxa"/>
              <w:left w:w="80" w:type="dxa"/>
              <w:bottom w:w="50" w:type="dxa"/>
              <w:right w:w="80" w:type="dxa"/>
            </w:tcMar>
          </w:tcPr>
          <w:p w14:paraId="0675C795" w14:textId="77777777" w:rsidR="007B203C" w:rsidRDefault="00000000">
            <w:pPr>
              <w:spacing w:after="40"/>
            </w:pPr>
            <w:r>
              <w:rPr>
                <w:sz w:val="17"/>
                <w:szCs w:val="17"/>
              </w:rPr>
              <w:t>Timing errors from mean-based inputs</w:t>
            </w:r>
          </w:p>
        </w:tc>
        <w:tc>
          <w:tcPr>
            <w:tcW w:w="2200" w:type="dxa"/>
            <w:tcMar>
              <w:top w:w="50" w:type="dxa"/>
              <w:left w:w="80" w:type="dxa"/>
              <w:bottom w:w="50" w:type="dxa"/>
              <w:right w:w="80" w:type="dxa"/>
            </w:tcMar>
          </w:tcPr>
          <w:p w14:paraId="6F765FF0" w14:textId="77777777" w:rsidR="007B203C" w:rsidRDefault="00000000">
            <w:pPr>
              <w:spacing w:after="40"/>
            </w:pPr>
            <w:r>
              <w:rPr>
                <w:sz w:val="17"/>
                <w:szCs w:val="17"/>
              </w:rPr>
              <w:t>Fluctuating-temperature experiments; microclimate correction; multi-site validation</w:t>
            </w:r>
          </w:p>
        </w:tc>
        <w:tc>
          <w:tcPr>
            <w:tcW w:w="1900" w:type="dxa"/>
            <w:tcMar>
              <w:top w:w="50" w:type="dxa"/>
              <w:left w:w="80" w:type="dxa"/>
              <w:bottom w:w="50" w:type="dxa"/>
              <w:right w:w="80" w:type="dxa"/>
            </w:tcMar>
          </w:tcPr>
          <w:p w14:paraId="2B4B7EF6" w14:textId="77777777" w:rsidR="007B203C" w:rsidRDefault="00000000">
            <w:pPr>
              <w:spacing w:after="40"/>
            </w:pPr>
            <w:r>
              <w:rPr>
                <w:sz w:val="17"/>
                <w:szCs w:val="17"/>
              </w:rPr>
              <w:t>Prediction error; intervention timing and efficacy</w:t>
            </w:r>
          </w:p>
        </w:tc>
        <w:tc>
          <w:tcPr>
            <w:tcW w:w="1526" w:type="dxa"/>
            <w:tcMar>
              <w:top w:w="50" w:type="dxa"/>
              <w:left w:w="80" w:type="dxa"/>
              <w:bottom w:w="50" w:type="dxa"/>
              <w:right w:w="80" w:type="dxa"/>
            </w:tcMar>
          </w:tcPr>
          <w:p w14:paraId="0A52781D" w14:textId="77777777" w:rsidR="007B203C" w:rsidRDefault="00000000">
            <w:pPr>
              <w:spacing w:after="40"/>
            </w:pPr>
            <w:r>
              <w:rPr>
                <w:sz w:val="17"/>
                <w:szCs w:val="17"/>
              </w:rPr>
              <w:t>Merrill and Peairs (2017); Rebaudo and Rabhi (2018); Colinet et al. (2015)</w:t>
            </w:r>
          </w:p>
        </w:tc>
      </w:tr>
      <w:tr w:rsidR="007B203C" w14:paraId="4EADDEFB" w14:textId="77777777">
        <w:tc>
          <w:tcPr>
            <w:tcW w:w="1600" w:type="dxa"/>
            <w:tcMar>
              <w:top w:w="50" w:type="dxa"/>
              <w:left w:w="80" w:type="dxa"/>
              <w:bottom w:w="50" w:type="dxa"/>
              <w:right w:w="80" w:type="dxa"/>
            </w:tcMar>
          </w:tcPr>
          <w:p w14:paraId="7FDFDBEB" w14:textId="77777777" w:rsidR="007B203C" w:rsidRDefault="00000000">
            <w:pPr>
              <w:spacing w:after="40"/>
            </w:pPr>
            <w:r>
              <w:rPr>
                <w:sz w:val="17"/>
                <w:szCs w:val="17"/>
              </w:rPr>
              <w:t>Climate-responsive economic thresholds (immediate)</w:t>
            </w:r>
          </w:p>
        </w:tc>
        <w:tc>
          <w:tcPr>
            <w:tcW w:w="1800" w:type="dxa"/>
            <w:tcMar>
              <w:top w:w="50" w:type="dxa"/>
              <w:left w:w="80" w:type="dxa"/>
              <w:bottom w:w="50" w:type="dxa"/>
              <w:right w:w="80" w:type="dxa"/>
            </w:tcMar>
          </w:tcPr>
          <w:p w14:paraId="4A04C7D9" w14:textId="77777777" w:rsidR="007B203C" w:rsidRDefault="00000000">
            <w:pPr>
              <w:spacing w:after="40"/>
            </w:pPr>
            <w:r>
              <w:rPr>
                <w:sz w:val="17"/>
                <w:szCs w:val="17"/>
              </w:rPr>
              <w:t>Static thresholds under changing injury and compensation</w:t>
            </w:r>
          </w:p>
        </w:tc>
        <w:tc>
          <w:tcPr>
            <w:tcW w:w="2200" w:type="dxa"/>
            <w:tcMar>
              <w:top w:w="50" w:type="dxa"/>
              <w:left w:w="80" w:type="dxa"/>
              <w:bottom w:w="50" w:type="dxa"/>
              <w:right w:w="80" w:type="dxa"/>
            </w:tcMar>
          </w:tcPr>
          <w:p w14:paraId="3473A4E0" w14:textId="77777777" w:rsidR="007B203C" w:rsidRDefault="00000000">
            <w:pPr>
              <w:spacing w:after="40"/>
            </w:pPr>
            <w:r>
              <w:rPr>
                <w:sz w:val="17"/>
                <w:szCs w:val="17"/>
              </w:rPr>
              <w:t>Damage-function field trials under contrasting weather; bioeconomic modelling</w:t>
            </w:r>
          </w:p>
        </w:tc>
        <w:tc>
          <w:tcPr>
            <w:tcW w:w="1900" w:type="dxa"/>
            <w:tcMar>
              <w:top w:w="50" w:type="dxa"/>
              <w:left w:w="80" w:type="dxa"/>
              <w:bottom w:w="50" w:type="dxa"/>
              <w:right w:w="80" w:type="dxa"/>
            </w:tcMar>
          </w:tcPr>
          <w:p w14:paraId="5389056F" w14:textId="77777777" w:rsidR="007B203C" w:rsidRDefault="00000000">
            <w:pPr>
              <w:spacing w:after="40"/>
            </w:pPr>
            <w:r>
              <w:rPr>
                <w:sz w:val="17"/>
                <w:szCs w:val="17"/>
              </w:rPr>
              <w:t>Yield loss per pest; net returns; spray frequency</w:t>
            </w:r>
          </w:p>
        </w:tc>
        <w:tc>
          <w:tcPr>
            <w:tcW w:w="1526" w:type="dxa"/>
            <w:tcMar>
              <w:top w:w="50" w:type="dxa"/>
              <w:left w:w="80" w:type="dxa"/>
              <w:bottom w:w="50" w:type="dxa"/>
              <w:right w:w="80" w:type="dxa"/>
            </w:tcMar>
          </w:tcPr>
          <w:p w14:paraId="4AA247EB" w14:textId="77777777" w:rsidR="007B203C" w:rsidRDefault="00000000">
            <w:pPr>
              <w:spacing w:after="40"/>
            </w:pPr>
            <w:r>
              <w:rPr>
                <w:sz w:val="17"/>
                <w:szCs w:val="17"/>
              </w:rPr>
              <w:t>Pedigo et al. (1986); Roy (2022)</w:t>
            </w:r>
          </w:p>
        </w:tc>
      </w:tr>
      <w:tr w:rsidR="007B203C" w14:paraId="5E5FCFB6" w14:textId="77777777">
        <w:tc>
          <w:tcPr>
            <w:tcW w:w="1600" w:type="dxa"/>
            <w:tcMar>
              <w:top w:w="50" w:type="dxa"/>
              <w:left w:w="80" w:type="dxa"/>
              <w:bottom w:w="50" w:type="dxa"/>
              <w:right w:w="80" w:type="dxa"/>
            </w:tcMar>
          </w:tcPr>
          <w:p w14:paraId="7F503080" w14:textId="77777777" w:rsidR="007B203C" w:rsidRDefault="00000000">
            <w:pPr>
              <w:spacing w:after="40"/>
            </w:pPr>
            <w:r>
              <w:rPr>
                <w:sz w:val="17"/>
                <w:szCs w:val="17"/>
              </w:rPr>
              <w:t>Thermal resilience of biological control (immediate to medium term)</w:t>
            </w:r>
          </w:p>
        </w:tc>
        <w:tc>
          <w:tcPr>
            <w:tcW w:w="1800" w:type="dxa"/>
            <w:tcMar>
              <w:top w:w="50" w:type="dxa"/>
              <w:left w:w="80" w:type="dxa"/>
              <w:bottom w:w="50" w:type="dxa"/>
              <w:right w:w="80" w:type="dxa"/>
            </w:tcMar>
          </w:tcPr>
          <w:p w14:paraId="42619F3A" w14:textId="77777777" w:rsidR="007B203C" w:rsidRDefault="00000000">
            <w:pPr>
              <w:spacing w:after="40"/>
            </w:pPr>
            <w:r>
              <w:rPr>
                <w:sz w:val="17"/>
                <w:szCs w:val="17"/>
              </w:rPr>
              <w:t>Weak link between thermal traits and field suppression</w:t>
            </w:r>
          </w:p>
        </w:tc>
        <w:tc>
          <w:tcPr>
            <w:tcW w:w="2200" w:type="dxa"/>
            <w:tcMar>
              <w:top w:w="50" w:type="dxa"/>
              <w:left w:w="80" w:type="dxa"/>
              <w:bottom w:w="50" w:type="dxa"/>
              <w:right w:w="80" w:type="dxa"/>
            </w:tcMar>
          </w:tcPr>
          <w:p w14:paraId="3626504F" w14:textId="77777777" w:rsidR="007B203C" w:rsidRDefault="00000000">
            <w:pPr>
              <w:spacing w:after="40"/>
            </w:pPr>
            <w:r>
              <w:rPr>
                <w:sz w:val="17"/>
                <w:szCs w:val="17"/>
              </w:rPr>
              <w:t>Trait studies combined with field enclosures and multi-season monitoring</w:t>
            </w:r>
          </w:p>
        </w:tc>
        <w:tc>
          <w:tcPr>
            <w:tcW w:w="1900" w:type="dxa"/>
            <w:tcMar>
              <w:top w:w="50" w:type="dxa"/>
              <w:left w:w="80" w:type="dxa"/>
              <w:bottom w:w="50" w:type="dxa"/>
              <w:right w:w="80" w:type="dxa"/>
            </w:tcMar>
          </w:tcPr>
          <w:p w14:paraId="76E3B12D" w14:textId="77777777" w:rsidR="007B203C" w:rsidRDefault="00000000">
            <w:pPr>
              <w:spacing w:after="40"/>
            </w:pPr>
            <w:r>
              <w:rPr>
                <w:sz w:val="17"/>
                <w:szCs w:val="17"/>
              </w:rPr>
              <w:t>Parasitism and predation rates; pest density</w:t>
            </w:r>
          </w:p>
        </w:tc>
        <w:tc>
          <w:tcPr>
            <w:tcW w:w="1526" w:type="dxa"/>
            <w:tcMar>
              <w:top w:w="50" w:type="dxa"/>
              <w:left w:w="80" w:type="dxa"/>
              <w:bottom w:w="50" w:type="dxa"/>
              <w:right w:w="80" w:type="dxa"/>
            </w:tcMar>
          </w:tcPr>
          <w:p w14:paraId="1810FA52" w14:textId="77777777" w:rsidR="007B203C" w:rsidRDefault="00000000">
            <w:pPr>
              <w:spacing w:after="40"/>
            </w:pPr>
            <w:r>
              <w:rPr>
                <w:sz w:val="17"/>
                <w:szCs w:val="17"/>
              </w:rPr>
              <w:t>Machekano et al. (2018); Mutamiswa et al. (2022); Feit et al. (2021)</w:t>
            </w:r>
          </w:p>
        </w:tc>
      </w:tr>
      <w:tr w:rsidR="007B203C" w14:paraId="7C6606CF" w14:textId="77777777">
        <w:tc>
          <w:tcPr>
            <w:tcW w:w="1600" w:type="dxa"/>
            <w:tcMar>
              <w:top w:w="50" w:type="dxa"/>
              <w:left w:w="80" w:type="dxa"/>
              <w:bottom w:w="50" w:type="dxa"/>
              <w:right w:w="80" w:type="dxa"/>
            </w:tcMar>
          </w:tcPr>
          <w:p w14:paraId="1CB0749A" w14:textId="77777777" w:rsidR="007B203C" w:rsidRDefault="00000000">
            <w:pPr>
              <w:spacing w:after="40"/>
            </w:pPr>
            <w:r>
              <w:rPr>
                <w:sz w:val="17"/>
                <w:szCs w:val="17"/>
              </w:rPr>
              <w:t>Insecticide efficacy and resistance (medium term)</w:t>
            </w:r>
          </w:p>
        </w:tc>
        <w:tc>
          <w:tcPr>
            <w:tcW w:w="1800" w:type="dxa"/>
            <w:tcMar>
              <w:top w:w="50" w:type="dxa"/>
              <w:left w:w="80" w:type="dxa"/>
              <w:bottom w:w="50" w:type="dxa"/>
              <w:right w:w="80" w:type="dxa"/>
            </w:tcMar>
          </w:tcPr>
          <w:p w14:paraId="3875F89C" w14:textId="77777777" w:rsidR="007B203C" w:rsidRDefault="00000000">
            <w:pPr>
              <w:spacing w:after="40"/>
            </w:pPr>
            <w:r>
              <w:rPr>
                <w:sz w:val="17"/>
                <w:szCs w:val="17"/>
              </w:rPr>
              <w:t>Unknown field consequences of temperature-dependent toxicity</w:t>
            </w:r>
          </w:p>
        </w:tc>
        <w:tc>
          <w:tcPr>
            <w:tcW w:w="2200" w:type="dxa"/>
            <w:tcMar>
              <w:top w:w="50" w:type="dxa"/>
              <w:left w:w="80" w:type="dxa"/>
              <w:bottom w:w="50" w:type="dxa"/>
              <w:right w:w="80" w:type="dxa"/>
            </w:tcMar>
          </w:tcPr>
          <w:p w14:paraId="20CF4926" w14:textId="77777777" w:rsidR="007B203C" w:rsidRDefault="00000000">
            <w:pPr>
              <w:spacing w:after="40"/>
            </w:pPr>
            <w:r>
              <w:rPr>
                <w:sz w:val="17"/>
                <w:szCs w:val="17"/>
              </w:rPr>
              <w:t>Field bioassays under realistic regimes; longitudinal resistance monitoring linked to climate</w:t>
            </w:r>
          </w:p>
        </w:tc>
        <w:tc>
          <w:tcPr>
            <w:tcW w:w="1900" w:type="dxa"/>
            <w:tcMar>
              <w:top w:w="50" w:type="dxa"/>
              <w:left w:w="80" w:type="dxa"/>
              <w:bottom w:w="50" w:type="dxa"/>
              <w:right w:w="80" w:type="dxa"/>
            </w:tcMar>
          </w:tcPr>
          <w:p w14:paraId="4B35ED6D" w14:textId="77777777" w:rsidR="007B203C" w:rsidRDefault="00000000">
            <w:pPr>
              <w:spacing w:after="40"/>
            </w:pPr>
            <w:r>
              <w:rPr>
                <w:sz w:val="17"/>
                <w:szCs w:val="17"/>
              </w:rPr>
              <w:t>Control efficacy; resistance allele frequencies; non-target effects</w:t>
            </w:r>
          </w:p>
        </w:tc>
        <w:tc>
          <w:tcPr>
            <w:tcW w:w="1526" w:type="dxa"/>
            <w:tcMar>
              <w:top w:w="50" w:type="dxa"/>
              <w:left w:w="80" w:type="dxa"/>
              <w:bottom w:w="50" w:type="dxa"/>
              <w:right w:w="80" w:type="dxa"/>
            </w:tcMar>
          </w:tcPr>
          <w:p w14:paraId="6EE25865" w14:textId="77777777" w:rsidR="007B203C" w:rsidRDefault="00000000">
            <w:pPr>
              <w:spacing w:after="40"/>
            </w:pPr>
            <w:r>
              <w:rPr>
                <w:sz w:val="17"/>
                <w:szCs w:val="17"/>
              </w:rPr>
              <w:t>Verheyen et al. (2022); C.-S. Ma et al. (2026); Maino et al. (2018)</w:t>
            </w:r>
          </w:p>
        </w:tc>
      </w:tr>
      <w:tr w:rsidR="007B203C" w14:paraId="237F6396" w14:textId="77777777">
        <w:tc>
          <w:tcPr>
            <w:tcW w:w="1600" w:type="dxa"/>
            <w:tcMar>
              <w:top w:w="50" w:type="dxa"/>
              <w:left w:w="80" w:type="dxa"/>
              <w:bottom w:w="50" w:type="dxa"/>
              <w:right w:w="80" w:type="dxa"/>
            </w:tcMar>
          </w:tcPr>
          <w:p w14:paraId="71203798" w14:textId="77777777" w:rsidR="007B203C" w:rsidRDefault="00000000">
            <w:pPr>
              <w:spacing w:after="40"/>
            </w:pPr>
            <w:r>
              <w:rPr>
                <w:sz w:val="17"/>
                <w:szCs w:val="17"/>
              </w:rPr>
              <w:lastRenderedPageBreak/>
              <w:t>Forecasting and yield-loss coupling (medium term)</w:t>
            </w:r>
          </w:p>
        </w:tc>
        <w:tc>
          <w:tcPr>
            <w:tcW w:w="1800" w:type="dxa"/>
            <w:tcMar>
              <w:top w:w="50" w:type="dxa"/>
              <w:left w:w="80" w:type="dxa"/>
              <w:bottom w:w="50" w:type="dxa"/>
              <w:right w:w="80" w:type="dxa"/>
            </w:tcMar>
          </w:tcPr>
          <w:p w14:paraId="7C01C0EB" w14:textId="77777777" w:rsidR="007B203C" w:rsidRDefault="00000000">
            <w:pPr>
              <w:spacing w:after="40"/>
            </w:pPr>
            <w:r>
              <w:rPr>
                <w:sz w:val="17"/>
                <w:szCs w:val="17"/>
              </w:rPr>
              <w:t>Suitability maps not translated into loss estimates</w:t>
            </w:r>
          </w:p>
        </w:tc>
        <w:tc>
          <w:tcPr>
            <w:tcW w:w="2200" w:type="dxa"/>
            <w:tcMar>
              <w:top w:w="50" w:type="dxa"/>
              <w:left w:w="80" w:type="dxa"/>
              <w:bottom w:w="50" w:type="dxa"/>
              <w:right w:w="80" w:type="dxa"/>
            </w:tcMar>
          </w:tcPr>
          <w:p w14:paraId="6A52FD91" w14:textId="77777777" w:rsidR="007B203C" w:rsidRDefault="00000000">
            <w:pPr>
              <w:spacing w:after="40"/>
            </w:pPr>
            <w:r>
              <w:rPr>
                <w:sz w:val="17"/>
                <w:szCs w:val="17"/>
              </w:rPr>
              <w:t>Coupled pest–crop models; ensemble distribution models with independent evaluation</w:t>
            </w:r>
          </w:p>
        </w:tc>
        <w:tc>
          <w:tcPr>
            <w:tcW w:w="1900" w:type="dxa"/>
            <w:tcMar>
              <w:top w:w="50" w:type="dxa"/>
              <w:left w:w="80" w:type="dxa"/>
              <w:bottom w:w="50" w:type="dxa"/>
              <w:right w:w="80" w:type="dxa"/>
            </w:tcMar>
          </w:tcPr>
          <w:p w14:paraId="0CD689CE" w14:textId="77777777" w:rsidR="007B203C" w:rsidRDefault="00000000">
            <w:pPr>
              <w:spacing w:after="40"/>
            </w:pPr>
            <w:r>
              <w:rPr>
                <w:sz w:val="17"/>
                <w:szCs w:val="17"/>
              </w:rPr>
              <w:t>Forecast skill; yield-loss estimates</w:t>
            </w:r>
          </w:p>
        </w:tc>
        <w:tc>
          <w:tcPr>
            <w:tcW w:w="1526" w:type="dxa"/>
            <w:tcMar>
              <w:top w:w="50" w:type="dxa"/>
              <w:left w:w="80" w:type="dxa"/>
              <w:bottom w:w="50" w:type="dxa"/>
              <w:right w:w="80" w:type="dxa"/>
            </w:tcMar>
          </w:tcPr>
          <w:p w14:paraId="1D716D6B" w14:textId="77777777" w:rsidR="007B203C" w:rsidRDefault="00000000">
            <w:pPr>
              <w:spacing w:after="40"/>
            </w:pPr>
            <w:r>
              <w:rPr>
                <w:sz w:val="17"/>
                <w:szCs w:val="17"/>
              </w:rPr>
              <w:t>Tonnang et al. (2022); Early et al. (2022); Agbodjan et al. (2026)</w:t>
            </w:r>
          </w:p>
        </w:tc>
      </w:tr>
      <w:tr w:rsidR="007B203C" w14:paraId="11CDFF04" w14:textId="77777777">
        <w:tc>
          <w:tcPr>
            <w:tcW w:w="1600" w:type="dxa"/>
            <w:tcMar>
              <w:top w:w="50" w:type="dxa"/>
              <w:left w:w="80" w:type="dxa"/>
              <w:bottom w:w="50" w:type="dxa"/>
              <w:right w:w="80" w:type="dxa"/>
            </w:tcMar>
          </w:tcPr>
          <w:p w14:paraId="691C306E" w14:textId="77777777" w:rsidR="007B203C" w:rsidRDefault="00000000">
            <w:pPr>
              <w:spacing w:after="40"/>
            </w:pPr>
            <w:r>
              <w:rPr>
                <w:sz w:val="17"/>
                <w:szCs w:val="17"/>
              </w:rPr>
              <w:t>Whole-system and equity evaluation (longer term)</w:t>
            </w:r>
          </w:p>
        </w:tc>
        <w:tc>
          <w:tcPr>
            <w:tcW w:w="1800" w:type="dxa"/>
            <w:tcMar>
              <w:top w:w="50" w:type="dxa"/>
              <w:left w:w="80" w:type="dxa"/>
              <w:bottom w:w="50" w:type="dxa"/>
              <w:right w:w="80" w:type="dxa"/>
            </w:tcMar>
          </w:tcPr>
          <w:p w14:paraId="797ADBFA" w14:textId="77777777" w:rsidR="007B203C" w:rsidRDefault="00000000">
            <w:pPr>
              <w:spacing w:after="40"/>
            </w:pPr>
            <w:r>
              <w:rPr>
                <w:sz w:val="17"/>
                <w:szCs w:val="17"/>
              </w:rPr>
              <w:t>Few causal evaluations of redesigned IPM under climatic shocks</w:t>
            </w:r>
          </w:p>
        </w:tc>
        <w:tc>
          <w:tcPr>
            <w:tcW w:w="2200" w:type="dxa"/>
            <w:tcMar>
              <w:top w:w="50" w:type="dxa"/>
              <w:left w:w="80" w:type="dxa"/>
              <w:bottom w:w="50" w:type="dxa"/>
              <w:right w:w="80" w:type="dxa"/>
            </w:tcMar>
          </w:tcPr>
          <w:p w14:paraId="7955F4DC" w14:textId="77777777" w:rsidR="007B203C" w:rsidRDefault="00000000">
            <w:pPr>
              <w:spacing w:after="40"/>
            </w:pPr>
            <w:r>
              <w:rPr>
                <w:sz w:val="17"/>
                <w:szCs w:val="17"/>
              </w:rPr>
              <w:t>Randomised or stepped rollout; matched panels over multiple seasons</w:t>
            </w:r>
          </w:p>
        </w:tc>
        <w:tc>
          <w:tcPr>
            <w:tcW w:w="1900" w:type="dxa"/>
            <w:tcMar>
              <w:top w:w="50" w:type="dxa"/>
              <w:left w:w="80" w:type="dxa"/>
              <w:bottom w:w="50" w:type="dxa"/>
              <w:right w:w="80" w:type="dxa"/>
            </w:tcMar>
          </w:tcPr>
          <w:p w14:paraId="719FA39D" w14:textId="77777777" w:rsidR="007B203C" w:rsidRDefault="00000000">
            <w:pPr>
              <w:spacing w:after="40"/>
            </w:pPr>
            <w:r>
              <w:rPr>
                <w:sz w:val="17"/>
                <w:szCs w:val="17"/>
              </w:rPr>
              <w:t>Yield stability; profitability; labour; distributional effects</w:t>
            </w:r>
          </w:p>
        </w:tc>
        <w:tc>
          <w:tcPr>
            <w:tcW w:w="1526" w:type="dxa"/>
            <w:tcMar>
              <w:top w:w="50" w:type="dxa"/>
              <w:left w:w="80" w:type="dxa"/>
              <w:bottom w:w="50" w:type="dxa"/>
              <w:right w:w="80" w:type="dxa"/>
            </w:tcMar>
          </w:tcPr>
          <w:p w14:paraId="1454BC71" w14:textId="77777777" w:rsidR="007B203C" w:rsidRDefault="00000000">
            <w:pPr>
              <w:spacing w:after="40"/>
            </w:pPr>
            <w:r>
              <w:rPr>
                <w:sz w:val="17"/>
                <w:szCs w:val="17"/>
              </w:rPr>
              <w:t>Parsa et al. (2014); Rejesus and Jones (2020); Gugissa et al. (2022)</w:t>
            </w:r>
          </w:p>
        </w:tc>
      </w:tr>
    </w:tbl>
    <w:p w14:paraId="26BCE644" w14:textId="77777777" w:rsidR="007B203C" w:rsidRDefault="00000000">
      <w:pPr>
        <w:spacing w:before="60" w:after="240" w:line="360" w:lineRule="auto"/>
      </w:pPr>
      <w:r>
        <w:rPr>
          <w:i/>
          <w:iCs/>
          <w:sz w:val="18"/>
          <w:szCs w:val="18"/>
        </w:rPr>
        <w:t xml:space="preserve">Note. </w:t>
      </w:r>
      <w:r>
        <w:rPr>
          <w:sz w:val="18"/>
          <w:szCs w:val="18"/>
        </w:rPr>
        <w:t>IPM, integrated pest management. Timescales are indicative: immediate refers to work that can begin with existing methods and data, and longer term refers to programmes requiring sustained multi-season investment.</w:t>
      </w:r>
    </w:p>
    <w:p w14:paraId="37DA7FD1" w14:textId="77777777" w:rsidR="007B203C" w:rsidRDefault="00000000">
      <w:pPr>
        <w:pStyle w:val="Heading1"/>
        <w:keepNext/>
        <w:spacing w:before="240" w:after="120" w:line="360" w:lineRule="auto"/>
      </w:pPr>
      <w:r>
        <w:t>10. Conclusions</w:t>
      </w:r>
    </w:p>
    <w:p w14:paraId="546648D8" w14:textId="77777777" w:rsidR="007B203C" w:rsidRDefault="00000000">
      <w:pPr>
        <w:spacing w:after="160" w:line="360" w:lineRule="auto"/>
        <w:jc w:val="both"/>
      </w:pPr>
      <w:r>
        <w:t>This review set out to evaluate how warming and increasing climatic variability alter insect pest pressure, how these changes affect the information base and tactics of integrated pest management, and what the climate-smart framing contributes. The most defensible conclusion is that climate change challenges every decision layer of IPM, but not uniformly and not always in the direction of greater pest pressure.</w:t>
      </w:r>
    </w:p>
    <w:p w14:paraId="73057117" w14:textId="77777777" w:rsidR="007B203C" w:rsidRDefault="00000000">
      <w:pPr>
        <w:spacing w:after="160" w:line="360" w:lineRule="auto"/>
        <w:jc w:val="both"/>
      </w:pPr>
      <w:r>
        <w:t>The evidence is strongest for the acceleration of development and increase in the number of generations in many temperate multivoltine pests, for range change associated with relaxed cold constraints, for the limited capacity of insects to raise their heat tolerance through acclimation, and for the modification of insecticide toxicity by temperature regime. The evidence is weaker and more conditional for the net effects of warming on biological control, the stability of host-plant resistance, the contribution of diversified landscapes to thermal resilience and the field consequences of temperature-dependent insecticide performance. Aggregate projections of increased crop losses provide a useful indication of risk but should not be read as forecasts for particular pests or regions, especially in tropical environments where some pests may already be near their thermal optima.</w:t>
      </w:r>
    </w:p>
    <w:p w14:paraId="32D06B67" w14:textId="77777777" w:rsidR="007B203C" w:rsidRDefault="00000000">
      <w:pPr>
        <w:spacing w:after="160" w:line="360" w:lineRule="auto"/>
        <w:jc w:val="both"/>
      </w:pPr>
      <w:r>
        <w:t xml:space="preserve">For the information base of IPM, the synthesis indicates that mean-based phenology models, static economic thresholds and single-model distribution forecasts are poorly suited to variable climates. Variability-aware models, ensemble forecasting with explicit evaluation and surveillance that includes natural enemies represent tractable improvements, although their effect on management outcomes has rarely been demonstrated. Among tactics, conservation biological control and diversification have the strongest rationale for resilience, yet they depend on local context and on coordination beyond individual farms. Chemical control will remain </w:t>
      </w:r>
      <w:r>
        <w:lastRenderedPageBreak/>
        <w:t>necessary, but reactive intensification in response to less predictable pest pressure risks eroding natural suppression and accelerating resistance.</w:t>
      </w:r>
    </w:p>
    <w:p w14:paraId="00B52590" w14:textId="77777777" w:rsidR="007B203C" w:rsidRDefault="00000000">
      <w:pPr>
        <w:spacing w:after="160" w:line="360" w:lineRule="auto"/>
        <w:jc w:val="both"/>
      </w:pPr>
      <w:r>
        <w:t>Climate-smart pest management is best understood as a demanding re-specification of IPM rather than a distinct paradigm. Its added value lies in insisting on non-stationary planning, landscape-scale coordination and explicit treatment of uncertainty, while its principal weakness is the gap between conceptual frameworks and field evaluation. The credibility of climate-smart IPM will depend on multi-season, multi-site evidence that redesigned systems maintain pest suppression and yield stability under climatic shocks, and on institutional arrangements that make such systems accessible to the smallholders who face the greatest risk.</w:t>
      </w:r>
    </w:p>
    <w:p w14:paraId="406EC24E" w14:textId="77777777" w:rsidR="007B203C" w:rsidRDefault="00000000">
      <w:pPr>
        <w:pStyle w:val="Heading1"/>
        <w:keepNext/>
        <w:spacing w:before="240" w:after="120" w:line="360" w:lineRule="auto"/>
      </w:pPr>
      <w:r>
        <w:t>11. Limitations</w:t>
      </w:r>
    </w:p>
    <w:p w14:paraId="7420FEA1" w14:textId="77777777" w:rsidR="007B203C" w:rsidRDefault="00000000">
      <w:pPr>
        <w:spacing w:after="160" w:line="360" w:lineRule="auto"/>
        <w:jc w:val="both"/>
      </w:pPr>
      <w:r>
        <w:t>The first limitation is intrinsic to the narrative review design. Although searches were structured, eligibility criteria were stated and sources were appraised critically, the selection and interpretation of evidence inevitably involved judgement, and the possibility of selection and interpretive bias cannot be excluded. The qualitative confidence ratings presented in the tables reflect this judgement and are not the product of a formal evidence-grading system.</w:t>
      </w:r>
    </w:p>
    <w:p w14:paraId="30D5590E" w14:textId="77777777" w:rsidR="007B203C" w:rsidRDefault="00000000">
      <w:pPr>
        <w:spacing w:after="160" w:line="360" w:lineRule="auto"/>
        <w:jc w:val="both"/>
      </w:pPr>
      <w:r>
        <w:t>Access to subscription-based bibliographic databases was not available, so the search relied on open scholarly indexes and citation tracking, which may have missed some relevant studies, particularly those in regional journals with limited indexing. Only English-language publications were included, which may under-represent research published in Chinese, French, Portuguese, Spanish and other languages, including work from regions where climate impacts on pests are pronounced. For a small number of sources, appraisal relied on abstracts and publisher metadata rather than full texts.</w:t>
      </w:r>
    </w:p>
    <w:p w14:paraId="03C63D97" w14:textId="77777777" w:rsidR="007B203C" w:rsidRDefault="00000000">
      <w:pPr>
        <w:spacing w:after="160" w:line="360" w:lineRule="auto"/>
        <w:jc w:val="both"/>
      </w:pPr>
      <w:r>
        <w:t>The evidence base itself imposes constraints. Studies are concentrated in temperate regions and in a limited number of well-studied taxa, laboratory designs dominate the literature on thermal tolerance and pesticide toxicity, and long-term field evaluations of management strategies are scarce. The heterogeneity of study designs, outcome measures and spatial scales precluded quantitative synthesis, and publication bias favouring significant effects of climate on pests is likely. Because the field is developing rapidly, some conclusions may be revised as new multi-season field studies and syntheses become available.</w:t>
      </w:r>
    </w:p>
    <w:p w14:paraId="183B4AA1" w14:textId="77777777" w:rsidR="003B40AC" w:rsidRDefault="003B40AC">
      <w:pPr>
        <w:spacing w:after="160" w:line="360" w:lineRule="auto"/>
        <w:jc w:val="both"/>
      </w:pPr>
    </w:p>
    <w:p w14:paraId="172E407F" w14:textId="77777777" w:rsidR="003B40AC" w:rsidRPr="003B40AC" w:rsidRDefault="003B40AC" w:rsidP="003B40AC">
      <w:pPr>
        <w:rPr>
          <w:rFonts w:ascii="Arial" w:eastAsia="Calibri" w:hAnsi="Arial" w:cs="Arial"/>
          <w:b/>
          <w:sz w:val="20"/>
          <w:szCs w:val="20"/>
          <w:lang w:val="en-US" w:eastAsia="en-US" w:bidi="ar-SA"/>
        </w:rPr>
      </w:pPr>
      <w:r w:rsidRPr="003B40AC">
        <w:rPr>
          <w:rFonts w:ascii="Arial" w:eastAsia="Calibri" w:hAnsi="Arial" w:cs="Arial"/>
          <w:b/>
          <w:sz w:val="20"/>
          <w:szCs w:val="20"/>
          <w:lang w:val="en-US" w:eastAsia="en-US" w:bidi="ar-SA"/>
        </w:rPr>
        <w:t>Declaration of AI Use</w:t>
      </w:r>
    </w:p>
    <w:p w14:paraId="646D16BC" w14:textId="77777777" w:rsidR="003B40AC" w:rsidRPr="003B40AC" w:rsidRDefault="003B40AC" w:rsidP="003B40AC">
      <w:pPr>
        <w:rPr>
          <w:rFonts w:ascii="Arial" w:eastAsia="Calibri" w:hAnsi="Arial" w:cs="Arial"/>
          <w:sz w:val="20"/>
          <w:szCs w:val="20"/>
          <w:lang w:val="en-US" w:eastAsia="en-US" w:bidi="ar-SA"/>
        </w:rPr>
      </w:pPr>
    </w:p>
    <w:p w14:paraId="480E18E4" w14:textId="77777777" w:rsidR="003B40AC" w:rsidRPr="003B40AC" w:rsidRDefault="003B40AC" w:rsidP="003B40AC">
      <w:pPr>
        <w:rPr>
          <w:rFonts w:ascii="Arial" w:eastAsia="Calibri" w:hAnsi="Arial" w:cs="Arial"/>
          <w:sz w:val="20"/>
          <w:szCs w:val="20"/>
          <w:lang w:val="en-US" w:eastAsia="en-US" w:bidi="ar-SA"/>
        </w:rPr>
      </w:pPr>
      <w:r w:rsidRPr="003B40AC">
        <w:rPr>
          <w:rFonts w:ascii="Arial" w:eastAsia="Calibri" w:hAnsi="Arial" w:cs="Arial"/>
          <w:sz w:val="20"/>
          <w:szCs w:val="20"/>
          <w:lang w:val="en-US" w:eastAsia="en-US" w:bidi="ar-SA"/>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FDDC090" w14:textId="77777777" w:rsidR="003B40AC" w:rsidRPr="003B40AC" w:rsidRDefault="003B40AC" w:rsidP="003B40AC">
      <w:pPr>
        <w:jc w:val="both"/>
        <w:rPr>
          <w:rFonts w:eastAsia="Calibri"/>
          <w:sz w:val="22"/>
          <w:szCs w:val="22"/>
          <w:lang w:val="en-US" w:eastAsia="en-US" w:bidi="ar-SA"/>
        </w:rPr>
      </w:pPr>
    </w:p>
    <w:p w14:paraId="59313711" w14:textId="77777777" w:rsidR="003B40AC" w:rsidRPr="003B40AC" w:rsidRDefault="003B40AC" w:rsidP="003B40AC">
      <w:pPr>
        <w:jc w:val="both"/>
        <w:rPr>
          <w:rFonts w:eastAsia="Calibri"/>
          <w:sz w:val="22"/>
          <w:szCs w:val="22"/>
          <w:lang w:val="en-US" w:eastAsia="en-US" w:bidi="ar-SA"/>
        </w:rPr>
      </w:pPr>
    </w:p>
    <w:p w14:paraId="501A7073" w14:textId="77777777" w:rsidR="003B40AC" w:rsidRPr="003B40AC" w:rsidRDefault="003B40AC" w:rsidP="003B40AC">
      <w:pPr>
        <w:spacing w:after="200" w:line="276" w:lineRule="auto"/>
        <w:rPr>
          <w:rFonts w:ascii="Cambria" w:hAnsi="Cambria" w:cs="Arial"/>
          <w:b/>
          <w:bCs/>
          <w:sz w:val="22"/>
          <w:szCs w:val="22"/>
          <w:lang w:bidi="ar-SA"/>
        </w:rPr>
      </w:pPr>
      <w:r w:rsidRPr="003B40AC">
        <w:rPr>
          <w:rFonts w:ascii="Cambria" w:hAnsi="Cambria" w:cs="Arial"/>
          <w:b/>
          <w:bCs/>
          <w:sz w:val="22"/>
          <w:szCs w:val="22"/>
          <w:lang w:bidi="ar-SA"/>
        </w:rPr>
        <w:t>COMPETING INTERESTS DISCLAIMER:</w:t>
      </w:r>
    </w:p>
    <w:p w14:paraId="2158CD7C" w14:textId="77777777" w:rsidR="003B40AC" w:rsidRPr="003B40AC" w:rsidRDefault="003B40AC" w:rsidP="003B40AC">
      <w:pPr>
        <w:spacing w:after="200" w:line="276" w:lineRule="auto"/>
        <w:rPr>
          <w:rFonts w:ascii="Cambria" w:hAnsi="Cambria"/>
          <w:sz w:val="22"/>
          <w:szCs w:val="22"/>
          <w:lang w:bidi="ar-SA"/>
        </w:rPr>
      </w:pPr>
      <w:r w:rsidRPr="003B40AC">
        <w:rPr>
          <w:rFonts w:ascii="Cambria" w:hAnsi="Cambria" w:cs="Arial"/>
          <w:sz w:val="22"/>
          <w:szCs w:val="22"/>
          <w:lang w:bidi="ar-SA"/>
        </w:rPr>
        <w:t>Authors have declared that they have no known competing financial interests OR non-financial interests OR personal relationships that could have appeared to influence the work reported in this paper.</w:t>
      </w:r>
    </w:p>
    <w:p w14:paraId="749A2DCB" w14:textId="77777777" w:rsidR="003B40AC" w:rsidRDefault="003B40AC">
      <w:pPr>
        <w:spacing w:after="160" w:line="360" w:lineRule="auto"/>
        <w:jc w:val="both"/>
      </w:pPr>
    </w:p>
    <w:p w14:paraId="6735729D" w14:textId="77777777" w:rsidR="007B203C" w:rsidRDefault="00000000">
      <w:pPr>
        <w:pStyle w:val="Heading1"/>
        <w:keepNext/>
        <w:spacing w:before="240" w:after="120" w:line="360" w:lineRule="auto"/>
      </w:pPr>
      <w:r>
        <w:t>References</w:t>
      </w:r>
    </w:p>
    <w:p w14:paraId="087AEA0C" w14:textId="5927997B" w:rsidR="007B203C" w:rsidRDefault="00000000">
      <w:pPr>
        <w:spacing w:after="120" w:line="360" w:lineRule="auto"/>
        <w:ind w:left="720" w:hanging="720"/>
      </w:pPr>
      <w:r>
        <w:t xml:space="preserve">Agbodjan, M. M., Agboka, K. M., Odindi, J., Abdel-Rahman, E., Mutanga, O., Chidawanyika, F., Tanga, C., Mutyambai, D. M., Subramanian, S., &amp; Sokame, B. M. (2026). Pest risk modelling for climate-smart vegetable production in East Africa. </w:t>
      </w:r>
      <w:r>
        <w:rPr>
          <w:i/>
          <w:iCs/>
        </w:rPr>
        <w:t>Environmental Entomology, 55</w:t>
      </w:r>
      <w:r>
        <w:t xml:space="preserve">(3), Article nvag042. </w:t>
      </w:r>
      <w:r w:rsidRPr="00471890">
        <w:t>https://doi.org/10.1093/ee/nvag042</w:t>
      </w:r>
    </w:p>
    <w:p w14:paraId="6E718F3F" w14:textId="4BD55A7D" w:rsidR="007B203C" w:rsidRDefault="00000000">
      <w:pPr>
        <w:spacing w:after="120" w:line="360" w:lineRule="auto"/>
        <w:ind w:left="720" w:hanging="720"/>
      </w:pPr>
      <w:r>
        <w:t xml:space="preserve">Altermatt, F. (2010). Climatic warming increases voltinism in European butterflies and moths. </w:t>
      </w:r>
      <w:r>
        <w:rPr>
          <w:i/>
          <w:iCs/>
        </w:rPr>
        <w:t>Proceedings of the Royal Society B: Biological Sciences, 277</w:t>
      </w:r>
      <w:r>
        <w:t xml:space="preserve">(1685), 1281–1287. </w:t>
      </w:r>
      <w:r w:rsidRPr="00471890">
        <w:t>https://doi.org/10.1098/rspb.2009.1910</w:t>
      </w:r>
    </w:p>
    <w:p w14:paraId="15914945" w14:textId="7943DDFF" w:rsidR="007B203C" w:rsidRDefault="00000000">
      <w:pPr>
        <w:spacing w:after="120" w:line="360" w:lineRule="auto"/>
        <w:ind w:left="720" w:hanging="720"/>
      </w:pPr>
      <w:r>
        <w:t xml:space="preserve">Baethge, C., Goldbeck-Wood, S., &amp; Mertens, S. (2019). SANRA—a scale for the quality assessment of narrative review articles. </w:t>
      </w:r>
      <w:r>
        <w:rPr>
          <w:i/>
          <w:iCs/>
        </w:rPr>
        <w:t>Research Integrity and Peer Review, 4</w:t>
      </w:r>
      <w:r>
        <w:t xml:space="preserve">(1), Article 5. </w:t>
      </w:r>
      <w:r w:rsidRPr="00471890">
        <w:t>https://doi.org/10.1186/s41073-019-0064-8</w:t>
      </w:r>
    </w:p>
    <w:p w14:paraId="01B48668" w14:textId="2EC268D6" w:rsidR="007B203C" w:rsidRDefault="00000000">
      <w:pPr>
        <w:spacing w:after="120" w:line="360" w:lineRule="auto"/>
        <w:ind w:left="720" w:hanging="720"/>
      </w:pPr>
      <w:r>
        <w:t xml:space="preserve">Bagni, T., Bouanou, M., Siaussat, D., Maria, A., Fuentes, A., Couzi, P., &amp; Massot, M. (2024). Daily temperature fluctuation interacts with the mean temperature to increase the toxicity of a pyrethroid insecticide in a moth. </w:t>
      </w:r>
      <w:r>
        <w:rPr>
          <w:i/>
          <w:iCs/>
        </w:rPr>
        <w:t>Chemosphere, 356</w:t>
      </w:r>
      <w:r>
        <w:t xml:space="preserve">, Article 141888. </w:t>
      </w:r>
      <w:r w:rsidRPr="00471890">
        <w:t>https://doi.org/10.1016/j.chemosphere.2024.141888</w:t>
      </w:r>
    </w:p>
    <w:p w14:paraId="0594E8F3" w14:textId="78BDE76E" w:rsidR="007B203C" w:rsidRDefault="00000000">
      <w:pPr>
        <w:spacing w:after="120" w:line="360" w:lineRule="auto"/>
        <w:ind w:left="720" w:hanging="720"/>
      </w:pPr>
      <w:r>
        <w:t xml:space="preserve">Bale, J. S., Masters, G. J., Hodkinson, I. D., Awmack, C., Bezemer, T. M., Brown, V. K., Butterfield, J., Buse, A., Coulson, J. C., Farrar, J., Good, J. E. G., Harrington, R., Hartley, S., Jones, T. H., Lindroth, R. L., Press, M. C., Symrnioudis, I., Watt, A. D., &amp; Whittaker, J. B. (2002). Herbivory in global climate change research: Direct effects of rising temperature on insect herbivores. </w:t>
      </w:r>
      <w:r>
        <w:rPr>
          <w:i/>
          <w:iCs/>
        </w:rPr>
        <w:t>Global Change Biology, 8</w:t>
      </w:r>
      <w:r>
        <w:t xml:space="preserve">(1), 1–16. </w:t>
      </w:r>
      <w:r w:rsidRPr="00471890">
        <w:t>https://doi.org/10.1046/j.1365-2486.2002.00451.x</w:t>
      </w:r>
    </w:p>
    <w:p w14:paraId="3CB9695A" w14:textId="71B17902" w:rsidR="007B203C" w:rsidRDefault="00000000">
      <w:pPr>
        <w:spacing w:after="120" w:line="360" w:lineRule="auto"/>
        <w:ind w:left="720" w:hanging="720"/>
      </w:pPr>
      <w:r>
        <w:lastRenderedPageBreak/>
        <w:t xml:space="preserve">Barzman, M., Bàrberi, P., Birch, A. N. E., Boonekamp, P., Dachbrodt-Saaydeh, S., Graf, B., Hommel, B., Jensen, J. E., Kiss, J., Kudsk, P., Lamichhane, J. R., Messéan, A., Moonen, A.-C., Ratnadass, A., Ricci, P., Sarah, J.-L., &amp; Sattin, M. (2015). Eight principles of integrated pest management. </w:t>
      </w:r>
      <w:r>
        <w:rPr>
          <w:i/>
          <w:iCs/>
        </w:rPr>
        <w:t>Agronomy for Sustainable Development, 35</w:t>
      </w:r>
      <w:r>
        <w:t xml:space="preserve">(4), 1199–1215. </w:t>
      </w:r>
      <w:r w:rsidRPr="00471890">
        <w:t>https://doi.org/10.1007/s13593-015-0327-9</w:t>
      </w:r>
    </w:p>
    <w:p w14:paraId="300B7F93" w14:textId="4F29BE53" w:rsidR="007B203C" w:rsidRDefault="00000000">
      <w:pPr>
        <w:spacing w:after="120" w:line="360" w:lineRule="auto"/>
        <w:ind w:left="720" w:hanging="720"/>
      </w:pPr>
      <w:r>
        <w:t xml:space="preserve">Bebber, D. P., Ramotowski, M. A. T., &amp; Gurr, S. J. (2013). Crop pests and pathogens move polewards in a warming world. </w:t>
      </w:r>
      <w:r>
        <w:rPr>
          <w:i/>
          <w:iCs/>
        </w:rPr>
        <w:t>Nature Climate Change, 3</w:t>
      </w:r>
      <w:r>
        <w:t xml:space="preserve">(11), 985–988. </w:t>
      </w:r>
      <w:r w:rsidRPr="00471890">
        <w:t>https://doi.org/10.1038/nclimate1990</w:t>
      </w:r>
    </w:p>
    <w:p w14:paraId="4429E572" w14:textId="25CE65B5" w:rsidR="007B203C" w:rsidRDefault="00000000">
      <w:pPr>
        <w:spacing w:after="120" w:line="360" w:lineRule="auto"/>
        <w:ind w:left="720" w:hanging="720"/>
      </w:pPr>
      <w:r>
        <w:t xml:space="preserve">Bottrell, D. G., &amp; Schoenly, K. G. (2012). Resurrecting the ghost of green revolutions past: The brown planthopper as a recurring threat to high-yielding rice production in tropical Asia. </w:t>
      </w:r>
      <w:r>
        <w:rPr>
          <w:i/>
          <w:iCs/>
        </w:rPr>
        <w:t>Journal of Asia-Pacific Entomology, 15</w:t>
      </w:r>
      <w:r>
        <w:t xml:space="preserve">(1), 122–140. </w:t>
      </w:r>
      <w:r w:rsidRPr="00471890">
        <w:t>https://doi.org/10.1016/j.aspen.2011.09.004</w:t>
      </w:r>
    </w:p>
    <w:p w14:paraId="1654255A" w14:textId="635716B6" w:rsidR="007B203C" w:rsidRDefault="00000000">
      <w:pPr>
        <w:spacing w:after="120" w:line="360" w:lineRule="auto"/>
        <w:ind w:left="720" w:hanging="720"/>
      </w:pPr>
      <w:r>
        <w:t xml:space="preserve">Bouri, M., Arslan, K. S., &amp; Şahin, F. (2023). Climate-smart pest management in sustainable agriculture: Promises and challenges. </w:t>
      </w:r>
      <w:r>
        <w:rPr>
          <w:i/>
          <w:iCs/>
        </w:rPr>
        <w:t>Sustainability, 15</w:t>
      </w:r>
      <w:r>
        <w:t xml:space="preserve">(5), Article 4592. </w:t>
      </w:r>
      <w:r w:rsidRPr="00471890">
        <w:t>https://doi.org/10.3390/su15054592</w:t>
      </w:r>
    </w:p>
    <w:p w14:paraId="3529A67E" w14:textId="0B37DAD9" w:rsidR="007B203C" w:rsidRDefault="00000000">
      <w:pPr>
        <w:spacing w:after="120" w:line="360" w:lineRule="auto"/>
        <w:ind w:left="720" w:hanging="720"/>
      </w:pPr>
      <w:r>
        <w:t xml:space="preserve">Bradshaw, C. J. A., Leroy, B., Bellard, C., Roiz, D., Albert, C., Fournier, A., Barbet-Massin, M., Salles, J.-M., Simard, F., &amp; Courchamp, F. (2016). Massive yet grossly underestimated global costs of invasive insects. </w:t>
      </w:r>
      <w:r>
        <w:rPr>
          <w:i/>
          <w:iCs/>
        </w:rPr>
        <w:t>Nature Communications, 7</w:t>
      </w:r>
      <w:r>
        <w:t xml:space="preserve">(1), Article 12986. </w:t>
      </w:r>
      <w:r w:rsidRPr="00471890">
        <w:t>https://doi.org/10.1038/ncomms12986</w:t>
      </w:r>
    </w:p>
    <w:p w14:paraId="19E4FD7A" w14:textId="3A631F03" w:rsidR="007B203C" w:rsidRDefault="00000000">
      <w:pPr>
        <w:spacing w:after="120" w:line="360" w:lineRule="auto"/>
        <w:ind w:left="720" w:hanging="720"/>
      </w:pPr>
      <w:r>
        <w:t xml:space="preserve">Bueno, E. M., McIlhenny, C. L., &amp; Chen, Y. H. (2023). Cross-protection interactions in insect pests: Implications for pest management in a changing climate. </w:t>
      </w:r>
      <w:r>
        <w:rPr>
          <w:i/>
          <w:iCs/>
        </w:rPr>
        <w:t>Pest Management Science, 79</w:t>
      </w:r>
      <w:r>
        <w:t xml:space="preserve">(1), 9–20. </w:t>
      </w:r>
      <w:r w:rsidRPr="00471890">
        <w:t>https://doi.org/10.1002/ps.7191</w:t>
      </w:r>
    </w:p>
    <w:p w14:paraId="00DCF2A9" w14:textId="137F3706" w:rsidR="007B203C" w:rsidRDefault="00000000">
      <w:pPr>
        <w:spacing w:after="120" w:line="360" w:lineRule="auto"/>
        <w:ind w:left="720" w:hanging="720"/>
      </w:pPr>
      <w:r>
        <w:t xml:space="preserve">Chen, X., He, Z., Li, R., Di, W., Ou, D., Zhang, L., Zhang, P., &amp; Qiu, B.-L. (2026). Asymmetric thermal responses between the globally invasive pest </w:t>
      </w:r>
      <w:r>
        <w:rPr>
          <w:i/>
          <w:iCs/>
        </w:rPr>
        <w:t>Bemisia tabaci</w:t>
      </w:r>
      <w:r>
        <w:t xml:space="preserve"> and its parasitoids: Implications for biological control under warming climates. </w:t>
      </w:r>
      <w:r>
        <w:rPr>
          <w:i/>
          <w:iCs/>
        </w:rPr>
        <w:t>Pest Management Science, 82</w:t>
      </w:r>
      <w:r>
        <w:t xml:space="preserve">(6), 5745–5756. </w:t>
      </w:r>
      <w:r w:rsidRPr="00471890">
        <w:t>https://doi.org/10.1002/ps.70676</w:t>
      </w:r>
    </w:p>
    <w:p w14:paraId="3755FFDB" w14:textId="14E1B18D" w:rsidR="007B203C" w:rsidRDefault="00000000">
      <w:pPr>
        <w:spacing w:after="120" w:line="360" w:lineRule="auto"/>
        <w:ind w:left="720" w:hanging="720"/>
      </w:pPr>
      <w:r>
        <w:t xml:space="preserve">Chidawanyika, F., Mudavanhu, P., &amp; Nyamukondiwa, C. (2019). Global climate change as a driver of bottom-up and top-down factors in agricultural landscapes and the fate of host-parasitoid interactions. </w:t>
      </w:r>
      <w:r>
        <w:rPr>
          <w:i/>
          <w:iCs/>
        </w:rPr>
        <w:t>Frontiers in Ecology and Evolution, 7</w:t>
      </w:r>
      <w:r>
        <w:t xml:space="preserve">, Article 80. </w:t>
      </w:r>
      <w:r w:rsidRPr="00471890">
        <w:t>https://doi.org/10.3389/fevo.2019.00080</w:t>
      </w:r>
    </w:p>
    <w:p w14:paraId="794552D1" w14:textId="0D17E64D" w:rsidR="007B203C" w:rsidRDefault="00000000">
      <w:pPr>
        <w:spacing w:after="120" w:line="360" w:lineRule="auto"/>
        <w:ind w:left="720" w:hanging="720"/>
      </w:pPr>
      <w:r>
        <w:lastRenderedPageBreak/>
        <w:t xml:space="preserve">Colinet, H., Sinclair, B. J., Vernon, P., &amp; Renault, D. (2015). Insects in fluctuating thermal environments. </w:t>
      </w:r>
      <w:r>
        <w:rPr>
          <w:i/>
          <w:iCs/>
        </w:rPr>
        <w:t>Annual Review of Entomology, 60</w:t>
      </w:r>
      <w:r>
        <w:t xml:space="preserve">(1), 123–140. </w:t>
      </w:r>
      <w:r w:rsidRPr="00471890">
        <w:t>https://doi.org/10.1146/annurev-ento-010814-021017</w:t>
      </w:r>
    </w:p>
    <w:p w14:paraId="7387148F" w14:textId="0FB6EEA8" w:rsidR="007B203C" w:rsidRDefault="00000000">
      <w:pPr>
        <w:spacing w:after="120" w:line="360" w:lineRule="auto"/>
        <w:ind w:left="720" w:hanging="720"/>
      </w:pPr>
      <w:r>
        <w:t xml:space="preserve">Dainese, M., Martin, E. A., Aizen, M. A., Albrecht, M., Bartomeus, I., Bommarco, R., Carvalheiro, L. G., Chaplin-Kramer, R., Gagic, V., Garibaldi, L. A., Ghazoul, J., Grab, H., Jonsson, M., Karp, D. S., Kennedy, C. M., Kleijn, D., Kremen, C., Landis, D. A., Letourneau, D. K., . . . Steffan-Dewenter, I. (2019). A global synthesis reveals biodiversity-mediated benefits for crop production. </w:t>
      </w:r>
      <w:r>
        <w:rPr>
          <w:i/>
          <w:iCs/>
        </w:rPr>
        <w:t>Science Advances, 5</w:t>
      </w:r>
      <w:r>
        <w:t xml:space="preserve">(10), Article eaax0121. </w:t>
      </w:r>
      <w:r w:rsidRPr="00471890">
        <w:t>https://doi.org/10.1126/sciadv.aax0121</w:t>
      </w:r>
    </w:p>
    <w:p w14:paraId="202C9CE0" w14:textId="346787F2" w:rsidR="007B203C" w:rsidRDefault="00000000">
      <w:pPr>
        <w:spacing w:after="120" w:line="360" w:lineRule="auto"/>
        <w:ind w:left="720" w:hanging="720"/>
      </w:pPr>
      <w:r>
        <w:t xml:space="preserve">Dale, A. G., &amp; Frank, S. D. (2017). Warming and drought combine to increase pest insect fitness on urban trees. </w:t>
      </w:r>
      <w:r>
        <w:rPr>
          <w:i/>
          <w:iCs/>
        </w:rPr>
        <w:t>PLOS ONE, 12</w:t>
      </w:r>
      <w:r>
        <w:t xml:space="preserve">(3), Article e0173844. </w:t>
      </w:r>
      <w:r w:rsidRPr="00471890">
        <w:t>https://doi.org/10.1371/journal.pone.0173844</w:t>
      </w:r>
    </w:p>
    <w:p w14:paraId="6A8AF8A4" w14:textId="5A254C25" w:rsidR="007B203C" w:rsidRDefault="00000000">
      <w:pPr>
        <w:spacing w:after="120" w:line="360" w:lineRule="auto"/>
        <w:ind w:left="720" w:hanging="720"/>
      </w:pPr>
      <w:r>
        <w:t xml:space="preserve">Deguine, J.-P., Aubertot, J.-N., Flor, R. J., Lescourret, F., Wyckhuys, K. A. G., &amp; Ratnadass, A. (2021). Integrated pest management: Good intentions, hard realities. A review. </w:t>
      </w:r>
      <w:r>
        <w:rPr>
          <w:i/>
          <w:iCs/>
        </w:rPr>
        <w:t>Agronomy for Sustainable Development, 41</w:t>
      </w:r>
      <w:r>
        <w:t xml:space="preserve">(3), Article 38. </w:t>
      </w:r>
      <w:r w:rsidRPr="00471890">
        <w:t>https://doi.org/10.1007/s13593-021-00689-w</w:t>
      </w:r>
    </w:p>
    <w:p w14:paraId="70719F6A" w14:textId="51C58AC9" w:rsidR="007B203C" w:rsidRDefault="00000000">
      <w:pPr>
        <w:spacing w:after="120" w:line="360" w:lineRule="auto"/>
        <w:ind w:left="720" w:hanging="720"/>
      </w:pPr>
      <w:r>
        <w:t xml:space="preserve">Delcour, I., Spanoghe, P., &amp; Uyttendaele, M. (2015). Literature review: Impact of climate change on pesticide use. </w:t>
      </w:r>
      <w:r>
        <w:rPr>
          <w:i/>
          <w:iCs/>
        </w:rPr>
        <w:t>Food Research International, 68</w:t>
      </w:r>
      <w:r>
        <w:t xml:space="preserve">, 7–15. </w:t>
      </w:r>
      <w:r w:rsidRPr="00471890">
        <w:t>https://doi.org/10.1016/j.foodres.2014.09.030</w:t>
      </w:r>
    </w:p>
    <w:p w14:paraId="51FD9EAB" w14:textId="3A24BA99" w:rsidR="007B203C" w:rsidRDefault="00000000">
      <w:pPr>
        <w:spacing w:after="120" w:line="360" w:lineRule="auto"/>
        <w:ind w:left="720" w:hanging="720"/>
      </w:pPr>
      <w:r>
        <w:t xml:space="preserve">Deutsch, C. A., Tewksbury, J. J., Huey, R. B., Sheldon, K. S., Ghalambor, C. K., Haak, D. C., &amp; Martin, P. R. (2008). Impacts of climate warming on terrestrial ectotherms across latitude. </w:t>
      </w:r>
      <w:r>
        <w:rPr>
          <w:i/>
          <w:iCs/>
        </w:rPr>
        <w:t>Proceedings of the National Academy of Sciences, 105</w:t>
      </w:r>
      <w:r>
        <w:t xml:space="preserve">(18), 6668–6672. </w:t>
      </w:r>
      <w:r w:rsidRPr="00471890">
        <w:t>https://doi.org/10.1073/pnas.0709472105</w:t>
      </w:r>
    </w:p>
    <w:p w14:paraId="09BCD506" w14:textId="3D8E54C0" w:rsidR="007B203C" w:rsidRDefault="00000000">
      <w:pPr>
        <w:spacing w:after="120" w:line="360" w:lineRule="auto"/>
        <w:ind w:left="720" w:hanging="720"/>
      </w:pPr>
      <w:r>
        <w:t xml:space="preserve">Deutsch, C. A., Tewksbury, J. J., Tigchelaar, M., Battisti, D. S., Merrill, S. C., Huey, R. B., &amp; Naylor, R. L. (2018). Increase in crop losses to insect pests in a warming climate. </w:t>
      </w:r>
      <w:r>
        <w:rPr>
          <w:i/>
          <w:iCs/>
        </w:rPr>
        <w:t>Science, 361</w:t>
      </w:r>
      <w:r>
        <w:t xml:space="preserve">(6405), 916–919. </w:t>
      </w:r>
      <w:r w:rsidRPr="00471890">
        <w:t>https://doi.org/10.1126/science.aat3466</w:t>
      </w:r>
    </w:p>
    <w:p w14:paraId="2C4504EC" w14:textId="37FC9393" w:rsidR="007B203C" w:rsidRDefault="00000000">
      <w:pPr>
        <w:spacing w:after="120" w:line="360" w:lineRule="auto"/>
        <w:ind w:left="720" w:hanging="720"/>
      </w:pPr>
      <w:r>
        <w:t xml:space="preserve">Donatelli, M., Magarey, R. D., Bregaglio, S., Willocquet, L., Whish, J. P. M., &amp; Savary, S. (2017). Modelling the impacts of pests and diseases on agricultural systems. </w:t>
      </w:r>
      <w:r>
        <w:rPr>
          <w:i/>
          <w:iCs/>
        </w:rPr>
        <w:t>Agricultural Systems, 155</w:t>
      </w:r>
      <w:r>
        <w:t xml:space="preserve">, 213–224. </w:t>
      </w:r>
      <w:r w:rsidRPr="00471890">
        <w:t>https://doi.org/10.1016/j.agsy.2017.01.019</w:t>
      </w:r>
    </w:p>
    <w:p w14:paraId="6EDA9EFC" w14:textId="30C61A13" w:rsidR="007B203C" w:rsidRDefault="00000000">
      <w:pPr>
        <w:spacing w:after="120" w:line="360" w:lineRule="auto"/>
        <w:ind w:left="720" w:hanging="720"/>
      </w:pPr>
      <w:r>
        <w:lastRenderedPageBreak/>
        <w:t xml:space="preserve">Early, R., González-Moreno, P., Murphy, S. T., &amp; Day, R. (2018). Forecasting the global extent of invasion of the cereal pest </w:t>
      </w:r>
      <w:r>
        <w:rPr>
          <w:i/>
          <w:iCs/>
        </w:rPr>
        <w:t>Spodoptera frugiperda</w:t>
      </w:r>
      <w:r>
        <w:t xml:space="preserve">, the fall armyworm. </w:t>
      </w:r>
      <w:r>
        <w:rPr>
          <w:i/>
          <w:iCs/>
        </w:rPr>
        <w:t>NeoBiota, 40</w:t>
      </w:r>
      <w:r>
        <w:t xml:space="preserve">, 25–50. </w:t>
      </w:r>
      <w:r w:rsidRPr="00471890">
        <w:t>https://doi.org/10.3897/neobiota.40.28165</w:t>
      </w:r>
    </w:p>
    <w:p w14:paraId="54120DCD" w14:textId="1C3CED6A" w:rsidR="007B203C" w:rsidRDefault="00000000">
      <w:pPr>
        <w:spacing w:after="120" w:line="360" w:lineRule="auto"/>
        <w:ind w:left="720" w:hanging="720"/>
      </w:pPr>
      <w:r>
        <w:t xml:space="preserve">Early, R., Rwomushana, I., Chipabika, G., &amp; Day, R. (2022). Comparing, evaluating and combining statistical species distribution models and CLIMEX to forecast the distributions of emerging crop pests. </w:t>
      </w:r>
      <w:r>
        <w:rPr>
          <w:i/>
          <w:iCs/>
        </w:rPr>
        <w:t>Pest Management Science, 78</w:t>
      </w:r>
      <w:r>
        <w:t xml:space="preserve">(2), 671–683. </w:t>
      </w:r>
      <w:r w:rsidRPr="00471890">
        <w:t>https://doi.org/10.1002/ps.6677</w:t>
      </w:r>
    </w:p>
    <w:p w14:paraId="53A84CCF" w14:textId="454A8ED9" w:rsidR="007B203C" w:rsidRDefault="00000000">
      <w:pPr>
        <w:spacing w:after="120" w:line="360" w:lineRule="auto"/>
        <w:ind w:left="720" w:hanging="720"/>
      </w:pPr>
      <w:r>
        <w:t xml:space="preserve">Eigenbrode, S. D., &amp; Adhikari, S. (2023). Climate change and managing insect pests and beneficials in agricultural systems. </w:t>
      </w:r>
      <w:r>
        <w:rPr>
          <w:i/>
          <w:iCs/>
        </w:rPr>
        <w:t>Agronomy Journal, 115</w:t>
      </w:r>
      <w:r>
        <w:t xml:space="preserve">(5), 2194–2215. </w:t>
      </w:r>
      <w:r w:rsidRPr="00471890">
        <w:t>https://doi.org/10.1002/agj2.21399</w:t>
      </w:r>
    </w:p>
    <w:p w14:paraId="7A978B25" w14:textId="5B7E1FEE" w:rsidR="007B203C" w:rsidRDefault="00000000">
      <w:pPr>
        <w:spacing w:after="120" w:line="360" w:lineRule="auto"/>
        <w:ind w:left="720" w:hanging="720"/>
      </w:pPr>
      <w:r>
        <w:t xml:space="preserve">Ejaz, M. R., Jaoua, S., Lorestani, N., &amp; Shabani, F. (2025). Global climate change and its impact on the distribution and efficacy of </w:t>
      </w:r>
      <w:r>
        <w:rPr>
          <w:i/>
          <w:iCs/>
        </w:rPr>
        <w:t>Bacillus thuringiensis</w:t>
      </w:r>
      <w:r>
        <w:t xml:space="preserve"> as a biopesticide. </w:t>
      </w:r>
      <w:r>
        <w:rPr>
          <w:i/>
          <w:iCs/>
        </w:rPr>
        <w:t>Science of the Total Environment, 958</w:t>
      </w:r>
      <w:r>
        <w:t xml:space="preserve">, Article 178091. </w:t>
      </w:r>
      <w:r w:rsidRPr="00471890">
        <w:t>https://doi.org/10.1016/j.scitotenv.2024.178091</w:t>
      </w:r>
    </w:p>
    <w:p w14:paraId="22C20480" w14:textId="1DF7BD31" w:rsidR="007B203C" w:rsidRDefault="00000000">
      <w:pPr>
        <w:spacing w:after="120" w:line="360" w:lineRule="auto"/>
        <w:ind w:left="720" w:hanging="720"/>
      </w:pPr>
      <w:r>
        <w:t xml:space="preserve">Evans, E. W., Carlile, N. R., Innes, M. B., &amp; Pitigala, N. (2013). Warm springs reduce parasitism of the cereal leaf beetle through phenological mismatch. </w:t>
      </w:r>
      <w:r>
        <w:rPr>
          <w:i/>
          <w:iCs/>
        </w:rPr>
        <w:t>Journal of Applied Entomology, 137</w:t>
      </w:r>
      <w:r>
        <w:t xml:space="preserve">(5), 383–391. </w:t>
      </w:r>
      <w:r w:rsidRPr="00471890">
        <w:t>https://doi.org/10.1111/jen.12028</w:t>
      </w:r>
    </w:p>
    <w:p w14:paraId="0833784C" w14:textId="22209B4F" w:rsidR="007B203C" w:rsidRDefault="00000000">
      <w:pPr>
        <w:spacing w:after="120" w:line="360" w:lineRule="auto"/>
        <w:ind w:left="720" w:hanging="720"/>
      </w:pPr>
      <w:r>
        <w:t xml:space="preserve">Feit, B., Blüthgen, N., Daouti, E., Straub, C., Traugott, M., &amp; Jonsson, M. (2021). Landscape complexity promotes resilience of biological pest control to climate change. </w:t>
      </w:r>
      <w:r>
        <w:rPr>
          <w:i/>
          <w:iCs/>
        </w:rPr>
        <w:t>Proceedings of the Royal Society B: Biological Sciences, 288</w:t>
      </w:r>
      <w:r>
        <w:t xml:space="preserve">(1951), Article 20210547. </w:t>
      </w:r>
      <w:r w:rsidRPr="00471890">
        <w:t>https://doi.org/10.1098/rspb.2021.0547</w:t>
      </w:r>
    </w:p>
    <w:p w14:paraId="399AAE43" w14:textId="11B1F7EA" w:rsidR="007B203C" w:rsidRDefault="00000000">
      <w:pPr>
        <w:spacing w:after="120" w:line="360" w:lineRule="auto"/>
        <w:ind w:left="720" w:hanging="720"/>
      </w:pPr>
      <w:r>
        <w:t xml:space="preserve">Firake, D. M., &amp; Behere, G. T. (2020). Natural mortality of invasive fall armyworm, </w:t>
      </w:r>
      <w:r>
        <w:rPr>
          <w:i/>
          <w:iCs/>
        </w:rPr>
        <w:t>Spodoptera frugiperda</w:t>
      </w:r>
      <w:r>
        <w:t xml:space="preserve"> (J. E. Smith) (Lepidoptera: Noctuidae) in maize agroecosystems of northeast India. </w:t>
      </w:r>
      <w:r>
        <w:rPr>
          <w:i/>
          <w:iCs/>
        </w:rPr>
        <w:t>Biological Control, 148</w:t>
      </w:r>
      <w:r>
        <w:t xml:space="preserve">, Article 104303. </w:t>
      </w:r>
      <w:r w:rsidRPr="00471890">
        <w:t>https://doi.org/10.1016/j.biocontrol.2020.104303</w:t>
      </w:r>
    </w:p>
    <w:p w14:paraId="7E1C1215" w14:textId="17A16308" w:rsidR="007B203C" w:rsidRDefault="00000000">
      <w:pPr>
        <w:spacing w:after="120" w:line="360" w:lineRule="auto"/>
        <w:ind w:left="720" w:hanging="720"/>
      </w:pPr>
      <w:r>
        <w:t xml:space="preserve">Furlong, M. J., &amp; Zalucki, M. P. (2017). Climate change and biological control: The consequences of increasing temperatures on host–parasitoid interactions. </w:t>
      </w:r>
      <w:r>
        <w:rPr>
          <w:i/>
          <w:iCs/>
        </w:rPr>
        <w:t>Current Opinion in Insect Science, 20</w:t>
      </w:r>
      <w:r>
        <w:t xml:space="preserve">, 39–44. </w:t>
      </w:r>
      <w:r w:rsidRPr="00471890">
        <w:t>https://doi.org/10.1016/j.cois.2017.03.006</w:t>
      </w:r>
    </w:p>
    <w:p w14:paraId="15EEB65A" w14:textId="4BB24A9B" w:rsidR="007B203C" w:rsidRDefault="00000000">
      <w:pPr>
        <w:spacing w:after="120" w:line="360" w:lineRule="auto"/>
        <w:ind w:left="720" w:hanging="720"/>
      </w:pPr>
      <w:r>
        <w:t xml:space="preserve">Gely, C., Laurance, S. G. W., &amp; Stork, N. E. (2020). How do herbivorous insects respond to drought stress in trees? </w:t>
      </w:r>
      <w:r>
        <w:rPr>
          <w:i/>
          <w:iCs/>
        </w:rPr>
        <w:t>Biological Reviews, 95</w:t>
      </w:r>
      <w:r>
        <w:t xml:space="preserve">(2), 434–448. </w:t>
      </w:r>
      <w:r w:rsidRPr="00471890">
        <w:t>https://doi.org/10.1111/brv.12571</w:t>
      </w:r>
    </w:p>
    <w:p w14:paraId="01D664F4" w14:textId="6251166E" w:rsidR="007B203C" w:rsidRDefault="00000000">
      <w:pPr>
        <w:spacing w:after="120" w:line="360" w:lineRule="auto"/>
        <w:ind w:left="720" w:hanging="720"/>
      </w:pPr>
      <w:r>
        <w:lastRenderedPageBreak/>
        <w:t xml:space="preserve">Goergen, G., Kumar, P. L., Sankung, S. B., Togola, A., &amp; Tamò, M. (2016). First report of outbreaks of the fall armyworm </w:t>
      </w:r>
      <w:r>
        <w:rPr>
          <w:i/>
          <w:iCs/>
        </w:rPr>
        <w:t>Spodoptera frugiperda</w:t>
      </w:r>
      <w:r>
        <w:t xml:space="preserve"> (J E Smith) (Lepidoptera, Noctuidae), a new alien invasive pest in West and Central Africa. </w:t>
      </w:r>
      <w:r>
        <w:rPr>
          <w:i/>
          <w:iCs/>
        </w:rPr>
        <w:t>PLOS ONE, 11</w:t>
      </w:r>
      <w:r>
        <w:t xml:space="preserve">(10), Article e0165632. </w:t>
      </w:r>
      <w:r w:rsidRPr="00471890">
        <w:t>https://doi.org/10.1371/journal.pone.0165632</w:t>
      </w:r>
    </w:p>
    <w:p w14:paraId="18EB9858" w14:textId="38413E57" w:rsidR="007B203C" w:rsidRDefault="00000000">
      <w:pPr>
        <w:spacing w:after="120" w:line="360" w:lineRule="auto"/>
        <w:ind w:left="720" w:hanging="720"/>
      </w:pPr>
      <w:r>
        <w:t xml:space="preserve">Greenhalgh, T., Thorne, S., &amp; Malterud, K. (2018). Time to challenge the spurious hierarchy of systematic over narrative reviews? </w:t>
      </w:r>
      <w:r>
        <w:rPr>
          <w:i/>
          <w:iCs/>
        </w:rPr>
        <w:t>European Journal of Clinical Investigation, 48</w:t>
      </w:r>
      <w:r>
        <w:t xml:space="preserve">(6), Article e12931. </w:t>
      </w:r>
      <w:r w:rsidRPr="00471890">
        <w:t>https://doi.org/10.1111/eci.12931</w:t>
      </w:r>
    </w:p>
    <w:p w14:paraId="21402830" w14:textId="653A06E2" w:rsidR="007B203C" w:rsidRDefault="00000000">
      <w:pPr>
        <w:spacing w:after="120" w:line="360" w:lineRule="auto"/>
        <w:ind w:left="720" w:hanging="720"/>
      </w:pPr>
      <w:r>
        <w:t xml:space="preserve">Guenat, S., Kaartinen, R., &amp; Jonsson, M. (2019). Shade trees decrease pest abundances on brassica crops in Kenya. </w:t>
      </w:r>
      <w:r>
        <w:rPr>
          <w:i/>
          <w:iCs/>
        </w:rPr>
        <w:t>Agroforestry Systems, 93</w:t>
      </w:r>
      <w:r>
        <w:t xml:space="preserve">(2), 641–652. </w:t>
      </w:r>
      <w:r w:rsidRPr="00471890">
        <w:t>https://doi.org/10.1007/s10457-017-0159-5</w:t>
      </w:r>
    </w:p>
    <w:p w14:paraId="3552771B" w14:textId="676A6314" w:rsidR="007B203C" w:rsidRDefault="00000000">
      <w:pPr>
        <w:spacing w:after="120" w:line="360" w:lineRule="auto"/>
        <w:ind w:left="720" w:hanging="720"/>
      </w:pPr>
      <w:r>
        <w:t xml:space="preserve">Gugissa, D. A., Abro, Z., &amp; Tefera, T. (2022). Achieving a climate-change resilient farming system through push–pull technology: Evidence from maize farming systems in Ethiopia. </w:t>
      </w:r>
      <w:r>
        <w:rPr>
          <w:i/>
          <w:iCs/>
        </w:rPr>
        <w:t>Sustainability, 14</w:t>
      </w:r>
      <w:r>
        <w:t xml:space="preserve">(5), Article 2648. </w:t>
      </w:r>
      <w:r w:rsidRPr="00471890">
        <w:t>https://doi.org/10.3390/su14052648</w:t>
      </w:r>
    </w:p>
    <w:p w14:paraId="37B00D18" w14:textId="785A21DA" w:rsidR="007B203C" w:rsidRDefault="00000000">
      <w:pPr>
        <w:spacing w:after="120" w:line="360" w:lineRule="auto"/>
        <w:ind w:left="720" w:hanging="720"/>
      </w:pPr>
      <w:r>
        <w:t xml:space="preserve">Gutierrez, A. P., Ponti, L., d’Oultremont, T., &amp; Ellis, C. K. (2008). Climate change effects on poikilotherm tritrophic interactions. </w:t>
      </w:r>
      <w:r>
        <w:rPr>
          <w:i/>
          <w:iCs/>
        </w:rPr>
        <w:t>Climatic Change, 87</w:t>
      </w:r>
      <w:r>
        <w:t xml:space="preserve">(Suppl. 1), 167–192. </w:t>
      </w:r>
      <w:r w:rsidRPr="00471890">
        <w:t>https://doi.org/10.1007/s10584-007-9379-4</w:t>
      </w:r>
    </w:p>
    <w:p w14:paraId="77F313BA" w14:textId="7A16FB5A" w:rsidR="007B203C" w:rsidRDefault="00000000">
      <w:pPr>
        <w:spacing w:after="120" w:line="360" w:lineRule="auto"/>
        <w:ind w:left="720" w:hanging="720"/>
      </w:pPr>
      <w:r>
        <w:t xml:space="preserve">Hance, T., van Baaren, J., Vernon, P., &amp; Boivin, G. (2007). Impact of extreme temperatures on parasitoids in a climate change perspective. </w:t>
      </w:r>
      <w:r>
        <w:rPr>
          <w:i/>
          <w:iCs/>
        </w:rPr>
        <w:t>Annual Review of Entomology, 52</w:t>
      </w:r>
      <w:r>
        <w:t xml:space="preserve">(1), 107–126. </w:t>
      </w:r>
      <w:r w:rsidRPr="00471890">
        <w:t>https://doi.org/10.1146/annurev.ento.52.110405.091333</w:t>
      </w:r>
    </w:p>
    <w:p w14:paraId="4348C7BF" w14:textId="701484DE" w:rsidR="007B203C" w:rsidRDefault="00000000">
      <w:pPr>
        <w:spacing w:after="120" w:line="360" w:lineRule="auto"/>
        <w:ind w:left="720" w:hanging="720"/>
      </w:pPr>
      <w:r>
        <w:t xml:space="preserve">Harrington, R., Clark, S. J., Welham, S. J., Verrier, P. J., Denholm, C. H., Hullé, M., Maurice, D., Rounsevell, M. D., Cocu, N., &amp; European Union EXAMINE Consortium (2007). Environmental change and the phenology of European aphids. </w:t>
      </w:r>
      <w:r>
        <w:rPr>
          <w:i/>
          <w:iCs/>
        </w:rPr>
        <w:t>Global Change Biology, 13</w:t>
      </w:r>
      <w:r>
        <w:t xml:space="preserve">(8), 1550–1564. </w:t>
      </w:r>
      <w:r w:rsidRPr="00471890">
        <w:t>https://doi.org/10.1111/j.1365-2486.2007.01394.x</w:t>
      </w:r>
    </w:p>
    <w:p w14:paraId="5A23C9EB" w14:textId="62F9DE7B" w:rsidR="007B203C" w:rsidRDefault="00000000">
      <w:pPr>
        <w:spacing w:after="120" w:line="360" w:lineRule="auto"/>
        <w:ind w:left="720" w:hanging="720"/>
      </w:pPr>
      <w:r>
        <w:t xml:space="preserve">Harvey, J. A., Heinen, R., Gols, R., &amp; Thakur, M. P. (2020). Climate change-mediated temperature extremes and insects: From outbreaks to breakdowns. </w:t>
      </w:r>
      <w:r>
        <w:rPr>
          <w:i/>
          <w:iCs/>
        </w:rPr>
        <w:t>Global Change Biology, 26</w:t>
      </w:r>
      <w:r>
        <w:t xml:space="preserve">(12), 6685–6701. </w:t>
      </w:r>
      <w:r w:rsidRPr="00471890">
        <w:t>https://doi.org/10.1111/gcb.15377</w:t>
      </w:r>
    </w:p>
    <w:p w14:paraId="2A062CEA" w14:textId="07B72BFE" w:rsidR="007B203C" w:rsidRDefault="00000000">
      <w:pPr>
        <w:spacing w:after="120" w:line="360" w:lineRule="auto"/>
        <w:ind w:left="720" w:hanging="720"/>
      </w:pPr>
      <w:r>
        <w:t xml:space="preserve">Harvey, J. A., Tougeron, K., Gols, R., Heinen, R., Abarca, M., Abram, P. K., Basset, Y., Berg, M., Boggs, C., Brodeur, J., Cardoso, P., de Boer, J. G., De Snoo, G. R., Deacon, C., Dell, J. E., Desneux, N., Dillon, M. E., Duffy, G. A., Dyer, L. A., . . . Chown, S. </w:t>
      </w:r>
      <w:r>
        <w:lastRenderedPageBreak/>
        <w:t xml:space="preserve">L. (2023). Scientists' warning on climate change and insects. </w:t>
      </w:r>
      <w:r>
        <w:rPr>
          <w:i/>
          <w:iCs/>
        </w:rPr>
        <w:t>Ecological Monographs, 93</w:t>
      </w:r>
      <w:r>
        <w:t xml:space="preserve">(1), Article e1553. </w:t>
      </w:r>
      <w:r w:rsidRPr="00471890">
        <w:t>https://doi.org/10.1002/ecm.1553</w:t>
      </w:r>
    </w:p>
    <w:p w14:paraId="49F5E01A" w14:textId="57BDC7A5" w:rsidR="007B203C" w:rsidRDefault="00000000">
      <w:pPr>
        <w:spacing w:after="120" w:line="360" w:lineRule="auto"/>
        <w:ind w:left="720" w:hanging="720"/>
      </w:pPr>
      <w:r>
        <w:t xml:space="preserve">Heeb, L., Jenner, E., &amp; Cock, M. J. W. (2019). Climate-smart pest management: Building resilience of farms and landscapes to changing pest threats. </w:t>
      </w:r>
      <w:r>
        <w:rPr>
          <w:i/>
          <w:iCs/>
        </w:rPr>
        <w:t>Journal of Pest Science, 92</w:t>
      </w:r>
      <w:r>
        <w:t xml:space="preserve">(3), 951–969. </w:t>
      </w:r>
      <w:r w:rsidRPr="00471890">
        <w:t>https://doi.org/10.1007/s10340-019-01083-y</w:t>
      </w:r>
    </w:p>
    <w:p w14:paraId="78A33024" w14:textId="6ACF5F8C" w:rsidR="007B203C" w:rsidRDefault="00000000">
      <w:pPr>
        <w:spacing w:after="120" w:line="360" w:lineRule="auto"/>
        <w:ind w:left="720" w:hanging="720"/>
      </w:pPr>
      <w:r>
        <w:t xml:space="preserve">Høye, T. T., Ärje, J., Bjerge, K., Hansen, O. L. P., Iosifidis, A., Leese, F., Mann, H. M. R., Meissner, K., Melvad, C., &amp; Raitoharju, J. (2021). Deep learning and computer vision will transform entomology. </w:t>
      </w:r>
      <w:r>
        <w:rPr>
          <w:i/>
          <w:iCs/>
        </w:rPr>
        <w:t>Proceedings of the National Academy of Sciences, 118</w:t>
      </w:r>
      <w:r>
        <w:t xml:space="preserve">(2), Article e2002545117. </w:t>
      </w:r>
      <w:r w:rsidRPr="00471890">
        <w:t>https://doi.org/10.1073/pnas.2002545117</w:t>
      </w:r>
    </w:p>
    <w:p w14:paraId="277AC818" w14:textId="5B489C55" w:rsidR="007B203C" w:rsidRDefault="00000000">
      <w:pPr>
        <w:spacing w:after="120" w:line="360" w:lineRule="auto"/>
        <w:ind w:left="720" w:hanging="720"/>
      </w:pPr>
      <w:r>
        <w:t xml:space="preserve">Huberty, A. F., &amp; Denno, R. F. (2004). Plant water stress and its consequences for herbivorous insects: A new synthesis. </w:t>
      </w:r>
      <w:r>
        <w:rPr>
          <w:i/>
          <w:iCs/>
        </w:rPr>
        <w:t>Ecology, 85</w:t>
      </w:r>
      <w:r>
        <w:t xml:space="preserve">(5), 1383–1398. </w:t>
      </w:r>
      <w:r w:rsidRPr="00471890">
        <w:t>https://doi.org/10.1890/03-0352</w:t>
      </w:r>
    </w:p>
    <w:p w14:paraId="2C5B13AA" w14:textId="67604A45" w:rsidR="007B203C" w:rsidRDefault="00000000">
      <w:pPr>
        <w:spacing w:after="120" w:line="360" w:lineRule="auto"/>
        <w:ind w:left="720" w:hanging="720"/>
      </w:pPr>
      <w:r>
        <w:t xml:space="preserve">Iltis, C., Moreau, J., Hübner, P., Thiéry, D., &amp; Louâpre, P. (2022). Warming increases tolerance of an insect pest to fungicide exposure through temperature-mediated hormesis. </w:t>
      </w:r>
      <w:r>
        <w:rPr>
          <w:i/>
          <w:iCs/>
        </w:rPr>
        <w:t>Journal of Pest Science, 95</w:t>
      </w:r>
      <w:r>
        <w:t xml:space="preserve">(2), 827–839. </w:t>
      </w:r>
      <w:r w:rsidRPr="00471890">
        <w:t>https://doi.org/10.1007/s10340-021-01398-9</w:t>
      </w:r>
    </w:p>
    <w:p w14:paraId="3D0E3D85" w14:textId="4C11C042" w:rsidR="007B203C" w:rsidRDefault="00000000">
      <w:pPr>
        <w:spacing w:after="120" w:line="360" w:lineRule="auto"/>
        <w:ind w:left="720" w:hanging="720"/>
      </w:pPr>
      <w:r>
        <w:t xml:space="preserve">IPPC Secretariat. (2021). </w:t>
      </w:r>
      <w:r>
        <w:rPr>
          <w:i/>
          <w:iCs/>
        </w:rPr>
        <w:t>Scientific review of the impact of climate change on plant pests</w:t>
      </w:r>
      <w:r>
        <w:t xml:space="preserve">. FAO on behalf of the IPPC Secretariat. </w:t>
      </w:r>
      <w:r w:rsidRPr="00471890">
        <w:t>https://doi.org/10.4060/cb4769en</w:t>
      </w:r>
    </w:p>
    <w:p w14:paraId="665AEC35" w14:textId="2F863A39" w:rsidR="007B203C" w:rsidRDefault="00000000">
      <w:pPr>
        <w:spacing w:after="120" w:line="360" w:lineRule="auto"/>
        <w:ind w:left="720" w:hanging="720"/>
      </w:pPr>
      <w:r>
        <w:t xml:space="preserve">Jactel, H., Koricheva, J., &amp; Castagneyrol, B. (2019). Responses of forest insect pests to climate change: Not so simple. </w:t>
      </w:r>
      <w:r>
        <w:rPr>
          <w:i/>
          <w:iCs/>
        </w:rPr>
        <w:t>Current Opinion in Insect Science, 35</w:t>
      </w:r>
      <w:r>
        <w:t xml:space="preserve">, 103–108. </w:t>
      </w:r>
      <w:r w:rsidRPr="00471890">
        <w:t>https://doi.org/10.1016/j.cois.2019.07.010</w:t>
      </w:r>
    </w:p>
    <w:p w14:paraId="4924A5BD" w14:textId="3DC4CC10" w:rsidR="007B203C" w:rsidRDefault="00000000">
      <w:pPr>
        <w:spacing w:after="120" w:line="360" w:lineRule="auto"/>
        <w:ind w:left="720" w:hanging="720"/>
      </w:pPr>
      <w:r>
        <w:t xml:space="preserve">Jeffs, C. T., &amp; Lewis, O. T. (2013). Effects of climate warming on host–parasitoid interactions. </w:t>
      </w:r>
      <w:r>
        <w:rPr>
          <w:i/>
          <w:iCs/>
        </w:rPr>
        <w:t>Ecological Entomology, 38</w:t>
      </w:r>
      <w:r>
        <w:t xml:space="preserve">(3), 209–218. </w:t>
      </w:r>
      <w:r w:rsidRPr="00471890">
        <w:t>https://doi.org/10.1111/een.12026</w:t>
      </w:r>
    </w:p>
    <w:p w14:paraId="1DF72080" w14:textId="312E16D8" w:rsidR="007B203C" w:rsidRDefault="00000000">
      <w:pPr>
        <w:spacing w:after="120" w:line="360" w:lineRule="auto"/>
        <w:ind w:left="720" w:hanging="720"/>
      </w:pPr>
      <w:r>
        <w:t xml:space="preserve">Karp, D. S., Chaplin-Kramer, R., Meehan, T. D., Martin, E. A., DeClerck, F., Grab, H., Gratton, C., Hunt, L., Larsen, A. E., Martínez-Salinas, A., O’Rourke, M. E., Rusch, A., Poveda, K., Jonsson, M., Rosenheim, J. A., Schellhorn, N. A., Tscharntke, T., Wratten, S. D., Zhang, W., . . . Zou, Y. (2018). Crop pests and predators exhibit inconsistent responses to surrounding landscape composition. </w:t>
      </w:r>
      <w:r>
        <w:rPr>
          <w:i/>
          <w:iCs/>
        </w:rPr>
        <w:t>Proceedings of the National Academy of Sciences, 115</w:t>
      </w:r>
      <w:r>
        <w:t xml:space="preserve">(33), E7863–E7870. </w:t>
      </w:r>
      <w:r w:rsidRPr="00471890">
        <w:t>https://doi.org/10.1073/pnas.1800042115</w:t>
      </w:r>
    </w:p>
    <w:p w14:paraId="2CA68400" w14:textId="6616118F" w:rsidR="007B203C" w:rsidRDefault="00000000">
      <w:pPr>
        <w:spacing w:after="120" w:line="360" w:lineRule="auto"/>
        <w:ind w:left="720" w:hanging="720"/>
      </w:pPr>
      <w:r>
        <w:lastRenderedPageBreak/>
        <w:t xml:space="preserve">Khan, Z. R., Midega, C. A. O., Pittchar, J. O., Murage, A. W., Birkett, M. A., Bruce, T. J. A., &amp; Pickett, J. A. (2014). Achieving food security for one million sub-Saharan African poor through push–pull innovation by 2020. </w:t>
      </w:r>
      <w:r>
        <w:rPr>
          <w:i/>
          <w:iCs/>
        </w:rPr>
        <w:t>Philosophical Transactions of the Royal Society B: Biological Sciences, 369</w:t>
      </w:r>
      <w:r>
        <w:t xml:space="preserve">(1639), Article 20120284. </w:t>
      </w:r>
      <w:r w:rsidRPr="00471890">
        <w:t>https://doi.org/10.1098/rstb.2012.0284</w:t>
      </w:r>
    </w:p>
    <w:p w14:paraId="0B22C201" w14:textId="09386AA1" w:rsidR="007B203C" w:rsidRDefault="00000000">
      <w:pPr>
        <w:spacing w:after="120" w:line="360" w:lineRule="auto"/>
        <w:ind w:left="720" w:hanging="720"/>
      </w:pPr>
      <w:r>
        <w:t xml:space="preserve">Kogan, M. (1998). Integrated pest management: Historical perspectives and contemporary developments. </w:t>
      </w:r>
      <w:r>
        <w:rPr>
          <w:i/>
          <w:iCs/>
        </w:rPr>
        <w:t>Annual Review of Entomology, 43</w:t>
      </w:r>
      <w:r>
        <w:t xml:space="preserve">(1), 243–270. </w:t>
      </w:r>
      <w:r w:rsidRPr="00471890">
        <w:t>https://doi.org/10.1146/annurev.ento.43.1.243</w:t>
      </w:r>
    </w:p>
    <w:p w14:paraId="4F795736" w14:textId="62BD6B58" w:rsidR="007B203C" w:rsidRDefault="00000000">
      <w:pPr>
        <w:spacing w:after="120" w:line="360" w:lineRule="auto"/>
        <w:ind w:left="720" w:hanging="720"/>
      </w:pPr>
      <w:r>
        <w:t xml:space="preserve">Kristiansen, S. M., Leinaas, H. P., van Gestel, C. A. M., &amp; Borgå, K. (2024). Thermal adaptation affects the temperature-dependent toxicity of the insecticide imidacloprid to soil invertebrates. </w:t>
      </w:r>
      <w:r>
        <w:rPr>
          <w:i/>
          <w:iCs/>
        </w:rPr>
        <w:t>Science of the Total Environment, 944</w:t>
      </w:r>
      <w:r>
        <w:t xml:space="preserve">, Article 173845. </w:t>
      </w:r>
      <w:r w:rsidRPr="00471890">
        <w:t>https://doi.org/10.1016/j.scitotenv.2024.173845</w:t>
      </w:r>
    </w:p>
    <w:p w14:paraId="7D138AF4" w14:textId="68B9ABE5" w:rsidR="007B203C" w:rsidRDefault="00000000">
      <w:pPr>
        <w:spacing w:after="120" w:line="360" w:lineRule="auto"/>
        <w:ind w:left="720" w:hanging="720"/>
      </w:pPr>
      <w:r>
        <w:t xml:space="preserve">Kuang, Y.-H., Fang, Y.-F., Lin, S.-C., Tsai, S.-F., Yang, Z.-W., Li, C.-P., Huang, S.-H., Hechanova, S. L., Jena, K. K., &amp; Chuang, W.-P. (2021). The impact of climate change on the resistance of rice near-isogenic lines with resistance genes against brown planthopper. </w:t>
      </w:r>
      <w:r>
        <w:rPr>
          <w:i/>
          <w:iCs/>
        </w:rPr>
        <w:t>Rice, 14</w:t>
      </w:r>
      <w:r>
        <w:t xml:space="preserve">(1), Article 64. </w:t>
      </w:r>
      <w:r w:rsidRPr="00471890">
        <w:t>https://doi.org/10.1186/s12284-021-00508-6</w:t>
      </w:r>
    </w:p>
    <w:p w14:paraId="71C6B8C2" w14:textId="16C8017C" w:rsidR="007B203C" w:rsidRDefault="00000000">
      <w:pPr>
        <w:spacing w:after="120" w:line="360" w:lineRule="auto"/>
        <w:ind w:left="720" w:hanging="720"/>
      </w:pPr>
      <w:r>
        <w:t xml:space="preserve">Lechenet, M., Dessaint, F., Py, G., Makowski, D., &amp; Munier-Jolain, N. (2017). Reducing pesticide use while preserving crop productivity and profitability on arable farms. </w:t>
      </w:r>
      <w:r>
        <w:rPr>
          <w:i/>
          <w:iCs/>
        </w:rPr>
        <w:t>Nature Plants, 3</w:t>
      </w:r>
      <w:r>
        <w:t xml:space="preserve">(3), Article 17008. </w:t>
      </w:r>
      <w:r w:rsidRPr="00471890">
        <w:t>https://doi.org/10.1038/nplants.2017.8</w:t>
      </w:r>
    </w:p>
    <w:p w14:paraId="6FAAF012" w14:textId="25DBC593" w:rsidR="007B203C" w:rsidRDefault="00000000">
      <w:pPr>
        <w:spacing w:after="120" w:line="360" w:lineRule="auto"/>
        <w:ind w:left="720" w:hanging="720"/>
      </w:pPr>
      <w:r>
        <w:t xml:space="preserve">Lehmann, P., Ammunét, T., Barton, M., Battisti, A., Eigenbrode, S. D., Jepsen, J. U., Kalinkat, G., Neuvonen, S., Niemelä, P., Terblanche, J. S., Økland, B., &amp; Björkman, C. (2020). Complex responses of global insect pests to climate warming. </w:t>
      </w:r>
      <w:r>
        <w:rPr>
          <w:i/>
          <w:iCs/>
        </w:rPr>
        <w:t>Frontiers in Ecology and the Environment, 18</w:t>
      </w:r>
      <w:r>
        <w:t xml:space="preserve">(3), 141–150. </w:t>
      </w:r>
      <w:r w:rsidRPr="00471890">
        <w:t>https://doi.org/10.1002/fee.2160</w:t>
      </w:r>
    </w:p>
    <w:p w14:paraId="0BC8DDA6" w14:textId="1052C461" w:rsidR="007B203C" w:rsidRDefault="00000000">
      <w:pPr>
        <w:spacing w:after="120" w:line="360" w:lineRule="auto"/>
        <w:ind w:left="720" w:hanging="720"/>
      </w:pPr>
      <w:r>
        <w:t xml:space="preserve">Letourneau, D. K., Armbrecht, I., Rivera, B. S., Lerma, J. M., Carmona, E. J., Daza, M. C., Escobar, S., Galindo, V., Gutiérrez, C., López, S. D., Mejía, J. L., Rangel, A. M. A., Rangel, J. H., Rivera, L., Saavedra, C. A., Torres, A. M., &amp; Trujillo, A. R. (2011). Does plant diversity benefit agroecosystems? A synthetic review. </w:t>
      </w:r>
      <w:r>
        <w:rPr>
          <w:i/>
          <w:iCs/>
        </w:rPr>
        <w:t>Ecological Applications, 21</w:t>
      </w:r>
      <w:r>
        <w:t xml:space="preserve">(1), 9–21. </w:t>
      </w:r>
      <w:r w:rsidRPr="00471890">
        <w:t>https://doi.org/10.1890/09-2026.1</w:t>
      </w:r>
    </w:p>
    <w:p w14:paraId="33EBED91" w14:textId="3CE033C2" w:rsidR="007B203C" w:rsidRDefault="00000000">
      <w:pPr>
        <w:spacing w:after="120" w:line="360" w:lineRule="auto"/>
        <w:ind w:left="720" w:hanging="720"/>
      </w:pPr>
      <w:r>
        <w:t xml:space="preserve">Lipper, L., Thornton, P., Campbell, B. M., Baedeker, T., Braimoh, A., Bwalya, M., Caron, P., Cattaneo, A., Garrity, D., Henry, K., Hottle, R., Jackson, L., Jarvis, A., Kossam, F., Mann, W., McCarthy, N., Meybeck, A., Neufeldt, H., Remington, T., . . . Torquebiau, </w:t>
      </w:r>
      <w:r>
        <w:lastRenderedPageBreak/>
        <w:t xml:space="preserve">E. F. (2014). Climate-smart agriculture for food security. </w:t>
      </w:r>
      <w:r>
        <w:rPr>
          <w:i/>
          <w:iCs/>
        </w:rPr>
        <w:t>Nature Climate Change, 4</w:t>
      </w:r>
      <w:r>
        <w:t xml:space="preserve">(12), 1068–1072. </w:t>
      </w:r>
      <w:r w:rsidRPr="00471890">
        <w:t>https://doi.org/10.1038/nclimate2437</w:t>
      </w:r>
    </w:p>
    <w:p w14:paraId="7D05995B" w14:textId="3EB181D9" w:rsidR="007B203C" w:rsidRDefault="00000000">
      <w:pPr>
        <w:spacing w:after="120" w:line="360" w:lineRule="auto"/>
        <w:ind w:left="720" w:hanging="720"/>
      </w:pPr>
      <w:r>
        <w:t xml:space="preserve">Ma, C.-S., Li, D.-X., Wei, J.-C., &amp; Lin, Q.-C. (2026). Climate change and pesticide resistance: A synthesis on emerging mechanisms and evolutionary dynamics. </w:t>
      </w:r>
      <w:r>
        <w:rPr>
          <w:i/>
          <w:iCs/>
        </w:rPr>
        <w:t>Current Opinion in Insect Science, 75</w:t>
      </w:r>
      <w:r>
        <w:t xml:space="preserve">, Article 101496. </w:t>
      </w:r>
      <w:r w:rsidRPr="00471890">
        <w:t>https://doi.org/10.1016/j.cois.2026.101496</w:t>
      </w:r>
    </w:p>
    <w:p w14:paraId="5AD9356A" w14:textId="01C83AC5" w:rsidR="007B203C" w:rsidRDefault="00000000">
      <w:pPr>
        <w:spacing w:after="120" w:line="360" w:lineRule="auto"/>
        <w:ind w:left="720" w:hanging="720"/>
      </w:pPr>
      <w:r>
        <w:t xml:space="preserve">Ma, C.-S., Ma, G., &amp; Pincebourde, S. (2021). Survive a warming climate: Insect responses to extreme high temperatures. </w:t>
      </w:r>
      <w:r>
        <w:rPr>
          <w:i/>
          <w:iCs/>
        </w:rPr>
        <w:t>Annual Review of Entomology, 66</w:t>
      </w:r>
      <w:r>
        <w:t xml:space="preserve">(1), 163–184. </w:t>
      </w:r>
      <w:r w:rsidRPr="00471890">
        <w:t>https://doi.org/10.1146/annurev-ento-041520-074454</w:t>
      </w:r>
    </w:p>
    <w:p w14:paraId="59E2F900" w14:textId="6A85FEB6" w:rsidR="007B203C" w:rsidRDefault="00000000">
      <w:pPr>
        <w:spacing w:after="120" w:line="360" w:lineRule="auto"/>
        <w:ind w:left="720" w:hanging="720"/>
      </w:pPr>
      <w:r>
        <w:t xml:space="preserve">Ma, C.-S., Zhang, W., Peng, Y., Zhao, F., Chang, X.-Q., Xing, K., Zhu, L., Ma, G., Yang, H.-P., &amp; Rudolf, V. H. W. (2021). Climate warming promotes pesticide resistance through expanding overwintering range of a global pest. </w:t>
      </w:r>
      <w:r>
        <w:rPr>
          <w:i/>
          <w:iCs/>
        </w:rPr>
        <w:t>Nature Communications, 12</w:t>
      </w:r>
      <w:r>
        <w:t xml:space="preserve">(1), Article 5351. </w:t>
      </w:r>
      <w:r w:rsidRPr="00471890">
        <w:t>https://doi.org/10.1038/s41467-021-25505-7</w:t>
      </w:r>
    </w:p>
    <w:p w14:paraId="73775881" w14:textId="4FC3CE1F" w:rsidR="007B203C" w:rsidRDefault="00000000">
      <w:pPr>
        <w:spacing w:after="120" w:line="360" w:lineRule="auto"/>
        <w:ind w:left="720" w:hanging="720"/>
      </w:pPr>
      <w:r>
        <w:t xml:space="preserve">Ma, G., Hoffmann, A. A., &amp; Ma, C.-S. (2015). Daily temperature extremes play an important role in predicting thermal effects. </w:t>
      </w:r>
      <w:r>
        <w:rPr>
          <w:i/>
          <w:iCs/>
        </w:rPr>
        <w:t>Journal of Experimental Biology, 218</w:t>
      </w:r>
      <w:r>
        <w:t xml:space="preserve">(14), 2289–2296. </w:t>
      </w:r>
      <w:r w:rsidRPr="00471890">
        <w:t>https://doi.org/10.1242/jeb.122127</w:t>
      </w:r>
    </w:p>
    <w:p w14:paraId="448B2F18" w14:textId="341362D0" w:rsidR="007B203C" w:rsidRDefault="00000000">
      <w:pPr>
        <w:spacing w:after="120" w:line="360" w:lineRule="auto"/>
        <w:ind w:left="720" w:hanging="720"/>
      </w:pPr>
      <w:r>
        <w:t xml:space="preserve">Ma, G., &amp; Ma, C.-S. (2022). Potential distribution of invasive crop pests under climate change: Incorporating mitigation responses of insects into prediction models. </w:t>
      </w:r>
      <w:r>
        <w:rPr>
          <w:i/>
          <w:iCs/>
        </w:rPr>
        <w:t>Current Opinion in Insect Science, 49</w:t>
      </w:r>
      <w:r>
        <w:t xml:space="preserve">, 15–21. </w:t>
      </w:r>
      <w:r w:rsidRPr="00471890">
        <w:t>https://doi.org/10.1016/j.cois.2021.10.006</w:t>
      </w:r>
    </w:p>
    <w:p w14:paraId="2A9A8AA8" w14:textId="6E067CFC" w:rsidR="007B203C" w:rsidRDefault="00000000">
      <w:pPr>
        <w:spacing w:after="120" w:line="360" w:lineRule="auto"/>
        <w:ind w:left="720" w:hanging="720"/>
      </w:pPr>
      <w:r>
        <w:t xml:space="preserve">Machekano, H., Mvumi, B. M., &amp; Nyamukondiwa, C. (2018). Loss of coevolved basal and plastic responses to temperature may underlie trophic level host-parasitoid interactions under global change. </w:t>
      </w:r>
      <w:r>
        <w:rPr>
          <w:i/>
          <w:iCs/>
        </w:rPr>
        <w:t>Biological Control, 118</w:t>
      </w:r>
      <w:r>
        <w:t xml:space="preserve">, 44–54. </w:t>
      </w:r>
      <w:r w:rsidRPr="00471890">
        <w:t>https://doi.org/10.1016/j.biocontrol.2017.12.005</w:t>
      </w:r>
    </w:p>
    <w:p w14:paraId="05C607D5" w14:textId="4211FD77" w:rsidR="007B203C" w:rsidRDefault="00000000">
      <w:pPr>
        <w:spacing w:after="120" w:line="360" w:lineRule="auto"/>
        <w:ind w:left="720" w:hanging="720"/>
      </w:pPr>
      <w:r>
        <w:t xml:space="preserve">Maino, J. L., Umina, P. A., &amp; Hoffmann, A. A. (2018). Climate contributes to the evolution of pesticide resistance. </w:t>
      </w:r>
      <w:r>
        <w:rPr>
          <w:i/>
          <w:iCs/>
        </w:rPr>
        <w:t>Global Ecology and Biogeography, 27</w:t>
      </w:r>
      <w:r>
        <w:t xml:space="preserve">(2), 223–232. </w:t>
      </w:r>
      <w:r w:rsidRPr="00471890">
        <w:t>https://doi.org/10.1111/geb.12692</w:t>
      </w:r>
    </w:p>
    <w:p w14:paraId="19271DB8" w14:textId="36B933BA" w:rsidR="007B203C" w:rsidRDefault="00000000">
      <w:pPr>
        <w:spacing w:after="120" w:line="360" w:lineRule="auto"/>
        <w:ind w:left="720" w:hanging="720"/>
      </w:pPr>
      <w:r>
        <w:t xml:space="preserve">Matzrafi, M. (2019). Climate change exacerbates pest damage through reduced pesticide efficacy. </w:t>
      </w:r>
      <w:r>
        <w:rPr>
          <w:i/>
          <w:iCs/>
        </w:rPr>
        <w:t>Pest Management Science, 75</w:t>
      </w:r>
      <w:r>
        <w:t xml:space="preserve">(1), 9–13. </w:t>
      </w:r>
      <w:r w:rsidRPr="00471890">
        <w:t>https://doi.org/10.1002/ps.5121</w:t>
      </w:r>
    </w:p>
    <w:p w14:paraId="0CABDD2F" w14:textId="74ECBCDF" w:rsidR="007B203C" w:rsidRDefault="00000000">
      <w:pPr>
        <w:spacing w:after="120" w:line="360" w:lineRule="auto"/>
        <w:ind w:left="720" w:hanging="720"/>
      </w:pPr>
      <w:r>
        <w:t xml:space="preserve">Meineke, E. K., Dunn, R. R., &amp; Frank, S. D. (2014). Early pest development and loss of biological control are associated with urban warming. </w:t>
      </w:r>
      <w:r>
        <w:rPr>
          <w:i/>
          <w:iCs/>
        </w:rPr>
        <w:t>Biology Letters, 10</w:t>
      </w:r>
      <w:r>
        <w:t xml:space="preserve">(11), Article 20140586. </w:t>
      </w:r>
      <w:r w:rsidRPr="00471890">
        <w:t>https://doi.org/10.1098/rsbl.2014.0586</w:t>
      </w:r>
    </w:p>
    <w:p w14:paraId="38511689" w14:textId="6CF644C9" w:rsidR="007B203C" w:rsidRDefault="00000000">
      <w:pPr>
        <w:spacing w:after="120" w:line="360" w:lineRule="auto"/>
        <w:ind w:left="720" w:hanging="720"/>
      </w:pPr>
      <w:r>
        <w:lastRenderedPageBreak/>
        <w:t xml:space="preserve">Merrill, S. C., &amp; Peairs, F. B. (2017). Temperature variability is a key component in accurately forecasting the effects of climate change on pest phenology. </w:t>
      </w:r>
      <w:r>
        <w:rPr>
          <w:i/>
          <w:iCs/>
        </w:rPr>
        <w:t>Pest Management Science, 73</w:t>
      </w:r>
      <w:r>
        <w:t xml:space="preserve">(2), 380–388. </w:t>
      </w:r>
      <w:r w:rsidRPr="00471890">
        <w:t>https://doi.org/10.1002/ps.4320</w:t>
      </w:r>
    </w:p>
    <w:p w14:paraId="19DA6408" w14:textId="0FDCF320" w:rsidR="007B203C" w:rsidRDefault="00000000">
      <w:pPr>
        <w:spacing w:after="120" w:line="360" w:lineRule="auto"/>
        <w:ind w:left="720" w:hanging="720"/>
      </w:pPr>
      <w:r>
        <w:t xml:space="preserve">Midega, C. A. O., Pittchar, J. O., Pickett, J. A., Hailu, G. W., &amp; Khan, Z. R. (2018). A climate-adapted push-pull system effectively controls fall armyworm, </w:t>
      </w:r>
      <w:r>
        <w:rPr>
          <w:i/>
          <w:iCs/>
        </w:rPr>
        <w:t>Spodoptera frugiperda</w:t>
      </w:r>
      <w:r>
        <w:t xml:space="preserve"> (J E Smith), in maize in East Africa. </w:t>
      </w:r>
      <w:r>
        <w:rPr>
          <w:i/>
          <w:iCs/>
        </w:rPr>
        <w:t>Crop Protection, 105</w:t>
      </w:r>
      <w:r>
        <w:t xml:space="preserve">, 10–15. </w:t>
      </w:r>
      <w:r w:rsidRPr="00471890">
        <w:t>https://doi.org/10.1016/j.cropro.2017.11.003</w:t>
      </w:r>
    </w:p>
    <w:p w14:paraId="6A3C4DB6" w14:textId="1D1F33D5" w:rsidR="007B203C" w:rsidRDefault="00000000">
      <w:pPr>
        <w:spacing w:after="120" w:line="360" w:lineRule="auto"/>
        <w:ind w:left="720" w:hanging="720"/>
      </w:pPr>
      <w:r>
        <w:t xml:space="preserve">Mutamiswa, R., Chikowore, G., Nyamukondiwa, C., Mudereri, B. T., Khan, Z. R., &amp; Chidawanyika, F. (2022). Biogeography of cereal stemborers and their natural enemies: Forecasting pest management efficacy under changing climate. </w:t>
      </w:r>
      <w:r>
        <w:rPr>
          <w:i/>
          <w:iCs/>
        </w:rPr>
        <w:t>Pest Management Science, 78</w:t>
      </w:r>
      <w:r>
        <w:t xml:space="preserve">(11), 4446–4457. </w:t>
      </w:r>
      <w:r w:rsidRPr="00471890">
        <w:t>https://doi.org/10.1002/ps.7062</w:t>
      </w:r>
    </w:p>
    <w:p w14:paraId="267E31E9" w14:textId="346A68B1" w:rsidR="007B203C" w:rsidRDefault="00000000">
      <w:pPr>
        <w:spacing w:after="120" w:line="360" w:lineRule="auto"/>
        <w:ind w:left="720" w:hanging="720"/>
      </w:pPr>
      <w:r>
        <w:t xml:space="preserve">Nusillard, W., Garinie, T., Lelièvre, Y., Zito, S., Becker, C., Thiéry, D., Frandon, J., &amp; Moreau, J. (2024). Pest management facing warming and chemical stresses: Multi-stress effects on the biological agent </w:t>
      </w:r>
      <w:r>
        <w:rPr>
          <w:i/>
          <w:iCs/>
        </w:rPr>
        <w:t>Trichogramma oleae</w:t>
      </w:r>
      <w:r>
        <w:t xml:space="preserve">. </w:t>
      </w:r>
      <w:r>
        <w:rPr>
          <w:i/>
          <w:iCs/>
        </w:rPr>
        <w:t>Science of the Total Environment, 947</w:t>
      </w:r>
      <w:r>
        <w:t xml:space="preserve">, Article 174709. </w:t>
      </w:r>
      <w:r w:rsidRPr="00471890">
        <w:t>https://doi.org/10.1016/j.scitotenv.2024.174709</w:t>
      </w:r>
    </w:p>
    <w:p w14:paraId="524D759C" w14:textId="62972616" w:rsidR="007B203C" w:rsidRDefault="00000000">
      <w:pPr>
        <w:spacing w:after="120" w:line="360" w:lineRule="auto"/>
        <w:ind w:left="720" w:hanging="720"/>
      </w:pPr>
      <w:r>
        <w:t xml:space="preserve">Oerke, E.-C. (2006). Crop losses to pests. </w:t>
      </w:r>
      <w:r>
        <w:rPr>
          <w:i/>
          <w:iCs/>
        </w:rPr>
        <w:t>The Journal of Agricultural Science, 144</w:t>
      </w:r>
      <w:r>
        <w:t xml:space="preserve">(1), 31–43. </w:t>
      </w:r>
      <w:r w:rsidRPr="00471890">
        <w:t>https://doi.org/10.1017/S0021859605005708</w:t>
      </w:r>
    </w:p>
    <w:p w14:paraId="00A5C3D5" w14:textId="75797C1A" w:rsidR="007B203C" w:rsidRDefault="00000000">
      <w:pPr>
        <w:spacing w:after="120" w:line="360" w:lineRule="auto"/>
        <w:ind w:left="720" w:hanging="720"/>
      </w:pPr>
      <w:r>
        <w:t xml:space="preserve">Paini, D. R., Sheppard, A. W., Cook, D. C., De Barro, P. J., Worner, S. P., &amp; Thomas, M. B. (2016). Global threat to agriculture from invasive species. </w:t>
      </w:r>
      <w:r>
        <w:rPr>
          <w:i/>
          <w:iCs/>
        </w:rPr>
        <w:t>Proceedings of the National Academy of Sciences, 113</w:t>
      </w:r>
      <w:r>
        <w:t xml:space="preserve">(27), 7575–7579. </w:t>
      </w:r>
      <w:r w:rsidRPr="00471890">
        <w:t>https://doi.org/10.1073/pnas.1602205113</w:t>
      </w:r>
    </w:p>
    <w:p w14:paraId="725673E7" w14:textId="3160B913" w:rsidR="007B203C" w:rsidRDefault="00000000">
      <w:pPr>
        <w:spacing w:after="120" w:line="360" w:lineRule="auto"/>
        <w:ind w:left="720" w:hanging="720"/>
      </w:pPr>
      <w:r>
        <w:t xml:space="preserve">Parsa, S., Morse, S., Bonifacio, A., Chancellor, T. C. B., Condori, B., Crespo-Pérez, V., Hobbs, S. L. A., Kroschel, J., Ba, M. N., Rebaudo, F., Sherwood, S. G., Vanek, S. J., Faye, E., Herrera, M. A., &amp; Dangles, O. (2014). Obstacles to integrated pest management adoption in developing countries. </w:t>
      </w:r>
      <w:r>
        <w:rPr>
          <w:i/>
          <w:iCs/>
        </w:rPr>
        <w:t>Proceedings of the National Academy of Sciences, 111</w:t>
      </w:r>
      <w:r>
        <w:t xml:space="preserve">(10), 3889–3894. </w:t>
      </w:r>
      <w:r w:rsidRPr="00471890">
        <w:t>https://doi.org/10.1073/pnas.1312693111</w:t>
      </w:r>
    </w:p>
    <w:p w14:paraId="79A96797" w14:textId="75CB7F95" w:rsidR="007B203C" w:rsidRDefault="00000000">
      <w:pPr>
        <w:spacing w:after="120" w:line="360" w:lineRule="auto"/>
        <w:ind w:left="720" w:hanging="720"/>
      </w:pPr>
      <w:r>
        <w:t xml:space="preserve">Pedigo, L. P., Hutchins, S. H., &amp; Higley, L. G. (1986). Economic injury levels in theory and practice. </w:t>
      </w:r>
      <w:r>
        <w:rPr>
          <w:i/>
          <w:iCs/>
        </w:rPr>
        <w:t>Annual Review of Entomology, 31</w:t>
      </w:r>
      <w:r>
        <w:t xml:space="preserve">(1), 341–368. </w:t>
      </w:r>
      <w:r w:rsidRPr="00471890">
        <w:t>https://doi.org/10.1146/annurev.en.31.010186.002013</w:t>
      </w:r>
    </w:p>
    <w:p w14:paraId="72F80F34" w14:textId="5A01E1BA" w:rsidR="007B203C" w:rsidRDefault="00000000">
      <w:pPr>
        <w:spacing w:after="120" w:line="360" w:lineRule="auto"/>
        <w:ind w:left="720" w:hanging="720"/>
      </w:pPr>
      <w:r>
        <w:t xml:space="preserve">Perrin, M., Abram, P. K., Brodeur, J., Delattre, T., Siegwart, M., &amp; Moiroux, J. (2025). The projected effects of climate change on the management of agricultural insect pests. </w:t>
      </w:r>
      <w:r>
        <w:rPr>
          <w:i/>
          <w:iCs/>
        </w:rPr>
        <w:lastRenderedPageBreak/>
        <w:t>Journal of Pest Science, 98</w:t>
      </w:r>
      <w:r>
        <w:t xml:space="preserve">(4), 2191–2216. </w:t>
      </w:r>
      <w:r w:rsidRPr="00471890">
        <w:t>https://doi.org/10.1007/s10340-025-01933-y</w:t>
      </w:r>
    </w:p>
    <w:p w14:paraId="316C27C4" w14:textId="310FB596" w:rsidR="007B203C" w:rsidRDefault="00000000">
      <w:pPr>
        <w:spacing w:after="120" w:line="360" w:lineRule="auto"/>
        <w:ind w:left="720" w:hanging="720"/>
      </w:pPr>
      <w:r>
        <w:t xml:space="preserve">Pincebourde, S., &amp; Woods, H. A. (2020). There is plenty of room at the bottom: Microclimates drive insect vulnerability to climate change. </w:t>
      </w:r>
      <w:r>
        <w:rPr>
          <w:i/>
          <w:iCs/>
        </w:rPr>
        <w:t>Current Opinion in Insect Science, 41</w:t>
      </w:r>
      <w:r>
        <w:t xml:space="preserve">, 63–70. </w:t>
      </w:r>
      <w:r w:rsidRPr="00471890">
        <w:t>https://doi.org/10.1016/j.cois.2020.07.001</w:t>
      </w:r>
    </w:p>
    <w:p w14:paraId="1D3E5702" w14:textId="61972A7C" w:rsidR="007B203C" w:rsidRDefault="00000000">
      <w:pPr>
        <w:spacing w:after="120" w:line="360" w:lineRule="auto"/>
        <w:ind w:left="720" w:hanging="720"/>
      </w:pPr>
      <w:r>
        <w:t xml:space="preserve">Preti, M., Verheggen, F., &amp; Angeli, S. (2021). Insect pest monitoring with camera-equipped traps: Strengths and limitations. </w:t>
      </w:r>
      <w:r>
        <w:rPr>
          <w:i/>
          <w:iCs/>
        </w:rPr>
        <w:t>Journal of Pest Science, 94</w:t>
      </w:r>
      <w:r>
        <w:t xml:space="preserve">(2), 203–217. </w:t>
      </w:r>
      <w:r w:rsidRPr="00471890">
        <w:t>https://doi.org/10.1007/s10340-020-01309-4</w:t>
      </w:r>
    </w:p>
    <w:p w14:paraId="7B9CA22B" w14:textId="342DB071" w:rsidR="007B203C" w:rsidRDefault="00000000">
      <w:pPr>
        <w:spacing w:after="120" w:line="360" w:lineRule="auto"/>
        <w:ind w:left="720" w:hanging="720"/>
      </w:pPr>
      <w:r>
        <w:t xml:space="preserve">Pretty, J., &amp; Bharucha, Z. (2015). Integrated pest management for sustainable intensification of agriculture in Asia and Africa. </w:t>
      </w:r>
      <w:r>
        <w:rPr>
          <w:i/>
          <w:iCs/>
        </w:rPr>
        <w:t>Insects, 6</w:t>
      </w:r>
      <w:r>
        <w:t xml:space="preserve">(1), 152–182. </w:t>
      </w:r>
      <w:r w:rsidRPr="00471890">
        <w:t>https://doi.org/10.3390/insects6010152</w:t>
      </w:r>
    </w:p>
    <w:p w14:paraId="43063F89" w14:textId="2AD0319C" w:rsidR="007B203C" w:rsidRDefault="00000000">
      <w:pPr>
        <w:spacing w:after="120" w:line="360" w:lineRule="auto"/>
        <w:ind w:left="720" w:hanging="720"/>
      </w:pPr>
      <w:r>
        <w:t xml:space="preserve">Pu, J., Wang, Z., &amp; Chung, H. (2020). Climate change and the genetics of insecticide resistance. </w:t>
      </w:r>
      <w:r>
        <w:rPr>
          <w:i/>
          <w:iCs/>
        </w:rPr>
        <w:t>Pest Management Science, 76</w:t>
      </w:r>
      <w:r>
        <w:t xml:space="preserve">(3), 846–852. </w:t>
      </w:r>
      <w:r w:rsidRPr="00471890">
        <w:t>https://doi.org/10.1002/ps.5700</w:t>
      </w:r>
    </w:p>
    <w:p w14:paraId="61C0449B" w14:textId="534A6C3F" w:rsidR="007B203C" w:rsidRDefault="00000000">
      <w:pPr>
        <w:spacing w:after="120" w:line="360" w:lineRule="auto"/>
        <w:ind w:left="720" w:hanging="720"/>
      </w:pPr>
      <w:r>
        <w:t xml:space="preserve">Ramos Aguila, L. C., Li, X., Akutse, K. S., Bamisile, B. S., Sánchez Moreano, J. P., Lie, Z., &amp; Liu, J. (2023). Host–parasitoid phenology, distribution, and biological control under climate change. </w:t>
      </w:r>
      <w:r>
        <w:rPr>
          <w:i/>
          <w:iCs/>
        </w:rPr>
        <w:t>Life, 13</w:t>
      </w:r>
      <w:r>
        <w:t xml:space="preserve">(12), Article 2290. </w:t>
      </w:r>
      <w:r w:rsidRPr="00471890">
        <w:t>https://doi.org/10.3390/life13122290</w:t>
      </w:r>
    </w:p>
    <w:p w14:paraId="2814E658" w14:textId="3C5656E8" w:rsidR="007B203C" w:rsidRDefault="00000000">
      <w:pPr>
        <w:spacing w:after="120" w:line="360" w:lineRule="auto"/>
        <w:ind w:left="720" w:hanging="720"/>
      </w:pPr>
      <w:r>
        <w:t xml:space="preserve">Rebaudo, F., &amp; Rabhi, V.-B. (2018). Modeling temperature-dependent development rate and phenology in insects: Review of major developments, challenges, and future directions. </w:t>
      </w:r>
      <w:r>
        <w:rPr>
          <w:i/>
          <w:iCs/>
        </w:rPr>
        <w:t>Entomologia Experimentalis et Applicata, 166</w:t>
      </w:r>
      <w:r>
        <w:t xml:space="preserve">(8), 607–617. </w:t>
      </w:r>
      <w:r w:rsidRPr="00471890">
        <w:t>https://doi.org/10.1111/eea.12693</w:t>
      </w:r>
    </w:p>
    <w:p w14:paraId="44D5975C" w14:textId="3EAEBB1E" w:rsidR="007B203C" w:rsidRDefault="00000000">
      <w:pPr>
        <w:spacing w:after="120" w:line="360" w:lineRule="auto"/>
        <w:ind w:left="720" w:hanging="720"/>
      </w:pPr>
      <w:r>
        <w:t xml:space="preserve">Régnière, J., Powell, J., Bentz, B., &amp; Nealis, V. (2012). Effects of temperature on development, survival and reproduction of insects: Experimental design, data analysis and modeling. </w:t>
      </w:r>
      <w:r>
        <w:rPr>
          <w:i/>
          <w:iCs/>
        </w:rPr>
        <w:t>Journal of Insect Physiology, 58</w:t>
      </w:r>
      <w:r>
        <w:t xml:space="preserve">(5), 634–647. </w:t>
      </w:r>
      <w:r w:rsidRPr="00471890">
        <w:t>https://doi.org/10.1016/j.jinsphys.2012.01.010</w:t>
      </w:r>
    </w:p>
    <w:p w14:paraId="511C72A5" w14:textId="33549290" w:rsidR="007B203C" w:rsidRDefault="00000000">
      <w:pPr>
        <w:spacing w:after="120" w:line="360" w:lineRule="auto"/>
        <w:ind w:left="720" w:hanging="720"/>
      </w:pPr>
      <w:r>
        <w:t xml:space="preserve">Reineke, A., &amp; Thiéry, D. (2016). Grapevine insect pests and their natural enemies in the age of global warming. </w:t>
      </w:r>
      <w:r>
        <w:rPr>
          <w:i/>
          <w:iCs/>
        </w:rPr>
        <w:t>Journal of Pest Science, 89</w:t>
      </w:r>
      <w:r>
        <w:t xml:space="preserve">(2), 313–328. </w:t>
      </w:r>
      <w:r w:rsidRPr="00471890">
        <w:t>https://doi.org/10.1007/s10340-016-0761-8</w:t>
      </w:r>
    </w:p>
    <w:p w14:paraId="4B67160F" w14:textId="532052CA" w:rsidR="007B203C" w:rsidRDefault="00000000">
      <w:pPr>
        <w:spacing w:after="120" w:line="360" w:lineRule="auto"/>
        <w:ind w:left="720" w:hanging="720"/>
      </w:pPr>
      <w:r>
        <w:t>Rejesus, R. M., &amp; Jones, M. S. (2020). Perspective: Enhancing economic evaluations and impacts of integrated pest management farmer field schools (IPM-FFS) in low-</w:t>
      </w:r>
      <w:r>
        <w:lastRenderedPageBreak/>
        <w:t xml:space="preserve">income countries. </w:t>
      </w:r>
      <w:r>
        <w:rPr>
          <w:i/>
          <w:iCs/>
        </w:rPr>
        <w:t>Pest Management Science, 76</w:t>
      </w:r>
      <w:r>
        <w:t xml:space="preserve">(11), 3527–3536. </w:t>
      </w:r>
      <w:r w:rsidRPr="00471890">
        <w:t>https://doi.org/10.1002/ps.5912</w:t>
      </w:r>
    </w:p>
    <w:p w14:paraId="4CC6096D" w14:textId="5414F362" w:rsidR="007B203C" w:rsidRDefault="00000000">
      <w:pPr>
        <w:spacing w:after="120" w:line="360" w:lineRule="auto"/>
        <w:ind w:left="720" w:hanging="720"/>
      </w:pPr>
      <w:r>
        <w:t>Robinson, E. A., Ryan, G. D., &amp; Newman, J. A. (2012). A meta-analytical review of the effects of elevated CO</w:t>
      </w:r>
      <w:r>
        <w:rPr>
          <w:vertAlign w:val="subscript"/>
        </w:rPr>
        <w:t>2</w:t>
      </w:r>
      <w:r>
        <w:t xml:space="preserve"> on plant–arthropod interactions highlights the importance of interacting environmental and biological variables. </w:t>
      </w:r>
      <w:r>
        <w:rPr>
          <w:i/>
          <w:iCs/>
        </w:rPr>
        <w:t>New Phytologist, 194</w:t>
      </w:r>
      <w:r>
        <w:t xml:space="preserve">(2), 321–336. </w:t>
      </w:r>
      <w:r w:rsidRPr="00471890">
        <w:t>https://doi.org/10.1111/j.1469-8137.2012.04074.x</w:t>
      </w:r>
    </w:p>
    <w:p w14:paraId="64647B7A" w14:textId="40321AA5" w:rsidR="007B203C" w:rsidRDefault="00000000">
      <w:pPr>
        <w:spacing w:after="120" w:line="360" w:lineRule="auto"/>
        <w:ind w:left="720" w:hanging="720"/>
      </w:pPr>
      <w:r>
        <w:t xml:space="preserve">Romo, C. M., &amp; Tylianakis, J. M. (2013). Elevated temperature and drought interact to reduce parasitoid effectiveness in suppressing hosts. </w:t>
      </w:r>
      <w:r>
        <w:rPr>
          <w:i/>
          <w:iCs/>
        </w:rPr>
        <w:t>PLoS ONE, 8</w:t>
      </w:r>
      <w:r>
        <w:t xml:space="preserve">(3), Article e58136. </w:t>
      </w:r>
      <w:r w:rsidRPr="00471890">
        <w:t>https://doi.org/10.1371/journal.pone.0058136</w:t>
      </w:r>
    </w:p>
    <w:p w14:paraId="7DE1F233" w14:textId="19DD7CCC" w:rsidR="007B203C" w:rsidRDefault="00000000">
      <w:pPr>
        <w:spacing w:after="120" w:line="360" w:lineRule="auto"/>
        <w:ind w:left="720" w:hanging="720"/>
      </w:pPr>
      <w:r>
        <w:t xml:space="preserve">Roy, N. (2022). Population ecology and economic thresholds-based time series for climate smart pest management of </w:t>
      </w:r>
      <w:r>
        <w:rPr>
          <w:i/>
          <w:iCs/>
        </w:rPr>
        <w:t>Spilosoma obliqua</w:t>
      </w:r>
      <w:r>
        <w:t xml:space="preserve"> Walker (Lepidoptera: Arctiidae) on three sesame cultivars. </w:t>
      </w:r>
      <w:r>
        <w:rPr>
          <w:i/>
          <w:iCs/>
        </w:rPr>
        <w:t>The Journal of Basic and Applied Zoology, 83</w:t>
      </w:r>
      <w:r>
        <w:t xml:space="preserve">(1), Article 19. </w:t>
      </w:r>
      <w:r w:rsidRPr="00471890">
        <w:t>https://doi.org/10.1186/s41936-022-00283-w</w:t>
      </w:r>
    </w:p>
    <w:p w14:paraId="60158A88" w14:textId="305119AA" w:rsidR="007B203C" w:rsidRDefault="00000000">
      <w:pPr>
        <w:spacing w:after="120" w:line="360" w:lineRule="auto"/>
        <w:ind w:left="720" w:hanging="720"/>
      </w:pPr>
      <w:r>
        <w:t xml:space="preserve">Sanglestsawai, S., Rejesus, R. M., &amp; Yorobe, J. M. (2015). Economic impacts of integrated pest management (IPM) farmer field schools (FFS): Evidence from onion farmers in the Philippines. </w:t>
      </w:r>
      <w:r>
        <w:rPr>
          <w:i/>
          <w:iCs/>
        </w:rPr>
        <w:t>Agricultural Economics, 46</w:t>
      </w:r>
      <w:r>
        <w:t xml:space="preserve">(2), 149–162. </w:t>
      </w:r>
      <w:r w:rsidRPr="00471890">
        <w:t>https://doi.org/10.1111/agec.12147</w:t>
      </w:r>
    </w:p>
    <w:p w14:paraId="357074EC" w14:textId="3C74A4DB" w:rsidR="007B203C" w:rsidRDefault="00000000">
      <w:pPr>
        <w:spacing w:after="120" w:line="360" w:lineRule="auto"/>
        <w:ind w:left="720" w:hanging="720"/>
      </w:pPr>
      <w:r>
        <w:t xml:space="preserve">Savary, S., Willocquet, L., Pethybridge, S. J., Esker, P., McRoberts, N., &amp; Nelson, A. (2019). The global burden of pathogens and pests on major food crops. </w:t>
      </w:r>
      <w:r>
        <w:rPr>
          <w:i/>
          <w:iCs/>
        </w:rPr>
        <w:t>Nature Ecology &amp; Evolution, 3</w:t>
      </w:r>
      <w:r>
        <w:t xml:space="preserve">(3), 430–439. </w:t>
      </w:r>
      <w:r w:rsidRPr="00471890">
        <w:t>https://doi.org/10.1038/s41559-018-0793-y</w:t>
      </w:r>
    </w:p>
    <w:p w14:paraId="364262B1" w14:textId="75D49521" w:rsidR="007B203C" w:rsidRDefault="00000000">
      <w:pPr>
        <w:spacing w:after="120" w:line="360" w:lineRule="auto"/>
        <w:ind w:left="720" w:hanging="720"/>
      </w:pPr>
      <w:r>
        <w:t xml:space="preserve">Scherr, S. J., Shames, S., &amp; Friedman, R. (2012). From climate-smart agriculture to climate-smart landscapes. </w:t>
      </w:r>
      <w:r>
        <w:rPr>
          <w:i/>
          <w:iCs/>
        </w:rPr>
        <w:t>Agriculture &amp; Food Security, 1</w:t>
      </w:r>
      <w:r>
        <w:t xml:space="preserve">(1), Article 12. </w:t>
      </w:r>
      <w:r w:rsidRPr="00471890">
        <w:t>https://doi.org/10.1186/2048-7010-1-12</w:t>
      </w:r>
    </w:p>
    <w:p w14:paraId="2BD0FBCA" w14:textId="3BFEAED0" w:rsidR="007B203C" w:rsidRDefault="00000000">
      <w:pPr>
        <w:spacing w:after="120" w:line="360" w:lineRule="auto"/>
        <w:ind w:left="720" w:hanging="720"/>
      </w:pPr>
      <w:r>
        <w:t xml:space="preserve">Schneider, L., Rebetez, M., &amp; Rasmann, S. (2022). The effect of climate change on invasive crop pests across biomes. </w:t>
      </w:r>
      <w:r>
        <w:rPr>
          <w:i/>
          <w:iCs/>
        </w:rPr>
        <w:t>Current Opinion in Insect Science, 50</w:t>
      </w:r>
      <w:r>
        <w:t xml:space="preserve">, Article 100895. </w:t>
      </w:r>
      <w:r w:rsidRPr="00471890">
        <w:t>https://doi.org/10.1016/j.cois.2022.100895</w:t>
      </w:r>
    </w:p>
    <w:p w14:paraId="0B5845E9" w14:textId="30AF6404" w:rsidR="007B203C" w:rsidRDefault="00000000">
      <w:pPr>
        <w:spacing w:after="120" w:line="360" w:lineRule="auto"/>
        <w:ind w:left="720" w:hanging="720"/>
      </w:pPr>
      <w:r>
        <w:t xml:space="preserve">Sentis, A., Hemptinne, J.-L., Magro, A., &amp; Outreman, Y. (2022). Biological control needs evolutionary perspectives of ecological interactions. </w:t>
      </w:r>
      <w:r>
        <w:rPr>
          <w:i/>
          <w:iCs/>
        </w:rPr>
        <w:t>Evolutionary Applications, 15</w:t>
      </w:r>
      <w:r>
        <w:t xml:space="preserve">(10), 1537–1554. </w:t>
      </w:r>
      <w:r w:rsidRPr="00471890">
        <w:t>https://doi.org/10.1111/eva.13457</w:t>
      </w:r>
    </w:p>
    <w:p w14:paraId="547EA0BC" w14:textId="52A684B4" w:rsidR="007B203C" w:rsidRDefault="00000000">
      <w:pPr>
        <w:spacing w:after="120" w:line="360" w:lineRule="auto"/>
        <w:ind w:left="720" w:hanging="720"/>
      </w:pPr>
      <w:r>
        <w:lastRenderedPageBreak/>
        <w:t xml:space="preserve">Sgrò, C. M., Terblanche, J. S., &amp; Hoffmann, A. A. (2016). What can plasticity contribute to insect responses to climate change? </w:t>
      </w:r>
      <w:r>
        <w:rPr>
          <w:i/>
          <w:iCs/>
        </w:rPr>
        <w:t>Annual Review of Entomology, 61</w:t>
      </w:r>
      <w:r>
        <w:t xml:space="preserve">(1), 433–451. </w:t>
      </w:r>
      <w:r w:rsidRPr="00471890">
        <w:t>https://doi.org/10.1146/annurev-ento-010715-023859</w:t>
      </w:r>
    </w:p>
    <w:p w14:paraId="18E922C4" w14:textId="13AF41FC" w:rsidR="007B203C" w:rsidRDefault="00000000">
      <w:pPr>
        <w:spacing w:after="120" w:line="360" w:lineRule="auto"/>
        <w:ind w:left="720" w:hanging="720"/>
      </w:pPr>
      <w:r>
        <w:t xml:space="preserve">Sharma, H. C. (2014). Climate change effects on insects: Implications for crop protection and food security. </w:t>
      </w:r>
      <w:r>
        <w:rPr>
          <w:i/>
          <w:iCs/>
        </w:rPr>
        <w:t>Journal of Crop Improvement, 28</w:t>
      </w:r>
      <w:r>
        <w:t xml:space="preserve">(2), 229–259. </w:t>
      </w:r>
      <w:r w:rsidRPr="00471890">
        <w:t>https://doi.org/10.1080/15427528.2014.881205</w:t>
      </w:r>
    </w:p>
    <w:p w14:paraId="42E78435" w14:textId="0EF50E07" w:rsidR="007B203C" w:rsidRDefault="00000000">
      <w:pPr>
        <w:spacing w:after="120" w:line="360" w:lineRule="auto"/>
        <w:ind w:left="720" w:hanging="720"/>
      </w:pPr>
      <w:r>
        <w:t xml:space="preserve">Skendžić, S., Zovko, M., Živković, I. P., Lešić, V., &amp; Lemić, D. (2021). The impact of climate change on agricultural insect pests. </w:t>
      </w:r>
      <w:r>
        <w:rPr>
          <w:i/>
          <w:iCs/>
        </w:rPr>
        <w:t>Insects, 12</w:t>
      </w:r>
      <w:r>
        <w:t xml:space="preserve">(5), Article 440. </w:t>
      </w:r>
      <w:r w:rsidRPr="00471890">
        <w:t>https://doi.org/10.3390/insects12050440</w:t>
      </w:r>
    </w:p>
    <w:p w14:paraId="46C7B846" w14:textId="43F2B481" w:rsidR="007B203C" w:rsidRDefault="00000000">
      <w:pPr>
        <w:spacing w:after="120" w:line="360" w:lineRule="auto"/>
        <w:ind w:left="720" w:hanging="720"/>
      </w:pPr>
      <w:r>
        <w:t xml:space="preserve">Stern, V. M., Smith, R. F., van den Bosch, R., &amp; Hagen, K. S. (1959). The integration of chemical and biological control of the spotted alfalfa aphid: The integrated control concept. </w:t>
      </w:r>
      <w:r>
        <w:rPr>
          <w:i/>
          <w:iCs/>
        </w:rPr>
        <w:t>Hilgardia, 29</w:t>
      </w:r>
      <w:r>
        <w:t xml:space="preserve">(2), 81–101. </w:t>
      </w:r>
      <w:r w:rsidRPr="00471890">
        <w:t>https://doi.org/10.3733/hilg.v29n02p081</w:t>
      </w:r>
    </w:p>
    <w:p w14:paraId="76F53928" w14:textId="675C278B" w:rsidR="007B203C" w:rsidRDefault="00000000">
      <w:pPr>
        <w:spacing w:after="120" w:line="360" w:lineRule="auto"/>
        <w:ind w:left="720" w:hanging="720"/>
      </w:pPr>
      <w:r>
        <w:t xml:space="preserve">Stoeckli, S., Hirschi, M., Spirig, C., Calanca, P., Rotach, M. W., &amp; Samietz, J. (2012). Impact of climate change on voltinism and prospective diapause induction of a global pest insect – </w:t>
      </w:r>
      <w:r>
        <w:rPr>
          <w:i/>
          <w:iCs/>
        </w:rPr>
        <w:t>Cydia pomonella</w:t>
      </w:r>
      <w:r>
        <w:t xml:space="preserve"> (L.). </w:t>
      </w:r>
      <w:r>
        <w:rPr>
          <w:i/>
          <w:iCs/>
        </w:rPr>
        <w:t>PLoS ONE, 7</w:t>
      </w:r>
      <w:r>
        <w:t xml:space="preserve">(4), Article e35723. </w:t>
      </w:r>
      <w:r w:rsidRPr="00471890">
        <w:t>https://doi.org/10.1371/journal.pone.0035723</w:t>
      </w:r>
    </w:p>
    <w:p w14:paraId="389EAAAB" w14:textId="0AED9D2A" w:rsidR="007B203C" w:rsidRDefault="00000000">
      <w:pPr>
        <w:spacing w:after="120" w:line="360" w:lineRule="auto"/>
        <w:ind w:left="720" w:hanging="720"/>
      </w:pPr>
      <w:r>
        <w:t xml:space="preserve">Sutherst, R. W., Constable, F., Finlay, K. J., Harrington, R., Luck, J., &amp; Zalucki, M. P. (2011). Adapting to crop pest and pathogen risks under a changing climate. </w:t>
      </w:r>
      <w:r>
        <w:rPr>
          <w:i/>
          <w:iCs/>
        </w:rPr>
        <w:t>WIREs Climate Change, 2</w:t>
      </w:r>
      <w:r>
        <w:t xml:space="preserve">(2), 220–237. </w:t>
      </w:r>
      <w:r w:rsidRPr="00471890">
        <w:t>https://doi.org/10.1002/wcc.102</w:t>
      </w:r>
    </w:p>
    <w:p w14:paraId="3A0634C5" w14:textId="6AD3B92B" w:rsidR="007B203C" w:rsidRDefault="00000000">
      <w:pPr>
        <w:spacing w:after="120" w:line="360" w:lineRule="auto"/>
        <w:ind w:left="720" w:hanging="720"/>
      </w:pPr>
      <w:r>
        <w:t xml:space="preserve">Tamburini, G., Bommarco, R., Wanger, T. C., Kremen, C., van der Heijden, M. G. A., Liebman, M., &amp; Hallin, S. (2020). Agricultural diversification promotes multiple ecosystem services without compromising yield. </w:t>
      </w:r>
      <w:r>
        <w:rPr>
          <w:i/>
          <w:iCs/>
        </w:rPr>
        <w:t>Science Advances, 6</w:t>
      </w:r>
      <w:r>
        <w:t xml:space="preserve">(45), Article eaba1715. </w:t>
      </w:r>
      <w:r w:rsidRPr="00471890">
        <w:t>https://doi.org/10.1126/sciadv.aba1715</w:t>
      </w:r>
    </w:p>
    <w:p w14:paraId="1B232A75" w14:textId="5CF09FAA" w:rsidR="007B203C" w:rsidRDefault="00000000">
      <w:pPr>
        <w:spacing w:after="120" w:line="360" w:lineRule="auto"/>
        <w:ind w:left="720" w:hanging="720"/>
      </w:pPr>
      <w:r>
        <w:t xml:space="preserve">Tarusikirwa, V. L., Machekano, H., Mutamiswa, R., Chidawanyika, F., &amp; Nyamukondiwa, C. (2020). </w:t>
      </w:r>
      <w:r>
        <w:rPr>
          <w:i/>
          <w:iCs/>
        </w:rPr>
        <w:t>Tuta absoluta</w:t>
      </w:r>
      <w:r>
        <w:t xml:space="preserve"> (Meyrick) (Lepidoptera: Gelechiidae) on the “offensive” in Africa: Prospects for integrated management initiatives. </w:t>
      </w:r>
      <w:r>
        <w:rPr>
          <w:i/>
          <w:iCs/>
        </w:rPr>
        <w:t>Insects, 11</w:t>
      </w:r>
      <w:r>
        <w:t xml:space="preserve">(11), Article 764. </w:t>
      </w:r>
      <w:r w:rsidRPr="00471890">
        <w:t>https://doi.org/10.3390/insects11110764</w:t>
      </w:r>
    </w:p>
    <w:p w14:paraId="2F208985" w14:textId="04E0EBED" w:rsidR="007B203C" w:rsidRDefault="00000000">
      <w:pPr>
        <w:spacing w:after="120" w:line="360" w:lineRule="auto"/>
        <w:ind w:left="720" w:hanging="720"/>
      </w:pPr>
      <w:r>
        <w:t xml:space="preserve">Taylor, M. (2018). Climate-smart agriculture: What is it good for? </w:t>
      </w:r>
      <w:r>
        <w:rPr>
          <w:i/>
          <w:iCs/>
        </w:rPr>
        <w:t>The Journal of Peasant Studies, 45</w:t>
      </w:r>
      <w:r>
        <w:t xml:space="preserve">(1), 89–107. </w:t>
      </w:r>
      <w:r w:rsidRPr="00471890">
        <w:t>https://doi.org/10.1080/03066150.2017.1312355</w:t>
      </w:r>
    </w:p>
    <w:p w14:paraId="0E4883F1" w14:textId="7F2FB6EB" w:rsidR="007B203C" w:rsidRDefault="00000000">
      <w:pPr>
        <w:spacing w:after="120" w:line="360" w:lineRule="auto"/>
        <w:ind w:left="720" w:hanging="720"/>
      </w:pPr>
      <w:r>
        <w:lastRenderedPageBreak/>
        <w:t xml:space="preserve">Thomson, L. J., Macfadyen, S., &amp; Hoffmann, A. A. (2010). Predicting the effects of climate change on natural enemies of agricultural pests. </w:t>
      </w:r>
      <w:r>
        <w:rPr>
          <w:i/>
          <w:iCs/>
        </w:rPr>
        <w:t>Biological Control, 52</w:t>
      </w:r>
      <w:r>
        <w:t xml:space="preserve">(3), 296–306. </w:t>
      </w:r>
      <w:r w:rsidRPr="00471890">
        <w:t>https://doi.org/10.1016/j.biocontrol.2009.01.022</w:t>
      </w:r>
    </w:p>
    <w:p w14:paraId="0EFA791D" w14:textId="56BBD19A" w:rsidR="007B203C" w:rsidRDefault="00000000">
      <w:pPr>
        <w:spacing w:after="120" w:line="360" w:lineRule="auto"/>
        <w:ind w:left="720" w:hanging="720"/>
      </w:pPr>
      <w:r>
        <w:t xml:space="preserve">Tonnang, H. E. Z., Sokame, B. M., Abdel-Rahman, E. M., &amp; Dubois, T. (2022). Measuring and modelling crop yield losses due to invasive insect pests under climate change. </w:t>
      </w:r>
      <w:r>
        <w:rPr>
          <w:i/>
          <w:iCs/>
        </w:rPr>
        <w:t>Current Opinion in Insect Science, 50</w:t>
      </w:r>
      <w:r>
        <w:t xml:space="preserve">, Article 100873. </w:t>
      </w:r>
      <w:r w:rsidRPr="00471890">
        <w:t>https://doi.org/10.1016/j.cois.2022.100873</w:t>
      </w:r>
    </w:p>
    <w:p w14:paraId="3A0508BB" w14:textId="7E0EF298" w:rsidR="007B203C" w:rsidRDefault="00000000">
      <w:pPr>
        <w:spacing w:after="120" w:line="360" w:lineRule="auto"/>
        <w:ind w:left="720" w:hanging="720"/>
      </w:pPr>
      <w:r>
        <w:t xml:space="preserve">Tscharntke, T., Karp, D. S., Chaplin-Kramer, R., Batáry, P., DeClerck, F., Gratton, C., Hunt, L., Ives, A., Jonsson, M., Larsen, A., Martin, E. A., Martínez-Salinas, A., Meehan, T. D., O'Rourke, M., Poveda, K., Rosenheim, J. A., Rusch, A., Schellhorn, N., Wanger, T. C., . . . Zhang, W. (2016). When natural habitat fails to enhance biological pest control – Five hypotheses. </w:t>
      </w:r>
      <w:r>
        <w:rPr>
          <w:i/>
          <w:iCs/>
        </w:rPr>
        <w:t>Biological Conservation, 204</w:t>
      </w:r>
      <w:r>
        <w:t xml:space="preserve">, 449–458. </w:t>
      </w:r>
      <w:r w:rsidRPr="00471890">
        <w:t>https://doi.org/10.1016/j.biocon.2016.10.001</w:t>
      </w:r>
    </w:p>
    <w:p w14:paraId="6E2CB470" w14:textId="168DCE1A" w:rsidR="007B203C" w:rsidRDefault="00000000">
      <w:pPr>
        <w:spacing w:after="120" w:line="360" w:lineRule="auto"/>
        <w:ind w:left="720" w:hanging="720"/>
      </w:pPr>
      <w:r>
        <w:t xml:space="preserve">Vasseur, D. A., DeLong, J. P., Gilbert, B., Greig, H. S., Harley, C. D. G., McCann, K. S., Savage, V., Tunney, T. D., &amp; O'Connor, M. I. (2014). Increased temperature variation poses a greater risk to species than climate warming. </w:t>
      </w:r>
      <w:r>
        <w:rPr>
          <w:i/>
          <w:iCs/>
        </w:rPr>
        <w:t>Proceedings of the Royal Society B: Biological Sciences, 281</w:t>
      </w:r>
      <w:r>
        <w:t xml:space="preserve">(1779), Article 20132612. </w:t>
      </w:r>
      <w:r w:rsidRPr="00471890">
        <w:t>https://doi.org/10.1098/rspb.2013.2612</w:t>
      </w:r>
    </w:p>
    <w:p w14:paraId="441329F8" w14:textId="5B16A96B" w:rsidR="007B203C" w:rsidRDefault="00000000">
      <w:pPr>
        <w:spacing w:after="120" w:line="360" w:lineRule="auto"/>
        <w:ind w:left="720" w:hanging="720"/>
      </w:pPr>
      <w:r>
        <w:t xml:space="preserve">Verheyen, J., Delnat, V., &amp; Theys, C. (2022). Daily temperature fluctuations can magnify the toxicity of pesticides. </w:t>
      </w:r>
      <w:r>
        <w:rPr>
          <w:i/>
          <w:iCs/>
        </w:rPr>
        <w:t>Current Opinion in Insect Science, 51</w:t>
      </w:r>
      <w:r>
        <w:t xml:space="preserve">, Article 100919. </w:t>
      </w:r>
      <w:r w:rsidRPr="00471890">
        <w:t>https://doi.org/10.1016/j.cois.2022.100919</w:t>
      </w:r>
    </w:p>
    <w:p w14:paraId="2E3DDD8C" w14:textId="642CB22F" w:rsidR="007B203C" w:rsidRDefault="00000000">
      <w:pPr>
        <w:spacing w:after="120" w:line="360" w:lineRule="auto"/>
        <w:ind w:left="720" w:hanging="720"/>
      </w:pPr>
      <w:r>
        <w:t xml:space="preserve">Verheyen, J., &amp; Stoks, R. (2019). Current and future daily temperature fluctuations make a pesticide more toxic: Contrasting effects on life history and physiology. </w:t>
      </w:r>
      <w:r>
        <w:rPr>
          <w:i/>
          <w:iCs/>
        </w:rPr>
        <w:t>Environmental Pollution, 248</w:t>
      </w:r>
      <w:r>
        <w:t xml:space="preserve">, 209–218. </w:t>
      </w:r>
      <w:r w:rsidRPr="00471890">
        <w:t>https://doi.org/10.1016/j.envpol.2019.02.022</w:t>
      </w:r>
    </w:p>
    <w:p w14:paraId="1668FE28" w14:textId="3F3E516D" w:rsidR="007B203C" w:rsidRDefault="00000000">
      <w:pPr>
        <w:spacing w:after="120" w:line="360" w:lineRule="auto"/>
        <w:ind w:left="720" w:hanging="720"/>
      </w:pPr>
      <w:r>
        <w:t xml:space="preserve">Weaving, H., Terblanche, J. S., Pottier, P., &amp; English, S. (2022). Meta-analysis reveals weak but pervasive plasticity in insect thermal limits. </w:t>
      </w:r>
      <w:r>
        <w:rPr>
          <w:i/>
          <w:iCs/>
        </w:rPr>
        <w:t>Nature Communications, 13</w:t>
      </w:r>
      <w:r>
        <w:t xml:space="preserve">(1), Article 5292. </w:t>
      </w:r>
      <w:r w:rsidRPr="00471890">
        <w:t>https://doi.org/10.1038/s41467-022-32953-2</w:t>
      </w:r>
    </w:p>
    <w:p w14:paraId="54EB0425" w14:textId="0672BD49" w:rsidR="007B203C" w:rsidRDefault="00000000">
      <w:pPr>
        <w:spacing w:after="120" w:line="360" w:lineRule="auto"/>
        <w:ind w:left="720" w:hanging="720"/>
      </w:pPr>
      <w:r>
        <w:t xml:space="preserve">Westbrook, J., Fleischer, S., Jairam, S., Meagher, R., &amp; Nagoshi, R. (2019). Multigenerational migration of fall armyworm, a pest insect. </w:t>
      </w:r>
      <w:r>
        <w:rPr>
          <w:i/>
          <w:iCs/>
        </w:rPr>
        <w:t>Ecosphere, 10</w:t>
      </w:r>
      <w:r>
        <w:t xml:space="preserve">(11), Article e02919. </w:t>
      </w:r>
      <w:r w:rsidRPr="00471890">
        <w:t>https://doi.org/10.1002/ecs2.2919</w:t>
      </w:r>
    </w:p>
    <w:p w14:paraId="570AE172" w14:textId="3F02152D" w:rsidR="007B203C" w:rsidRDefault="00000000">
      <w:pPr>
        <w:spacing w:after="120" w:line="360" w:lineRule="auto"/>
        <w:ind w:left="720" w:hanging="720"/>
      </w:pPr>
      <w:r>
        <w:lastRenderedPageBreak/>
        <w:t xml:space="preserve">Wyckhuys, K. A. G., Lu, Y., Zhou, W., Cock, M. J. W., Naranjo, S. E., Fereti, A., Williams, F. E., &amp; Furlong, M. J. (2020). Ecological pest control fortifies agricultural growth in Asia–Pacific economies. </w:t>
      </w:r>
      <w:r>
        <w:rPr>
          <w:i/>
          <w:iCs/>
        </w:rPr>
        <w:t>Nature Ecology &amp; Evolution, 4</w:t>
      </w:r>
      <w:r>
        <w:t xml:space="preserve">(11), 1522–1530. </w:t>
      </w:r>
      <w:r w:rsidRPr="00471890">
        <w:t>https://doi.org/10.1038/s41559-020-01294-y</w:t>
      </w:r>
    </w:p>
    <w:p w14:paraId="5777C2BB" w14:textId="3F53670C" w:rsidR="007B203C" w:rsidRDefault="00000000">
      <w:pPr>
        <w:spacing w:after="120" w:line="360" w:lineRule="auto"/>
        <w:ind w:left="720" w:hanging="720"/>
      </w:pPr>
      <w:r>
        <w:t xml:space="preserve">Yang, X., Wyckhuys, K. A. G., Jia, X., Nie, F., &amp; Wu, K. (2021). Fall armyworm invasion heightens pesticide expenditure among Chinese smallholder farmers. </w:t>
      </w:r>
      <w:r>
        <w:rPr>
          <w:i/>
          <w:iCs/>
        </w:rPr>
        <w:t>Journal of Environmental Management, 282</w:t>
      </w:r>
      <w:r>
        <w:t xml:space="preserve">, Article 111949. </w:t>
      </w:r>
      <w:r w:rsidRPr="00471890">
        <w:t>https://doi.org/10.1016/j.jenvman.2021.111949</w:t>
      </w:r>
    </w:p>
    <w:p w14:paraId="2876647D" w14:textId="30C68630" w:rsidR="007B203C" w:rsidRDefault="00000000">
      <w:pPr>
        <w:spacing w:after="120" w:line="360" w:lineRule="auto"/>
        <w:ind w:left="720" w:hanging="720"/>
      </w:pPr>
      <w:r>
        <w:t xml:space="preserve">Zanzana, K., Dannon, E. A., Sinzogan, A. A., &amp; Toffa, J. M. (2024). Fall armyworm management in a changing climate: An overview of climate-responsive integrated pest management (IPM) strategies for long-term control. </w:t>
      </w:r>
      <w:r>
        <w:rPr>
          <w:i/>
          <w:iCs/>
        </w:rPr>
        <w:t>Egyptian Journal of Biological Pest Control, 34</w:t>
      </w:r>
      <w:r>
        <w:t xml:space="preserve">(1), Article 54. </w:t>
      </w:r>
      <w:r w:rsidRPr="00471890">
        <w:t>https://doi.org/10.1186/s41938-024-00814-3</w:t>
      </w:r>
    </w:p>
    <w:p w14:paraId="60F9E01B" w14:textId="46AA1E54" w:rsidR="007B203C" w:rsidRDefault="00000000">
      <w:pPr>
        <w:spacing w:after="120" w:line="360" w:lineRule="auto"/>
        <w:ind w:left="720" w:hanging="720"/>
      </w:pPr>
      <w:r>
        <w:t xml:space="preserve">Zavala, J. A., Casteel, C. L., DeLucia, E. H., &amp; Berenbaum, M. R. (2008). Anthropogenic increase in carbon dioxide compromises plant defense against invasive insects. </w:t>
      </w:r>
      <w:r>
        <w:rPr>
          <w:i/>
          <w:iCs/>
        </w:rPr>
        <w:t>Proceedings of the National Academy of Sciences, 105</w:t>
      </w:r>
      <w:r>
        <w:t xml:space="preserve">(13), 5129–5133. </w:t>
      </w:r>
      <w:r w:rsidRPr="00471890">
        <w:t>https://doi.org/10.1073/pnas.0800568105</w:t>
      </w:r>
    </w:p>
    <w:p w14:paraId="6D175DB2" w14:textId="2ACFF038" w:rsidR="007B203C" w:rsidRDefault="00000000">
      <w:pPr>
        <w:spacing w:after="120" w:line="360" w:lineRule="auto"/>
        <w:ind w:left="720" w:hanging="720"/>
      </w:pPr>
      <w:r>
        <w:t xml:space="preserve">Ziska, L. H., &amp; McConnell, L. L. (2016). Climate change, carbon dioxide, and pest biology: Monitor, mitigate, manage. </w:t>
      </w:r>
      <w:r>
        <w:rPr>
          <w:i/>
          <w:iCs/>
        </w:rPr>
        <w:t>Journal of Agricultural and Food Chemistry, 64</w:t>
      </w:r>
      <w:r>
        <w:t xml:space="preserve">(1), 6–12. </w:t>
      </w:r>
      <w:r w:rsidRPr="00471890">
        <w:t>https://doi.org/10.1021/jf506101h</w:t>
      </w:r>
    </w:p>
    <w:sectPr w:rsidR="007B203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35131" w14:textId="77777777" w:rsidR="002308A5" w:rsidRDefault="002308A5">
      <w:r>
        <w:separator/>
      </w:r>
    </w:p>
  </w:endnote>
  <w:endnote w:type="continuationSeparator" w:id="0">
    <w:p w14:paraId="3F90514C" w14:textId="77777777" w:rsidR="002308A5" w:rsidRDefault="00230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6CDF" w14:textId="77777777" w:rsidR="00203223" w:rsidRDefault="002032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3199" w14:textId="77777777" w:rsidR="007B203C" w:rsidRDefault="00000000">
    <w:pPr>
      <w:jc w:val="center"/>
    </w:pPr>
    <w:r>
      <w:rPr>
        <w:sz w:val="20"/>
        <w:szCs w:val="20"/>
      </w:rPr>
      <w:fldChar w:fldCharType="begin"/>
    </w:r>
    <w:r>
      <w:rPr>
        <w:sz w:val="20"/>
        <w:szCs w:val="20"/>
      </w:rPr>
      <w:instrText>PAGE</w:instrText>
    </w:r>
    <w:r>
      <w:rPr>
        <w:sz w:val="20"/>
        <w:szCs w:val="20"/>
      </w:rPr>
      <w:fldChar w:fldCharType="separate"/>
    </w:r>
    <w:r w:rsidR="00471890">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0E345" w14:textId="77777777" w:rsidR="00203223" w:rsidRDefault="00203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1939" w14:textId="77777777" w:rsidR="002308A5" w:rsidRDefault="002308A5">
      <w:r>
        <w:separator/>
      </w:r>
    </w:p>
  </w:footnote>
  <w:footnote w:type="continuationSeparator" w:id="0">
    <w:p w14:paraId="416607FF" w14:textId="77777777" w:rsidR="002308A5" w:rsidRDefault="00230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0A76" w14:textId="07074443" w:rsidR="00203223" w:rsidRDefault="00203223">
    <w:pPr>
      <w:pStyle w:val="Header"/>
    </w:pPr>
    <w:r>
      <w:rPr>
        <w:noProof/>
      </w:rPr>
      <w:pict w14:anchorId="0D90CC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9325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AFFE" w14:textId="6187EA0F" w:rsidR="00203223" w:rsidRDefault="00203223">
    <w:pPr>
      <w:pStyle w:val="Header"/>
    </w:pPr>
    <w:r>
      <w:rPr>
        <w:noProof/>
      </w:rPr>
      <w:pict w14:anchorId="77BB25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9325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AF1B" w14:textId="01D50A0D" w:rsidR="00203223" w:rsidRDefault="00203223">
    <w:pPr>
      <w:pStyle w:val="Header"/>
    </w:pPr>
    <w:r>
      <w:rPr>
        <w:noProof/>
      </w:rPr>
      <w:pict w14:anchorId="77FEB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209325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BC51E8"/>
    <w:multiLevelType w:val="hybridMultilevel"/>
    <w:tmpl w:val="3C9C807A"/>
    <w:lvl w:ilvl="0" w:tplc="45845E04">
      <w:start w:val="1"/>
      <w:numFmt w:val="bullet"/>
      <w:lvlText w:val="●"/>
      <w:lvlJc w:val="left"/>
      <w:pPr>
        <w:ind w:left="720" w:hanging="360"/>
      </w:pPr>
    </w:lvl>
    <w:lvl w:ilvl="1" w:tplc="4E18707E">
      <w:start w:val="1"/>
      <w:numFmt w:val="bullet"/>
      <w:lvlText w:val="○"/>
      <w:lvlJc w:val="left"/>
      <w:pPr>
        <w:ind w:left="1440" w:hanging="360"/>
      </w:pPr>
    </w:lvl>
    <w:lvl w:ilvl="2" w:tplc="0798D056">
      <w:start w:val="1"/>
      <w:numFmt w:val="bullet"/>
      <w:lvlText w:val="■"/>
      <w:lvlJc w:val="left"/>
      <w:pPr>
        <w:ind w:left="2160" w:hanging="360"/>
      </w:pPr>
    </w:lvl>
    <w:lvl w:ilvl="3" w:tplc="01906CB8">
      <w:start w:val="1"/>
      <w:numFmt w:val="bullet"/>
      <w:lvlText w:val="●"/>
      <w:lvlJc w:val="left"/>
      <w:pPr>
        <w:ind w:left="2880" w:hanging="360"/>
      </w:pPr>
    </w:lvl>
    <w:lvl w:ilvl="4" w:tplc="640C769A">
      <w:start w:val="1"/>
      <w:numFmt w:val="bullet"/>
      <w:lvlText w:val="○"/>
      <w:lvlJc w:val="left"/>
      <w:pPr>
        <w:ind w:left="3600" w:hanging="360"/>
      </w:pPr>
    </w:lvl>
    <w:lvl w:ilvl="5" w:tplc="895E3BBC">
      <w:start w:val="1"/>
      <w:numFmt w:val="bullet"/>
      <w:lvlText w:val="■"/>
      <w:lvlJc w:val="left"/>
      <w:pPr>
        <w:ind w:left="4320" w:hanging="360"/>
      </w:pPr>
    </w:lvl>
    <w:lvl w:ilvl="6" w:tplc="1902CACA">
      <w:start w:val="1"/>
      <w:numFmt w:val="bullet"/>
      <w:lvlText w:val="●"/>
      <w:lvlJc w:val="left"/>
      <w:pPr>
        <w:ind w:left="5040" w:hanging="360"/>
      </w:pPr>
    </w:lvl>
    <w:lvl w:ilvl="7" w:tplc="6338F616">
      <w:start w:val="1"/>
      <w:numFmt w:val="bullet"/>
      <w:lvlText w:val="●"/>
      <w:lvlJc w:val="left"/>
      <w:pPr>
        <w:ind w:left="5760" w:hanging="360"/>
      </w:pPr>
    </w:lvl>
    <w:lvl w:ilvl="8" w:tplc="40D69E14">
      <w:start w:val="1"/>
      <w:numFmt w:val="bullet"/>
      <w:lvlText w:val="●"/>
      <w:lvlJc w:val="left"/>
      <w:pPr>
        <w:ind w:left="6480" w:hanging="360"/>
      </w:pPr>
    </w:lvl>
  </w:abstractNum>
  <w:num w:numId="1" w16cid:durableId="101889654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03C"/>
    <w:rsid w:val="00003597"/>
    <w:rsid w:val="00035A93"/>
    <w:rsid w:val="00203223"/>
    <w:rsid w:val="002308A5"/>
    <w:rsid w:val="003B40AC"/>
    <w:rsid w:val="00471890"/>
    <w:rsid w:val="004972C9"/>
    <w:rsid w:val="007B203C"/>
    <w:rsid w:val="00822AD9"/>
    <w:rsid w:val="00AB3522"/>
    <w:rsid w:val="00DC56C8"/>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77E41"/>
  <w15:docId w15:val="{D836AEC9-A5DA-4B25-8159-1E36E6C6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8"/>
      <w:szCs w:val="28"/>
    </w:rPr>
  </w:style>
  <w:style w:type="paragraph" w:styleId="Heading2">
    <w:name w:val="heading 2"/>
    <w:uiPriority w:val="9"/>
    <w:unhideWhenUsed/>
    <w:qFormat/>
    <w:pPr>
      <w:outlineLvl w:val="1"/>
    </w:pPr>
    <w:rPr>
      <w:b/>
      <w:bCs/>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03223"/>
    <w:pPr>
      <w:tabs>
        <w:tab w:val="center" w:pos="4680"/>
        <w:tab w:val="right" w:pos="9360"/>
      </w:tabs>
    </w:pPr>
    <w:rPr>
      <w:szCs w:val="30"/>
    </w:rPr>
  </w:style>
  <w:style w:type="character" w:customStyle="1" w:styleId="HeaderChar">
    <w:name w:val="Header Char"/>
    <w:basedOn w:val="DefaultParagraphFont"/>
    <w:link w:val="Header"/>
    <w:uiPriority w:val="99"/>
    <w:rsid w:val="00203223"/>
    <w:rPr>
      <w:szCs w:val="30"/>
    </w:rPr>
  </w:style>
  <w:style w:type="paragraph" w:styleId="Footer">
    <w:name w:val="footer"/>
    <w:basedOn w:val="Normal"/>
    <w:link w:val="FooterChar"/>
    <w:uiPriority w:val="99"/>
    <w:unhideWhenUsed/>
    <w:rsid w:val="00203223"/>
    <w:pPr>
      <w:tabs>
        <w:tab w:val="center" w:pos="4680"/>
        <w:tab w:val="right" w:pos="9360"/>
      </w:tabs>
    </w:pPr>
    <w:rPr>
      <w:szCs w:val="30"/>
    </w:rPr>
  </w:style>
  <w:style w:type="character" w:customStyle="1" w:styleId="FooterChar">
    <w:name w:val="Footer Char"/>
    <w:basedOn w:val="DefaultParagraphFont"/>
    <w:link w:val="Footer"/>
    <w:uiPriority w:val="99"/>
    <w:rsid w:val="00203223"/>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17789</Words>
  <Characters>101402</Characters>
  <Application>Microsoft Office Word</Application>
  <DocSecurity>0</DocSecurity>
  <Lines>845</Lines>
  <Paragraphs>237</Paragraphs>
  <ScaleCrop>false</ScaleCrop>
  <Company>HP</Company>
  <LinksUpToDate>false</LinksUpToDate>
  <CharactersWithSpaces>118954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8</cp:revision>
  <dcterms:created xsi:type="dcterms:W3CDTF">2026-09-24T16:05:00Z</dcterms:created>
  <dcterms:modified xsi:type="dcterms:W3CDTF">2026-09-25T13:20:00Z</dcterms:modified>
</cp:coreProperties>
</file>